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D747" w14:textId="77777777" w:rsidR="00C00D73" w:rsidRPr="00000CED" w:rsidRDefault="00584A89" w:rsidP="00C00D73">
      <w:pPr>
        <w:pStyle w:val="DocMainTitle"/>
        <w:rPr>
          <w:rFonts w:ascii="Verdana" w:hAnsi="Verdana"/>
        </w:rPr>
      </w:pPr>
      <w:r w:rsidRPr="00000CED">
        <w:rPr>
          <w:rFonts w:ascii="Verdana" w:hAnsi="Verdana"/>
        </w:rPr>
        <w:t>Consultation Summary</w:t>
      </w:r>
    </w:p>
    <w:tbl>
      <w:tblPr>
        <w:tblStyle w:val="TableGri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74"/>
        <w:gridCol w:w="3439"/>
      </w:tblGrid>
      <w:tr w:rsidR="00E837EF" w:rsidRPr="00000CED" w14:paraId="1AB8AB82" w14:textId="77777777" w:rsidTr="00400EB5">
        <w:trPr>
          <w:trHeight w:val="326"/>
        </w:trPr>
        <w:tc>
          <w:tcPr>
            <w:tcW w:w="2694" w:type="dxa"/>
          </w:tcPr>
          <w:p w14:paraId="7A049E8C" w14:textId="77777777" w:rsidR="00E837EF" w:rsidRPr="00000CED" w:rsidRDefault="00E837EF" w:rsidP="00550520">
            <w:pPr>
              <w:pStyle w:val="TableInfo"/>
              <w:rPr>
                <w:rFonts w:ascii="Verdana" w:hAnsi="Verdana"/>
                <w:sz w:val="18"/>
                <w:szCs w:val="18"/>
              </w:rPr>
            </w:pPr>
            <w:r w:rsidRPr="00000CED">
              <w:rPr>
                <w:rFonts w:ascii="Verdana" w:hAnsi="Verdana"/>
                <w:sz w:val="18"/>
                <w:szCs w:val="18"/>
              </w:rPr>
              <w:t>Consultation subject:</w:t>
            </w:r>
          </w:p>
        </w:tc>
        <w:tc>
          <w:tcPr>
            <w:tcW w:w="7413" w:type="dxa"/>
            <w:gridSpan w:val="2"/>
          </w:tcPr>
          <w:p w14:paraId="1E43664F" w14:textId="2EB8EB73" w:rsidR="00E837EF" w:rsidRPr="00000CED" w:rsidRDefault="005A7900" w:rsidP="007A50A8">
            <w:pPr>
              <w:rPr>
                <w:rFonts w:ascii="Verdana" w:hAnsi="Verdana"/>
                <w:sz w:val="18"/>
                <w:szCs w:val="18"/>
                <w:lang w:val="en-US"/>
              </w:rPr>
            </w:pPr>
            <w:r>
              <w:rPr>
                <w:rFonts w:ascii="Verdana" w:hAnsi="Verdana"/>
                <w:b/>
                <w:sz w:val="18"/>
                <w:szCs w:val="18"/>
              </w:rPr>
              <w:t xml:space="preserve">           </w:t>
            </w:r>
            <w:r w:rsidR="00E837EF" w:rsidRPr="00000CED">
              <w:rPr>
                <w:rFonts w:ascii="Verdana" w:hAnsi="Verdana"/>
                <w:b/>
                <w:sz w:val="18"/>
                <w:szCs w:val="18"/>
              </w:rPr>
              <w:t xml:space="preserve">rule </w:t>
            </w:r>
            <w:r w:rsidR="00DD76EB">
              <w:rPr>
                <w:rFonts w:ascii="Verdana" w:hAnsi="Verdana"/>
                <w:b/>
                <w:sz w:val="18"/>
                <w:szCs w:val="18"/>
              </w:rPr>
              <w:t>changes re</w:t>
            </w:r>
            <w:r>
              <w:rPr>
                <w:rFonts w:ascii="Verdana" w:hAnsi="Verdana"/>
                <w:b/>
                <w:sz w:val="18"/>
                <w:szCs w:val="18"/>
              </w:rPr>
              <w:t>lated to</w:t>
            </w:r>
            <w:r w:rsidR="00DD76EB">
              <w:rPr>
                <w:rFonts w:ascii="Verdana" w:hAnsi="Verdana"/>
                <w:b/>
                <w:sz w:val="18"/>
                <w:szCs w:val="18"/>
              </w:rPr>
              <w:t xml:space="preserve"> rights issues treatment</w:t>
            </w:r>
          </w:p>
        </w:tc>
      </w:tr>
      <w:tr w:rsidR="003F7FC5" w:rsidRPr="00000CED" w14:paraId="387BB3A3" w14:textId="77777777" w:rsidTr="00584A89">
        <w:trPr>
          <w:trHeight w:val="326"/>
        </w:trPr>
        <w:tc>
          <w:tcPr>
            <w:tcW w:w="2694" w:type="dxa"/>
          </w:tcPr>
          <w:p w14:paraId="399866A7" w14:textId="77777777" w:rsidR="003F7FC5" w:rsidRPr="00000CED" w:rsidRDefault="00584A89" w:rsidP="00550520">
            <w:pPr>
              <w:pStyle w:val="TableInfo"/>
              <w:rPr>
                <w:rFonts w:ascii="Verdana" w:hAnsi="Verdana"/>
                <w:sz w:val="18"/>
                <w:szCs w:val="18"/>
              </w:rPr>
            </w:pPr>
            <w:r w:rsidRPr="00000CED">
              <w:rPr>
                <w:rFonts w:ascii="Verdana" w:hAnsi="Verdana"/>
                <w:sz w:val="18"/>
                <w:szCs w:val="18"/>
              </w:rPr>
              <w:t>Consultation started</w:t>
            </w:r>
            <w:r w:rsidR="003F7FC5" w:rsidRPr="00000CED">
              <w:rPr>
                <w:rFonts w:ascii="Verdana" w:hAnsi="Verdana"/>
                <w:sz w:val="18"/>
                <w:szCs w:val="18"/>
              </w:rPr>
              <w:t>:</w:t>
            </w:r>
          </w:p>
        </w:tc>
        <w:tc>
          <w:tcPr>
            <w:tcW w:w="3974" w:type="dxa"/>
          </w:tcPr>
          <w:p w14:paraId="26A6F900" w14:textId="77777777" w:rsidR="003F7FC5" w:rsidRPr="00000CED" w:rsidRDefault="003F7FC5" w:rsidP="00550520">
            <w:pPr>
              <w:rPr>
                <w:rFonts w:ascii="Verdana" w:hAnsi="Verdana"/>
                <w:b/>
                <w:sz w:val="18"/>
                <w:szCs w:val="18"/>
              </w:rPr>
            </w:pPr>
          </w:p>
        </w:tc>
        <w:tc>
          <w:tcPr>
            <w:tcW w:w="3439" w:type="dxa"/>
          </w:tcPr>
          <w:p w14:paraId="6EAB30CA" w14:textId="637DE10A" w:rsidR="003F7FC5" w:rsidRPr="00000CED" w:rsidRDefault="00DD76EB" w:rsidP="000F6FA7">
            <w:pPr>
              <w:rPr>
                <w:rFonts w:ascii="Verdana" w:hAnsi="Verdana"/>
                <w:sz w:val="18"/>
                <w:szCs w:val="18"/>
              </w:rPr>
            </w:pPr>
            <w:r>
              <w:rPr>
                <w:rFonts w:ascii="Verdana" w:hAnsi="Verdana"/>
                <w:sz w:val="18"/>
                <w:szCs w:val="18"/>
              </w:rPr>
              <w:t>December</w:t>
            </w:r>
            <w:r w:rsidR="00C97C2D" w:rsidRPr="00000CED">
              <w:rPr>
                <w:rFonts w:ascii="Verdana" w:hAnsi="Verdana"/>
                <w:sz w:val="18"/>
                <w:szCs w:val="18"/>
              </w:rPr>
              <w:t xml:space="preserve"> </w:t>
            </w:r>
            <w:r w:rsidR="007843B4" w:rsidRPr="00000CED">
              <w:rPr>
                <w:rFonts w:ascii="Verdana" w:hAnsi="Verdana"/>
                <w:sz w:val="18"/>
                <w:szCs w:val="18"/>
              </w:rPr>
              <w:t>2021</w:t>
            </w:r>
          </w:p>
        </w:tc>
      </w:tr>
      <w:tr w:rsidR="003F7FC5" w:rsidRPr="00000CED" w14:paraId="681958C4" w14:textId="77777777" w:rsidTr="00584A89">
        <w:trPr>
          <w:trHeight w:val="544"/>
        </w:trPr>
        <w:tc>
          <w:tcPr>
            <w:tcW w:w="2694" w:type="dxa"/>
          </w:tcPr>
          <w:p w14:paraId="7CA75099" w14:textId="77777777" w:rsidR="003F7FC5" w:rsidRPr="00000CED" w:rsidRDefault="00584A89" w:rsidP="00D87BBE">
            <w:pPr>
              <w:pStyle w:val="TableInfo"/>
              <w:spacing w:after="360"/>
              <w:rPr>
                <w:rFonts w:ascii="Verdana" w:hAnsi="Verdana"/>
                <w:sz w:val="18"/>
                <w:szCs w:val="18"/>
              </w:rPr>
            </w:pPr>
            <w:r w:rsidRPr="00000CED">
              <w:rPr>
                <w:rFonts w:ascii="Verdana" w:hAnsi="Verdana"/>
                <w:sz w:val="18"/>
                <w:szCs w:val="18"/>
              </w:rPr>
              <w:t>Summary published</w:t>
            </w:r>
            <w:r w:rsidR="003F7FC5" w:rsidRPr="00000CED">
              <w:rPr>
                <w:rFonts w:ascii="Verdana" w:hAnsi="Verdana"/>
                <w:sz w:val="18"/>
                <w:szCs w:val="18"/>
              </w:rPr>
              <w:t>:</w:t>
            </w:r>
          </w:p>
        </w:tc>
        <w:tc>
          <w:tcPr>
            <w:tcW w:w="3974" w:type="dxa"/>
          </w:tcPr>
          <w:p w14:paraId="39CBFC5D" w14:textId="77777777" w:rsidR="003F7FC5" w:rsidRPr="00000CED" w:rsidRDefault="003F7FC5" w:rsidP="00D87BBE">
            <w:pPr>
              <w:spacing w:after="360"/>
              <w:rPr>
                <w:rFonts w:ascii="Verdana" w:hAnsi="Verdana"/>
                <w:b/>
                <w:sz w:val="18"/>
                <w:szCs w:val="18"/>
              </w:rPr>
            </w:pPr>
          </w:p>
        </w:tc>
        <w:tc>
          <w:tcPr>
            <w:tcW w:w="3439" w:type="dxa"/>
          </w:tcPr>
          <w:p w14:paraId="619D3C26" w14:textId="1B0F61E4" w:rsidR="00391608" w:rsidRPr="00000CED" w:rsidRDefault="00D966D2" w:rsidP="000F6FA7">
            <w:pPr>
              <w:spacing w:after="360"/>
              <w:rPr>
                <w:rFonts w:ascii="Verdana" w:hAnsi="Verdana"/>
                <w:sz w:val="18"/>
                <w:szCs w:val="18"/>
              </w:rPr>
            </w:pPr>
            <w:r>
              <w:rPr>
                <w:rFonts w:ascii="Verdana" w:hAnsi="Verdana"/>
                <w:sz w:val="18"/>
                <w:szCs w:val="18"/>
              </w:rPr>
              <w:t>10</w:t>
            </w:r>
            <w:r w:rsidR="007843B4" w:rsidRPr="00000CED">
              <w:rPr>
                <w:rFonts w:ascii="Verdana" w:hAnsi="Verdana"/>
                <w:sz w:val="18"/>
                <w:szCs w:val="18"/>
              </w:rPr>
              <w:t xml:space="preserve"> </w:t>
            </w:r>
            <w:r w:rsidR="00DD76EB">
              <w:rPr>
                <w:rFonts w:ascii="Verdana" w:hAnsi="Verdana"/>
                <w:sz w:val="18"/>
                <w:szCs w:val="18"/>
              </w:rPr>
              <w:t>March</w:t>
            </w:r>
            <w:r w:rsidR="007843B4" w:rsidRPr="00000CED">
              <w:rPr>
                <w:rFonts w:ascii="Verdana" w:hAnsi="Verdana"/>
                <w:sz w:val="18"/>
                <w:szCs w:val="18"/>
              </w:rPr>
              <w:t xml:space="preserve"> 202</w:t>
            </w:r>
            <w:r w:rsidR="00DD76EB">
              <w:rPr>
                <w:rFonts w:ascii="Verdana" w:hAnsi="Verdana"/>
                <w:sz w:val="18"/>
                <w:szCs w:val="18"/>
              </w:rPr>
              <w:t>2</w:t>
            </w:r>
          </w:p>
        </w:tc>
      </w:tr>
    </w:tbl>
    <w:p w14:paraId="2F6F44AD" w14:textId="4A21D374" w:rsidR="00C64A54" w:rsidRPr="00000CED" w:rsidRDefault="00D3782D" w:rsidP="00C64A54">
      <w:pPr>
        <w:tabs>
          <w:tab w:val="left" w:pos="2700"/>
        </w:tabs>
        <w:ind w:left="1985" w:hanging="1985"/>
        <w:rPr>
          <w:rFonts w:ascii="Verdana" w:hAnsi="Verdana"/>
          <w:bCs/>
          <w:sz w:val="18"/>
          <w:szCs w:val="18"/>
        </w:rPr>
      </w:pPr>
      <w:r>
        <w:rPr>
          <w:rFonts w:ascii="Verdana" w:hAnsi="Verdana"/>
          <w:b/>
          <w:sz w:val="18"/>
          <w:szCs w:val="18"/>
        </w:rPr>
        <w:t>Summary</w:t>
      </w:r>
      <w:r w:rsidR="00A005F1" w:rsidRPr="00000CED">
        <w:rPr>
          <w:rFonts w:ascii="Verdana" w:hAnsi="Verdana"/>
          <w:b/>
          <w:sz w:val="18"/>
          <w:szCs w:val="18"/>
        </w:rPr>
        <w:t>:</w:t>
      </w:r>
      <w:r w:rsidR="0042780C" w:rsidRPr="00000CED">
        <w:rPr>
          <w:rFonts w:ascii="Verdana" w:hAnsi="Verdana"/>
          <w:b/>
          <w:sz w:val="18"/>
          <w:szCs w:val="18"/>
        </w:rPr>
        <w:t xml:space="preserve"> </w:t>
      </w:r>
      <w:r w:rsidR="00C64A54" w:rsidRPr="00000CED">
        <w:rPr>
          <w:rFonts w:ascii="Verdana" w:hAnsi="Verdana"/>
          <w:b/>
          <w:sz w:val="18"/>
          <w:szCs w:val="18"/>
        </w:rPr>
        <w:tab/>
      </w:r>
    </w:p>
    <w:p w14:paraId="186EB126" w14:textId="7F55AC6B" w:rsidR="007843B4" w:rsidRPr="00000CED" w:rsidRDefault="007843B4" w:rsidP="007843B4">
      <w:pPr>
        <w:pStyle w:val="BodyText"/>
        <w:rPr>
          <w:rFonts w:ascii="Verdana" w:hAnsi="Verdana"/>
          <w:sz w:val="18"/>
          <w:szCs w:val="18"/>
          <w:lang w:val="en-US"/>
        </w:rPr>
      </w:pPr>
      <w:r w:rsidRPr="00000CED">
        <w:rPr>
          <w:rFonts w:ascii="Verdana" w:hAnsi="Verdana"/>
          <w:sz w:val="18"/>
          <w:szCs w:val="18"/>
          <w:lang w:val="en-US"/>
        </w:rPr>
        <w:t xml:space="preserve">A consultation took place in </w:t>
      </w:r>
      <w:r w:rsidR="005A7900">
        <w:rPr>
          <w:rFonts w:ascii="Verdana" w:hAnsi="Verdana"/>
          <w:sz w:val="18"/>
          <w:szCs w:val="18"/>
          <w:lang w:val="en-US"/>
        </w:rPr>
        <w:t>December 2021 and January 2022 regarding different aspect</w:t>
      </w:r>
      <w:r w:rsidR="001D60B3">
        <w:rPr>
          <w:rFonts w:ascii="Verdana" w:hAnsi="Verdana"/>
          <w:sz w:val="18"/>
          <w:szCs w:val="18"/>
          <w:lang w:val="en-US"/>
        </w:rPr>
        <w:t>s</w:t>
      </w:r>
      <w:r w:rsidR="005A7900">
        <w:rPr>
          <w:rFonts w:ascii="Verdana" w:hAnsi="Verdana"/>
          <w:sz w:val="18"/>
          <w:szCs w:val="18"/>
          <w:lang w:val="en-US"/>
        </w:rPr>
        <w:t xml:space="preserve"> of rights issues treatment for all Euronext Indices</w:t>
      </w:r>
      <w:r w:rsidRPr="00000CED">
        <w:rPr>
          <w:rFonts w:ascii="Verdana" w:hAnsi="Verdana"/>
          <w:sz w:val="18"/>
          <w:szCs w:val="18"/>
          <w:lang w:val="en-US"/>
        </w:rPr>
        <w:t xml:space="preserve">.  </w:t>
      </w:r>
    </w:p>
    <w:p w14:paraId="698EBE91" w14:textId="4410101B" w:rsidR="007843B4" w:rsidRDefault="009C431F" w:rsidP="007843B4">
      <w:pPr>
        <w:pStyle w:val="BodyText"/>
        <w:rPr>
          <w:rFonts w:ascii="Verdana" w:hAnsi="Verdana"/>
          <w:sz w:val="18"/>
          <w:szCs w:val="18"/>
          <w:lang w:val="en-US"/>
        </w:rPr>
      </w:pPr>
      <w:r>
        <w:rPr>
          <w:rFonts w:ascii="Verdana" w:hAnsi="Verdana"/>
          <w:sz w:val="18"/>
          <w:szCs w:val="18"/>
          <w:lang w:val="en-US"/>
        </w:rPr>
        <w:t>For most elements the</w:t>
      </w:r>
      <w:r w:rsidR="0067216E">
        <w:rPr>
          <w:rFonts w:ascii="Verdana" w:hAnsi="Verdana"/>
          <w:sz w:val="18"/>
          <w:szCs w:val="18"/>
          <w:lang w:val="en-US"/>
        </w:rPr>
        <w:t xml:space="preserve"> there is a consensus among respondents to implement the proposed changes, </w:t>
      </w:r>
      <w:r w:rsidR="0067216E">
        <w:rPr>
          <w:rFonts w:ascii="Verdana" w:hAnsi="Verdana"/>
          <w:sz w:val="18"/>
          <w:szCs w:val="18"/>
        </w:rPr>
        <w:t>while for some parts of the proposed changes there is no consens</w:t>
      </w:r>
      <w:r w:rsidR="00861B1F">
        <w:rPr>
          <w:rFonts w:ascii="Verdana" w:hAnsi="Verdana"/>
          <w:sz w:val="18"/>
          <w:szCs w:val="18"/>
        </w:rPr>
        <w:t>us and therefore for these parts the proposed changes will not be implemented</w:t>
      </w:r>
      <w:r w:rsidR="0067216E">
        <w:rPr>
          <w:rFonts w:ascii="Verdana" w:hAnsi="Verdana"/>
          <w:sz w:val="18"/>
          <w:szCs w:val="18"/>
        </w:rPr>
        <w:t>.</w:t>
      </w:r>
      <w:r w:rsidR="0067216E" w:rsidRPr="00000CED">
        <w:rPr>
          <w:rFonts w:ascii="Verdana" w:hAnsi="Verdana"/>
          <w:sz w:val="18"/>
          <w:szCs w:val="18"/>
          <w:lang w:val="en-US"/>
        </w:rPr>
        <w:t xml:space="preserve"> </w:t>
      </w:r>
      <w:r w:rsidR="00861B1F">
        <w:rPr>
          <w:rFonts w:ascii="Verdana" w:hAnsi="Verdana"/>
          <w:sz w:val="18"/>
          <w:szCs w:val="18"/>
          <w:lang w:val="en-US"/>
        </w:rPr>
        <w:t xml:space="preserve">For some parts Euronext has decided to make small changes to the proposed rule changes as result of comments received. </w:t>
      </w:r>
      <w:r w:rsidR="007843B4" w:rsidRPr="00000CED">
        <w:rPr>
          <w:rFonts w:ascii="Verdana" w:hAnsi="Verdana"/>
          <w:sz w:val="18"/>
          <w:szCs w:val="18"/>
          <w:lang w:val="en-US"/>
        </w:rPr>
        <w:t xml:space="preserve">As a consequence Euronext </w:t>
      </w:r>
      <w:r w:rsidR="004C02DA">
        <w:rPr>
          <w:rFonts w:ascii="Verdana" w:hAnsi="Verdana"/>
          <w:sz w:val="18"/>
          <w:szCs w:val="18"/>
          <w:lang w:val="en-US"/>
        </w:rPr>
        <w:t>has decided to implement or keep the following</w:t>
      </w:r>
      <w:r w:rsidR="005A7900">
        <w:rPr>
          <w:rFonts w:ascii="Verdana" w:hAnsi="Verdana"/>
          <w:sz w:val="18"/>
          <w:szCs w:val="18"/>
          <w:lang w:val="en-US"/>
        </w:rPr>
        <w:t xml:space="preserve"> rights issue</w:t>
      </w:r>
      <w:r w:rsidR="004C02DA">
        <w:rPr>
          <w:rFonts w:ascii="Verdana" w:hAnsi="Verdana"/>
          <w:sz w:val="18"/>
          <w:szCs w:val="18"/>
          <w:lang w:val="en-US"/>
        </w:rPr>
        <w:t xml:space="preserve"> </w:t>
      </w:r>
      <w:r w:rsidR="005A7900">
        <w:rPr>
          <w:rFonts w:ascii="Verdana" w:hAnsi="Verdana"/>
          <w:sz w:val="18"/>
          <w:szCs w:val="18"/>
          <w:lang w:val="en-US"/>
        </w:rPr>
        <w:t>rules:</w:t>
      </w:r>
    </w:p>
    <w:p w14:paraId="7D8D3A12" w14:textId="46821F2F" w:rsidR="00861B1F" w:rsidRDefault="00D3782D" w:rsidP="00D3782D">
      <w:pPr>
        <w:pStyle w:val="BodyText"/>
        <w:numPr>
          <w:ilvl w:val="0"/>
          <w:numId w:val="20"/>
        </w:numPr>
        <w:rPr>
          <w:rFonts w:ascii="Verdana" w:hAnsi="Verdana"/>
          <w:sz w:val="18"/>
          <w:szCs w:val="18"/>
        </w:rPr>
      </w:pPr>
      <w:r>
        <w:rPr>
          <w:rFonts w:ascii="Verdana" w:hAnsi="Verdana"/>
          <w:sz w:val="18"/>
          <w:szCs w:val="18"/>
        </w:rPr>
        <w:t xml:space="preserve">Euronext increases the threshold for </w:t>
      </w:r>
      <w:r w:rsidR="001F6EF1">
        <w:rPr>
          <w:rFonts w:ascii="Verdana" w:hAnsi="Verdana"/>
          <w:sz w:val="18"/>
          <w:szCs w:val="18"/>
        </w:rPr>
        <w:t xml:space="preserve">dilutive rights issues from 0.4 share issued for every share to </w:t>
      </w:r>
      <w:r w:rsidR="00873211">
        <w:rPr>
          <w:rFonts w:ascii="Verdana" w:hAnsi="Verdana"/>
          <w:sz w:val="18"/>
          <w:szCs w:val="18"/>
        </w:rPr>
        <w:t xml:space="preserve">2  </w:t>
      </w:r>
      <w:r w:rsidR="001F6EF1">
        <w:rPr>
          <w:rFonts w:ascii="Verdana" w:hAnsi="Verdana"/>
          <w:sz w:val="18"/>
          <w:szCs w:val="18"/>
        </w:rPr>
        <w:t>shares issued for every share for Free Float Market Cap weighted Indices</w:t>
      </w:r>
    </w:p>
    <w:p w14:paraId="7978952B" w14:textId="32330FB0" w:rsidR="0047599E" w:rsidRPr="0047599E" w:rsidRDefault="00B93738" w:rsidP="00D3782D">
      <w:pPr>
        <w:pStyle w:val="BodyText"/>
        <w:numPr>
          <w:ilvl w:val="0"/>
          <w:numId w:val="20"/>
        </w:numPr>
        <w:rPr>
          <w:rFonts w:ascii="Verdana" w:hAnsi="Verdana"/>
          <w:sz w:val="18"/>
          <w:szCs w:val="18"/>
        </w:rPr>
      </w:pPr>
      <w:bookmarkStart w:id="0" w:name="_Hlk97623691"/>
      <w:r>
        <w:rPr>
          <w:rFonts w:ascii="Verdana" w:hAnsi="Verdana"/>
          <w:sz w:val="18"/>
          <w:szCs w:val="18"/>
        </w:rPr>
        <w:t>In</w:t>
      </w:r>
      <w:r w:rsidR="00702BB4">
        <w:rPr>
          <w:rFonts w:ascii="Verdana" w:hAnsi="Verdana"/>
          <w:sz w:val="18"/>
          <w:szCs w:val="18"/>
        </w:rPr>
        <w:t xml:space="preserve"> case </w:t>
      </w:r>
      <w:r w:rsidR="00873211">
        <w:rPr>
          <w:rFonts w:ascii="Verdana" w:hAnsi="Verdana"/>
          <w:sz w:val="18"/>
          <w:szCs w:val="18"/>
        </w:rPr>
        <w:t xml:space="preserve">2 </w:t>
      </w:r>
      <w:r w:rsidR="00702BB4">
        <w:rPr>
          <w:rFonts w:ascii="Verdana" w:hAnsi="Verdana"/>
          <w:sz w:val="18"/>
          <w:szCs w:val="18"/>
        </w:rPr>
        <w:t xml:space="preserve">or more than </w:t>
      </w:r>
      <w:r w:rsidR="00873211">
        <w:rPr>
          <w:rFonts w:ascii="Verdana" w:hAnsi="Verdana"/>
          <w:sz w:val="18"/>
          <w:szCs w:val="18"/>
        </w:rPr>
        <w:t xml:space="preserve">2 </w:t>
      </w:r>
      <w:r w:rsidR="00702BB4">
        <w:rPr>
          <w:rFonts w:ascii="Verdana" w:hAnsi="Verdana"/>
          <w:sz w:val="18"/>
          <w:szCs w:val="18"/>
        </w:rPr>
        <w:t>shares are issue</w:t>
      </w:r>
      <w:r w:rsidR="001D60B3">
        <w:rPr>
          <w:rFonts w:ascii="Verdana" w:hAnsi="Verdana"/>
          <w:sz w:val="18"/>
          <w:szCs w:val="18"/>
        </w:rPr>
        <w:t>d</w:t>
      </w:r>
      <w:r w:rsidR="00702BB4">
        <w:rPr>
          <w:rFonts w:ascii="Verdana" w:hAnsi="Verdana"/>
          <w:sz w:val="18"/>
          <w:szCs w:val="18"/>
        </w:rPr>
        <w:t xml:space="preserve"> for </w:t>
      </w:r>
      <w:r w:rsidR="00025871">
        <w:rPr>
          <w:rFonts w:ascii="Verdana" w:hAnsi="Verdana"/>
          <w:sz w:val="18"/>
          <w:szCs w:val="18"/>
        </w:rPr>
        <w:t xml:space="preserve">each </w:t>
      </w:r>
      <w:r w:rsidR="00702BB4">
        <w:rPr>
          <w:rFonts w:ascii="Verdana" w:hAnsi="Verdana"/>
          <w:sz w:val="18"/>
          <w:szCs w:val="18"/>
        </w:rPr>
        <w:t>share</w:t>
      </w:r>
      <w:r>
        <w:rPr>
          <w:rFonts w:ascii="Verdana" w:hAnsi="Verdana"/>
          <w:sz w:val="18"/>
          <w:szCs w:val="18"/>
        </w:rPr>
        <w:t xml:space="preserve"> for Free Float Market Cap weighted Indices</w:t>
      </w:r>
      <w:r w:rsidR="006D16B5">
        <w:rPr>
          <w:rFonts w:ascii="Verdana" w:hAnsi="Verdana"/>
          <w:sz w:val="18"/>
          <w:szCs w:val="18"/>
        </w:rPr>
        <w:t xml:space="preserve">, </w:t>
      </w:r>
      <w:r w:rsidR="00702BB4">
        <w:rPr>
          <w:rFonts w:ascii="Verdana" w:hAnsi="Verdana"/>
          <w:sz w:val="18"/>
          <w:szCs w:val="18"/>
        </w:rPr>
        <w:t xml:space="preserve">Euronext will add a </w:t>
      </w:r>
      <w:r w:rsidR="00025871">
        <w:rPr>
          <w:rFonts w:ascii="Verdana" w:hAnsi="Verdana"/>
          <w:sz w:val="18"/>
          <w:szCs w:val="18"/>
        </w:rPr>
        <w:t xml:space="preserve">temporary </w:t>
      </w:r>
      <w:r w:rsidR="00702BB4">
        <w:rPr>
          <w:rFonts w:ascii="Verdana" w:hAnsi="Verdana"/>
          <w:sz w:val="18"/>
          <w:szCs w:val="18"/>
        </w:rPr>
        <w:t>line to track the market value of the rights</w:t>
      </w:r>
      <w:r w:rsidR="006D16B5">
        <w:rPr>
          <w:rFonts w:ascii="Verdana" w:hAnsi="Verdana"/>
          <w:sz w:val="18"/>
          <w:szCs w:val="18"/>
        </w:rPr>
        <w:t xml:space="preserve">. </w:t>
      </w:r>
      <w:r w:rsidR="004C02DA" w:rsidRPr="004C02DA">
        <w:rPr>
          <w:rFonts w:ascii="Verdana" w:hAnsi="Verdana" w:cs="Courier New"/>
          <w:sz w:val="18"/>
          <w:szCs w:val="18"/>
        </w:rPr>
        <w:t xml:space="preserve">If the rights are not tradeable on the ex-date, Euronext will use the </w:t>
      </w:r>
      <w:r w:rsidR="0047599E">
        <w:rPr>
          <w:rFonts w:ascii="Verdana" w:hAnsi="Verdana" w:cs="Courier New"/>
          <w:sz w:val="18"/>
          <w:szCs w:val="18"/>
        </w:rPr>
        <w:t>intrinsic</w:t>
      </w:r>
      <w:r w:rsidR="004C02DA" w:rsidRPr="004C02DA">
        <w:rPr>
          <w:rFonts w:ascii="Verdana" w:hAnsi="Verdana" w:cs="Courier New"/>
          <w:sz w:val="18"/>
          <w:szCs w:val="18"/>
        </w:rPr>
        <w:t xml:space="preserve"> value of the rights</w:t>
      </w:r>
      <w:r w:rsidR="004C02DA">
        <w:rPr>
          <w:rFonts w:ascii="Verdana" w:hAnsi="Verdana" w:cs="Courier New"/>
          <w:sz w:val="20"/>
          <w:szCs w:val="20"/>
        </w:rPr>
        <w:t>.</w:t>
      </w:r>
    </w:p>
    <w:p w14:paraId="1E1DBEA3" w14:textId="162735B2" w:rsidR="001F6EF1" w:rsidRDefault="006D16B5" w:rsidP="00D3782D">
      <w:pPr>
        <w:pStyle w:val="BodyText"/>
        <w:numPr>
          <w:ilvl w:val="0"/>
          <w:numId w:val="20"/>
        </w:numPr>
        <w:rPr>
          <w:rFonts w:ascii="Verdana" w:hAnsi="Verdana"/>
          <w:sz w:val="18"/>
          <w:szCs w:val="18"/>
        </w:rPr>
      </w:pPr>
      <w:bookmarkStart w:id="1" w:name="_Hlk97623836"/>
      <w:bookmarkEnd w:id="0"/>
      <w:r>
        <w:rPr>
          <w:rFonts w:ascii="Verdana" w:hAnsi="Verdana"/>
          <w:sz w:val="18"/>
          <w:szCs w:val="18"/>
        </w:rPr>
        <w:t>Euronext will not implement a specific treatment for rights issues in which more than twenty shares are issue</w:t>
      </w:r>
      <w:r w:rsidR="001D60B3">
        <w:rPr>
          <w:rFonts w:ascii="Verdana" w:hAnsi="Verdana"/>
          <w:sz w:val="18"/>
          <w:szCs w:val="18"/>
        </w:rPr>
        <w:t>d</w:t>
      </w:r>
      <w:r>
        <w:rPr>
          <w:rFonts w:ascii="Verdana" w:hAnsi="Verdana"/>
          <w:sz w:val="18"/>
          <w:szCs w:val="18"/>
        </w:rPr>
        <w:t xml:space="preserve"> for every share. </w:t>
      </w:r>
    </w:p>
    <w:p w14:paraId="5E3392B6" w14:textId="50B8CB2D" w:rsidR="00B93738" w:rsidRDefault="005426BB" w:rsidP="00D3782D">
      <w:pPr>
        <w:pStyle w:val="BodyText"/>
        <w:numPr>
          <w:ilvl w:val="0"/>
          <w:numId w:val="20"/>
        </w:numPr>
        <w:rPr>
          <w:rFonts w:ascii="Verdana" w:hAnsi="Verdana"/>
          <w:sz w:val="18"/>
          <w:szCs w:val="18"/>
        </w:rPr>
      </w:pPr>
      <w:bookmarkStart w:id="2" w:name="_Hlk97623882"/>
      <w:bookmarkEnd w:id="1"/>
      <w:r>
        <w:rPr>
          <w:rFonts w:ascii="Verdana" w:hAnsi="Verdana"/>
          <w:sz w:val="18"/>
          <w:szCs w:val="18"/>
        </w:rPr>
        <w:t>Additionally, for</w:t>
      </w:r>
      <w:r w:rsidR="00B93738">
        <w:rPr>
          <w:rFonts w:ascii="Verdana" w:hAnsi="Verdana"/>
          <w:sz w:val="18"/>
          <w:szCs w:val="18"/>
        </w:rPr>
        <w:t xml:space="preserve"> Free </w:t>
      </w:r>
      <w:r>
        <w:rPr>
          <w:rFonts w:ascii="Verdana" w:hAnsi="Verdana"/>
          <w:sz w:val="18"/>
          <w:szCs w:val="18"/>
        </w:rPr>
        <w:t xml:space="preserve">Float Market Cap weighted Indices with </w:t>
      </w:r>
      <w:r w:rsidR="006816B6">
        <w:rPr>
          <w:rFonts w:ascii="Verdana" w:hAnsi="Verdana"/>
          <w:sz w:val="18"/>
          <w:szCs w:val="18"/>
        </w:rPr>
        <w:t xml:space="preserve">2 </w:t>
      </w:r>
      <w:r>
        <w:rPr>
          <w:rFonts w:ascii="Verdana" w:hAnsi="Verdana"/>
          <w:sz w:val="18"/>
          <w:szCs w:val="18"/>
        </w:rPr>
        <w:t xml:space="preserve">or more than </w:t>
      </w:r>
      <w:r w:rsidR="006816B6">
        <w:rPr>
          <w:rFonts w:ascii="Verdana" w:hAnsi="Verdana"/>
          <w:sz w:val="18"/>
          <w:szCs w:val="18"/>
        </w:rPr>
        <w:t xml:space="preserve">2 </w:t>
      </w:r>
      <w:r>
        <w:rPr>
          <w:rFonts w:ascii="Verdana" w:hAnsi="Verdana"/>
          <w:sz w:val="18"/>
          <w:szCs w:val="18"/>
        </w:rPr>
        <w:t xml:space="preserve">shares issued for </w:t>
      </w:r>
      <w:r w:rsidR="006816B6">
        <w:rPr>
          <w:rFonts w:ascii="Verdana" w:hAnsi="Verdana"/>
          <w:sz w:val="18"/>
          <w:szCs w:val="18"/>
        </w:rPr>
        <w:t xml:space="preserve">each </w:t>
      </w:r>
      <w:r>
        <w:rPr>
          <w:rFonts w:ascii="Verdana" w:hAnsi="Verdana"/>
          <w:sz w:val="18"/>
          <w:szCs w:val="18"/>
        </w:rPr>
        <w:t xml:space="preserve">share, </w:t>
      </w:r>
      <w:r w:rsidR="00B93738">
        <w:rPr>
          <w:rFonts w:ascii="Verdana" w:hAnsi="Verdana"/>
          <w:sz w:val="18"/>
          <w:szCs w:val="18"/>
        </w:rPr>
        <w:t xml:space="preserve">Euronext will assume that the cash is generated at the </w:t>
      </w:r>
      <w:r>
        <w:rPr>
          <w:rFonts w:ascii="Verdana" w:hAnsi="Verdana"/>
          <w:sz w:val="18"/>
          <w:szCs w:val="18"/>
        </w:rPr>
        <w:t xml:space="preserve">moment of the </w:t>
      </w:r>
      <w:r w:rsidR="00B93738">
        <w:rPr>
          <w:rFonts w:ascii="Verdana" w:hAnsi="Verdana"/>
          <w:sz w:val="18"/>
          <w:szCs w:val="18"/>
        </w:rPr>
        <w:t>share increase at the end of the right subscription period</w:t>
      </w:r>
      <w:r w:rsidR="0047599E">
        <w:rPr>
          <w:rFonts w:ascii="Verdana" w:hAnsi="Verdana"/>
          <w:sz w:val="18"/>
          <w:szCs w:val="18"/>
        </w:rPr>
        <w:t xml:space="preserve">, and not </w:t>
      </w:r>
      <w:r w:rsidR="00055615">
        <w:rPr>
          <w:rFonts w:ascii="Verdana" w:hAnsi="Verdana"/>
          <w:sz w:val="18"/>
          <w:szCs w:val="18"/>
        </w:rPr>
        <w:t>at the start of the right subscription period.</w:t>
      </w:r>
      <w:r w:rsidR="0047599E">
        <w:rPr>
          <w:rFonts w:ascii="Verdana" w:hAnsi="Verdana"/>
          <w:sz w:val="18"/>
          <w:szCs w:val="18"/>
        </w:rPr>
        <w:t xml:space="preserve"> </w:t>
      </w:r>
      <w:bookmarkStart w:id="3" w:name="_Hlk97708514"/>
      <w:r w:rsidR="0051346D">
        <w:rPr>
          <w:rFonts w:ascii="Verdana" w:hAnsi="Verdana"/>
          <w:sz w:val="18"/>
          <w:szCs w:val="18"/>
        </w:rPr>
        <w:t xml:space="preserve">This implies that the cash will not be part of the index </w:t>
      </w:r>
      <w:r w:rsidR="00DE1382">
        <w:rPr>
          <w:rFonts w:ascii="Verdana" w:hAnsi="Verdana"/>
          <w:sz w:val="18"/>
          <w:szCs w:val="18"/>
        </w:rPr>
        <w:t xml:space="preserve">at any time </w:t>
      </w:r>
      <w:r w:rsidR="0051346D">
        <w:rPr>
          <w:rFonts w:ascii="Verdana" w:hAnsi="Verdana"/>
          <w:sz w:val="18"/>
          <w:szCs w:val="18"/>
        </w:rPr>
        <w:t>and it</w:t>
      </w:r>
      <w:r w:rsidR="00B93738">
        <w:rPr>
          <w:rFonts w:ascii="Verdana" w:hAnsi="Verdana"/>
          <w:sz w:val="18"/>
          <w:szCs w:val="18"/>
        </w:rPr>
        <w:t xml:space="preserve"> will trigger a divisor change at the end of the right subscription period.</w:t>
      </w:r>
      <w:r w:rsidR="0047599E">
        <w:rPr>
          <w:rFonts w:ascii="Verdana" w:hAnsi="Verdana"/>
          <w:sz w:val="18"/>
          <w:szCs w:val="18"/>
        </w:rPr>
        <w:t xml:space="preserve"> </w:t>
      </w:r>
      <w:bookmarkEnd w:id="3"/>
    </w:p>
    <w:bookmarkEnd w:id="2"/>
    <w:p w14:paraId="164EA186" w14:textId="32C3312A" w:rsidR="00702BB4" w:rsidRPr="004C02DA" w:rsidRDefault="00B93738" w:rsidP="00D3782D">
      <w:pPr>
        <w:pStyle w:val="BodyText"/>
        <w:numPr>
          <w:ilvl w:val="0"/>
          <w:numId w:val="20"/>
        </w:numPr>
        <w:rPr>
          <w:rFonts w:ascii="Verdana" w:hAnsi="Verdana"/>
          <w:sz w:val="18"/>
          <w:szCs w:val="18"/>
        </w:rPr>
      </w:pPr>
      <w:r w:rsidRPr="004C02DA">
        <w:rPr>
          <w:rFonts w:ascii="Verdana" w:hAnsi="Verdana"/>
          <w:sz w:val="18"/>
          <w:szCs w:val="18"/>
        </w:rPr>
        <w:t xml:space="preserve">For Oslo </w:t>
      </w:r>
      <w:r w:rsidR="003D267B">
        <w:rPr>
          <w:rFonts w:ascii="Verdana" w:hAnsi="Verdana"/>
          <w:sz w:val="18"/>
          <w:szCs w:val="18"/>
        </w:rPr>
        <w:t>Investable</w:t>
      </w:r>
      <w:r w:rsidRPr="004C02DA">
        <w:rPr>
          <w:rFonts w:ascii="Verdana" w:hAnsi="Verdana"/>
          <w:sz w:val="18"/>
          <w:szCs w:val="18"/>
        </w:rPr>
        <w:t xml:space="preserve"> Indices, </w:t>
      </w:r>
      <w:r w:rsidR="004C02DA" w:rsidRPr="004C02DA">
        <w:rPr>
          <w:rFonts w:ascii="Verdana" w:hAnsi="Verdana"/>
          <w:sz w:val="18"/>
          <w:szCs w:val="18"/>
        </w:rPr>
        <w:t>Euronext decides to keep one treatment for all rights issues. The new shares will be included in the index on the ex-date of the rights issue and an adjusted closing price will be applied and to include the shares in the index on the ex-date, not depending on the ratio of new shares issued.</w:t>
      </w:r>
    </w:p>
    <w:p w14:paraId="7D1635EF" w14:textId="591F9CEB" w:rsidR="005426BB" w:rsidRPr="001D6702" w:rsidRDefault="004C02DA" w:rsidP="00D3782D">
      <w:pPr>
        <w:pStyle w:val="BodyText"/>
        <w:numPr>
          <w:ilvl w:val="0"/>
          <w:numId w:val="20"/>
        </w:numPr>
        <w:rPr>
          <w:rFonts w:ascii="Verdana" w:hAnsi="Verdana"/>
          <w:sz w:val="18"/>
          <w:szCs w:val="18"/>
        </w:rPr>
      </w:pPr>
      <w:r w:rsidRPr="001D6702">
        <w:rPr>
          <w:rFonts w:ascii="Verdana" w:hAnsi="Verdana"/>
          <w:sz w:val="18"/>
          <w:szCs w:val="18"/>
        </w:rPr>
        <w:t xml:space="preserve">For </w:t>
      </w:r>
      <w:r w:rsidR="001D6702" w:rsidRPr="001D6702">
        <w:rPr>
          <w:rFonts w:ascii="Verdana" w:hAnsi="Verdana"/>
          <w:sz w:val="18"/>
          <w:szCs w:val="18"/>
        </w:rPr>
        <w:t>N</w:t>
      </w:r>
      <w:r w:rsidR="005426BB" w:rsidRPr="001D6702">
        <w:rPr>
          <w:rFonts w:ascii="Verdana" w:hAnsi="Verdana"/>
          <w:sz w:val="18"/>
          <w:szCs w:val="18"/>
        </w:rPr>
        <w:t>on</w:t>
      </w:r>
      <w:r w:rsidR="001D6702" w:rsidRPr="001D6702">
        <w:rPr>
          <w:rFonts w:ascii="Verdana" w:hAnsi="Verdana"/>
          <w:sz w:val="18"/>
          <w:szCs w:val="18"/>
        </w:rPr>
        <w:t>-M</w:t>
      </w:r>
      <w:r w:rsidR="005426BB" w:rsidRPr="001D6702">
        <w:rPr>
          <w:rFonts w:ascii="Verdana" w:hAnsi="Verdana"/>
          <w:sz w:val="18"/>
          <w:szCs w:val="18"/>
        </w:rPr>
        <w:t xml:space="preserve">arket </w:t>
      </w:r>
      <w:r w:rsidR="001D6702" w:rsidRPr="001D6702">
        <w:rPr>
          <w:rFonts w:ascii="Verdana" w:hAnsi="Verdana"/>
          <w:sz w:val="18"/>
          <w:szCs w:val="18"/>
        </w:rPr>
        <w:t>C</w:t>
      </w:r>
      <w:r w:rsidR="005426BB" w:rsidRPr="001D6702">
        <w:rPr>
          <w:rFonts w:ascii="Verdana" w:hAnsi="Verdana"/>
          <w:sz w:val="18"/>
          <w:szCs w:val="18"/>
        </w:rPr>
        <w:t>ap weighted</w:t>
      </w:r>
      <w:r w:rsidR="001D6702" w:rsidRPr="001D6702">
        <w:rPr>
          <w:rFonts w:ascii="Verdana" w:hAnsi="Verdana"/>
          <w:sz w:val="18"/>
          <w:szCs w:val="18"/>
        </w:rPr>
        <w:t xml:space="preserve"> Indices, Euronext has decided </w:t>
      </w:r>
      <w:r w:rsidR="001D6702" w:rsidRPr="001D6702">
        <w:rPr>
          <w:rFonts w:ascii="Verdana" w:hAnsi="Verdana" w:cstheme="minorHAnsi"/>
          <w:color w:val="000000" w:themeColor="text1"/>
          <w:sz w:val="18"/>
          <w:szCs w:val="18"/>
        </w:rPr>
        <w:t xml:space="preserve">to increase the number of shares of the particular company that performs the rights issue in order to maintain the weight of that company in the index. </w:t>
      </w:r>
    </w:p>
    <w:p w14:paraId="2CD3D8DC" w14:textId="7943A2A3" w:rsidR="001D6702" w:rsidRPr="00627048" w:rsidRDefault="001D6702" w:rsidP="00D3782D">
      <w:pPr>
        <w:pStyle w:val="BodyText"/>
        <w:numPr>
          <w:ilvl w:val="0"/>
          <w:numId w:val="20"/>
        </w:numPr>
        <w:rPr>
          <w:rFonts w:ascii="Verdana" w:hAnsi="Verdana"/>
          <w:sz w:val="18"/>
          <w:szCs w:val="18"/>
        </w:rPr>
      </w:pPr>
      <w:bookmarkStart w:id="4" w:name="_Hlk90990009"/>
      <w:r w:rsidRPr="001D6702">
        <w:rPr>
          <w:rFonts w:ascii="Verdana" w:hAnsi="Verdana" w:cstheme="minorHAnsi"/>
          <w:sz w:val="18"/>
          <w:szCs w:val="18"/>
        </w:rPr>
        <w:t>For subsequent offering</w:t>
      </w:r>
      <w:r w:rsidR="001D60B3">
        <w:rPr>
          <w:rFonts w:ascii="Verdana" w:hAnsi="Verdana" w:cstheme="minorHAnsi"/>
          <w:sz w:val="18"/>
          <w:szCs w:val="18"/>
        </w:rPr>
        <w:t>s</w:t>
      </w:r>
      <w:r w:rsidRPr="001D6702">
        <w:rPr>
          <w:rFonts w:ascii="Verdana" w:hAnsi="Verdana" w:cstheme="minorHAnsi"/>
          <w:sz w:val="18"/>
          <w:szCs w:val="18"/>
        </w:rPr>
        <w:t xml:space="preserve"> following private placements, in which only shareholders not participating in the private placement can participate, Euronext will make no adjustment. </w:t>
      </w:r>
      <w:bookmarkEnd w:id="4"/>
    </w:p>
    <w:p w14:paraId="36EE2888" w14:textId="56A5F6E7" w:rsidR="00627048" w:rsidRDefault="00627048" w:rsidP="00627048">
      <w:pPr>
        <w:pStyle w:val="BodyText"/>
        <w:rPr>
          <w:rFonts w:ascii="Verdana" w:hAnsi="Verdana" w:cstheme="minorHAnsi"/>
          <w:sz w:val="18"/>
          <w:szCs w:val="18"/>
        </w:rPr>
      </w:pPr>
      <w:r>
        <w:rPr>
          <w:rFonts w:ascii="Verdana" w:hAnsi="Verdana" w:cstheme="minorHAnsi"/>
          <w:sz w:val="18"/>
          <w:szCs w:val="18"/>
        </w:rPr>
        <w:t>To recap, this would mean the following:</w:t>
      </w:r>
    </w:p>
    <w:p w14:paraId="37FDEAF6" w14:textId="232BC08D" w:rsidR="001016F9" w:rsidRDefault="001016F9" w:rsidP="00627048">
      <w:pPr>
        <w:pStyle w:val="BodyText"/>
        <w:rPr>
          <w:rFonts w:ascii="Verdana" w:hAnsi="Verdana" w:cstheme="minorHAnsi"/>
          <w:sz w:val="18"/>
          <w:szCs w:val="18"/>
        </w:rPr>
      </w:pPr>
    </w:p>
    <w:p w14:paraId="6086AB40" w14:textId="2964A1C6" w:rsidR="001016F9" w:rsidRDefault="001016F9" w:rsidP="00627048">
      <w:pPr>
        <w:pStyle w:val="BodyText"/>
        <w:rPr>
          <w:rFonts w:ascii="Verdana" w:hAnsi="Verdana" w:cstheme="minorHAnsi"/>
          <w:sz w:val="18"/>
          <w:szCs w:val="18"/>
        </w:rPr>
      </w:pPr>
    </w:p>
    <w:p w14:paraId="149EF582" w14:textId="313D4821" w:rsidR="001016F9" w:rsidRDefault="001016F9" w:rsidP="00627048">
      <w:pPr>
        <w:pStyle w:val="BodyText"/>
        <w:rPr>
          <w:rFonts w:ascii="Verdana" w:hAnsi="Verdana" w:cstheme="minorHAnsi"/>
          <w:sz w:val="18"/>
          <w:szCs w:val="18"/>
        </w:rPr>
      </w:pPr>
    </w:p>
    <w:p w14:paraId="1704F3E8" w14:textId="340DBD8F" w:rsidR="001016F9" w:rsidRDefault="001016F9" w:rsidP="00627048">
      <w:pPr>
        <w:pStyle w:val="BodyText"/>
        <w:rPr>
          <w:rFonts w:ascii="Verdana" w:hAnsi="Verdana" w:cstheme="minorHAnsi"/>
          <w:sz w:val="18"/>
          <w:szCs w:val="18"/>
        </w:rPr>
      </w:pPr>
    </w:p>
    <w:p w14:paraId="0E2DEC39" w14:textId="77777777" w:rsidR="001016F9" w:rsidRDefault="001016F9" w:rsidP="00627048">
      <w:pPr>
        <w:pStyle w:val="BodyText"/>
        <w:rPr>
          <w:rFonts w:ascii="Verdana" w:hAnsi="Verdana" w:cstheme="minorHAnsi"/>
          <w:sz w:val="18"/>
          <w:szCs w:val="18"/>
        </w:rPr>
      </w:pPr>
    </w:p>
    <w:tbl>
      <w:tblPr>
        <w:tblStyle w:val="TableGrid"/>
        <w:tblW w:w="0" w:type="auto"/>
        <w:tblLook w:val="04A0" w:firstRow="1" w:lastRow="0" w:firstColumn="1" w:lastColumn="0" w:noHBand="0" w:noVBand="1"/>
      </w:tblPr>
      <w:tblGrid>
        <w:gridCol w:w="2406"/>
        <w:gridCol w:w="2407"/>
        <w:gridCol w:w="2407"/>
        <w:gridCol w:w="2407"/>
      </w:tblGrid>
      <w:tr w:rsidR="00627048" w14:paraId="75D99635" w14:textId="77777777" w:rsidTr="00627048">
        <w:tc>
          <w:tcPr>
            <w:tcW w:w="2406" w:type="dxa"/>
          </w:tcPr>
          <w:p w14:paraId="070263F6" w14:textId="4BE2CE2D" w:rsidR="00627048" w:rsidRPr="00627048" w:rsidRDefault="00627048" w:rsidP="00627048">
            <w:pPr>
              <w:pStyle w:val="BodyText"/>
              <w:jc w:val="left"/>
              <w:rPr>
                <w:rFonts w:ascii="Verdana" w:hAnsi="Verdana" w:cstheme="minorHAnsi"/>
                <w:b/>
                <w:bCs/>
                <w:sz w:val="18"/>
                <w:szCs w:val="18"/>
              </w:rPr>
            </w:pPr>
            <w:bookmarkStart w:id="5" w:name="_Hlk97711901"/>
            <w:r w:rsidRPr="00627048">
              <w:rPr>
                <w:b/>
                <w:bCs/>
              </w:rPr>
              <w:lastRenderedPageBreak/>
              <w:t>Type Index</w:t>
            </w:r>
          </w:p>
        </w:tc>
        <w:tc>
          <w:tcPr>
            <w:tcW w:w="2407" w:type="dxa"/>
          </w:tcPr>
          <w:p w14:paraId="01C19256" w14:textId="570C6AAA" w:rsidR="00627048" w:rsidRPr="00627048" w:rsidRDefault="00627048" w:rsidP="00627048">
            <w:pPr>
              <w:pStyle w:val="BodyText"/>
              <w:jc w:val="left"/>
              <w:rPr>
                <w:rFonts w:ascii="Verdana" w:hAnsi="Verdana" w:cstheme="minorHAnsi"/>
                <w:b/>
                <w:bCs/>
                <w:sz w:val="18"/>
                <w:szCs w:val="18"/>
              </w:rPr>
            </w:pPr>
            <w:r w:rsidRPr="00627048">
              <w:rPr>
                <w:b/>
                <w:bCs/>
              </w:rPr>
              <w:t>Ratio rights issue</w:t>
            </w:r>
          </w:p>
        </w:tc>
        <w:tc>
          <w:tcPr>
            <w:tcW w:w="2407" w:type="dxa"/>
          </w:tcPr>
          <w:p w14:paraId="7A17A908" w14:textId="1264DF31" w:rsidR="00627048" w:rsidRPr="00627048" w:rsidRDefault="00627048" w:rsidP="00627048">
            <w:pPr>
              <w:pStyle w:val="BodyText"/>
              <w:jc w:val="left"/>
              <w:rPr>
                <w:rFonts w:ascii="Verdana" w:hAnsi="Verdana" w:cstheme="minorHAnsi"/>
                <w:b/>
                <w:bCs/>
                <w:sz w:val="18"/>
                <w:szCs w:val="18"/>
              </w:rPr>
            </w:pPr>
            <w:r w:rsidRPr="00627048">
              <w:rPr>
                <w:b/>
                <w:bCs/>
              </w:rPr>
              <w:t>Treatment</w:t>
            </w:r>
          </w:p>
        </w:tc>
        <w:tc>
          <w:tcPr>
            <w:tcW w:w="2407" w:type="dxa"/>
          </w:tcPr>
          <w:p w14:paraId="78BC9629" w14:textId="42D30FB3" w:rsidR="00627048" w:rsidRPr="00627048" w:rsidRDefault="00627048" w:rsidP="00627048">
            <w:pPr>
              <w:pStyle w:val="BodyText"/>
              <w:jc w:val="left"/>
              <w:rPr>
                <w:rFonts w:ascii="Verdana" w:hAnsi="Verdana" w:cstheme="minorHAnsi"/>
                <w:b/>
                <w:bCs/>
                <w:sz w:val="18"/>
                <w:szCs w:val="18"/>
              </w:rPr>
            </w:pPr>
            <w:r w:rsidRPr="00627048">
              <w:rPr>
                <w:b/>
                <w:bCs/>
              </w:rPr>
              <w:t>Comment</w:t>
            </w:r>
          </w:p>
        </w:tc>
      </w:tr>
      <w:tr w:rsidR="001016F9" w14:paraId="64D482E3" w14:textId="77777777" w:rsidTr="00627048">
        <w:tc>
          <w:tcPr>
            <w:tcW w:w="2406" w:type="dxa"/>
            <w:vMerge w:val="restart"/>
          </w:tcPr>
          <w:p w14:paraId="37645E13" w14:textId="360E2902" w:rsidR="001016F9" w:rsidRDefault="001016F9" w:rsidP="00627048">
            <w:pPr>
              <w:pStyle w:val="BodyText"/>
              <w:jc w:val="left"/>
              <w:rPr>
                <w:rFonts w:ascii="Verdana" w:hAnsi="Verdana" w:cstheme="minorHAnsi"/>
                <w:sz w:val="18"/>
                <w:szCs w:val="18"/>
              </w:rPr>
            </w:pPr>
            <w:r w:rsidRPr="000475BE">
              <w:t>Free Float Market Cap Weighted</w:t>
            </w:r>
          </w:p>
        </w:tc>
        <w:tc>
          <w:tcPr>
            <w:tcW w:w="2407" w:type="dxa"/>
          </w:tcPr>
          <w:p w14:paraId="2079CB42" w14:textId="5848098B" w:rsidR="001016F9" w:rsidRDefault="001016F9" w:rsidP="00627048">
            <w:pPr>
              <w:pStyle w:val="BodyText"/>
              <w:jc w:val="left"/>
              <w:rPr>
                <w:rFonts w:ascii="Verdana" w:hAnsi="Verdana" w:cstheme="minorHAnsi"/>
                <w:sz w:val="18"/>
                <w:szCs w:val="18"/>
              </w:rPr>
            </w:pPr>
            <w:r w:rsidRPr="000475BE">
              <w:t>Less than 2 (dilutive)</w:t>
            </w:r>
          </w:p>
        </w:tc>
        <w:tc>
          <w:tcPr>
            <w:tcW w:w="2407" w:type="dxa"/>
          </w:tcPr>
          <w:p w14:paraId="7B7759F8" w14:textId="5EA2EED6" w:rsidR="001016F9" w:rsidRDefault="001016F9" w:rsidP="00627048">
            <w:pPr>
              <w:pStyle w:val="BodyText"/>
              <w:jc w:val="left"/>
              <w:rPr>
                <w:rFonts w:ascii="Verdana" w:hAnsi="Verdana" w:cstheme="minorHAnsi"/>
                <w:sz w:val="18"/>
                <w:szCs w:val="18"/>
              </w:rPr>
            </w:pPr>
            <w:r w:rsidRPr="000475BE">
              <w:t>Adjusted close price + New shares are added to existing line on ex-date</w:t>
            </w:r>
          </w:p>
        </w:tc>
        <w:tc>
          <w:tcPr>
            <w:tcW w:w="2407" w:type="dxa"/>
          </w:tcPr>
          <w:p w14:paraId="2CC38BBC" w14:textId="2BB183AD" w:rsidR="001016F9" w:rsidRDefault="001016F9" w:rsidP="00627048">
            <w:pPr>
              <w:pStyle w:val="BodyText"/>
              <w:jc w:val="left"/>
              <w:rPr>
                <w:rFonts w:ascii="Verdana" w:hAnsi="Verdana" w:cstheme="minorHAnsi"/>
                <w:sz w:val="18"/>
                <w:szCs w:val="18"/>
              </w:rPr>
            </w:pPr>
            <w:r w:rsidRPr="000475BE">
              <w:t>Divisor adjusted at ex-date</w:t>
            </w:r>
          </w:p>
        </w:tc>
      </w:tr>
      <w:tr w:rsidR="001016F9" w14:paraId="2CB4D2F5" w14:textId="77777777" w:rsidTr="00627048">
        <w:tc>
          <w:tcPr>
            <w:tcW w:w="2406" w:type="dxa"/>
            <w:vMerge/>
          </w:tcPr>
          <w:p w14:paraId="47AE2544" w14:textId="77777777" w:rsidR="001016F9" w:rsidRDefault="001016F9" w:rsidP="00627048">
            <w:pPr>
              <w:pStyle w:val="BodyText"/>
              <w:jc w:val="left"/>
              <w:rPr>
                <w:rFonts w:ascii="Verdana" w:hAnsi="Verdana" w:cstheme="minorHAnsi"/>
                <w:sz w:val="18"/>
                <w:szCs w:val="18"/>
              </w:rPr>
            </w:pPr>
          </w:p>
        </w:tc>
        <w:tc>
          <w:tcPr>
            <w:tcW w:w="2407" w:type="dxa"/>
          </w:tcPr>
          <w:p w14:paraId="7ED883A2" w14:textId="541547F5" w:rsidR="001016F9" w:rsidRDefault="001016F9" w:rsidP="00627048">
            <w:pPr>
              <w:pStyle w:val="BodyText"/>
              <w:jc w:val="left"/>
              <w:rPr>
                <w:rFonts w:ascii="Verdana" w:hAnsi="Verdana" w:cstheme="minorHAnsi"/>
                <w:sz w:val="18"/>
                <w:szCs w:val="18"/>
              </w:rPr>
            </w:pPr>
            <w:r w:rsidRPr="000475BE">
              <w:t>2 or more than 2 (highly dilutive)</w:t>
            </w:r>
          </w:p>
        </w:tc>
        <w:tc>
          <w:tcPr>
            <w:tcW w:w="2407" w:type="dxa"/>
          </w:tcPr>
          <w:p w14:paraId="533EC733" w14:textId="4F76601D" w:rsidR="001016F9" w:rsidRDefault="001016F9" w:rsidP="00627048">
            <w:pPr>
              <w:pStyle w:val="BodyText"/>
              <w:jc w:val="left"/>
              <w:rPr>
                <w:rFonts w:ascii="Verdana" w:hAnsi="Verdana" w:cstheme="minorHAnsi"/>
                <w:sz w:val="18"/>
                <w:szCs w:val="18"/>
              </w:rPr>
            </w:pPr>
            <w:r w:rsidRPr="000475BE">
              <w:t>Adjusted close price + add temporary line to track market value of the right on ex-date. Cash is assumed to be generated at end of rights subscription period</w:t>
            </w:r>
          </w:p>
        </w:tc>
        <w:tc>
          <w:tcPr>
            <w:tcW w:w="2407" w:type="dxa"/>
          </w:tcPr>
          <w:p w14:paraId="2A6CD85B" w14:textId="0B5217C6" w:rsidR="001016F9" w:rsidRDefault="001016F9" w:rsidP="00627048">
            <w:pPr>
              <w:pStyle w:val="BodyText"/>
              <w:jc w:val="left"/>
              <w:rPr>
                <w:rFonts w:ascii="Verdana" w:hAnsi="Verdana" w:cstheme="minorHAnsi"/>
                <w:sz w:val="18"/>
                <w:szCs w:val="18"/>
              </w:rPr>
            </w:pPr>
            <w:r w:rsidRPr="000475BE">
              <w:t>No divisor change at ex-date, divisor change at end of rights subscription period</w:t>
            </w:r>
          </w:p>
        </w:tc>
      </w:tr>
      <w:tr w:rsidR="00627048" w14:paraId="621B3151" w14:textId="77777777" w:rsidTr="00627048">
        <w:tc>
          <w:tcPr>
            <w:tcW w:w="2406" w:type="dxa"/>
          </w:tcPr>
          <w:p w14:paraId="300DC7D0" w14:textId="6766B53C" w:rsidR="00627048" w:rsidRDefault="00627048" w:rsidP="00627048">
            <w:pPr>
              <w:pStyle w:val="BodyText"/>
              <w:jc w:val="left"/>
              <w:rPr>
                <w:rFonts w:ascii="Verdana" w:hAnsi="Verdana" w:cstheme="minorHAnsi"/>
                <w:sz w:val="18"/>
                <w:szCs w:val="18"/>
              </w:rPr>
            </w:pPr>
            <w:r w:rsidRPr="000475BE">
              <w:t xml:space="preserve">Non-Market Cap  Weighted </w:t>
            </w:r>
          </w:p>
        </w:tc>
        <w:tc>
          <w:tcPr>
            <w:tcW w:w="2407" w:type="dxa"/>
          </w:tcPr>
          <w:p w14:paraId="1BB742FE" w14:textId="6A43A260" w:rsidR="00627048" w:rsidRDefault="00627048" w:rsidP="00627048">
            <w:pPr>
              <w:pStyle w:val="BodyText"/>
              <w:jc w:val="left"/>
              <w:rPr>
                <w:rFonts w:ascii="Verdana" w:hAnsi="Verdana" w:cstheme="minorHAnsi"/>
                <w:sz w:val="18"/>
                <w:szCs w:val="18"/>
              </w:rPr>
            </w:pPr>
            <w:r w:rsidRPr="000475BE">
              <w:t>All</w:t>
            </w:r>
          </w:p>
        </w:tc>
        <w:tc>
          <w:tcPr>
            <w:tcW w:w="2407" w:type="dxa"/>
          </w:tcPr>
          <w:p w14:paraId="6091C83D" w14:textId="3FB92613" w:rsidR="00627048" w:rsidRDefault="00627048" w:rsidP="00627048">
            <w:pPr>
              <w:pStyle w:val="BodyText"/>
              <w:jc w:val="left"/>
              <w:rPr>
                <w:rFonts w:ascii="Verdana" w:hAnsi="Verdana" w:cstheme="minorHAnsi"/>
                <w:sz w:val="18"/>
                <w:szCs w:val="18"/>
              </w:rPr>
            </w:pPr>
            <w:r w:rsidRPr="000475BE">
              <w:t>Adjusted close price + number of shares increase of Company on ex-date</w:t>
            </w:r>
          </w:p>
        </w:tc>
        <w:tc>
          <w:tcPr>
            <w:tcW w:w="2407" w:type="dxa"/>
          </w:tcPr>
          <w:p w14:paraId="53BBAE51" w14:textId="3CF681A4" w:rsidR="00627048" w:rsidRDefault="00627048" w:rsidP="00627048">
            <w:pPr>
              <w:pStyle w:val="BodyText"/>
              <w:jc w:val="left"/>
              <w:rPr>
                <w:rFonts w:ascii="Verdana" w:hAnsi="Verdana" w:cstheme="minorHAnsi"/>
                <w:sz w:val="18"/>
                <w:szCs w:val="18"/>
              </w:rPr>
            </w:pPr>
            <w:r w:rsidRPr="000475BE">
              <w:t>Weight Company will stay the same, no Divisor change at ex-date</w:t>
            </w:r>
          </w:p>
        </w:tc>
      </w:tr>
      <w:tr w:rsidR="00627048" w14:paraId="6C058F63" w14:textId="77777777" w:rsidTr="00627048">
        <w:tc>
          <w:tcPr>
            <w:tcW w:w="2406" w:type="dxa"/>
          </w:tcPr>
          <w:p w14:paraId="483FCCBD" w14:textId="57D84924" w:rsidR="00627048" w:rsidRDefault="00627048" w:rsidP="00627048">
            <w:pPr>
              <w:pStyle w:val="BodyText"/>
              <w:jc w:val="left"/>
              <w:rPr>
                <w:rFonts w:ascii="Verdana" w:hAnsi="Verdana" w:cstheme="minorHAnsi"/>
                <w:sz w:val="18"/>
                <w:szCs w:val="18"/>
              </w:rPr>
            </w:pPr>
            <w:r w:rsidRPr="000475BE">
              <w:t>Full Market Cap Weighted</w:t>
            </w:r>
          </w:p>
        </w:tc>
        <w:tc>
          <w:tcPr>
            <w:tcW w:w="2407" w:type="dxa"/>
          </w:tcPr>
          <w:p w14:paraId="529E401B" w14:textId="1F7ADEBE" w:rsidR="00627048" w:rsidRDefault="00627048" w:rsidP="00627048">
            <w:pPr>
              <w:pStyle w:val="BodyText"/>
              <w:jc w:val="left"/>
              <w:rPr>
                <w:rFonts w:ascii="Verdana" w:hAnsi="Verdana" w:cstheme="minorHAnsi"/>
                <w:sz w:val="18"/>
                <w:szCs w:val="18"/>
              </w:rPr>
            </w:pPr>
            <w:r w:rsidRPr="000475BE">
              <w:t>All</w:t>
            </w:r>
          </w:p>
        </w:tc>
        <w:tc>
          <w:tcPr>
            <w:tcW w:w="2407" w:type="dxa"/>
          </w:tcPr>
          <w:p w14:paraId="1C0E36A9" w14:textId="47BFF1BE" w:rsidR="00627048" w:rsidRDefault="00627048" w:rsidP="00627048">
            <w:pPr>
              <w:pStyle w:val="BodyText"/>
              <w:jc w:val="left"/>
              <w:rPr>
                <w:rFonts w:ascii="Verdana" w:hAnsi="Verdana" w:cstheme="minorHAnsi"/>
                <w:sz w:val="18"/>
                <w:szCs w:val="18"/>
              </w:rPr>
            </w:pPr>
            <w:r w:rsidRPr="000475BE">
              <w:t>Adjusted close price on ex-date</w:t>
            </w:r>
          </w:p>
        </w:tc>
        <w:tc>
          <w:tcPr>
            <w:tcW w:w="2407" w:type="dxa"/>
          </w:tcPr>
          <w:p w14:paraId="6853A59E" w14:textId="29A9F43F" w:rsidR="00627048" w:rsidRDefault="00627048" w:rsidP="00627048">
            <w:pPr>
              <w:pStyle w:val="BodyText"/>
              <w:jc w:val="left"/>
              <w:rPr>
                <w:rFonts w:ascii="Verdana" w:hAnsi="Verdana" w:cstheme="minorHAnsi"/>
                <w:sz w:val="18"/>
                <w:szCs w:val="18"/>
              </w:rPr>
            </w:pPr>
            <w:r w:rsidRPr="000475BE">
              <w:t>Divisor adjusted at ex-date</w:t>
            </w:r>
          </w:p>
        </w:tc>
      </w:tr>
      <w:tr w:rsidR="00627048" w14:paraId="37670DB4" w14:textId="77777777" w:rsidTr="00627048">
        <w:tc>
          <w:tcPr>
            <w:tcW w:w="2406" w:type="dxa"/>
          </w:tcPr>
          <w:p w14:paraId="364096A3" w14:textId="4FCB54D4" w:rsidR="00627048" w:rsidRPr="000475BE" w:rsidRDefault="00627048" w:rsidP="00627048">
            <w:pPr>
              <w:pStyle w:val="BodyText"/>
              <w:jc w:val="left"/>
            </w:pPr>
            <w:r w:rsidRPr="00956103">
              <w:t xml:space="preserve">All Oslo </w:t>
            </w:r>
            <w:r w:rsidR="003D267B">
              <w:t>Investable</w:t>
            </w:r>
          </w:p>
        </w:tc>
        <w:tc>
          <w:tcPr>
            <w:tcW w:w="2407" w:type="dxa"/>
          </w:tcPr>
          <w:p w14:paraId="66DFAAC1" w14:textId="4E8B8435" w:rsidR="00627048" w:rsidRPr="000475BE" w:rsidRDefault="00627048" w:rsidP="00627048">
            <w:pPr>
              <w:pStyle w:val="BodyText"/>
              <w:jc w:val="left"/>
            </w:pPr>
            <w:r w:rsidRPr="00956103">
              <w:t>All</w:t>
            </w:r>
          </w:p>
        </w:tc>
        <w:tc>
          <w:tcPr>
            <w:tcW w:w="2407" w:type="dxa"/>
          </w:tcPr>
          <w:p w14:paraId="2DA68927" w14:textId="595BC04A" w:rsidR="00627048" w:rsidRPr="000475BE" w:rsidRDefault="00627048" w:rsidP="00627048">
            <w:pPr>
              <w:pStyle w:val="BodyText"/>
              <w:jc w:val="left"/>
            </w:pPr>
            <w:r w:rsidRPr="00956103">
              <w:t>Adjusted close price + New shares are added to existing line on ex-date</w:t>
            </w:r>
          </w:p>
        </w:tc>
        <w:tc>
          <w:tcPr>
            <w:tcW w:w="2407" w:type="dxa"/>
          </w:tcPr>
          <w:p w14:paraId="68E86B3E" w14:textId="2FECCB53" w:rsidR="00627048" w:rsidRPr="000475BE" w:rsidRDefault="00627048" w:rsidP="00627048">
            <w:pPr>
              <w:pStyle w:val="BodyText"/>
              <w:jc w:val="left"/>
            </w:pPr>
            <w:r w:rsidRPr="00956103">
              <w:t>Divisor adjusted at ex-date</w:t>
            </w:r>
          </w:p>
        </w:tc>
      </w:tr>
      <w:bookmarkEnd w:id="5"/>
    </w:tbl>
    <w:p w14:paraId="72BADDE4" w14:textId="77777777" w:rsidR="00627048" w:rsidRDefault="00627048" w:rsidP="00627048">
      <w:pPr>
        <w:pStyle w:val="BodyText"/>
        <w:rPr>
          <w:rFonts w:ascii="Verdana" w:hAnsi="Verdana" w:cstheme="minorHAnsi"/>
          <w:sz w:val="18"/>
          <w:szCs w:val="18"/>
        </w:rPr>
      </w:pPr>
    </w:p>
    <w:p w14:paraId="0E53305C" w14:textId="48E40EA1" w:rsidR="0031268B" w:rsidRPr="00000CED" w:rsidRDefault="001D6702" w:rsidP="00311092">
      <w:pPr>
        <w:rPr>
          <w:rFonts w:ascii="Verdana" w:hAnsi="Verdana"/>
          <w:sz w:val="18"/>
          <w:szCs w:val="18"/>
          <w:lang w:val="en-US"/>
        </w:rPr>
      </w:pPr>
      <w:r>
        <w:rPr>
          <w:rFonts w:ascii="Verdana" w:hAnsi="Verdana"/>
          <w:sz w:val="18"/>
          <w:szCs w:val="18"/>
          <w:lang w:val="en-US"/>
        </w:rPr>
        <w:t xml:space="preserve">All details of the new rules </w:t>
      </w:r>
      <w:r w:rsidR="00055615">
        <w:rPr>
          <w:rFonts w:ascii="Verdana" w:hAnsi="Verdana"/>
          <w:sz w:val="18"/>
          <w:szCs w:val="18"/>
          <w:lang w:val="en-US"/>
        </w:rPr>
        <w:t>can be found below.</w:t>
      </w:r>
      <w:r>
        <w:rPr>
          <w:rFonts w:ascii="Verdana" w:hAnsi="Verdana"/>
          <w:sz w:val="18"/>
          <w:szCs w:val="18"/>
          <w:lang w:val="en-US"/>
        </w:rPr>
        <w:t xml:space="preserve"> </w:t>
      </w:r>
    </w:p>
    <w:p w14:paraId="2872E9C1" w14:textId="77777777" w:rsidR="0031268B" w:rsidRPr="00000CED" w:rsidRDefault="0031268B" w:rsidP="00311092">
      <w:pPr>
        <w:rPr>
          <w:rFonts w:ascii="Verdana" w:hAnsi="Verdana"/>
          <w:sz w:val="18"/>
          <w:szCs w:val="18"/>
        </w:rPr>
      </w:pPr>
      <w:r w:rsidRPr="00000CED">
        <w:rPr>
          <w:rFonts w:ascii="Verdana" w:hAnsi="Verdana"/>
          <w:b/>
          <w:sz w:val="18"/>
          <w:szCs w:val="18"/>
        </w:rPr>
        <w:t>Number of Responses:</w:t>
      </w:r>
    </w:p>
    <w:p w14:paraId="5B7E4AA8" w14:textId="34F246F7" w:rsidR="0031268B" w:rsidRPr="00000CED" w:rsidRDefault="005A7900" w:rsidP="00464831">
      <w:pPr>
        <w:tabs>
          <w:tab w:val="left" w:pos="1230"/>
        </w:tabs>
        <w:rPr>
          <w:rFonts w:ascii="Verdana" w:hAnsi="Verdana"/>
          <w:sz w:val="18"/>
          <w:szCs w:val="18"/>
        </w:rPr>
      </w:pPr>
      <w:r>
        <w:rPr>
          <w:rFonts w:ascii="Verdana" w:hAnsi="Verdana"/>
          <w:sz w:val="18"/>
          <w:szCs w:val="18"/>
        </w:rPr>
        <w:t>Between 5 and 10</w:t>
      </w:r>
      <w:r w:rsidR="00464831" w:rsidRPr="00000CED">
        <w:rPr>
          <w:rFonts w:ascii="Verdana" w:hAnsi="Verdana"/>
          <w:sz w:val="18"/>
          <w:szCs w:val="18"/>
        </w:rPr>
        <w:t xml:space="preserve"> responses were received to the consultation.</w:t>
      </w:r>
    </w:p>
    <w:p w14:paraId="6CD4EAF9" w14:textId="77777777" w:rsidR="00E837EF" w:rsidRPr="00000CED" w:rsidRDefault="00E837EF" w:rsidP="00311092">
      <w:pPr>
        <w:rPr>
          <w:rFonts w:ascii="Verdana" w:hAnsi="Verdana"/>
          <w:b/>
          <w:sz w:val="18"/>
          <w:szCs w:val="18"/>
        </w:rPr>
      </w:pPr>
      <w:r w:rsidRPr="00000CED">
        <w:rPr>
          <w:rFonts w:ascii="Verdana" w:hAnsi="Verdana"/>
          <w:b/>
          <w:sz w:val="18"/>
          <w:szCs w:val="18"/>
        </w:rPr>
        <w:t>Follow up:</w:t>
      </w:r>
    </w:p>
    <w:p w14:paraId="3F4733DD" w14:textId="5DA952F8" w:rsidR="00E837EF" w:rsidRDefault="005A7900" w:rsidP="00311092">
      <w:pPr>
        <w:rPr>
          <w:rFonts w:ascii="Verdana" w:hAnsi="Verdana"/>
          <w:sz w:val="18"/>
          <w:szCs w:val="18"/>
        </w:rPr>
      </w:pPr>
      <w:r>
        <w:rPr>
          <w:rFonts w:ascii="Verdana" w:hAnsi="Verdana"/>
          <w:sz w:val="18"/>
          <w:szCs w:val="18"/>
        </w:rPr>
        <w:t>Most elements of the consulted rule change will be implemented, w</w:t>
      </w:r>
      <w:r w:rsidR="0067216E">
        <w:rPr>
          <w:rFonts w:ascii="Verdana" w:hAnsi="Verdana"/>
          <w:sz w:val="18"/>
          <w:szCs w:val="18"/>
        </w:rPr>
        <w:t>hile some parts of the proposed changes will not be implemented. In addition, it will make some small amendments to the proposed changes.</w:t>
      </w:r>
      <w:r w:rsidR="001D6702">
        <w:rPr>
          <w:rFonts w:ascii="Verdana" w:hAnsi="Verdana"/>
          <w:sz w:val="18"/>
          <w:szCs w:val="18"/>
        </w:rPr>
        <w:t xml:space="preserve"> The new rules will be effective as from </w:t>
      </w:r>
      <w:r w:rsidR="007E36D5">
        <w:rPr>
          <w:rFonts w:ascii="Verdana" w:hAnsi="Verdana"/>
          <w:sz w:val="18"/>
          <w:szCs w:val="18"/>
        </w:rPr>
        <w:t>9</w:t>
      </w:r>
      <w:r w:rsidR="001D6702">
        <w:rPr>
          <w:rFonts w:ascii="Verdana" w:hAnsi="Verdana"/>
          <w:sz w:val="18"/>
          <w:szCs w:val="18"/>
        </w:rPr>
        <w:t xml:space="preserve"> May 2022.</w:t>
      </w:r>
    </w:p>
    <w:p w14:paraId="7F3BF093" w14:textId="77777777" w:rsidR="00055615" w:rsidRPr="00000CED" w:rsidRDefault="00055615" w:rsidP="00055615">
      <w:pPr>
        <w:rPr>
          <w:rFonts w:ascii="Verdana" w:hAnsi="Verdana"/>
          <w:b/>
          <w:sz w:val="18"/>
          <w:szCs w:val="18"/>
        </w:rPr>
      </w:pPr>
      <w:r>
        <w:rPr>
          <w:rFonts w:ascii="Verdana" w:hAnsi="Verdana"/>
          <w:b/>
          <w:sz w:val="18"/>
          <w:szCs w:val="18"/>
        </w:rPr>
        <w:t>Details new rules</w:t>
      </w:r>
    </w:p>
    <w:p w14:paraId="39892852" w14:textId="77777777" w:rsidR="00055615" w:rsidRDefault="00055615" w:rsidP="00055615">
      <w:pPr>
        <w:rPr>
          <w:rFonts w:ascii="Verdana" w:hAnsi="Verdana"/>
          <w:sz w:val="18"/>
          <w:szCs w:val="18"/>
        </w:rPr>
      </w:pPr>
      <w:r w:rsidRPr="00D3782D">
        <w:rPr>
          <w:rFonts w:ascii="Verdana" w:hAnsi="Verdana"/>
          <w:sz w:val="18"/>
          <w:szCs w:val="18"/>
        </w:rPr>
        <w:t xml:space="preserve">In the event of a rights issue the treatment depends on how the index is weighted, a distinction is made between Free Float Market Capitalisation weighted indices, Non-Market Capitalisation Weighted indices and Full Market Capitalisation weighted Indices. </w:t>
      </w:r>
    </w:p>
    <w:p w14:paraId="5DDCA170" w14:textId="4D86680B" w:rsidR="00055615" w:rsidRPr="006E6208" w:rsidRDefault="00055615" w:rsidP="00055615">
      <w:pPr>
        <w:rPr>
          <w:rFonts w:ascii="Verdana" w:hAnsi="Verdana"/>
          <w:sz w:val="18"/>
          <w:szCs w:val="18"/>
        </w:rPr>
      </w:pPr>
      <w:r w:rsidRPr="006E6208">
        <w:rPr>
          <w:rFonts w:ascii="Verdana" w:hAnsi="Verdana"/>
          <w:sz w:val="18"/>
          <w:szCs w:val="18"/>
        </w:rPr>
        <w:lastRenderedPageBreak/>
        <w:t xml:space="preserve">For Oslo </w:t>
      </w:r>
      <w:r w:rsidR="003D267B">
        <w:rPr>
          <w:rFonts w:ascii="Verdana" w:hAnsi="Verdana"/>
          <w:sz w:val="18"/>
          <w:szCs w:val="18"/>
        </w:rPr>
        <w:t>Investable</w:t>
      </w:r>
      <w:r w:rsidRPr="006E6208">
        <w:rPr>
          <w:rFonts w:ascii="Verdana" w:hAnsi="Verdana"/>
          <w:sz w:val="18"/>
          <w:szCs w:val="18"/>
        </w:rPr>
        <w:t xml:space="preserve"> Indices, the new shares will be included in the index on the ex-date of the rights issue and an adjusted closing price will be applied. The adjustment will be made based on the shares currently in the index. The divisor will be adapted in such a way that the level of the index remains the same. </w:t>
      </w:r>
    </w:p>
    <w:p w14:paraId="742A22BF" w14:textId="77777777" w:rsidR="00055615" w:rsidRPr="00D3782D" w:rsidRDefault="00055615" w:rsidP="00055615">
      <w:pPr>
        <w:rPr>
          <w:rFonts w:ascii="Verdana" w:hAnsi="Verdana" w:cstheme="minorHAnsi"/>
          <w:sz w:val="18"/>
          <w:szCs w:val="18"/>
        </w:rPr>
      </w:pPr>
      <w:r w:rsidRPr="00D3782D">
        <w:rPr>
          <w:rFonts w:ascii="Verdana" w:hAnsi="Verdana" w:cstheme="minorHAnsi"/>
          <w:sz w:val="18"/>
          <w:szCs w:val="18"/>
        </w:rPr>
        <w:t>For rights issues subsequent to private placements, in which only shareholders not participating in the private placement can participate, Euronext will make no adjustment. Rights issues subsequent to private placements are referred to as repair issues in Norway.</w:t>
      </w:r>
    </w:p>
    <w:p w14:paraId="0F83EA28" w14:textId="77777777" w:rsidR="00055615" w:rsidRPr="00D3782D" w:rsidRDefault="00055615" w:rsidP="00055615">
      <w:pPr>
        <w:rPr>
          <w:rFonts w:ascii="Verdana" w:hAnsi="Verdana"/>
          <w:sz w:val="18"/>
          <w:szCs w:val="18"/>
        </w:rPr>
      </w:pPr>
      <w:r w:rsidRPr="00D3782D">
        <w:rPr>
          <w:rFonts w:ascii="Verdana" w:hAnsi="Verdana"/>
          <w:sz w:val="18"/>
          <w:szCs w:val="18"/>
        </w:rPr>
        <w:t>The Indices will only be adjusted if the rights represent a positive value</w:t>
      </w:r>
      <w:r>
        <w:rPr>
          <w:rFonts w:ascii="Verdana" w:hAnsi="Verdana"/>
          <w:sz w:val="18"/>
          <w:szCs w:val="18"/>
        </w:rPr>
        <w:t xml:space="preserve"> on the close before the ex-date.</w:t>
      </w:r>
    </w:p>
    <w:p w14:paraId="52BAC23E" w14:textId="77777777" w:rsidR="00055615" w:rsidRPr="00D3782D" w:rsidRDefault="00055615" w:rsidP="00055615">
      <w:pPr>
        <w:rPr>
          <w:rFonts w:ascii="Verdana" w:hAnsi="Verdana"/>
          <w:sz w:val="18"/>
          <w:szCs w:val="18"/>
          <w:u w:val="single"/>
        </w:rPr>
      </w:pPr>
      <w:r w:rsidRPr="00D3782D">
        <w:rPr>
          <w:rFonts w:ascii="Verdana" w:hAnsi="Verdana"/>
          <w:sz w:val="18"/>
          <w:szCs w:val="18"/>
          <w:u w:val="single"/>
        </w:rPr>
        <w:t xml:space="preserve">Free Float Market Capitalisation Weighted Indices </w:t>
      </w:r>
    </w:p>
    <w:p w14:paraId="61BAA9D3" w14:textId="77777777" w:rsidR="00055615" w:rsidRPr="00D3782D" w:rsidRDefault="00055615" w:rsidP="00055615">
      <w:pPr>
        <w:rPr>
          <w:rFonts w:ascii="Verdana" w:hAnsi="Verdana" w:cs="Courier New"/>
          <w:sz w:val="18"/>
          <w:szCs w:val="18"/>
        </w:rPr>
      </w:pPr>
      <w:r w:rsidRPr="00D3782D">
        <w:rPr>
          <w:rFonts w:ascii="Verdana" w:hAnsi="Verdana"/>
          <w:sz w:val="18"/>
          <w:szCs w:val="18"/>
        </w:rPr>
        <w:t>An</w:t>
      </w:r>
      <w:r w:rsidRPr="00D3782D">
        <w:rPr>
          <w:rFonts w:ascii="Verdana" w:hAnsi="Verdana" w:cs="Courier New"/>
          <w:sz w:val="18"/>
          <w:szCs w:val="18"/>
        </w:rPr>
        <w:t xml:space="preserve"> adjusted closing price will be applied. The adjustment will be made based on the shares currently in the index. The divisor will be adapted in such a way that the level of the index remains the same.</w:t>
      </w:r>
    </w:p>
    <w:p w14:paraId="5111F3AB" w14:textId="77777777" w:rsidR="00055615" w:rsidRPr="00D3782D" w:rsidRDefault="00055615" w:rsidP="00055615">
      <w:pPr>
        <w:rPr>
          <w:rFonts w:ascii="Verdana" w:hAnsi="Verdana"/>
          <w:i/>
          <w:iCs/>
          <w:sz w:val="18"/>
          <w:szCs w:val="18"/>
        </w:rPr>
      </w:pPr>
      <w:r w:rsidRPr="00D3782D">
        <w:rPr>
          <w:rFonts w:ascii="Verdana" w:hAnsi="Verdana" w:cs="Courier New"/>
          <w:i/>
          <w:iCs/>
          <w:sz w:val="18"/>
          <w:szCs w:val="18"/>
        </w:rPr>
        <w:t>Dilutive rights issues</w:t>
      </w:r>
    </w:p>
    <w:p w14:paraId="38BDD62A" w14:textId="77777777" w:rsidR="00055615" w:rsidRPr="00D3782D" w:rsidRDefault="00055615" w:rsidP="00055615">
      <w:pPr>
        <w:rPr>
          <w:rFonts w:ascii="Verdana" w:hAnsi="Verdana"/>
          <w:sz w:val="18"/>
          <w:szCs w:val="18"/>
        </w:rPr>
      </w:pPr>
      <w:r w:rsidRPr="00D3782D">
        <w:rPr>
          <w:rFonts w:ascii="Verdana" w:hAnsi="Verdana"/>
          <w:sz w:val="18"/>
          <w:szCs w:val="18"/>
        </w:rPr>
        <w:t xml:space="preserve">If less than 2 shares are added for every share that is currently held and if the new shares are fungible with the existing line of shares (e.g. no dividend disadvantage), the new shares are added to the index on the ex-date based on the current included number of shares. </w:t>
      </w:r>
    </w:p>
    <w:p w14:paraId="65CDEA70" w14:textId="77777777" w:rsidR="00055615" w:rsidRPr="00D3782D" w:rsidRDefault="00055615" w:rsidP="00055615">
      <w:pPr>
        <w:rPr>
          <w:rFonts w:ascii="Verdana" w:hAnsi="Verdana"/>
          <w:i/>
          <w:iCs/>
          <w:sz w:val="18"/>
          <w:szCs w:val="18"/>
        </w:rPr>
      </w:pPr>
      <w:r w:rsidRPr="00D3782D">
        <w:rPr>
          <w:rFonts w:ascii="Verdana" w:hAnsi="Verdana"/>
          <w:i/>
          <w:iCs/>
          <w:sz w:val="18"/>
          <w:szCs w:val="18"/>
        </w:rPr>
        <w:t>Highly dilutive rights issues</w:t>
      </w:r>
    </w:p>
    <w:p w14:paraId="27A7BB15" w14:textId="77777777" w:rsidR="00055615" w:rsidRPr="00D3782D" w:rsidRDefault="00055615" w:rsidP="00055615">
      <w:pPr>
        <w:rPr>
          <w:rFonts w:ascii="Verdana" w:hAnsi="Verdana" w:cs="Courier New"/>
          <w:sz w:val="18"/>
          <w:szCs w:val="18"/>
        </w:rPr>
      </w:pPr>
      <w:r w:rsidRPr="00D3782D">
        <w:rPr>
          <w:rFonts w:ascii="Verdana" w:hAnsi="Verdana"/>
          <w:sz w:val="18"/>
          <w:szCs w:val="18"/>
        </w:rPr>
        <w:t xml:space="preserve">If </w:t>
      </w:r>
      <w:r>
        <w:rPr>
          <w:rFonts w:ascii="Verdana" w:hAnsi="Verdana"/>
          <w:sz w:val="18"/>
          <w:szCs w:val="18"/>
        </w:rPr>
        <w:t xml:space="preserve">two or more than two shares are added </w:t>
      </w:r>
      <w:r w:rsidRPr="00D3782D">
        <w:rPr>
          <w:rFonts w:ascii="Verdana" w:hAnsi="Verdana"/>
          <w:sz w:val="18"/>
          <w:szCs w:val="18"/>
        </w:rPr>
        <w:t xml:space="preserve">for every share that is currently held (highly dilutive), </w:t>
      </w:r>
      <w:r w:rsidRPr="00D3782D">
        <w:rPr>
          <w:rFonts w:ascii="Verdana" w:hAnsi="Verdana" w:cs="Courier New"/>
          <w:sz w:val="18"/>
          <w:szCs w:val="18"/>
        </w:rPr>
        <w:t>a separate temporary line to track the market value of the rights will be included in the index on the ex-date</w:t>
      </w:r>
      <w:r>
        <w:rPr>
          <w:rFonts w:ascii="Verdana" w:hAnsi="Verdana" w:cs="Courier New"/>
          <w:sz w:val="18"/>
          <w:szCs w:val="18"/>
        </w:rPr>
        <w:t>.</w:t>
      </w:r>
      <w:r w:rsidRPr="00D3782D">
        <w:rPr>
          <w:rFonts w:ascii="Verdana" w:hAnsi="Verdana" w:cs="Courier New"/>
          <w:sz w:val="18"/>
          <w:szCs w:val="18"/>
        </w:rPr>
        <w:t xml:space="preserve"> </w:t>
      </w:r>
    </w:p>
    <w:p w14:paraId="68C0D9C9" w14:textId="77777777" w:rsidR="00055615" w:rsidRPr="00D3782D" w:rsidRDefault="00055615" w:rsidP="00055615">
      <w:pPr>
        <w:rPr>
          <w:rFonts w:ascii="Verdana" w:hAnsi="Verdana" w:cs="Courier New"/>
          <w:sz w:val="18"/>
          <w:szCs w:val="18"/>
        </w:rPr>
      </w:pPr>
      <w:r w:rsidRPr="00D3782D">
        <w:rPr>
          <w:rFonts w:ascii="Verdana" w:hAnsi="Verdana" w:cs="Courier New"/>
          <w:sz w:val="18"/>
          <w:szCs w:val="18"/>
        </w:rPr>
        <w:t>If the rights are tradeable and traded on the ex-date, the traded price will be used for the market value of the rights. In case the rights are tradeable but are not traded on the ex-date, Euronext will use the theoretical value of the rights up till the moment the rights are traded. If the rights are not tradeable on the ex-date, Euronext will use the theoretical value of the rights</w:t>
      </w:r>
      <w:r>
        <w:rPr>
          <w:rFonts w:ascii="Verdana" w:hAnsi="Verdana" w:cs="Courier New"/>
          <w:sz w:val="18"/>
          <w:szCs w:val="18"/>
        </w:rPr>
        <w:t>.</w:t>
      </w:r>
    </w:p>
    <w:p w14:paraId="496FE6F6" w14:textId="05556550" w:rsidR="00055615" w:rsidRPr="00D3782D" w:rsidRDefault="00055615" w:rsidP="00055615">
      <w:pPr>
        <w:rPr>
          <w:rFonts w:ascii="Verdana" w:hAnsi="Verdana" w:cs="Courier New"/>
          <w:sz w:val="18"/>
          <w:szCs w:val="18"/>
        </w:rPr>
      </w:pPr>
      <w:r w:rsidRPr="00D3782D">
        <w:rPr>
          <w:rFonts w:ascii="Verdana" w:hAnsi="Verdana" w:cs="Courier New"/>
          <w:sz w:val="18"/>
          <w:szCs w:val="18"/>
        </w:rPr>
        <w:t xml:space="preserve">The temporary line </w:t>
      </w:r>
      <w:r w:rsidR="001D60B3">
        <w:rPr>
          <w:rFonts w:ascii="Verdana" w:hAnsi="Verdana" w:cs="Courier New"/>
          <w:sz w:val="18"/>
          <w:szCs w:val="18"/>
        </w:rPr>
        <w:t>is</w:t>
      </w:r>
      <w:r w:rsidRPr="00D3782D">
        <w:rPr>
          <w:rFonts w:ascii="Verdana" w:hAnsi="Verdana" w:cs="Courier New"/>
          <w:sz w:val="18"/>
          <w:szCs w:val="18"/>
        </w:rPr>
        <w:t xml:space="preserve"> included within the index calculation until the end of the rights subscription period at which point they will be deleted and the new shares consolidated into the existing share line. The temporary rights line will be deleted at its last traded price</w:t>
      </w:r>
      <w:r>
        <w:rPr>
          <w:rFonts w:ascii="Verdana" w:hAnsi="Verdana" w:cs="Courier New"/>
          <w:sz w:val="18"/>
          <w:szCs w:val="18"/>
        </w:rPr>
        <w:t xml:space="preserve"> and to </w:t>
      </w:r>
      <w:r w:rsidRPr="00D3782D">
        <w:rPr>
          <w:rFonts w:ascii="Verdana" w:hAnsi="Verdana" w:cs="Courier New"/>
          <w:sz w:val="18"/>
          <w:szCs w:val="18"/>
        </w:rPr>
        <w:t>reflect the fact that part of the remaining portfolio should be sold to generate the cash</w:t>
      </w:r>
      <w:r>
        <w:rPr>
          <w:rFonts w:ascii="Verdana" w:hAnsi="Verdana" w:cs="Courier New"/>
          <w:sz w:val="18"/>
          <w:szCs w:val="18"/>
        </w:rPr>
        <w:t xml:space="preserve"> at the end of the rights subscription period the divisor of the index will change. In case the rights hold no value at the end of the rights subscription period, Euronext holds the right to apply a different treatment.</w:t>
      </w:r>
    </w:p>
    <w:p w14:paraId="64FC3745" w14:textId="77777777" w:rsidR="00055615" w:rsidRPr="00D3782D" w:rsidRDefault="00055615" w:rsidP="00055615">
      <w:pPr>
        <w:rPr>
          <w:rFonts w:ascii="Verdana" w:hAnsi="Verdana" w:cs="Courier New"/>
          <w:sz w:val="18"/>
          <w:szCs w:val="18"/>
        </w:rPr>
      </w:pPr>
    </w:p>
    <w:p w14:paraId="3AE12BFB" w14:textId="77777777" w:rsidR="00055615" w:rsidRPr="00D3782D" w:rsidRDefault="00055615" w:rsidP="00055615">
      <w:pPr>
        <w:rPr>
          <w:rFonts w:ascii="Verdana" w:hAnsi="Verdana"/>
          <w:sz w:val="18"/>
          <w:szCs w:val="18"/>
          <w:u w:val="single"/>
        </w:rPr>
      </w:pPr>
      <w:r w:rsidRPr="00D3782D">
        <w:rPr>
          <w:rFonts w:ascii="Verdana" w:hAnsi="Verdana"/>
          <w:sz w:val="18"/>
          <w:szCs w:val="18"/>
          <w:u w:val="single"/>
        </w:rPr>
        <w:t xml:space="preserve">Non-Market Capitalisation Weighted Indices </w:t>
      </w:r>
    </w:p>
    <w:p w14:paraId="6B6114D2" w14:textId="77777777" w:rsidR="00055615" w:rsidRPr="00D3782D" w:rsidRDefault="00055615" w:rsidP="00055615">
      <w:pPr>
        <w:rPr>
          <w:rFonts w:ascii="Verdana" w:hAnsi="Verdana"/>
          <w:sz w:val="18"/>
          <w:szCs w:val="18"/>
        </w:rPr>
      </w:pPr>
      <w:r w:rsidRPr="00D3782D">
        <w:rPr>
          <w:rFonts w:ascii="Verdana" w:hAnsi="Verdana"/>
          <w:sz w:val="18"/>
          <w:szCs w:val="18"/>
        </w:rPr>
        <w:t xml:space="preserve">On the close before the ex-date the close price of the Company issuing the rights will be adjusted for the value of the rights. Subsequently the number of shares of the Company that is included in the index will be increased in order to maintain the weight of the Company in the index. The divisor will not change due to this adjustment. </w:t>
      </w:r>
    </w:p>
    <w:p w14:paraId="0668B7ED" w14:textId="77777777" w:rsidR="00055615" w:rsidRPr="00D3782D" w:rsidRDefault="00055615" w:rsidP="00055615">
      <w:pPr>
        <w:rPr>
          <w:rFonts w:ascii="Verdana" w:hAnsi="Verdana"/>
          <w:sz w:val="18"/>
          <w:szCs w:val="18"/>
          <w:u w:val="single"/>
        </w:rPr>
      </w:pPr>
      <w:r w:rsidRPr="00D3782D">
        <w:rPr>
          <w:rFonts w:ascii="Verdana" w:hAnsi="Verdana"/>
          <w:sz w:val="18"/>
          <w:szCs w:val="18"/>
          <w:u w:val="single"/>
        </w:rPr>
        <w:t xml:space="preserve">Full Market Capitalisation Weighted indices </w:t>
      </w:r>
    </w:p>
    <w:p w14:paraId="7A64A77B" w14:textId="77777777" w:rsidR="00055615" w:rsidRPr="00D3782D" w:rsidRDefault="00055615" w:rsidP="00055615">
      <w:pPr>
        <w:rPr>
          <w:rFonts w:ascii="Verdana" w:hAnsi="Verdana" w:cs="Courier New"/>
          <w:sz w:val="18"/>
          <w:szCs w:val="18"/>
        </w:rPr>
      </w:pPr>
      <w:r w:rsidRPr="00D3782D">
        <w:rPr>
          <w:rFonts w:ascii="Verdana" w:hAnsi="Verdana"/>
          <w:sz w:val="18"/>
          <w:szCs w:val="18"/>
        </w:rPr>
        <w:t xml:space="preserve">For Full Market Capitalisation weighted indices, the index is adjusted based on the value of the rights only. The divisor will be adapted in such a way that the level of the index remains the same. Any shares coming from the Rights Issue will be added to the index once listed. </w:t>
      </w:r>
    </w:p>
    <w:p w14:paraId="329F8F0D" w14:textId="77777777" w:rsidR="00055615" w:rsidRPr="00000CED" w:rsidRDefault="00055615" w:rsidP="00311092">
      <w:pPr>
        <w:rPr>
          <w:rFonts w:ascii="Verdana" w:hAnsi="Verdana"/>
          <w:sz w:val="18"/>
          <w:szCs w:val="18"/>
        </w:rPr>
      </w:pPr>
    </w:p>
    <w:p w14:paraId="3B84E80D" w14:textId="77777777" w:rsidR="002C6311" w:rsidRPr="00000CED" w:rsidRDefault="002C6311" w:rsidP="002C6311">
      <w:pPr>
        <w:rPr>
          <w:rFonts w:ascii="Verdana" w:hAnsi="Verdana"/>
          <w:b/>
          <w:sz w:val="18"/>
          <w:szCs w:val="18"/>
        </w:rPr>
      </w:pPr>
      <w:r w:rsidRPr="00000CED">
        <w:rPr>
          <w:rFonts w:ascii="Verdana" w:hAnsi="Verdana"/>
          <w:b/>
          <w:sz w:val="18"/>
          <w:szCs w:val="18"/>
        </w:rPr>
        <w:t>Feedback received in the consultation</w:t>
      </w:r>
    </w:p>
    <w:p w14:paraId="33FC889A" w14:textId="73DF38C9" w:rsidR="00F42025" w:rsidRDefault="00545371" w:rsidP="002C6311">
      <w:pPr>
        <w:rPr>
          <w:rFonts w:ascii="Verdana" w:hAnsi="Verdana"/>
          <w:sz w:val="18"/>
          <w:szCs w:val="18"/>
        </w:rPr>
      </w:pPr>
      <w:r>
        <w:rPr>
          <w:rFonts w:ascii="Verdana" w:hAnsi="Verdana"/>
          <w:sz w:val="18"/>
          <w:szCs w:val="18"/>
        </w:rPr>
        <w:t>See</w:t>
      </w:r>
      <w:r w:rsidR="002C6311" w:rsidRPr="00000CED">
        <w:rPr>
          <w:rFonts w:ascii="Verdana" w:hAnsi="Verdana"/>
          <w:sz w:val="18"/>
          <w:szCs w:val="18"/>
        </w:rPr>
        <w:t xml:space="preserve"> </w:t>
      </w:r>
      <w:r w:rsidR="00FF759F" w:rsidRPr="00000CED">
        <w:rPr>
          <w:rFonts w:ascii="Verdana" w:hAnsi="Verdana"/>
          <w:sz w:val="18"/>
          <w:szCs w:val="18"/>
        </w:rPr>
        <w:t>below for a summary of received comments:</w:t>
      </w:r>
    </w:p>
    <w:p w14:paraId="45035CC6" w14:textId="64B651A1" w:rsidR="00861B1F" w:rsidRPr="00861B1F" w:rsidRDefault="00861B1F" w:rsidP="00861B1F">
      <w:pPr>
        <w:rPr>
          <w:rFonts w:ascii="Verdana" w:hAnsi="Verdana"/>
          <w:i/>
          <w:iCs/>
          <w:sz w:val="18"/>
          <w:szCs w:val="18"/>
          <w:lang w:val="en-US"/>
        </w:rPr>
      </w:pPr>
      <w:r w:rsidRPr="00861B1F">
        <w:rPr>
          <w:rFonts w:ascii="Verdana" w:hAnsi="Verdana"/>
          <w:i/>
          <w:iCs/>
          <w:sz w:val="18"/>
          <w:szCs w:val="18"/>
          <w:lang w:val="en-US"/>
        </w:rPr>
        <w:lastRenderedPageBreak/>
        <w:t>Are all proposed new treatments for rights issues acceptable and replicable for you?</w:t>
      </w:r>
    </w:p>
    <w:p w14:paraId="107AED1B" w14:textId="4A06CAAF" w:rsidR="00861B1F" w:rsidRPr="00861B1F" w:rsidRDefault="00861B1F" w:rsidP="00861B1F">
      <w:pPr>
        <w:pStyle w:val="ListParagraph"/>
        <w:numPr>
          <w:ilvl w:val="0"/>
          <w:numId w:val="13"/>
        </w:numPr>
        <w:rPr>
          <w:rFonts w:ascii="Verdana" w:hAnsi="Verdana"/>
          <w:sz w:val="18"/>
          <w:szCs w:val="18"/>
          <w:lang w:val="en-US"/>
        </w:rPr>
      </w:pPr>
      <w:r w:rsidRPr="00861B1F">
        <w:rPr>
          <w:rFonts w:ascii="Verdana" w:hAnsi="Verdana"/>
          <w:sz w:val="18"/>
          <w:szCs w:val="18"/>
          <w:lang w:val="en-US"/>
        </w:rPr>
        <w:t>Yes, the proposed method is acceptable and replicable for me</w:t>
      </w:r>
    </w:p>
    <w:p w14:paraId="738DDCF6" w14:textId="229ECC82" w:rsidR="00861B1F" w:rsidRPr="00861B1F" w:rsidRDefault="00861B1F" w:rsidP="00861B1F">
      <w:pPr>
        <w:pStyle w:val="ListParagraph"/>
        <w:numPr>
          <w:ilvl w:val="0"/>
          <w:numId w:val="13"/>
        </w:numPr>
        <w:rPr>
          <w:rFonts w:ascii="Verdana" w:hAnsi="Verdana"/>
          <w:sz w:val="18"/>
          <w:szCs w:val="18"/>
          <w:lang w:val="en-US"/>
        </w:rPr>
      </w:pPr>
      <w:r w:rsidRPr="008A0FC1">
        <w:rPr>
          <w:rFonts w:ascii="Verdana" w:eastAsia="Times New Roman" w:hAnsi="Verdana"/>
          <w:sz w:val="18"/>
          <w:szCs w:val="18"/>
          <w:lang w:val="en-US"/>
        </w:rPr>
        <w:t xml:space="preserve">I agree with the propositions for the Free Float Market </w:t>
      </w:r>
      <w:proofErr w:type="spellStart"/>
      <w:r w:rsidRPr="008A0FC1">
        <w:rPr>
          <w:rFonts w:ascii="Verdana" w:eastAsia="Times New Roman" w:hAnsi="Verdana"/>
          <w:sz w:val="18"/>
          <w:szCs w:val="18"/>
          <w:lang w:val="en-US"/>
        </w:rPr>
        <w:t>Capitalisation</w:t>
      </w:r>
      <w:proofErr w:type="spellEnd"/>
      <w:r w:rsidRPr="008A0FC1">
        <w:rPr>
          <w:rFonts w:ascii="Verdana" w:eastAsia="Times New Roman" w:hAnsi="Verdana"/>
          <w:sz w:val="18"/>
          <w:szCs w:val="18"/>
          <w:lang w:val="en-US"/>
        </w:rPr>
        <w:t xml:space="preserve"> Weighted indices but I would expect the same distinctions on ratio (</w:t>
      </w:r>
      <w:proofErr w:type="spellStart"/>
      <w:r w:rsidRPr="008A0FC1">
        <w:rPr>
          <w:rFonts w:ascii="Verdana" w:eastAsia="Times New Roman" w:hAnsi="Verdana"/>
          <w:sz w:val="18"/>
          <w:szCs w:val="18"/>
          <w:lang w:val="en-US"/>
        </w:rPr>
        <w:t>ie</w:t>
      </w:r>
      <w:proofErr w:type="spellEnd"/>
      <w:r w:rsidRPr="008A0FC1">
        <w:rPr>
          <w:rFonts w:ascii="Verdana" w:eastAsia="Times New Roman" w:hAnsi="Verdana"/>
          <w:sz w:val="18"/>
          <w:szCs w:val="18"/>
          <w:lang w:val="en-US"/>
        </w:rPr>
        <w:t xml:space="preserve"> the 3 possible cases with Ratio &lt;= 2, 2 &lt; Ratio &lt;= 20 and 20 &lt; Ratio) to also apply to Non Market </w:t>
      </w:r>
      <w:proofErr w:type="spellStart"/>
      <w:r w:rsidRPr="008A0FC1">
        <w:rPr>
          <w:rFonts w:ascii="Verdana" w:eastAsia="Times New Roman" w:hAnsi="Verdana"/>
          <w:sz w:val="18"/>
          <w:szCs w:val="18"/>
          <w:lang w:val="en-US"/>
        </w:rPr>
        <w:t>Capitalisation</w:t>
      </w:r>
      <w:proofErr w:type="spellEnd"/>
      <w:r w:rsidRPr="008A0FC1">
        <w:rPr>
          <w:rFonts w:ascii="Verdana" w:eastAsia="Times New Roman" w:hAnsi="Verdana"/>
          <w:sz w:val="18"/>
          <w:szCs w:val="18"/>
          <w:lang w:val="en-US"/>
        </w:rPr>
        <w:t xml:space="preserve"> Weighted indices.</w:t>
      </w:r>
      <w:r w:rsidRPr="008A0FC1">
        <w:rPr>
          <w:rFonts w:ascii="Verdana" w:eastAsia="Times New Roman" w:hAnsi="Verdana"/>
          <w:sz w:val="18"/>
          <w:szCs w:val="18"/>
          <w:lang w:val="en-US"/>
        </w:rPr>
        <w:br/>
      </w:r>
      <w:r w:rsidRPr="0047599E">
        <w:rPr>
          <w:rFonts w:ascii="Verdana" w:eastAsia="Times New Roman" w:hAnsi="Verdana"/>
          <w:sz w:val="18"/>
          <w:szCs w:val="18"/>
          <w:lang w:val="en-US"/>
        </w:rPr>
        <w:t xml:space="preserve">Concerning Full Market </w:t>
      </w:r>
      <w:proofErr w:type="spellStart"/>
      <w:r w:rsidRPr="0047599E">
        <w:rPr>
          <w:rFonts w:ascii="Verdana" w:eastAsia="Times New Roman" w:hAnsi="Verdana"/>
          <w:sz w:val="18"/>
          <w:szCs w:val="18"/>
          <w:lang w:val="en-US"/>
        </w:rPr>
        <w:t>Capitalisation</w:t>
      </w:r>
      <w:proofErr w:type="spellEnd"/>
      <w:r w:rsidRPr="0047599E">
        <w:rPr>
          <w:rFonts w:ascii="Verdana" w:eastAsia="Times New Roman" w:hAnsi="Verdana"/>
          <w:sz w:val="18"/>
          <w:szCs w:val="18"/>
          <w:lang w:val="en-US"/>
        </w:rPr>
        <w:t xml:space="preserve"> Weighted indices, I would expect the same rules as Free Float Market </w:t>
      </w:r>
      <w:proofErr w:type="spellStart"/>
      <w:r w:rsidRPr="0047599E">
        <w:rPr>
          <w:rFonts w:ascii="Verdana" w:eastAsia="Times New Roman" w:hAnsi="Verdana"/>
          <w:sz w:val="18"/>
          <w:szCs w:val="18"/>
          <w:lang w:val="en-US"/>
        </w:rPr>
        <w:t>Capitalisation</w:t>
      </w:r>
      <w:proofErr w:type="spellEnd"/>
      <w:r w:rsidRPr="0047599E">
        <w:rPr>
          <w:rFonts w:ascii="Verdana" w:eastAsia="Times New Roman" w:hAnsi="Verdana"/>
          <w:sz w:val="18"/>
          <w:szCs w:val="18"/>
          <w:lang w:val="en-US"/>
        </w:rPr>
        <w:t xml:space="preserve"> Weighted indices and thus either the increase of the share weight if Ratio &lt;=2, adding a cash and right line if 2 &lt; Ratio &lt;= 20 or removing the component beforehand if Ratio &gt; 20</w:t>
      </w:r>
      <w:r w:rsidRPr="0047599E">
        <w:rPr>
          <w:rFonts w:ascii="Verdana" w:eastAsia="Times New Roman" w:hAnsi="Verdana"/>
          <w:sz w:val="18"/>
          <w:szCs w:val="18"/>
          <w:lang w:val="en-US"/>
        </w:rPr>
        <w:br/>
        <w:t>The distinction on the Ratio helps indexation traders to avoid replicability issues in case of dilutive, highly dilutive or extremely dilutive right issues and as such should be taken into considerations in all cases.</w:t>
      </w:r>
      <w:r w:rsidRPr="0047599E">
        <w:rPr>
          <w:rFonts w:ascii="Verdana" w:eastAsia="Times New Roman" w:hAnsi="Verdana"/>
          <w:sz w:val="18"/>
          <w:szCs w:val="18"/>
          <w:lang w:val="en-US"/>
        </w:rPr>
        <w:br/>
        <w:t xml:space="preserve">Moreover, even though I don't disagree with increasing the dilutive vs </w:t>
      </w:r>
      <w:proofErr w:type="spellStart"/>
      <w:r w:rsidRPr="0047599E">
        <w:rPr>
          <w:rFonts w:ascii="Verdana" w:eastAsia="Times New Roman" w:hAnsi="Verdana"/>
          <w:sz w:val="18"/>
          <w:szCs w:val="18"/>
          <w:lang w:val="en-US"/>
        </w:rPr>
        <w:t>non dilutive</w:t>
      </w:r>
      <w:proofErr w:type="spellEnd"/>
      <w:r w:rsidRPr="0047599E">
        <w:rPr>
          <w:rFonts w:ascii="Verdana" w:eastAsia="Times New Roman" w:hAnsi="Verdana"/>
          <w:sz w:val="18"/>
          <w:szCs w:val="18"/>
          <w:lang w:val="en-US"/>
        </w:rPr>
        <w:t xml:space="preserve"> limit from 0.4 to 2, I would like to highlight that the ratio in term of new emitted vs share currently held may not properly define the dilutive feature of a right issue. The strike should also be taken into account in this definition.</w:t>
      </w:r>
    </w:p>
    <w:p w14:paraId="41184D1A" w14:textId="4843857A" w:rsidR="00861B1F" w:rsidRPr="00861B1F" w:rsidRDefault="00861B1F" w:rsidP="00861B1F">
      <w:pPr>
        <w:pStyle w:val="ListParagraph"/>
        <w:numPr>
          <w:ilvl w:val="0"/>
          <w:numId w:val="13"/>
        </w:numPr>
        <w:rPr>
          <w:rFonts w:ascii="Verdana" w:hAnsi="Verdana"/>
          <w:sz w:val="18"/>
          <w:szCs w:val="18"/>
          <w:lang w:val="en-US"/>
        </w:rPr>
      </w:pPr>
      <w:r w:rsidRPr="00861B1F">
        <w:rPr>
          <w:rFonts w:ascii="Verdana" w:eastAsia="Times New Roman" w:hAnsi="Verdana"/>
          <w:sz w:val="18"/>
          <w:szCs w:val="18"/>
          <w:lang w:val="en-US"/>
        </w:rPr>
        <w:t>It makes the index rules more complicated and we don't think cash should be a component of the index</w:t>
      </w:r>
      <w:r w:rsidR="007E36D5">
        <w:rPr>
          <w:rFonts w:ascii="Verdana" w:eastAsia="Times New Roman" w:hAnsi="Verdana"/>
          <w:sz w:val="18"/>
          <w:szCs w:val="18"/>
          <w:lang w:val="en-US"/>
        </w:rPr>
        <w:t xml:space="preserve">. </w:t>
      </w:r>
      <w:r w:rsidR="007E36D5" w:rsidRPr="007E36D5">
        <w:rPr>
          <w:rFonts w:ascii="Verdana" w:eastAsia="Times New Roman" w:hAnsi="Verdana"/>
          <w:sz w:val="18"/>
          <w:szCs w:val="18"/>
          <w:lang w:val="en-US"/>
        </w:rPr>
        <w:t>Preference for the “dilutive rights issue” treatment – keeps consistent and unambiguous treatment across other headline index providers. Introduction of additional lines (cash, market value of rights) starts to no longer resemble an equity index, which should only be a function of equity prices at any given time</w:t>
      </w:r>
      <w:r w:rsidR="007E36D5">
        <w:rPr>
          <w:rFonts w:ascii="Verdana" w:eastAsia="Times New Roman" w:hAnsi="Verdana"/>
          <w:sz w:val="18"/>
          <w:szCs w:val="18"/>
          <w:lang w:val="en-US"/>
        </w:rPr>
        <w:t>.</w:t>
      </w:r>
    </w:p>
    <w:p w14:paraId="6F367A59" w14:textId="77777777" w:rsidR="00861B1F" w:rsidRPr="00861B1F" w:rsidRDefault="00861B1F" w:rsidP="00861B1F">
      <w:pPr>
        <w:pStyle w:val="ListParagraph"/>
        <w:numPr>
          <w:ilvl w:val="0"/>
          <w:numId w:val="13"/>
        </w:numPr>
        <w:rPr>
          <w:rFonts w:ascii="Verdana" w:eastAsia="Times New Roman" w:hAnsi="Verdana"/>
          <w:sz w:val="18"/>
          <w:szCs w:val="18"/>
          <w:lang w:val="en-US"/>
        </w:rPr>
      </w:pPr>
      <w:bookmarkStart w:id="6" w:name="_Hlk94771740"/>
      <w:r w:rsidRPr="00861B1F">
        <w:rPr>
          <w:rFonts w:ascii="Verdana" w:eastAsia="Times New Roman" w:hAnsi="Verdana"/>
          <w:sz w:val="18"/>
          <w:szCs w:val="18"/>
          <w:lang w:val="en-US"/>
        </w:rPr>
        <w:t>Want no distinction in treatment of rights issues weather regarded as dilutive or not. The level of dilution is anyway dependent on both subscription price and #new shares, not only increase in #shares.</w:t>
      </w:r>
      <w:r w:rsidRPr="00861B1F">
        <w:rPr>
          <w:rFonts w:ascii="Verdana" w:eastAsia="Times New Roman" w:hAnsi="Verdana"/>
          <w:sz w:val="18"/>
          <w:szCs w:val="18"/>
          <w:lang w:val="en-US"/>
        </w:rPr>
        <w:br/>
        <w:t>The new number of shares should be included on the ex-date. In this way an investor can maintain the relative exposure to the index by exercising the pro-rata #rights with no market price impact</w:t>
      </w:r>
      <w:bookmarkEnd w:id="6"/>
      <w:r w:rsidRPr="00861B1F">
        <w:rPr>
          <w:rFonts w:ascii="Verdana" w:eastAsia="Times New Roman" w:hAnsi="Verdana"/>
          <w:sz w:val="18"/>
          <w:szCs w:val="18"/>
          <w:lang w:val="en-US"/>
        </w:rPr>
        <w:t xml:space="preserve">. </w:t>
      </w:r>
    </w:p>
    <w:p w14:paraId="18009EDF" w14:textId="4CBD1BA1" w:rsidR="00861B1F" w:rsidRDefault="00861B1F" w:rsidP="007E36D5">
      <w:pPr>
        <w:pStyle w:val="ListParagraph"/>
        <w:ind w:left="1440"/>
        <w:rPr>
          <w:rFonts w:ascii="Verdana" w:eastAsia="Times New Roman" w:hAnsi="Verdana"/>
          <w:sz w:val="18"/>
          <w:szCs w:val="18"/>
          <w:lang w:val="en-US"/>
        </w:rPr>
      </w:pPr>
      <w:bookmarkStart w:id="7" w:name="_Hlk94772060"/>
      <w:r w:rsidRPr="00861B1F">
        <w:rPr>
          <w:rFonts w:ascii="Verdana" w:eastAsia="Times New Roman" w:hAnsi="Verdana"/>
          <w:sz w:val="18"/>
          <w:szCs w:val="18"/>
          <w:lang w:val="en-US"/>
        </w:rPr>
        <w:t>For an investor aiming to maintain the relative weight, a partial inclusion would force the investor to either sell shares or sell some of the rights. At the next semi-annual rebalancing, the same shares</w:t>
      </w:r>
      <w:r w:rsidR="008A0FC1">
        <w:rPr>
          <w:rFonts w:ascii="Verdana" w:eastAsia="Times New Roman" w:hAnsi="Verdana"/>
          <w:sz w:val="18"/>
          <w:szCs w:val="18"/>
          <w:lang w:val="en-US"/>
        </w:rPr>
        <w:t xml:space="preserve"> </w:t>
      </w:r>
      <w:r w:rsidRPr="00861B1F">
        <w:rPr>
          <w:rFonts w:ascii="Verdana" w:eastAsia="Times New Roman" w:hAnsi="Verdana"/>
          <w:sz w:val="18"/>
          <w:szCs w:val="18"/>
          <w:lang w:val="en-US"/>
        </w:rPr>
        <w:t>would have to be purchased causing unnecessary transaction costs and possibly an additional market</w:t>
      </w:r>
      <w:r w:rsidR="008A0FC1">
        <w:rPr>
          <w:rFonts w:ascii="Verdana" w:eastAsia="Times New Roman" w:hAnsi="Verdana"/>
          <w:sz w:val="18"/>
          <w:szCs w:val="18"/>
          <w:lang w:val="en-US"/>
        </w:rPr>
        <w:t xml:space="preserve"> </w:t>
      </w:r>
      <w:r w:rsidRPr="00861B1F">
        <w:rPr>
          <w:rFonts w:ascii="Verdana" w:eastAsia="Times New Roman" w:hAnsi="Verdana"/>
          <w:sz w:val="18"/>
          <w:szCs w:val="18"/>
          <w:lang w:val="en-US"/>
        </w:rPr>
        <w:t>impact. This would be avoided if all new shares were included at the ex-date.</w:t>
      </w:r>
    </w:p>
    <w:p w14:paraId="6D1FDAD0" w14:textId="403B4764" w:rsidR="008A0FC1" w:rsidRDefault="008A0FC1" w:rsidP="008A0FC1">
      <w:pPr>
        <w:rPr>
          <w:rFonts w:ascii="Verdana" w:hAnsi="Verdana"/>
          <w:sz w:val="18"/>
          <w:szCs w:val="18"/>
          <w:lang w:val="en-US"/>
        </w:rPr>
      </w:pPr>
    </w:p>
    <w:p w14:paraId="31F6B70C" w14:textId="77777777" w:rsidR="008A0FC1" w:rsidRPr="008A0FC1" w:rsidRDefault="008A0FC1" w:rsidP="008A0FC1">
      <w:pPr>
        <w:rPr>
          <w:rFonts w:ascii="Verdana" w:hAnsi="Verdana"/>
          <w:i/>
          <w:iCs/>
          <w:sz w:val="18"/>
          <w:szCs w:val="18"/>
        </w:rPr>
      </w:pPr>
      <w:r w:rsidRPr="008A0FC1">
        <w:rPr>
          <w:rFonts w:ascii="Verdana" w:hAnsi="Verdana"/>
          <w:i/>
          <w:iCs/>
          <w:sz w:val="18"/>
          <w:szCs w:val="18"/>
        </w:rPr>
        <w:t>Do you support to bring the treatment for Oslo tradeable indices</w:t>
      </w:r>
      <w:r w:rsidRPr="008A0FC1">
        <w:rPr>
          <w:rFonts w:ascii="Verdana" w:hAnsi="Verdana" w:cstheme="minorHAnsi"/>
          <w:i/>
          <w:iCs/>
          <w:sz w:val="18"/>
          <w:szCs w:val="18"/>
        </w:rPr>
        <w:t xml:space="preserve"> in line with other Euronext indices, implying that if more than 2 new shares are issued for every existing share the traded rights plus cash are included</w:t>
      </w:r>
      <w:r w:rsidRPr="008A0FC1">
        <w:rPr>
          <w:rFonts w:ascii="Verdana" w:hAnsi="Verdana"/>
          <w:i/>
          <w:iCs/>
          <w:sz w:val="18"/>
          <w:szCs w:val="18"/>
        </w:rPr>
        <w:t>?</w:t>
      </w:r>
    </w:p>
    <w:p w14:paraId="3D2EAC1B" w14:textId="227F11EF" w:rsidR="008A0FC1" w:rsidRPr="008A0FC1" w:rsidRDefault="008A0FC1" w:rsidP="008A0FC1">
      <w:pPr>
        <w:pStyle w:val="ListParagraph"/>
        <w:numPr>
          <w:ilvl w:val="0"/>
          <w:numId w:val="14"/>
        </w:numPr>
        <w:rPr>
          <w:rFonts w:ascii="Verdana" w:hAnsi="Verdana"/>
          <w:sz w:val="18"/>
          <w:szCs w:val="18"/>
          <w:lang w:val="en-GB"/>
        </w:rPr>
      </w:pPr>
      <w:r w:rsidRPr="008A0FC1">
        <w:rPr>
          <w:rFonts w:ascii="Verdana" w:hAnsi="Verdana"/>
          <w:sz w:val="18"/>
          <w:szCs w:val="18"/>
          <w:lang w:val="en-US"/>
        </w:rPr>
        <w:t>Yes, I support this new treatment to make it in line with other Euronext Indices</w:t>
      </w:r>
    </w:p>
    <w:p w14:paraId="6249D689" w14:textId="77777777" w:rsidR="008A0FC1" w:rsidRPr="00861B1F" w:rsidRDefault="008A0FC1" w:rsidP="008A0FC1">
      <w:pPr>
        <w:pStyle w:val="ListParagraph"/>
        <w:numPr>
          <w:ilvl w:val="0"/>
          <w:numId w:val="14"/>
        </w:numPr>
        <w:rPr>
          <w:rFonts w:ascii="Verdana" w:eastAsia="Times New Roman" w:hAnsi="Verdana"/>
          <w:sz w:val="18"/>
          <w:szCs w:val="18"/>
          <w:lang w:val="en-US"/>
        </w:rPr>
      </w:pPr>
      <w:r w:rsidRPr="00861B1F">
        <w:rPr>
          <w:rFonts w:ascii="Verdana" w:eastAsia="Times New Roman" w:hAnsi="Verdana"/>
          <w:sz w:val="18"/>
          <w:szCs w:val="18"/>
          <w:lang w:val="en-US"/>
        </w:rPr>
        <w:t>Want no distinction in treatment of rights issues weather regarded as dilutive or not. The level of dilution is anyway dependent on both subscription price and #new shares, not only increase in #shares.</w:t>
      </w:r>
      <w:r w:rsidRPr="00861B1F">
        <w:rPr>
          <w:rFonts w:ascii="Verdana" w:eastAsia="Times New Roman" w:hAnsi="Verdana"/>
          <w:sz w:val="18"/>
          <w:szCs w:val="18"/>
          <w:lang w:val="en-US"/>
        </w:rPr>
        <w:br/>
        <w:t xml:space="preserve">The new number of shares should be included on the ex-date. In this way an investor can maintain the relative exposure to the index by exercising the pro-rata #rights with no market price impact. </w:t>
      </w:r>
    </w:p>
    <w:p w14:paraId="45B83C02" w14:textId="77777777" w:rsidR="008A0FC1" w:rsidRDefault="008A0FC1" w:rsidP="008A0FC1">
      <w:pPr>
        <w:pStyle w:val="ListParagraph"/>
        <w:ind w:left="1440"/>
        <w:rPr>
          <w:rFonts w:ascii="Verdana" w:eastAsia="Times New Roman" w:hAnsi="Verdana"/>
          <w:sz w:val="18"/>
          <w:szCs w:val="18"/>
          <w:lang w:val="en-US"/>
        </w:rPr>
      </w:pPr>
      <w:r w:rsidRPr="00861B1F">
        <w:rPr>
          <w:rFonts w:ascii="Verdana" w:eastAsia="Times New Roman" w:hAnsi="Verdana"/>
          <w:sz w:val="18"/>
          <w:szCs w:val="18"/>
          <w:lang w:val="en-US"/>
        </w:rPr>
        <w:t>For an investor aiming to maintain the relative weight, a partial inclusion would force the investor to either sell shares or sell some of the rights. At the next semi-annual rebalancing, the same shares</w:t>
      </w:r>
      <w:r>
        <w:rPr>
          <w:rFonts w:ascii="Verdana" w:eastAsia="Times New Roman" w:hAnsi="Verdana"/>
          <w:sz w:val="18"/>
          <w:szCs w:val="18"/>
          <w:lang w:val="en-US"/>
        </w:rPr>
        <w:t xml:space="preserve"> </w:t>
      </w:r>
      <w:r w:rsidRPr="00861B1F">
        <w:rPr>
          <w:rFonts w:ascii="Verdana" w:eastAsia="Times New Roman" w:hAnsi="Verdana"/>
          <w:sz w:val="18"/>
          <w:szCs w:val="18"/>
          <w:lang w:val="en-US"/>
        </w:rPr>
        <w:t>would have to be purchased causing unnecessary transaction costs and possibly an additional market</w:t>
      </w:r>
      <w:r>
        <w:rPr>
          <w:rFonts w:ascii="Verdana" w:eastAsia="Times New Roman" w:hAnsi="Verdana"/>
          <w:sz w:val="18"/>
          <w:szCs w:val="18"/>
          <w:lang w:val="en-US"/>
        </w:rPr>
        <w:t xml:space="preserve"> </w:t>
      </w:r>
      <w:r w:rsidRPr="00861B1F">
        <w:rPr>
          <w:rFonts w:ascii="Verdana" w:eastAsia="Times New Roman" w:hAnsi="Verdana"/>
          <w:sz w:val="18"/>
          <w:szCs w:val="18"/>
          <w:lang w:val="en-US"/>
        </w:rPr>
        <w:t>impact. This would be avoided if all new shares were included at the ex-date.</w:t>
      </w:r>
    </w:p>
    <w:p w14:paraId="7FDFB737" w14:textId="7C8FF8C9" w:rsidR="008A0FC1" w:rsidRPr="008A0FC1" w:rsidRDefault="008A0FC1" w:rsidP="008A0FC1">
      <w:pPr>
        <w:pStyle w:val="ListParagraph"/>
        <w:numPr>
          <w:ilvl w:val="0"/>
          <w:numId w:val="14"/>
        </w:numPr>
        <w:rPr>
          <w:rFonts w:ascii="Verdana" w:hAnsi="Verdana"/>
          <w:sz w:val="18"/>
          <w:szCs w:val="18"/>
          <w:lang w:val="en-GB"/>
        </w:rPr>
      </w:pPr>
      <w:bookmarkStart w:id="8" w:name="_Hlk94772111"/>
      <w:r w:rsidRPr="008A0FC1">
        <w:rPr>
          <w:rFonts w:ascii="Verdana" w:hAnsi="Verdana"/>
          <w:sz w:val="18"/>
          <w:szCs w:val="18"/>
          <w:lang w:val="en-US"/>
        </w:rPr>
        <w:t>We do not manage funds against Oslo tradeable indices.</w:t>
      </w:r>
      <w:bookmarkEnd w:id="8"/>
    </w:p>
    <w:p w14:paraId="3A482B4F" w14:textId="596FBB32" w:rsidR="008A0FC1" w:rsidRDefault="008A0FC1" w:rsidP="008A0FC1">
      <w:pPr>
        <w:rPr>
          <w:rFonts w:ascii="Verdana" w:hAnsi="Verdana"/>
          <w:sz w:val="18"/>
          <w:szCs w:val="18"/>
        </w:rPr>
      </w:pPr>
    </w:p>
    <w:p w14:paraId="2E6D46B4" w14:textId="242D69CF" w:rsidR="008A0FC1" w:rsidRDefault="008A0FC1" w:rsidP="008A0FC1">
      <w:pPr>
        <w:rPr>
          <w:rFonts w:ascii="Verdana" w:hAnsi="Verdana"/>
          <w:i/>
          <w:iCs/>
          <w:sz w:val="18"/>
          <w:szCs w:val="18"/>
        </w:rPr>
      </w:pPr>
      <w:r w:rsidRPr="008A0FC1">
        <w:rPr>
          <w:rFonts w:ascii="Verdana" w:hAnsi="Verdana"/>
          <w:i/>
          <w:iCs/>
          <w:sz w:val="18"/>
          <w:szCs w:val="18"/>
        </w:rPr>
        <w:t>Do you support the treatment of subsequent offerings following private placements (referred to as repair issues in Norway) in which only shareholders not participating in the private placement can participate?</w:t>
      </w:r>
    </w:p>
    <w:p w14:paraId="7D40F4D3" w14:textId="3B69AE2D" w:rsidR="008A0FC1" w:rsidRDefault="008A0FC1" w:rsidP="008A0FC1">
      <w:pPr>
        <w:pStyle w:val="ListParagraph"/>
        <w:numPr>
          <w:ilvl w:val="0"/>
          <w:numId w:val="14"/>
        </w:numPr>
        <w:rPr>
          <w:rFonts w:ascii="Verdana" w:hAnsi="Verdana"/>
          <w:sz w:val="18"/>
          <w:szCs w:val="18"/>
          <w:lang w:val="en-US"/>
        </w:rPr>
      </w:pPr>
      <w:r w:rsidRPr="008A0FC1">
        <w:rPr>
          <w:rFonts w:ascii="Verdana" w:hAnsi="Verdana"/>
          <w:sz w:val="18"/>
          <w:szCs w:val="18"/>
          <w:lang w:val="en-US"/>
        </w:rPr>
        <w:lastRenderedPageBreak/>
        <w:t>Yes, I support to make no adjustment for these type of offerings.</w:t>
      </w:r>
    </w:p>
    <w:p w14:paraId="604BCEDC" w14:textId="0CF92D03" w:rsidR="008A0FC1" w:rsidRPr="008A0FC1" w:rsidRDefault="009E7FA5" w:rsidP="008A0FC1">
      <w:pPr>
        <w:pStyle w:val="ListParagraph"/>
        <w:numPr>
          <w:ilvl w:val="0"/>
          <w:numId w:val="14"/>
        </w:numPr>
        <w:rPr>
          <w:rFonts w:ascii="Verdana" w:hAnsi="Verdana"/>
          <w:sz w:val="18"/>
          <w:szCs w:val="18"/>
          <w:lang w:val="en-US"/>
        </w:rPr>
      </w:pPr>
      <w:r>
        <w:rPr>
          <w:rFonts w:ascii="Verdana" w:hAnsi="Verdana"/>
          <w:sz w:val="18"/>
          <w:szCs w:val="18"/>
          <w:lang w:val="en-US"/>
        </w:rPr>
        <w:t>We do</w:t>
      </w:r>
      <w:r w:rsidR="008A0FC1" w:rsidRPr="008A0FC1">
        <w:rPr>
          <w:rFonts w:ascii="Verdana" w:hAnsi="Verdana"/>
          <w:sz w:val="18"/>
          <w:szCs w:val="18"/>
          <w:lang w:val="en-US"/>
        </w:rPr>
        <w:t xml:space="preserve"> not manage against this benchmark that has repair issues treatment. However, we would support a notion of including both offerings, i.e. taking into account the repair issuance.</w:t>
      </w:r>
    </w:p>
    <w:p w14:paraId="3C7ECD9F" w14:textId="54E1489B" w:rsidR="008A0FC1" w:rsidRDefault="008A0FC1" w:rsidP="008A0FC1">
      <w:pPr>
        <w:rPr>
          <w:rFonts w:ascii="Verdana" w:hAnsi="Verdana"/>
          <w:sz w:val="18"/>
          <w:szCs w:val="18"/>
        </w:rPr>
      </w:pPr>
      <w:r>
        <w:rPr>
          <w:rFonts w:ascii="Verdana" w:hAnsi="Verdana"/>
          <w:sz w:val="18"/>
          <w:szCs w:val="18"/>
        </w:rPr>
        <w:t xml:space="preserve"> </w:t>
      </w:r>
    </w:p>
    <w:p w14:paraId="61AB3FBE" w14:textId="6FB0A312" w:rsidR="008A0FC1" w:rsidRDefault="008A0FC1" w:rsidP="008A0FC1">
      <w:pPr>
        <w:rPr>
          <w:rFonts w:ascii="Verdana" w:hAnsi="Verdana"/>
          <w:i/>
          <w:iCs/>
          <w:sz w:val="18"/>
          <w:szCs w:val="18"/>
        </w:rPr>
      </w:pPr>
      <w:r w:rsidRPr="008A0FC1">
        <w:rPr>
          <w:rFonts w:ascii="Verdana" w:hAnsi="Verdana"/>
          <w:i/>
          <w:iCs/>
          <w:sz w:val="18"/>
          <w:szCs w:val="18"/>
        </w:rPr>
        <w:t xml:space="preserve">Do you support to change the current applied ratio for the threshold between dilutive and highly dilutive of 0.4 share per current share to a ratio of 2 shares per current </w:t>
      </w:r>
      <w:r w:rsidR="00214DB5">
        <w:rPr>
          <w:rFonts w:ascii="Verdana" w:hAnsi="Verdana"/>
          <w:i/>
          <w:iCs/>
          <w:sz w:val="18"/>
          <w:szCs w:val="18"/>
        </w:rPr>
        <w:t>share</w:t>
      </w:r>
      <w:r w:rsidRPr="008A0FC1">
        <w:rPr>
          <w:rFonts w:ascii="Verdana" w:hAnsi="Verdana"/>
          <w:i/>
          <w:iCs/>
          <w:sz w:val="18"/>
          <w:szCs w:val="18"/>
        </w:rPr>
        <w:t>?</w:t>
      </w:r>
    </w:p>
    <w:p w14:paraId="5AD6ADF2" w14:textId="566AF19A" w:rsidR="008A0FC1" w:rsidRPr="00214DB5" w:rsidRDefault="00214DB5" w:rsidP="00214DB5">
      <w:pPr>
        <w:pStyle w:val="ListParagraph"/>
        <w:numPr>
          <w:ilvl w:val="0"/>
          <w:numId w:val="14"/>
        </w:numPr>
        <w:rPr>
          <w:rFonts w:ascii="Verdana" w:hAnsi="Verdana"/>
          <w:i/>
          <w:iCs/>
          <w:sz w:val="18"/>
          <w:szCs w:val="18"/>
          <w:lang w:val="en-US"/>
        </w:rPr>
      </w:pPr>
      <w:r w:rsidRPr="00214DB5">
        <w:rPr>
          <w:rFonts w:ascii="Verdana" w:hAnsi="Verdana"/>
          <w:sz w:val="18"/>
          <w:szCs w:val="18"/>
          <w:lang w:val="en-US"/>
        </w:rPr>
        <w:t>Yes, I support to increase the threshold from 0.4 to 2 per current share</w:t>
      </w:r>
    </w:p>
    <w:p w14:paraId="5FC38A4B" w14:textId="6700912D" w:rsidR="00214DB5" w:rsidRPr="008522C5" w:rsidRDefault="00214DB5" w:rsidP="00214DB5">
      <w:pPr>
        <w:pStyle w:val="ListParagraph"/>
        <w:numPr>
          <w:ilvl w:val="0"/>
          <w:numId w:val="14"/>
        </w:numPr>
        <w:rPr>
          <w:rFonts w:ascii="Verdana" w:hAnsi="Verdana"/>
          <w:i/>
          <w:iCs/>
          <w:sz w:val="18"/>
          <w:szCs w:val="18"/>
          <w:lang w:val="en-US"/>
        </w:rPr>
      </w:pPr>
      <w:r w:rsidRPr="008522C5">
        <w:rPr>
          <w:rFonts w:ascii="Verdana" w:eastAsia="Times New Roman" w:hAnsi="Verdana"/>
          <w:sz w:val="18"/>
          <w:szCs w:val="18"/>
          <w:lang w:val="en-US"/>
        </w:rPr>
        <w:t>There should be no threshold based on the level of dilution.</w:t>
      </w:r>
    </w:p>
    <w:p w14:paraId="1BCE56B9" w14:textId="519364FC" w:rsidR="00214DB5" w:rsidRPr="008522C5" w:rsidRDefault="00214DB5" w:rsidP="00214DB5">
      <w:pPr>
        <w:pStyle w:val="ListParagraph"/>
        <w:numPr>
          <w:ilvl w:val="0"/>
          <w:numId w:val="14"/>
        </w:numPr>
        <w:rPr>
          <w:rFonts w:ascii="Verdana" w:hAnsi="Verdana"/>
          <w:i/>
          <w:iCs/>
          <w:sz w:val="18"/>
          <w:szCs w:val="18"/>
          <w:lang w:val="en-US"/>
        </w:rPr>
      </w:pPr>
      <w:r w:rsidRPr="008522C5">
        <w:rPr>
          <w:rFonts w:ascii="Verdana" w:hAnsi="Verdana"/>
          <w:sz w:val="18"/>
          <w:szCs w:val="18"/>
          <w:lang w:val="en-US"/>
        </w:rPr>
        <w:t>Yes, I support the increased threshold, but only if the proposed new treatment is for highly dilutive and extremely dilutive rights issues is adopted</w:t>
      </w:r>
    </w:p>
    <w:p w14:paraId="1055FBA8" w14:textId="342F2225" w:rsidR="008A0FC1" w:rsidRPr="009E7FA5" w:rsidRDefault="008A0FC1" w:rsidP="008A0FC1">
      <w:pPr>
        <w:rPr>
          <w:rFonts w:ascii="Verdana" w:hAnsi="Verdana"/>
          <w:sz w:val="18"/>
          <w:szCs w:val="18"/>
        </w:rPr>
      </w:pPr>
    </w:p>
    <w:p w14:paraId="468EDE12" w14:textId="1C2DAB15" w:rsidR="009E7FA5" w:rsidRPr="009E7FA5" w:rsidRDefault="009E7FA5" w:rsidP="009E7FA5">
      <w:pPr>
        <w:rPr>
          <w:rFonts w:ascii="Verdana" w:hAnsi="Verdana"/>
          <w:i/>
          <w:iCs/>
          <w:sz w:val="18"/>
          <w:szCs w:val="18"/>
        </w:rPr>
      </w:pPr>
      <w:r w:rsidRPr="009E7FA5">
        <w:rPr>
          <w:rFonts w:ascii="Verdana" w:hAnsi="Verdana"/>
          <w:i/>
          <w:iCs/>
          <w:sz w:val="18"/>
          <w:szCs w:val="18"/>
        </w:rPr>
        <w:t xml:space="preserve">Do you support the creation of two temporary lines for traded rights and cash in case of highly dilutive rights issues (between 2 and 20 shares for every share)? </w:t>
      </w:r>
    </w:p>
    <w:p w14:paraId="0DB13109" w14:textId="12DD7066" w:rsidR="009E7FA5" w:rsidRPr="009E7FA5" w:rsidRDefault="009E7FA5" w:rsidP="009E7FA5">
      <w:pPr>
        <w:pStyle w:val="ListParagraph"/>
        <w:numPr>
          <w:ilvl w:val="0"/>
          <w:numId w:val="14"/>
        </w:numPr>
        <w:rPr>
          <w:rFonts w:ascii="Verdana" w:hAnsi="Verdana"/>
          <w:i/>
          <w:iCs/>
          <w:sz w:val="18"/>
          <w:szCs w:val="18"/>
          <w:lang w:val="en-US"/>
        </w:rPr>
      </w:pPr>
      <w:r w:rsidRPr="009E7FA5">
        <w:rPr>
          <w:rFonts w:ascii="Verdana" w:hAnsi="Verdana"/>
          <w:sz w:val="18"/>
          <w:szCs w:val="18"/>
          <w:lang w:val="en-US"/>
        </w:rPr>
        <w:t>Yes, I support the inclusion of two temporarily lines.</w:t>
      </w:r>
    </w:p>
    <w:p w14:paraId="542DBD04" w14:textId="3EAC4080" w:rsidR="009E7FA5" w:rsidRPr="00037B6E" w:rsidRDefault="009E7FA5" w:rsidP="009E7FA5">
      <w:pPr>
        <w:pStyle w:val="ListParagraph"/>
        <w:numPr>
          <w:ilvl w:val="0"/>
          <w:numId w:val="14"/>
        </w:numPr>
        <w:rPr>
          <w:rFonts w:ascii="Verdana" w:hAnsi="Verdana"/>
          <w:i/>
          <w:iCs/>
          <w:sz w:val="18"/>
          <w:szCs w:val="18"/>
          <w:lang w:val="en-US"/>
        </w:rPr>
      </w:pPr>
      <w:r w:rsidRPr="009E7FA5">
        <w:rPr>
          <w:rFonts w:ascii="Verdana" w:hAnsi="Verdana"/>
          <w:sz w:val="18"/>
          <w:szCs w:val="18"/>
          <w:lang w:val="en-US"/>
        </w:rPr>
        <w:t>No, the treatment for highly dilutive rights issues should be the same as for dilutive rights issues</w:t>
      </w:r>
    </w:p>
    <w:p w14:paraId="71335719" w14:textId="7241B396" w:rsidR="00037B6E" w:rsidRPr="00F45C48" w:rsidRDefault="00037B6E" w:rsidP="000B081B">
      <w:pPr>
        <w:pStyle w:val="ListParagraph"/>
        <w:numPr>
          <w:ilvl w:val="0"/>
          <w:numId w:val="21"/>
        </w:numPr>
        <w:contextualSpacing w:val="0"/>
        <w:rPr>
          <w:rFonts w:ascii="Verdana" w:hAnsi="Verdana"/>
          <w:i/>
          <w:iCs/>
          <w:sz w:val="18"/>
          <w:szCs w:val="18"/>
          <w:lang w:val="en-US"/>
        </w:rPr>
      </w:pPr>
      <w:r w:rsidRPr="00F45C48">
        <w:rPr>
          <w:rFonts w:ascii="Verdana" w:hAnsi="Verdana"/>
          <w:sz w:val="18"/>
          <w:szCs w:val="18"/>
          <w:lang w:val="en-US"/>
        </w:rPr>
        <w:t xml:space="preserve">In the case of highly dilutive rights, we would expect to have the cash held back (cash line) and the rights added to the index on </w:t>
      </w:r>
      <w:proofErr w:type="spellStart"/>
      <w:r w:rsidRPr="00F45C48">
        <w:rPr>
          <w:rFonts w:ascii="Verdana" w:hAnsi="Verdana"/>
          <w:sz w:val="18"/>
          <w:szCs w:val="18"/>
          <w:lang w:val="en-US"/>
        </w:rPr>
        <w:t>exDate</w:t>
      </w:r>
      <w:proofErr w:type="spellEnd"/>
      <w:r w:rsidRPr="00F45C48">
        <w:rPr>
          <w:rFonts w:ascii="Verdana" w:hAnsi="Verdana"/>
          <w:sz w:val="18"/>
          <w:szCs w:val="18"/>
          <w:lang w:val="en-US"/>
        </w:rPr>
        <w:t xml:space="preserve">. </w:t>
      </w:r>
      <w:r w:rsidRPr="00F45C48">
        <w:rPr>
          <w:rFonts w:ascii="Verdana" w:eastAsia="Times New Roman" w:hAnsi="Verdana"/>
          <w:sz w:val="18"/>
          <w:szCs w:val="18"/>
          <w:lang w:val="en-GB"/>
        </w:rPr>
        <w:t xml:space="preserve">All three components – Parent, Rights and </w:t>
      </w:r>
      <w:proofErr w:type="spellStart"/>
      <w:r w:rsidRPr="00F45C48">
        <w:rPr>
          <w:rFonts w:ascii="Verdana" w:eastAsia="Times New Roman" w:hAnsi="Verdana"/>
          <w:sz w:val="18"/>
          <w:szCs w:val="18"/>
          <w:lang w:val="en-GB"/>
        </w:rPr>
        <w:t>Subcost</w:t>
      </w:r>
      <w:proofErr w:type="spellEnd"/>
      <w:r w:rsidRPr="00F45C48">
        <w:rPr>
          <w:rFonts w:ascii="Verdana" w:eastAsia="Times New Roman" w:hAnsi="Verdana"/>
          <w:sz w:val="18"/>
          <w:szCs w:val="18"/>
          <w:lang w:val="en-GB"/>
        </w:rPr>
        <w:t xml:space="preserve"> (i.e. cash line) – would be aligned on the same </w:t>
      </w:r>
      <w:proofErr w:type="spellStart"/>
      <w:r w:rsidRPr="00F45C48">
        <w:rPr>
          <w:rFonts w:ascii="Verdana" w:eastAsia="Times New Roman" w:hAnsi="Verdana"/>
          <w:sz w:val="18"/>
          <w:szCs w:val="18"/>
          <w:lang w:val="en-GB"/>
        </w:rPr>
        <w:t>exDate</w:t>
      </w:r>
      <w:proofErr w:type="spellEnd"/>
      <w:r w:rsidRPr="00F45C48">
        <w:rPr>
          <w:rFonts w:ascii="Verdana" w:eastAsia="Times New Roman" w:hAnsi="Verdana"/>
          <w:sz w:val="18"/>
          <w:szCs w:val="18"/>
          <w:lang w:val="en-GB"/>
        </w:rPr>
        <w:t xml:space="preserve"> to reflect all exposures. </w:t>
      </w:r>
      <w:r w:rsidRPr="00F45C48">
        <w:rPr>
          <w:rFonts w:ascii="Verdana" w:eastAsia="Times New Roman" w:hAnsi="Verdana"/>
          <w:sz w:val="18"/>
          <w:szCs w:val="18"/>
          <w:lang w:val="en-GB" w:eastAsia="en-US"/>
        </w:rPr>
        <w:t xml:space="preserve">On the pay date, the share of the parent would increase.  The rights line and the cash line would drop off. </w:t>
      </w:r>
    </w:p>
    <w:p w14:paraId="6E06CA7A" w14:textId="77777777" w:rsidR="009E7FA5" w:rsidRPr="00214DB5" w:rsidRDefault="009E7FA5" w:rsidP="009E7FA5">
      <w:pPr>
        <w:pStyle w:val="ListParagraph"/>
        <w:ind w:left="1440"/>
        <w:rPr>
          <w:rFonts w:ascii="Verdana" w:hAnsi="Verdana"/>
          <w:i/>
          <w:iCs/>
          <w:sz w:val="18"/>
          <w:szCs w:val="18"/>
          <w:lang w:val="en-US"/>
        </w:rPr>
      </w:pPr>
    </w:p>
    <w:p w14:paraId="5AB31FC9" w14:textId="2A32BED8" w:rsidR="009E7FA5" w:rsidRPr="00B875DD" w:rsidRDefault="009E7FA5" w:rsidP="009E7FA5">
      <w:pPr>
        <w:rPr>
          <w:rFonts w:ascii="Verdana" w:hAnsi="Verdana"/>
          <w:i/>
          <w:iCs/>
          <w:sz w:val="18"/>
          <w:szCs w:val="18"/>
        </w:rPr>
      </w:pPr>
      <w:r w:rsidRPr="00B875DD">
        <w:rPr>
          <w:rFonts w:ascii="Verdana" w:hAnsi="Verdana"/>
          <w:i/>
          <w:iCs/>
          <w:sz w:val="18"/>
          <w:szCs w:val="18"/>
        </w:rPr>
        <w:t>Which treatment do you support in case of rights that are not tradeable for highly dilutive rights issues (between 2 and 20 shares for every share)?</w:t>
      </w:r>
    </w:p>
    <w:p w14:paraId="470C49DA" w14:textId="49C5FDFB" w:rsidR="00B875DD" w:rsidRPr="00B875DD" w:rsidRDefault="00B875DD" w:rsidP="00B875DD">
      <w:pPr>
        <w:pStyle w:val="ListParagraph"/>
        <w:numPr>
          <w:ilvl w:val="0"/>
          <w:numId w:val="14"/>
        </w:numPr>
        <w:rPr>
          <w:rFonts w:ascii="Verdana" w:hAnsi="Verdana"/>
          <w:i/>
          <w:iCs/>
          <w:sz w:val="18"/>
          <w:szCs w:val="18"/>
          <w:lang w:val="en-US"/>
        </w:rPr>
      </w:pPr>
      <w:r w:rsidRPr="00B875DD">
        <w:rPr>
          <w:rFonts w:ascii="Verdana" w:hAnsi="Verdana"/>
          <w:sz w:val="18"/>
          <w:szCs w:val="18"/>
          <w:lang w:val="en-US"/>
        </w:rPr>
        <w:t>I prefer to make no adjustment in this situation</w:t>
      </w:r>
    </w:p>
    <w:p w14:paraId="4BAD6292" w14:textId="71A5CE15" w:rsidR="00B875DD" w:rsidRPr="00B875DD" w:rsidRDefault="00B875DD" w:rsidP="00B875DD">
      <w:pPr>
        <w:pStyle w:val="ListParagraph"/>
        <w:numPr>
          <w:ilvl w:val="0"/>
          <w:numId w:val="14"/>
        </w:numPr>
        <w:rPr>
          <w:rFonts w:ascii="Verdana" w:hAnsi="Verdana"/>
          <w:i/>
          <w:iCs/>
          <w:sz w:val="18"/>
          <w:szCs w:val="18"/>
          <w:lang w:val="en-US"/>
        </w:rPr>
      </w:pPr>
      <w:r w:rsidRPr="00B875DD">
        <w:rPr>
          <w:rFonts w:ascii="Verdana" w:hAnsi="Verdana"/>
          <w:sz w:val="18"/>
          <w:szCs w:val="18"/>
          <w:lang w:val="en-US"/>
        </w:rPr>
        <w:t>I support the use of a theoretical value for rights that are not tradeable at all</w:t>
      </w:r>
    </w:p>
    <w:p w14:paraId="00DFDF4A" w14:textId="0D75E09A" w:rsidR="00B875DD" w:rsidRPr="00B875DD" w:rsidRDefault="00B875DD" w:rsidP="00B875DD">
      <w:pPr>
        <w:pStyle w:val="ListParagraph"/>
        <w:numPr>
          <w:ilvl w:val="0"/>
          <w:numId w:val="14"/>
        </w:numPr>
        <w:rPr>
          <w:rFonts w:ascii="Verdana" w:hAnsi="Verdana"/>
          <w:i/>
          <w:iCs/>
          <w:sz w:val="18"/>
          <w:szCs w:val="18"/>
          <w:lang w:val="en-US"/>
        </w:rPr>
      </w:pPr>
      <w:r w:rsidRPr="00B875DD">
        <w:rPr>
          <w:rFonts w:ascii="Verdana" w:hAnsi="Verdana"/>
          <w:sz w:val="18"/>
          <w:szCs w:val="18"/>
          <w:lang w:val="en-US"/>
        </w:rPr>
        <w:t>I support to only apply an adjusted price for rights that are not tradeable at all</w:t>
      </w:r>
    </w:p>
    <w:p w14:paraId="7E3629F7" w14:textId="1A2F07AE" w:rsidR="00B875DD" w:rsidRPr="00B875DD" w:rsidRDefault="00B875DD" w:rsidP="00B875DD">
      <w:pPr>
        <w:pStyle w:val="ListParagraph"/>
        <w:numPr>
          <w:ilvl w:val="0"/>
          <w:numId w:val="14"/>
        </w:numPr>
        <w:rPr>
          <w:rFonts w:ascii="Verdana" w:hAnsi="Verdana"/>
          <w:i/>
          <w:iCs/>
          <w:sz w:val="18"/>
          <w:szCs w:val="18"/>
          <w:lang w:val="en-US"/>
        </w:rPr>
      </w:pPr>
      <w:r w:rsidRPr="00B875DD">
        <w:rPr>
          <w:rFonts w:ascii="Verdana" w:eastAsia="Times New Roman" w:hAnsi="Verdana"/>
          <w:sz w:val="18"/>
          <w:szCs w:val="18"/>
          <w:lang w:val="en-US"/>
        </w:rPr>
        <w:t>In that case, I would advise to use the extremely dilutive right issue rule and remove the component from index before the right goes ex if it can be notified at least 2 days beforehand. Otherwise, I suggest to add a cash line and a right line to the index (or an artifact line to represent the right line)</w:t>
      </w:r>
    </w:p>
    <w:p w14:paraId="77D0262E" w14:textId="77777777" w:rsidR="00B875DD" w:rsidRPr="00B875DD" w:rsidRDefault="00B875DD" w:rsidP="009E7FA5">
      <w:pPr>
        <w:rPr>
          <w:rFonts w:ascii="Verdana" w:hAnsi="Verdana"/>
          <w:i/>
          <w:iCs/>
          <w:sz w:val="20"/>
          <w:szCs w:val="20"/>
          <w:lang w:val="en-US"/>
        </w:rPr>
      </w:pPr>
    </w:p>
    <w:p w14:paraId="16722055" w14:textId="7B7B217E" w:rsidR="00B875DD" w:rsidRPr="00B875DD" w:rsidRDefault="00B875DD" w:rsidP="00B875DD">
      <w:pPr>
        <w:rPr>
          <w:rFonts w:ascii="Verdana" w:hAnsi="Verdana"/>
          <w:i/>
          <w:iCs/>
          <w:sz w:val="18"/>
          <w:szCs w:val="18"/>
        </w:rPr>
      </w:pPr>
      <w:r w:rsidRPr="00B875DD">
        <w:rPr>
          <w:rFonts w:ascii="Verdana" w:hAnsi="Verdana"/>
          <w:i/>
          <w:iCs/>
          <w:sz w:val="18"/>
          <w:szCs w:val="18"/>
        </w:rPr>
        <w:t>Do you support the proposed change for extremely dilutive rights issues (more than 20 new shares for every share) to remove the current constituent if the removal can be announced two day before the ex-date and if not, to treat this as a highly dilutive rights issue?</w:t>
      </w:r>
    </w:p>
    <w:p w14:paraId="2CF47A99" w14:textId="5F3BB12C" w:rsidR="00B875DD" w:rsidRPr="00B875DD" w:rsidRDefault="00B875DD" w:rsidP="00B875DD">
      <w:pPr>
        <w:pStyle w:val="ListParagraph"/>
        <w:numPr>
          <w:ilvl w:val="0"/>
          <w:numId w:val="14"/>
        </w:numPr>
        <w:rPr>
          <w:rFonts w:ascii="Verdana" w:hAnsi="Verdana"/>
          <w:i/>
          <w:iCs/>
          <w:sz w:val="18"/>
          <w:szCs w:val="18"/>
          <w:lang w:val="en-US"/>
        </w:rPr>
      </w:pPr>
      <w:r w:rsidRPr="00B875DD">
        <w:rPr>
          <w:rFonts w:ascii="Verdana" w:hAnsi="Verdana"/>
          <w:sz w:val="18"/>
          <w:szCs w:val="18"/>
          <w:lang w:val="en-US"/>
        </w:rPr>
        <w:t>Yes, I support the removal of the current constituent</w:t>
      </w:r>
    </w:p>
    <w:p w14:paraId="1008D60E" w14:textId="3B201092" w:rsidR="00B875DD" w:rsidRPr="00B875DD" w:rsidRDefault="00B875DD" w:rsidP="00B875DD">
      <w:pPr>
        <w:pStyle w:val="ListParagraph"/>
        <w:numPr>
          <w:ilvl w:val="0"/>
          <w:numId w:val="14"/>
        </w:numPr>
        <w:rPr>
          <w:rFonts w:ascii="Verdana" w:hAnsi="Verdana"/>
          <w:i/>
          <w:iCs/>
          <w:sz w:val="18"/>
          <w:szCs w:val="18"/>
          <w:lang w:val="en-US"/>
        </w:rPr>
      </w:pPr>
      <w:r w:rsidRPr="00B875DD">
        <w:rPr>
          <w:rFonts w:ascii="Verdana" w:hAnsi="Verdana"/>
          <w:sz w:val="18"/>
          <w:szCs w:val="18"/>
          <w:lang w:val="en-US"/>
        </w:rPr>
        <w:t>No, the treatment for extremely dilutive rights issues should be the same as for highly dilutive rights issues in every situation</w:t>
      </w:r>
    </w:p>
    <w:p w14:paraId="5828724D" w14:textId="78EE358E" w:rsidR="00B875DD" w:rsidRPr="00B875DD" w:rsidRDefault="00B875DD" w:rsidP="00B875DD">
      <w:pPr>
        <w:pStyle w:val="ListParagraph"/>
        <w:numPr>
          <w:ilvl w:val="0"/>
          <w:numId w:val="14"/>
        </w:numPr>
        <w:rPr>
          <w:rFonts w:ascii="Verdana" w:hAnsi="Verdana"/>
          <w:i/>
          <w:iCs/>
          <w:sz w:val="18"/>
          <w:szCs w:val="18"/>
          <w:lang w:val="en-US"/>
        </w:rPr>
      </w:pPr>
      <w:r w:rsidRPr="00B875DD">
        <w:rPr>
          <w:rFonts w:ascii="Verdana" w:eastAsia="Times New Roman" w:hAnsi="Verdana"/>
          <w:sz w:val="18"/>
          <w:szCs w:val="18"/>
          <w:lang w:val="en-US"/>
        </w:rPr>
        <w:t>Yes I support the removal of the constituent in case it can be notified in due time and the application of the highly dilutive rule otherwise but taking into account my previous comments on the highly dilutive rule</w:t>
      </w:r>
    </w:p>
    <w:p w14:paraId="65897215" w14:textId="13E5CA1C" w:rsidR="00B875DD" w:rsidRPr="00B875DD" w:rsidRDefault="00B875DD" w:rsidP="00B875DD">
      <w:pPr>
        <w:pStyle w:val="ListParagraph"/>
        <w:numPr>
          <w:ilvl w:val="0"/>
          <w:numId w:val="14"/>
        </w:numPr>
        <w:rPr>
          <w:rFonts w:ascii="Verdana" w:hAnsi="Verdana"/>
          <w:i/>
          <w:iCs/>
          <w:sz w:val="18"/>
          <w:szCs w:val="18"/>
          <w:lang w:val="en-US"/>
        </w:rPr>
      </w:pPr>
      <w:r w:rsidRPr="00B875DD">
        <w:rPr>
          <w:rFonts w:ascii="Verdana" w:eastAsia="Times New Roman" w:hAnsi="Verdana"/>
          <w:sz w:val="18"/>
          <w:szCs w:val="18"/>
          <w:lang w:val="en-US"/>
        </w:rPr>
        <w:t xml:space="preserve">Extreme dilution (significant capital infusion via rights option) may lead to a stock price fall and a sale of the entire position may have a further downward pressure on the stock price. However, if the constituent is removed, a market sensitive trading strategy may be necessary so 2 day notice prior to the </w:t>
      </w:r>
      <w:proofErr w:type="spellStart"/>
      <w:r w:rsidRPr="00B875DD">
        <w:rPr>
          <w:rFonts w:ascii="Verdana" w:eastAsia="Times New Roman" w:hAnsi="Verdana"/>
          <w:sz w:val="18"/>
          <w:szCs w:val="18"/>
          <w:lang w:val="en-US"/>
        </w:rPr>
        <w:t>exDate</w:t>
      </w:r>
      <w:proofErr w:type="spellEnd"/>
      <w:r w:rsidRPr="00B875DD">
        <w:rPr>
          <w:rFonts w:ascii="Verdana" w:eastAsia="Times New Roman" w:hAnsi="Verdana"/>
          <w:sz w:val="18"/>
          <w:szCs w:val="18"/>
          <w:lang w:val="en-US"/>
        </w:rPr>
        <w:t xml:space="preserve"> is highly valued.</w:t>
      </w:r>
    </w:p>
    <w:p w14:paraId="68977BB8" w14:textId="77777777" w:rsidR="00B875DD" w:rsidRPr="00B875DD" w:rsidRDefault="00B875DD" w:rsidP="00B875DD">
      <w:pPr>
        <w:ind w:left="720"/>
        <w:rPr>
          <w:rFonts w:ascii="Verdana" w:hAnsi="Verdana"/>
          <w:sz w:val="20"/>
          <w:szCs w:val="20"/>
          <w:lang w:val="en-US"/>
        </w:rPr>
      </w:pPr>
    </w:p>
    <w:p w14:paraId="075DF1A0" w14:textId="7701B1D2" w:rsidR="00B875DD" w:rsidRPr="00825E17" w:rsidRDefault="00825E17" w:rsidP="00B875DD">
      <w:pPr>
        <w:rPr>
          <w:rFonts w:ascii="Verdana" w:hAnsi="Verdana"/>
          <w:i/>
          <w:iCs/>
          <w:sz w:val="18"/>
          <w:szCs w:val="18"/>
        </w:rPr>
      </w:pPr>
      <w:r w:rsidRPr="00825E17">
        <w:rPr>
          <w:rFonts w:ascii="Verdana" w:hAnsi="Verdana"/>
          <w:i/>
          <w:iCs/>
          <w:sz w:val="18"/>
          <w:szCs w:val="18"/>
        </w:rPr>
        <w:t>Do you support the proposed change for reinvesting the value of rights in the share only?</w:t>
      </w:r>
    </w:p>
    <w:p w14:paraId="2577B914" w14:textId="77777777" w:rsidR="00825E17" w:rsidRPr="00825E17" w:rsidRDefault="00825E17" w:rsidP="00825E17">
      <w:pPr>
        <w:pStyle w:val="ListParagraph"/>
        <w:numPr>
          <w:ilvl w:val="0"/>
          <w:numId w:val="14"/>
        </w:numPr>
        <w:rPr>
          <w:rFonts w:ascii="Verdana" w:hAnsi="Verdana"/>
          <w:i/>
          <w:iCs/>
          <w:sz w:val="18"/>
          <w:szCs w:val="18"/>
          <w:lang w:val="en-US"/>
        </w:rPr>
      </w:pPr>
      <w:r w:rsidRPr="00825E17">
        <w:rPr>
          <w:rFonts w:ascii="Verdana" w:hAnsi="Verdana"/>
          <w:sz w:val="18"/>
          <w:szCs w:val="18"/>
          <w:lang w:val="en-US"/>
        </w:rPr>
        <w:lastRenderedPageBreak/>
        <w:t>Yes, I favor to change the treatment of rights issues to the method of reinvesting in the share itself.</w:t>
      </w:r>
      <w:r w:rsidRPr="00825E17">
        <w:rPr>
          <w:rFonts w:ascii="Verdana" w:eastAsia="Times New Roman" w:hAnsi="Verdana"/>
          <w:sz w:val="18"/>
          <w:szCs w:val="18"/>
          <w:lang w:val="en-US"/>
        </w:rPr>
        <w:t xml:space="preserve"> </w:t>
      </w:r>
    </w:p>
    <w:p w14:paraId="7720701A" w14:textId="7CA9BD96" w:rsidR="00825E17" w:rsidRPr="007E36D5" w:rsidRDefault="00825E17" w:rsidP="00825E17">
      <w:pPr>
        <w:pStyle w:val="ListParagraph"/>
        <w:numPr>
          <w:ilvl w:val="0"/>
          <w:numId w:val="14"/>
        </w:numPr>
        <w:rPr>
          <w:rFonts w:ascii="Verdana" w:hAnsi="Verdana"/>
          <w:i/>
          <w:iCs/>
          <w:sz w:val="18"/>
          <w:szCs w:val="18"/>
          <w:lang w:val="en-US"/>
        </w:rPr>
      </w:pPr>
      <w:r w:rsidRPr="00825E17">
        <w:rPr>
          <w:rFonts w:ascii="Verdana" w:eastAsia="Times New Roman" w:hAnsi="Verdana"/>
          <w:sz w:val="18"/>
          <w:szCs w:val="18"/>
          <w:lang w:val="en-US"/>
        </w:rPr>
        <w:t xml:space="preserve">I support the proposition to reinvest the value of the right in the share in case the Ratio is below 2 by letting the share's weight unchanged. If the ratio exceeds 2, highly dilutive and extremely dilutive rules should apply to ensure (or at least increase the probability) of replicability of the indices. In the case the highly dilutive rule would apply, the weight of the shares before the </w:t>
      </w:r>
      <w:proofErr w:type="spellStart"/>
      <w:r w:rsidRPr="00825E17">
        <w:rPr>
          <w:rFonts w:ascii="Verdana" w:eastAsia="Times New Roman" w:hAnsi="Verdana"/>
          <w:sz w:val="18"/>
          <w:szCs w:val="18"/>
          <w:lang w:val="en-US"/>
        </w:rPr>
        <w:t>ex date</w:t>
      </w:r>
      <w:proofErr w:type="spellEnd"/>
      <w:r w:rsidRPr="00825E17">
        <w:rPr>
          <w:rFonts w:ascii="Verdana" w:eastAsia="Times New Roman" w:hAnsi="Verdana"/>
          <w:sz w:val="18"/>
          <w:szCs w:val="18"/>
          <w:lang w:val="en-US"/>
        </w:rPr>
        <w:t xml:space="preserve"> should equal the weight of the cash line + the share line + the right line.</w:t>
      </w:r>
    </w:p>
    <w:p w14:paraId="16DB1037" w14:textId="45E71841" w:rsidR="007E36D5" w:rsidRPr="007E36D5" w:rsidRDefault="007E36D5" w:rsidP="007E36D5">
      <w:pPr>
        <w:pStyle w:val="ListParagraph"/>
        <w:numPr>
          <w:ilvl w:val="0"/>
          <w:numId w:val="14"/>
        </w:numPr>
        <w:rPr>
          <w:rFonts w:ascii="Verdana" w:hAnsi="Verdana"/>
          <w:sz w:val="18"/>
          <w:szCs w:val="18"/>
          <w:lang w:val="en-US"/>
        </w:rPr>
      </w:pPr>
      <w:r w:rsidRPr="007E36D5">
        <w:rPr>
          <w:rFonts w:ascii="Verdana" w:hAnsi="Verdana"/>
          <w:sz w:val="18"/>
          <w:szCs w:val="18"/>
          <w:lang w:val="en-US"/>
        </w:rPr>
        <w:t>If the proposed rule is rather more in line with market standards than your current rule for Non-Market Cap weighted Indices then it should be fine</w:t>
      </w:r>
    </w:p>
    <w:p w14:paraId="1F16D990" w14:textId="3CA52E24" w:rsidR="00825E17" w:rsidRPr="00825E17" w:rsidRDefault="00825E17" w:rsidP="00825E17">
      <w:pPr>
        <w:pStyle w:val="ListParagraph"/>
        <w:numPr>
          <w:ilvl w:val="0"/>
          <w:numId w:val="14"/>
        </w:numPr>
        <w:rPr>
          <w:rFonts w:ascii="Verdana" w:hAnsi="Verdana"/>
          <w:i/>
          <w:iCs/>
          <w:sz w:val="18"/>
          <w:szCs w:val="18"/>
          <w:lang w:val="en-US"/>
        </w:rPr>
      </w:pPr>
      <w:r w:rsidRPr="00825E17">
        <w:rPr>
          <w:rFonts w:ascii="Verdana" w:hAnsi="Verdana"/>
          <w:sz w:val="18"/>
          <w:szCs w:val="18"/>
        </w:rPr>
        <w:t>No opinion</w:t>
      </w:r>
    </w:p>
    <w:p w14:paraId="27E7FB37" w14:textId="1DD8B29B" w:rsidR="00825E17" w:rsidRPr="007E36D5" w:rsidRDefault="00825E17" w:rsidP="00825E17">
      <w:pPr>
        <w:pStyle w:val="ListParagraph"/>
        <w:numPr>
          <w:ilvl w:val="0"/>
          <w:numId w:val="14"/>
        </w:numPr>
        <w:rPr>
          <w:rFonts w:ascii="Verdana" w:hAnsi="Verdana"/>
          <w:i/>
          <w:iCs/>
          <w:sz w:val="18"/>
          <w:szCs w:val="18"/>
          <w:lang w:val="en-US"/>
        </w:rPr>
      </w:pPr>
      <w:r>
        <w:rPr>
          <w:rFonts w:ascii="Verdana" w:hAnsi="Verdana"/>
          <w:sz w:val="18"/>
          <w:szCs w:val="18"/>
          <w:lang w:val="en-US"/>
        </w:rPr>
        <w:t>We do</w:t>
      </w:r>
      <w:r w:rsidRPr="00825E17">
        <w:rPr>
          <w:rFonts w:ascii="Verdana" w:hAnsi="Verdana"/>
          <w:sz w:val="18"/>
          <w:szCs w:val="18"/>
          <w:lang w:val="en-US"/>
        </w:rPr>
        <w:t xml:space="preserve"> not manage funds against any Euronext non-market cap weighted indices.</w:t>
      </w:r>
    </w:p>
    <w:p w14:paraId="1D48AB45" w14:textId="77777777" w:rsidR="007E36D5" w:rsidRPr="007E36D5" w:rsidRDefault="007E36D5" w:rsidP="007E36D5">
      <w:pPr>
        <w:pStyle w:val="ListParagraph"/>
        <w:ind w:left="1440"/>
        <w:rPr>
          <w:rFonts w:ascii="Verdana" w:hAnsi="Verdana"/>
          <w:i/>
          <w:iCs/>
          <w:sz w:val="18"/>
          <w:szCs w:val="18"/>
          <w:lang w:val="en-US"/>
        </w:rPr>
      </w:pPr>
    </w:p>
    <w:p w14:paraId="3A86CC52" w14:textId="77777777" w:rsidR="00825E17" w:rsidRPr="00E9105C" w:rsidRDefault="00825E17" w:rsidP="00825E17">
      <w:pPr>
        <w:rPr>
          <w:rFonts w:ascii="Verdana" w:hAnsi="Verdana"/>
          <w:i/>
          <w:iCs/>
          <w:sz w:val="18"/>
          <w:szCs w:val="18"/>
        </w:rPr>
      </w:pPr>
      <w:r w:rsidRPr="00E9105C">
        <w:rPr>
          <w:rFonts w:ascii="Verdana" w:hAnsi="Verdana"/>
          <w:i/>
          <w:iCs/>
          <w:sz w:val="18"/>
          <w:szCs w:val="18"/>
        </w:rPr>
        <w:t>Do you support the proposed change for extremely dilutive rights issues (more than 20 new shares for every share)?</w:t>
      </w:r>
    </w:p>
    <w:p w14:paraId="5E581518" w14:textId="4B924D4D" w:rsidR="00825E17" w:rsidRPr="00E9105C" w:rsidRDefault="00E9105C" w:rsidP="00825E17">
      <w:pPr>
        <w:pStyle w:val="ListParagraph"/>
        <w:numPr>
          <w:ilvl w:val="0"/>
          <w:numId w:val="14"/>
        </w:numPr>
        <w:rPr>
          <w:rFonts w:ascii="Verdana" w:hAnsi="Verdana"/>
          <w:i/>
          <w:iCs/>
          <w:sz w:val="18"/>
          <w:szCs w:val="18"/>
          <w:lang w:val="en-US"/>
        </w:rPr>
      </w:pPr>
      <w:r w:rsidRPr="00E9105C">
        <w:rPr>
          <w:rFonts w:ascii="Verdana" w:hAnsi="Verdana"/>
          <w:sz w:val="18"/>
          <w:szCs w:val="18"/>
          <w:lang w:val="en-US"/>
        </w:rPr>
        <w:t>Yes, removal (until next review) is appropriate for extremely dilutive rights issues.</w:t>
      </w:r>
    </w:p>
    <w:p w14:paraId="46AC7025" w14:textId="210DA048" w:rsidR="00E9105C" w:rsidRPr="00E9105C" w:rsidRDefault="00E9105C" w:rsidP="00825E17">
      <w:pPr>
        <w:pStyle w:val="ListParagraph"/>
        <w:numPr>
          <w:ilvl w:val="0"/>
          <w:numId w:val="14"/>
        </w:numPr>
        <w:rPr>
          <w:rFonts w:ascii="Verdana" w:hAnsi="Verdana"/>
          <w:i/>
          <w:iCs/>
          <w:sz w:val="18"/>
          <w:szCs w:val="18"/>
          <w:lang w:val="en-US"/>
        </w:rPr>
      </w:pPr>
      <w:r w:rsidRPr="00E9105C">
        <w:rPr>
          <w:rFonts w:ascii="Verdana" w:hAnsi="Verdana"/>
          <w:sz w:val="18"/>
          <w:szCs w:val="18"/>
          <w:lang w:val="en-US"/>
        </w:rPr>
        <w:t>No, the treatment for extremely dilutive rights issues should be the same as for other rights issues</w:t>
      </w:r>
    </w:p>
    <w:p w14:paraId="0B14C2A5" w14:textId="77777777" w:rsidR="00E9105C" w:rsidRPr="00E9105C" w:rsidRDefault="00E9105C" w:rsidP="00E9105C">
      <w:pPr>
        <w:pStyle w:val="ListParagraph"/>
        <w:numPr>
          <w:ilvl w:val="0"/>
          <w:numId w:val="14"/>
        </w:numPr>
        <w:rPr>
          <w:rFonts w:ascii="Verdana" w:hAnsi="Verdana"/>
          <w:i/>
          <w:iCs/>
          <w:sz w:val="18"/>
          <w:szCs w:val="18"/>
          <w:lang w:val="en-US"/>
        </w:rPr>
      </w:pPr>
      <w:r w:rsidRPr="00E9105C">
        <w:rPr>
          <w:rFonts w:ascii="Verdana" w:hAnsi="Verdana"/>
          <w:sz w:val="18"/>
          <w:szCs w:val="18"/>
        </w:rPr>
        <w:t>No opinion</w:t>
      </w:r>
    </w:p>
    <w:p w14:paraId="22CAAA86" w14:textId="00CFCD43" w:rsidR="00E9105C" w:rsidRPr="00E9105C" w:rsidRDefault="00E9105C" w:rsidP="00825E17">
      <w:pPr>
        <w:pStyle w:val="ListParagraph"/>
        <w:numPr>
          <w:ilvl w:val="0"/>
          <w:numId w:val="14"/>
        </w:numPr>
        <w:rPr>
          <w:rFonts w:ascii="Verdana" w:hAnsi="Verdana"/>
          <w:i/>
          <w:iCs/>
          <w:sz w:val="18"/>
          <w:szCs w:val="18"/>
          <w:lang w:val="en-US"/>
        </w:rPr>
      </w:pPr>
      <w:r w:rsidRPr="00E9105C">
        <w:rPr>
          <w:rFonts w:ascii="Verdana" w:hAnsi="Verdana"/>
          <w:sz w:val="18"/>
          <w:szCs w:val="18"/>
          <w:lang w:val="en-US"/>
        </w:rPr>
        <w:t>We do not manage funds against any Euronext non-market cap weighted indices.</w:t>
      </w:r>
    </w:p>
    <w:p w14:paraId="0187A664" w14:textId="2E44182F" w:rsidR="00825E17" w:rsidRDefault="00E9105C" w:rsidP="009E7FA5">
      <w:pPr>
        <w:rPr>
          <w:rFonts w:ascii="Verdana" w:hAnsi="Verdana"/>
          <w:sz w:val="20"/>
          <w:szCs w:val="20"/>
          <w:lang w:val="en-US"/>
        </w:rPr>
      </w:pPr>
      <w:r>
        <w:rPr>
          <w:rFonts w:ascii="Verdana" w:hAnsi="Verdana"/>
          <w:sz w:val="20"/>
          <w:szCs w:val="20"/>
          <w:lang w:val="en-US"/>
        </w:rPr>
        <w:t xml:space="preserve"> </w:t>
      </w:r>
    </w:p>
    <w:p w14:paraId="0560840A" w14:textId="5AB13838" w:rsidR="00E9105C" w:rsidRPr="00E9105C" w:rsidRDefault="00E9105C" w:rsidP="009E7FA5">
      <w:pPr>
        <w:rPr>
          <w:rFonts w:ascii="Verdana" w:hAnsi="Verdana"/>
          <w:i/>
          <w:iCs/>
          <w:sz w:val="20"/>
          <w:szCs w:val="20"/>
          <w:lang w:val="en-US"/>
        </w:rPr>
      </w:pPr>
      <w:r w:rsidRPr="00E9105C">
        <w:rPr>
          <w:rFonts w:ascii="Verdana" w:hAnsi="Verdana"/>
          <w:i/>
          <w:iCs/>
          <w:sz w:val="20"/>
          <w:szCs w:val="20"/>
          <w:lang w:val="en-US"/>
        </w:rPr>
        <w:t>Other general remarks</w:t>
      </w:r>
    </w:p>
    <w:p w14:paraId="0C2E52B2" w14:textId="09F10068" w:rsidR="00E9105C" w:rsidRPr="00E9105C" w:rsidRDefault="00E9105C" w:rsidP="00E9105C">
      <w:pPr>
        <w:pStyle w:val="ListParagraph"/>
        <w:numPr>
          <w:ilvl w:val="0"/>
          <w:numId w:val="14"/>
        </w:numPr>
        <w:rPr>
          <w:rFonts w:ascii="Verdana" w:hAnsi="Verdana"/>
          <w:i/>
          <w:iCs/>
          <w:sz w:val="18"/>
          <w:szCs w:val="18"/>
          <w:lang w:val="en-US"/>
        </w:rPr>
      </w:pPr>
      <w:r w:rsidRPr="00E9105C">
        <w:rPr>
          <w:rFonts w:ascii="Verdana" w:eastAsia="Times New Roman" w:hAnsi="Verdana"/>
          <w:sz w:val="18"/>
          <w:szCs w:val="18"/>
          <w:lang w:val="en-US"/>
        </w:rPr>
        <w:t>I like the change from 0.4 to 2. I believe that will help a lot since a lot of right issues are around that level. I don't see the advantage for a different treatment above 20.</w:t>
      </w:r>
    </w:p>
    <w:p w14:paraId="1A52C396" w14:textId="77777777" w:rsidR="00E9105C" w:rsidRPr="00E9105C" w:rsidRDefault="00E9105C" w:rsidP="00E9105C">
      <w:pPr>
        <w:pStyle w:val="ListParagraph"/>
        <w:numPr>
          <w:ilvl w:val="0"/>
          <w:numId w:val="14"/>
        </w:numPr>
        <w:rPr>
          <w:rFonts w:ascii="Verdana" w:hAnsi="Verdana"/>
          <w:sz w:val="18"/>
          <w:szCs w:val="18"/>
          <w:lang w:val="en-US"/>
        </w:rPr>
      </w:pPr>
      <w:r w:rsidRPr="00E9105C">
        <w:rPr>
          <w:rFonts w:ascii="Verdana" w:eastAsia="Times New Roman" w:hAnsi="Verdana"/>
          <w:sz w:val="18"/>
          <w:szCs w:val="18"/>
          <w:lang w:val="en-US"/>
        </w:rPr>
        <w:t xml:space="preserve">I suggest Full Market </w:t>
      </w:r>
      <w:proofErr w:type="spellStart"/>
      <w:r w:rsidRPr="00E9105C">
        <w:rPr>
          <w:rFonts w:ascii="Verdana" w:eastAsia="Times New Roman" w:hAnsi="Verdana"/>
          <w:sz w:val="18"/>
          <w:szCs w:val="18"/>
          <w:lang w:val="en-US"/>
        </w:rPr>
        <w:t>Capitalisation</w:t>
      </w:r>
      <w:proofErr w:type="spellEnd"/>
      <w:r w:rsidRPr="00E9105C">
        <w:rPr>
          <w:rFonts w:ascii="Verdana" w:eastAsia="Times New Roman" w:hAnsi="Verdana"/>
          <w:sz w:val="18"/>
          <w:szCs w:val="18"/>
          <w:lang w:val="en-US"/>
        </w:rPr>
        <w:t xml:space="preserve"> Weighted indices to follow the same rule as Free Float Market </w:t>
      </w:r>
      <w:proofErr w:type="spellStart"/>
      <w:r w:rsidRPr="00E9105C">
        <w:rPr>
          <w:rFonts w:ascii="Verdana" w:eastAsia="Times New Roman" w:hAnsi="Verdana"/>
          <w:sz w:val="18"/>
          <w:szCs w:val="18"/>
          <w:lang w:val="en-US"/>
        </w:rPr>
        <w:t>Capitalisation</w:t>
      </w:r>
      <w:proofErr w:type="spellEnd"/>
      <w:r w:rsidRPr="00E9105C">
        <w:rPr>
          <w:rFonts w:ascii="Verdana" w:eastAsia="Times New Roman" w:hAnsi="Verdana"/>
          <w:sz w:val="18"/>
          <w:szCs w:val="18"/>
          <w:lang w:val="en-US"/>
        </w:rPr>
        <w:t xml:space="preserve"> Weighted indices as far as right issues are concerned (</w:t>
      </w:r>
      <w:proofErr w:type="spellStart"/>
      <w:r w:rsidRPr="00E9105C">
        <w:rPr>
          <w:rFonts w:ascii="Verdana" w:eastAsia="Times New Roman" w:hAnsi="Verdana"/>
          <w:sz w:val="18"/>
          <w:szCs w:val="18"/>
          <w:lang w:val="en-US"/>
        </w:rPr>
        <w:t>ie</w:t>
      </w:r>
      <w:proofErr w:type="spellEnd"/>
      <w:r w:rsidRPr="00E9105C">
        <w:rPr>
          <w:rFonts w:ascii="Verdana" w:eastAsia="Times New Roman" w:hAnsi="Verdana"/>
          <w:sz w:val="18"/>
          <w:szCs w:val="18"/>
          <w:lang w:val="en-US"/>
        </w:rPr>
        <w:t xml:space="preserve"> share weight increase in case of Ratio &lt; 2 and application of highly dilutive and extremely dilutive rules based on the Ratio otherwise)</w:t>
      </w:r>
    </w:p>
    <w:p w14:paraId="5A435B86" w14:textId="647E7A70" w:rsidR="00D3782D" w:rsidRDefault="00D3782D" w:rsidP="00D3782D">
      <w:pPr>
        <w:rPr>
          <w:rFonts w:ascii="Verdana" w:hAnsi="Verdana"/>
          <w:i/>
          <w:iCs/>
          <w:sz w:val="18"/>
          <w:szCs w:val="18"/>
          <w:lang w:val="en-US"/>
        </w:rPr>
      </w:pPr>
    </w:p>
    <w:bookmarkEnd w:id="7"/>
    <w:p w14:paraId="632C0862" w14:textId="77777777" w:rsidR="00D3782D" w:rsidRPr="00D3782D" w:rsidRDefault="00D3782D" w:rsidP="00D3782D">
      <w:pPr>
        <w:rPr>
          <w:rFonts w:ascii="Verdana" w:hAnsi="Verdana"/>
          <w:i/>
          <w:iCs/>
          <w:sz w:val="18"/>
          <w:szCs w:val="18"/>
        </w:rPr>
      </w:pPr>
    </w:p>
    <w:sectPr w:rsidR="00D3782D" w:rsidRPr="00D3782D" w:rsidSect="00E2455F">
      <w:headerReference w:type="even" r:id="rId9"/>
      <w:headerReference w:type="default" r:id="rId10"/>
      <w:footerReference w:type="default" r:id="rId11"/>
      <w:headerReference w:type="first" r:id="rId12"/>
      <w:footerReference w:type="first" r:id="rId13"/>
      <w:pgSz w:w="11906" w:h="16838" w:code="9"/>
      <w:pgMar w:top="2552" w:right="851" w:bottom="851" w:left="1418" w:header="9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0229" w14:textId="77777777" w:rsidR="00E2700A" w:rsidRDefault="00E2700A" w:rsidP="00837636">
      <w:pPr>
        <w:spacing w:after="0" w:line="240" w:lineRule="auto"/>
      </w:pPr>
      <w:r>
        <w:separator/>
      </w:r>
    </w:p>
  </w:endnote>
  <w:endnote w:type="continuationSeparator" w:id="0">
    <w:p w14:paraId="1F2BD915" w14:textId="77777777" w:rsidR="00E2700A" w:rsidRDefault="00E2700A"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2146" w14:textId="604B0ED3" w:rsidR="00FF759F" w:rsidRDefault="00FF759F" w:rsidP="00596EC4">
    <w:pPr>
      <w:pStyle w:val="Footer"/>
      <w:jc w:val="center"/>
      <w:rPr>
        <w:b w:val="0"/>
        <w:sz w:val="16"/>
        <w:szCs w:val="16"/>
      </w:rPr>
    </w:pPr>
  </w:p>
  <w:sdt>
    <w:sdtPr>
      <w:rPr>
        <w:b w:val="0"/>
        <w:sz w:val="16"/>
        <w:szCs w:val="16"/>
      </w:rPr>
      <w:id w:val="-966277800"/>
      <w:docPartObj>
        <w:docPartGallery w:val="Page Numbers (Top of Page)"/>
        <w:docPartUnique/>
      </w:docPartObj>
    </w:sdtPr>
    <w:sdtEndPr/>
    <w:sdtContent>
      <w:p w14:paraId="78C9FE9C" w14:textId="36BF85CF" w:rsidR="00596EC4" w:rsidRDefault="00596EC4" w:rsidP="00596EC4">
        <w:pPr>
          <w:pStyle w:val="Footer"/>
          <w:jc w:val="center"/>
          <w:rPr>
            <w:b w:val="0"/>
            <w:bCs/>
            <w:sz w:val="16"/>
            <w:szCs w:val="16"/>
          </w:rPr>
        </w:pPr>
        <w:r w:rsidRPr="00FC0F77">
          <w:rPr>
            <w:sz w:val="16"/>
            <w:szCs w:val="16"/>
            <w:lang w:val="en-US"/>
          </w:rPr>
          <w:t xml:space="preserve">Page </w:t>
        </w:r>
        <w:r w:rsidRPr="008C73A2">
          <w:rPr>
            <w:b w:val="0"/>
            <w:bCs/>
            <w:sz w:val="16"/>
            <w:szCs w:val="16"/>
          </w:rPr>
          <w:fldChar w:fldCharType="begin"/>
        </w:r>
        <w:r w:rsidRPr="008C73A2">
          <w:rPr>
            <w:bCs/>
            <w:sz w:val="16"/>
            <w:szCs w:val="16"/>
          </w:rPr>
          <w:instrText>PAGE</w:instrText>
        </w:r>
        <w:r w:rsidRPr="008C73A2">
          <w:rPr>
            <w:b w:val="0"/>
            <w:bCs/>
            <w:sz w:val="16"/>
            <w:szCs w:val="16"/>
          </w:rPr>
          <w:fldChar w:fldCharType="separate"/>
        </w:r>
        <w:r w:rsidR="003E2FA5">
          <w:rPr>
            <w:bCs/>
            <w:noProof/>
            <w:sz w:val="16"/>
            <w:szCs w:val="16"/>
          </w:rPr>
          <w:t>2</w:t>
        </w:r>
        <w:r w:rsidRPr="008C73A2">
          <w:rPr>
            <w:b w:val="0"/>
            <w:bCs/>
            <w:sz w:val="16"/>
            <w:szCs w:val="16"/>
          </w:rPr>
          <w:fldChar w:fldCharType="end"/>
        </w:r>
        <w:r w:rsidRPr="00FC0F77">
          <w:rPr>
            <w:sz w:val="16"/>
            <w:szCs w:val="16"/>
            <w:lang w:val="en-US"/>
          </w:rPr>
          <w:t xml:space="preserve"> of </w:t>
        </w:r>
        <w:r w:rsidRPr="008C73A2">
          <w:rPr>
            <w:b w:val="0"/>
            <w:bCs/>
            <w:sz w:val="16"/>
            <w:szCs w:val="16"/>
          </w:rPr>
          <w:fldChar w:fldCharType="begin"/>
        </w:r>
        <w:r w:rsidRPr="008C73A2">
          <w:rPr>
            <w:bCs/>
            <w:sz w:val="16"/>
            <w:szCs w:val="16"/>
          </w:rPr>
          <w:instrText>NUMPAGES</w:instrText>
        </w:r>
        <w:r w:rsidRPr="008C73A2">
          <w:rPr>
            <w:b w:val="0"/>
            <w:bCs/>
            <w:sz w:val="16"/>
            <w:szCs w:val="16"/>
          </w:rPr>
          <w:fldChar w:fldCharType="separate"/>
        </w:r>
        <w:r w:rsidR="005024C8">
          <w:rPr>
            <w:bCs/>
            <w:noProof/>
            <w:sz w:val="16"/>
            <w:szCs w:val="16"/>
          </w:rPr>
          <w:t>1</w:t>
        </w:r>
        <w:r w:rsidRPr="008C73A2">
          <w:rPr>
            <w:b w:val="0"/>
            <w:bCs/>
            <w:sz w:val="16"/>
            <w:szCs w:val="16"/>
          </w:rPr>
          <w:fldChar w:fldCharType="end"/>
        </w:r>
      </w:p>
      <w:p w14:paraId="7839AC1E" w14:textId="77777777" w:rsidR="003A2214" w:rsidRPr="00596EC4" w:rsidRDefault="00596EC4" w:rsidP="00596EC4">
        <w:pPr>
          <w:pStyle w:val="FooterRegInfo"/>
        </w:pPr>
        <w:r w:rsidRPr="00FC419C">
          <w:rPr>
            <w:b/>
          </w:rPr>
          <w:t>Euronext N.V., PO Box 1916</w:t>
        </w:r>
        <w:r>
          <w:rPr>
            <w:b/>
          </w:rPr>
          <w:t>3</w:t>
        </w:r>
        <w:r w:rsidRPr="00FC419C">
          <w:rPr>
            <w:b/>
          </w:rPr>
          <w:t>, 1000 GD Amsterdam, The Netherlands</w:t>
        </w:r>
        <w:r>
          <w:tab/>
        </w:r>
        <w:r w:rsidRPr="00F467F9">
          <w:t>indices.euronext.com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980" w14:textId="29F61331" w:rsidR="003A2214" w:rsidRDefault="00174B56" w:rsidP="00596EC4">
    <w:pPr>
      <w:pStyle w:val="FooterRegInfo"/>
    </w:pPr>
    <w:r>
      <w:rPr>
        <w:b/>
      </w:rPr>
      <w:t>E</w:t>
    </w:r>
    <w:r w:rsidR="00596EC4" w:rsidRPr="00FC419C">
      <w:rPr>
        <w:b/>
      </w:rPr>
      <w:t>uronext N.V., PO Box 1916</w:t>
    </w:r>
    <w:r w:rsidR="00596EC4">
      <w:rPr>
        <w:b/>
      </w:rPr>
      <w:t>3</w:t>
    </w:r>
    <w:r w:rsidR="00596EC4" w:rsidRPr="00FC419C">
      <w:rPr>
        <w:b/>
      </w:rPr>
      <w:t>, 1000 GD Amsterdam, The Netherlands</w:t>
    </w:r>
    <w:r w:rsidR="00596EC4">
      <w:tab/>
    </w:r>
    <w:r w:rsidR="00596EC4" w:rsidRPr="00F467F9">
      <w:t>indices.euronext.com</w:t>
    </w:r>
  </w:p>
  <w:p w14:paraId="236B6568" w14:textId="77777777" w:rsidR="00596EC4" w:rsidRDefault="00596EC4" w:rsidP="00596EC4">
    <w:pPr>
      <w:pStyle w:val="FooterRegInf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993D" w14:textId="77777777" w:rsidR="00E2700A" w:rsidRDefault="00E2700A" w:rsidP="00837636">
      <w:pPr>
        <w:spacing w:after="0" w:line="240" w:lineRule="auto"/>
      </w:pPr>
      <w:r>
        <w:separator/>
      </w:r>
    </w:p>
  </w:footnote>
  <w:footnote w:type="continuationSeparator" w:id="0">
    <w:p w14:paraId="3B13C57E" w14:textId="77777777" w:rsidR="00E2700A" w:rsidRDefault="00E2700A"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C1CE" w14:textId="77777777" w:rsidR="003A2214" w:rsidRPr="00A170DB" w:rsidRDefault="003A2214">
    <w:pPr>
      <w:pStyle w:val="Header"/>
      <w:rPr>
        <w:b/>
        <w:lang w:val="nl-NL"/>
      </w:rPr>
    </w:pPr>
    <w:r w:rsidRPr="00A170DB">
      <w:rPr>
        <w:b/>
        <w:lang w:val="nl-NL"/>
      </w:rPr>
      <w:t>CORPORATE ACTION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340" w14:textId="77777777" w:rsidR="003A2214" w:rsidRPr="00DE6EE9" w:rsidRDefault="00596EC4" w:rsidP="005A6690">
    <w:pPr>
      <w:pStyle w:val="Header"/>
      <w:rPr>
        <w:lang w:val="en-US"/>
      </w:rPr>
    </w:pPr>
    <w:r>
      <w:rPr>
        <w:noProof/>
        <w:lang w:eastAsia="en-GB"/>
      </w:rPr>
      <w:drawing>
        <wp:anchor distT="0" distB="0" distL="114300" distR="114300" simplePos="0" relativeHeight="251663360" behindDoc="0" locked="0" layoutInCell="1" allowOverlap="1" wp14:anchorId="4284FA3A" wp14:editId="02804C0E">
          <wp:simplePos x="0" y="0"/>
          <wp:positionH relativeFrom="column">
            <wp:posOffset>-832485</wp:posOffset>
          </wp:positionH>
          <wp:positionV relativeFrom="paragraph">
            <wp:posOffset>-206375</wp:posOffset>
          </wp:positionV>
          <wp:extent cx="7492365" cy="1264920"/>
          <wp:effectExtent l="0" t="0" r="0" b="0"/>
          <wp:wrapThrough wrapText="bothSides">
            <wp:wrapPolygon edited="0">
              <wp:start x="0" y="0"/>
              <wp:lineTo x="0" y="21145"/>
              <wp:lineTo x="21529" y="21145"/>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192"/>
                  <a:stretch/>
                </pic:blipFill>
                <pic:spPr bwMode="auto">
                  <a:xfrm>
                    <a:off x="0" y="0"/>
                    <a:ext cx="7492365" cy="1264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C70A" w14:textId="77777777" w:rsidR="00596EC4" w:rsidRDefault="00596EC4">
    <w:pPr>
      <w:pStyle w:val="Header"/>
    </w:pPr>
    <w:r>
      <w:rPr>
        <w:noProof/>
        <w:lang w:eastAsia="en-GB"/>
      </w:rPr>
      <w:drawing>
        <wp:anchor distT="0" distB="0" distL="114300" distR="114300" simplePos="0" relativeHeight="251661312" behindDoc="0" locked="0" layoutInCell="1" allowOverlap="1" wp14:anchorId="0EF2656B" wp14:editId="0429736C">
          <wp:simplePos x="0" y="0"/>
          <wp:positionH relativeFrom="column">
            <wp:posOffset>-832485</wp:posOffset>
          </wp:positionH>
          <wp:positionV relativeFrom="paragraph">
            <wp:posOffset>-96520</wp:posOffset>
          </wp:positionV>
          <wp:extent cx="7492365" cy="1264920"/>
          <wp:effectExtent l="0" t="0" r="0" b="0"/>
          <wp:wrapThrough wrapText="bothSides">
            <wp:wrapPolygon edited="0">
              <wp:start x="0" y="0"/>
              <wp:lineTo x="0" y="21145"/>
              <wp:lineTo x="21529" y="21145"/>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192"/>
                  <a:stretch/>
                </pic:blipFill>
                <pic:spPr bwMode="auto">
                  <a:xfrm>
                    <a:off x="0" y="0"/>
                    <a:ext cx="7492365" cy="1264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F5C"/>
    <w:multiLevelType w:val="hybridMultilevel"/>
    <w:tmpl w:val="E422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1E12"/>
    <w:multiLevelType w:val="hybridMultilevel"/>
    <w:tmpl w:val="4B5677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2436479"/>
    <w:multiLevelType w:val="multilevel"/>
    <w:tmpl w:val="A55C6460"/>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ind w:left="680" w:hanging="340"/>
      </w:pPr>
      <w:rPr>
        <w:rFonts w:ascii="Arial" w:hAnsi="Arial" w:hint="default"/>
        <w:color w:val="008D7F"/>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 w15:restartNumberingAfterBreak="0">
    <w:nsid w:val="10414792"/>
    <w:multiLevelType w:val="hybridMultilevel"/>
    <w:tmpl w:val="E460D472"/>
    <w:lvl w:ilvl="0" w:tplc="D610A6F8">
      <w:start w:val="1"/>
      <w:numFmt w:val="bullet"/>
      <w:lvlText w:val=""/>
      <w:lvlJc w:val="left"/>
      <w:pPr>
        <w:tabs>
          <w:tab w:val="num" w:pos="720"/>
        </w:tabs>
        <w:ind w:left="720" w:hanging="360"/>
      </w:pPr>
      <w:rPr>
        <w:rFonts w:ascii="Wingdings" w:hAnsi="Wingdings" w:hint="default"/>
      </w:rPr>
    </w:lvl>
    <w:lvl w:ilvl="1" w:tplc="EAA682C8" w:tentative="1">
      <w:start w:val="1"/>
      <w:numFmt w:val="bullet"/>
      <w:lvlText w:val=""/>
      <w:lvlJc w:val="left"/>
      <w:pPr>
        <w:tabs>
          <w:tab w:val="num" w:pos="1440"/>
        </w:tabs>
        <w:ind w:left="1440" w:hanging="360"/>
      </w:pPr>
      <w:rPr>
        <w:rFonts w:ascii="Wingdings" w:hAnsi="Wingdings" w:hint="default"/>
      </w:rPr>
    </w:lvl>
    <w:lvl w:ilvl="2" w:tplc="B3066984" w:tentative="1">
      <w:start w:val="1"/>
      <w:numFmt w:val="bullet"/>
      <w:lvlText w:val=""/>
      <w:lvlJc w:val="left"/>
      <w:pPr>
        <w:tabs>
          <w:tab w:val="num" w:pos="2160"/>
        </w:tabs>
        <w:ind w:left="2160" w:hanging="360"/>
      </w:pPr>
      <w:rPr>
        <w:rFonts w:ascii="Wingdings" w:hAnsi="Wingdings" w:hint="default"/>
      </w:rPr>
    </w:lvl>
    <w:lvl w:ilvl="3" w:tplc="5A6447C8" w:tentative="1">
      <w:start w:val="1"/>
      <w:numFmt w:val="bullet"/>
      <w:lvlText w:val=""/>
      <w:lvlJc w:val="left"/>
      <w:pPr>
        <w:tabs>
          <w:tab w:val="num" w:pos="2880"/>
        </w:tabs>
        <w:ind w:left="2880" w:hanging="360"/>
      </w:pPr>
      <w:rPr>
        <w:rFonts w:ascii="Wingdings" w:hAnsi="Wingdings" w:hint="default"/>
      </w:rPr>
    </w:lvl>
    <w:lvl w:ilvl="4" w:tplc="3F0894A8" w:tentative="1">
      <w:start w:val="1"/>
      <w:numFmt w:val="bullet"/>
      <w:lvlText w:val=""/>
      <w:lvlJc w:val="left"/>
      <w:pPr>
        <w:tabs>
          <w:tab w:val="num" w:pos="3600"/>
        </w:tabs>
        <w:ind w:left="3600" w:hanging="360"/>
      </w:pPr>
      <w:rPr>
        <w:rFonts w:ascii="Wingdings" w:hAnsi="Wingdings" w:hint="default"/>
      </w:rPr>
    </w:lvl>
    <w:lvl w:ilvl="5" w:tplc="79D67DD0" w:tentative="1">
      <w:start w:val="1"/>
      <w:numFmt w:val="bullet"/>
      <w:lvlText w:val=""/>
      <w:lvlJc w:val="left"/>
      <w:pPr>
        <w:tabs>
          <w:tab w:val="num" w:pos="4320"/>
        </w:tabs>
        <w:ind w:left="4320" w:hanging="360"/>
      </w:pPr>
      <w:rPr>
        <w:rFonts w:ascii="Wingdings" w:hAnsi="Wingdings" w:hint="default"/>
      </w:rPr>
    </w:lvl>
    <w:lvl w:ilvl="6" w:tplc="18861E58" w:tentative="1">
      <w:start w:val="1"/>
      <w:numFmt w:val="bullet"/>
      <w:lvlText w:val=""/>
      <w:lvlJc w:val="left"/>
      <w:pPr>
        <w:tabs>
          <w:tab w:val="num" w:pos="5040"/>
        </w:tabs>
        <w:ind w:left="5040" w:hanging="360"/>
      </w:pPr>
      <w:rPr>
        <w:rFonts w:ascii="Wingdings" w:hAnsi="Wingdings" w:hint="default"/>
      </w:rPr>
    </w:lvl>
    <w:lvl w:ilvl="7" w:tplc="8392E222" w:tentative="1">
      <w:start w:val="1"/>
      <w:numFmt w:val="bullet"/>
      <w:lvlText w:val=""/>
      <w:lvlJc w:val="left"/>
      <w:pPr>
        <w:tabs>
          <w:tab w:val="num" w:pos="5760"/>
        </w:tabs>
        <w:ind w:left="5760" w:hanging="360"/>
      </w:pPr>
      <w:rPr>
        <w:rFonts w:ascii="Wingdings" w:hAnsi="Wingdings" w:hint="default"/>
      </w:rPr>
    </w:lvl>
    <w:lvl w:ilvl="8" w:tplc="EC96E0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84711"/>
    <w:multiLevelType w:val="hybridMultilevel"/>
    <w:tmpl w:val="2AEAB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1385"/>
    <w:multiLevelType w:val="hybridMultilevel"/>
    <w:tmpl w:val="497C797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80A5EE9"/>
    <w:multiLevelType w:val="multilevel"/>
    <w:tmpl w:val="A55C6460"/>
    <w:numStyleLink w:val="NumbLstBullet"/>
  </w:abstractNum>
  <w:abstractNum w:abstractNumId="7" w15:restartNumberingAfterBreak="0">
    <w:nsid w:val="2A942035"/>
    <w:multiLevelType w:val="hybridMultilevel"/>
    <w:tmpl w:val="708C12C0"/>
    <w:lvl w:ilvl="0" w:tplc="9C562276">
      <w:start w:val="1"/>
      <w:numFmt w:val="bullet"/>
      <w:lvlText w:val=""/>
      <w:lvlJc w:val="left"/>
      <w:pPr>
        <w:tabs>
          <w:tab w:val="num" w:pos="720"/>
        </w:tabs>
        <w:ind w:left="720" w:hanging="360"/>
      </w:pPr>
      <w:rPr>
        <w:rFonts w:ascii="Wingdings" w:hAnsi="Wingdings" w:hint="default"/>
      </w:rPr>
    </w:lvl>
    <w:lvl w:ilvl="1" w:tplc="93A0F2EA" w:tentative="1">
      <w:start w:val="1"/>
      <w:numFmt w:val="bullet"/>
      <w:lvlText w:val=""/>
      <w:lvlJc w:val="left"/>
      <w:pPr>
        <w:tabs>
          <w:tab w:val="num" w:pos="1440"/>
        </w:tabs>
        <w:ind w:left="1440" w:hanging="360"/>
      </w:pPr>
      <w:rPr>
        <w:rFonts w:ascii="Wingdings" w:hAnsi="Wingdings" w:hint="default"/>
      </w:rPr>
    </w:lvl>
    <w:lvl w:ilvl="2" w:tplc="9DA8CD2C" w:tentative="1">
      <w:start w:val="1"/>
      <w:numFmt w:val="bullet"/>
      <w:lvlText w:val=""/>
      <w:lvlJc w:val="left"/>
      <w:pPr>
        <w:tabs>
          <w:tab w:val="num" w:pos="2160"/>
        </w:tabs>
        <w:ind w:left="2160" w:hanging="360"/>
      </w:pPr>
      <w:rPr>
        <w:rFonts w:ascii="Wingdings" w:hAnsi="Wingdings" w:hint="default"/>
      </w:rPr>
    </w:lvl>
    <w:lvl w:ilvl="3" w:tplc="900E0954" w:tentative="1">
      <w:start w:val="1"/>
      <w:numFmt w:val="bullet"/>
      <w:lvlText w:val=""/>
      <w:lvlJc w:val="left"/>
      <w:pPr>
        <w:tabs>
          <w:tab w:val="num" w:pos="2880"/>
        </w:tabs>
        <w:ind w:left="2880" w:hanging="360"/>
      </w:pPr>
      <w:rPr>
        <w:rFonts w:ascii="Wingdings" w:hAnsi="Wingdings" w:hint="default"/>
      </w:rPr>
    </w:lvl>
    <w:lvl w:ilvl="4" w:tplc="15C0E1B2" w:tentative="1">
      <w:start w:val="1"/>
      <w:numFmt w:val="bullet"/>
      <w:lvlText w:val=""/>
      <w:lvlJc w:val="left"/>
      <w:pPr>
        <w:tabs>
          <w:tab w:val="num" w:pos="3600"/>
        </w:tabs>
        <w:ind w:left="3600" w:hanging="360"/>
      </w:pPr>
      <w:rPr>
        <w:rFonts w:ascii="Wingdings" w:hAnsi="Wingdings" w:hint="default"/>
      </w:rPr>
    </w:lvl>
    <w:lvl w:ilvl="5" w:tplc="0A384F6C" w:tentative="1">
      <w:start w:val="1"/>
      <w:numFmt w:val="bullet"/>
      <w:lvlText w:val=""/>
      <w:lvlJc w:val="left"/>
      <w:pPr>
        <w:tabs>
          <w:tab w:val="num" w:pos="4320"/>
        </w:tabs>
        <w:ind w:left="4320" w:hanging="360"/>
      </w:pPr>
      <w:rPr>
        <w:rFonts w:ascii="Wingdings" w:hAnsi="Wingdings" w:hint="default"/>
      </w:rPr>
    </w:lvl>
    <w:lvl w:ilvl="6" w:tplc="5D54C50A" w:tentative="1">
      <w:start w:val="1"/>
      <w:numFmt w:val="bullet"/>
      <w:lvlText w:val=""/>
      <w:lvlJc w:val="left"/>
      <w:pPr>
        <w:tabs>
          <w:tab w:val="num" w:pos="5040"/>
        </w:tabs>
        <w:ind w:left="5040" w:hanging="360"/>
      </w:pPr>
      <w:rPr>
        <w:rFonts w:ascii="Wingdings" w:hAnsi="Wingdings" w:hint="default"/>
      </w:rPr>
    </w:lvl>
    <w:lvl w:ilvl="7" w:tplc="8C449010" w:tentative="1">
      <w:start w:val="1"/>
      <w:numFmt w:val="bullet"/>
      <w:lvlText w:val=""/>
      <w:lvlJc w:val="left"/>
      <w:pPr>
        <w:tabs>
          <w:tab w:val="num" w:pos="5760"/>
        </w:tabs>
        <w:ind w:left="5760" w:hanging="360"/>
      </w:pPr>
      <w:rPr>
        <w:rFonts w:ascii="Wingdings" w:hAnsi="Wingdings" w:hint="default"/>
      </w:rPr>
    </w:lvl>
    <w:lvl w:ilvl="8" w:tplc="3050B3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9E1D27"/>
    <w:multiLevelType w:val="hybridMultilevel"/>
    <w:tmpl w:val="0D304D12"/>
    <w:lvl w:ilvl="0" w:tplc="076C30BE">
      <w:start w:val="1"/>
      <w:numFmt w:val="bullet"/>
      <w:lvlText w:val=""/>
      <w:lvlJc w:val="left"/>
      <w:pPr>
        <w:tabs>
          <w:tab w:val="num" w:pos="720"/>
        </w:tabs>
        <w:ind w:left="720" w:hanging="360"/>
      </w:pPr>
      <w:rPr>
        <w:rFonts w:ascii="Wingdings" w:hAnsi="Wingdings" w:hint="default"/>
      </w:rPr>
    </w:lvl>
    <w:lvl w:ilvl="1" w:tplc="757A2AC2" w:tentative="1">
      <w:start w:val="1"/>
      <w:numFmt w:val="bullet"/>
      <w:lvlText w:val=""/>
      <w:lvlJc w:val="left"/>
      <w:pPr>
        <w:tabs>
          <w:tab w:val="num" w:pos="1440"/>
        </w:tabs>
        <w:ind w:left="1440" w:hanging="360"/>
      </w:pPr>
      <w:rPr>
        <w:rFonts w:ascii="Wingdings" w:hAnsi="Wingdings" w:hint="default"/>
      </w:rPr>
    </w:lvl>
    <w:lvl w:ilvl="2" w:tplc="CAC4366E" w:tentative="1">
      <w:start w:val="1"/>
      <w:numFmt w:val="bullet"/>
      <w:lvlText w:val=""/>
      <w:lvlJc w:val="left"/>
      <w:pPr>
        <w:tabs>
          <w:tab w:val="num" w:pos="2160"/>
        </w:tabs>
        <w:ind w:left="2160" w:hanging="360"/>
      </w:pPr>
      <w:rPr>
        <w:rFonts w:ascii="Wingdings" w:hAnsi="Wingdings" w:hint="default"/>
      </w:rPr>
    </w:lvl>
    <w:lvl w:ilvl="3" w:tplc="8CB0A844" w:tentative="1">
      <w:start w:val="1"/>
      <w:numFmt w:val="bullet"/>
      <w:lvlText w:val=""/>
      <w:lvlJc w:val="left"/>
      <w:pPr>
        <w:tabs>
          <w:tab w:val="num" w:pos="2880"/>
        </w:tabs>
        <w:ind w:left="2880" w:hanging="360"/>
      </w:pPr>
      <w:rPr>
        <w:rFonts w:ascii="Wingdings" w:hAnsi="Wingdings" w:hint="default"/>
      </w:rPr>
    </w:lvl>
    <w:lvl w:ilvl="4" w:tplc="ABBCE9A0" w:tentative="1">
      <w:start w:val="1"/>
      <w:numFmt w:val="bullet"/>
      <w:lvlText w:val=""/>
      <w:lvlJc w:val="left"/>
      <w:pPr>
        <w:tabs>
          <w:tab w:val="num" w:pos="3600"/>
        </w:tabs>
        <w:ind w:left="3600" w:hanging="360"/>
      </w:pPr>
      <w:rPr>
        <w:rFonts w:ascii="Wingdings" w:hAnsi="Wingdings" w:hint="default"/>
      </w:rPr>
    </w:lvl>
    <w:lvl w:ilvl="5" w:tplc="2A0EA09C" w:tentative="1">
      <w:start w:val="1"/>
      <w:numFmt w:val="bullet"/>
      <w:lvlText w:val=""/>
      <w:lvlJc w:val="left"/>
      <w:pPr>
        <w:tabs>
          <w:tab w:val="num" w:pos="4320"/>
        </w:tabs>
        <w:ind w:left="4320" w:hanging="360"/>
      </w:pPr>
      <w:rPr>
        <w:rFonts w:ascii="Wingdings" w:hAnsi="Wingdings" w:hint="default"/>
      </w:rPr>
    </w:lvl>
    <w:lvl w:ilvl="6" w:tplc="06204012" w:tentative="1">
      <w:start w:val="1"/>
      <w:numFmt w:val="bullet"/>
      <w:lvlText w:val=""/>
      <w:lvlJc w:val="left"/>
      <w:pPr>
        <w:tabs>
          <w:tab w:val="num" w:pos="5040"/>
        </w:tabs>
        <w:ind w:left="5040" w:hanging="360"/>
      </w:pPr>
      <w:rPr>
        <w:rFonts w:ascii="Wingdings" w:hAnsi="Wingdings" w:hint="default"/>
      </w:rPr>
    </w:lvl>
    <w:lvl w:ilvl="7" w:tplc="4A12E3D8" w:tentative="1">
      <w:start w:val="1"/>
      <w:numFmt w:val="bullet"/>
      <w:lvlText w:val=""/>
      <w:lvlJc w:val="left"/>
      <w:pPr>
        <w:tabs>
          <w:tab w:val="num" w:pos="5760"/>
        </w:tabs>
        <w:ind w:left="5760" w:hanging="360"/>
      </w:pPr>
      <w:rPr>
        <w:rFonts w:ascii="Wingdings" w:hAnsi="Wingdings" w:hint="default"/>
      </w:rPr>
    </w:lvl>
    <w:lvl w:ilvl="8" w:tplc="7CDC6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B470C"/>
    <w:multiLevelType w:val="hybridMultilevel"/>
    <w:tmpl w:val="D1A8D5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3C41124"/>
    <w:multiLevelType w:val="hybridMultilevel"/>
    <w:tmpl w:val="A450232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45464370"/>
    <w:multiLevelType w:val="hybridMultilevel"/>
    <w:tmpl w:val="A7F60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584F22"/>
    <w:multiLevelType w:val="hybridMultilevel"/>
    <w:tmpl w:val="FC669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104743"/>
    <w:multiLevelType w:val="hybridMultilevel"/>
    <w:tmpl w:val="C058709C"/>
    <w:lvl w:ilvl="0" w:tplc="447CC2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8F0948"/>
    <w:multiLevelType w:val="multilevel"/>
    <w:tmpl w:val="BFF6B9D6"/>
    <w:styleLink w:val="NumbLstNumb"/>
    <w:lvl w:ilvl="0">
      <w:start w:val="1"/>
      <w:numFmt w:val="decimal"/>
      <w:pStyle w:val="NumbList1"/>
      <w:lvlText w:val="%1."/>
      <w:lvlJc w:val="left"/>
      <w:pPr>
        <w:tabs>
          <w:tab w:val="num" w:pos="340"/>
        </w:tabs>
        <w:ind w:left="340" w:hanging="340"/>
      </w:pPr>
      <w:rPr>
        <w:rFonts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Courier New" w:hAnsi="Courier New"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5" w15:restartNumberingAfterBreak="0">
    <w:nsid w:val="687929EF"/>
    <w:multiLevelType w:val="hybridMultilevel"/>
    <w:tmpl w:val="CC508E3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77640B0A"/>
    <w:multiLevelType w:val="hybridMultilevel"/>
    <w:tmpl w:val="609A7954"/>
    <w:lvl w:ilvl="0" w:tplc="00401492">
      <w:start w:val="1"/>
      <w:numFmt w:val="bullet"/>
      <w:lvlText w:val=""/>
      <w:lvlJc w:val="left"/>
      <w:pPr>
        <w:tabs>
          <w:tab w:val="num" w:pos="720"/>
        </w:tabs>
        <w:ind w:left="720" w:hanging="360"/>
      </w:pPr>
      <w:rPr>
        <w:rFonts w:ascii="Wingdings" w:hAnsi="Wingdings" w:hint="default"/>
      </w:rPr>
    </w:lvl>
    <w:lvl w:ilvl="1" w:tplc="A4802B90" w:tentative="1">
      <w:start w:val="1"/>
      <w:numFmt w:val="bullet"/>
      <w:lvlText w:val=""/>
      <w:lvlJc w:val="left"/>
      <w:pPr>
        <w:tabs>
          <w:tab w:val="num" w:pos="1440"/>
        </w:tabs>
        <w:ind w:left="1440" w:hanging="360"/>
      </w:pPr>
      <w:rPr>
        <w:rFonts w:ascii="Wingdings" w:hAnsi="Wingdings" w:hint="default"/>
      </w:rPr>
    </w:lvl>
    <w:lvl w:ilvl="2" w:tplc="8A22E196" w:tentative="1">
      <w:start w:val="1"/>
      <w:numFmt w:val="bullet"/>
      <w:lvlText w:val=""/>
      <w:lvlJc w:val="left"/>
      <w:pPr>
        <w:tabs>
          <w:tab w:val="num" w:pos="2160"/>
        </w:tabs>
        <w:ind w:left="2160" w:hanging="360"/>
      </w:pPr>
      <w:rPr>
        <w:rFonts w:ascii="Wingdings" w:hAnsi="Wingdings" w:hint="default"/>
      </w:rPr>
    </w:lvl>
    <w:lvl w:ilvl="3" w:tplc="FB78B988" w:tentative="1">
      <w:start w:val="1"/>
      <w:numFmt w:val="bullet"/>
      <w:lvlText w:val=""/>
      <w:lvlJc w:val="left"/>
      <w:pPr>
        <w:tabs>
          <w:tab w:val="num" w:pos="2880"/>
        </w:tabs>
        <w:ind w:left="2880" w:hanging="360"/>
      </w:pPr>
      <w:rPr>
        <w:rFonts w:ascii="Wingdings" w:hAnsi="Wingdings" w:hint="default"/>
      </w:rPr>
    </w:lvl>
    <w:lvl w:ilvl="4" w:tplc="42A08376" w:tentative="1">
      <w:start w:val="1"/>
      <w:numFmt w:val="bullet"/>
      <w:lvlText w:val=""/>
      <w:lvlJc w:val="left"/>
      <w:pPr>
        <w:tabs>
          <w:tab w:val="num" w:pos="3600"/>
        </w:tabs>
        <w:ind w:left="3600" w:hanging="360"/>
      </w:pPr>
      <w:rPr>
        <w:rFonts w:ascii="Wingdings" w:hAnsi="Wingdings" w:hint="default"/>
      </w:rPr>
    </w:lvl>
    <w:lvl w:ilvl="5" w:tplc="DE54F58A" w:tentative="1">
      <w:start w:val="1"/>
      <w:numFmt w:val="bullet"/>
      <w:lvlText w:val=""/>
      <w:lvlJc w:val="left"/>
      <w:pPr>
        <w:tabs>
          <w:tab w:val="num" w:pos="4320"/>
        </w:tabs>
        <w:ind w:left="4320" w:hanging="360"/>
      </w:pPr>
      <w:rPr>
        <w:rFonts w:ascii="Wingdings" w:hAnsi="Wingdings" w:hint="default"/>
      </w:rPr>
    </w:lvl>
    <w:lvl w:ilvl="6" w:tplc="3C6EBB30" w:tentative="1">
      <w:start w:val="1"/>
      <w:numFmt w:val="bullet"/>
      <w:lvlText w:val=""/>
      <w:lvlJc w:val="left"/>
      <w:pPr>
        <w:tabs>
          <w:tab w:val="num" w:pos="5040"/>
        </w:tabs>
        <w:ind w:left="5040" w:hanging="360"/>
      </w:pPr>
      <w:rPr>
        <w:rFonts w:ascii="Wingdings" w:hAnsi="Wingdings" w:hint="default"/>
      </w:rPr>
    </w:lvl>
    <w:lvl w:ilvl="7" w:tplc="9BEAD874" w:tentative="1">
      <w:start w:val="1"/>
      <w:numFmt w:val="bullet"/>
      <w:lvlText w:val=""/>
      <w:lvlJc w:val="left"/>
      <w:pPr>
        <w:tabs>
          <w:tab w:val="num" w:pos="5760"/>
        </w:tabs>
        <w:ind w:left="5760" w:hanging="360"/>
      </w:pPr>
      <w:rPr>
        <w:rFonts w:ascii="Wingdings" w:hAnsi="Wingdings" w:hint="default"/>
      </w:rPr>
    </w:lvl>
    <w:lvl w:ilvl="8" w:tplc="55D2C0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9687A"/>
    <w:multiLevelType w:val="hybridMultilevel"/>
    <w:tmpl w:val="C2E0982E"/>
    <w:lvl w:ilvl="0" w:tplc="ABE4D738">
      <w:start w:val="1"/>
      <w:numFmt w:val="bullet"/>
      <w:lvlText w:val=""/>
      <w:lvlJc w:val="left"/>
      <w:pPr>
        <w:tabs>
          <w:tab w:val="num" w:pos="720"/>
        </w:tabs>
        <w:ind w:left="720" w:hanging="360"/>
      </w:pPr>
      <w:rPr>
        <w:rFonts w:ascii="Wingdings" w:hAnsi="Wingdings" w:hint="default"/>
      </w:rPr>
    </w:lvl>
    <w:lvl w:ilvl="1" w:tplc="303CD80E" w:tentative="1">
      <w:start w:val="1"/>
      <w:numFmt w:val="bullet"/>
      <w:lvlText w:val=""/>
      <w:lvlJc w:val="left"/>
      <w:pPr>
        <w:tabs>
          <w:tab w:val="num" w:pos="1440"/>
        </w:tabs>
        <w:ind w:left="1440" w:hanging="360"/>
      </w:pPr>
      <w:rPr>
        <w:rFonts w:ascii="Wingdings" w:hAnsi="Wingdings" w:hint="default"/>
      </w:rPr>
    </w:lvl>
    <w:lvl w:ilvl="2" w:tplc="381259DC" w:tentative="1">
      <w:start w:val="1"/>
      <w:numFmt w:val="bullet"/>
      <w:lvlText w:val=""/>
      <w:lvlJc w:val="left"/>
      <w:pPr>
        <w:tabs>
          <w:tab w:val="num" w:pos="2160"/>
        </w:tabs>
        <w:ind w:left="2160" w:hanging="360"/>
      </w:pPr>
      <w:rPr>
        <w:rFonts w:ascii="Wingdings" w:hAnsi="Wingdings" w:hint="default"/>
      </w:rPr>
    </w:lvl>
    <w:lvl w:ilvl="3" w:tplc="BDB0A140" w:tentative="1">
      <w:start w:val="1"/>
      <w:numFmt w:val="bullet"/>
      <w:lvlText w:val=""/>
      <w:lvlJc w:val="left"/>
      <w:pPr>
        <w:tabs>
          <w:tab w:val="num" w:pos="2880"/>
        </w:tabs>
        <w:ind w:left="2880" w:hanging="360"/>
      </w:pPr>
      <w:rPr>
        <w:rFonts w:ascii="Wingdings" w:hAnsi="Wingdings" w:hint="default"/>
      </w:rPr>
    </w:lvl>
    <w:lvl w:ilvl="4" w:tplc="99562900" w:tentative="1">
      <w:start w:val="1"/>
      <w:numFmt w:val="bullet"/>
      <w:lvlText w:val=""/>
      <w:lvlJc w:val="left"/>
      <w:pPr>
        <w:tabs>
          <w:tab w:val="num" w:pos="3600"/>
        </w:tabs>
        <w:ind w:left="3600" w:hanging="360"/>
      </w:pPr>
      <w:rPr>
        <w:rFonts w:ascii="Wingdings" w:hAnsi="Wingdings" w:hint="default"/>
      </w:rPr>
    </w:lvl>
    <w:lvl w:ilvl="5" w:tplc="615ECEBA" w:tentative="1">
      <w:start w:val="1"/>
      <w:numFmt w:val="bullet"/>
      <w:lvlText w:val=""/>
      <w:lvlJc w:val="left"/>
      <w:pPr>
        <w:tabs>
          <w:tab w:val="num" w:pos="4320"/>
        </w:tabs>
        <w:ind w:left="4320" w:hanging="360"/>
      </w:pPr>
      <w:rPr>
        <w:rFonts w:ascii="Wingdings" w:hAnsi="Wingdings" w:hint="default"/>
      </w:rPr>
    </w:lvl>
    <w:lvl w:ilvl="6" w:tplc="3DFC8160" w:tentative="1">
      <w:start w:val="1"/>
      <w:numFmt w:val="bullet"/>
      <w:lvlText w:val=""/>
      <w:lvlJc w:val="left"/>
      <w:pPr>
        <w:tabs>
          <w:tab w:val="num" w:pos="5040"/>
        </w:tabs>
        <w:ind w:left="5040" w:hanging="360"/>
      </w:pPr>
      <w:rPr>
        <w:rFonts w:ascii="Wingdings" w:hAnsi="Wingdings" w:hint="default"/>
      </w:rPr>
    </w:lvl>
    <w:lvl w:ilvl="7" w:tplc="B1103C90" w:tentative="1">
      <w:start w:val="1"/>
      <w:numFmt w:val="bullet"/>
      <w:lvlText w:val=""/>
      <w:lvlJc w:val="left"/>
      <w:pPr>
        <w:tabs>
          <w:tab w:val="num" w:pos="5760"/>
        </w:tabs>
        <w:ind w:left="5760" w:hanging="360"/>
      </w:pPr>
      <w:rPr>
        <w:rFonts w:ascii="Wingdings" w:hAnsi="Wingdings" w:hint="default"/>
      </w:rPr>
    </w:lvl>
    <w:lvl w:ilvl="8" w:tplc="EEE6A1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0A7027"/>
    <w:multiLevelType w:val="multilevel"/>
    <w:tmpl w:val="BFF6B9D6"/>
    <w:numStyleLink w:val="NumbLstNumb"/>
  </w:abstractNum>
  <w:abstractNum w:abstractNumId="19" w15:restartNumberingAfterBreak="0">
    <w:nsid w:val="7DE506CC"/>
    <w:multiLevelType w:val="hybridMultilevel"/>
    <w:tmpl w:val="E05EF468"/>
    <w:lvl w:ilvl="0" w:tplc="DDCC6EFE">
      <w:start w:val="1"/>
      <w:numFmt w:val="bullet"/>
      <w:lvlText w:val="•"/>
      <w:lvlJc w:val="left"/>
      <w:pPr>
        <w:tabs>
          <w:tab w:val="num" w:pos="720"/>
        </w:tabs>
        <w:ind w:left="720" w:hanging="360"/>
      </w:pPr>
      <w:rPr>
        <w:rFonts w:ascii="Arial" w:hAnsi="Arial" w:hint="default"/>
      </w:rPr>
    </w:lvl>
    <w:lvl w:ilvl="1" w:tplc="8732124A">
      <w:start w:val="306"/>
      <w:numFmt w:val="bullet"/>
      <w:lvlText w:val="•"/>
      <w:lvlJc w:val="left"/>
      <w:pPr>
        <w:tabs>
          <w:tab w:val="num" w:pos="1440"/>
        </w:tabs>
        <w:ind w:left="1440" w:hanging="360"/>
      </w:pPr>
      <w:rPr>
        <w:rFonts w:ascii="Arial" w:hAnsi="Arial" w:hint="default"/>
      </w:rPr>
    </w:lvl>
    <w:lvl w:ilvl="2" w:tplc="F4BEE61E" w:tentative="1">
      <w:start w:val="1"/>
      <w:numFmt w:val="bullet"/>
      <w:lvlText w:val="•"/>
      <w:lvlJc w:val="left"/>
      <w:pPr>
        <w:tabs>
          <w:tab w:val="num" w:pos="2160"/>
        </w:tabs>
        <w:ind w:left="2160" w:hanging="360"/>
      </w:pPr>
      <w:rPr>
        <w:rFonts w:ascii="Arial" w:hAnsi="Arial" w:hint="default"/>
      </w:rPr>
    </w:lvl>
    <w:lvl w:ilvl="3" w:tplc="A22014F6" w:tentative="1">
      <w:start w:val="1"/>
      <w:numFmt w:val="bullet"/>
      <w:lvlText w:val="•"/>
      <w:lvlJc w:val="left"/>
      <w:pPr>
        <w:tabs>
          <w:tab w:val="num" w:pos="2880"/>
        </w:tabs>
        <w:ind w:left="2880" w:hanging="360"/>
      </w:pPr>
      <w:rPr>
        <w:rFonts w:ascii="Arial" w:hAnsi="Arial" w:hint="default"/>
      </w:rPr>
    </w:lvl>
    <w:lvl w:ilvl="4" w:tplc="8600515E" w:tentative="1">
      <w:start w:val="1"/>
      <w:numFmt w:val="bullet"/>
      <w:lvlText w:val="•"/>
      <w:lvlJc w:val="left"/>
      <w:pPr>
        <w:tabs>
          <w:tab w:val="num" w:pos="3600"/>
        </w:tabs>
        <w:ind w:left="3600" w:hanging="360"/>
      </w:pPr>
      <w:rPr>
        <w:rFonts w:ascii="Arial" w:hAnsi="Arial" w:hint="default"/>
      </w:rPr>
    </w:lvl>
    <w:lvl w:ilvl="5" w:tplc="1946100C" w:tentative="1">
      <w:start w:val="1"/>
      <w:numFmt w:val="bullet"/>
      <w:lvlText w:val="•"/>
      <w:lvlJc w:val="left"/>
      <w:pPr>
        <w:tabs>
          <w:tab w:val="num" w:pos="4320"/>
        </w:tabs>
        <w:ind w:left="4320" w:hanging="360"/>
      </w:pPr>
      <w:rPr>
        <w:rFonts w:ascii="Arial" w:hAnsi="Arial" w:hint="default"/>
      </w:rPr>
    </w:lvl>
    <w:lvl w:ilvl="6" w:tplc="05E800A8" w:tentative="1">
      <w:start w:val="1"/>
      <w:numFmt w:val="bullet"/>
      <w:lvlText w:val="•"/>
      <w:lvlJc w:val="left"/>
      <w:pPr>
        <w:tabs>
          <w:tab w:val="num" w:pos="5040"/>
        </w:tabs>
        <w:ind w:left="5040" w:hanging="360"/>
      </w:pPr>
      <w:rPr>
        <w:rFonts w:ascii="Arial" w:hAnsi="Arial" w:hint="default"/>
      </w:rPr>
    </w:lvl>
    <w:lvl w:ilvl="7" w:tplc="7EC4B5C2" w:tentative="1">
      <w:start w:val="1"/>
      <w:numFmt w:val="bullet"/>
      <w:lvlText w:val="•"/>
      <w:lvlJc w:val="left"/>
      <w:pPr>
        <w:tabs>
          <w:tab w:val="num" w:pos="5760"/>
        </w:tabs>
        <w:ind w:left="5760" w:hanging="360"/>
      </w:pPr>
      <w:rPr>
        <w:rFonts w:ascii="Arial" w:hAnsi="Arial" w:hint="default"/>
      </w:rPr>
    </w:lvl>
    <w:lvl w:ilvl="8" w:tplc="6570F39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6"/>
  </w:num>
  <w:num w:numId="4">
    <w:abstractNumId w:val="18"/>
    <w:lvlOverride w:ilvl="0">
      <w:lvl w:ilvl="0">
        <w:start w:val="1"/>
        <w:numFmt w:val="decimal"/>
        <w:pStyle w:val="NumbList1"/>
        <w:lvlText w:val="%1."/>
        <w:lvlJc w:val="left"/>
        <w:pPr>
          <w:tabs>
            <w:tab w:val="num" w:pos="340"/>
          </w:tabs>
          <w:ind w:left="340" w:hanging="340"/>
        </w:pPr>
        <w:rPr>
          <w:rFonts w:hint="default"/>
          <w:b w:val="0"/>
        </w:rPr>
      </w:lvl>
    </w:lvlOverride>
    <w:lvlOverride w:ilvl="1">
      <w:lvl w:ilvl="1">
        <w:start w:val="1"/>
        <w:numFmt w:val="bullet"/>
        <w:pStyle w:val="NumbList2"/>
        <w:lvlText w:val="■"/>
        <w:lvlJc w:val="left"/>
        <w:pPr>
          <w:tabs>
            <w:tab w:val="num" w:pos="680"/>
          </w:tabs>
          <w:ind w:left="680" w:hanging="340"/>
        </w:pPr>
        <w:rPr>
          <w:rFonts w:ascii="Arial" w:hAnsi="Arial" w:hint="default"/>
          <w:color w:val="008D7F"/>
        </w:rPr>
      </w:lvl>
    </w:lvlOverride>
  </w:num>
  <w:num w:numId="5">
    <w:abstractNumId w:val="18"/>
    <w:lvlOverride w:ilvl="0">
      <w:startOverride w:val="1"/>
      <w:lvl w:ilvl="0">
        <w:start w:val="1"/>
        <w:numFmt w:val="decimal"/>
        <w:pStyle w:val="NumbList1"/>
        <w:lvlText w:val="%1."/>
        <w:lvlJc w:val="left"/>
        <w:pPr>
          <w:tabs>
            <w:tab w:val="num" w:pos="340"/>
          </w:tabs>
          <w:ind w:left="340" w:hanging="340"/>
        </w:pPr>
        <w:rPr>
          <w:b w:val="0"/>
        </w:rPr>
      </w:lvl>
    </w:lvlOverride>
    <w:lvlOverride w:ilvl="1">
      <w:startOverride w:val="1"/>
      <w:lvl w:ilvl="1">
        <w:start w:val="1"/>
        <w:numFmt w:val="bullet"/>
        <w:pStyle w:val="NumbList2"/>
        <w:lvlText w:val="■"/>
        <w:lvlJc w:val="left"/>
        <w:pPr>
          <w:tabs>
            <w:tab w:val="num" w:pos="680"/>
          </w:tabs>
          <w:ind w:left="680" w:hanging="340"/>
        </w:pPr>
        <w:rPr>
          <w:rFonts w:ascii="Arial" w:hAnsi="Arial" w:cs="Times New Roman" w:hint="default"/>
          <w:color w:val="008D7F"/>
        </w:rPr>
      </w:lvl>
    </w:lvlOverride>
    <w:lvlOverride w:ilvl="2">
      <w:lvl w:ilvl="2">
        <w:numFmt w:val="decimal"/>
        <w:pStyle w:val="NumbList3"/>
        <w:lvlText w:val=""/>
        <w:lvlJc w:val="left"/>
      </w:lvl>
    </w:lvlOverride>
    <w:lvlOverride w:ilvl="3">
      <w:lvl w:ilvl="3">
        <w:numFmt w:val="decimal"/>
        <w:pStyle w:val="NumbList4"/>
        <w:lvlText w:val=""/>
        <w:lvlJc w:val="left"/>
      </w:lvl>
    </w:lvlOverride>
    <w:lvlOverride w:ilvl="4">
      <w:startOverride w:val="1"/>
      <w:lvl w:ilvl="4">
        <w:start w:val="1"/>
        <w:numFmt w:val="decimal"/>
        <w:pStyle w:val="NumbLis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9"/>
  </w:num>
  <w:num w:numId="7">
    <w:abstractNumId w:val="7"/>
  </w:num>
  <w:num w:numId="8">
    <w:abstractNumId w:val="3"/>
  </w:num>
  <w:num w:numId="9">
    <w:abstractNumId w:val="17"/>
  </w:num>
  <w:num w:numId="10">
    <w:abstractNumId w:val="8"/>
  </w:num>
  <w:num w:numId="11">
    <w:abstractNumId w:val="16"/>
  </w:num>
  <w:num w:numId="12">
    <w:abstractNumId w:val="0"/>
  </w:num>
  <w:num w:numId="13">
    <w:abstractNumId w:val="9"/>
  </w:num>
  <w:num w:numId="14">
    <w:abstractNumId w:val="1"/>
  </w:num>
  <w:num w:numId="15">
    <w:abstractNumId w:val="11"/>
  </w:num>
  <w:num w:numId="16">
    <w:abstractNumId w:val="10"/>
  </w:num>
  <w:num w:numId="17">
    <w:abstractNumId w:val="12"/>
  </w:num>
  <w:num w:numId="18">
    <w:abstractNumId w:val="15"/>
  </w:num>
  <w:num w:numId="19">
    <w:abstractNumId w:val="4"/>
  </w:num>
  <w:num w:numId="20">
    <w:abstractNumId w:val="13"/>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s>
  <w:rsids>
    <w:rsidRoot w:val="003E6297"/>
    <w:rsid w:val="00000CED"/>
    <w:rsid w:val="00005C1F"/>
    <w:rsid w:val="00007659"/>
    <w:rsid w:val="00010CDF"/>
    <w:rsid w:val="00013BF2"/>
    <w:rsid w:val="00023908"/>
    <w:rsid w:val="0002578E"/>
    <w:rsid w:val="00025871"/>
    <w:rsid w:val="000264DA"/>
    <w:rsid w:val="00033EBA"/>
    <w:rsid w:val="00033FC8"/>
    <w:rsid w:val="00036BE7"/>
    <w:rsid w:val="00037B6E"/>
    <w:rsid w:val="00045A72"/>
    <w:rsid w:val="00055615"/>
    <w:rsid w:val="00063884"/>
    <w:rsid w:val="00064575"/>
    <w:rsid w:val="000664FA"/>
    <w:rsid w:val="00084284"/>
    <w:rsid w:val="000875DB"/>
    <w:rsid w:val="000A597B"/>
    <w:rsid w:val="000B7139"/>
    <w:rsid w:val="000C0E9F"/>
    <w:rsid w:val="000D1098"/>
    <w:rsid w:val="000D4114"/>
    <w:rsid w:val="000E1516"/>
    <w:rsid w:val="000E3E9D"/>
    <w:rsid w:val="000E46D5"/>
    <w:rsid w:val="000F64F8"/>
    <w:rsid w:val="000F6FA7"/>
    <w:rsid w:val="001016F9"/>
    <w:rsid w:val="001051C4"/>
    <w:rsid w:val="00106E7E"/>
    <w:rsid w:val="0011255E"/>
    <w:rsid w:val="00112C24"/>
    <w:rsid w:val="00114A09"/>
    <w:rsid w:val="0011579D"/>
    <w:rsid w:val="0011759D"/>
    <w:rsid w:val="0012467E"/>
    <w:rsid w:val="00124BF6"/>
    <w:rsid w:val="001264C8"/>
    <w:rsid w:val="001454B1"/>
    <w:rsid w:val="0015469F"/>
    <w:rsid w:val="00157996"/>
    <w:rsid w:val="0016180F"/>
    <w:rsid w:val="001666B6"/>
    <w:rsid w:val="00174411"/>
    <w:rsid w:val="00174B56"/>
    <w:rsid w:val="0017538B"/>
    <w:rsid w:val="00175E88"/>
    <w:rsid w:val="00183AFF"/>
    <w:rsid w:val="0018579B"/>
    <w:rsid w:val="001A714A"/>
    <w:rsid w:val="001A7E6E"/>
    <w:rsid w:val="001B00EA"/>
    <w:rsid w:val="001B1D4C"/>
    <w:rsid w:val="001B5442"/>
    <w:rsid w:val="001D072C"/>
    <w:rsid w:val="001D2B9C"/>
    <w:rsid w:val="001D5F4C"/>
    <w:rsid w:val="001D60B3"/>
    <w:rsid w:val="001D6702"/>
    <w:rsid w:val="001D799D"/>
    <w:rsid w:val="001F0F70"/>
    <w:rsid w:val="001F20B1"/>
    <w:rsid w:val="001F2D01"/>
    <w:rsid w:val="001F6EF1"/>
    <w:rsid w:val="002047BC"/>
    <w:rsid w:val="00214DB5"/>
    <w:rsid w:val="00231AA3"/>
    <w:rsid w:val="0023301D"/>
    <w:rsid w:val="002369D8"/>
    <w:rsid w:val="00242931"/>
    <w:rsid w:val="002511F3"/>
    <w:rsid w:val="00255BCC"/>
    <w:rsid w:val="00257424"/>
    <w:rsid w:val="00274291"/>
    <w:rsid w:val="0028279D"/>
    <w:rsid w:val="00284C20"/>
    <w:rsid w:val="00293C93"/>
    <w:rsid w:val="00296D4D"/>
    <w:rsid w:val="002975CF"/>
    <w:rsid w:val="002976FB"/>
    <w:rsid w:val="002B3537"/>
    <w:rsid w:val="002C3B98"/>
    <w:rsid w:val="002C6311"/>
    <w:rsid w:val="002D46CE"/>
    <w:rsid w:val="002D7B25"/>
    <w:rsid w:val="002F2499"/>
    <w:rsid w:val="002F4A2F"/>
    <w:rsid w:val="002F7AC0"/>
    <w:rsid w:val="00311092"/>
    <w:rsid w:val="0031268B"/>
    <w:rsid w:val="00321DAB"/>
    <w:rsid w:val="003348F4"/>
    <w:rsid w:val="003362E1"/>
    <w:rsid w:val="00337E7B"/>
    <w:rsid w:val="00340CB3"/>
    <w:rsid w:val="0034373B"/>
    <w:rsid w:val="00345D02"/>
    <w:rsid w:val="00346AF4"/>
    <w:rsid w:val="00350A5C"/>
    <w:rsid w:val="00353DA8"/>
    <w:rsid w:val="00356A85"/>
    <w:rsid w:val="003575F5"/>
    <w:rsid w:val="00363B73"/>
    <w:rsid w:val="00363D43"/>
    <w:rsid w:val="00364E4B"/>
    <w:rsid w:val="003663B7"/>
    <w:rsid w:val="00367A20"/>
    <w:rsid w:val="00374B1A"/>
    <w:rsid w:val="00381D3A"/>
    <w:rsid w:val="00383F20"/>
    <w:rsid w:val="00386792"/>
    <w:rsid w:val="00391608"/>
    <w:rsid w:val="003933A9"/>
    <w:rsid w:val="0039406D"/>
    <w:rsid w:val="003943C3"/>
    <w:rsid w:val="003A2214"/>
    <w:rsid w:val="003A2CDF"/>
    <w:rsid w:val="003B564A"/>
    <w:rsid w:val="003C3BBD"/>
    <w:rsid w:val="003C5116"/>
    <w:rsid w:val="003D267B"/>
    <w:rsid w:val="003D6BD6"/>
    <w:rsid w:val="003E24F1"/>
    <w:rsid w:val="003E2FA5"/>
    <w:rsid w:val="003E46B6"/>
    <w:rsid w:val="003E6297"/>
    <w:rsid w:val="003F4098"/>
    <w:rsid w:val="003F7FC5"/>
    <w:rsid w:val="004025EB"/>
    <w:rsid w:val="004034E8"/>
    <w:rsid w:val="004101DD"/>
    <w:rsid w:val="00410EF3"/>
    <w:rsid w:val="00412917"/>
    <w:rsid w:val="00414950"/>
    <w:rsid w:val="00415D9E"/>
    <w:rsid w:val="00416D67"/>
    <w:rsid w:val="004238AB"/>
    <w:rsid w:val="0042582D"/>
    <w:rsid w:val="004270EC"/>
    <w:rsid w:val="0042780C"/>
    <w:rsid w:val="00430C3A"/>
    <w:rsid w:val="004341C6"/>
    <w:rsid w:val="004418E2"/>
    <w:rsid w:val="0044231F"/>
    <w:rsid w:val="00445E93"/>
    <w:rsid w:val="00451235"/>
    <w:rsid w:val="0046047E"/>
    <w:rsid w:val="00464831"/>
    <w:rsid w:val="00470E98"/>
    <w:rsid w:val="00474631"/>
    <w:rsid w:val="0047599E"/>
    <w:rsid w:val="00476DE2"/>
    <w:rsid w:val="00491B87"/>
    <w:rsid w:val="00491FFC"/>
    <w:rsid w:val="00496F8D"/>
    <w:rsid w:val="004A133D"/>
    <w:rsid w:val="004B3514"/>
    <w:rsid w:val="004B7363"/>
    <w:rsid w:val="004C02DA"/>
    <w:rsid w:val="004C0FFC"/>
    <w:rsid w:val="004C328B"/>
    <w:rsid w:val="004C3F77"/>
    <w:rsid w:val="004C4A38"/>
    <w:rsid w:val="004C74A2"/>
    <w:rsid w:val="004D08B3"/>
    <w:rsid w:val="004D1475"/>
    <w:rsid w:val="004D23C1"/>
    <w:rsid w:val="004D3847"/>
    <w:rsid w:val="004D4AC6"/>
    <w:rsid w:val="004D7BCF"/>
    <w:rsid w:val="004E21CB"/>
    <w:rsid w:val="004E421E"/>
    <w:rsid w:val="004F00C8"/>
    <w:rsid w:val="004F0421"/>
    <w:rsid w:val="004F6F4A"/>
    <w:rsid w:val="005024C8"/>
    <w:rsid w:val="00503F03"/>
    <w:rsid w:val="0050463F"/>
    <w:rsid w:val="005052FF"/>
    <w:rsid w:val="00506170"/>
    <w:rsid w:val="00510855"/>
    <w:rsid w:val="0051346D"/>
    <w:rsid w:val="005201E3"/>
    <w:rsid w:val="00532FC6"/>
    <w:rsid w:val="00534766"/>
    <w:rsid w:val="005355F2"/>
    <w:rsid w:val="005401A9"/>
    <w:rsid w:val="005426BB"/>
    <w:rsid w:val="005439AF"/>
    <w:rsid w:val="00545371"/>
    <w:rsid w:val="00546BAB"/>
    <w:rsid w:val="00550520"/>
    <w:rsid w:val="0055248A"/>
    <w:rsid w:val="00552E77"/>
    <w:rsid w:val="00557707"/>
    <w:rsid w:val="00572D6C"/>
    <w:rsid w:val="00573295"/>
    <w:rsid w:val="005813C2"/>
    <w:rsid w:val="00582C50"/>
    <w:rsid w:val="00582FE7"/>
    <w:rsid w:val="00584A89"/>
    <w:rsid w:val="00593D69"/>
    <w:rsid w:val="00596CAA"/>
    <w:rsid w:val="00596EC4"/>
    <w:rsid w:val="005973D6"/>
    <w:rsid w:val="005A187B"/>
    <w:rsid w:val="005A6690"/>
    <w:rsid w:val="005A7900"/>
    <w:rsid w:val="005D3063"/>
    <w:rsid w:val="005D4ED4"/>
    <w:rsid w:val="005D6FEE"/>
    <w:rsid w:val="005D760C"/>
    <w:rsid w:val="005E37D8"/>
    <w:rsid w:val="005E518B"/>
    <w:rsid w:val="005F1432"/>
    <w:rsid w:val="005F4C38"/>
    <w:rsid w:val="005F51FE"/>
    <w:rsid w:val="0060265E"/>
    <w:rsid w:val="00604012"/>
    <w:rsid w:val="006048EA"/>
    <w:rsid w:val="00604B19"/>
    <w:rsid w:val="00606881"/>
    <w:rsid w:val="0061252D"/>
    <w:rsid w:val="00613078"/>
    <w:rsid w:val="00614268"/>
    <w:rsid w:val="00621D05"/>
    <w:rsid w:val="00624D49"/>
    <w:rsid w:val="0062521C"/>
    <w:rsid w:val="00627048"/>
    <w:rsid w:val="006311AB"/>
    <w:rsid w:val="006313B6"/>
    <w:rsid w:val="00633BE9"/>
    <w:rsid w:val="00641A6F"/>
    <w:rsid w:val="006472F9"/>
    <w:rsid w:val="00652D2C"/>
    <w:rsid w:val="0065349E"/>
    <w:rsid w:val="00657825"/>
    <w:rsid w:val="006605FD"/>
    <w:rsid w:val="00660D66"/>
    <w:rsid w:val="00666236"/>
    <w:rsid w:val="006715FF"/>
    <w:rsid w:val="0067216E"/>
    <w:rsid w:val="006746DB"/>
    <w:rsid w:val="00675482"/>
    <w:rsid w:val="0068129C"/>
    <w:rsid w:val="006816B6"/>
    <w:rsid w:val="00682701"/>
    <w:rsid w:val="00685E5C"/>
    <w:rsid w:val="006862B0"/>
    <w:rsid w:val="00687021"/>
    <w:rsid w:val="00694AED"/>
    <w:rsid w:val="00694D68"/>
    <w:rsid w:val="006A6381"/>
    <w:rsid w:val="006B0410"/>
    <w:rsid w:val="006B1522"/>
    <w:rsid w:val="006C16E3"/>
    <w:rsid w:val="006C266B"/>
    <w:rsid w:val="006C362C"/>
    <w:rsid w:val="006C3B90"/>
    <w:rsid w:val="006C49A9"/>
    <w:rsid w:val="006D16B5"/>
    <w:rsid w:val="006D2CEB"/>
    <w:rsid w:val="006D4F0B"/>
    <w:rsid w:val="006D641C"/>
    <w:rsid w:val="006E1F09"/>
    <w:rsid w:val="006E6208"/>
    <w:rsid w:val="006F36C5"/>
    <w:rsid w:val="006F42C8"/>
    <w:rsid w:val="006F472F"/>
    <w:rsid w:val="00702BB4"/>
    <w:rsid w:val="00704B81"/>
    <w:rsid w:val="00706AA0"/>
    <w:rsid w:val="00706F48"/>
    <w:rsid w:val="00711FE8"/>
    <w:rsid w:val="00723AEA"/>
    <w:rsid w:val="00741AF7"/>
    <w:rsid w:val="00741B54"/>
    <w:rsid w:val="00744067"/>
    <w:rsid w:val="0076127D"/>
    <w:rsid w:val="00761849"/>
    <w:rsid w:val="007633D9"/>
    <w:rsid w:val="00764BBC"/>
    <w:rsid w:val="00773B91"/>
    <w:rsid w:val="00773F44"/>
    <w:rsid w:val="00774377"/>
    <w:rsid w:val="00777CB5"/>
    <w:rsid w:val="00783166"/>
    <w:rsid w:val="007843B4"/>
    <w:rsid w:val="00786C71"/>
    <w:rsid w:val="00787648"/>
    <w:rsid w:val="007A46AF"/>
    <w:rsid w:val="007A50A8"/>
    <w:rsid w:val="007A5B1C"/>
    <w:rsid w:val="007A5EF8"/>
    <w:rsid w:val="007A6847"/>
    <w:rsid w:val="007C1D70"/>
    <w:rsid w:val="007C202E"/>
    <w:rsid w:val="007C7A15"/>
    <w:rsid w:val="007D0301"/>
    <w:rsid w:val="007D1FFF"/>
    <w:rsid w:val="007E281D"/>
    <w:rsid w:val="007E36D5"/>
    <w:rsid w:val="007F4914"/>
    <w:rsid w:val="0081331A"/>
    <w:rsid w:val="00816B83"/>
    <w:rsid w:val="00825E17"/>
    <w:rsid w:val="00837636"/>
    <w:rsid w:val="00843862"/>
    <w:rsid w:val="00846E24"/>
    <w:rsid w:val="008522C5"/>
    <w:rsid w:val="00857901"/>
    <w:rsid w:val="00861B1F"/>
    <w:rsid w:val="00864574"/>
    <w:rsid w:val="00873211"/>
    <w:rsid w:val="0087491E"/>
    <w:rsid w:val="008754EA"/>
    <w:rsid w:val="00877AD9"/>
    <w:rsid w:val="008913E0"/>
    <w:rsid w:val="008924CB"/>
    <w:rsid w:val="00894CD4"/>
    <w:rsid w:val="008A0FC1"/>
    <w:rsid w:val="008A3AD2"/>
    <w:rsid w:val="008B3696"/>
    <w:rsid w:val="008B6089"/>
    <w:rsid w:val="008B622B"/>
    <w:rsid w:val="008C214D"/>
    <w:rsid w:val="008C4B8E"/>
    <w:rsid w:val="008C651F"/>
    <w:rsid w:val="008D2E7A"/>
    <w:rsid w:val="008D4BE7"/>
    <w:rsid w:val="008D7126"/>
    <w:rsid w:val="008E1119"/>
    <w:rsid w:val="0091501B"/>
    <w:rsid w:val="00915605"/>
    <w:rsid w:val="009165BD"/>
    <w:rsid w:val="00916767"/>
    <w:rsid w:val="009207F6"/>
    <w:rsid w:val="009340A4"/>
    <w:rsid w:val="009452CF"/>
    <w:rsid w:val="00951EAA"/>
    <w:rsid w:val="00952A0D"/>
    <w:rsid w:val="00966C6F"/>
    <w:rsid w:val="0097096E"/>
    <w:rsid w:val="009811AA"/>
    <w:rsid w:val="0099246A"/>
    <w:rsid w:val="0099384D"/>
    <w:rsid w:val="00994D91"/>
    <w:rsid w:val="009A73E5"/>
    <w:rsid w:val="009B12C1"/>
    <w:rsid w:val="009B179E"/>
    <w:rsid w:val="009B2139"/>
    <w:rsid w:val="009B2371"/>
    <w:rsid w:val="009C431F"/>
    <w:rsid w:val="009C7A50"/>
    <w:rsid w:val="009D5926"/>
    <w:rsid w:val="009E6DC9"/>
    <w:rsid w:val="009E7FA5"/>
    <w:rsid w:val="009F20FE"/>
    <w:rsid w:val="00A005F1"/>
    <w:rsid w:val="00A0101B"/>
    <w:rsid w:val="00A10230"/>
    <w:rsid w:val="00A12C02"/>
    <w:rsid w:val="00A15344"/>
    <w:rsid w:val="00A157F6"/>
    <w:rsid w:val="00A170DB"/>
    <w:rsid w:val="00A201AA"/>
    <w:rsid w:val="00A27B10"/>
    <w:rsid w:val="00A32961"/>
    <w:rsid w:val="00A56856"/>
    <w:rsid w:val="00A57A0F"/>
    <w:rsid w:val="00A62F18"/>
    <w:rsid w:val="00A633E1"/>
    <w:rsid w:val="00A70EF1"/>
    <w:rsid w:val="00A74986"/>
    <w:rsid w:val="00A7502A"/>
    <w:rsid w:val="00AA57C7"/>
    <w:rsid w:val="00AA715B"/>
    <w:rsid w:val="00AB2B89"/>
    <w:rsid w:val="00AB7D49"/>
    <w:rsid w:val="00AC54E8"/>
    <w:rsid w:val="00AC611E"/>
    <w:rsid w:val="00AC7BE1"/>
    <w:rsid w:val="00AD1EFF"/>
    <w:rsid w:val="00AD7032"/>
    <w:rsid w:val="00AF0737"/>
    <w:rsid w:val="00AF346A"/>
    <w:rsid w:val="00B118F8"/>
    <w:rsid w:val="00B13AF7"/>
    <w:rsid w:val="00B21F10"/>
    <w:rsid w:val="00B2411B"/>
    <w:rsid w:val="00B25FEB"/>
    <w:rsid w:val="00B352E8"/>
    <w:rsid w:val="00B44389"/>
    <w:rsid w:val="00B47E73"/>
    <w:rsid w:val="00B5266F"/>
    <w:rsid w:val="00B555C6"/>
    <w:rsid w:val="00B5639D"/>
    <w:rsid w:val="00B570BC"/>
    <w:rsid w:val="00B64A2F"/>
    <w:rsid w:val="00B64F80"/>
    <w:rsid w:val="00B8370C"/>
    <w:rsid w:val="00B84896"/>
    <w:rsid w:val="00B875DD"/>
    <w:rsid w:val="00B93738"/>
    <w:rsid w:val="00B944F0"/>
    <w:rsid w:val="00BA3859"/>
    <w:rsid w:val="00BA7793"/>
    <w:rsid w:val="00BB2642"/>
    <w:rsid w:val="00BB35D2"/>
    <w:rsid w:val="00BC1320"/>
    <w:rsid w:val="00BE1292"/>
    <w:rsid w:val="00BE19B3"/>
    <w:rsid w:val="00C002B3"/>
    <w:rsid w:val="00C00D73"/>
    <w:rsid w:val="00C33A66"/>
    <w:rsid w:val="00C33E1C"/>
    <w:rsid w:val="00C34998"/>
    <w:rsid w:val="00C42D44"/>
    <w:rsid w:val="00C43660"/>
    <w:rsid w:val="00C64A54"/>
    <w:rsid w:val="00C713E1"/>
    <w:rsid w:val="00C8587B"/>
    <w:rsid w:val="00C91B80"/>
    <w:rsid w:val="00C97C2D"/>
    <w:rsid w:val="00CA284C"/>
    <w:rsid w:val="00CB0CDF"/>
    <w:rsid w:val="00CB2618"/>
    <w:rsid w:val="00CB2C9C"/>
    <w:rsid w:val="00CB3D06"/>
    <w:rsid w:val="00CB5438"/>
    <w:rsid w:val="00CB5650"/>
    <w:rsid w:val="00CB5AF4"/>
    <w:rsid w:val="00CC6AB5"/>
    <w:rsid w:val="00CD21D6"/>
    <w:rsid w:val="00CD25AA"/>
    <w:rsid w:val="00CD2730"/>
    <w:rsid w:val="00CD5E05"/>
    <w:rsid w:val="00D03010"/>
    <w:rsid w:val="00D14FBC"/>
    <w:rsid w:val="00D15A45"/>
    <w:rsid w:val="00D251E0"/>
    <w:rsid w:val="00D32371"/>
    <w:rsid w:val="00D353B9"/>
    <w:rsid w:val="00D3782D"/>
    <w:rsid w:val="00D3788D"/>
    <w:rsid w:val="00D3795F"/>
    <w:rsid w:val="00D42847"/>
    <w:rsid w:val="00D44E44"/>
    <w:rsid w:val="00D46E3D"/>
    <w:rsid w:val="00D51E8D"/>
    <w:rsid w:val="00D5290E"/>
    <w:rsid w:val="00D52F39"/>
    <w:rsid w:val="00D62324"/>
    <w:rsid w:val="00D66CB4"/>
    <w:rsid w:val="00D70F09"/>
    <w:rsid w:val="00D71DF6"/>
    <w:rsid w:val="00D74210"/>
    <w:rsid w:val="00D743AB"/>
    <w:rsid w:val="00D82538"/>
    <w:rsid w:val="00D82F06"/>
    <w:rsid w:val="00D87BBE"/>
    <w:rsid w:val="00D9517B"/>
    <w:rsid w:val="00D966D2"/>
    <w:rsid w:val="00DA1614"/>
    <w:rsid w:val="00DA7DF4"/>
    <w:rsid w:val="00DB1961"/>
    <w:rsid w:val="00DC2708"/>
    <w:rsid w:val="00DD1C76"/>
    <w:rsid w:val="00DD76EB"/>
    <w:rsid w:val="00DE0779"/>
    <w:rsid w:val="00DE1382"/>
    <w:rsid w:val="00DE54AD"/>
    <w:rsid w:val="00DE6EE9"/>
    <w:rsid w:val="00DF1CD8"/>
    <w:rsid w:val="00DF23AD"/>
    <w:rsid w:val="00DF4D86"/>
    <w:rsid w:val="00E01E54"/>
    <w:rsid w:val="00E10AFD"/>
    <w:rsid w:val="00E141D4"/>
    <w:rsid w:val="00E22ADB"/>
    <w:rsid w:val="00E2455F"/>
    <w:rsid w:val="00E2700A"/>
    <w:rsid w:val="00E27698"/>
    <w:rsid w:val="00E31201"/>
    <w:rsid w:val="00E313C6"/>
    <w:rsid w:val="00E354C0"/>
    <w:rsid w:val="00E369ED"/>
    <w:rsid w:val="00E40161"/>
    <w:rsid w:val="00E404E4"/>
    <w:rsid w:val="00E5480F"/>
    <w:rsid w:val="00E55A6E"/>
    <w:rsid w:val="00E56EF7"/>
    <w:rsid w:val="00E61101"/>
    <w:rsid w:val="00E635B1"/>
    <w:rsid w:val="00E65BB5"/>
    <w:rsid w:val="00E752FA"/>
    <w:rsid w:val="00E756EE"/>
    <w:rsid w:val="00E75EE2"/>
    <w:rsid w:val="00E766C2"/>
    <w:rsid w:val="00E8280E"/>
    <w:rsid w:val="00E837EF"/>
    <w:rsid w:val="00E852EA"/>
    <w:rsid w:val="00E90EA6"/>
    <w:rsid w:val="00E9105C"/>
    <w:rsid w:val="00E91636"/>
    <w:rsid w:val="00E948FF"/>
    <w:rsid w:val="00EA08E5"/>
    <w:rsid w:val="00EA227E"/>
    <w:rsid w:val="00EA4BFA"/>
    <w:rsid w:val="00EA5EE1"/>
    <w:rsid w:val="00EA7B98"/>
    <w:rsid w:val="00EB4980"/>
    <w:rsid w:val="00EB7145"/>
    <w:rsid w:val="00EC00C4"/>
    <w:rsid w:val="00EC6C6C"/>
    <w:rsid w:val="00EC7262"/>
    <w:rsid w:val="00EC7FCA"/>
    <w:rsid w:val="00ED66AD"/>
    <w:rsid w:val="00EE0507"/>
    <w:rsid w:val="00EE1000"/>
    <w:rsid w:val="00EE4603"/>
    <w:rsid w:val="00F113CA"/>
    <w:rsid w:val="00F124F0"/>
    <w:rsid w:val="00F14201"/>
    <w:rsid w:val="00F3301F"/>
    <w:rsid w:val="00F3663B"/>
    <w:rsid w:val="00F377D4"/>
    <w:rsid w:val="00F405CB"/>
    <w:rsid w:val="00F41123"/>
    <w:rsid w:val="00F42025"/>
    <w:rsid w:val="00F45C48"/>
    <w:rsid w:val="00F50687"/>
    <w:rsid w:val="00F6089D"/>
    <w:rsid w:val="00F60FA2"/>
    <w:rsid w:val="00F61493"/>
    <w:rsid w:val="00F66C3B"/>
    <w:rsid w:val="00F6764B"/>
    <w:rsid w:val="00F67E6A"/>
    <w:rsid w:val="00F75401"/>
    <w:rsid w:val="00F77200"/>
    <w:rsid w:val="00F92F4B"/>
    <w:rsid w:val="00F93052"/>
    <w:rsid w:val="00FA0842"/>
    <w:rsid w:val="00FB7C49"/>
    <w:rsid w:val="00FC1631"/>
    <w:rsid w:val="00FC419C"/>
    <w:rsid w:val="00FD7FA1"/>
    <w:rsid w:val="00FE06C3"/>
    <w:rsid w:val="00FE21FF"/>
    <w:rsid w:val="00FE3456"/>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371631"/>
  <w15:docId w15:val="{AED38891-54FD-4F48-B2ED-A15A9F61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0301"/>
    <w:pPr>
      <w:spacing w:after="120" w:line="264" w:lineRule="auto"/>
      <w:jc w:val="both"/>
    </w:pPr>
    <w:rPr>
      <w:rFonts w:ascii="Calibri" w:hAnsi="Calibri"/>
    </w:rPr>
  </w:style>
  <w:style w:type="paragraph" w:styleId="Heading1">
    <w:name w:val="heading 1"/>
    <w:basedOn w:val="Normal"/>
    <w:next w:val="Normal"/>
    <w:link w:val="Heading1Char"/>
    <w:uiPriority w:val="1"/>
    <w:qFormat/>
    <w:rsid w:val="00353DA8"/>
    <w:pPr>
      <w:keepNext/>
      <w:keepLines/>
      <w:spacing w:before="240"/>
      <w:jc w:val="left"/>
      <w:outlineLvl w:val="0"/>
    </w:pPr>
    <w:rPr>
      <w:rFonts w:eastAsiaTheme="majorEastAsia" w:cstheme="majorBidi"/>
      <w:b/>
      <w:bCs/>
      <w:caps/>
      <w:szCs w:val="28"/>
    </w:rPr>
  </w:style>
  <w:style w:type="paragraph" w:styleId="Heading2">
    <w:name w:val="heading 2"/>
    <w:basedOn w:val="Normal"/>
    <w:next w:val="Normal"/>
    <w:link w:val="Heading2Char"/>
    <w:uiPriority w:val="1"/>
    <w:unhideWhenUsed/>
    <w:qFormat/>
    <w:rsid w:val="00614268"/>
    <w:pPr>
      <w:keepNext/>
      <w:keepLines/>
      <w:spacing w:before="240" w:after="0"/>
      <w:outlineLvl w:val="1"/>
    </w:pPr>
    <w:rPr>
      <w:rFonts w:eastAsiaTheme="majorEastAsia" w:cstheme="majorBidi"/>
      <w:b/>
      <w:bCs/>
      <w:szCs w:val="26"/>
    </w:rPr>
  </w:style>
  <w:style w:type="paragraph" w:styleId="Heading3">
    <w:name w:val="heading 3"/>
    <w:basedOn w:val="Normal"/>
    <w:next w:val="Normal"/>
    <w:link w:val="Heading3Char"/>
    <w:uiPriority w:val="1"/>
    <w:unhideWhenUsed/>
    <w:qFormat/>
    <w:rsid w:val="00CB5650"/>
    <w:pPr>
      <w:keepNext/>
      <w:keepLines/>
      <w:outlineLvl w:val="2"/>
    </w:pPr>
    <w:rPr>
      <w:rFonts w:eastAsiaTheme="majorEastAsia" w:cstheme="majorBidi"/>
      <w:b/>
      <w:bCs/>
      <w:color w:val="008D7F"/>
    </w:rPr>
  </w:style>
  <w:style w:type="paragraph" w:styleId="Heading4">
    <w:name w:val="heading 4"/>
    <w:basedOn w:val="Normal"/>
    <w:next w:val="Normal"/>
    <w:link w:val="Heading4Char"/>
    <w:uiPriority w:val="19"/>
    <w:semiHidden/>
    <w:qFormat/>
    <w:rsid w:val="00CB5650"/>
    <w:pPr>
      <w:keepNext/>
      <w:keepLines/>
      <w:spacing w:before="240"/>
      <w:outlineLvl w:val="3"/>
    </w:pPr>
    <w:rPr>
      <w:rFonts w:eastAsiaTheme="majorEastAsia" w:cstheme="majorBidi"/>
      <w:b/>
      <w:bCs/>
      <w:i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6"/>
    <w:qFormat/>
    <w:rsid w:val="00CB5650"/>
    <w:pPr>
      <w:spacing w:after="360" w:line="440" w:lineRule="atLeast"/>
    </w:pPr>
    <w:rPr>
      <w:b/>
      <w:caps/>
      <w:sz w:val="36"/>
    </w:rPr>
  </w:style>
  <w:style w:type="character" w:customStyle="1" w:styleId="Heading1Char">
    <w:name w:val="Heading 1 Char"/>
    <w:basedOn w:val="DefaultParagraphFont"/>
    <w:link w:val="Heading1"/>
    <w:uiPriority w:val="1"/>
    <w:rsid w:val="00353DA8"/>
    <w:rPr>
      <w:rFonts w:ascii="Calibri" w:eastAsiaTheme="majorEastAsia" w:hAnsi="Calibri" w:cstheme="majorBidi"/>
      <w:b/>
      <w:bCs/>
      <w:caps/>
      <w:szCs w:val="28"/>
    </w:rPr>
  </w:style>
  <w:style w:type="character" w:customStyle="1" w:styleId="Heading2Char">
    <w:name w:val="Heading 2 Char"/>
    <w:basedOn w:val="DefaultParagraphFont"/>
    <w:link w:val="Heading2"/>
    <w:uiPriority w:val="1"/>
    <w:rsid w:val="00614268"/>
    <w:rPr>
      <w:rFonts w:ascii="Calibri" w:eastAsiaTheme="majorEastAsia" w:hAnsi="Calibri" w:cstheme="majorBidi"/>
      <w:b/>
      <w:bCs/>
      <w:szCs w:val="26"/>
    </w:rPr>
  </w:style>
  <w:style w:type="paragraph" w:styleId="Header">
    <w:name w:val="header"/>
    <w:basedOn w:val="Normal"/>
    <w:link w:val="HeaderChar"/>
    <w:uiPriority w:val="99"/>
    <w:semiHidden/>
    <w:rsid w:val="00CB56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4B81"/>
    <w:rPr>
      <w:rFonts w:ascii="Calibri" w:hAnsi="Calibri"/>
    </w:rPr>
  </w:style>
  <w:style w:type="paragraph" w:styleId="Footer">
    <w:name w:val="footer"/>
    <w:basedOn w:val="Normal"/>
    <w:link w:val="FooterChar"/>
    <w:uiPriority w:val="99"/>
    <w:rsid w:val="00FC419C"/>
    <w:pPr>
      <w:tabs>
        <w:tab w:val="right" w:pos="9639"/>
      </w:tabs>
      <w:spacing w:before="240" w:after="0" w:line="240" w:lineRule="auto"/>
    </w:pPr>
    <w:rPr>
      <w:b/>
    </w:rPr>
  </w:style>
  <w:style w:type="character" w:customStyle="1" w:styleId="FooterChar">
    <w:name w:val="Footer Char"/>
    <w:basedOn w:val="DefaultParagraphFont"/>
    <w:link w:val="Footer"/>
    <w:uiPriority w:val="99"/>
    <w:rsid w:val="00704B81"/>
    <w:rPr>
      <w:rFonts w:ascii="Calibri" w:hAnsi="Calibri"/>
      <w:b/>
    </w:rPr>
  </w:style>
  <w:style w:type="paragraph" w:styleId="BalloonText">
    <w:name w:val="Balloon Text"/>
    <w:basedOn w:val="Normal"/>
    <w:link w:val="BalloonTextChar"/>
    <w:uiPriority w:val="99"/>
    <w:semiHidden/>
    <w:unhideWhenUsed/>
    <w:rsid w:val="00CB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50"/>
    <w:rPr>
      <w:rFonts w:ascii="Tahoma" w:hAnsi="Tahoma" w:cs="Tahoma"/>
      <w:sz w:val="16"/>
      <w:szCs w:val="16"/>
    </w:rPr>
  </w:style>
  <w:style w:type="paragraph" w:customStyle="1" w:styleId="Bullet1">
    <w:name w:val="Bullet1"/>
    <w:basedOn w:val="Normal"/>
    <w:uiPriority w:val="4"/>
    <w:qFormat/>
    <w:rsid w:val="00704B81"/>
    <w:pPr>
      <w:numPr>
        <w:numId w:val="3"/>
      </w:numPr>
      <w:contextualSpacing/>
    </w:pPr>
  </w:style>
  <w:style w:type="paragraph" w:customStyle="1" w:styleId="Bullet2">
    <w:name w:val="Bullet2"/>
    <w:basedOn w:val="Normal"/>
    <w:uiPriority w:val="4"/>
    <w:qFormat/>
    <w:rsid w:val="00704B81"/>
    <w:pPr>
      <w:numPr>
        <w:ilvl w:val="1"/>
        <w:numId w:val="3"/>
      </w:numPr>
      <w:contextualSpacing/>
    </w:pPr>
  </w:style>
  <w:style w:type="character" w:customStyle="1" w:styleId="Heading3Char">
    <w:name w:val="Heading 3 Char"/>
    <w:basedOn w:val="DefaultParagraphFont"/>
    <w:link w:val="Heading3"/>
    <w:uiPriority w:val="1"/>
    <w:rsid w:val="00CB5650"/>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CB5650"/>
    <w:pPr>
      <w:spacing w:before="80"/>
    </w:pPr>
    <w:rPr>
      <w:b w:val="0"/>
      <w:sz w:val="16"/>
    </w:rPr>
  </w:style>
  <w:style w:type="table" w:styleId="TableGrid">
    <w:name w:val="Table Grid"/>
    <w:basedOn w:val="TableNormal"/>
    <w:uiPriority w:val="59"/>
    <w:rsid w:val="00CB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704B81"/>
    <w:pPr>
      <w:numPr>
        <w:numId w:val="1"/>
      </w:numPr>
    </w:pPr>
  </w:style>
  <w:style w:type="paragraph" w:customStyle="1" w:styleId="NumbList1">
    <w:name w:val="NumbList1"/>
    <w:basedOn w:val="Normal"/>
    <w:uiPriority w:val="3"/>
    <w:qFormat/>
    <w:rsid w:val="00704B81"/>
    <w:pPr>
      <w:numPr>
        <w:numId w:val="4"/>
      </w:numPr>
    </w:pPr>
  </w:style>
  <w:style w:type="paragraph" w:customStyle="1" w:styleId="NumbList2">
    <w:name w:val="NumbList2"/>
    <w:basedOn w:val="Normal"/>
    <w:uiPriority w:val="3"/>
    <w:qFormat/>
    <w:rsid w:val="00704B81"/>
    <w:pPr>
      <w:numPr>
        <w:ilvl w:val="1"/>
        <w:numId w:val="4"/>
      </w:numPr>
      <w:contextualSpacing/>
    </w:pPr>
  </w:style>
  <w:style w:type="numbering" w:customStyle="1" w:styleId="NumbLstNumb">
    <w:name w:val="NumbLstNumb"/>
    <w:uiPriority w:val="99"/>
    <w:rsid w:val="00704B81"/>
    <w:pPr>
      <w:numPr>
        <w:numId w:val="2"/>
      </w:numPr>
    </w:pPr>
  </w:style>
  <w:style w:type="character" w:customStyle="1" w:styleId="Heading4Char">
    <w:name w:val="Heading 4 Char"/>
    <w:basedOn w:val="DefaultParagraphFont"/>
    <w:link w:val="Heading4"/>
    <w:uiPriority w:val="19"/>
    <w:semiHidden/>
    <w:rsid w:val="00704B81"/>
    <w:rPr>
      <w:rFonts w:ascii="Calibri" w:eastAsiaTheme="majorEastAsia" w:hAnsi="Calibri" w:cstheme="majorBidi"/>
      <w:b/>
      <w:bCs/>
      <w:iCs/>
      <w:color w:val="41B6E6"/>
    </w:rPr>
  </w:style>
  <w:style w:type="paragraph" w:customStyle="1" w:styleId="TableInfo">
    <w:name w:val="TableInfo"/>
    <w:basedOn w:val="Normal"/>
    <w:uiPriority w:val="5"/>
    <w:qFormat/>
    <w:rsid w:val="00CB5650"/>
    <w:rPr>
      <w:color w:val="008D7F"/>
    </w:rPr>
  </w:style>
  <w:style w:type="character" w:styleId="Hyperlink">
    <w:name w:val="Hyperlink"/>
    <w:basedOn w:val="DefaultParagraphFont"/>
    <w:uiPriority w:val="99"/>
    <w:semiHidden/>
    <w:rsid w:val="002975CF"/>
    <w:rPr>
      <w:color w:val="0000FF" w:themeColor="hyperlink"/>
      <w:u w:val="single"/>
    </w:rPr>
  </w:style>
  <w:style w:type="paragraph" w:customStyle="1" w:styleId="NumbList3">
    <w:name w:val="NumbList3"/>
    <w:basedOn w:val="Normal"/>
    <w:uiPriority w:val="3"/>
    <w:qFormat/>
    <w:rsid w:val="00704B81"/>
    <w:pPr>
      <w:numPr>
        <w:ilvl w:val="2"/>
        <w:numId w:val="4"/>
      </w:numPr>
      <w:contextualSpacing/>
    </w:pPr>
  </w:style>
  <w:style w:type="paragraph" w:customStyle="1" w:styleId="NumbList4">
    <w:name w:val="NumbList4"/>
    <w:basedOn w:val="Normal"/>
    <w:uiPriority w:val="3"/>
    <w:qFormat/>
    <w:rsid w:val="00704B81"/>
    <w:pPr>
      <w:numPr>
        <w:ilvl w:val="3"/>
        <w:numId w:val="4"/>
      </w:numPr>
      <w:contextualSpacing/>
    </w:pPr>
  </w:style>
  <w:style w:type="paragraph" w:customStyle="1" w:styleId="NumbList5">
    <w:name w:val="NumbList5"/>
    <w:basedOn w:val="Normal"/>
    <w:uiPriority w:val="3"/>
    <w:qFormat/>
    <w:rsid w:val="00704B81"/>
    <w:pPr>
      <w:numPr>
        <w:ilvl w:val="4"/>
        <w:numId w:val="4"/>
      </w:numPr>
    </w:pPr>
  </w:style>
  <w:style w:type="character" w:customStyle="1" w:styleId="TealColour">
    <w:name w:val="TealColour"/>
    <w:basedOn w:val="DefaultParagraphFont"/>
    <w:uiPriority w:val="4"/>
    <w:qFormat/>
    <w:rsid w:val="00DB1961"/>
    <w:rPr>
      <w:color w:val="008D7F"/>
    </w:rPr>
  </w:style>
  <w:style w:type="paragraph" w:customStyle="1" w:styleId="Default">
    <w:name w:val="Default"/>
    <w:rsid w:val="00036BE7"/>
    <w:pPr>
      <w:autoSpaceDE w:val="0"/>
      <w:autoSpaceDN w:val="0"/>
      <w:adjustRightInd w:val="0"/>
      <w:spacing w:after="0" w:line="240" w:lineRule="auto"/>
    </w:pPr>
    <w:rPr>
      <w:rFonts w:ascii="Times New Roman" w:hAnsi="Times New Roman" w:cs="Times New Roman"/>
      <w:color w:val="000000"/>
      <w:sz w:val="24"/>
      <w:szCs w:val="24"/>
      <w:lang w:val="nl-NL"/>
    </w:rPr>
  </w:style>
  <w:style w:type="character" w:styleId="FollowedHyperlink">
    <w:name w:val="FollowedHyperlink"/>
    <w:basedOn w:val="DefaultParagraphFont"/>
    <w:uiPriority w:val="99"/>
    <w:semiHidden/>
    <w:unhideWhenUsed/>
    <w:rsid w:val="00666236"/>
    <w:rPr>
      <w:color w:val="800080" w:themeColor="followedHyperlink"/>
      <w:u w:val="single"/>
    </w:rPr>
  </w:style>
  <w:style w:type="paragraph" w:styleId="BodyText2">
    <w:name w:val="Body Text 2"/>
    <w:basedOn w:val="Normal"/>
    <w:link w:val="BodyText2Char"/>
    <w:unhideWhenUsed/>
    <w:rsid w:val="00DE6EE9"/>
    <w:pPr>
      <w:spacing w:line="480" w:lineRule="auto"/>
      <w:jc w:val="left"/>
    </w:pPr>
    <w:rPr>
      <w:rFonts w:ascii="Times New Roman" w:eastAsia="SimSun" w:hAnsi="Times New Roman" w:cs="Times New Roman"/>
      <w:sz w:val="24"/>
      <w:szCs w:val="24"/>
      <w:lang w:val="nl-NL" w:eastAsia="zh-CN"/>
    </w:rPr>
  </w:style>
  <w:style w:type="character" w:customStyle="1" w:styleId="BodyText2Char">
    <w:name w:val="Body Text 2 Char"/>
    <w:basedOn w:val="DefaultParagraphFont"/>
    <w:link w:val="BodyText2"/>
    <w:rsid w:val="00DE6EE9"/>
    <w:rPr>
      <w:rFonts w:ascii="Times New Roman" w:eastAsia="SimSun" w:hAnsi="Times New Roman" w:cs="Times New Roman"/>
      <w:sz w:val="24"/>
      <w:szCs w:val="24"/>
      <w:lang w:val="nl-NL" w:eastAsia="zh-CN"/>
    </w:rPr>
  </w:style>
  <w:style w:type="paragraph" w:styleId="ListParagraph">
    <w:name w:val="List Paragraph"/>
    <w:basedOn w:val="Normal"/>
    <w:uiPriority w:val="34"/>
    <w:qFormat/>
    <w:rsid w:val="00DE6EE9"/>
    <w:pPr>
      <w:spacing w:after="0" w:line="240" w:lineRule="auto"/>
      <w:ind w:left="720"/>
      <w:contextualSpacing/>
      <w:jc w:val="left"/>
    </w:pPr>
    <w:rPr>
      <w:rFonts w:ascii="Times New Roman" w:eastAsia="SimSun" w:hAnsi="Times New Roman" w:cs="Times New Roman"/>
      <w:sz w:val="24"/>
      <w:szCs w:val="24"/>
      <w:lang w:val="nl-NL" w:eastAsia="zh-CN"/>
    </w:rPr>
  </w:style>
  <w:style w:type="paragraph" w:customStyle="1" w:styleId="BodyText22">
    <w:name w:val="Body Text 22"/>
    <w:basedOn w:val="Normal"/>
    <w:rsid w:val="00391608"/>
    <w:pPr>
      <w:spacing w:after="0" w:line="240" w:lineRule="auto"/>
      <w:jc w:val="left"/>
    </w:pPr>
    <w:rPr>
      <w:rFonts w:ascii="Arial" w:eastAsia="Times New Roman" w:hAnsi="Arial" w:cs="Times New Roman"/>
      <w:sz w:val="20"/>
      <w:szCs w:val="20"/>
      <w:lang w:val="fr-FR"/>
    </w:rPr>
  </w:style>
  <w:style w:type="character" w:customStyle="1" w:styleId="hs11">
    <w:name w:val="hs11"/>
    <w:basedOn w:val="DefaultParagraphFont"/>
    <w:rsid w:val="00773F44"/>
    <w:rPr>
      <w:sz w:val="20"/>
      <w:szCs w:val="20"/>
    </w:rPr>
  </w:style>
  <w:style w:type="paragraph" w:customStyle="1" w:styleId="xl66">
    <w:name w:val="xl66"/>
    <w:basedOn w:val="Normal"/>
    <w:rsid w:val="00C002B3"/>
    <w:pPr>
      <w:spacing w:before="100" w:beforeAutospacing="1" w:after="100" w:afterAutospacing="1" w:line="240" w:lineRule="auto"/>
      <w:jc w:val="left"/>
    </w:pPr>
    <w:rPr>
      <w:rFonts w:ascii="Arial" w:eastAsia="Times New Roman" w:hAnsi="Arial" w:cs="Arial"/>
      <w:sz w:val="16"/>
      <w:szCs w:val="16"/>
      <w:lang w:eastAsia="en-GB"/>
    </w:rPr>
  </w:style>
  <w:style w:type="paragraph" w:customStyle="1" w:styleId="xl67">
    <w:name w:val="xl67"/>
    <w:basedOn w:val="Normal"/>
    <w:rsid w:val="00C0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n-GB"/>
    </w:rPr>
  </w:style>
  <w:style w:type="paragraph" w:customStyle="1" w:styleId="xl68">
    <w:name w:val="xl68"/>
    <w:basedOn w:val="Normal"/>
    <w:rsid w:val="00C0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n-GB"/>
    </w:rPr>
  </w:style>
  <w:style w:type="paragraph" w:customStyle="1" w:styleId="xl69">
    <w:name w:val="xl69"/>
    <w:basedOn w:val="Normal"/>
    <w:rsid w:val="00C002B3"/>
    <w:pPr>
      <w:spacing w:before="100" w:beforeAutospacing="1" w:after="100" w:afterAutospacing="1" w:line="240" w:lineRule="auto"/>
      <w:jc w:val="left"/>
    </w:pPr>
    <w:rPr>
      <w:rFonts w:ascii="Arial" w:eastAsia="Times New Roman" w:hAnsi="Arial" w:cs="Arial"/>
      <w:sz w:val="16"/>
      <w:szCs w:val="16"/>
      <w:lang w:eastAsia="en-GB"/>
    </w:rPr>
  </w:style>
  <w:style w:type="paragraph" w:customStyle="1" w:styleId="xl70">
    <w:name w:val="xl70"/>
    <w:basedOn w:val="Normal"/>
    <w:rsid w:val="00C0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71">
    <w:name w:val="xl71"/>
    <w:basedOn w:val="Normal"/>
    <w:rsid w:val="00C002B3"/>
    <w:pPr>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72">
    <w:name w:val="xl72"/>
    <w:basedOn w:val="Normal"/>
    <w:rsid w:val="00C0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n-GB"/>
    </w:rPr>
  </w:style>
  <w:style w:type="paragraph" w:customStyle="1" w:styleId="xl73">
    <w:name w:val="xl73"/>
    <w:basedOn w:val="Normal"/>
    <w:rsid w:val="00C002B3"/>
    <w:pPr>
      <w:spacing w:before="100" w:beforeAutospacing="1" w:after="100" w:afterAutospacing="1" w:line="240" w:lineRule="auto"/>
      <w:jc w:val="left"/>
    </w:pPr>
    <w:rPr>
      <w:rFonts w:ascii="Arial" w:eastAsia="Times New Roman" w:hAnsi="Arial" w:cs="Arial"/>
      <w:sz w:val="16"/>
      <w:szCs w:val="16"/>
      <w:lang w:eastAsia="en-GB"/>
    </w:rPr>
  </w:style>
  <w:style w:type="paragraph" w:customStyle="1" w:styleId="xl74">
    <w:name w:val="xl74"/>
    <w:basedOn w:val="Normal"/>
    <w:rsid w:val="00C002B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left"/>
    </w:pPr>
    <w:rPr>
      <w:rFonts w:ascii="Arial" w:eastAsia="Times New Roman" w:hAnsi="Arial" w:cs="Arial"/>
      <w:color w:val="FFFFFF"/>
      <w:sz w:val="16"/>
      <w:szCs w:val="16"/>
      <w:lang w:eastAsia="en-GB"/>
    </w:rPr>
  </w:style>
  <w:style w:type="paragraph" w:customStyle="1" w:styleId="xl75">
    <w:name w:val="xl75"/>
    <w:basedOn w:val="Normal"/>
    <w:rsid w:val="00C002B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left"/>
    </w:pPr>
    <w:rPr>
      <w:rFonts w:ascii="Arial" w:eastAsia="Times New Roman" w:hAnsi="Arial" w:cs="Arial"/>
      <w:color w:val="FFFFFF"/>
      <w:sz w:val="16"/>
      <w:szCs w:val="16"/>
      <w:lang w:eastAsia="en-GB"/>
    </w:rPr>
  </w:style>
  <w:style w:type="paragraph" w:customStyle="1" w:styleId="xl76">
    <w:name w:val="xl76"/>
    <w:basedOn w:val="Normal"/>
    <w:rsid w:val="00C002B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left"/>
    </w:pPr>
    <w:rPr>
      <w:rFonts w:ascii="Arial" w:eastAsia="Times New Roman" w:hAnsi="Arial" w:cs="Arial"/>
      <w:color w:val="FFFFFF"/>
      <w:sz w:val="16"/>
      <w:szCs w:val="16"/>
      <w:lang w:eastAsia="en-GB"/>
    </w:rPr>
  </w:style>
  <w:style w:type="paragraph" w:customStyle="1" w:styleId="xl77">
    <w:name w:val="xl77"/>
    <w:basedOn w:val="Normal"/>
    <w:rsid w:val="00C002B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left"/>
    </w:pPr>
    <w:rPr>
      <w:rFonts w:ascii="Arial" w:eastAsia="Times New Roman" w:hAnsi="Arial" w:cs="Arial"/>
      <w:color w:val="FFFFFF"/>
      <w:sz w:val="16"/>
      <w:szCs w:val="16"/>
      <w:lang w:eastAsia="en-GB"/>
    </w:rPr>
  </w:style>
  <w:style w:type="paragraph" w:customStyle="1" w:styleId="xl78">
    <w:name w:val="xl78"/>
    <w:basedOn w:val="Normal"/>
    <w:rsid w:val="00C002B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color w:val="FFFFFF"/>
      <w:sz w:val="16"/>
      <w:szCs w:val="16"/>
      <w:lang w:eastAsia="en-GB"/>
    </w:rPr>
  </w:style>
  <w:style w:type="paragraph" w:customStyle="1" w:styleId="xl79">
    <w:name w:val="xl79"/>
    <w:basedOn w:val="Normal"/>
    <w:rsid w:val="00C002B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color w:val="FFFFFF"/>
      <w:sz w:val="16"/>
      <w:szCs w:val="16"/>
      <w:lang w:eastAsia="en-GB"/>
    </w:rPr>
  </w:style>
  <w:style w:type="paragraph" w:customStyle="1" w:styleId="xl80">
    <w:name w:val="xl80"/>
    <w:basedOn w:val="Normal"/>
    <w:rsid w:val="00C002B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color w:val="FFFFFF"/>
      <w:sz w:val="16"/>
      <w:szCs w:val="16"/>
      <w:lang w:eastAsia="en-GB"/>
    </w:rPr>
  </w:style>
  <w:style w:type="paragraph" w:customStyle="1" w:styleId="xl81">
    <w:name w:val="xl81"/>
    <w:basedOn w:val="Normal"/>
    <w:rsid w:val="00C002B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color w:val="FFFFFF"/>
      <w:sz w:val="16"/>
      <w:szCs w:val="16"/>
      <w:lang w:eastAsia="en-GB"/>
    </w:rPr>
  </w:style>
  <w:style w:type="character" w:styleId="UnresolvedMention">
    <w:name w:val="Unresolved Mention"/>
    <w:basedOn w:val="DefaultParagraphFont"/>
    <w:uiPriority w:val="99"/>
    <w:semiHidden/>
    <w:unhideWhenUsed/>
    <w:rsid w:val="00EC7262"/>
    <w:rPr>
      <w:color w:val="808080"/>
      <w:shd w:val="clear" w:color="auto" w:fill="E6E6E6"/>
    </w:rPr>
  </w:style>
  <w:style w:type="paragraph" w:styleId="BodyText">
    <w:name w:val="Body Text"/>
    <w:basedOn w:val="Normal"/>
    <w:link w:val="BodyTextChar"/>
    <w:uiPriority w:val="99"/>
    <w:semiHidden/>
    <w:unhideWhenUsed/>
    <w:rsid w:val="007843B4"/>
  </w:style>
  <w:style w:type="character" w:customStyle="1" w:styleId="BodyTextChar">
    <w:name w:val="Body Text Char"/>
    <w:basedOn w:val="DefaultParagraphFont"/>
    <w:link w:val="BodyText"/>
    <w:uiPriority w:val="99"/>
    <w:semiHidden/>
    <w:rsid w:val="007843B4"/>
    <w:rPr>
      <w:rFonts w:ascii="Calibri" w:hAnsi="Calibri"/>
    </w:rPr>
  </w:style>
  <w:style w:type="character" w:styleId="CommentReference">
    <w:name w:val="annotation reference"/>
    <w:basedOn w:val="DefaultParagraphFont"/>
    <w:uiPriority w:val="99"/>
    <w:semiHidden/>
    <w:unhideWhenUsed/>
    <w:rsid w:val="00025871"/>
    <w:rPr>
      <w:sz w:val="16"/>
      <w:szCs w:val="16"/>
    </w:rPr>
  </w:style>
  <w:style w:type="paragraph" w:styleId="CommentText">
    <w:name w:val="annotation text"/>
    <w:basedOn w:val="Normal"/>
    <w:link w:val="CommentTextChar"/>
    <w:uiPriority w:val="99"/>
    <w:semiHidden/>
    <w:unhideWhenUsed/>
    <w:rsid w:val="00025871"/>
    <w:pPr>
      <w:spacing w:line="240" w:lineRule="auto"/>
    </w:pPr>
    <w:rPr>
      <w:sz w:val="20"/>
      <w:szCs w:val="20"/>
    </w:rPr>
  </w:style>
  <w:style w:type="character" w:customStyle="1" w:styleId="CommentTextChar">
    <w:name w:val="Comment Text Char"/>
    <w:basedOn w:val="DefaultParagraphFont"/>
    <w:link w:val="CommentText"/>
    <w:uiPriority w:val="99"/>
    <w:semiHidden/>
    <w:rsid w:val="0002587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25871"/>
    <w:rPr>
      <w:b/>
      <w:bCs/>
    </w:rPr>
  </w:style>
  <w:style w:type="character" w:customStyle="1" w:styleId="CommentSubjectChar">
    <w:name w:val="Comment Subject Char"/>
    <w:basedOn w:val="CommentTextChar"/>
    <w:link w:val="CommentSubject"/>
    <w:uiPriority w:val="99"/>
    <w:semiHidden/>
    <w:rsid w:val="0002587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189">
      <w:bodyDiv w:val="1"/>
      <w:marLeft w:val="0"/>
      <w:marRight w:val="0"/>
      <w:marTop w:val="0"/>
      <w:marBottom w:val="0"/>
      <w:divBdr>
        <w:top w:val="none" w:sz="0" w:space="0" w:color="auto"/>
        <w:left w:val="none" w:sz="0" w:space="0" w:color="auto"/>
        <w:bottom w:val="none" w:sz="0" w:space="0" w:color="auto"/>
        <w:right w:val="none" w:sz="0" w:space="0" w:color="auto"/>
      </w:divBdr>
      <w:divsChild>
        <w:div w:id="1413619952">
          <w:marLeft w:val="547"/>
          <w:marRight w:val="0"/>
          <w:marTop w:val="0"/>
          <w:marBottom w:val="200"/>
          <w:divBdr>
            <w:top w:val="none" w:sz="0" w:space="0" w:color="auto"/>
            <w:left w:val="none" w:sz="0" w:space="0" w:color="auto"/>
            <w:bottom w:val="none" w:sz="0" w:space="0" w:color="auto"/>
            <w:right w:val="none" w:sz="0" w:space="0" w:color="auto"/>
          </w:divBdr>
        </w:div>
        <w:div w:id="310644635">
          <w:marLeft w:val="547"/>
          <w:marRight w:val="0"/>
          <w:marTop w:val="0"/>
          <w:marBottom w:val="200"/>
          <w:divBdr>
            <w:top w:val="none" w:sz="0" w:space="0" w:color="auto"/>
            <w:left w:val="none" w:sz="0" w:space="0" w:color="auto"/>
            <w:bottom w:val="none" w:sz="0" w:space="0" w:color="auto"/>
            <w:right w:val="none" w:sz="0" w:space="0" w:color="auto"/>
          </w:divBdr>
        </w:div>
        <w:div w:id="108352503">
          <w:marLeft w:val="547"/>
          <w:marRight w:val="0"/>
          <w:marTop w:val="0"/>
          <w:marBottom w:val="200"/>
          <w:divBdr>
            <w:top w:val="none" w:sz="0" w:space="0" w:color="auto"/>
            <w:left w:val="none" w:sz="0" w:space="0" w:color="auto"/>
            <w:bottom w:val="none" w:sz="0" w:space="0" w:color="auto"/>
            <w:right w:val="none" w:sz="0" w:space="0" w:color="auto"/>
          </w:divBdr>
        </w:div>
        <w:div w:id="454099683">
          <w:marLeft w:val="547"/>
          <w:marRight w:val="0"/>
          <w:marTop w:val="0"/>
          <w:marBottom w:val="200"/>
          <w:divBdr>
            <w:top w:val="none" w:sz="0" w:space="0" w:color="auto"/>
            <w:left w:val="none" w:sz="0" w:space="0" w:color="auto"/>
            <w:bottom w:val="none" w:sz="0" w:space="0" w:color="auto"/>
            <w:right w:val="none" w:sz="0" w:space="0" w:color="auto"/>
          </w:divBdr>
        </w:div>
        <w:div w:id="1459253367">
          <w:marLeft w:val="547"/>
          <w:marRight w:val="0"/>
          <w:marTop w:val="0"/>
          <w:marBottom w:val="200"/>
          <w:divBdr>
            <w:top w:val="none" w:sz="0" w:space="0" w:color="auto"/>
            <w:left w:val="none" w:sz="0" w:space="0" w:color="auto"/>
            <w:bottom w:val="none" w:sz="0" w:space="0" w:color="auto"/>
            <w:right w:val="none" w:sz="0" w:space="0" w:color="auto"/>
          </w:divBdr>
        </w:div>
        <w:div w:id="1672296919">
          <w:marLeft w:val="547"/>
          <w:marRight w:val="0"/>
          <w:marTop w:val="0"/>
          <w:marBottom w:val="200"/>
          <w:divBdr>
            <w:top w:val="none" w:sz="0" w:space="0" w:color="auto"/>
            <w:left w:val="none" w:sz="0" w:space="0" w:color="auto"/>
            <w:bottom w:val="none" w:sz="0" w:space="0" w:color="auto"/>
            <w:right w:val="none" w:sz="0" w:space="0" w:color="auto"/>
          </w:divBdr>
        </w:div>
      </w:divsChild>
    </w:div>
    <w:div w:id="40524528">
      <w:bodyDiv w:val="1"/>
      <w:marLeft w:val="0"/>
      <w:marRight w:val="0"/>
      <w:marTop w:val="0"/>
      <w:marBottom w:val="0"/>
      <w:divBdr>
        <w:top w:val="none" w:sz="0" w:space="0" w:color="auto"/>
        <w:left w:val="none" w:sz="0" w:space="0" w:color="auto"/>
        <w:bottom w:val="none" w:sz="0" w:space="0" w:color="auto"/>
        <w:right w:val="none" w:sz="0" w:space="0" w:color="auto"/>
      </w:divBdr>
    </w:div>
    <w:div w:id="59527952">
      <w:bodyDiv w:val="1"/>
      <w:marLeft w:val="0"/>
      <w:marRight w:val="0"/>
      <w:marTop w:val="0"/>
      <w:marBottom w:val="0"/>
      <w:divBdr>
        <w:top w:val="none" w:sz="0" w:space="0" w:color="auto"/>
        <w:left w:val="none" w:sz="0" w:space="0" w:color="auto"/>
        <w:bottom w:val="none" w:sz="0" w:space="0" w:color="auto"/>
        <w:right w:val="none" w:sz="0" w:space="0" w:color="auto"/>
      </w:divBdr>
    </w:div>
    <w:div w:id="78063386">
      <w:bodyDiv w:val="1"/>
      <w:marLeft w:val="0"/>
      <w:marRight w:val="0"/>
      <w:marTop w:val="0"/>
      <w:marBottom w:val="0"/>
      <w:divBdr>
        <w:top w:val="none" w:sz="0" w:space="0" w:color="auto"/>
        <w:left w:val="none" w:sz="0" w:space="0" w:color="auto"/>
        <w:bottom w:val="none" w:sz="0" w:space="0" w:color="auto"/>
        <w:right w:val="none" w:sz="0" w:space="0" w:color="auto"/>
      </w:divBdr>
    </w:div>
    <w:div w:id="78404905">
      <w:bodyDiv w:val="1"/>
      <w:marLeft w:val="0"/>
      <w:marRight w:val="0"/>
      <w:marTop w:val="0"/>
      <w:marBottom w:val="0"/>
      <w:divBdr>
        <w:top w:val="none" w:sz="0" w:space="0" w:color="auto"/>
        <w:left w:val="none" w:sz="0" w:space="0" w:color="auto"/>
        <w:bottom w:val="none" w:sz="0" w:space="0" w:color="auto"/>
        <w:right w:val="none" w:sz="0" w:space="0" w:color="auto"/>
      </w:divBdr>
      <w:divsChild>
        <w:div w:id="333260778">
          <w:marLeft w:val="446"/>
          <w:marRight w:val="0"/>
          <w:marTop w:val="120"/>
          <w:marBottom w:val="120"/>
          <w:divBdr>
            <w:top w:val="none" w:sz="0" w:space="0" w:color="auto"/>
            <w:left w:val="none" w:sz="0" w:space="0" w:color="auto"/>
            <w:bottom w:val="none" w:sz="0" w:space="0" w:color="auto"/>
            <w:right w:val="none" w:sz="0" w:space="0" w:color="auto"/>
          </w:divBdr>
        </w:div>
        <w:div w:id="1592161527">
          <w:marLeft w:val="1166"/>
          <w:marRight w:val="0"/>
          <w:marTop w:val="120"/>
          <w:marBottom w:val="120"/>
          <w:divBdr>
            <w:top w:val="none" w:sz="0" w:space="0" w:color="auto"/>
            <w:left w:val="none" w:sz="0" w:space="0" w:color="auto"/>
            <w:bottom w:val="none" w:sz="0" w:space="0" w:color="auto"/>
            <w:right w:val="none" w:sz="0" w:space="0" w:color="auto"/>
          </w:divBdr>
        </w:div>
        <w:div w:id="865828793">
          <w:marLeft w:val="1166"/>
          <w:marRight w:val="0"/>
          <w:marTop w:val="120"/>
          <w:marBottom w:val="120"/>
          <w:divBdr>
            <w:top w:val="none" w:sz="0" w:space="0" w:color="auto"/>
            <w:left w:val="none" w:sz="0" w:space="0" w:color="auto"/>
            <w:bottom w:val="none" w:sz="0" w:space="0" w:color="auto"/>
            <w:right w:val="none" w:sz="0" w:space="0" w:color="auto"/>
          </w:divBdr>
        </w:div>
      </w:divsChild>
    </w:div>
    <w:div w:id="188490327">
      <w:bodyDiv w:val="1"/>
      <w:marLeft w:val="0"/>
      <w:marRight w:val="0"/>
      <w:marTop w:val="0"/>
      <w:marBottom w:val="0"/>
      <w:divBdr>
        <w:top w:val="none" w:sz="0" w:space="0" w:color="auto"/>
        <w:left w:val="none" w:sz="0" w:space="0" w:color="auto"/>
        <w:bottom w:val="none" w:sz="0" w:space="0" w:color="auto"/>
        <w:right w:val="none" w:sz="0" w:space="0" w:color="auto"/>
      </w:divBdr>
    </w:div>
    <w:div w:id="203177003">
      <w:bodyDiv w:val="1"/>
      <w:marLeft w:val="0"/>
      <w:marRight w:val="0"/>
      <w:marTop w:val="0"/>
      <w:marBottom w:val="0"/>
      <w:divBdr>
        <w:top w:val="none" w:sz="0" w:space="0" w:color="auto"/>
        <w:left w:val="none" w:sz="0" w:space="0" w:color="auto"/>
        <w:bottom w:val="none" w:sz="0" w:space="0" w:color="auto"/>
        <w:right w:val="none" w:sz="0" w:space="0" w:color="auto"/>
      </w:divBdr>
    </w:div>
    <w:div w:id="209191265">
      <w:bodyDiv w:val="1"/>
      <w:marLeft w:val="0"/>
      <w:marRight w:val="0"/>
      <w:marTop w:val="0"/>
      <w:marBottom w:val="0"/>
      <w:divBdr>
        <w:top w:val="none" w:sz="0" w:space="0" w:color="auto"/>
        <w:left w:val="none" w:sz="0" w:space="0" w:color="auto"/>
        <w:bottom w:val="none" w:sz="0" w:space="0" w:color="auto"/>
        <w:right w:val="none" w:sz="0" w:space="0" w:color="auto"/>
      </w:divBdr>
    </w:div>
    <w:div w:id="231552066">
      <w:bodyDiv w:val="1"/>
      <w:marLeft w:val="0"/>
      <w:marRight w:val="0"/>
      <w:marTop w:val="0"/>
      <w:marBottom w:val="0"/>
      <w:divBdr>
        <w:top w:val="none" w:sz="0" w:space="0" w:color="auto"/>
        <w:left w:val="none" w:sz="0" w:space="0" w:color="auto"/>
        <w:bottom w:val="none" w:sz="0" w:space="0" w:color="auto"/>
        <w:right w:val="none" w:sz="0" w:space="0" w:color="auto"/>
      </w:divBdr>
      <w:divsChild>
        <w:div w:id="1672681334">
          <w:marLeft w:val="547"/>
          <w:marRight w:val="0"/>
          <w:marTop w:val="0"/>
          <w:marBottom w:val="200"/>
          <w:divBdr>
            <w:top w:val="none" w:sz="0" w:space="0" w:color="auto"/>
            <w:left w:val="none" w:sz="0" w:space="0" w:color="auto"/>
            <w:bottom w:val="none" w:sz="0" w:space="0" w:color="auto"/>
            <w:right w:val="none" w:sz="0" w:space="0" w:color="auto"/>
          </w:divBdr>
        </w:div>
        <w:div w:id="421218532">
          <w:marLeft w:val="547"/>
          <w:marRight w:val="0"/>
          <w:marTop w:val="0"/>
          <w:marBottom w:val="200"/>
          <w:divBdr>
            <w:top w:val="none" w:sz="0" w:space="0" w:color="auto"/>
            <w:left w:val="none" w:sz="0" w:space="0" w:color="auto"/>
            <w:bottom w:val="none" w:sz="0" w:space="0" w:color="auto"/>
            <w:right w:val="none" w:sz="0" w:space="0" w:color="auto"/>
          </w:divBdr>
        </w:div>
        <w:div w:id="1353989952">
          <w:marLeft w:val="547"/>
          <w:marRight w:val="0"/>
          <w:marTop w:val="0"/>
          <w:marBottom w:val="200"/>
          <w:divBdr>
            <w:top w:val="none" w:sz="0" w:space="0" w:color="auto"/>
            <w:left w:val="none" w:sz="0" w:space="0" w:color="auto"/>
            <w:bottom w:val="none" w:sz="0" w:space="0" w:color="auto"/>
            <w:right w:val="none" w:sz="0" w:space="0" w:color="auto"/>
          </w:divBdr>
        </w:div>
        <w:div w:id="745880336">
          <w:marLeft w:val="547"/>
          <w:marRight w:val="0"/>
          <w:marTop w:val="0"/>
          <w:marBottom w:val="200"/>
          <w:divBdr>
            <w:top w:val="none" w:sz="0" w:space="0" w:color="auto"/>
            <w:left w:val="none" w:sz="0" w:space="0" w:color="auto"/>
            <w:bottom w:val="none" w:sz="0" w:space="0" w:color="auto"/>
            <w:right w:val="none" w:sz="0" w:space="0" w:color="auto"/>
          </w:divBdr>
        </w:div>
        <w:div w:id="93405906">
          <w:marLeft w:val="547"/>
          <w:marRight w:val="0"/>
          <w:marTop w:val="0"/>
          <w:marBottom w:val="200"/>
          <w:divBdr>
            <w:top w:val="none" w:sz="0" w:space="0" w:color="auto"/>
            <w:left w:val="none" w:sz="0" w:space="0" w:color="auto"/>
            <w:bottom w:val="none" w:sz="0" w:space="0" w:color="auto"/>
            <w:right w:val="none" w:sz="0" w:space="0" w:color="auto"/>
          </w:divBdr>
        </w:div>
        <w:div w:id="1625888369">
          <w:marLeft w:val="547"/>
          <w:marRight w:val="0"/>
          <w:marTop w:val="0"/>
          <w:marBottom w:val="200"/>
          <w:divBdr>
            <w:top w:val="none" w:sz="0" w:space="0" w:color="auto"/>
            <w:left w:val="none" w:sz="0" w:space="0" w:color="auto"/>
            <w:bottom w:val="none" w:sz="0" w:space="0" w:color="auto"/>
            <w:right w:val="none" w:sz="0" w:space="0" w:color="auto"/>
          </w:divBdr>
        </w:div>
      </w:divsChild>
    </w:div>
    <w:div w:id="359161061">
      <w:bodyDiv w:val="1"/>
      <w:marLeft w:val="0"/>
      <w:marRight w:val="0"/>
      <w:marTop w:val="0"/>
      <w:marBottom w:val="0"/>
      <w:divBdr>
        <w:top w:val="none" w:sz="0" w:space="0" w:color="auto"/>
        <w:left w:val="none" w:sz="0" w:space="0" w:color="auto"/>
        <w:bottom w:val="none" w:sz="0" w:space="0" w:color="auto"/>
        <w:right w:val="none" w:sz="0" w:space="0" w:color="auto"/>
      </w:divBdr>
    </w:div>
    <w:div w:id="494035054">
      <w:bodyDiv w:val="1"/>
      <w:marLeft w:val="0"/>
      <w:marRight w:val="0"/>
      <w:marTop w:val="0"/>
      <w:marBottom w:val="0"/>
      <w:divBdr>
        <w:top w:val="none" w:sz="0" w:space="0" w:color="auto"/>
        <w:left w:val="none" w:sz="0" w:space="0" w:color="auto"/>
        <w:bottom w:val="none" w:sz="0" w:space="0" w:color="auto"/>
        <w:right w:val="none" w:sz="0" w:space="0" w:color="auto"/>
      </w:divBdr>
    </w:div>
    <w:div w:id="561060285">
      <w:bodyDiv w:val="1"/>
      <w:marLeft w:val="0"/>
      <w:marRight w:val="0"/>
      <w:marTop w:val="0"/>
      <w:marBottom w:val="0"/>
      <w:divBdr>
        <w:top w:val="none" w:sz="0" w:space="0" w:color="auto"/>
        <w:left w:val="none" w:sz="0" w:space="0" w:color="auto"/>
        <w:bottom w:val="none" w:sz="0" w:space="0" w:color="auto"/>
        <w:right w:val="none" w:sz="0" w:space="0" w:color="auto"/>
      </w:divBdr>
    </w:div>
    <w:div w:id="617028941">
      <w:bodyDiv w:val="1"/>
      <w:marLeft w:val="0"/>
      <w:marRight w:val="0"/>
      <w:marTop w:val="0"/>
      <w:marBottom w:val="0"/>
      <w:divBdr>
        <w:top w:val="none" w:sz="0" w:space="0" w:color="auto"/>
        <w:left w:val="none" w:sz="0" w:space="0" w:color="auto"/>
        <w:bottom w:val="none" w:sz="0" w:space="0" w:color="auto"/>
        <w:right w:val="none" w:sz="0" w:space="0" w:color="auto"/>
      </w:divBdr>
    </w:div>
    <w:div w:id="783500601">
      <w:bodyDiv w:val="1"/>
      <w:marLeft w:val="0"/>
      <w:marRight w:val="0"/>
      <w:marTop w:val="0"/>
      <w:marBottom w:val="0"/>
      <w:divBdr>
        <w:top w:val="none" w:sz="0" w:space="0" w:color="auto"/>
        <w:left w:val="none" w:sz="0" w:space="0" w:color="auto"/>
        <w:bottom w:val="none" w:sz="0" w:space="0" w:color="auto"/>
        <w:right w:val="none" w:sz="0" w:space="0" w:color="auto"/>
      </w:divBdr>
      <w:divsChild>
        <w:div w:id="1455635190">
          <w:marLeft w:val="547"/>
          <w:marRight w:val="0"/>
          <w:marTop w:val="0"/>
          <w:marBottom w:val="200"/>
          <w:divBdr>
            <w:top w:val="none" w:sz="0" w:space="0" w:color="auto"/>
            <w:left w:val="none" w:sz="0" w:space="0" w:color="auto"/>
            <w:bottom w:val="none" w:sz="0" w:space="0" w:color="auto"/>
            <w:right w:val="none" w:sz="0" w:space="0" w:color="auto"/>
          </w:divBdr>
        </w:div>
        <w:div w:id="1109933919">
          <w:marLeft w:val="547"/>
          <w:marRight w:val="0"/>
          <w:marTop w:val="0"/>
          <w:marBottom w:val="200"/>
          <w:divBdr>
            <w:top w:val="none" w:sz="0" w:space="0" w:color="auto"/>
            <w:left w:val="none" w:sz="0" w:space="0" w:color="auto"/>
            <w:bottom w:val="none" w:sz="0" w:space="0" w:color="auto"/>
            <w:right w:val="none" w:sz="0" w:space="0" w:color="auto"/>
          </w:divBdr>
        </w:div>
      </w:divsChild>
    </w:div>
    <w:div w:id="838927894">
      <w:bodyDiv w:val="1"/>
      <w:marLeft w:val="0"/>
      <w:marRight w:val="0"/>
      <w:marTop w:val="0"/>
      <w:marBottom w:val="0"/>
      <w:divBdr>
        <w:top w:val="none" w:sz="0" w:space="0" w:color="auto"/>
        <w:left w:val="none" w:sz="0" w:space="0" w:color="auto"/>
        <w:bottom w:val="none" w:sz="0" w:space="0" w:color="auto"/>
        <w:right w:val="none" w:sz="0" w:space="0" w:color="auto"/>
      </w:divBdr>
    </w:div>
    <w:div w:id="854728875">
      <w:bodyDiv w:val="1"/>
      <w:marLeft w:val="0"/>
      <w:marRight w:val="0"/>
      <w:marTop w:val="0"/>
      <w:marBottom w:val="0"/>
      <w:divBdr>
        <w:top w:val="none" w:sz="0" w:space="0" w:color="auto"/>
        <w:left w:val="none" w:sz="0" w:space="0" w:color="auto"/>
        <w:bottom w:val="none" w:sz="0" w:space="0" w:color="auto"/>
        <w:right w:val="none" w:sz="0" w:space="0" w:color="auto"/>
      </w:divBdr>
    </w:div>
    <w:div w:id="872351429">
      <w:bodyDiv w:val="1"/>
      <w:marLeft w:val="0"/>
      <w:marRight w:val="0"/>
      <w:marTop w:val="0"/>
      <w:marBottom w:val="0"/>
      <w:divBdr>
        <w:top w:val="none" w:sz="0" w:space="0" w:color="auto"/>
        <w:left w:val="none" w:sz="0" w:space="0" w:color="auto"/>
        <w:bottom w:val="none" w:sz="0" w:space="0" w:color="auto"/>
        <w:right w:val="none" w:sz="0" w:space="0" w:color="auto"/>
      </w:divBdr>
    </w:div>
    <w:div w:id="903877682">
      <w:bodyDiv w:val="1"/>
      <w:marLeft w:val="0"/>
      <w:marRight w:val="0"/>
      <w:marTop w:val="0"/>
      <w:marBottom w:val="0"/>
      <w:divBdr>
        <w:top w:val="none" w:sz="0" w:space="0" w:color="auto"/>
        <w:left w:val="none" w:sz="0" w:space="0" w:color="auto"/>
        <w:bottom w:val="none" w:sz="0" w:space="0" w:color="auto"/>
        <w:right w:val="none" w:sz="0" w:space="0" w:color="auto"/>
      </w:divBdr>
      <w:divsChild>
        <w:div w:id="18899234">
          <w:marLeft w:val="547"/>
          <w:marRight w:val="0"/>
          <w:marTop w:val="0"/>
          <w:marBottom w:val="200"/>
          <w:divBdr>
            <w:top w:val="none" w:sz="0" w:space="0" w:color="auto"/>
            <w:left w:val="none" w:sz="0" w:space="0" w:color="auto"/>
            <w:bottom w:val="none" w:sz="0" w:space="0" w:color="auto"/>
            <w:right w:val="none" w:sz="0" w:space="0" w:color="auto"/>
          </w:divBdr>
        </w:div>
        <w:div w:id="77950726">
          <w:marLeft w:val="547"/>
          <w:marRight w:val="0"/>
          <w:marTop w:val="0"/>
          <w:marBottom w:val="200"/>
          <w:divBdr>
            <w:top w:val="none" w:sz="0" w:space="0" w:color="auto"/>
            <w:left w:val="none" w:sz="0" w:space="0" w:color="auto"/>
            <w:bottom w:val="none" w:sz="0" w:space="0" w:color="auto"/>
            <w:right w:val="none" w:sz="0" w:space="0" w:color="auto"/>
          </w:divBdr>
        </w:div>
        <w:div w:id="276332104">
          <w:marLeft w:val="547"/>
          <w:marRight w:val="0"/>
          <w:marTop w:val="0"/>
          <w:marBottom w:val="200"/>
          <w:divBdr>
            <w:top w:val="none" w:sz="0" w:space="0" w:color="auto"/>
            <w:left w:val="none" w:sz="0" w:space="0" w:color="auto"/>
            <w:bottom w:val="none" w:sz="0" w:space="0" w:color="auto"/>
            <w:right w:val="none" w:sz="0" w:space="0" w:color="auto"/>
          </w:divBdr>
        </w:div>
        <w:div w:id="1862090519">
          <w:marLeft w:val="547"/>
          <w:marRight w:val="0"/>
          <w:marTop w:val="0"/>
          <w:marBottom w:val="200"/>
          <w:divBdr>
            <w:top w:val="none" w:sz="0" w:space="0" w:color="auto"/>
            <w:left w:val="none" w:sz="0" w:space="0" w:color="auto"/>
            <w:bottom w:val="none" w:sz="0" w:space="0" w:color="auto"/>
            <w:right w:val="none" w:sz="0" w:space="0" w:color="auto"/>
          </w:divBdr>
        </w:div>
        <w:div w:id="976109748">
          <w:marLeft w:val="547"/>
          <w:marRight w:val="0"/>
          <w:marTop w:val="0"/>
          <w:marBottom w:val="200"/>
          <w:divBdr>
            <w:top w:val="none" w:sz="0" w:space="0" w:color="auto"/>
            <w:left w:val="none" w:sz="0" w:space="0" w:color="auto"/>
            <w:bottom w:val="none" w:sz="0" w:space="0" w:color="auto"/>
            <w:right w:val="none" w:sz="0" w:space="0" w:color="auto"/>
          </w:divBdr>
        </w:div>
        <w:div w:id="1933388257">
          <w:marLeft w:val="547"/>
          <w:marRight w:val="0"/>
          <w:marTop w:val="0"/>
          <w:marBottom w:val="200"/>
          <w:divBdr>
            <w:top w:val="none" w:sz="0" w:space="0" w:color="auto"/>
            <w:left w:val="none" w:sz="0" w:space="0" w:color="auto"/>
            <w:bottom w:val="none" w:sz="0" w:space="0" w:color="auto"/>
            <w:right w:val="none" w:sz="0" w:space="0" w:color="auto"/>
          </w:divBdr>
        </w:div>
      </w:divsChild>
    </w:div>
    <w:div w:id="1010181679">
      <w:bodyDiv w:val="1"/>
      <w:marLeft w:val="0"/>
      <w:marRight w:val="0"/>
      <w:marTop w:val="0"/>
      <w:marBottom w:val="0"/>
      <w:divBdr>
        <w:top w:val="none" w:sz="0" w:space="0" w:color="auto"/>
        <w:left w:val="none" w:sz="0" w:space="0" w:color="auto"/>
        <w:bottom w:val="none" w:sz="0" w:space="0" w:color="auto"/>
        <w:right w:val="none" w:sz="0" w:space="0" w:color="auto"/>
      </w:divBdr>
    </w:div>
    <w:div w:id="1025405897">
      <w:bodyDiv w:val="1"/>
      <w:marLeft w:val="0"/>
      <w:marRight w:val="0"/>
      <w:marTop w:val="0"/>
      <w:marBottom w:val="0"/>
      <w:divBdr>
        <w:top w:val="none" w:sz="0" w:space="0" w:color="auto"/>
        <w:left w:val="none" w:sz="0" w:space="0" w:color="auto"/>
        <w:bottom w:val="none" w:sz="0" w:space="0" w:color="auto"/>
        <w:right w:val="none" w:sz="0" w:space="0" w:color="auto"/>
      </w:divBdr>
    </w:div>
    <w:div w:id="1037777547">
      <w:bodyDiv w:val="1"/>
      <w:marLeft w:val="0"/>
      <w:marRight w:val="0"/>
      <w:marTop w:val="0"/>
      <w:marBottom w:val="0"/>
      <w:divBdr>
        <w:top w:val="none" w:sz="0" w:space="0" w:color="auto"/>
        <w:left w:val="none" w:sz="0" w:space="0" w:color="auto"/>
        <w:bottom w:val="none" w:sz="0" w:space="0" w:color="auto"/>
        <w:right w:val="none" w:sz="0" w:space="0" w:color="auto"/>
      </w:divBdr>
    </w:div>
    <w:div w:id="1039597694">
      <w:bodyDiv w:val="1"/>
      <w:marLeft w:val="0"/>
      <w:marRight w:val="0"/>
      <w:marTop w:val="0"/>
      <w:marBottom w:val="0"/>
      <w:divBdr>
        <w:top w:val="none" w:sz="0" w:space="0" w:color="auto"/>
        <w:left w:val="none" w:sz="0" w:space="0" w:color="auto"/>
        <w:bottom w:val="none" w:sz="0" w:space="0" w:color="auto"/>
        <w:right w:val="none" w:sz="0" w:space="0" w:color="auto"/>
      </w:divBdr>
    </w:div>
    <w:div w:id="1180775108">
      <w:bodyDiv w:val="1"/>
      <w:marLeft w:val="0"/>
      <w:marRight w:val="0"/>
      <w:marTop w:val="0"/>
      <w:marBottom w:val="0"/>
      <w:divBdr>
        <w:top w:val="none" w:sz="0" w:space="0" w:color="auto"/>
        <w:left w:val="none" w:sz="0" w:space="0" w:color="auto"/>
        <w:bottom w:val="none" w:sz="0" w:space="0" w:color="auto"/>
        <w:right w:val="none" w:sz="0" w:space="0" w:color="auto"/>
      </w:divBdr>
    </w:div>
    <w:div w:id="1189180924">
      <w:bodyDiv w:val="1"/>
      <w:marLeft w:val="0"/>
      <w:marRight w:val="0"/>
      <w:marTop w:val="0"/>
      <w:marBottom w:val="0"/>
      <w:divBdr>
        <w:top w:val="none" w:sz="0" w:space="0" w:color="auto"/>
        <w:left w:val="none" w:sz="0" w:space="0" w:color="auto"/>
        <w:bottom w:val="none" w:sz="0" w:space="0" w:color="auto"/>
        <w:right w:val="none" w:sz="0" w:space="0" w:color="auto"/>
      </w:divBdr>
    </w:div>
    <w:div w:id="1209296328">
      <w:bodyDiv w:val="1"/>
      <w:marLeft w:val="0"/>
      <w:marRight w:val="0"/>
      <w:marTop w:val="0"/>
      <w:marBottom w:val="0"/>
      <w:divBdr>
        <w:top w:val="none" w:sz="0" w:space="0" w:color="auto"/>
        <w:left w:val="none" w:sz="0" w:space="0" w:color="auto"/>
        <w:bottom w:val="none" w:sz="0" w:space="0" w:color="auto"/>
        <w:right w:val="none" w:sz="0" w:space="0" w:color="auto"/>
      </w:divBdr>
    </w:div>
    <w:div w:id="1386031024">
      <w:bodyDiv w:val="1"/>
      <w:marLeft w:val="0"/>
      <w:marRight w:val="0"/>
      <w:marTop w:val="0"/>
      <w:marBottom w:val="0"/>
      <w:divBdr>
        <w:top w:val="none" w:sz="0" w:space="0" w:color="auto"/>
        <w:left w:val="none" w:sz="0" w:space="0" w:color="auto"/>
        <w:bottom w:val="none" w:sz="0" w:space="0" w:color="auto"/>
        <w:right w:val="none" w:sz="0" w:space="0" w:color="auto"/>
      </w:divBdr>
    </w:div>
    <w:div w:id="1466267518">
      <w:bodyDiv w:val="1"/>
      <w:marLeft w:val="0"/>
      <w:marRight w:val="0"/>
      <w:marTop w:val="0"/>
      <w:marBottom w:val="0"/>
      <w:divBdr>
        <w:top w:val="none" w:sz="0" w:space="0" w:color="auto"/>
        <w:left w:val="none" w:sz="0" w:space="0" w:color="auto"/>
        <w:bottom w:val="none" w:sz="0" w:space="0" w:color="auto"/>
        <w:right w:val="none" w:sz="0" w:space="0" w:color="auto"/>
      </w:divBdr>
    </w:div>
    <w:div w:id="1502041654">
      <w:bodyDiv w:val="1"/>
      <w:marLeft w:val="0"/>
      <w:marRight w:val="0"/>
      <w:marTop w:val="0"/>
      <w:marBottom w:val="0"/>
      <w:divBdr>
        <w:top w:val="none" w:sz="0" w:space="0" w:color="auto"/>
        <w:left w:val="none" w:sz="0" w:space="0" w:color="auto"/>
        <w:bottom w:val="none" w:sz="0" w:space="0" w:color="auto"/>
        <w:right w:val="none" w:sz="0" w:space="0" w:color="auto"/>
      </w:divBdr>
      <w:divsChild>
        <w:div w:id="309333995">
          <w:marLeft w:val="547"/>
          <w:marRight w:val="0"/>
          <w:marTop w:val="0"/>
          <w:marBottom w:val="200"/>
          <w:divBdr>
            <w:top w:val="none" w:sz="0" w:space="0" w:color="auto"/>
            <w:left w:val="none" w:sz="0" w:space="0" w:color="auto"/>
            <w:bottom w:val="none" w:sz="0" w:space="0" w:color="auto"/>
            <w:right w:val="none" w:sz="0" w:space="0" w:color="auto"/>
          </w:divBdr>
        </w:div>
        <w:div w:id="2021078858">
          <w:marLeft w:val="547"/>
          <w:marRight w:val="0"/>
          <w:marTop w:val="0"/>
          <w:marBottom w:val="200"/>
          <w:divBdr>
            <w:top w:val="none" w:sz="0" w:space="0" w:color="auto"/>
            <w:left w:val="none" w:sz="0" w:space="0" w:color="auto"/>
            <w:bottom w:val="none" w:sz="0" w:space="0" w:color="auto"/>
            <w:right w:val="none" w:sz="0" w:space="0" w:color="auto"/>
          </w:divBdr>
        </w:div>
        <w:div w:id="928776730">
          <w:marLeft w:val="547"/>
          <w:marRight w:val="0"/>
          <w:marTop w:val="0"/>
          <w:marBottom w:val="200"/>
          <w:divBdr>
            <w:top w:val="none" w:sz="0" w:space="0" w:color="auto"/>
            <w:left w:val="none" w:sz="0" w:space="0" w:color="auto"/>
            <w:bottom w:val="none" w:sz="0" w:space="0" w:color="auto"/>
            <w:right w:val="none" w:sz="0" w:space="0" w:color="auto"/>
          </w:divBdr>
        </w:div>
        <w:div w:id="684750777">
          <w:marLeft w:val="547"/>
          <w:marRight w:val="0"/>
          <w:marTop w:val="0"/>
          <w:marBottom w:val="200"/>
          <w:divBdr>
            <w:top w:val="none" w:sz="0" w:space="0" w:color="auto"/>
            <w:left w:val="none" w:sz="0" w:space="0" w:color="auto"/>
            <w:bottom w:val="none" w:sz="0" w:space="0" w:color="auto"/>
            <w:right w:val="none" w:sz="0" w:space="0" w:color="auto"/>
          </w:divBdr>
        </w:div>
        <w:div w:id="121921135">
          <w:marLeft w:val="547"/>
          <w:marRight w:val="0"/>
          <w:marTop w:val="0"/>
          <w:marBottom w:val="200"/>
          <w:divBdr>
            <w:top w:val="none" w:sz="0" w:space="0" w:color="auto"/>
            <w:left w:val="none" w:sz="0" w:space="0" w:color="auto"/>
            <w:bottom w:val="none" w:sz="0" w:space="0" w:color="auto"/>
            <w:right w:val="none" w:sz="0" w:space="0" w:color="auto"/>
          </w:divBdr>
        </w:div>
      </w:divsChild>
    </w:div>
    <w:div w:id="1508128651">
      <w:bodyDiv w:val="1"/>
      <w:marLeft w:val="0"/>
      <w:marRight w:val="0"/>
      <w:marTop w:val="0"/>
      <w:marBottom w:val="0"/>
      <w:divBdr>
        <w:top w:val="none" w:sz="0" w:space="0" w:color="auto"/>
        <w:left w:val="none" w:sz="0" w:space="0" w:color="auto"/>
        <w:bottom w:val="none" w:sz="0" w:space="0" w:color="auto"/>
        <w:right w:val="none" w:sz="0" w:space="0" w:color="auto"/>
      </w:divBdr>
    </w:div>
    <w:div w:id="1527716403">
      <w:bodyDiv w:val="1"/>
      <w:marLeft w:val="0"/>
      <w:marRight w:val="0"/>
      <w:marTop w:val="0"/>
      <w:marBottom w:val="0"/>
      <w:divBdr>
        <w:top w:val="none" w:sz="0" w:space="0" w:color="auto"/>
        <w:left w:val="none" w:sz="0" w:space="0" w:color="auto"/>
        <w:bottom w:val="none" w:sz="0" w:space="0" w:color="auto"/>
        <w:right w:val="none" w:sz="0" w:space="0" w:color="auto"/>
      </w:divBdr>
    </w:div>
    <w:div w:id="1552500387">
      <w:bodyDiv w:val="1"/>
      <w:marLeft w:val="0"/>
      <w:marRight w:val="0"/>
      <w:marTop w:val="0"/>
      <w:marBottom w:val="0"/>
      <w:divBdr>
        <w:top w:val="none" w:sz="0" w:space="0" w:color="auto"/>
        <w:left w:val="none" w:sz="0" w:space="0" w:color="auto"/>
        <w:bottom w:val="none" w:sz="0" w:space="0" w:color="auto"/>
        <w:right w:val="none" w:sz="0" w:space="0" w:color="auto"/>
      </w:divBdr>
      <w:divsChild>
        <w:div w:id="994383408">
          <w:marLeft w:val="547"/>
          <w:marRight w:val="0"/>
          <w:marTop w:val="0"/>
          <w:marBottom w:val="200"/>
          <w:divBdr>
            <w:top w:val="none" w:sz="0" w:space="0" w:color="auto"/>
            <w:left w:val="none" w:sz="0" w:space="0" w:color="auto"/>
            <w:bottom w:val="none" w:sz="0" w:space="0" w:color="auto"/>
            <w:right w:val="none" w:sz="0" w:space="0" w:color="auto"/>
          </w:divBdr>
        </w:div>
        <w:div w:id="529995873">
          <w:marLeft w:val="547"/>
          <w:marRight w:val="0"/>
          <w:marTop w:val="0"/>
          <w:marBottom w:val="200"/>
          <w:divBdr>
            <w:top w:val="none" w:sz="0" w:space="0" w:color="auto"/>
            <w:left w:val="none" w:sz="0" w:space="0" w:color="auto"/>
            <w:bottom w:val="none" w:sz="0" w:space="0" w:color="auto"/>
            <w:right w:val="none" w:sz="0" w:space="0" w:color="auto"/>
          </w:divBdr>
        </w:div>
        <w:div w:id="1046758357">
          <w:marLeft w:val="547"/>
          <w:marRight w:val="0"/>
          <w:marTop w:val="0"/>
          <w:marBottom w:val="200"/>
          <w:divBdr>
            <w:top w:val="none" w:sz="0" w:space="0" w:color="auto"/>
            <w:left w:val="none" w:sz="0" w:space="0" w:color="auto"/>
            <w:bottom w:val="none" w:sz="0" w:space="0" w:color="auto"/>
            <w:right w:val="none" w:sz="0" w:space="0" w:color="auto"/>
          </w:divBdr>
        </w:div>
      </w:divsChild>
    </w:div>
    <w:div w:id="1684358373">
      <w:bodyDiv w:val="1"/>
      <w:marLeft w:val="0"/>
      <w:marRight w:val="0"/>
      <w:marTop w:val="0"/>
      <w:marBottom w:val="0"/>
      <w:divBdr>
        <w:top w:val="none" w:sz="0" w:space="0" w:color="auto"/>
        <w:left w:val="none" w:sz="0" w:space="0" w:color="auto"/>
        <w:bottom w:val="none" w:sz="0" w:space="0" w:color="auto"/>
        <w:right w:val="none" w:sz="0" w:space="0" w:color="auto"/>
      </w:divBdr>
    </w:div>
    <w:div w:id="1720009572">
      <w:bodyDiv w:val="1"/>
      <w:marLeft w:val="0"/>
      <w:marRight w:val="0"/>
      <w:marTop w:val="0"/>
      <w:marBottom w:val="0"/>
      <w:divBdr>
        <w:top w:val="none" w:sz="0" w:space="0" w:color="auto"/>
        <w:left w:val="none" w:sz="0" w:space="0" w:color="auto"/>
        <w:bottom w:val="none" w:sz="0" w:space="0" w:color="auto"/>
        <w:right w:val="none" w:sz="0" w:space="0" w:color="auto"/>
      </w:divBdr>
    </w:div>
    <w:div w:id="1780562932">
      <w:bodyDiv w:val="1"/>
      <w:marLeft w:val="0"/>
      <w:marRight w:val="0"/>
      <w:marTop w:val="0"/>
      <w:marBottom w:val="0"/>
      <w:divBdr>
        <w:top w:val="none" w:sz="0" w:space="0" w:color="auto"/>
        <w:left w:val="none" w:sz="0" w:space="0" w:color="auto"/>
        <w:bottom w:val="none" w:sz="0" w:space="0" w:color="auto"/>
        <w:right w:val="none" w:sz="0" w:space="0" w:color="auto"/>
      </w:divBdr>
    </w:div>
    <w:div w:id="1849515283">
      <w:bodyDiv w:val="1"/>
      <w:marLeft w:val="0"/>
      <w:marRight w:val="0"/>
      <w:marTop w:val="0"/>
      <w:marBottom w:val="0"/>
      <w:divBdr>
        <w:top w:val="none" w:sz="0" w:space="0" w:color="auto"/>
        <w:left w:val="none" w:sz="0" w:space="0" w:color="auto"/>
        <w:bottom w:val="none" w:sz="0" w:space="0" w:color="auto"/>
        <w:right w:val="none" w:sz="0" w:space="0" w:color="auto"/>
      </w:divBdr>
    </w:div>
    <w:div w:id="1894341984">
      <w:bodyDiv w:val="1"/>
      <w:marLeft w:val="0"/>
      <w:marRight w:val="0"/>
      <w:marTop w:val="0"/>
      <w:marBottom w:val="0"/>
      <w:divBdr>
        <w:top w:val="none" w:sz="0" w:space="0" w:color="auto"/>
        <w:left w:val="none" w:sz="0" w:space="0" w:color="auto"/>
        <w:bottom w:val="none" w:sz="0" w:space="0" w:color="auto"/>
        <w:right w:val="none" w:sz="0" w:space="0" w:color="auto"/>
      </w:divBdr>
      <w:divsChild>
        <w:div w:id="76295032">
          <w:marLeft w:val="547"/>
          <w:marRight w:val="0"/>
          <w:marTop w:val="0"/>
          <w:marBottom w:val="200"/>
          <w:divBdr>
            <w:top w:val="none" w:sz="0" w:space="0" w:color="auto"/>
            <w:left w:val="none" w:sz="0" w:space="0" w:color="auto"/>
            <w:bottom w:val="none" w:sz="0" w:space="0" w:color="auto"/>
            <w:right w:val="none" w:sz="0" w:space="0" w:color="auto"/>
          </w:divBdr>
        </w:div>
        <w:div w:id="1617982608">
          <w:marLeft w:val="547"/>
          <w:marRight w:val="0"/>
          <w:marTop w:val="0"/>
          <w:marBottom w:val="200"/>
          <w:divBdr>
            <w:top w:val="none" w:sz="0" w:space="0" w:color="auto"/>
            <w:left w:val="none" w:sz="0" w:space="0" w:color="auto"/>
            <w:bottom w:val="none" w:sz="0" w:space="0" w:color="auto"/>
            <w:right w:val="none" w:sz="0" w:space="0" w:color="auto"/>
          </w:divBdr>
        </w:div>
        <w:div w:id="406852361">
          <w:marLeft w:val="547"/>
          <w:marRight w:val="0"/>
          <w:marTop w:val="0"/>
          <w:marBottom w:val="200"/>
          <w:divBdr>
            <w:top w:val="none" w:sz="0" w:space="0" w:color="auto"/>
            <w:left w:val="none" w:sz="0" w:space="0" w:color="auto"/>
            <w:bottom w:val="none" w:sz="0" w:space="0" w:color="auto"/>
            <w:right w:val="none" w:sz="0" w:space="0" w:color="auto"/>
          </w:divBdr>
        </w:div>
        <w:div w:id="764424288">
          <w:marLeft w:val="547"/>
          <w:marRight w:val="0"/>
          <w:marTop w:val="0"/>
          <w:marBottom w:val="200"/>
          <w:divBdr>
            <w:top w:val="none" w:sz="0" w:space="0" w:color="auto"/>
            <w:left w:val="none" w:sz="0" w:space="0" w:color="auto"/>
            <w:bottom w:val="none" w:sz="0" w:space="0" w:color="auto"/>
            <w:right w:val="none" w:sz="0" w:space="0" w:color="auto"/>
          </w:divBdr>
        </w:div>
        <w:div w:id="1257177652">
          <w:marLeft w:val="547"/>
          <w:marRight w:val="0"/>
          <w:marTop w:val="0"/>
          <w:marBottom w:val="200"/>
          <w:divBdr>
            <w:top w:val="none" w:sz="0" w:space="0" w:color="auto"/>
            <w:left w:val="none" w:sz="0" w:space="0" w:color="auto"/>
            <w:bottom w:val="none" w:sz="0" w:space="0" w:color="auto"/>
            <w:right w:val="none" w:sz="0" w:space="0" w:color="auto"/>
          </w:divBdr>
        </w:div>
        <w:div w:id="1301688973">
          <w:marLeft w:val="547"/>
          <w:marRight w:val="0"/>
          <w:marTop w:val="0"/>
          <w:marBottom w:val="200"/>
          <w:divBdr>
            <w:top w:val="none" w:sz="0" w:space="0" w:color="auto"/>
            <w:left w:val="none" w:sz="0" w:space="0" w:color="auto"/>
            <w:bottom w:val="none" w:sz="0" w:space="0" w:color="auto"/>
            <w:right w:val="none" w:sz="0" w:space="0" w:color="auto"/>
          </w:divBdr>
        </w:div>
      </w:divsChild>
    </w:div>
    <w:div w:id="1895506874">
      <w:bodyDiv w:val="1"/>
      <w:marLeft w:val="0"/>
      <w:marRight w:val="0"/>
      <w:marTop w:val="0"/>
      <w:marBottom w:val="0"/>
      <w:divBdr>
        <w:top w:val="none" w:sz="0" w:space="0" w:color="auto"/>
        <w:left w:val="none" w:sz="0" w:space="0" w:color="auto"/>
        <w:bottom w:val="none" w:sz="0" w:space="0" w:color="auto"/>
        <w:right w:val="none" w:sz="0" w:space="0" w:color="auto"/>
      </w:divBdr>
    </w:div>
    <w:div w:id="1928536401">
      <w:bodyDiv w:val="1"/>
      <w:marLeft w:val="0"/>
      <w:marRight w:val="0"/>
      <w:marTop w:val="0"/>
      <w:marBottom w:val="0"/>
      <w:divBdr>
        <w:top w:val="none" w:sz="0" w:space="0" w:color="auto"/>
        <w:left w:val="none" w:sz="0" w:space="0" w:color="auto"/>
        <w:bottom w:val="none" w:sz="0" w:space="0" w:color="auto"/>
        <w:right w:val="none" w:sz="0" w:space="0" w:color="auto"/>
      </w:divBdr>
    </w:div>
    <w:div w:id="1947955763">
      <w:bodyDiv w:val="1"/>
      <w:marLeft w:val="0"/>
      <w:marRight w:val="0"/>
      <w:marTop w:val="0"/>
      <w:marBottom w:val="0"/>
      <w:divBdr>
        <w:top w:val="none" w:sz="0" w:space="0" w:color="auto"/>
        <w:left w:val="none" w:sz="0" w:space="0" w:color="auto"/>
        <w:bottom w:val="none" w:sz="0" w:space="0" w:color="auto"/>
        <w:right w:val="none" w:sz="0" w:space="0" w:color="auto"/>
      </w:divBdr>
    </w:div>
    <w:div w:id="1950887008">
      <w:bodyDiv w:val="1"/>
      <w:marLeft w:val="0"/>
      <w:marRight w:val="0"/>
      <w:marTop w:val="0"/>
      <w:marBottom w:val="0"/>
      <w:divBdr>
        <w:top w:val="none" w:sz="0" w:space="0" w:color="auto"/>
        <w:left w:val="none" w:sz="0" w:space="0" w:color="auto"/>
        <w:bottom w:val="none" w:sz="0" w:space="0" w:color="auto"/>
        <w:right w:val="none" w:sz="0" w:space="0" w:color="auto"/>
      </w:divBdr>
    </w:div>
    <w:div w:id="1971130888">
      <w:bodyDiv w:val="1"/>
      <w:marLeft w:val="0"/>
      <w:marRight w:val="0"/>
      <w:marTop w:val="0"/>
      <w:marBottom w:val="0"/>
      <w:divBdr>
        <w:top w:val="none" w:sz="0" w:space="0" w:color="auto"/>
        <w:left w:val="none" w:sz="0" w:space="0" w:color="auto"/>
        <w:bottom w:val="none" w:sz="0" w:space="0" w:color="auto"/>
        <w:right w:val="none" w:sz="0" w:space="0" w:color="auto"/>
      </w:divBdr>
    </w:div>
    <w:div w:id="2044162921">
      <w:bodyDiv w:val="1"/>
      <w:marLeft w:val="0"/>
      <w:marRight w:val="0"/>
      <w:marTop w:val="0"/>
      <w:marBottom w:val="0"/>
      <w:divBdr>
        <w:top w:val="none" w:sz="0" w:space="0" w:color="auto"/>
        <w:left w:val="none" w:sz="0" w:space="0" w:color="auto"/>
        <w:bottom w:val="none" w:sz="0" w:space="0" w:color="auto"/>
        <w:right w:val="none" w:sz="0" w:space="0" w:color="auto"/>
      </w:divBdr>
    </w:div>
    <w:div w:id="2055931574">
      <w:bodyDiv w:val="1"/>
      <w:marLeft w:val="0"/>
      <w:marRight w:val="0"/>
      <w:marTop w:val="0"/>
      <w:marBottom w:val="0"/>
      <w:divBdr>
        <w:top w:val="none" w:sz="0" w:space="0" w:color="auto"/>
        <w:left w:val="none" w:sz="0" w:space="0" w:color="auto"/>
        <w:bottom w:val="none" w:sz="0" w:space="0" w:color="auto"/>
        <w:right w:val="none" w:sz="0" w:space="0" w:color="auto"/>
      </w:divBdr>
    </w:div>
    <w:div w:id="2071997322">
      <w:bodyDiv w:val="1"/>
      <w:marLeft w:val="0"/>
      <w:marRight w:val="0"/>
      <w:marTop w:val="0"/>
      <w:marBottom w:val="0"/>
      <w:divBdr>
        <w:top w:val="none" w:sz="0" w:space="0" w:color="auto"/>
        <w:left w:val="none" w:sz="0" w:space="0" w:color="auto"/>
        <w:bottom w:val="none" w:sz="0" w:space="0" w:color="auto"/>
        <w:right w:val="none" w:sz="0" w:space="0" w:color="auto"/>
      </w:divBdr>
    </w:div>
    <w:div w:id="2088304686">
      <w:bodyDiv w:val="1"/>
      <w:marLeft w:val="0"/>
      <w:marRight w:val="0"/>
      <w:marTop w:val="0"/>
      <w:marBottom w:val="0"/>
      <w:divBdr>
        <w:top w:val="none" w:sz="0" w:space="0" w:color="auto"/>
        <w:left w:val="none" w:sz="0" w:space="0" w:color="auto"/>
        <w:bottom w:val="none" w:sz="0" w:space="0" w:color="auto"/>
        <w:right w:val="none" w:sz="0" w:space="0" w:color="auto"/>
      </w:divBdr>
    </w:div>
    <w:div w:id="21030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burchartz\Application%20Data\Microsoft\Templates\EU%20Markets\CA_Par_EN_1205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04ce55e-d47d-4e22-b0f7-c3e46cb4e632" origin="userSelected"/>
</file>

<file path=customXml/itemProps1.xml><?xml version="1.0" encoding="utf-8"?>
<ds:datastoreItem xmlns:ds="http://schemas.openxmlformats.org/officeDocument/2006/customXml" ds:itemID="{4ABA8F67-D98E-47D0-8DB8-33276CE62A94}">
  <ds:schemaRefs>
    <ds:schemaRef ds:uri="http://schemas.openxmlformats.org/officeDocument/2006/bibliography"/>
  </ds:schemaRefs>
</ds:datastoreItem>
</file>

<file path=customXml/itemProps2.xml><?xml version="1.0" encoding="utf-8"?>
<ds:datastoreItem xmlns:ds="http://schemas.openxmlformats.org/officeDocument/2006/customXml" ds:itemID="{CC5CCB5A-5802-4114-9957-43FD945C75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CA_Par_EN_120511</Template>
  <TotalTime>88</TotalTime>
  <Pages>6</Pages>
  <Words>2471</Words>
  <Characters>13591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Snijder</dc:creator>
  <cp:lastModifiedBy>Silvo Stroek</cp:lastModifiedBy>
  <cp:revision>17</cp:revision>
  <cp:lastPrinted>2021-12-14T08:16:00Z</cp:lastPrinted>
  <dcterms:created xsi:type="dcterms:W3CDTF">2022-03-02T11:57:00Z</dcterms:created>
  <dcterms:modified xsi:type="dcterms:W3CDTF">2022-03-10T15:25:00Z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d7b417db-cbf8-4088-a739-c76855f77a8f</vt:lpwstr>
  </property>
  <property fmtid="{D5CDD505-2E9C-101B-9397-08002B2CF9AE}" pid="3" name="bjSaver">
    <vt:lpwstr>Qn9uzlbYHrV6YkeUPiSQOxg1gFgYQqtb</vt:lpwstr>
  </property>
  <property fmtid="{D5CDD505-2E9C-101B-9397-08002B2CF9AE}" pid="4" name="bjDocumentSecurityLabel">
    <vt:lpwstr>This item has no classification</vt:lpwstr>
  </property>
  <property fmtid="{D5CDD505-2E9C-101B-9397-08002B2CF9AE}" pid="5" name="MSIP_Label_53e3acdc-8545-4fe6-9665-5ccd769dd7bb_Enabled">
    <vt:lpwstr>true</vt:lpwstr>
  </property>
  <property fmtid="{D5CDD505-2E9C-101B-9397-08002B2CF9AE}" pid="6" name="MSIP_Label_53e3acdc-8545-4fe6-9665-5ccd769dd7bb_SetDate">
    <vt:lpwstr>2021-12-14T08:11:26Z</vt:lpwstr>
  </property>
  <property fmtid="{D5CDD505-2E9C-101B-9397-08002B2CF9AE}" pid="7" name="MSIP_Label_53e3acdc-8545-4fe6-9665-5ccd769dd7bb_Method">
    <vt:lpwstr>Privileged</vt:lpwstr>
  </property>
  <property fmtid="{D5CDD505-2E9C-101B-9397-08002B2CF9AE}" pid="8" name="MSIP_Label_53e3acdc-8545-4fe6-9665-5ccd769dd7bb_Name">
    <vt:lpwstr>53e3acdc-8545-4fe6-9665-5ccd769dd7bb</vt:lpwstr>
  </property>
  <property fmtid="{D5CDD505-2E9C-101B-9397-08002B2CF9AE}" pid="9" name="MSIP_Label_53e3acdc-8545-4fe6-9665-5ccd769dd7bb_SiteId">
    <vt:lpwstr>315b1ee5-c224-498b-871e-c140611d6d07</vt:lpwstr>
  </property>
  <property fmtid="{D5CDD505-2E9C-101B-9397-08002B2CF9AE}" pid="10" name="MSIP_Label_53e3acdc-8545-4fe6-9665-5ccd769dd7bb_ActionId">
    <vt:lpwstr>9b597f27-7970-4fa9-a5ef-249fc7c1460d</vt:lpwstr>
  </property>
  <property fmtid="{D5CDD505-2E9C-101B-9397-08002B2CF9AE}" pid="11" name="MSIP_Label_53e3acdc-8545-4fe6-9665-5ccd769dd7bb_ContentBits">
    <vt:lpwstr>0</vt:lpwstr>
  </property>
</Properties>
</file>