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5CEF68C0"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693E6D">
            <w:rPr>
              <w:rFonts w:ascii="Verdana" w:hAnsi="Verdana"/>
              <w:sz w:val="20"/>
              <w:szCs w:val="20"/>
            </w:rPr>
            <w:t>23</w:t>
          </w:r>
          <w:r w:rsidR="005A0D28">
            <w:rPr>
              <w:rFonts w:ascii="Verdana" w:hAnsi="Verdana"/>
              <w:sz w:val="20"/>
              <w:szCs w:val="20"/>
            </w:rPr>
            <w:t xml:space="preserve"> March</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693E6D">
            <w:rPr>
              <w:rFonts w:ascii="Verdana" w:hAnsi="Verdana"/>
              <w:sz w:val="20"/>
              <w:szCs w:val="20"/>
            </w:rPr>
            <w:t>27</w:t>
          </w:r>
          <w:r w:rsidR="0031149C">
            <w:rPr>
              <w:rFonts w:ascii="Verdana" w:hAnsi="Verdana"/>
              <w:sz w:val="20"/>
              <w:szCs w:val="20"/>
            </w:rPr>
            <w:t xml:space="preserve"> </w:t>
          </w:r>
          <w:r w:rsidR="005A0D28">
            <w:rPr>
              <w:rFonts w:ascii="Verdana" w:hAnsi="Verdana"/>
              <w:sz w:val="20"/>
              <w:szCs w:val="20"/>
            </w:rPr>
            <w:t>March</w:t>
          </w:r>
          <w:r w:rsidR="001426D6">
            <w:rPr>
              <w:rFonts w:ascii="Verdana" w:hAnsi="Verdana"/>
              <w:sz w:val="20"/>
              <w:szCs w:val="20"/>
            </w:rPr>
            <w:t xml:space="preserve"> </w:t>
          </w:r>
          <w:r w:rsidR="00DE6A38">
            <w:rPr>
              <w:rFonts w:ascii="Verdana" w:hAnsi="Verdana"/>
              <w:sz w:val="20"/>
              <w:szCs w:val="20"/>
            </w:rPr>
            <w:t>2026</w:t>
          </w:r>
        </w:sdtContent>
      </w:sdt>
      <w:r>
        <w:rPr>
          <w:rFonts w:ascii="Verdana" w:hAnsi="Verdana"/>
          <w:sz w:val="20"/>
          <w:szCs w:val="20"/>
        </w:rPr>
        <w:t xml:space="preserve">, Prosus repurchased </w:t>
      </w:r>
      <w:r w:rsidR="001426D6">
        <w:rPr>
          <w:rFonts w:ascii="Verdana" w:hAnsi="Verdana"/>
          <w:sz w:val="20"/>
          <w:szCs w:val="20"/>
        </w:rPr>
        <w:t>2</w:t>
      </w:r>
      <w:r w:rsidR="00005CA2">
        <w:rPr>
          <w:rFonts w:ascii="Verdana" w:hAnsi="Verdana"/>
          <w:sz w:val="20"/>
          <w:szCs w:val="20"/>
        </w:rPr>
        <w:t>,</w:t>
      </w:r>
      <w:r w:rsidR="00693E6D">
        <w:rPr>
          <w:rFonts w:ascii="Verdana" w:hAnsi="Verdana"/>
          <w:sz w:val="20"/>
          <w:szCs w:val="20"/>
        </w:rPr>
        <w:t>643</w:t>
      </w:r>
      <w:r w:rsidR="00F25AE4">
        <w:rPr>
          <w:rFonts w:ascii="Verdana" w:hAnsi="Verdana"/>
          <w:sz w:val="20"/>
          <w:szCs w:val="20"/>
        </w:rPr>
        <w:t>,</w:t>
      </w:r>
      <w:r w:rsidR="00693E6D">
        <w:rPr>
          <w:rFonts w:ascii="Verdana" w:hAnsi="Verdana"/>
          <w:sz w:val="20"/>
          <w:szCs w:val="20"/>
        </w:rPr>
        <w:t>733</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A418F6">
            <w:rPr>
              <w:rFonts w:ascii="Verdana" w:hAnsi="Verdana"/>
              <w:sz w:val="20"/>
              <w:szCs w:val="20"/>
            </w:rPr>
            <w:t>4</w:t>
          </w:r>
          <w:r w:rsidR="00693E6D">
            <w:rPr>
              <w:rFonts w:ascii="Verdana" w:hAnsi="Verdana"/>
              <w:sz w:val="20"/>
              <w:szCs w:val="20"/>
            </w:rPr>
            <w:t>0.2522</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5B1185">
            <w:rPr>
              <w:rFonts w:ascii="Verdana" w:hAnsi="Verdana"/>
              <w:sz w:val="20"/>
              <w:szCs w:val="20"/>
            </w:rPr>
            <w:t>1</w:t>
          </w:r>
          <w:r w:rsidR="00693E6D">
            <w:rPr>
              <w:rFonts w:ascii="Verdana" w:hAnsi="Verdana"/>
              <w:sz w:val="20"/>
              <w:szCs w:val="20"/>
            </w:rPr>
            <w:t>06,415</w:t>
          </w:r>
          <w:r w:rsidR="00FE3737">
            <w:rPr>
              <w:rFonts w:ascii="Verdana" w:hAnsi="Verdana"/>
              <w:sz w:val="20"/>
              <w:szCs w:val="20"/>
            </w:rPr>
            <w:t>,</w:t>
          </w:r>
          <w:r w:rsidR="00693E6D">
            <w:rPr>
              <w:rFonts w:ascii="Verdana" w:hAnsi="Verdana"/>
              <w:sz w:val="20"/>
              <w:szCs w:val="20"/>
            </w:rPr>
            <w:t>984</w:t>
          </w:r>
          <w:r w:rsidR="00E13996">
            <w:rPr>
              <w:rFonts w:ascii="Verdana" w:hAnsi="Verdana"/>
              <w:sz w:val="20"/>
              <w:szCs w:val="20"/>
            </w:rPr>
            <w:t>.</w:t>
          </w:r>
          <w:r w:rsidR="00693E6D">
            <w:rPr>
              <w:rFonts w:ascii="Verdana" w:hAnsi="Verdana"/>
              <w:sz w:val="20"/>
              <w:szCs w:val="20"/>
            </w:rPr>
            <w:t>04</w:t>
          </w:r>
        </w:sdtContent>
      </w:sdt>
      <w:r w:rsidR="002E5FAB" w:rsidRPr="00100B35">
        <w:rPr>
          <w:rFonts w:ascii="Verdana" w:hAnsi="Verdana"/>
          <w:sz w:val="20"/>
          <w:szCs w:val="20"/>
        </w:rPr>
        <w:t xml:space="preserve"> </w:t>
      </w:r>
      <w:r>
        <w:rPr>
          <w:rFonts w:ascii="Verdana" w:hAnsi="Verdana"/>
          <w:sz w:val="20"/>
          <w:szCs w:val="20"/>
        </w:rPr>
        <w:t>(US$</w:t>
      </w:r>
      <w:r w:rsidR="005B1185">
        <w:rPr>
          <w:rFonts w:ascii="Verdana" w:hAnsi="Verdana"/>
          <w:sz w:val="20"/>
          <w:szCs w:val="20"/>
        </w:rPr>
        <w:t>1</w:t>
      </w:r>
      <w:r w:rsidR="00693E6D">
        <w:rPr>
          <w:rFonts w:ascii="Verdana" w:hAnsi="Verdana"/>
          <w:sz w:val="20"/>
          <w:szCs w:val="20"/>
        </w:rPr>
        <w:t>23</w:t>
      </w:r>
      <w:r w:rsidR="005A0D28">
        <w:rPr>
          <w:rFonts w:ascii="Verdana" w:hAnsi="Verdana"/>
          <w:sz w:val="20"/>
          <w:szCs w:val="20"/>
        </w:rPr>
        <w:t>,</w:t>
      </w:r>
      <w:r w:rsidR="00693E6D">
        <w:rPr>
          <w:rFonts w:ascii="Verdana" w:hAnsi="Verdana"/>
          <w:sz w:val="20"/>
          <w:szCs w:val="20"/>
        </w:rPr>
        <w:t>028</w:t>
      </w:r>
      <w:r w:rsidR="00520D30">
        <w:rPr>
          <w:rFonts w:ascii="Verdana" w:hAnsi="Verdana"/>
          <w:sz w:val="20"/>
          <w:szCs w:val="20"/>
        </w:rPr>
        <w:t>,</w:t>
      </w:r>
      <w:r w:rsidR="00693E6D">
        <w:rPr>
          <w:rFonts w:ascii="Verdana" w:hAnsi="Verdana"/>
          <w:sz w:val="20"/>
          <w:szCs w:val="20"/>
        </w:rPr>
        <w:t>373</w:t>
      </w:r>
      <w:r w:rsidR="0004529C">
        <w:rPr>
          <w:rFonts w:ascii="Verdana" w:hAnsi="Verdana"/>
          <w:sz w:val="20"/>
          <w:szCs w:val="20"/>
        </w:rPr>
        <w:t>.</w:t>
      </w:r>
      <w:r w:rsidR="00693E6D">
        <w:rPr>
          <w:rFonts w:ascii="Verdana" w:hAnsi="Verdana"/>
          <w:sz w:val="20"/>
          <w:szCs w:val="20"/>
        </w:rPr>
        <w:t>55</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63D2211B" w:rsidR="005E503D" w:rsidRDefault="00693E6D">
          <w:pPr>
            <w:pStyle w:val="AODocTxt"/>
            <w:spacing w:before="0"/>
            <w:rPr>
              <w:rFonts w:ascii="Verdana" w:hAnsi="Verdana"/>
              <w:sz w:val="20"/>
              <w:szCs w:val="20"/>
            </w:rPr>
          </w:pPr>
          <w:r>
            <w:rPr>
              <w:rFonts w:ascii="Verdana" w:hAnsi="Verdana"/>
              <w:sz w:val="20"/>
              <w:szCs w:val="20"/>
            </w:rPr>
            <w:t>31</w:t>
          </w:r>
          <w:r w:rsidR="005A0D28">
            <w:rPr>
              <w:rFonts w:ascii="Verdana" w:hAnsi="Verdana"/>
              <w:sz w:val="20"/>
              <w:szCs w:val="20"/>
            </w:rPr>
            <w:t xml:space="preserve"> </w:t>
          </w:r>
          <w:r w:rsidR="00EB1100">
            <w:rPr>
              <w:rFonts w:ascii="Verdana" w:hAnsi="Verdana"/>
              <w:sz w:val="20"/>
              <w:szCs w:val="20"/>
            </w:rPr>
            <w:t>March</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2103" w14:textId="77777777" w:rsidR="00495F06" w:rsidRDefault="00495F06">
      <w:r>
        <w:separator/>
      </w:r>
    </w:p>
  </w:endnote>
  <w:endnote w:type="continuationSeparator" w:id="0">
    <w:p w14:paraId="49579688" w14:textId="77777777" w:rsidR="00495F06" w:rsidRDefault="0049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677B" w14:textId="77777777" w:rsidR="00495F06" w:rsidRDefault="00495F06">
      <w:r>
        <w:separator/>
      </w:r>
    </w:p>
  </w:footnote>
  <w:footnote w:type="continuationSeparator" w:id="0">
    <w:p w14:paraId="5F01498B" w14:textId="77777777" w:rsidR="00495F06" w:rsidRDefault="0049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5FD1"/>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B20D4"/>
    <w:rsid w:val="002D5AE6"/>
    <w:rsid w:val="002E5FAB"/>
    <w:rsid w:val="0031149C"/>
    <w:rsid w:val="00314047"/>
    <w:rsid w:val="00332657"/>
    <w:rsid w:val="00334621"/>
    <w:rsid w:val="00336829"/>
    <w:rsid w:val="00341796"/>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62508"/>
    <w:rsid w:val="00495F06"/>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B1185"/>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93E6D"/>
    <w:rsid w:val="006A14D4"/>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0B2D"/>
    <w:rsid w:val="008C4CF0"/>
    <w:rsid w:val="008C4EF6"/>
    <w:rsid w:val="008C52B7"/>
    <w:rsid w:val="008C7FA3"/>
    <w:rsid w:val="008E15A7"/>
    <w:rsid w:val="008E3334"/>
    <w:rsid w:val="008E3763"/>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65A40"/>
    <w:rsid w:val="00B72412"/>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2BD"/>
    <w:rsid w:val="00CF344C"/>
    <w:rsid w:val="00D025B6"/>
    <w:rsid w:val="00D055AD"/>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13996"/>
    <w:rsid w:val="00E24D6B"/>
    <w:rsid w:val="00E26341"/>
    <w:rsid w:val="00E30B2A"/>
    <w:rsid w:val="00E30B58"/>
    <w:rsid w:val="00E3338D"/>
    <w:rsid w:val="00E4314B"/>
    <w:rsid w:val="00E50A8B"/>
    <w:rsid w:val="00E64826"/>
    <w:rsid w:val="00E66CDE"/>
    <w:rsid w:val="00E74FA8"/>
    <w:rsid w:val="00E90069"/>
    <w:rsid w:val="00E9160E"/>
    <w:rsid w:val="00EB1100"/>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3787</Characters>
  <Application>Microsoft Office Word</Application>
  <DocSecurity>0</DocSecurity>
  <Lines>62</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168</cp:revision>
  <dcterms:created xsi:type="dcterms:W3CDTF">2025-04-22T14:10:00Z</dcterms:created>
  <dcterms:modified xsi:type="dcterms:W3CDTF">2026-03-31T11:18:00Z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