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0216" w14:textId="6FFA3E01" w:rsidR="00375921" w:rsidRPr="00E04B78" w:rsidRDefault="00B613A6" w:rsidP="003D028D">
      <w:pPr>
        <w:spacing w:line="240" w:lineRule="auto"/>
        <w:contextualSpacing/>
        <w:rPr>
          <w:rFonts w:cs="Arial"/>
        </w:rPr>
      </w:pPr>
      <w:r>
        <w:rPr>
          <w:rFonts w:cs="Arial"/>
        </w:rPr>
        <w:t>19</w:t>
      </w:r>
      <w:r w:rsidR="00375921">
        <w:rPr>
          <w:rFonts w:cs="Arial"/>
        </w:rPr>
        <w:t xml:space="preserve"> February 202</w:t>
      </w:r>
      <w:r>
        <w:rPr>
          <w:rFonts w:cs="Arial"/>
        </w:rPr>
        <w:t>6</w:t>
      </w:r>
      <w:r w:rsidR="00375921">
        <w:rPr>
          <w:rFonts w:cs="Arial"/>
        </w:rPr>
        <w:t xml:space="preserve">  </w:t>
      </w:r>
    </w:p>
    <w:p w14:paraId="42DE6C29" w14:textId="6D1B58BC" w:rsidR="00375921" w:rsidRPr="00296D48" w:rsidRDefault="0095069B" w:rsidP="003D028D">
      <w:pPr>
        <w:spacing w:line="240" w:lineRule="auto"/>
        <w:contextualSpacing/>
        <w:jc w:val="center"/>
        <w:rPr>
          <w:rFonts w:cs="Arial"/>
          <w:b/>
          <w:bCs/>
        </w:rPr>
      </w:pPr>
      <w:r w:rsidRPr="00E04B78">
        <w:rPr>
          <w:b/>
        </w:rPr>
        <w:br/>
      </w:r>
      <w:r w:rsidR="00375921" w:rsidRPr="00296D48">
        <w:rPr>
          <w:rFonts w:cs="Arial"/>
          <w:b/>
          <w:bCs/>
        </w:rPr>
        <w:t>RELX PLC</w:t>
      </w:r>
    </w:p>
    <w:p w14:paraId="4F7BCB54" w14:textId="4E55794A" w:rsidR="00E04B78" w:rsidRPr="00E04B78" w:rsidRDefault="00E04B78" w:rsidP="003D028D">
      <w:pPr>
        <w:spacing w:line="240" w:lineRule="auto"/>
        <w:contextualSpacing/>
        <w:jc w:val="center"/>
        <w:rPr>
          <w:rFonts w:cs="Arial"/>
          <w:b/>
        </w:rPr>
      </w:pPr>
      <w:r w:rsidRPr="00E04B78">
        <w:rPr>
          <w:rFonts w:cs="Arial"/>
        </w:rPr>
        <w:br/>
      </w:r>
      <w:r w:rsidRPr="00E04B78">
        <w:rPr>
          <w:rFonts w:cs="Arial"/>
          <w:b/>
        </w:rPr>
        <w:t xml:space="preserve">Publication of </w:t>
      </w:r>
      <w:r w:rsidR="00EA5637">
        <w:rPr>
          <w:rFonts w:cs="Arial"/>
          <w:b/>
        </w:rPr>
        <w:t>202</w:t>
      </w:r>
      <w:r w:rsidR="00B613A6">
        <w:rPr>
          <w:rFonts w:cs="Arial"/>
          <w:b/>
        </w:rPr>
        <w:t>5</w:t>
      </w:r>
      <w:r w:rsidR="00EA5637">
        <w:rPr>
          <w:rFonts w:cs="Arial"/>
          <w:b/>
        </w:rPr>
        <w:t xml:space="preserve"> Annual Report</w:t>
      </w:r>
      <w:r w:rsidR="00074753">
        <w:rPr>
          <w:rFonts w:cs="Arial"/>
          <w:b/>
        </w:rPr>
        <w:t xml:space="preserve"> </w:t>
      </w:r>
      <w:r w:rsidR="00F52B60">
        <w:rPr>
          <w:rFonts w:cs="Arial"/>
          <w:b/>
        </w:rPr>
        <w:t>and</w:t>
      </w:r>
      <w:r w:rsidR="00F87FA4">
        <w:rPr>
          <w:rFonts w:cs="Arial"/>
          <w:b/>
        </w:rPr>
        <w:t xml:space="preserve"> Annual Report on</w:t>
      </w:r>
      <w:r w:rsidR="00F52B60">
        <w:rPr>
          <w:rFonts w:cs="Arial"/>
          <w:b/>
        </w:rPr>
        <w:t xml:space="preserve"> Form 20-F</w:t>
      </w:r>
    </w:p>
    <w:p w14:paraId="5B342FCE" w14:textId="77777777" w:rsidR="00E04B78" w:rsidRPr="00E04B78" w:rsidRDefault="00E04B78" w:rsidP="003D028D">
      <w:pPr>
        <w:spacing w:line="240" w:lineRule="auto"/>
        <w:contextualSpacing/>
        <w:rPr>
          <w:rFonts w:cs="Arial"/>
          <w:b/>
        </w:rPr>
      </w:pPr>
    </w:p>
    <w:p w14:paraId="7C1AC6F3" w14:textId="0035BE1C" w:rsidR="00E04B78" w:rsidRPr="00E04B78" w:rsidRDefault="00563118" w:rsidP="003D028D">
      <w:pPr>
        <w:spacing w:line="240" w:lineRule="auto"/>
        <w:contextualSpacing/>
        <w:rPr>
          <w:rFonts w:cs="Arial"/>
        </w:rPr>
      </w:pPr>
      <w:r>
        <w:rPr>
          <w:rFonts w:cs="Arial"/>
        </w:rPr>
        <w:t>RELX</w:t>
      </w:r>
      <w:r w:rsidR="00E04B78" w:rsidRPr="00E04B78">
        <w:rPr>
          <w:rFonts w:cs="Arial"/>
        </w:rPr>
        <w:t xml:space="preserve"> </w:t>
      </w:r>
      <w:r w:rsidR="008F4A18">
        <w:rPr>
          <w:rFonts w:cs="Arial"/>
        </w:rPr>
        <w:t>PLC</w:t>
      </w:r>
      <w:r w:rsidR="001D470C">
        <w:rPr>
          <w:rFonts w:cs="Arial"/>
        </w:rPr>
        <w:t xml:space="preserve"> (the “Company”)</w:t>
      </w:r>
      <w:r w:rsidR="008F4A18">
        <w:rPr>
          <w:rFonts w:cs="Arial"/>
        </w:rPr>
        <w:t xml:space="preserve"> </w:t>
      </w:r>
      <w:r w:rsidR="00E04B78" w:rsidRPr="00E04B78">
        <w:rPr>
          <w:rFonts w:cs="Arial"/>
        </w:rPr>
        <w:t>ha</w:t>
      </w:r>
      <w:r w:rsidR="00260ADC">
        <w:rPr>
          <w:rFonts w:cs="Arial"/>
        </w:rPr>
        <w:t>s</w:t>
      </w:r>
      <w:r w:rsidR="00E04B78" w:rsidRPr="00E04B78">
        <w:rPr>
          <w:rFonts w:cs="Arial"/>
        </w:rPr>
        <w:t xml:space="preserve"> today published the following documents on </w:t>
      </w:r>
      <w:r w:rsidR="003D028D">
        <w:rPr>
          <w:rFonts w:cs="Arial"/>
        </w:rPr>
        <w:t>its</w:t>
      </w:r>
      <w:r w:rsidR="008F4A18" w:rsidRPr="00E04B78">
        <w:rPr>
          <w:rFonts w:cs="Arial"/>
        </w:rPr>
        <w:t xml:space="preserve"> </w:t>
      </w:r>
      <w:r w:rsidR="00E04B78" w:rsidRPr="00E04B78">
        <w:rPr>
          <w:rFonts w:cs="Arial"/>
        </w:rPr>
        <w:t>website</w:t>
      </w:r>
      <w:r w:rsidR="00923A4D">
        <w:rPr>
          <w:rFonts w:cs="Arial"/>
        </w:rPr>
        <w:t xml:space="preserve"> at</w:t>
      </w:r>
      <w:r w:rsidR="00E04B78" w:rsidRPr="00E04B78">
        <w:rPr>
          <w:rFonts w:cs="Arial"/>
        </w:rPr>
        <w:t xml:space="preserve"> </w:t>
      </w:r>
      <w:hyperlink r:id="rId12" w:history="1">
        <w:r w:rsidR="00DC4425" w:rsidRPr="00525FDC">
          <w:rPr>
            <w:rStyle w:val="Hyperlink"/>
            <w:rFonts w:cs="Arial"/>
          </w:rPr>
          <w:t>www.relx.com</w:t>
        </w:r>
      </w:hyperlink>
      <w:r w:rsidR="00923A4D">
        <w:rPr>
          <w:rFonts w:cs="Arial"/>
        </w:rPr>
        <w:t>:</w:t>
      </w:r>
    </w:p>
    <w:p w14:paraId="2A4F65AB" w14:textId="77777777" w:rsidR="00E04B78" w:rsidRPr="00E04B78" w:rsidRDefault="00E04B78" w:rsidP="003D028D">
      <w:pPr>
        <w:spacing w:line="240" w:lineRule="auto"/>
        <w:contextualSpacing/>
        <w:rPr>
          <w:rFonts w:cs="Arial"/>
        </w:rPr>
      </w:pPr>
    </w:p>
    <w:p w14:paraId="42FC21AB" w14:textId="073146B5" w:rsidR="00E04B78" w:rsidRDefault="00E04B78" w:rsidP="003D028D">
      <w:pPr>
        <w:spacing w:line="240" w:lineRule="auto"/>
        <w:ind w:left="709" w:hanging="283"/>
        <w:contextualSpacing/>
        <w:rPr>
          <w:rFonts w:cs="Arial"/>
        </w:rPr>
      </w:pPr>
      <w:r w:rsidRPr="00E04B78">
        <w:rPr>
          <w:rFonts w:cs="Arial"/>
        </w:rPr>
        <w:t>-</w:t>
      </w:r>
      <w:r w:rsidRPr="00E04B78">
        <w:rPr>
          <w:rFonts w:cs="Arial"/>
        </w:rPr>
        <w:tab/>
        <w:t xml:space="preserve">Annual Report </w:t>
      </w:r>
      <w:r w:rsidR="00074753">
        <w:rPr>
          <w:rFonts w:cs="Arial"/>
        </w:rPr>
        <w:t xml:space="preserve">for the year ended 31 December </w:t>
      </w:r>
      <w:r w:rsidR="00DE7339">
        <w:rPr>
          <w:rFonts w:cs="Arial"/>
        </w:rPr>
        <w:t>20</w:t>
      </w:r>
      <w:r w:rsidR="00352380">
        <w:rPr>
          <w:rFonts w:cs="Arial"/>
        </w:rPr>
        <w:t>2</w:t>
      </w:r>
      <w:r w:rsidR="00B613A6">
        <w:rPr>
          <w:rFonts w:cs="Arial"/>
        </w:rPr>
        <w:t>5</w:t>
      </w:r>
      <w:r w:rsidR="005B4434" w:rsidRPr="00E04B78">
        <w:rPr>
          <w:rFonts w:cs="Arial"/>
        </w:rPr>
        <w:t xml:space="preserve"> </w:t>
      </w:r>
      <w:r w:rsidRPr="00E04B78">
        <w:rPr>
          <w:rFonts w:cs="Arial"/>
        </w:rPr>
        <w:t>(the “</w:t>
      </w:r>
      <w:r w:rsidR="00DE7339">
        <w:rPr>
          <w:rFonts w:cs="Arial"/>
        </w:rPr>
        <w:t>20</w:t>
      </w:r>
      <w:r w:rsidR="00352380">
        <w:rPr>
          <w:rFonts w:cs="Arial"/>
        </w:rPr>
        <w:t>2</w:t>
      </w:r>
      <w:r w:rsidR="00B613A6">
        <w:rPr>
          <w:rFonts w:cs="Arial"/>
        </w:rPr>
        <w:t>5</w:t>
      </w:r>
      <w:r w:rsidR="005B4434" w:rsidRPr="00E04B78">
        <w:rPr>
          <w:rFonts w:cs="Arial"/>
        </w:rPr>
        <w:t xml:space="preserve"> </w:t>
      </w:r>
      <w:r w:rsidR="00A55C52">
        <w:rPr>
          <w:rFonts w:cs="Arial"/>
        </w:rPr>
        <w:t>Annual Report</w:t>
      </w:r>
      <w:r w:rsidR="00260ADC">
        <w:rPr>
          <w:rFonts w:cs="Arial"/>
        </w:rPr>
        <w:t>”</w:t>
      </w:r>
      <w:proofErr w:type="gramStart"/>
      <w:r w:rsidR="00260ADC">
        <w:rPr>
          <w:rFonts w:cs="Arial"/>
        </w:rPr>
        <w:t>);</w:t>
      </w:r>
      <w:proofErr w:type="gramEnd"/>
    </w:p>
    <w:p w14:paraId="4412F242" w14:textId="77777777" w:rsidR="0005175A" w:rsidRDefault="0005175A" w:rsidP="003D028D">
      <w:pPr>
        <w:spacing w:line="240" w:lineRule="auto"/>
        <w:ind w:left="709" w:hanging="283"/>
        <w:contextualSpacing/>
        <w:rPr>
          <w:rFonts w:cs="Arial"/>
        </w:rPr>
      </w:pPr>
    </w:p>
    <w:p w14:paraId="78A08226" w14:textId="487EBA1F" w:rsidR="0005175A" w:rsidRPr="00E04B78" w:rsidRDefault="0005175A" w:rsidP="0005175A">
      <w:pPr>
        <w:spacing w:line="240" w:lineRule="auto"/>
        <w:ind w:left="709" w:hanging="283"/>
        <w:contextualSpacing/>
        <w:rPr>
          <w:rFonts w:cs="Arial"/>
        </w:rPr>
      </w:pPr>
      <w:r w:rsidRPr="00E04B78">
        <w:rPr>
          <w:rFonts w:cs="Arial"/>
        </w:rPr>
        <w:t>-</w:t>
      </w:r>
      <w:r w:rsidRPr="00E04B78">
        <w:rPr>
          <w:rFonts w:cs="Arial"/>
        </w:rPr>
        <w:tab/>
      </w:r>
      <w:r>
        <w:rPr>
          <w:rFonts w:cs="Arial"/>
        </w:rPr>
        <w:t>Annual Report on Form 20-F for the year ended 31 December 202</w:t>
      </w:r>
      <w:r w:rsidR="00B613A6">
        <w:rPr>
          <w:rFonts w:cs="Arial"/>
        </w:rPr>
        <w:t>5</w:t>
      </w:r>
      <w:r>
        <w:rPr>
          <w:rFonts w:cs="Arial"/>
        </w:rPr>
        <w:t xml:space="preserve"> (</w:t>
      </w:r>
      <w:r w:rsidR="00A53AE1">
        <w:rPr>
          <w:rFonts w:cs="Arial"/>
        </w:rPr>
        <w:t xml:space="preserve">the </w:t>
      </w:r>
      <w:r>
        <w:rPr>
          <w:rFonts w:cs="Arial"/>
        </w:rPr>
        <w:t>“202</w:t>
      </w:r>
      <w:r w:rsidR="00B613A6">
        <w:rPr>
          <w:rFonts w:cs="Arial"/>
        </w:rPr>
        <w:t>5</w:t>
      </w:r>
      <w:r>
        <w:rPr>
          <w:rFonts w:cs="Arial"/>
        </w:rPr>
        <w:t xml:space="preserve"> Form 20-F”</w:t>
      </w:r>
      <w:proofErr w:type="gramStart"/>
      <w:r>
        <w:rPr>
          <w:rFonts w:cs="Arial"/>
        </w:rPr>
        <w:t>)</w:t>
      </w:r>
      <w:r w:rsidR="00066E88">
        <w:rPr>
          <w:rFonts w:cs="Arial"/>
        </w:rPr>
        <w:t>;</w:t>
      </w:r>
      <w:proofErr w:type="gramEnd"/>
    </w:p>
    <w:p w14:paraId="5DA48113" w14:textId="77777777" w:rsidR="008F4A18" w:rsidRDefault="008F4A18" w:rsidP="003D028D">
      <w:pPr>
        <w:spacing w:line="240" w:lineRule="auto"/>
        <w:ind w:left="709" w:hanging="283"/>
        <w:contextualSpacing/>
        <w:rPr>
          <w:rFonts w:cs="Arial"/>
        </w:rPr>
      </w:pPr>
    </w:p>
    <w:p w14:paraId="0AF89B95" w14:textId="20635C3E" w:rsidR="00E04B78" w:rsidRPr="00E04B78" w:rsidRDefault="00E04B78" w:rsidP="003D028D">
      <w:pPr>
        <w:spacing w:line="240" w:lineRule="auto"/>
        <w:ind w:left="709" w:hanging="283"/>
        <w:contextualSpacing/>
        <w:rPr>
          <w:rFonts w:cs="Arial"/>
        </w:rPr>
      </w:pPr>
      <w:r w:rsidRPr="00E04B78">
        <w:rPr>
          <w:rFonts w:cs="Arial"/>
        </w:rPr>
        <w:t>-</w:t>
      </w:r>
      <w:r w:rsidRPr="00E04B78">
        <w:rPr>
          <w:rFonts w:cs="Arial"/>
        </w:rPr>
        <w:tab/>
      </w:r>
      <w:r w:rsidR="00EA5637">
        <w:rPr>
          <w:rFonts w:cs="Arial"/>
        </w:rPr>
        <w:t>202</w:t>
      </w:r>
      <w:r w:rsidR="00B613A6">
        <w:rPr>
          <w:rFonts w:cs="Arial"/>
        </w:rPr>
        <w:t>5</w:t>
      </w:r>
      <w:r w:rsidR="00EA5637">
        <w:rPr>
          <w:rFonts w:cs="Arial"/>
        </w:rPr>
        <w:t xml:space="preserve"> Annual Report with Netherlands specific audit opinion</w:t>
      </w:r>
      <w:r w:rsidR="00074753">
        <w:rPr>
          <w:rFonts w:cs="Arial"/>
        </w:rPr>
        <w:t xml:space="preserve"> </w:t>
      </w:r>
      <w:r w:rsidR="00EA5637">
        <w:rPr>
          <w:rFonts w:cs="Arial"/>
        </w:rPr>
        <w:t>(the “202</w:t>
      </w:r>
      <w:r w:rsidR="00B613A6">
        <w:rPr>
          <w:rFonts w:cs="Arial"/>
        </w:rPr>
        <w:t>5</w:t>
      </w:r>
      <w:r w:rsidR="00EA5637">
        <w:rPr>
          <w:rFonts w:cs="Arial"/>
        </w:rPr>
        <w:t xml:space="preserve"> NL Annual Report”); and</w:t>
      </w:r>
    </w:p>
    <w:p w14:paraId="2807FA6D" w14:textId="77777777" w:rsidR="00E04B78" w:rsidRDefault="00E04B78" w:rsidP="003D028D">
      <w:pPr>
        <w:spacing w:line="240" w:lineRule="auto"/>
        <w:contextualSpacing/>
      </w:pPr>
    </w:p>
    <w:p w14:paraId="551EE710" w14:textId="277B9C52" w:rsidR="00E04B78" w:rsidRPr="00667757" w:rsidRDefault="00E04B78" w:rsidP="003D028D">
      <w:pPr>
        <w:spacing w:line="240" w:lineRule="auto"/>
        <w:contextualSpacing/>
        <w:rPr>
          <w:rFonts w:cs="Arial"/>
        </w:rPr>
      </w:pPr>
      <w:r w:rsidRPr="00667757">
        <w:rPr>
          <w:rFonts w:cs="Arial"/>
        </w:rPr>
        <w:t xml:space="preserve">The </w:t>
      </w:r>
      <w:r w:rsidR="00DE7339" w:rsidRPr="00667757">
        <w:rPr>
          <w:rFonts w:cs="Arial"/>
        </w:rPr>
        <w:t>20</w:t>
      </w:r>
      <w:r w:rsidR="00352380" w:rsidRPr="00667757">
        <w:rPr>
          <w:rFonts w:cs="Arial"/>
        </w:rPr>
        <w:t>2</w:t>
      </w:r>
      <w:r w:rsidR="00B613A6">
        <w:rPr>
          <w:rFonts w:cs="Arial"/>
        </w:rPr>
        <w:t>5</w:t>
      </w:r>
      <w:r w:rsidR="005B4434" w:rsidRPr="00667757">
        <w:rPr>
          <w:rFonts w:cs="Arial"/>
        </w:rPr>
        <w:t xml:space="preserve"> </w:t>
      </w:r>
      <w:r w:rsidR="00A55C52" w:rsidRPr="00667757">
        <w:rPr>
          <w:rFonts w:cs="Arial"/>
        </w:rPr>
        <w:t>Annual Report</w:t>
      </w:r>
      <w:r w:rsidRPr="00667757">
        <w:rPr>
          <w:rFonts w:cs="Arial"/>
        </w:rPr>
        <w:t xml:space="preserve"> </w:t>
      </w:r>
      <w:r w:rsidR="00080067" w:rsidRPr="00667757">
        <w:rPr>
          <w:rFonts w:cs="Arial"/>
        </w:rPr>
        <w:t>will be</w:t>
      </w:r>
      <w:r w:rsidRPr="00667757">
        <w:rPr>
          <w:rFonts w:cs="Arial"/>
        </w:rPr>
        <w:t xml:space="preserve"> submitted to the National Storage Mechanism</w:t>
      </w:r>
      <w:r w:rsidR="00DF4D3C">
        <w:rPr>
          <w:rFonts w:cs="Arial"/>
        </w:rPr>
        <w:t xml:space="preserve"> today</w:t>
      </w:r>
      <w:r w:rsidRPr="00667757">
        <w:rPr>
          <w:rFonts w:cs="Arial"/>
        </w:rPr>
        <w:t xml:space="preserve"> and </w:t>
      </w:r>
      <w:r w:rsidR="00CD75F8">
        <w:rPr>
          <w:rFonts w:cs="Arial"/>
        </w:rPr>
        <w:t xml:space="preserve">will shortly </w:t>
      </w:r>
      <w:r w:rsidRPr="00667757">
        <w:rPr>
          <w:rFonts w:cs="Arial"/>
        </w:rPr>
        <w:t>be available for inspection a</w:t>
      </w:r>
      <w:r w:rsidR="00CD75F8">
        <w:rPr>
          <w:rFonts w:cs="Arial"/>
        </w:rPr>
        <w:t>t</w:t>
      </w:r>
      <w:r w:rsidR="00352380" w:rsidRPr="00667757">
        <w:rPr>
          <w:rFonts w:cs="Arial"/>
        </w:rPr>
        <w:t xml:space="preserve"> </w:t>
      </w:r>
      <w:hyperlink r:id="rId13" w:anchor="/nsm/nationalstoragemechanism" w:history="1">
        <w:r w:rsidR="00352380" w:rsidRPr="00667757">
          <w:rPr>
            <w:rStyle w:val="Hyperlink"/>
          </w:rPr>
          <w:t>https://data.fca.org.uk/#/nsm/nationalstoragemechanism</w:t>
        </w:r>
      </w:hyperlink>
      <w:r w:rsidR="00352380" w:rsidRPr="00667757">
        <w:rPr>
          <w:rFonts w:cs="Arial"/>
        </w:rPr>
        <w:t>.</w:t>
      </w:r>
      <w:r w:rsidR="0092313B" w:rsidRPr="00667757">
        <w:rPr>
          <w:rFonts w:cs="Arial"/>
        </w:rPr>
        <w:t xml:space="preserve"> </w:t>
      </w:r>
    </w:p>
    <w:p w14:paraId="1D9324E2" w14:textId="77777777" w:rsidR="00E04B78" w:rsidRPr="00667757" w:rsidRDefault="00E04B78" w:rsidP="003D028D">
      <w:pPr>
        <w:spacing w:line="240" w:lineRule="auto"/>
        <w:contextualSpacing/>
        <w:rPr>
          <w:rFonts w:cs="Arial"/>
        </w:rPr>
      </w:pPr>
    </w:p>
    <w:p w14:paraId="3C979D1B" w14:textId="01168989" w:rsidR="008C71DB" w:rsidRDefault="00E04B78" w:rsidP="008C71DB">
      <w:pPr>
        <w:spacing w:line="240" w:lineRule="auto"/>
        <w:contextualSpacing/>
        <w:rPr>
          <w:rFonts w:cs="Arial"/>
        </w:rPr>
      </w:pPr>
      <w:r w:rsidRPr="00667757">
        <w:rPr>
          <w:rFonts w:cs="Arial"/>
        </w:rPr>
        <w:t xml:space="preserve">The </w:t>
      </w:r>
      <w:r w:rsidR="00923A4D" w:rsidRPr="00667757">
        <w:rPr>
          <w:rFonts w:cs="Arial"/>
        </w:rPr>
        <w:t>20</w:t>
      </w:r>
      <w:r w:rsidR="00352380" w:rsidRPr="00667757">
        <w:rPr>
          <w:rFonts w:cs="Arial"/>
        </w:rPr>
        <w:t>2</w:t>
      </w:r>
      <w:r w:rsidR="00B613A6">
        <w:rPr>
          <w:rFonts w:cs="Arial"/>
        </w:rPr>
        <w:t>5</w:t>
      </w:r>
      <w:r w:rsidR="00923A4D" w:rsidRPr="00667757">
        <w:rPr>
          <w:rFonts w:cs="Arial"/>
        </w:rPr>
        <w:t xml:space="preserve"> Form 20-F</w:t>
      </w:r>
      <w:r w:rsidR="00667757" w:rsidRPr="00667757">
        <w:rPr>
          <w:rFonts w:cs="Arial"/>
        </w:rPr>
        <w:t xml:space="preserve"> </w:t>
      </w:r>
      <w:r w:rsidR="00080067" w:rsidRPr="00667757">
        <w:rPr>
          <w:rFonts w:cs="Arial"/>
        </w:rPr>
        <w:t>will be</w:t>
      </w:r>
      <w:r w:rsidR="00F52B60" w:rsidRPr="00667757">
        <w:rPr>
          <w:rFonts w:cs="Arial"/>
        </w:rPr>
        <w:t xml:space="preserve"> filed</w:t>
      </w:r>
      <w:r w:rsidR="00F52B60">
        <w:rPr>
          <w:rFonts w:cs="Arial"/>
        </w:rPr>
        <w:t xml:space="preserve"> with the </w:t>
      </w:r>
      <w:r w:rsidRPr="00E04B78">
        <w:rPr>
          <w:rFonts w:cs="Arial"/>
        </w:rPr>
        <w:t>U</w:t>
      </w:r>
      <w:r w:rsidR="00923A4D">
        <w:rPr>
          <w:rFonts w:cs="Arial"/>
        </w:rPr>
        <w:t>S</w:t>
      </w:r>
      <w:r w:rsidRPr="00E04B78">
        <w:rPr>
          <w:rFonts w:cs="Arial"/>
        </w:rPr>
        <w:t xml:space="preserve"> Securities and Exchange Commission</w:t>
      </w:r>
      <w:r w:rsidR="00923A4D">
        <w:rPr>
          <w:rFonts w:cs="Arial"/>
        </w:rPr>
        <w:t xml:space="preserve"> (“SEC”) today</w:t>
      </w:r>
      <w:r w:rsidRPr="00E04B78">
        <w:rPr>
          <w:rFonts w:cs="Arial"/>
        </w:rPr>
        <w:t xml:space="preserve"> and will be</w:t>
      </w:r>
      <w:r w:rsidR="00923A4D">
        <w:rPr>
          <w:rFonts w:cs="Arial"/>
        </w:rPr>
        <w:t xml:space="preserve"> available</w:t>
      </w:r>
      <w:r w:rsidRPr="00E04B78">
        <w:rPr>
          <w:rFonts w:cs="Arial"/>
        </w:rPr>
        <w:t xml:space="preserve"> on the </w:t>
      </w:r>
      <w:r w:rsidR="00923A4D">
        <w:rPr>
          <w:rFonts w:cs="Arial"/>
        </w:rPr>
        <w:t>SEC’s</w:t>
      </w:r>
      <w:r w:rsidR="005B4434">
        <w:rPr>
          <w:rFonts w:cs="Arial"/>
        </w:rPr>
        <w:t xml:space="preserve"> </w:t>
      </w:r>
      <w:r w:rsidRPr="00E04B78">
        <w:rPr>
          <w:rFonts w:cs="Arial"/>
        </w:rPr>
        <w:t>website</w:t>
      </w:r>
      <w:r w:rsidR="00923A4D">
        <w:rPr>
          <w:rFonts w:cs="Arial"/>
        </w:rPr>
        <w:t xml:space="preserve"> at </w:t>
      </w:r>
      <w:hyperlink r:id="rId14" w:history="1">
        <w:r w:rsidR="00923A4D" w:rsidRPr="00D62F9C">
          <w:rPr>
            <w:rStyle w:val="Hyperlink"/>
            <w:rFonts w:cs="Arial"/>
          </w:rPr>
          <w:t>www.sec.gov</w:t>
        </w:r>
      </w:hyperlink>
      <w:r w:rsidR="00F52B60">
        <w:rPr>
          <w:rFonts w:cs="Arial"/>
        </w:rPr>
        <w:t xml:space="preserve">. </w:t>
      </w:r>
      <w:r w:rsidR="008C71DB" w:rsidRPr="00E76FB6">
        <w:rPr>
          <w:rFonts w:cs="Arial"/>
        </w:rPr>
        <w:t>Hard copies of the Form 20-F</w:t>
      </w:r>
      <w:r w:rsidR="0011516D">
        <w:rPr>
          <w:rFonts w:cs="Arial"/>
        </w:rPr>
        <w:t>,</w:t>
      </w:r>
      <w:r w:rsidR="008C71DB" w:rsidRPr="00E76FB6">
        <w:rPr>
          <w:rFonts w:cs="Arial"/>
        </w:rPr>
        <w:t xml:space="preserve"> including the Company's audited financial statements</w:t>
      </w:r>
      <w:r w:rsidR="0011516D">
        <w:rPr>
          <w:rFonts w:cs="Arial"/>
        </w:rPr>
        <w:t>,</w:t>
      </w:r>
      <w:r w:rsidR="008C71DB" w:rsidRPr="00E76FB6">
        <w:rPr>
          <w:rFonts w:cs="Arial"/>
        </w:rPr>
        <w:t xml:space="preserve"> are available to any holders of RELX’s securities free of charge upon request</w:t>
      </w:r>
      <w:r w:rsidR="00826A4B">
        <w:rPr>
          <w:rFonts w:cs="Arial"/>
        </w:rPr>
        <w:t xml:space="preserve">. </w:t>
      </w:r>
      <w:r w:rsidR="00826A4B" w:rsidRPr="00826A4B">
        <w:rPr>
          <w:rFonts w:cs="Arial"/>
        </w:rPr>
        <w:t>Requests should be directed to</w:t>
      </w:r>
      <w:r w:rsidR="00826A4B">
        <w:rPr>
          <w:rFonts w:cs="Arial"/>
        </w:rPr>
        <w:t xml:space="preserve"> RELX PLC, Company Secretariat</w:t>
      </w:r>
      <w:r w:rsidR="008C71DB" w:rsidRPr="00E76FB6">
        <w:rPr>
          <w:rFonts w:cs="Arial"/>
        </w:rPr>
        <w:t xml:space="preserve">, 1-3 Strand, London WC2N 5JR or </w:t>
      </w:r>
      <w:r w:rsidR="00826A4B">
        <w:rPr>
          <w:rFonts w:cs="Arial"/>
        </w:rPr>
        <w:t>to</w:t>
      </w:r>
      <w:r w:rsidR="008C71DB" w:rsidRPr="00E76FB6">
        <w:rPr>
          <w:rFonts w:cs="Arial"/>
        </w:rPr>
        <w:t> </w:t>
      </w:r>
      <w:hyperlink r:id="rId15" w:tgtFrame="_blank" w:history="1">
        <w:r w:rsidR="008C71DB" w:rsidRPr="00E76FB6">
          <w:rPr>
            <w:rStyle w:val="Hyperlink"/>
            <w:rFonts w:cs="Arial"/>
          </w:rPr>
          <w:t>company.secretariat@relx.com</w:t>
        </w:r>
      </w:hyperlink>
      <w:r w:rsidR="008C71DB" w:rsidRPr="00E76FB6">
        <w:rPr>
          <w:rFonts w:cs="Arial"/>
        </w:rPr>
        <w:t>.</w:t>
      </w:r>
    </w:p>
    <w:p w14:paraId="2BB6AD3B" w14:textId="1F72F94A" w:rsidR="008C71DB" w:rsidRDefault="008C71DB" w:rsidP="003D028D">
      <w:pPr>
        <w:spacing w:line="240" w:lineRule="auto"/>
        <w:contextualSpacing/>
        <w:rPr>
          <w:rFonts w:cs="Arial"/>
        </w:rPr>
      </w:pPr>
    </w:p>
    <w:p w14:paraId="6110693F" w14:textId="1CF0C2E6" w:rsidR="00E04B78" w:rsidRPr="00E04B78" w:rsidRDefault="00074753" w:rsidP="003D028D">
      <w:pPr>
        <w:spacing w:line="240" w:lineRule="auto"/>
        <w:contextualSpacing/>
        <w:rPr>
          <w:rFonts w:cs="Arial"/>
        </w:rPr>
      </w:pPr>
      <w:r>
        <w:rPr>
          <w:rFonts w:cs="Arial"/>
        </w:rPr>
        <w:t>The 202</w:t>
      </w:r>
      <w:r w:rsidR="00B613A6">
        <w:rPr>
          <w:rFonts w:cs="Arial"/>
        </w:rPr>
        <w:t>5 N</w:t>
      </w:r>
      <w:r>
        <w:rPr>
          <w:rFonts w:cs="Arial"/>
        </w:rPr>
        <w:t>L Annual Report has been published in accordance with the European Single Electronic Format requirements as in force in the European Union and applicable to RELX by virtue of its listing on Euronext Amsterdam</w:t>
      </w:r>
      <w:r w:rsidR="009B7F5B">
        <w:rPr>
          <w:rFonts w:cs="Arial"/>
        </w:rPr>
        <w:t xml:space="preserve"> and will be </w:t>
      </w:r>
      <w:r w:rsidRPr="000E0477">
        <w:rPr>
          <w:rFonts w:cs="Calibri"/>
          <w:color w:val="000000"/>
          <w:shd w:val="clear" w:color="auto" w:fill="FFFFFF"/>
        </w:rPr>
        <w:t>submitted to the Dutch Authority for the Financial Markets</w:t>
      </w:r>
      <w:r w:rsidR="0063758D">
        <w:rPr>
          <w:rFonts w:cs="Calibri"/>
          <w:color w:val="000000"/>
          <w:shd w:val="clear" w:color="auto" w:fill="FFFFFF"/>
        </w:rPr>
        <w:t xml:space="preserve"> (</w:t>
      </w:r>
      <w:r w:rsidR="008E6ED9">
        <w:rPr>
          <w:rFonts w:cs="Calibri"/>
          <w:color w:val="000000"/>
          <w:shd w:val="clear" w:color="auto" w:fill="FFFFFF"/>
        </w:rPr>
        <w:t>“</w:t>
      </w:r>
      <w:r w:rsidR="0063758D">
        <w:rPr>
          <w:rFonts w:cs="Calibri"/>
          <w:color w:val="000000"/>
          <w:shd w:val="clear" w:color="auto" w:fill="FFFFFF"/>
        </w:rPr>
        <w:t>AFM</w:t>
      </w:r>
      <w:r w:rsidR="008E6ED9">
        <w:rPr>
          <w:rFonts w:cs="Calibri"/>
          <w:color w:val="000000"/>
          <w:shd w:val="clear" w:color="auto" w:fill="FFFFFF"/>
        </w:rPr>
        <w:t>”</w:t>
      </w:r>
      <w:r w:rsidR="0063758D">
        <w:rPr>
          <w:rFonts w:cs="Calibri"/>
          <w:color w:val="000000"/>
          <w:shd w:val="clear" w:color="auto" w:fill="FFFFFF"/>
        </w:rPr>
        <w:t>)</w:t>
      </w:r>
      <w:r w:rsidRPr="000E0477">
        <w:rPr>
          <w:rFonts w:cs="Calibri"/>
          <w:color w:val="000000"/>
          <w:shd w:val="clear" w:color="auto" w:fill="FFFFFF"/>
        </w:rPr>
        <w:t>.</w:t>
      </w:r>
      <w:r w:rsidR="0063758D">
        <w:rPr>
          <w:rFonts w:cs="Calibri"/>
          <w:color w:val="000000"/>
          <w:shd w:val="clear" w:color="auto" w:fill="FFFFFF"/>
        </w:rPr>
        <w:t xml:space="preserve"> The AFM publishes the </w:t>
      </w:r>
      <w:r w:rsidR="0022064E">
        <w:rPr>
          <w:rFonts w:cs="Calibri"/>
          <w:color w:val="000000"/>
          <w:shd w:val="clear" w:color="auto" w:fill="FFFFFF"/>
        </w:rPr>
        <w:t>report in its public register.</w:t>
      </w:r>
    </w:p>
    <w:p w14:paraId="2FC2483E" w14:textId="6367D59A" w:rsidR="00E506D0" w:rsidRPr="00E04B78" w:rsidRDefault="00E506D0" w:rsidP="003D028D">
      <w:pPr>
        <w:spacing w:line="240" w:lineRule="auto"/>
        <w:contextualSpacing/>
        <w:rPr>
          <w:rFonts w:cs="Arial"/>
        </w:rPr>
      </w:pPr>
    </w:p>
    <w:p w14:paraId="6FACF5D0" w14:textId="447F9B07" w:rsidR="00E04B78" w:rsidRPr="00E04B78" w:rsidRDefault="009E61DD" w:rsidP="003D028D">
      <w:pPr>
        <w:spacing w:line="240" w:lineRule="auto"/>
        <w:contextualSpacing/>
        <w:rPr>
          <w:rFonts w:cs="Arial"/>
        </w:rPr>
      </w:pPr>
      <w:r w:rsidRPr="00E04B78">
        <w:rPr>
          <w:rFonts w:cs="Arial"/>
        </w:rPr>
        <w:t xml:space="preserve">The total number of voting rights in </w:t>
      </w:r>
      <w:r w:rsidR="00563118">
        <w:rPr>
          <w:rFonts w:cs="Arial"/>
        </w:rPr>
        <w:t>RELX</w:t>
      </w:r>
      <w:r w:rsidRPr="00E04B78">
        <w:rPr>
          <w:rFonts w:cs="Arial"/>
        </w:rPr>
        <w:t xml:space="preserve"> PLC’s issued share capital (exclusive of shares held in treasury) is currently</w:t>
      </w:r>
      <w:r w:rsidR="00074753">
        <w:rPr>
          <w:rFonts w:cs="Arial"/>
        </w:rPr>
        <w:t xml:space="preserve"> </w:t>
      </w:r>
      <w:r w:rsidR="006E6E17" w:rsidRPr="006E6E17">
        <w:rPr>
          <w:rFonts w:cs="Arial"/>
        </w:rPr>
        <w:t>1,812,039,253</w:t>
      </w:r>
      <w:r w:rsidR="00135A29" w:rsidRPr="00104E38">
        <w:rPr>
          <w:rFonts w:cs="Arial"/>
        </w:rPr>
        <w:t>.</w:t>
      </w:r>
      <w:r w:rsidR="004E2F2F">
        <w:rPr>
          <w:rFonts w:cs="Arial"/>
        </w:rPr>
        <w:t xml:space="preserve"> </w:t>
      </w:r>
    </w:p>
    <w:p w14:paraId="595F16A9" w14:textId="77777777" w:rsidR="00F7228F" w:rsidRDefault="00F7228F" w:rsidP="003D028D">
      <w:pPr>
        <w:spacing w:line="240" w:lineRule="auto"/>
        <w:contextualSpacing/>
        <w:rPr>
          <w:rFonts w:cs="Arial"/>
          <w:b/>
        </w:rPr>
      </w:pPr>
    </w:p>
    <w:p w14:paraId="07C7D016" w14:textId="35A42355" w:rsidR="001D470C" w:rsidRPr="00631A65" w:rsidRDefault="001D470C" w:rsidP="003D028D">
      <w:pPr>
        <w:spacing w:after="0" w:line="240" w:lineRule="auto"/>
        <w:contextualSpacing/>
        <w:rPr>
          <w:rFonts w:cs="HelveticaNeueLTStd-Bd"/>
          <w:b/>
          <w:bCs/>
        </w:rPr>
      </w:pPr>
      <w:r w:rsidRPr="00631A65">
        <w:rPr>
          <w:rFonts w:cs="HelveticaNeueLTStd-Bd"/>
          <w:b/>
          <w:bCs/>
        </w:rPr>
        <w:t>Forward-looking statements</w:t>
      </w:r>
    </w:p>
    <w:p w14:paraId="4E63E534" w14:textId="79ABFCAE" w:rsidR="00631A65" w:rsidRDefault="00631A65" w:rsidP="003D028D">
      <w:pPr>
        <w:spacing w:after="0" w:line="240" w:lineRule="auto"/>
        <w:contextualSpacing/>
        <w:rPr>
          <w:rFonts w:cs="HelveticaNeueLTStd-Bd"/>
        </w:rPr>
      </w:pPr>
      <w:r w:rsidRPr="00631A65">
        <w:rPr>
          <w:rStyle w:val="ax"/>
          <w:rFonts w:eastAsia="Times New Roman" w:cs="Arial"/>
          <w:lang w:eastAsia="en-GB"/>
        </w:rPr>
        <w:t>The 202</w:t>
      </w:r>
      <w:r>
        <w:rPr>
          <w:rStyle w:val="ax"/>
          <w:rFonts w:eastAsia="Times New Roman" w:cs="Arial"/>
          <w:lang w:eastAsia="en-GB"/>
        </w:rPr>
        <w:t>5</w:t>
      </w:r>
      <w:r w:rsidRPr="00631A65">
        <w:rPr>
          <w:rStyle w:val="ax"/>
          <w:rFonts w:eastAsia="Times New Roman" w:cs="Arial"/>
          <w:lang w:eastAsia="en-GB"/>
        </w:rPr>
        <w:t xml:space="preserve"> Annual Report and the 202</w:t>
      </w:r>
      <w:r>
        <w:rPr>
          <w:rStyle w:val="ax"/>
          <w:rFonts w:eastAsia="Times New Roman" w:cs="Arial"/>
          <w:lang w:eastAsia="en-GB"/>
        </w:rPr>
        <w:t>5</w:t>
      </w:r>
      <w:r w:rsidRPr="00631A65">
        <w:rPr>
          <w:rStyle w:val="ax"/>
          <w:rFonts w:eastAsia="Times New Roman" w:cs="Arial"/>
          <w:lang w:eastAsia="en-GB"/>
        </w:rPr>
        <w:t xml:space="preserve"> Form 20-F</w:t>
      </w:r>
      <w:r w:rsidRPr="00631A65">
        <w:rPr>
          <w:rFonts w:cs="HelveticaNeueLTStd-Bd"/>
        </w:rPr>
        <w:t xml:space="preserve"> contain forward-looking statements within the meaning of Section 27A of the US Securities Act of 1933, as amended, and Section 21E of the US Securities Exchange Act of 1934, as amended. These statements are subject to risks and uncertainties that could cause actual results or outcomes of RELX PLC (together with its subsidiaries, “RELX”, “we” or “our”) to differ materially from those expressed in any forward-looking statement. We consider any statements that are not historical facts to be “forward-looking statements”. The terms “outlook”, “estimate”, “forecast”, “project”, “plan”, “intend”, “expect”, “should”, “could”, “will”, “believe”, “trends” and similar expressions may indicate a forward-looking statement. Important factors that could cause actual results or outcomes to differ materially from estimates or forecasts contained in the forward-looking statements include, among others: regulatory and other changes regarding the collection or use of personal data; changes in law and legal interpretation affecting our intellectual property rights and internet communications; current and future geopolitical, economic and market conditions; research integrity issues or changes in the payment model for our scientific, technical and medical research products; competitive factors in the industries in which we operate and demand for our products and services; our </w:t>
      </w:r>
      <w:r w:rsidRPr="00631A65">
        <w:rPr>
          <w:rFonts w:cs="HelveticaNeueLTStd-Bd"/>
        </w:rPr>
        <w:lastRenderedPageBreak/>
        <w:t xml:space="preserve">inability to realise the future anticipated benefits of acquisitions; compromises of our cybersecurity systems or other unauthorised access to our databases; changes in economic cycles, trading relations, communicable disease epidemics or pandemics, severe weather events, natural disasters and terrorism; failure of third parties to whom we have outsourced business activities; significant failure or interruption of our systems; our inability to retain high-quality employees and management; changes in tax laws and uncertainty in their application; exchange rate fluctuations; adverse market conditions or downgrades to the credit ratings of our debt; changes in the market values of defined benefit pension scheme assets and in the market related assumptions used to value scheme liabilities; breaches of generally accepted ethical business standards or applicable laws; and other risks referenced from time to time in the filings of RELX PLC with the US Securities and Exchange Commission. You should not place undue reliance on these forward-looking statements, which speak only as of the date of </w:t>
      </w:r>
      <w:r w:rsidRPr="00631A65">
        <w:rPr>
          <w:rFonts w:eastAsia="Times New Roman" w:cs="Arial"/>
          <w:lang w:eastAsia="en-GB"/>
        </w:rPr>
        <w:t>the 202</w:t>
      </w:r>
      <w:r>
        <w:rPr>
          <w:rFonts w:eastAsia="Times New Roman" w:cs="Arial"/>
          <w:lang w:eastAsia="en-GB"/>
        </w:rPr>
        <w:t>5</w:t>
      </w:r>
      <w:r w:rsidRPr="00631A65">
        <w:rPr>
          <w:rFonts w:eastAsia="Times New Roman" w:cs="Arial"/>
          <w:lang w:eastAsia="en-GB"/>
        </w:rPr>
        <w:t xml:space="preserve"> Annual Report and the 202</w:t>
      </w:r>
      <w:r>
        <w:rPr>
          <w:rFonts w:eastAsia="Times New Roman" w:cs="Arial"/>
          <w:lang w:eastAsia="en-GB"/>
        </w:rPr>
        <w:t>5</w:t>
      </w:r>
      <w:r w:rsidRPr="00631A65">
        <w:rPr>
          <w:rFonts w:eastAsia="Times New Roman" w:cs="Arial"/>
          <w:lang w:eastAsia="en-GB"/>
        </w:rPr>
        <w:t xml:space="preserve"> Form 20-F</w:t>
      </w:r>
      <w:r w:rsidRPr="00631A65">
        <w:rPr>
          <w:rFonts w:cs="HelveticaNeueLTStd-Bd"/>
        </w:rPr>
        <w:t xml:space="preserve">. Except as may be required by law, we undertake no obligation to publicly update or release any revisions to these forward-looking statements to reflect events or circumstances after the date of </w:t>
      </w:r>
      <w:r w:rsidRPr="00631A65">
        <w:rPr>
          <w:rFonts w:eastAsia="Times New Roman" w:cs="Arial"/>
          <w:lang w:eastAsia="en-GB"/>
        </w:rPr>
        <w:t>the 202</w:t>
      </w:r>
      <w:r>
        <w:rPr>
          <w:rFonts w:eastAsia="Times New Roman" w:cs="Arial"/>
          <w:lang w:eastAsia="en-GB"/>
        </w:rPr>
        <w:t>5</w:t>
      </w:r>
      <w:r w:rsidRPr="00631A65">
        <w:rPr>
          <w:rFonts w:eastAsia="Times New Roman" w:cs="Arial"/>
          <w:lang w:eastAsia="en-GB"/>
        </w:rPr>
        <w:t xml:space="preserve"> Annual Report and the 202</w:t>
      </w:r>
      <w:r>
        <w:rPr>
          <w:rFonts w:eastAsia="Times New Roman" w:cs="Arial"/>
          <w:lang w:eastAsia="en-GB"/>
        </w:rPr>
        <w:t>5</w:t>
      </w:r>
      <w:r w:rsidRPr="00631A65">
        <w:rPr>
          <w:rFonts w:eastAsia="Times New Roman" w:cs="Arial"/>
          <w:lang w:eastAsia="en-GB"/>
        </w:rPr>
        <w:t xml:space="preserve"> Form 20-F</w:t>
      </w:r>
      <w:r w:rsidRPr="00631A65">
        <w:rPr>
          <w:rFonts w:cs="HelveticaNeueLTStd-Bd"/>
        </w:rPr>
        <w:t xml:space="preserve"> or to reflect the occurrence of unanticipated events.</w:t>
      </w:r>
    </w:p>
    <w:p w14:paraId="290A5DE9" w14:textId="77777777" w:rsidR="00631A65" w:rsidRPr="00A64A1A" w:rsidRDefault="00631A65" w:rsidP="003D028D">
      <w:pPr>
        <w:spacing w:after="0" w:line="240" w:lineRule="auto"/>
        <w:contextualSpacing/>
        <w:rPr>
          <w:rFonts w:cs="HelveticaNeueLTStd-Bd"/>
        </w:rPr>
      </w:pPr>
    </w:p>
    <w:p w14:paraId="49C31F04" w14:textId="77777777" w:rsidR="00740993" w:rsidRPr="00A1782B" w:rsidRDefault="00CA68DC" w:rsidP="003D028D">
      <w:pPr>
        <w:spacing w:after="0" w:line="240" w:lineRule="auto"/>
        <w:contextualSpacing/>
      </w:pPr>
      <w:r w:rsidRPr="00E04B78">
        <w:t xml:space="preserve">- ENDS </w:t>
      </w:r>
      <w:r w:rsidR="00A83BA3" w:rsidRPr="00E04B78">
        <w:t>–</w:t>
      </w:r>
    </w:p>
    <w:p w14:paraId="5D89C9C6" w14:textId="77777777" w:rsidR="008B4BCC" w:rsidRPr="0026418F" w:rsidRDefault="008B4BCC" w:rsidP="003D028D">
      <w:pPr>
        <w:pStyle w:val="NoSpacing"/>
        <w:spacing w:before="120" w:after="120"/>
        <w:rPr>
          <w:b/>
          <w:bCs/>
        </w:rPr>
      </w:pPr>
      <w:r w:rsidRPr="00DD6A73">
        <w:rPr>
          <w:b/>
          <w:bCs/>
        </w:rPr>
        <w:t>Enquiries</w:t>
      </w:r>
    </w:p>
    <w:p w14:paraId="0A0E8B4C" w14:textId="77777777" w:rsidR="008B4BCC" w:rsidRDefault="002F3247" w:rsidP="003D028D">
      <w:pPr>
        <w:spacing w:after="0" w:line="240" w:lineRule="auto"/>
        <w:contextualSpacing/>
      </w:pPr>
      <w:r>
        <w:t>Paul Abrahams</w:t>
      </w:r>
      <w:r w:rsidR="008B4BCC" w:rsidRPr="00DD6A73">
        <w:t xml:space="preserve"> (Media)</w:t>
      </w:r>
      <w:r w:rsidR="008B4BCC" w:rsidRPr="00DD6A73">
        <w:br/>
        <w:t>Tel: +44 20 7166 5</w:t>
      </w:r>
      <w:r>
        <w:t>724</w:t>
      </w:r>
    </w:p>
    <w:p w14:paraId="6B029855" w14:textId="77777777" w:rsidR="008B4BCC" w:rsidRPr="0029078A" w:rsidRDefault="00035BD1" w:rsidP="003D028D">
      <w:pPr>
        <w:spacing w:after="0" w:line="240" w:lineRule="auto"/>
        <w:contextualSpacing/>
        <w:rPr>
          <w:rFonts w:cs="Calibri"/>
        </w:rPr>
      </w:pPr>
      <w:hyperlink r:id="rId16" w:history="1">
        <w:r w:rsidRPr="0029078A">
          <w:rPr>
            <w:rStyle w:val="Hyperlink"/>
            <w:rFonts w:cs="Calibri"/>
          </w:rPr>
          <w:t>paul.abrahams@relx.com</w:t>
        </w:r>
      </w:hyperlink>
    </w:p>
    <w:p w14:paraId="5D9AD7C8" w14:textId="77777777" w:rsidR="00035BD1" w:rsidRPr="0029078A" w:rsidRDefault="00035BD1" w:rsidP="003D028D">
      <w:pPr>
        <w:spacing w:after="0" w:line="240" w:lineRule="auto"/>
        <w:contextualSpacing/>
        <w:rPr>
          <w:rFonts w:cs="Calibri"/>
        </w:rPr>
      </w:pPr>
    </w:p>
    <w:p w14:paraId="4E3CF500" w14:textId="186278AE" w:rsidR="00B613A6" w:rsidRPr="00B613A6" w:rsidRDefault="00B613A6" w:rsidP="00B613A6">
      <w:pPr>
        <w:spacing w:after="0" w:line="240" w:lineRule="auto"/>
        <w:contextualSpacing/>
        <w:rPr>
          <w:b/>
          <w:bCs/>
        </w:rPr>
      </w:pPr>
      <w:r>
        <w:t>Paul Sullivan</w:t>
      </w:r>
      <w:r w:rsidR="008B4BCC">
        <w:t xml:space="preserve"> (Investors)</w:t>
      </w:r>
    </w:p>
    <w:p w14:paraId="118EC01E" w14:textId="77777777" w:rsidR="008B4BCC" w:rsidRDefault="008B4BCC" w:rsidP="003D028D">
      <w:pPr>
        <w:spacing w:after="0" w:line="240" w:lineRule="auto"/>
        <w:contextualSpacing/>
      </w:pPr>
      <w:r>
        <w:t xml:space="preserve">Tel: +44 20 7166 </w:t>
      </w:r>
      <w:r w:rsidRPr="008B4BCC">
        <w:t>5751</w:t>
      </w:r>
    </w:p>
    <w:p w14:paraId="69E8E690" w14:textId="5C8A0519" w:rsidR="00035BD1" w:rsidRDefault="00B613A6" w:rsidP="003D028D">
      <w:pPr>
        <w:pStyle w:val="NoSpacing"/>
        <w:contextualSpacing/>
      </w:pPr>
      <w:hyperlink r:id="rId17" w:history="1">
        <w:r w:rsidRPr="00841353">
          <w:rPr>
            <w:rStyle w:val="Hyperlink"/>
          </w:rPr>
          <w:t>paul.sullivan@relx.com</w:t>
        </w:r>
      </w:hyperlink>
    </w:p>
    <w:p w14:paraId="400509F2" w14:textId="77777777" w:rsidR="00B613A6" w:rsidRPr="0029078A" w:rsidRDefault="00B613A6" w:rsidP="003D028D">
      <w:pPr>
        <w:pStyle w:val="NoSpacing"/>
        <w:contextualSpacing/>
        <w:rPr>
          <w:rFonts w:eastAsia="Times New Roman" w:cs="Calibri"/>
          <w:b/>
          <w:bCs/>
          <w:kern w:val="20"/>
          <w:sz w:val="20"/>
          <w:szCs w:val="20"/>
          <w:lang w:eastAsia="en-GB"/>
        </w:rPr>
      </w:pPr>
    </w:p>
    <w:p w14:paraId="26E21508" w14:textId="77777777" w:rsidR="00ED79A9" w:rsidRPr="00FB1F11" w:rsidRDefault="00ED79A9" w:rsidP="003D028D">
      <w:pPr>
        <w:pStyle w:val="RE04Maintext10ptsubheading"/>
        <w:rPr>
          <w:rFonts w:cs="Calibri"/>
        </w:rPr>
      </w:pPr>
      <w:r w:rsidRPr="00FB1F11">
        <w:rPr>
          <w:rFonts w:cs="Calibri"/>
        </w:rPr>
        <w:t xml:space="preserve">Notes for Editors </w:t>
      </w:r>
    </w:p>
    <w:p w14:paraId="5531BB9F" w14:textId="77777777" w:rsidR="00402941" w:rsidRDefault="00402941" w:rsidP="003D028D">
      <w:pPr>
        <w:spacing w:after="0" w:line="240" w:lineRule="auto"/>
        <w:rPr>
          <w:b/>
          <w:bCs/>
        </w:rPr>
      </w:pPr>
    </w:p>
    <w:p w14:paraId="4A4D8AE7" w14:textId="3AF49CD7" w:rsidR="00C8695A" w:rsidRPr="00C8695A" w:rsidRDefault="00C8695A" w:rsidP="003D028D">
      <w:pPr>
        <w:spacing w:after="0" w:line="240" w:lineRule="auto"/>
        <w:rPr>
          <w:b/>
          <w:bCs/>
        </w:rPr>
      </w:pPr>
      <w:r w:rsidRPr="00C8695A">
        <w:rPr>
          <w:b/>
          <w:bCs/>
        </w:rPr>
        <w:t xml:space="preserve">About RELX </w:t>
      </w:r>
    </w:p>
    <w:p w14:paraId="6E1F4D6D" w14:textId="3EEF17AD" w:rsidR="00402941" w:rsidRPr="00D82F38" w:rsidRDefault="00402941" w:rsidP="00402941">
      <w:pPr>
        <w:spacing w:after="0" w:line="240" w:lineRule="auto"/>
      </w:pPr>
      <w:r w:rsidRPr="00D82F38">
        <w:t>RELX is a global provider of information-based analytics and decision tools for professional and business customers. RELX serves customers in more than 180 countries and territories and has offices in about 40 countries. It employs more than 3</w:t>
      </w:r>
      <w:r w:rsidR="00D82F38" w:rsidRPr="00D82F38">
        <w:t>7</w:t>
      </w:r>
      <w:r w:rsidRPr="00D82F38">
        <w:t>,000 people</w:t>
      </w:r>
      <w:r w:rsidR="00CC64DA">
        <w:t xml:space="preserve">, around </w:t>
      </w:r>
      <w:r w:rsidRPr="00D82F38">
        <w:t>40% of whom are in North America.</w:t>
      </w:r>
    </w:p>
    <w:p w14:paraId="35EC07D1" w14:textId="77777777" w:rsidR="00402941" w:rsidRPr="00D82F38" w:rsidRDefault="00402941" w:rsidP="00402941">
      <w:pPr>
        <w:spacing w:after="0" w:line="240" w:lineRule="auto"/>
      </w:pPr>
    </w:p>
    <w:p w14:paraId="41EA4EF3" w14:textId="5526AA75" w:rsidR="00402941" w:rsidRPr="00402941" w:rsidRDefault="00402941" w:rsidP="00402941">
      <w:pPr>
        <w:spacing w:after="0" w:line="240" w:lineRule="auto"/>
      </w:pPr>
      <w:r w:rsidRPr="00D82F38">
        <w:t>The shares of RELX PLC, the parent company, are traded on the London, Amsterdam and New York stock exchanges using the following</w:t>
      </w:r>
      <w:r w:rsidRPr="00EF566E">
        <w:t xml:space="preserve"> ticker symbols: London: REL; Amsterdam: REN; New York: RELX. The market capitalisation is approx</w:t>
      </w:r>
      <w:r w:rsidRPr="000252C9">
        <w:t>imately £</w:t>
      </w:r>
      <w:r w:rsidR="000252C9" w:rsidRPr="000252C9">
        <w:t>40</w:t>
      </w:r>
      <w:r w:rsidR="008733D2" w:rsidRPr="000252C9">
        <w:t>bn/€</w:t>
      </w:r>
      <w:r w:rsidR="00D82F38" w:rsidRPr="000252C9">
        <w:t>4</w:t>
      </w:r>
      <w:r w:rsidR="000252C9" w:rsidRPr="000252C9">
        <w:t>6</w:t>
      </w:r>
      <w:r w:rsidR="008733D2" w:rsidRPr="000252C9">
        <w:t>bn/$</w:t>
      </w:r>
      <w:r w:rsidR="00D82F38" w:rsidRPr="000252C9">
        <w:t>5</w:t>
      </w:r>
      <w:r w:rsidR="000252C9" w:rsidRPr="000252C9">
        <w:t>5</w:t>
      </w:r>
      <w:r w:rsidR="008733D2" w:rsidRPr="000252C9">
        <w:t>bn</w:t>
      </w:r>
      <w:r w:rsidR="00640BDE" w:rsidRPr="000252C9">
        <w:t>.</w:t>
      </w:r>
    </w:p>
    <w:p w14:paraId="14B2A3AF" w14:textId="77777777" w:rsidR="007B4E93" w:rsidRPr="00636D85" w:rsidRDefault="007B4E93" w:rsidP="003D028D">
      <w:pPr>
        <w:spacing w:after="0" w:line="240" w:lineRule="auto"/>
      </w:pPr>
      <w:r w:rsidRPr="00636D85">
        <w:t xml:space="preserve"> </w:t>
      </w:r>
    </w:p>
    <w:p w14:paraId="243E2A0C" w14:textId="77777777" w:rsidR="00C8695A" w:rsidRPr="00C8695A" w:rsidRDefault="00C8695A" w:rsidP="003D028D">
      <w:pPr>
        <w:spacing w:after="0" w:line="240" w:lineRule="auto"/>
      </w:pPr>
      <w:r w:rsidRPr="00C8695A">
        <w:t xml:space="preserve">*Note: Current market capitalisation can be found at </w:t>
      </w:r>
      <w:hyperlink r:id="rId18" w:history="1">
        <w:r w:rsidRPr="00C8695A">
          <w:rPr>
            <w:color w:val="0563C1"/>
            <w:u w:val="single"/>
          </w:rPr>
          <w:t>http://www.relx.com/investorcentre</w:t>
        </w:r>
      </w:hyperlink>
      <w:r w:rsidRPr="00C8695A">
        <w:t xml:space="preserve"> </w:t>
      </w:r>
    </w:p>
    <w:p w14:paraId="7FDFCE0B" w14:textId="77777777" w:rsidR="00ED79A9" w:rsidRDefault="00ED79A9" w:rsidP="003D028D">
      <w:pPr>
        <w:pStyle w:val="RE06aMaintext10pt"/>
      </w:pPr>
    </w:p>
    <w:p w14:paraId="47F08B55" w14:textId="77777777" w:rsidR="00E76679" w:rsidRPr="00FB1F11" w:rsidRDefault="00E76679" w:rsidP="003D028D">
      <w:pPr>
        <w:pStyle w:val="RE06aMaintext10pt"/>
      </w:pPr>
    </w:p>
    <w:tbl>
      <w:tblPr>
        <w:tblW w:w="0" w:type="auto"/>
        <w:tblInd w:w="108" w:type="dxa"/>
        <w:tblLook w:val="04A0" w:firstRow="1" w:lastRow="0" w:firstColumn="1" w:lastColumn="0" w:noHBand="0" w:noVBand="1"/>
      </w:tblPr>
      <w:tblGrid>
        <w:gridCol w:w="4745"/>
        <w:gridCol w:w="4665"/>
      </w:tblGrid>
      <w:tr w:rsidR="00ED79A9" w:rsidRPr="00067F46" w14:paraId="70F14D35" w14:textId="77777777" w:rsidTr="005C25AC">
        <w:tc>
          <w:tcPr>
            <w:tcW w:w="4745" w:type="dxa"/>
          </w:tcPr>
          <w:p w14:paraId="721E2826" w14:textId="77777777" w:rsidR="00ED79A9" w:rsidRPr="00EC7653" w:rsidRDefault="00ED79A9" w:rsidP="003D028D">
            <w:pPr>
              <w:pStyle w:val="RE06aMaintext10pt"/>
              <w:rPr>
                <w:b/>
                <w:sz w:val="22"/>
                <w:szCs w:val="22"/>
              </w:rPr>
            </w:pPr>
            <w:r w:rsidRPr="00EC7653">
              <w:rPr>
                <w:b/>
                <w:sz w:val="22"/>
                <w:szCs w:val="22"/>
              </w:rPr>
              <w:t>RELX PLC</w:t>
            </w:r>
          </w:p>
          <w:p w14:paraId="09F725B4" w14:textId="77777777" w:rsidR="00ED79A9" w:rsidRPr="00EC7653" w:rsidRDefault="00ED79A9" w:rsidP="003D028D">
            <w:pPr>
              <w:pStyle w:val="RE06aMaintext10pt"/>
              <w:rPr>
                <w:sz w:val="22"/>
                <w:szCs w:val="22"/>
              </w:rPr>
            </w:pPr>
            <w:r w:rsidRPr="00EC7653">
              <w:rPr>
                <w:sz w:val="22"/>
                <w:szCs w:val="22"/>
              </w:rPr>
              <w:t>1-3 Strand</w:t>
            </w:r>
          </w:p>
          <w:p w14:paraId="696E3372" w14:textId="77777777" w:rsidR="00ED79A9" w:rsidRPr="00EC7653" w:rsidRDefault="00ED79A9" w:rsidP="003D028D">
            <w:pPr>
              <w:pStyle w:val="RE06aMaintext10pt"/>
              <w:rPr>
                <w:sz w:val="22"/>
                <w:szCs w:val="22"/>
              </w:rPr>
            </w:pPr>
            <w:r w:rsidRPr="00EC7653">
              <w:rPr>
                <w:sz w:val="22"/>
                <w:szCs w:val="22"/>
              </w:rPr>
              <w:t>London WC2N 5JR</w:t>
            </w:r>
          </w:p>
          <w:p w14:paraId="43B87A13" w14:textId="77777777" w:rsidR="00ED79A9" w:rsidRPr="00EC7653" w:rsidRDefault="00ED79A9" w:rsidP="003D028D">
            <w:pPr>
              <w:pStyle w:val="RE06aMaintext10pt"/>
              <w:rPr>
                <w:sz w:val="22"/>
                <w:szCs w:val="22"/>
              </w:rPr>
            </w:pPr>
            <w:r w:rsidRPr="00EC7653">
              <w:rPr>
                <w:sz w:val="22"/>
                <w:szCs w:val="22"/>
              </w:rPr>
              <w:t>United Kingdom</w:t>
            </w:r>
          </w:p>
          <w:p w14:paraId="173006B1" w14:textId="77777777" w:rsidR="00ED79A9" w:rsidRPr="00FB1F11" w:rsidRDefault="00ED79A9" w:rsidP="003D028D">
            <w:pPr>
              <w:pStyle w:val="RE06aMaintext10pt"/>
            </w:pPr>
          </w:p>
        </w:tc>
        <w:tc>
          <w:tcPr>
            <w:tcW w:w="4665" w:type="dxa"/>
          </w:tcPr>
          <w:p w14:paraId="287D7B56" w14:textId="77777777" w:rsidR="00ED79A9" w:rsidRPr="00260ADC" w:rsidRDefault="00ED79A9" w:rsidP="003D028D">
            <w:pPr>
              <w:pStyle w:val="RE06aMaintext10pt"/>
              <w:rPr>
                <w:b/>
              </w:rPr>
            </w:pPr>
          </w:p>
        </w:tc>
      </w:tr>
    </w:tbl>
    <w:p w14:paraId="742BE895" w14:textId="037F5CBD" w:rsidR="002703B3" w:rsidRPr="00273AA5" w:rsidRDefault="002703B3" w:rsidP="000A0C54">
      <w:pPr>
        <w:pStyle w:val="NoSpacing"/>
        <w:contextualSpacing/>
        <w:rPr>
          <w:rFonts w:cs="Arial"/>
        </w:rPr>
      </w:pPr>
    </w:p>
    <w:sectPr w:rsidR="002703B3" w:rsidRPr="00273AA5" w:rsidSect="0000679C">
      <w:headerReference w:type="default" r:id="rId19"/>
      <w:footerReference w:type="default" r:id="rId20"/>
      <w:headerReference w:type="first" r:id="rId21"/>
      <w:footerReference w:type="first" r:id="rId22"/>
      <w:pgSz w:w="12240" w:h="15840"/>
      <w:pgMar w:top="1134" w:right="1361" w:bottom="1021"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619A" w14:textId="77777777" w:rsidR="00B45BD2" w:rsidRDefault="00B45BD2">
      <w:pPr>
        <w:spacing w:after="0" w:line="240" w:lineRule="auto"/>
      </w:pPr>
      <w:r>
        <w:separator/>
      </w:r>
    </w:p>
  </w:endnote>
  <w:endnote w:type="continuationSeparator" w:id="0">
    <w:p w14:paraId="756237CE" w14:textId="77777777" w:rsidR="00B45BD2" w:rsidRDefault="00B45BD2">
      <w:pPr>
        <w:spacing w:after="0" w:line="240" w:lineRule="auto"/>
      </w:pPr>
      <w:r>
        <w:continuationSeparator/>
      </w:r>
    </w:p>
  </w:endnote>
  <w:endnote w:type="continuationNotice" w:id="1">
    <w:p w14:paraId="31C52F7C" w14:textId="77777777" w:rsidR="00B45BD2" w:rsidRDefault="00B45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NeueLTStd-B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A9AF" w14:textId="77777777" w:rsidR="00DC58DA" w:rsidRDefault="00DC58DA">
    <w:pPr>
      <w:pStyle w:val="Footer"/>
    </w:pPr>
  </w:p>
  <w:p w14:paraId="410C64C8" w14:textId="77777777" w:rsidR="00517CEA" w:rsidRDefault="00517CEA" w:rsidP="00DC5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CDA6" w14:textId="77777777" w:rsidR="00DC58DA" w:rsidRDefault="00DC58DA">
    <w:pPr>
      <w:pStyle w:val="Footer"/>
    </w:pPr>
  </w:p>
  <w:p w14:paraId="37B64221" w14:textId="77777777" w:rsidR="00517CEA" w:rsidRDefault="00517CEA" w:rsidP="00DC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8790" w14:textId="77777777" w:rsidR="00B45BD2" w:rsidRDefault="00B45BD2">
      <w:pPr>
        <w:spacing w:after="0" w:line="240" w:lineRule="auto"/>
      </w:pPr>
      <w:r>
        <w:separator/>
      </w:r>
    </w:p>
  </w:footnote>
  <w:footnote w:type="continuationSeparator" w:id="0">
    <w:p w14:paraId="6C6E1B1A" w14:textId="77777777" w:rsidR="00B45BD2" w:rsidRDefault="00B45BD2">
      <w:pPr>
        <w:spacing w:after="0" w:line="240" w:lineRule="auto"/>
      </w:pPr>
      <w:r>
        <w:continuationSeparator/>
      </w:r>
    </w:p>
  </w:footnote>
  <w:footnote w:type="continuationNotice" w:id="1">
    <w:p w14:paraId="03EE12F4" w14:textId="77777777" w:rsidR="00B45BD2" w:rsidRDefault="00B45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870" w14:textId="77777777" w:rsidR="00B953B5" w:rsidRDefault="00B953B5">
    <w:pPr>
      <w:pStyle w:val="Header"/>
    </w:pPr>
  </w:p>
  <w:p w14:paraId="16BC516C" w14:textId="77777777" w:rsidR="00B953B5" w:rsidRDefault="00B95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FAC0" w14:textId="77777777" w:rsidR="0000679C" w:rsidRDefault="0000679C" w:rsidP="00547D07">
    <w:pPr>
      <w:pStyle w:val="Header"/>
      <w:tabs>
        <w:tab w:val="clear" w:pos="4680"/>
      </w:tabs>
      <w:rPr>
        <w:b/>
        <w:u w:val="single"/>
      </w:rPr>
    </w:pPr>
  </w:p>
  <w:p w14:paraId="30C2508C" w14:textId="77777777" w:rsidR="00B953B5" w:rsidRPr="009E3EFE" w:rsidRDefault="00B953B5" w:rsidP="00547D07">
    <w:pPr>
      <w:pStyle w:val="Header"/>
      <w:tabs>
        <w:tab w:val="clear" w:pos="4680"/>
      </w:tabs>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7EBE"/>
    <w:multiLevelType w:val="hybridMultilevel"/>
    <w:tmpl w:val="AD1A72A6"/>
    <w:lvl w:ilvl="0" w:tplc="069616B6">
      <w:start w:val="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596930"/>
    <w:multiLevelType w:val="multilevel"/>
    <w:tmpl w:val="2FE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743754">
    <w:abstractNumId w:val="1"/>
  </w:num>
  <w:num w:numId="2" w16cid:durableId="88521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1"/>
  </w:docVars>
  <w:rsids>
    <w:rsidRoot w:val="006E575F"/>
    <w:rsid w:val="000011A0"/>
    <w:rsid w:val="0000679C"/>
    <w:rsid w:val="0001370D"/>
    <w:rsid w:val="000144CB"/>
    <w:rsid w:val="00015B4E"/>
    <w:rsid w:val="00022197"/>
    <w:rsid w:val="000252C9"/>
    <w:rsid w:val="00026353"/>
    <w:rsid w:val="00035BD1"/>
    <w:rsid w:val="0003731F"/>
    <w:rsid w:val="000379E3"/>
    <w:rsid w:val="00041F31"/>
    <w:rsid w:val="000510EA"/>
    <w:rsid w:val="0005175A"/>
    <w:rsid w:val="00060278"/>
    <w:rsid w:val="00061CEB"/>
    <w:rsid w:val="00066E88"/>
    <w:rsid w:val="00070CD9"/>
    <w:rsid w:val="000724BB"/>
    <w:rsid w:val="00074753"/>
    <w:rsid w:val="0007635B"/>
    <w:rsid w:val="00080067"/>
    <w:rsid w:val="00084B4A"/>
    <w:rsid w:val="00087FD8"/>
    <w:rsid w:val="00094683"/>
    <w:rsid w:val="00095074"/>
    <w:rsid w:val="00095094"/>
    <w:rsid w:val="000A0C54"/>
    <w:rsid w:val="000B18BB"/>
    <w:rsid w:val="000B61CF"/>
    <w:rsid w:val="000C5FBF"/>
    <w:rsid w:val="000D0B89"/>
    <w:rsid w:val="000E7592"/>
    <w:rsid w:val="000E76C9"/>
    <w:rsid w:val="000F08CD"/>
    <w:rsid w:val="000F1897"/>
    <w:rsid w:val="00100A41"/>
    <w:rsid w:val="00103483"/>
    <w:rsid w:val="00104E38"/>
    <w:rsid w:val="00110B59"/>
    <w:rsid w:val="00110CC5"/>
    <w:rsid w:val="0011284D"/>
    <w:rsid w:val="0011516D"/>
    <w:rsid w:val="00134262"/>
    <w:rsid w:val="00135A29"/>
    <w:rsid w:val="00140CE2"/>
    <w:rsid w:val="0014504B"/>
    <w:rsid w:val="0015080D"/>
    <w:rsid w:val="001811BF"/>
    <w:rsid w:val="00182B98"/>
    <w:rsid w:val="00186EEA"/>
    <w:rsid w:val="001A0571"/>
    <w:rsid w:val="001A084C"/>
    <w:rsid w:val="001C0730"/>
    <w:rsid w:val="001D2DD3"/>
    <w:rsid w:val="001D470C"/>
    <w:rsid w:val="001E33D9"/>
    <w:rsid w:val="001E421F"/>
    <w:rsid w:val="001F3BF6"/>
    <w:rsid w:val="001F4EB5"/>
    <w:rsid w:val="00202703"/>
    <w:rsid w:val="00203950"/>
    <w:rsid w:val="00207479"/>
    <w:rsid w:val="0022064E"/>
    <w:rsid w:val="00242C21"/>
    <w:rsid w:val="00260ADC"/>
    <w:rsid w:val="00262502"/>
    <w:rsid w:val="00265950"/>
    <w:rsid w:val="002703B3"/>
    <w:rsid w:val="00273AA5"/>
    <w:rsid w:val="00287CB4"/>
    <w:rsid w:val="0029078A"/>
    <w:rsid w:val="00296D48"/>
    <w:rsid w:val="002A0883"/>
    <w:rsid w:val="002A1028"/>
    <w:rsid w:val="002A13B9"/>
    <w:rsid w:val="002A4389"/>
    <w:rsid w:val="002B5B95"/>
    <w:rsid w:val="002C4FFA"/>
    <w:rsid w:val="002C76EA"/>
    <w:rsid w:val="002C7E5F"/>
    <w:rsid w:val="002D35AD"/>
    <w:rsid w:val="002E7010"/>
    <w:rsid w:val="002F160F"/>
    <w:rsid w:val="002F3247"/>
    <w:rsid w:val="00305E4D"/>
    <w:rsid w:val="00312DAB"/>
    <w:rsid w:val="0032529D"/>
    <w:rsid w:val="003261C1"/>
    <w:rsid w:val="003311DF"/>
    <w:rsid w:val="00332E6F"/>
    <w:rsid w:val="003339EC"/>
    <w:rsid w:val="00335D52"/>
    <w:rsid w:val="0033700B"/>
    <w:rsid w:val="0034269C"/>
    <w:rsid w:val="00344A80"/>
    <w:rsid w:val="003520AC"/>
    <w:rsid w:val="00352380"/>
    <w:rsid w:val="003628D5"/>
    <w:rsid w:val="0036637D"/>
    <w:rsid w:val="00370F28"/>
    <w:rsid w:val="003717F3"/>
    <w:rsid w:val="00375921"/>
    <w:rsid w:val="003825D9"/>
    <w:rsid w:val="003834C7"/>
    <w:rsid w:val="00392E73"/>
    <w:rsid w:val="003942C0"/>
    <w:rsid w:val="0039591D"/>
    <w:rsid w:val="00396795"/>
    <w:rsid w:val="003A4CB0"/>
    <w:rsid w:val="003A621F"/>
    <w:rsid w:val="003B2708"/>
    <w:rsid w:val="003C6B39"/>
    <w:rsid w:val="003D028D"/>
    <w:rsid w:val="003D518E"/>
    <w:rsid w:val="003E36D3"/>
    <w:rsid w:val="003F20A8"/>
    <w:rsid w:val="003F683C"/>
    <w:rsid w:val="00402941"/>
    <w:rsid w:val="0041055E"/>
    <w:rsid w:val="004116FF"/>
    <w:rsid w:val="0042666A"/>
    <w:rsid w:val="00427E62"/>
    <w:rsid w:val="00430C6D"/>
    <w:rsid w:val="004377D1"/>
    <w:rsid w:val="00465AE5"/>
    <w:rsid w:val="00484180"/>
    <w:rsid w:val="004901D9"/>
    <w:rsid w:val="004C1D61"/>
    <w:rsid w:val="004D4BCB"/>
    <w:rsid w:val="004D5A9A"/>
    <w:rsid w:val="004E2F2F"/>
    <w:rsid w:val="004F1C42"/>
    <w:rsid w:val="005004DF"/>
    <w:rsid w:val="00501D76"/>
    <w:rsid w:val="00503D30"/>
    <w:rsid w:val="00504599"/>
    <w:rsid w:val="00504DC2"/>
    <w:rsid w:val="0051130F"/>
    <w:rsid w:val="00514DF7"/>
    <w:rsid w:val="00517CEA"/>
    <w:rsid w:val="00527E50"/>
    <w:rsid w:val="00532BE6"/>
    <w:rsid w:val="0053458F"/>
    <w:rsid w:val="0053723C"/>
    <w:rsid w:val="005403E9"/>
    <w:rsid w:val="00547D07"/>
    <w:rsid w:val="0055708B"/>
    <w:rsid w:val="00562940"/>
    <w:rsid w:val="00563118"/>
    <w:rsid w:val="00574C6A"/>
    <w:rsid w:val="005A7EA5"/>
    <w:rsid w:val="005B3F13"/>
    <w:rsid w:val="005B4434"/>
    <w:rsid w:val="005C25AC"/>
    <w:rsid w:val="005D1026"/>
    <w:rsid w:val="005D7646"/>
    <w:rsid w:val="005E02CA"/>
    <w:rsid w:val="005E3EFA"/>
    <w:rsid w:val="005F0264"/>
    <w:rsid w:val="005F7709"/>
    <w:rsid w:val="00602DBA"/>
    <w:rsid w:val="00610355"/>
    <w:rsid w:val="006113B9"/>
    <w:rsid w:val="00626A77"/>
    <w:rsid w:val="00631A65"/>
    <w:rsid w:val="00636D85"/>
    <w:rsid w:val="0063758D"/>
    <w:rsid w:val="00640BDE"/>
    <w:rsid w:val="0066155A"/>
    <w:rsid w:val="00667757"/>
    <w:rsid w:val="0067055D"/>
    <w:rsid w:val="00671928"/>
    <w:rsid w:val="006814FC"/>
    <w:rsid w:val="006903A0"/>
    <w:rsid w:val="006A5333"/>
    <w:rsid w:val="006B4A70"/>
    <w:rsid w:val="006B60C6"/>
    <w:rsid w:val="006C2B2C"/>
    <w:rsid w:val="006C3441"/>
    <w:rsid w:val="006C6389"/>
    <w:rsid w:val="006D1722"/>
    <w:rsid w:val="006D20A2"/>
    <w:rsid w:val="006E575F"/>
    <w:rsid w:val="006E6E17"/>
    <w:rsid w:val="006F42D6"/>
    <w:rsid w:val="0070422F"/>
    <w:rsid w:val="00720957"/>
    <w:rsid w:val="00725651"/>
    <w:rsid w:val="00740993"/>
    <w:rsid w:val="00746F1D"/>
    <w:rsid w:val="0074724D"/>
    <w:rsid w:val="007520BB"/>
    <w:rsid w:val="00752D43"/>
    <w:rsid w:val="00753467"/>
    <w:rsid w:val="007556AD"/>
    <w:rsid w:val="00764565"/>
    <w:rsid w:val="00776306"/>
    <w:rsid w:val="00776608"/>
    <w:rsid w:val="007B2CCB"/>
    <w:rsid w:val="007B4E93"/>
    <w:rsid w:val="007C25C4"/>
    <w:rsid w:val="007C6573"/>
    <w:rsid w:val="007C69AF"/>
    <w:rsid w:val="007E41A9"/>
    <w:rsid w:val="007E67F7"/>
    <w:rsid w:val="007F02FB"/>
    <w:rsid w:val="00801C17"/>
    <w:rsid w:val="00803CBC"/>
    <w:rsid w:val="0081093D"/>
    <w:rsid w:val="00825EC3"/>
    <w:rsid w:val="00826A4B"/>
    <w:rsid w:val="00862861"/>
    <w:rsid w:val="0086443F"/>
    <w:rsid w:val="00865312"/>
    <w:rsid w:val="00865CE8"/>
    <w:rsid w:val="008664FA"/>
    <w:rsid w:val="008733D2"/>
    <w:rsid w:val="00890501"/>
    <w:rsid w:val="008A0DAE"/>
    <w:rsid w:val="008A20BD"/>
    <w:rsid w:val="008A76A7"/>
    <w:rsid w:val="008B1452"/>
    <w:rsid w:val="008B4BCC"/>
    <w:rsid w:val="008C46EE"/>
    <w:rsid w:val="008C71DB"/>
    <w:rsid w:val="008D2937"/>
    <w:rsid w:val="008D6448"/>
    <w:rsid w:val="008E16BB"/>
    <w:rsid w:val="008E6ED9"/>
    <w:rsid w:val="008F4A18"/>
    <w:rsid w:val="009039DD"/>
    <w:rsid w:val="009043BF"/>
    <w:rsid w:val="00913327"/>
    <w:rsid w:val="00921B06"/>
    <w:rsid w:val="0092313B"/>
    <w:rsid w:val="00923A4D"/>
    <w:rsid w:val="00925A0B"/>
    <w:rsid w:val="00926DBE"/>
    <w:rsid w:val="00941DA5"/>
    <w:rsid w:val="00944B73"/>
    <w:rsid w:val="0095069B"/>
    <w:rsid w:val="00950E93"/>
    <w:rsid w:val="00952700"/>
    <w:rsid w:val="0095304A"/>
    <w:rsid w:val="00954224"/>
    <w:rsid w:val="00954DDF"/>
    <w:rsid w:val="0096421E"/>
    <w:rsid w:val="009655EA"/>
    <w:rsid w:val="0096590E"/>
    <w:rsid w:val="00990861"/>
    <w:rsid w:val="00992324"/>
    <w:rsid w:val="00992606"/>
    <w:rsid w:val="009B7F5B"/>
    <w:rsid w:val="009C0B92"/>
    <w:rsid w:val="009C729B"/>
    <w:rsid w:val="009C7C3B"/>
    <w:rsid w:val="009C7C64"/>
    <w:rsid w:val="009D3BF9"/>
    <w:rsid w:val="009E0DC1"/>
    <w:rsid w:val="009E1218"/>
    <w:rsid w:val="009E3273"/>
    <w:rsid w:val="009E61DD"/>
    <w:rsid w:val="009E6471"/>
    <w:rsid w:val="009E7CA9"/>
    <w:rsid w:val="009F573E"/>
    <w:rsid w:val="00A02614"/>
    <w:rsid w:val="00A069BF"/>
    <w:rsid w:val="00A0724E"/>
    <w:rsid w:val="00A1315B"/>
    <w:rsid w:val="00A1782B"/>
    <w:rsid w:val="00A202AC"/>
    <w:rsid w:val="00A202D3"/>
    <w:rsid w:val="00A20FAF"/>
    <w:rsid w:val="00A25C28"/>
    <w:rsid w:val="00A26180"/>
    <w:rsid w:val="00A42BB7"/>
    <w:rsid w:val="00A53AE1"/>
    <w:rsid w:val="00A54115"/>
    <w:rsid w:val="00A55C52"/>
    <w:rsid w:val="00A64A1A"/>
    <w:rsid w:val="00A8319F"/>
    <w:rsid w:val="00A83BA3"/>
    <w:rsid w:val="00A85918"/>
    <w:rsid w:val="00A85934"/>
    <w:rsid w:val="00A87798"/>
    <w:rsid w:val="00A91FFB"/>
    <w:rsid w:val="00A93145"/>
    <w:rsid w:val="00A93AB4"/>
    <w:rsid w:val="00AA6553"/>
    <w:rsid w:val="00AB2B41"/>
    <w:rsid w:val="00AB71A9"/>
    <w:rsid w:val="00AD039D"/>
    <w:rsid w:val="00AD4ED9"/>
    <w:rsid w:val="00AE04B3"/>
    <w:rsid w:val="00AE172A"/>
    <w:rsid w:val="00AF381F"/>
    <w:rsid w:val="00B131DC"/>
    <w:rsid w:val="00B145E8"/>
    <w:rsid w:val="00B3197E"/>
    <w:rsid w:val="00B344A5"/>
    <w:rsid w:val="00B36506"/>
    <w:rsid w:val="00B45BD2"/>
    <w:rsid w:val="00B546DF"/>
    <w:rsid w:val="00B613A6"/>
    <w:rsid w:val="00B656D8"/>
    <w:rsid w:val="00B671F4"/>
    <w:rsid w:val="00B71DE2"/>
    <w:rsid w:val="00B817FA"/>
    <w:rsid w:val="00B953B5"/>
    <w:rsid w:val="00BA129C"/>
    <w:rsid w:val="00BA4F75"/>
    <w:rsid w:val="00BB24BB"/>
    <w:rsid w:val="00BC393D"/>
    <w:rsid w:val="00BD23C2"/>
    <w:rsid w:val="00BE2B80"/>
    <w:rsid w:val="00BE6205"/>
    <w:rsid w:val="00BF6013"/>
    <w:rsid w:val="00C047B2"/>
    <w:rsid w:val="00C43B11"/>
    <w:rsid w:val="00C72DD0"/>
    <w:rsid w:val="00C743E2"/>
    <w:rsid w:val="00C77EE0"/>
    <w:rsid w:val="00C8695A"/>
    <w:rsid w:val="00CA68DC"/>
    <w:rsid w:val="00CB6BD8"/>
    <w:rsid w:val="00CC58B2"/>
    <w:rsid w:val="00CC5F1E"/>
    <w:rsid w:val="00CC64DA"/>
    <w:rsid w:val="00CD40DD"/>
    <w:rsid w:val="00CD75F8"/>
    <w:rsid w:val="00CD7E20"/>
    <w:rsid w:val="00CD7E9A"/>
    <w:rsid w:val="00CF40C2"/>
    <w:rsid w:val="00D01DA9"/>
    <w:rsid w:val="00D13AF6"/>
    <w:rsid w:val="00D17335"/>
    <w:rsid w:val="00D211FE"/>
    <w:rsid w:val="00D24453"/>
    <w:rsid w:val="00D24C36"/>
    <w:rsid w:val="00D510D0"/>
    <w:rsid w:val="00D5669D"/>
    <w:rsid w:val="00D6471D"/>
    <w:rsid w:val="00D718E1"/>
    <w:rsid w:val="00D730EC"/>
    <w:rsid w:val="00D82F38"/>
    <w:rsid w:val="00D91074"/>
    <w:rsid w:val="00D9280E"/>
    <w:rsid w:val="00D975EE"/>
    <w:rsid w:val="00DB471A"/>
    <w:rsid w:val="00DB5EC4"/>
    <w:rsid w:val="00DB6D8C"/>
    <w:rsid w:val="00DC221F"/>
    <w:rsid w:val="00DC4425"/>
    <w:rsid w:val="00DC58DA"/>
    <w:rsid w:val="00DE0BC3"/>
    <w:rsid w:val="00DE5DDE"/>
    <w:rsid w:val="00DE7339"/>
    <w:rsid w:val="00DF4D3C"/>
    <w:rsid w:val="00E015BD"/>
    <w:rsid w:val="00E04B78"/>
    <w:rsid w:val="00E07025"/>
    <w:rsid w:val="00E20009"/>
    <w:rsid w:val="00E217E1"/>
    <w:rsid w:val="00E3555D"/>
    <w:rsid w:val="00E5015B"/>
    <w:rsid w:val="00E506D0"/>
    <w:rsid w:val="00E55951"/>
    <w:rsid w:val="00E5799F"/>
    <w:rsid w:val="00E6401E"/>
    <w:rsid w:val="00E75A60"/>
    <w:rsid w:val="00E76679"/>
    <w:rsid w:val="00E76FB6"/>
    <w:rsid w:val="00E8034E"/>
    <w:rsid w:val="00E81EAB"/>
    <w:rsid w:val="00E9793E"/>
    <w:rsid w:val="00EA0023"/>
    <w:rsid w:val="00EA5637"/>
    <w:rsid w:val="00EC1339"/>
    <w:rsid w:val="00EC4201"/>
    <w:rsid w:val="00EC7412"/>
    <w:rsid w:val="00EC7653"/>
    <w:rsid w:val="00ED04FA"/>
    <w:rsid w:val="00ED430E"/>
    <w:rsid w:val="00ED6014"/>
    <w:rsid w:val="00ED79A9"/>
    <w:rsid w:val="00EF1372"/>
    <w:rsid w:val="00EF187F"/>
    <w:rsid w:val="00EF566E"/>
    <w:rsid w:val="00F0267E"/>
    <w:rsid w:val="00F04E8D"/>
    <w:rsid w:val="00F05CEB"/>
    <w:rsid w:val="00F06893"/>
    <w:rsid w:val="00F20486"/>
    <w:rsid w:val="00F31D26"/>
    <w:rsid w:val="00F52B60"/>
    <w:rsid w:val="00F54ED0"/>
    <w:rsid w:val="00F55BF6"/>
    <w:rsid w:val="00F6141B"/>
    <w:rsid w:val="00F70DD2"/>
    <w:rsid w:val="00F7228F"/>
    <w:rsid w:val="00F73F47"/>
    <w:rsid w:val="00F75F8C"/>
    <w:rsid w:val="00F77770"/>
    <w:rsid w:val="00F80499"/>
    <w:rsid w:val="00F82BC6"/>
    <w:rsid w:val="00F87FA4"/>
    <w:rsid w:val="00F900F0"/>
    <w:rsid w:val="00FA2AFB"/>
    <w:rsid w:val="00FB7682"/>
    <w:rsid w:val="00FD1D1F"/>
    <w:rsid w:val="00FD3047"/>
    <w:rsid w:val="00FE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034B5"/>
  <w15:chartTrackingRefBased/>
  <w15:docId w15:val="{FFF19CFE-9EB5-479D-B6E6-C57A2F6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75F"/>
    <w:rPr>
      <w:sz w:val="22"/>
      <w:szCs w:val="22"/>
      <w:lang w:eastAsia="en-US"/>
    </w:rPr>
  </w:style>
  <w:style w:type="paragraph" w:styleId="Header">
    <w:name w:val="header"/>
    <w:basedOn w:val="Normal"/>
    <w:link w:val="HeaderChar"/>
    <w:uiPriority w:val="99"/>
    <w:unhideWhenUsed/>
    <w:rsid w:val="006E575F"/>
    <w:pPr>
      <w:tabs>
        <w:tab w:val="center" w:pos="4680"/>
        <w:tab w:val="right" w:pos="9360"/>
      </w:tabs>
    </w:pPr>
  </w:style>
  <w:style w:type="character" w:customStyle="1" w:styleId="HeaderChar">
    <w:name w:val="Header Char"/>
    <w:link w:val="Header"/>
    <w:uiPriority w:val="99"/>
    <w:rsid w:val="006E575F"/>
    <w:rPr>
      <w:rFonts w:ascii="Calibri" w:eastAsia="Calibri" w:hAnsi="Calibri" w:cs="Times New Roman"/>
    </w:rPr>
  </w:style>
  <w:style w:type="character" w:customStyle="1" w:styleId="k">
    <w:name w:val="k"/>
    <w:rsid w:val="006E575F"/>
    <w:rPr>
      <w:rFonts w:ascii="Arial" w:hAnsi="Arial" w:cs="Arial" w:hint="default"/>
      <w:sz w:val="22"/>
      <w:szCs w:val="22"/>
    </w:rPr>
  </w:style>
  <w:style w:type="paragraph" w:styleId="BalloonText">
    <w:name w:val="Balloon Text"/>
    <w:basedOn w:val="Normal"/>
    <w:link w:val="BalloonTextChar"/>
    <w:uiPriority w:val="99"/>
    <w:semiHidden/>
    <w:unhideWhenUsed/>
    <w:rsid w:val="00AD4E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4ED9"/>
    <w:rPr>
      <w:rFonts w:ascii="Tahoma" w:hAnsi="Tahoma" w:cs="Tahoma"/>
      <w:sz w:val="16"/>
      <w:szCs w:val="16"/>
      <w:lang w:eastAsia="en-US"/>
    </w:rPr>
  </w:style>
  <w:style w:type="paragraph" w:styleId="NormalWeb">
    <w:name w:val="Normal (Web)"/>
    <w:basedOn w:val="Normal"/>
    <w:uiPriority w:val="99"/>
    <w:semiHidden/>
    <w:unhideWhenUsed/>
    <w:rsid w:val="001C073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nhideWhenUsed/>
    <w:rsid w:val="000D0B89"/>
    <w:rPr>
      <w:color w:val="0000FF"/>
      <w:u w:val="single"/>
    </w:rPr>
  </w:style>
  <w:style w:type="paragraph" w:customStyle="1" w:styleId="bi">
    <w:name w:val="bi"/>
    <w:basedOn w:val="Normal"/>
    <w:rsid w:val="00E04B78"/>
    <w:pPr>
      <w:spacing w:before="100" w:beforeAutospacing="1" w:after="100" w:afterAutospacing="1" w:line="240" w:lineRule="auto"/>
    </w:pPr>
    <w:rPr>
      <w:rFonts w:ascii="Arial" w:eastAsia="Times New Roman" w:hAnsi="Arial" w:cs="Arial"/>
      <w:sz w:val="17"/>
      <w:szCs w:val="17"/>
      <w:lang w:eastAsia="en-GB"/>
    </w:rPr>
  </w:style>
  <w:style w:type="character" w:customStyle="1" w:styleId="ax">
    <w:name w:val="ax"/>
    <w:basedOn w:val="DefaultParagraphFont"/>
    <w:rsid w:val="00E04B78"/>
  </w:style>
  <w:style w:type="paragraph" w:customStyle="1" w:styleId="bj">
    <w:name w:val="bj"/>
    <w:basedOn w:val="Normal"/>
    <w:rsid w:val="00E04B78"/>
    <w:pPr>
      <w:spacing w:before="100" w:beforeAutospacing="1" w:after="100" w:afterAutospacing="1" w:line="240" w:lineRule="auto"/>
    </w:pPr>
    <w:rPr>
      <w:rFonts w:ascii="Arial" w:eastAsia="Times New Roman" w:hAnsi="Arial" w:cs="Arial"/>
      <w:sz w:val="17"/>
      <w:szCs w:val="17"/>
      <w:lang w:eastAsia="en-GB"/>
    </w:rPr>
  </w:style>
  <w:style w:type="paragraph" w:customStyle="1" w:styleId="bk">
    <w:name w:val="bk"/>
    <w:basedOn w:val="Normal"/>
    <w:rsid w:val="00E04B78"/>
    <w:pPr>
      <w:spacing w:before="100" w:beforeAutospacing="1" w:after="100" w:afterAutospacing="1" w:line="240" w:lineRule="auto"/>
    </w:pPr>
    <w:rPr>
      <w:rFonts w:ascii="Arial" w:eastAsia="Times New Roman" w:hAnsi="Arial" w:cs="Arial"/>
      <w:sz w:val="17"/>
      <w:szCs w:val="17"/>
      <w:lang w:eastAsia="en-GB"/>
    </w:rPr>
  </w:style>
  <w:style w:type="paragraph" w:customStyle="1" w:styleId="bl">
    <w:name w:val="bl"/>
    <w:basedOn w:val="Normal"/>
    <w:rsid w:val="00E04B78"/>
    <w:pPr>
      <w:spacing w:before="100" w:beforeAutospacing="1" w:after="100" w:afterAutospacing="1" w:line="240" w:lineRule="auto"/>
    </w:pPr>
    <w:rPr>
      <w:rFonts w:ascii="Arial" w:eastAsia="Times New Roman" w:hAnsi="Arial" w:cs="Arial"/>
      <w:sz w:val="17"/>
      <w:szCs w:val="17"/>
      <w:lang w:eastAsia="en-GB"/>
    </w:rPr>
  </w:style>
  <w:style w:type="character" w:customStyle="1" w:styleId="ad">
    <w:name w:val="ad"/>
    <w:basedOn w:val="DefaultParagraphFont"/>
    <w:rsid w:val="00E04B78"/>
  </w:style>
  <w:style w:type="character" w:customStyle="1" w:styleId="aq">
    <w:name w:val="aq"/>
    <w:basedOn w:val="DefaultParagraphFont"/>
    <w:rsid w:val="00E04B78"/>
  </w:style>
  <w:style w:type="paragraph" w:customStyle="1" w:styleId="bm">
    <w:name w:val="bm"/>
    <w:basedOn w:val="Normal"/>
    <w:rsid w:val="00E04B78"/>
    <w:pPr>
      <w:spacing w:before="100" w:beforeAutospacing="1" w:after="100" w:afterAutospacing="1" w:line="240" w:lineRule="auto"/>
    </w:pPr>
    <w:rPr>
      <w:rFonts w:ascii="Arial" w:eastAsia="Times New Roman" w:hAnsi="Arial" w:cs="Arial"/>
      <w:sz w:val="17"/>
      <w:szCs w:val="17"/>
      <w:lang w:eastAsia="en-GB"/>
    </w:rPr>
  </w:style>
  <w:style w:type="paragraph" w:styleId="ListParagraph">
    <w:name w:val="List Paragraph"/>
    <w:basedOn w:val="Normal"/>
    <w:uiPriority w:val="34"/>
    <w:qFormat/>
    <w:rsid w:val="00E04B78"/>
    <w:pPr>
      <w:spacing w:after="0" w:line="240" w:lineRule="auto"/>
      <w:ind w:left="720"/>
    </w:pPr>
    <w:rPr>
      <w:rFonts w:ascii="Times New Roman" w:hAnsi="Times New Roman"/>
      <w:sz w:val="24"/>
    </w:rPr>
  </w:style>
  <w:style w:type="table" w:styleId="TableGrid">
    <w:name w:val="Table Grid"/>
    <w:basedOn w:val="TableNormal"/>
    <w:uiPriority w:val="59"/>
    <w:rsid w:val="00E04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61DD"/>
    <w:pPr>
      <w:tabs>
        <w:tab w:val="center" w:pos="4513"/>
        <w:tab w:val="right" w:pos="9026"/>
      </w:tabs>
    </w:pPr>
  </w:style>
  <w:style w:type="character" w:customStyle="1" w:styleId="FooterChar">
    <w:name w:val="Footer Char"/>
    <w:link w:val="Footer"/>
    <w:uiPriority w:val="99"/>
    <w:rsid w:val="009E61DD"/>
    <w:rPr>
      <w:sz w:val="22"/>
      <w:szCs w:val="22"/>
      <w:lang w:eastAsia="en-US"/>
    </w:rPr>
  </w:style>
  <w:style w:type="paragraph" w:customStyle="1" w:styleId="RE04Maintext10ptsubheading">
    <w:name w:val="RE_04_Main text 10pt sub heading"/>
    <w:basedOn w:val="Normal"/>
    <w:next w:val="RE06aMaintext10pt"/>
    <w:uiPriority w:val="99"/>
    <w:qFormat/>
    <w:rsid w:val="00ED79A9"/>
    <w:pPr>
      <w:tabs>
        <w:tab w:val="left" w:pos="567"/>
      </w:tabs>
      <w:suppressAutoHyphens/>
      <w:spacing w:after="0" w:line="240" w:lineRule="auto"/>
    </w:pPr>
    <w:rPr>
      <w:rFonts w:eastAsia="Times New Roman"/>
      <w:b/>
      <w:bCs/>
      <w:kern w:val="20"/>
      <w:sz w:val="20"/>
      <w:szCs w:val="20"/>
      <w:lang w:eastAsia="en-GB"/>
    </w:rPr>
  </w:style>
  <w:style w:type="paragraph" w:customStyle="1" w:styleId="RE06aMaintext10pt">
    <w:name w:val="RE_06a_Main text 10pt"/>
    <w:basedOn w:val="Normal"/>
    <w:link w:val="RE06aMaintext10ptChar"/>
    <w:uiPriority w:val="99"/>
    <w:qFormat/>
    <w:rsid w:val="00ED79A9"/>
    <w:pPr>
      <w:suppressAutoHyphens/>
      <w:spacing w:after="0" w:line="240" w:lineRule="exact"/>
    </w:pPr>
    <w:rPr>
      <w:rFonts w:eastAsia="Times"/>
      <w:sz w:val="20"/>
      <w:szCs w:val="20"/>
    </w:rPr>
  </w:style>
  <w:style w:type="character" w:customStyle="1" w:styleId="RE06aMaintext10ptChar">
    <w:name w:val="RE_06a_Main text 10pt Char"/>
    <w:link w:val="RE06aMaintext10pt"/>
    <w:uiPriority w:val="99"/>
    <w:rsid w:val="00ED79A9"/>
    <w:rPr>
      <w:rFonts w:eastAsia="Times"/>
      <w:lang w:eastAsia="en-US"/>
    </w:rPr>
  </w:style>
  <w:style w:type="character" w:styleId="UnresolvedMention">
    <w:name w:val="Unresolved Mention"/>
    <w:uiPriority w:val="99"/>
    <w:semiHidden/>
    <w:unhideWhenUsed/>
    <w:rsid w:val="007B4E93"/>
    <w:rPr>
      <w:color w:val="605E5C"/>
      <w:shd w:val="clear" w:color="auto" w:fill="E1DFDD"/>
    </w:rPr>
  </w:style>
  <w:style w:type="character" w:styleId="FollowedHyperlink">
    <w:name w:val="FollowedHyperlink"/>
    <w:uiPriority w:val="99"/>
    <w:semiHidden/>
    <w:unhideWhenUsed/>
    <w:rsid w:val="0092313B"/>
    <w:rPr>
      <w:color w:val="954F72"/>
      <w:u w:val="single"/>
    </w:rPr>
  </w:style>
  <w:style w:type="paragraph" w:customStyle="1" w:styleId="DraftSlug">
    <w:name w:val="Draft Slug"/>
    <w:basedOn w:val="Normal"/>
    <w:link w:val="DraftSlugChar"/>
    <w:rsid w:val="0000679C"/>
    <w:pPr>
      <w:spacing w:after="0" w:line="240" w:lineRule="auto"/>
      <w:contextualSpacing/>
      <w:jc w:val="right"/>
    </w:pPr>
    <w:rPr>
      <w:rFonts w:eastAsia="Times New Roman" w:cs="Arial"/>
      <w:lang w:eastAsia="en-GB"/>
    </w:rPr>
  </w:style>
  <w:style w:type="character" w:customStyle="1" w:styleId="DraftSlugChar">
    <w:name w:val="Draft Slug Char"/>
    <w:link w:val="DraftSlug"/>
    <w:rsid w:val="0000679C"/>
    <w:rPr>
      <w:rFonts w:eastAsia="Times New Roman" w:cs="Arial"/>
      <w:sz w:val="22"/>
      <w:szCs w:val="22"/>
      <w:lang w:val="en-GB" w:eastAsia="en-GB"/>
    </w:rPr>
  </w:style>
  <w:style w:type="character" w:styleId="CommentReference">
    <w:name w:val="annotation reference"/>
    <w:basedOn w:val="DefaultParagraphFont"/>
    <w:uiPriority w:val="99"/>
    <w:semiHidden/>
    <w:unhideWhenUsed/>
    <w:rsid w:val="00402941"/>
    <w:rPr>
      <w:sz w:val="16"/>
      <w:szCs w:val="16"/>
    </w:rPr>
  </w:style>
  <w:style w:type="paragraph" w:styleId="CommentText">
    <w:name w:val="annotation text"/>
    <w:basedOn w:val="Normal"/>
    <w:link w:val="CommentTextChar"/>
    <w:uiPriority w:val="99"/>
    <w:unhideWhenUsed/>
    <w:rsid w:val="00402941"/>
    <w:pPr>
      <w:spacing w:line="240" w:lineRule="auto"/>
    </w:pPr>
    <w:rPr>
      <w:sz w:val="20"/>
      <w:szCs w:val="20"/>
    </w:rPr>
  </w:style>
  <w:style w:type="character" w:customStyle="1" w:styleId="CommentTextChar">
    <w:name w:val="Comment Text Char"/>
    <w:basedOn w:val="DefaultParagraphFont"/>
    <w:link w:val="CommentText"/>
    <w:uiPriority w:val="99"/>
    <w:rsid w:val="00402941"/>
    <w:rPr>
      <w:lang w:eastAsia="en-US"/>
    </w:rPr>
  </w:style>
  <w:style w:type="paragraph" w:styleId="CommentSubject">
    <w:name w:val="annotation subject"/>
    <w:basedOn w:val="CommentText"/>
    <w:next w:val="CommentText"/>
    <w:link w:val="CommentSubjectChar"/>
    <w:uiPriority w:val="99"/>
    <w:semiHidden/>
    <w:unhideWhenUsed/>
    <w:rsid w:val="00402941"/>
    <w:rPr>
      <w:b/>
      <w:bCs/>
    </w:rPr>
  </w:style>
  <w:style w:type="character" w:customStyle="1" w:styleId="CommentSubjectChar">
    <w:name w:val="Comment Subject Char"/>
    <w:basedOn w:val="CommentTextChar"/>
    <w:link w:val="CommentSubject"/>
    <w:uiPriority w:val="99"/>
    <w:semiHidden/>
    <w:rsid w:val="00402941"/>
    <w:rPr>
      <w:b/>
      <w:bCs/>
      <w:lang w:eastAsia="en-US"/>
    </w:rPr>
  </w:style>
  <w:style w:type="paragraph" w:styleId="Revision">
    <w:name w:val="Revision"/>
    <w:hidden/>
    <w:uiPriority w:val="99"/>
    <w:semiHidden/>
    <w:rsid w:val="00631A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884">
      <w:bodyDiv w:val="1"/>
      <w:marLeft w:val="0"/>
      <w:marRight w:val="0"/>
      <w:marTop w:val="0"/>
      <w:marBottom w:val="0"/>
      <w:divBdr>
        <w:top w:val="none" w:sz="0" w:space="0" w:color="auto"/>
        <w:left w:val="none" w:sz="0" w:space="0" w:color="auto"/>
        <w:bottom w:val="none" w:sz="0" w:space="0" w:color="auto"/>
        <w:right w:val="none" w:sz="0" w:space="0" w:color="auto"/>
      </w:divBdr>
    </w:div>
    <w:div w:id="805853937">
      <w:bodyDiv w:val="1"/>
      <w:marLeft w:val="0"/>
      <w:marRight w:val="0"/>
      <w:marTop w:val="0"/>
      <w:marBottom w:val="0"/>
      <w:divBdr>
        <w:top w:val="none" w:sz="0" w:space="0" w:color="auto"/>
        <w:left w:val="none" w:sz="0" w:space="0" w:color="auto"/>
        <w:bottom w:val="none" w:sz="0" w:space="0" w:color="auto"/>
        <w:right w:val="none" w:sz="0" w:space="0" w:color="auto"/>
      </w:divBdr>
      <w:divsChild>
        <w:div w:id="1506088713">
          <w:marLeft w:val="0"/>
          <w:marRight w:val="0"/>
          <w:marTop w:val="0"/>
          <w:marBottom w:val="0"/>
          <w:divBdr>
            <w:top w:val="none" w:sz="0" w:space="0" w:color="auto"/>
            <w:left w:val="none" w:sz="0" w:space="0" w:color="auto"/>
            <w:bottom w:val="none" w:sz="0" w:space="0" w:color="auto"/>
            <w:right w:val="none" w:sz="0" w:space="0" w:color="auto"/>
          </w:divBdr>
          <w:divsChild>
            <w:div w:id="323242705">
              <w:marLeft w:val="150"/>
              <w:marRight w:val="150"/>
              <w:marTop w:val="225"/>
              <w:marBottom w:val="1500"/>
              <w:divBdr>
                <w:top w:val="none" w:sz="0" w:space="0" w:color="auto"/>
                <w:left w:val="none" w:sz="0" w:space="0" w:color="auto"/>
                <w:bottom w:val="none" w:sz="0" w:space="0" w:color="auto"/>
                <w:right w:val="none" w:sz="0" w:space="0" w:color="auto"/>
              </w:divBdr>
              <w:divsChild>
                <w:div w:id="1261063444">
                  <w:marLeft w:val="0"/>
                  <w:marRight w:val="0"/>
                  <w:marTop w:val="0"/>
                  <w:marBottom w:val="0"/>
                  <w:divBdr>
                    <w:top w:val="none" w:sz="0" w:space="0" w:color="auto"/>
                    <w:left w:val="none" w:sz="0" w:space="0" w:color="auto"/>
                    <w:bottom w:val="none" w:sz="0" w:space="0" w:color="auto"/>
                    <w:right w:val="none" w:sz="0" w:space="0" w:color="auto"/>
                  </w:divBdr>
                  <w:divsChild>
                    <w:div w:id="7365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3090">
      <w:bodyDiv w:val="1"/>
      <w:marLeft w:val="0"/>
      <w:marRight w:val="0"/>
      <w:marTop w:val="0"/>
      <w:marBottom w:val="0"/>
      <w:divBdr>
        <w:top w:val="none" w:sz="0" w:space="0" w:color="auto"/>
        <w:left w:val="none" w:sz="0" w:space="0" w:color="auto"/>
        <w:bottom w:val="none" w:sz="0" w:space="0" w:color="auto"/>
        <w:right w:val="none" w:sz="0" w:space="0" w:color="auto"/>
      </w:divBdr>
    </w:div>
    <w:div w:id="1654917859">
      <w:bodyDiv w:val="1"/>
      <w:marLeft w:val="0"/>
      <w:marRight w:val="0"/>
      <w:marTop w:val="0"/>
      <w:marBottom w:val="0"/>
      <w:divBdr>
        <w:top w:val="none" w:sz="0" w:space="0" w:color="auto"/>
        <w:left w:val="none" w:sz="0" w:space="0" w:color="auto"/>
        <w:bottom w:val="none" w:sz="0" w:space="0" w:color="auto"/>
        <w:right w:val="none" w:sz="0" w:space="0" w:color="auto"/>
      </w:divBdr>
    </w:div>
    <w:div w:id="1657883351">
      <w:bodyDiv w:val="1"/>
      <w:marLeft w:val="0"/>
      <w:marRight w:val="0"/>
      <w:marTop w:val="0"/>
      <w:marBottom w:val="0"/>
      <w:divBdr>
        <w:top w:val="none" w:sz="0" w:space="0" w:color="auto"/>
        <w:left w:val="none" w:sz="0" w:space="0" w:color="auto"/>
        <w:bottom w:val="none" w:sz="0" w:space="0" w:color="auto"/>
        <w:right w:val="none" w:sz="0" w:space="0" w:color="auto"/>
      </w:divBdr>
      <w:divsChild>
        <w:div w:id="951782063">
          <w:marLeft w:val="0"/>
          <w:marRight w:val="0"/>
          <w:marTop w:val="0"/>
          <w:marBottom w:val="0"/>
          <w:divBdr>
            <w:top w:val="none" w:sz="0" w:space="0" w:color="auto"/>
            <w:left w:val="none" w:sz="0" w:space="0" w:color="auto"/>
            <w:bottom w:val="none" w:sz="0" w:space="0" w:color="auto"/>
            <w:right w:val="none" w:sz="0" w:space="0" w:color="auto"/>
          </w:divBdr>
          <w:divsChild>
            <w:div w:id="719284910">
              <w:marLeft w:val="0"/>
              <w:marRight w:val="0"/>
              <w:marTop w:val="0"/>
              <w:marBottom w:val="0"/>
              <w:divBdr>
                <w:top w:val="none" w:sz="0" w:space="0" w:color="auto"/>
                <w:left w:val="none" w:sz="0" w:space="0" w:color="auto"/>
                <w:bottom w:val="none" w:sz="0" w:space="0" w:color="auto"/>
                <w:right w:val="none" w:sz="0" w:space="0" w:color="auto"/>
              </w:divBdr>
              <w:divsChild>
                <w:div w:id="224805170">
                  <w:marLeft w:val="0"/>
                  <w:marRight w:val="0"/>
                  <w:marTop w:val="0"/>
                  <w:marBottom w:val="0"/>
                  <w:divBdr>
                    <w:top w:val="none" w:sz="0" w:space="0" w:color="auto"/>
                    <w:left w:val="none" w:sz="0" w:space="0" w:color="auto"/>
                    <w:bottom w:val="none" w:sz="0" w:space="0" w:color="auto"/>
                    <w:right w:val="none" w:sz="0" w:space="0" w:color="auto"/>
                  </w:divBdr>
                  <w:divsChild>
                    <w:div w:id="364595786">
                      <w:marLeft w:val="0"/>
                      <w:marRight w:val="0"/>
                      <w:marTop w:val="0"/>
                      <w:marBottom w:val="0"/>
                      <w:divBdr>
                        <w:top w:val="none" w:sz="0" w:space="0" w:color="auto"/>
                        <w:left w:val="none" w:sz="0" w:space="0" w:color="auto"/>
                        <w:bottom w:val="none" w:sz="0" w:space="0" w:color="auto"/>
                        <w:right w:val="none" w:sz="0" w:space="0" w:color="auto"/>
                      </w:divBdr>
                      <w:divsChild>
                        <w:div w:id="8877068">
                          <w:marLeft w:val="0"/>
                          <w:marRight w:val="0"/>
                          <w:marTop w:val="0"/>
                          <w:marBottom w:val="0"/>
                          <w:divBdr>
                            <w:top w:val="none" w:sz="0" w:space="0" w:color="auto"/>
                            <w:left w:val="none" w:sz="0" w:space="0" w:color="auto"/>
                            <w:bottom w:val="none" w:sz="0" w:space="0" w:color="auto"/>
                            <w:right w:val="none" w:sz="0" w:space="0" w:color="auto"/>
                          </w:divBdr>
                          <w:divsChild>
                            <w:div w:id="2651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477298">
      <w:bodyDiv w:val="1"/>
      <w:marLeft w:val="0"/>
      <w:marRight w:val="0"/>
      <w:marTop w:val="0"/>
      <w:marBottom w:val="0"/>
      <w:divBdr>
        <w:top w:val="none" w:sz="0" w:space="0" w:color="auto"/>
        <w:left w:val="none" w:sz="0" w:space="0" w:color="auto"/>
        <w:bottom w:val="none" w:sz="0" w:space="0" w:color="auto"/>
        <w:right w:val="none" w:sz="0" w:space="0" w:color="auto"/>
      </w:divBdr>
    </w:div>
    <w:div w:id="1831171447">
      <w:bodyDiv w:val="1"/>
      <w:marLeft w:val="0"/>
      <w:marRight w:val="0"/>
      <w:marTop w:val="0"/>
      <w:marBottom w:val="0"/>
      <w:divBdr>
        <w:top w:val="none" w:sz="0" w:space="0" w:color="auto"/>
        <w:left w:val="none" w:sz="0" w:space="0" w:color="auto"/>
        <w:bottom w:val="none" w:sz="0" w:space="0" w:color="auto"/>
        <w:right w:val="none" w:sz="0" w:space="0" w:color="auto"/>
      </w:divBdr>
      <w:divsChild>
        <w:div w:id="1856066926">
          <w:marLeft w:val="0"/>
          <w:marRight w:val="0"/>
          <w:marTop w:val="0"/>
          <w:marBottom w:val="0"/>
          <w:divBdr>
            <w:top w:val="none" w:sz="0" w:space="0" w:color="auto"/>
            <w:left w:val="none" w:sz="0" w:space="0" w:color="auto"/>
            <w:bottom w:val="none" w:sz="0" w:space="0" w:color="auto"/>
            <w:right w:val="none" w:sz="0" w:space="0" w:color="auto"/>
          </w:divBdr>
          <w:divsChild>
            <w:div w:id="782456437">
              <w:marLeft w:val="0"/>
              <w:marRight w:val="0"/>
              <w:marTop w:val="0"/>
              <w:marBottom w:val="0"/>
              <w:divBdr>
                <w:top w:val="none" w:sz="0" w:space="0" w:color="auto"/>
                <w:left w:val="none" w:sz="0" w:space="0" w:color="auto"/>
                <w:bottom w:val="none" w:sz="0" w:space="0" w:color="auto"/>
                <w:right w:val="none" w:sz="0" w:space="0" w:color="auto"/>
              </w:divBdr>
              <w:divsChild>
                <w:div w:id="1957329323">
                  <w:marLeft w:val="0"/>
                  <w:marRight w:val="0"/>
                  <w:marTop w:val="0"/>
                  <w:marBottom w:val="0"/>
                  <w:divBdr>
                    <w:top w:val="none" w:sz="0" w:space="0" w:color="auto"/>
                    <w:left w:val="none" w:sz="0" w:space="0" w:color="auto"/>
                    <w:bottom w:val="none" w:sz="0" w:space="0" w:color="auto"/>
                    <w:right w:val="none" w:sz="0" w:space="0" w:color="auto"/>
                  </w:divBdr>
                  <w:divsChild>
                    <w:div w:id="1567111455">
                      <w:marLeft w:val="0"/>
                      <w:marRight w:val="0"/>
                      <w:marTop w:val="0"/>
                      <w:marBottom w:val="0"/>
                      <w:divBdr>
                        <w:top w:val="none" w:sz="0" w:space="0" w:color="auto"/>
                        <w:left w:val="none" w:sz="0" w:space="0" w:color="auto"/>
                        <w:bottom w:val="none" w:sz="0" w:space="0" w:color="auto"/>
                        <w:right w:val="none" w:sz="0" w:space="0" w:color="auto"/>
                      </w:divBdr>
                      <w:divsChild>
                        <w:div w:id="360470590">
                          <w:marLeft w:val="0"/>
                          <w:marRight w:val="0"/>
                          <w:marTop w:val="0"/>
                          <w:marBottom w:val="0"/>
                          <w:divBdr>
                            <w:top w:val="none" w:sz="0" w:space="0" w:color="auto"/>
                            <w:left w:val="none" w:sz="0" w:space="0" w:color="auto"/>
                            <w:bottom w:val="none" w:sz="0" w:space="0" w:color="auto"/>
                            <w:right w:val="none" w:sz="0" w:space="0" w:color="auto"/>
                          </w:divBdr>
                          <w:divsChild>
                            <w:div w:id="5650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8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fca.org.uk/" TargetMode="External"/><Relationship Id="rId18" Type="http://schemas.openxmlformats.org/officeDocument/2006/relationships/hyperlink" Target="http://www.relx.com/investorcentr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relx.com" TargetMode="External"/><Relationship Id="rId17" Type="http://schemas.openxmlformats.org/officeDocument/2006/relationships/hyperlink" Target="mailto:paul.sullivan@relx.com" TargetMode="External"/><Relationship Id="rId2" Type="http://schemas.openxmlformats.org/officeDocument/2006/relationships/customXml" Target="../customXml/item2.xml"/><Relationship Id="rId16" Type="http://schemas.openxmlformats.org/officeDocument/2006/relationships/hyperlink" Target="mailto:paul.abrahams@relx.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mpany.secretariat@relx.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dee1928-e90f-4e72-a1fb-0cdd402ef7fe">TNME3MZR7UAA-2112375194-225359</_dlc_DocId>
    <_dlc_DocIdUrl xmlns="2dee1928-e90f-4e72-a1fb-0cdd402ef7fe">
      <Url>https://reedelsevier.sharepoint.com/sites/rehlondatp021/_layouts/15/DocIdRedir.aspx?ID=TNME3MZR7UAA-2112375194-225359</Url>
      <Description>TNME3MZR7UAA-2112375194-225359</Description>
    </_dlc_DocIdUrl>
    <lcf76f155ced4ddcb4097134ff3c332f xmlns="c352c094-9485-4296-9455-a9295578a11e">
      <Terms xmlns="http://schemas.microsoft.com/office/infopath/2007/PartnerControls"/>
    </lcf76f155ced4ddcb4097134ff3c332f>
    <TaxCatchAll xmlns="2dee1928-e90f-4e72-a1fb-0cdd402ef7f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BF56F13186BF41B3BE38F0111253E1" ma:contentTypeVersion="15" ma:contentTypeDescription="Create a new document." ma:contentTypeScope="" ma:versionID="844bd32d48218e8ff5444028b1e6271f">
  <xsd:schema xmlns:xsd="http://www.w3.org/2001/XMLSchema" xmlns:xs="http://www.w3.org/2001/XMLSchema" xmlns:p="http://schemas.microsoft.com/office/2006/metadata/properties" xmlns:ns1="http://schemas.microsoft.com/sharepoint/v3" xmlns:ns2="2dee1928-e90f-4e72-a1fb-0cdd402ef7fe" xmlns:ns3="c352c094-9485-4296-9455-a9295578a11e" targetNamespace="http://schemas.microsoft.com/office/2006/metadata/properties" ma:root="true" ma:fieldsID="c7d2392a6b32575eacd9f3d6c8e3197f" ns1:_="" ns2:_="" ns3:_="">
    <xsd:import namespace="http://schemas.microsoft.com/sharepoint/v3"/>
    <xsd:import namespace="2dee1928-e90f-4e72-a1fb-0cdd402ef7fe"/>
    <xsd:import namespace="c352c094-9485-4296-9455-a9295578a1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ee1928-e90f-4e72-a1fb-0cdd402ef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3a929c1-7f1a-4615-8727-05546229ccfa}" ma:internalName="TaxCatchAll" ma:showField="CatchAllData" ma:web="2dee1928-e90f-4e72-a1fb-0cdd402ef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2c094-9485-4296-9455-a9295578a1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E18D-75F6-4D2D-A039-241C991244CE}">
  <ds:schemaRefs>
    <ds:schemaRef ds:uri="http://schemas.microsoft.com/office/2006/metadata/properties"/>
    <ds:schemaRef ds:uri="http://schemas.microsoft.com/office/infopath/2007/PartnerControls"/>
    <ds:schemaRef ds:uri="2dee1928-e90f-4e72-a1fb-0cdd402ef7fe"/>
    <ds:schemaRef ds:uri="c352c094-9485-4296-9455-a9295578a11e"/>
    <ds:schemaRef ds:uri="http://schemas.microsoft.com/sharepoint/v3"/>
  </ds:schemaRefs>
</ds:datastoreItem>
</file>

<file path=customXml/itemProps2.xml><?xml version="1.0" encoding="utf-8"?>
<ds:datastoreItem xmlns:ds="http://schemas.openxmlformats.org/officeDocument/2006/customXml" ds:itemID="{F223DD29-0F54-4DA9-B831-18879B5F6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e1928-e90f-4e72-a1fb-0cdd402ef7fe"/>
    <ds:schemaRef ds:uri="c352c094-9485-4296-9455-a9295578a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229EA-8AD9-4C6C-A830-928ED5E55C84}">
  <ds:schemaRefs>
    <ds:schemaRef ds:uri="http://schemas.microsoft.com/sharepoint/events"/>
  </ds:schemaRefs>
</ds:datastoreItem>
</file>

<file path=customXml/itemProps4.xml><?xml version="1.0" encoding="utf-8"?>
<ds:datastoreItem xmlns:ds="http://schemas.openxmlformats.org/officeDocument/2006/customXml" ds:itemID="{6B03E9E9-784B-4C19-9AB8-FEF6BA6F9DD6}">
  <ds:schemaRefs>
    <ds:schemaRef ds:uri="http://schemas.microsoft.com/sharepoint/v3/contenttype/forms"/>
  </ds:schemaRefs>
</ds:datastoreItem>
</file>

<file path=customXml/itemProps5.xml><?xml version="1.0" encoding="utf-8"?>
<ds:datastoreItem xmlns:ds="http://schemas.openxmlformats.org/officeDocument/2006/customXml" ds:itemID="{A40A33C2-F280-4B0A-9D18-CD21F917015F}">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5708</CharactersWithSpaces>
  <SharedDoc>false</SharedDoc>
  <HLinks>
    <vt:vector size="30" baseType="variant">
      <vt:variant>
        <vt:i4>2228287</vt:i4>
      </vt:variant>
      <vt:variant>
        <vt:i4>12</vt:i4>
      </vt:variant>
      <vt:variant>
        <vt:i4>0</vt:i4>
      </vt:variant>
      <vt:variant>
        <vt:i4>5</vt:i4>
      </vt:variant>
      <vt:variant>
        <vt:lpwstr>http://www.relx.com/investorcentre</vt:lpwstr>
      </vt:variant>
      <vt:variant>
        <vt:lpwstr/>
      </vt:variant>
      <vt:variant>
        <vt:i4>5439545</vt:i4>
      </vt:variant>
      <vt:variant>
        <vt:i4>9</vt:i4>
      </vt:variant>
      <vt:variant>
        <vt:i4>0</vt:i4>
      </vt:variant>
      <vt:variant>
        <vt:i4>5</vt:i4>
      </vt:variant>
      <vt:variant>
        <vt:lpwstr>mailto:colin.tennant@relx.com</vt:lpwstr>
      </vt:variant>
      <vt:variant>
        <vt:lpwstr/>
      </vt:variant>
      <vt:variant>
        <vt:i4>458863</vt:i4>
      </vt:variant>
      <vt:variant>
        <vt:i4>6</vt:i4>
      </vt:variant>
      <vt:variant>
        <vt:i4>0</vt:i4>
      </vt:variant>
      <vt:variant>
        <vt:i4>5</vt:i4>
      </vt:variant>
      <vt:variant>
        <vt:lpwstr>mailto:paul.abrahams@relx.com</vt:lpwstr>
      </vt:variant>
      <vt:variant>
        <vt:lpwstr/>
      </vt:variant>
      <vt:variant>
        <vt:i4>2752628</vt:i4>
      </vt:variant>
      <vt:variant>
        <vt:i4>3</vt:i4>
      </vt:variant>
      <vt:variant>
        <vt:i4>0</vt:i4>
      </vt:variant>
      <vt:variant>
        <vt:i4>5</vt:i4>
      </vt:variant>
      <vt:variant>
        <vt:lpwstr>http://www.sec.gov/</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Hibino, Hitomi (REHQ-LON)</cp:lastModifiedBy>
  <cp:revision>2</cp:revision>
  <cp:lastPrinted>2026-02-18T17:22:00Z</cp:lastPrinted>
  <dcterms:created xsi:type="dcterms:W3CDTF">2026-02-19T11:20:00Z</dcterms:created>
  <dcterms:modified xsi:type="dcterms:W3CDTF">2026-02-19T11:20:00Z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[[DMS:5788055v2:02/15/2022--11:09 AM]]</vt:lpwstr>
  </property>
  <property fmtid="{D5CDD505-2E9C-101B-9397-08002B2CF9AE}" pid="3" name="ContentTypeId">
    <vt:lpwstr>0x0101008BBF56F13186BF41B3BE38F0111253E1</vt:lpwstr>
  </property>
  <property fmtid="{D5CDD505-2E9C-101B-9397-08002B2CF9AE}" pid="4" name="Order">
    <vt:r8>6413400</vt:r8>
  </property>
  <property fmtid="{D5CDD505-2E9C-101B-9397-08002B2CF9AE}" pid="5" name="_dlc_DocIdItemGuid">
    <vt:lpwstr>83709e38-dc06-4d2c-bf4b-e33f04a4cc7e</vt:lpwstr>
  </property>
  <property fmtid="{D5CDD505-2E9C-101B-9397-08002B2CF9AE}" pid="6" name="MSIP_Label_549ac42a-3eb4-4074-b885-aea26bd6241e_Enabled">
    <vt:lpwstr>true</vt:lpwstr>
  </property>
  <property fmtid="{D5CDD505-2E9C-101B-9397-08002B2CF9AE}" pid="7" name="MSIP_Label_549ac42a-3eb4-4074-b885-aea26bd6241e_SetDate">
    <vt:lpwstr>2024-02-20T16:59:51Z</vt:lpwstr>
  </property>
  <property fmtid="{D5CDD505-2E9C-101B-9397-08002B2CF9AE}" pid="8" name="MSIP_Label_549ac42a-3eb4-4074-b885-aea26bd6241e_Method">
    <vt:lpwstr>Standard</vt:lpwstr>
  </property>
  <property fmtid="{D5CDD505-2E9C-101B-9397-08002B2CF9AE}" pid="9" name="MSIP_Label_549ac42a-3eb4-4074-b885-aea26bd6241e_Name">
    <vt:lpwstr>General Business</vt:lpwstr>
  </property>
  <property fmtid="{D5CDD505-2E9C-101B-9397-08002B2CF9AE}" pid="10" name="MSIP_Label_549ac42a-3eb4-4074-b885-aea26bd6241e_SiteId">
    <vt:lpwstr>9274ee3f-9425-4109-a27f-9fb15c10675d</vt:lpwstr>
  </property>
  <property fmtid="{D5CDD505-2E9C-101B-9397-08002B2CF9AE}" pid="11" name="MSIP_Label_549ac42a-3eb4-4074-b885-aea26bd6241e_ActionId">
    <vt:lpwstr>e76f8a13-34ca-40f4-ab3a-ec01685af4dc</vt:lpwstr>
  </property>
  <property fmtid="{D5CDD505-2E9C-101B-9397-08002B2CF9AE}" pid="12" name="MSIP_Label_549ac42a-3eb4-4074-b885-aea26bd6241e_ContentBits">
    <vt:lpwstr>0</vt:lpwstr>
  </property>
  <property fmtid="{D5CDD505-2E9C-101B-9397-08002B2CF9AE}" pid="13" name="MediaServiceImageTags">
    <vt:lpwstr/>
  </property>
  <property fmtid="{D5CDD505-2E9C-101B-9397-08002B2CF9AE}" pid="14" name="docLang">
    <vt:lpwstr>en</vt:lpwstr>
  </property>
</Properties>
</file>