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C565D2">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C565D2">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C565D2">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C565D2">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C565D2">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2C15176F" w14:textId="60DB75B6" w:rsidR="00E3480D" w:rsidRDefault="00E3480D">
      <w:pPr>
        <w:pStyle w:val="AOHead1"/>
        <w:numPr>
          <w:ilvl w:val="0"/>
          <w:numId w:val="0"/>
        </w:numPr>
        <w:ind w:left="720" w:hanging="720"/>
        <w:jc w:val="center"/>
        <w:rPr>
          <w:rFonts w:ascii="Verdana" w:hAnsi="Verdana"/>
          <w:sz w:val="20"/>
          <w:szCs w:val="20"/>
        </w:rPr>
      </w:pPr>
      <w:r w:rsidRPr="00E3480D">
        <w:rPr>
          <w:rFonts w:ascii="Verdana" w:hAnsi="Verdana"/>
          <w:sz w:val="20"/>
          <w:szCs w:val="20"/>
        </w:rPr>
        <w:t>FINALISATION OF DISTRIBUTIONS TO SHAREHOLDERS</w:t>
      </w:r>
    </w:p>
    <w:p w14:paraId="4D6E5433" w14:textId="17EF7A85" w:rsidR="003B235D" w:rsidRPr="003B235D" w:rsidRDefault="00883D47" w:rsidP="008816DF">
      <w:pPr>
        <w:pStyle w:val="AODocTxt"/>
        <w:rPr>
          <w:rFonts w:ascii="Verdana" w:hAnsi="Verdana"/>
          <w:sz w:val="20"/>
          <w:szCs w:val="20"/>
        </w:rPr>
      </w:pPr>
      <w:r w:rsidRPr="5A0B6B56">
        <w:rPr>
          <w:rFonts w:ascii="Verdana" w:hAnsi="Verdana"/>
          <w:sz w:val="20"/>
          <w:szCs w:val="20"/>
        </w:rPr>
        <w:t>Further to the announcement on 2</w:t>
      </w:r>
      <w:r w:rsidR="005454D0">
        <w:rPr>
          <w:rFonts w:ascii="Verdana" w:hAnsi="Verdana"/>
          <w:sz w:val="20"/>
          <w:szCs w:val="20"/>
        </w:rPr>
        <w:t>1</w:t>
      </w:r>
      <w:r w:rsidRPr="5A0B6B56">
        <w:rPr>
          <w:rFonts w:ascii="Verdana" w:hAnsi="Verdana"/>
          <w:sz w:val="20"/>
          <w:szCs w:val="20"/>
        </w:rPr>
        <w:t xml:space="preserve"> August 202</w:t>
      </w:r>
      <w:r w:rsidR="0011408E">
        <w:rPr>
          <w:rFonts w:ascii="Verdana" w:hAnsi="Verdana"/>
          <w:sz w:val="20"/>
          <w:szCs w:val="20"/>
        </w:rPr>
        <w:t>5</w:t>
      </w:r>
      <w:r w:rsidR="003B235D" w:rsidRPr="5A0B6B56">
        <w:rPr>
          <w:rFonts w:ascii="Verdana" w:hAnsi="Verdana"/>
          <w:sz w:val="20"/>
          <w:szCs w:val="20"/>
        </w:rPr>
        <w:t>, holders of ordinary shares N are entitled to a gross payment, in</w:t>
      </w:r>
      <w:r w:rsidR="00BC0CD4" w:rsidRPr="5A0B6B56">
        <w:rPr>
          <w:rFonts w:ascii="Verdana" w:hAnsi="Verdana"/>
          <w:sz w:val="20"/>
          <w:szCs w:val="20"/>
        </w:rPr>
        <w:t xml:space="preserve"> </w:t>
      </w:r>
      <w:r w:rsidR="003B235D" w:rsidRPr="5A0B6B56">
        <w:rPr>
          <w:rFonts w:ascii="Verdana" w:hAnsi="Verdana"/>
          <w:sz w:val="20"/>
          <w:szCs w:val="20"/>
        </w:rPr>
        <w:t xml:space="preserve">the form of a capital repayment, of </w:t>
      </w:r>
      <w:r w:rsidR="0011408E">
        <w:rPr>
          <w:rFonts w:ascii="Verdana" w:hAnsi="Verdana"/>
          <w:sz w:val="20"/>
          <w:szCs w:val="20"/>
        </w:rPr>
        <w:t>2</w:t>
      </w:r>
      <w:r w:rsidR="00324F97" w:rsidRPr="5A0B6B56">
        <w:rPr>
          <w:rFonts w:ascii="Verdana" w:hAnsi="Verdana"/>
          <w:sz w:val="20"/>
          <w:szCs w:val="20"/>
        </w:rPr>
        <w:t>0</w:t>
      </w:r>
      <w:r w:rsidR="003B235D" w:rsidRPr="5A0B6B56">
        <w:rPr>
          <w:rFonts w:ascii="Verdana" w:hAnsi="Verdana"/>
          <w:sz w:val="20"/>
          <w:szCs w:val="20"/>
        </w:rPr>
        <w:t xml:space="preserve"> euro cents per share, </w:t>
      </w:r>
      <w:r w:rsidR="008816DF" w:rsidRPr="5A0B6B56">
        <w:rPr>
          <w:rFonts w:ascii="Verdana" w:hAnsi="Verdana"/>
          <w:sz w:val="20"/>
          <w:szCs w:val="20"/>
        </w:rPr>
        <w:t>holders of ordinary shares A1 will receive a dividend distribution o</w:t>
      </w:r>
      <w:r w:rsidR="008816DF" w:rsidRPr="5A0B6B56">
        <w:rPr>
          <w:rFonts w:ascii="Verdana" w:eastAsiaTheme="minorEastAsia" w:hAnsi="Verdana" w:cstheme="minorBidi"/>
          <w:sz w:val="20"/>
          <w:szCs w:val="20"/>
        </w:rPr>
        <w:t xml:space="preserve">f </w:t>
      </w:r>
      <w:r w:rsidR="00165E35">
        <w:rPr>
          <w:rFonts w:ascii="Verdana" w:eastAsiaTheme="minorEastAsia" w:hAnsi="Verdana" w:cstheme="minorBidi"/>
          <w:sz w:val="20"/>
          <w:szCs w:val="20"/>
        </w:rPr>
        <w:t>2</w:t>
      </w:r>
      <w:r w:rsidR="008630F3">
        <w:rPr>
          <w:rFonts w:ascii="Verdana" w:eastAsiaTheme="minorEastAsia" w:hAnsi="Verdana" w:cstheme="minorBidi"/>
          <w:sz w:val="20"/>
          <w:szCs w:val="20"/>
        </w:rPr>
        <w:t>.</w:t>
      </w:r>
      <w:r w:rsidR="00E035B8">
        <w:rPr>
          <w:rFonts w:ascii="Verdana" w:eastAsiaTheme="minorEastAsia" w:hAnsi="Verdana" w:cstheme="minorBidi"/>
          <w:sz w:val="20"/>
          <w:szCs w:val="20"/>
        </w:rPr>
        <w:t>41</w:t>
      </w:r>
      <w:r w:rsidR="005E62FC">
        <w:rPr>
          <w:rFonts w:ascii="Verdana" w:eastAsiaTheme="minorEastAsia" w:hAnsi="Verdana" w:cstheme="minorBidi"/>
          <w:sz w:val="20"/>
          <w:szCs w:val="20"/>
        </w:rPr>
        <w:t>716</w:t>
      </w:r>
      <w:r w:rsidR="00E035B8" w:rsidRPr="5A0B6B56">
        <w:rPr>
          <w:rFonts w:ascii="Verdana" w:eastAsiaTheme="minorEastAsia" w:hAnsi="Verdana" w:cstheme="minorBidi"/>
          <w:sz w:val="20"/>
          <w:szCs w:val="20"/>
        </w:rPr>
        <w:t xml:space="preserve"> </w:t>
      </w:r>
      <w:r w:rsidR="008816DF" w:rsidRPr="5A0B6B56">
        <w:rPr>
          <w:rFonts w:ascii="Verdana" w:eastAsiaTheme="minorEastAsia" w:hAnsi="Verdana" w:cstheme="minorBidi"/>
          <w:sz w:val="20"/>
          <w:szCs w:val="20"/>
        </w:rPr>
        <w:t>euro c</w:t>
      </w:r>
      <w:r w:rsidR="008816DF" w:rsidRPr="5A0B6B56">
        <w:rPr>
          <w:rFonts w:ascii="Verdana" w:hAnsi="Verdana"/>
          <w:sz w:val="20"/>
          <w:szCs w:val="20"/>
        </w:rPr>
        <w:t>ents per share and holders of ordinary shares B will receive a dividend distribution of 0.0000</w:t>
      </w:r>
      <w:r w:rsidR="00CC6CC7">
        <w:rPr>
          <w:rFonts w:ascii="Verdana" w:hAnsi="Verdana"/>
          <w:sz w:val="20"/>
          <w:szCs w:val="20"/>
        </w:rPr>
        <w:t>2</w:t>
      </w:r>
      <w:r w:rsidR="008816DF" w:rsidRPr="5A0B6B56">
        <w:rPr>
          <w:rFonts w:ascii="Verdana" w:hAnsi="Verdana"/>
          <w:sz w:val="20"/>
          <w:szCs w:val="20"/>
        </w:rPr>
        <w:t xml:space="preserve"> euro cents per share for the year ended 31 March 202</w:t>
      </w:r>
      <w:r w:rsidR="00CC6CC7">
        <w:rPr>
          <w:rFonts w:ascii="Verdana" w:hAnsi="Verdana"/>
          <w:sz w:val="20"/>
          <w:szCs w:val="20"/>
        </w:rPr>
        <w:t>5</w:t>
      </w:r>
      <w:r w:rsidR="008816DF" w:rsidRPr="5A0B6B56">
        <w:rPr>
          <w:rFonts w:ascii="Verdana" w:hAnsi="Verdana"/>
          <w:sz w:val="20"/>
          <w:szCs w:val="20"/>
        </w:rPr>
        <w:t>.</w:t>
      </w:r>
    </w:p>
    <w:p w14:paraId="7124C459" w14:textId="5199DDA6" w:rsidR="003B235D" w:rsidRPr="003B235D" w:rsidRDefault="003B235D" w:rsidP="003B235D">
      <w:pPr>
        <w:pStyle w:val="AODocTxt"/>
        <w:rPr>
          <w:rFonts w:ascii="Verdana" w:hAnsi="Verdana"/>
          <w:sz w:val="20"/>
          <w:szCs w:val="20"/>
        </w:rPr>
      </w:pPr>
      <w:r w:rsidRPr="003B235D">
        <w:rPr>
          <w:rFonts w:ascii="Verdana" w:hAnsi="Verdana"/>
          <w:sz w:val="20"/>
          <w:szCs w:val="20"/>
        </w:rPr>
        <w:t xml:space="preserve">Holders of ordinary shares N as at </w:t>
      </w:r>
      <w:r w:rsidR="00324711">
        <w:rPr>
          <w:rFonts w:ascii="Verdana" w:hAnsi="Verdana"/>
          <w:sz w:val="20"/>
          <w:szCs w:val="20"/>
        </w:rPr>
        <w:t>the Record Date</w:t>
      </w:r>
      <w:r w:rsidRPr="003B235D">
        <w:rPr>
          <w:rFonts w:ascii="Verdana" w:hAnsi="Verdana"/>
          <w:sz w:val="20"/>
          <w:szCs w:val="20"/>
        </w:rPr>
        <w:t xml:space="preserve"> who do not wish to receive a capital repayment can elect to receive a dividend instead. A</w:t>
      </w:r>
      <w:r w:rsidR="00495C76">
        <w:rPr>
          <w:rFonts w:ascii="Verdana" w:hAnsi="Verdana"/>
          <w:sz w:val="20"/>
          <w:szCs w:val="20"/>
        </w:rPr>
        <w:t xml:space="preserve"> </w:t>
      </w:r>
      <w:r w:rsidRPr="003B235D">
        <w:rPr>
          <w:rFonts w:ascii="Verdana" w:hAnsi="Verdana"/>
          <w:sz w:val="20"/>
          <w:szCs w:val="20"/>
        </w:rPr>
        <w:t>choice for one option implies an opt-out of the other option. Elections to receive a dividend</w:t>
      </w:r>
      <w:r w:rsidR="00495C76">
        <w:rPr>
          <w:rFonts w:ascii="Verdana" w:hAnsi="Verdana"/>
          <w:sz w:val="20"/>
          <w:szCs w:val="20"/>
        </w:rPr>
        <w:t xml:space="preserve"> </w:t>
      </w:r>
      <w:r w:rsidRPr="003B235D">
        <w:rPr>
          <w:rFonts w:ascii="Verdana" w:hAnsi="Verdana"/>
          <w:sz w:val="20"/>
          <w:szCs w:val="20"/>
        </w:rPr>
        <w:t>instead of a capital repayment will need to be made by holders of ordinary shares N by</w:t>
      </w:r>
      <w:r w:rsidR="00495C76">
        <w:rPr>
          <w:rFonts w:ascii="Verdana" w:hAnsi="Verdana"/>
          <w:sz w:val="20"/>
          <w:szCs w:val="20"/>
        </w:rPr>
        <w:t xml:space="preserve"> </w:t>
      </w:r>
      <w:r w:rsidRPr="003B235D">
        <w:rPr>
          <w:rFonts w:ascii="Verdana" w:hAnsi="Verdana"/>
          <w:sz w:val="20"/>
          <w:szCs w:val="20"/>
        </w:rPr>
        <w:t xml:space="preserve">Monday, </w:t>
      </w:r>
      <w:r w:rsidR="00FC0CC0">
        <w:rPr>
          <w:rFonts w:ascii="Verdana" w:hAnsi="Verdana"/>
          <w:sz w:val="20"/>
          <w:szCs w:val="20"/>
        </w:rPr>
        <w:t>17</w:t>
      </w:r>
      <w:r w:rsidRPr="003B235D">
        <w:rPr>
          <w:rFonts w:ascii="Verdana" w:hAnsi="Verdana"/>
          <w:sz w:val="20"/>
          <w:szCs w:val="20"/>
        </w:rPr>
        <w:t xml:space="preserve"> November 202</w:t>
      </w:r>
      <w:r w:rsidR="00FC0CC0">
        <w:rPr>
          <w:rFonts w:ascii="Verdana" w:hAnsi="Verdana"/>
          <w:sz w:val="20"/>
          <w:szCs w:val="20"/>
        </w:rPr>
        <w:t>5</w:t>
      </w:r>
      <w:r w:rsidRPr="003B235D">
        <w:rPr>
          <w:rFonts w:ascii="Verdana" w:hAnsi="Verdana"/>
          <w:sz w:val="20"/>
          <w:szCs w:val="20"/>
        </w:rPr>
        <w:t>. Capital repayments and dividends will be payable to</w:t>
      </w:r>
      <w:r w:rsidR="00495C76">
        <w:rPr>
          <w:rFonts w:ascii="Verdana" w:hAnsi="Verdana"/>
          <w:sz w:val="20"/>
          <w:szCs w:val="20"/>
        </w:rPr>
        <w:t xml:space="preserve"> </w:t>
      </w:r>
      <w:r w:rsidRPr="003B235D">
        <w:rPr>
          <w:rFonts w:ascii="Verdana" w:hAnsi="Verdana"/>
          <w:sz w:val="20"/>
          <w:szCs w:val="20"/>
        </w:rPr>
        <w:t xml:space="preserve">shareholders recorded in the books on the dividend </w:t>
      </w:r>
      <w:r w:rsidR="0078387A">
        <w:rPr>
          <w:rFonts w:ascii="Verdana" w:hAnsi="Verdana"/>
          <w:sz w:val="20"/>
          <w:szCs w:val="20"/>
        </w:rPr>
        <w:t>R</w:t>
      </w:r>
      <w:r w:rsidR="0078387A" w:rsidRPr="003B235D">
        <w:rPr>
          <w:rFonts w:ascii="Verdana" w:hAnsi="Verdana"/>
          <w:sz w:val="20"/>
          <w:szCs w:val="20"/>
        </w:rPr>
        <w:t xml:space="preserve">ecord </w:t>
      </w:r>
      <w:r w:rsidR="0078387A">
        <w:rPr>
          <w:rFonts w:ascii="Verdana" w:hAnsi="Verdana"/>
          <w:sz w:val="20"/>
          <w:szCs w:val="20"/>
        </w:rPr>
        <w:t>D</w:t>
      </w:r>
      <w:r w:rsidR="0078387A" w:rsidRPr="003B235D">
        <w:rPr>
          <w:rFonts w:ascii="Verdana" w:hAnsi="Verdana"/>
          <w:sz w:val="20"/>
          <w:szCs w:val="20"/>
        </w:rPr>
        <w:t xml:space="preserve">ate </w:t>
      </w:r>
      <w:r w:rsidRPr="003B235D">
        <w:rPr>
          <w:rFonts w:ascii="Verdana" w:hAnsi="Verdana"/>
          <w:sz w:val="20"/>
          <w:szCs w:val="20"/>
        </w:rPr>
        <w:t xml:space="preserve">and paid </w:t>
      </w:r>
      <w:r w:rsidRPr="001D14FE">
        <w:rPr>
          <w:rFonts w:ascii="Verdana" w:hAnsi="Verdana"/>
          <w:sz w:val="20"/>
          <w:szCs w:val="20"/>
        </w:rPr>
        <w:t xml:space="preserve">on or after </w:t>
      </w:r>
      <w:r w:rsidR="00324711" w:rsidRPr="001D14FE">
        <w:rPr>
          <w:rFonts w:ascii="Verdana" w:hAnsi="Verdana"/>
          <w:sz w:val="20"/>
          <w:szCs w:val="20"/>
        </w:rPr>
        <w:t>the Payment Date</w:t>
      </w:r>
      <w:r w:rsidRPr="001D14FE">
        <w:rPr>
          <w:rFonts w:ascii="Verdana" w:hAnsi="Verdana"/>
          <w:sz w:val="20"/>
          <w:szCs w:val="20"/>
        </w:rPr>
        <w:t>.</w:t>
      </w:r>
      <w:r w:rsidR="004D222A">
        <w:rPr>
          <w:rFonts w:ascii="Verdana" w:hAnsi="Verdana"/>
          <w:sz w:val="20"/>
          <w:szCs w:val="20"/>
        </w:rPr>
        <w:t xml:space="preserve">  </w:t>
      </w:r>
    </w:p>
    <w:p w14:paraId="703E91B6" w14:textId="2F292429" w:rsidR="003B235D" w:rsidRDefault="003B235D" w:rsidP="003B235D">
      <w:pPr>
        <w:pStyle w:val="AODocTxt"/>
        <w:rPr>
          <w:rFonts w:ascii="Verdana" w:hAnsi="Verdana"/>
          <w:sz w:val="20"/>
          <w:szCs w:val="20"/>
        </w:rPr>
      </w:pPr>
      <w:r w:rsidRPr="003B235D">
        <w:rPr>
          <w:rFonts w:ascii="Verdana" w:hAnsi="Verdana"/>
          <w:sz w:val="20"/>
          <w:szCs w:val="20"/>
        </w:rPr>
        <w:t>Dividends and capital repayments are declared and paid in euros. Those holders holding their</w:t>
      </w:r>
      <w:r w:rsidR="00495C76">
        <w:rPr>
          <w:rFonts w:ascii="Verdana" w:hAnsi="Verdana"/>
          <w:sz w:val="20"/>
          <w:szCs w:val="20"/>
        </w:rPr>
        <w:t xml:space="preserve"> </w:t>
      </w:r>
      <w:r w:rsidRPr="003B235D">
        <w:rPr>
          <w:rFonts w:ascii="Verdana" w:hAnsi="Verdana"/>
          <w:sz w:val="20"/>
          <w:szCs w:val="20"/>
        </w:rPr>
        <w:t xml:space="preserve">ordinary shares N in South Africa via Strate will receive a gross distribution of </w:t>
      </w:r>
      <w:r w:rsidR="006D7E8A" w:rsidRPr="008738CB">
        <w:rPr>
          <w:rFonts w:ascii="Verdana" w:hAnsi="Verdana"/>
          <w:sz w:val="20"/>
          <w:szCs w:val="20"/>
        </w:rPr>
        <w:t>412.4360 </w:t>
      </w:r>
      <w:r w:rsidRPr="003B235D">
        <w:rPr>
          <w:rFonts w:ascii="Verdana" w:hAnsi="Verdana"/>
          <w:sz w:val="20"/>
          <w:szCs w:val="20"/>
        </w:rPr>
        <w:t>Rand</w:t>
      </w:r>
      <w:r w:rsidR="00495C76">
        <w:rPr>
          <w:rFonts w:ascii="Verdana" w:hAnsi="Verdana"/>
          <w:sz w:val="20"/>
          <w:szCs w:val="20"/>
        </w:rPr>
        <w:t xml:space="preserve"> </w:t>
      </w:r>
      <w:r w:rsidRPr="003B235D">
        <w:rPr>
          <w:rFonts w:ascii="Verdana" w:hAnsi="Verdana"/>
          <w:sz w:val="20"/>
          <w:szCs w:val="20"/>
        </w:rPr>
        <w:t xml:space="preserve">cents per ordinary share N. This is based on an EUR/ZAR exchange rate of </w:t>
      </w:r>
      <w:r w:rsidR="00756940">
        <w:rPr>
          <w:rFonts w:ascii="Verdana" w:hAnsi="Verdana"/>
          <w:sz w:val="20"/>
          <w:szCs w:val="20"/>
        </w:rPr>
        <w:t>R</w:t>
      </w:r>
      <w:r w:rsidR="00756940" w:rsidRPr="008738CB">
        <w:rPr>
          <w:rFonts w:ascii="Verdana" w:hAnsi="Verdana"/>
          <w:sz w:val="20"/>
          <w:szCs w:val="20"/>
          <w:lang w:val="en-ZA"/>
        </w:rPr>
        <w:t>20.6218 </w:t>
      </w:r>
      <w:r w:rsidRPr="003B235D">
        <w:rPr>
          <w:rFonts w:ascii="Verdana" w:hAnsi="Verdana"/>
          <w:sz w:val="20"/>
          <w:szCs w:val="20"/>
        </w:rPr>
        <w:t>as at 2</w:t>
      </w:r>
      <w:r w:rsidR="00756940">
        <w:rPr>
          <w:rFonts w:ascii="Verdana" w:hAnsi="Verdana"/>
          <w:sz w:val="20"/>
          <w:szCs w:val="20"/>
        </w:rPr>
        <w:t>0</w:t>
      </w:r>
      <w:r w:rsidR="00586AE8">
        <w:rPr>
          <w:rFonts w:ascii="Verdana" w:hAnsi="Verdana"/>
          <w:sz w:val="20"/>
          <w:szCs w:val="20"/>
        </w:rPr>
        <w:t> </w:t>
      </w:r>
      <w:r w:rsidRPr="003B235D">
        <w:rPr>
          <w:rFonts w:ascii="Verdana" w:hAnsi="Verdana"/>
          <w:sz w:val="20"/>
          <w:szCs w:val="20"/>
        </w:rPr>
        <w:t>August 202</w:t>
      </w:r>
      <w:r w:rsidR="00756940">
        <w:rPr>
          <w:rFonts w:ascii="Verdana" w:hAnsi="Verdana"/>
          <w:sz w:val="20"/>
          <w:szCs w:val="20"/>
        </w:rPr>
        <w:t>5</w:t>
      </w:r>
      <w:r w:rsidRPr="003B235D">
        <w:rPr>
          <w:rFonts w:ascii="Verdana" w:hAnsi="Verdana"/>
          <w:sz w:val="20"/>
          <w:szCs w:val="20"/>
        </w:rPr>
        <w:t>.</w:t>
      </w:r>
    </w:p>
    <w:p w14:paraId="08216AB6" w14:textId="77777777" w:rsidR="00BA2793" w:rsidRPr="00C967C9" w:rsidRDefault="00BA2793" w:rsidP="00C967C9">
      <w:pPr>
        <w:pStyle w:val="AODocTxt"/>
        <w:keepNext/>
        <w:jc w:val="left"/>
        <w:rPr>
          <w:rFonts w:ascii="Verdana" w:hAnsi="Verdana"/>
          <w:b/>
          <w:bCs/>
          <w:sz w:val="20"/>
          <w:szCs w:val="20"/>
        </w:rPr>
      </w:pPr>
      <w:r w:rsidRPr="00C967C9">
        <w:rPr>
          <w:rFonts w:ascii="Verdana" w:hAnsi="Verdana"/>
          <w:b/>
          <w:bCs/>
          <w:sz w:val="20"/>
          <w:szCs w:val="20"/>
        </w:rPr>
        <w:t>Salient dates:</w:t>
      </w:r>
    </w:p>
    <w:tbl>
      <w:tblPr>
        <w:tblStyle w:val="GridTable1Light"/>
        <w:tblW w:w="9634" w:type="dxa"/>
        <w:tblLook w:val="04A0" w:firstRow="1" w:lastRow="0" w:firstColumn="1" w:lastColumn="0" w:noHBand="0" w:noVBand="1"/>
      </w:tblPr>
      <w:tblGrid>
        <w:gridCol w:w="3397"/>
        <w:gridCol w:w="6237"/>
      </w:tblGrid>
      <w:tr w:rsidR="002F3217" w14:paraId="6C28CEB0" w14:textId="77777777" w:rsidTr="5A0B6B56">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397" w:type="dxa"/>
          </w:tcPr>
          <w:p w14:paraId="7A1E35C1" w14:textId="5465CAB3" w:rsidR="002F3217" w:rsidRPr="00D3348B" w:rsidRDefault="002F3217" w:rsidP="00C967C9">
            <w:pPr>
              <w:pStyle w:val="AODocTxt"/>
              <w:keepNext/>
              <w:spacing w:before="60" w:after="60"/>
              <w:rPr>
                <w:rFonts w:ascii="Verdana" w:hAnsi="Verdana"/>
                <w:sz w:val="20"/>
                <w:szCs w:val="20"/>
              </w:rPr>
            </w:pPr>
            <w:r w:rsidRPr="00D3348B">
              <w:rPr>
                <w:rFonts w:ascii="Verdana" w:hAnsi="Verdana"/>
                <w:sz w:val="20"/>
                <w:szCs w:val="20"/>
              </w:rPr>
              <w:t>Date</w:t>
            </w:r>
          </w:p>
        </w:tc>
        <w:tc>
          <w:tcPr>
            <w:tcW w:w="6237" w:type="dxa"/>
          </w:tcPr>
          <w:p w14:paraId="74012D03" w14:textId="43CD5F42" w:rsidR="002F3217" w:rsidRPr="00D3348B" w:rsidRDefault="002F3217" w:rsidP="00D3348B">
            <w:pPr>
              <w:pStyle w:val="AODocTxt"/>
              <w:spacing w:before="60" w:after="60"/>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D3348B">
              <w:rPr>
                <w:rFonts w:ascii="Verdana" w:hAnsi="Verdana"/>
                <w:sz w:val="20"/>
                <w:szCs w:val="20"/>
              </w:rPr>
              <w:t>Event</w:t>
            </w:r>
          </w:p>
        </w:tc>
      </w:tr>
      <w:tr w:rsidR="002F3217" w14:paraId="1318DE7C" w14:textId="77777777" w:rsidTr="5A0B6B56">
        <w:trPr>
          <w:trHeight w:val="3765"/>
        </w:trPr>
        <w:tc>
          <w:tcPr>
            <w:cnfStyle w:val="001000000000" w:firstRow="0" w:lastRow="0" w:firstColumn="1" w:lastColumn="0" w:oddVBand="0" w:evenVBand="0" w:oddHBand="0" w:evenHBand="0" w:firstRowFirstColumn="0" w:firstRowLastColumn="0" w:lastRowFirstColumn="0" w:lastRowLastColumn="0"/>
            <w:tcW w:w="3397" w:type="dxa"/>
            <w:hideMark/>
          </w:tcPr>
          <w:p w14:paraId="107B80CF" w14:textId="15AEBEA2" w:rsidR="002F3217" w:rsidRPr="002F3217" w:rsidRDefault="002F3217" w:rsidP="00D3348B">
            <w:pPr>
              <w:pStyle w:val="AODocTxt"/>
              <w:spacing w:before="60" w:after="60"/>
              <w:rPr>
                <w:rFonts w:ascii="Verdana" w:hAnsi="Verdana"/>
                <w:b w:val="0"/>
                <w:bCs w:val="0"/>
                <w:sz w:val="20"/>
                <w:szCs w:val="20"/>
              </w:rPr>
            </w:pPr>
            <w:r w:rsidRPr="002F3217">
              <w:rPr>
                <w:rFonts w:ascii="Verdana" w:hAnsi="Verdana"/>
                <w:b w:val="0"/>
                <w:bCs w:val="0"/>
                <w:sz w:val="20"/>
                <w:szCs w:val="20"/>
              </w:rPr>
              <w:t>Wednesday, 2</w:t>
            </w:r>
            <w:r w:rsidR="006D7E8A">
              <w:rPr>
                <w:rFonts w:ascii="Verdana" w:hAnsi="Verdana"/>
                <w:b w:val="0"/>
                <w:bCs w:val="0"/>
                <w:sz w:val="20"/>
                <w:szCs w:val="20"/>
              </w:rPr>
              <w:t>0</w:t>
            </w:r>
            <w:r w:rsidRPr="002F3217">
              <w:rPr>
                <w:rFonts w:ascii="Verdana" w:hAnsi="Verdana"/>
                <w:b w:val="0"/>
                <w:bCs w:val="0"/>
                <w:sz w:val="20"/>
                <w:szCs w:val="20"/>
              </w:rPr>
              <w:t xml:space="preserve"> August 202</w:t>
            </w:r>
            <w:r w:rsidR="006D7E8A">
              <w:rPr>
                <w:rFonts w:ascii="Verdana" w:hAnsi="Verdana"/>
                <w:b w:val="0"/>
                <w:bCs w:val="0"/>
                <w:sz w:val="20"/>
                <w:szCs w:val="20"/>
              </w:rPr>
              <w:t>5</w:t>
            </w:r>
          </w:p>
        </w:tc>
        <w:tc>
          <w:tcPr>
            <w:tcW w:w="6237" w:type="dxa"/>
            <w:hideMark/>
          </w:tcPr>
          <w:p w14:paraId="6D093873" w14:textId="77777777"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 xml:space="preserve">Annual general meeting, including resolution to approve the distribution as follows: </w:t>
            </w:r>
          </w:p>
          <w:p w14:paraId="15C776E9" w14:textId="4347D835" w:rsidR="002F3217" w:rsidRPr="002F3217" w:rsidRDefault="006D7E8A" w:rsidP="00D3348B">
            <w:pPr>
              <w:pStyle w:val="AODocTxt"/>
              <w:numPr>
                <w:ilvl w:val="0"/>
                <w:numId w:val="2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2</w:t>
            </w:r>
            <w:r w:rsidR="002F3217" w:rsidRPr="002F3217">
              <w:rPr>
                <w:rFonts w:ascii="Verdana" w:hAnsi="Verdana"/>
                <w:sz w:val="20"/>
                <w:szCs w:val="20"/>
              </w:rPr>
              <w:t>0 euro cents per share to N shareholders</w:t>
            </w:r>
          </w:p>
          <w:p w14:paraId="2029881C" w14:textId="1864420D" w:rsidR="002F3217" w:rsidRPr="002F3217" w:rsidRDefault="002F3217" w:rsidP="00D3348B">
            <w:pPr>
              <w:pStyle w:val="AODocTxt"/>
              <w:numPr>
                <w:ilvl w:val="1"/>
                <w:numId w:val="2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election to receive distribution in the form of a dividend</w:t>
            </w:r>
          </w:p>
          <w:p w14:paraId="74576E3D" w14:textId="77777777" w:rsidR="002F3217" w:rsidRPr="002F3217" w:rsidRDefault="002F3217" w:rsidP="00D3348B">
            <w:pPr>
              <w:pStyle w:val="AODocTxt"/>
              <w:numPr>
                <w:ilvl w:val="1"/>
                <w:numId w:val="2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default if no election is made will be a capital repayment</w:t>
            </w:r>
          </w:p>
          <w:p w14:paraId="313400B9" w14:textId="0E69F857" w:rsidR="002F3217" w:rsidRPr="002C180F" w:rsidRDefault="002F3217" w:rsidP="00D3348B">
            <w:pPr>
              <w:pStyle w:val="AODocTxt"/>
              <w:numPr>
                <w:ilvl w:val="0"/>
                <w:numId w:val="2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C180F">
              <w:rPr>
                <w:rFonts w:ascii="Verdana" w:hAnsi="Verdana"/>
                <w:sz w:val="20"/>
                <w:szCs w:val="20"/>
              </w:rPr>
              <w:t>dividend of 0.0000</w:t>
            </w:r>
            <w:r w:rsidR="006D7E8A">
              <w:rPr>
                <w:rFonts w:ascii="Verdana" w:hAnsi="Verdana"/>
                <w:sz w:val="20"/>
                <w:szCs w:val="20"/>
              </w:rPr>
              <w:t>2</w:t>
            </w:r>
            <w:r w:rsidRPr="002C180F">
              <w:rPr>
                <w:rFonts w:ascii="Verdana" w:hAnsi="Verdana"/>
                <w:sz w:val="20"/>
                <w:szCs w:val="20"/>
              </w:rPr>
              <w:t xml:space="preserve"> euro cents per share to B shareholders</w:t>
            </w:r>
            <w:r w:rsidR="002C180F" w:rsidRPr="002C180F">
              <w:rPr>
                <w:rFonts w:ascii="Verdana" w:hAnsi="Verdana"/>
                <w:sz w:val="20"/>
                <w:szCs w:val="20"/>
              </w:rPr>
              <w:t xml:space="preserve"> (no election)</w:t>
            </w:r>
          </w:p>
          <w:p w14:paraId="330C97EB" w14:textId="4CD81D23" w:rsidR="002F3217" w:rsidRPr="002F3217" w:rsidRDefault="002F3217" w:rsidP="00D3348B">
            <w:pPr>
              <w:pStyle w:val="AODocTxt"/>
              <w:numPr>
                <w:ilvl w:val="0"/>
                <w:numId w:val="2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5A0B6B56">
              <w:rPr>
                <w:rFonts w:ascii="Verdana" w:hAnsi="Verdana"/>
                <w:sz w:val="20"/>
                <w:szCs w:val="20"/>
              </w:rPr>
              <w:t xml:space="preserve">dividend </w:t>
            </w:r>
            <w:r w:rsidR="002C180F" w:rsidRPr="5A0B6B56">
              <w:rPr>
                <w:rFonts w:ascii="Verdana" w:hAnsi="Verdana"/>
                <w:sz w:val="20"/>
                <w:szCs w:val="20"/>
              </w:rPr>
              <w:t xml:space="preserve">of </w:t>
            </w:r>
            <w:r w:rsidR="00860090">
              <w:rPr>
                <w:rFonts w:ascii="Verdana" w:eastAsiaTheme="minorEastAsia" w:hAnsi="Verdana" w:cstheme="minorBidi"/>
                <w:sz w:val="20"/>
                <w:szCs w:val="20"/>
              </w:rPr>
              <w:t>2.</w:t>
            </w:r>
            <w:r w:rsidR="000929DB">
              <w:rPr>
                <w:rFonts w:ascii="Verdana" w:eastAsiaTheme="minorEastAsia" w:hAnsi="Verdana" w:cstheme="minorBidi"/>
                <w:sz w:val="20"/>
                <w:szCs w:val="20"/>
              </w:rPr>
              <w:t>41716</w:t>
            </w:r>
            <w:r w:rsidR="000929DB" w:rsidRPr="5A0B6B56">
              <w:rPr>
                <w:rFonts w:ascii="Verdana" w:eastAsiaTheme="minorEastAsia" w:hAnsi="Verdana" w:cstheme="minorBidi"/>
                <w:sz w:val="20"/>
                <w:szCs w:val="20"/>
              </w:rPr>
              <w:t xml:space="preserve"> </w:t>
            </w:r>
            <w:r w:rsidR="006E1E38">
              <w:rPr>
                <w:rFonts w:ascii="Verdana" w:eastAsiaTheme="minorEastAsia" w:hAnsi="Verdana" w:cstheme="minorBidi"/>
                <w:sz w:val="20"/>
                <w:szCs w:val="20"/>
              </w:rPr>
              <w:t xml:space="preserve">euro cents per share </w:t>
            </w:r>
            <w:r w:rsidRPr="5A0B6B56">
              <w:rPr>
                <w:rFonts w:ascii="Verdana" w:hAnsi="Verdana"/>
                <w:sz w:val="20"/>
                <w:szCs w:val="20"/>
              </w:rPr>
              <w:t>to A</w:t>
            </w:r>
            <w:r w:rsidR="009922D3">
              <w:rPr>
                <w:rFonts w:ascii="Verdana" w:hAnsi="Verdana"/>
                <w:sz w:val="20"/>
                <w:szCs w:val="20"/>
              </w:rPr>
              <w:t>1</w:t>
            </w:r>
            <w:r w:rsidRPr="5A0B6B56">
              <w:rPr>
                <w:rFonts w:ascii="Verdana" w:hAnsi="Verdana"/>
                <w:sz w:val="20"/>
                <w:szCs w:val="20"/>
              </w:rPr>
              <w:t xml:space="preserve"> shareholders</w:t>
            </w:r>
            <w:r w:rsidR="002C180F" w:rsidRPr="5A0B6B56">
              <w:rPr>
                <w:rFonts w:ascii="Verdana" w:hAnsi="Verdana"/>
                <w:sz w:val="20"/>
                <w:szCs w:val="20"/>
              </w:rPr>
              <w:t xml:space="preserve"> (no election)</w:t>
            </w:r>
          </w:p>
          <w:p w14:paraId="2518C031" w14:textId="77777777"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Results of annual general meeting and currency conversion announcement (i.e. ZAR equivalent of Prosus distribution determined for JSE holders)</w:t>
            </w:r>
          </w:p>
          <w:p w14:paraId="4191D804" w14:textId="1EBD3E29"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 xml:space="preserve">Distribution </w:t>
            </w:r>
            <w:r w:rsidR="002C180F">
              <w:rPr>
                <w:rFonts w:ascii="Verdana" w:hAnsi="Verdana"/>
                <w:sz w:val="20"/>
                <w:szCs w:val="20"/>
              </w:rPr>
              <w:t>declaration date</w:t>
            </w:r>
            <w:r w:rsidRPr="002F3217">
              <w:rPr>
                <w:rFonts w:ascii="Verdana" w:hAnsi="Verdana"/>
                <w:sz w:val="20"/>
                <w:szCs w:val="20"/>
              </w:rPr>
              <w:t xml:space="preserve"> </w:t>
            </w:r>
          </w:p>
        </w:tc>
      </w:tr>
      <w:tr w:rsidR="002F3217" w14:paraId="6C53D964" w14:textId="77777777" w:rsidTr="5A0B6B56">
        <w:tc>
          <w:tcPr>
            <w:cnfStyle w:val="001000000000" w:firstRow="0" w:lastRow="0" w:firstColumn="1" w:lastColumn="0" w:oddVBand="0" w:evenVBand="0" w:oddHBand="0" w:evenHBand="0" w:firstRowFirstColumn="0" w:firstRowLastColumn="0" w:lastRowFirstColumn="0" w:lastRowLastColumn="0"/>
            <w:tcW w:w="3397" w:type="dxa"/>
          </w:tcPr>
          <w:p w14:paraId="3C1BE409" w14:textId="24A14EC4" w:rsidR="002F3217" w:rsidRPr="002F3217" w:rsidRDefault="002F3217" w:rsidP="00D3348B">
            <w:pPr>
              <w:pStyle w:val="AODocTxt"/>
              <w:keepNext/>
              <w:keepLines/>
              <w:spacing w:before="60" w:after="60"/>
              <w:rPr>
                <w:rFonts w:ascii="Verdana" w:hAnsi="Verdana"/>
                <w:b w:val="0"/>
                <w:bCs w:val="0"/>
                <w:sz w:val="20"/>
                <w:szCs w:val="20"/>
              </w:rPr>
            </w:pPr>
            <w:r w:rsidRPr="002F3217">
              <w:rPr>
                <w:rFonts w:ascii="Verdana" w:hAnsi="Verdana"/>
                <w:b w:val="0"/>
                <w:bCs w:val="0"/>
                <w:sz w:val="20"/>
                <w:szCs w:val="20"/>
              </w:rPr>
              <w:t>Friday, 2</w:t>
            </w:r>
            <w:r w:rsidR="0087426C">
              <w:rPr>
                <w:rFonts w:ascii="Verdana" w:hAnsi="Verdana"/>
                <w:b w:val="0"/>
                <w:bCs w:val="0"/>
                <w:sz w:val="20"/>
                <w:szCs w:val="20"/>
              </w:rPr>
              <w:t>2</w:t>
            </w:r>
            <w:r w:rsidRPr="002F3217">
              <w:rPr>
                <w:rFonts w:ascii="Verdana" w:hAnsi="Verdana"/>
                <w:b w:val="0"/>
                <w:bCs w:val="0"/>
                <w:sz w:val="20"/>
                <w:szCs w:val="20"/>
              </w:rPr>
              <w:t xml:space="preserve"> August 202</w:t>
            </w:r>
            <w:r w:rsidR="0087426C">
              <w:rPr>
                <w:rFonts w:ascii="Verdana" w:hAnsi="Verdana"/>
                <w:b w:val="0"/>
                <w:bCs w:val="0"/>
                <w:sz w:val="20"/>
                <w:szCs w:val="20"/>
              </w:rPr>
              <w:t>5</w:t>
            </w:r>
            <w:r w:rsidRPr="002F3217">
              <w:rPr>
                <w:rFonts w:ascii="Verdana" w:hAnsi="Verdana"/>
                <w:b w:val="0"/>
                <w:bCs w:val="0"/>
                <w:sz w:val="20"/>
                <w:szCs w:val="20"/>
              </w:rPr>
              <w:t xml:space="preserve"> –</w:t>
            </w:r>
            <w:r w:rsidR="00D3348B">
              <w:rPr>
                <w:rFonts w:ascii="Verdana" w:hAnsi="Verdana"/>
                <w:b w:val="0"/>
                <w:bCs w:val="0"/>
                <w:sz w:val="20"/>
                <w:szCs w:val="20"/>
              </w:rPr>
              <w:br/>
            </w:r>
            <w:r w:rsidRPr="002F3217">
              <w:rPr>
                <w:rFonts w:ascii="Verdana" w:hAnsi="Verdana"/>
                <w:b w:val="0"/>
                <w:bCs w:val="0"/>
                <w:sz w:val="20"/>
                <w:szCs w:val="20"/>
              </w:rPr>
              <w:t>Wednesday, 2</w:t>
            </w:r>
            <w:r w:rsidR="00F95138">
              <w:rPr>
                <w:rFonts w:ascii="Verdana" w:hAnsi="Verdana"/>
                <w:b w:val="0"/>
                <w:bCs w:val="0"/>
                <w:sz w:val="20"/>
                <w:szCs w:val="20"/>
              </w:rPr>
              <w:t>2</w:t>
            </w:r>
            <w:r w:rsidRPr="002F3217">
              <w:rPr>
                <w:rFonts w:ascii="Verdana" w:hAnsi="Verdana"/>
                <w:b w:val="0"/>
                <w:bCs w:val="0"/>
                <w:sz w:val="20"/>
                <w:szCs w:val="20"/>
              </w:rPr>
              <w:t> October 202</w:t>
            </w:r>
            <w:r w:rsidR="00F95138">
              <w:rPr>
                <w:rFonts w:ascii="Verdana" w:hAnsi="Verdana"/>
                <w:b w:val="0"/>
                <w:bCs w:val="0"/>
                <w:sz w:val="20"/>
                <w:szCs w:val="20"/>
              </w:rPr>
              <w:t>5</w:t>
            </w:r>
          </w:p>
        </w:tc>
        <w:tc>
          <w:tcPr>
            <w:tcW w:w="6237" w:type="dxa"/>
          </w:tcPr>
          <w:p w14:paraId="1507EE76" w14:textId="77777777" w:rsidR="002F3217" w:rsidRPr="002F3217" w:rsidRDefault="002F3217" w:rsidP="00D3348B">
            <w:pPr>
              <w:pStyle w:val="AODocTxt"/>
              <w:keepNext/>
              <w:keepLines/>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Mandatory creditor opposition period</w:t>
            </w:r>
          </w:p>
        </w:tc>
      </w:tr>
      <w:tr w:rsidR="002F3217" w14:paraId="13899829" w14:textId="77777777" w:rsidTr="5A0B6B56">
        <w:tc>
          <w:tcPr>
            <w:cnfStyle w:val="001000000000" w:firstRow="0" w:lastRow="0" w:firstColumn="1" w:lastColumn="0" w:oddVBand="0" w:evenVBand="0" w:oddHBand="0" w:evenHBand="0" w:firstRowFirstColumn="0" w:firstRowLastColumn="0" w:lastRowFirstColumn="0" w:lastRowLastColumn="0"/>
            <w:tcW w:w="3397" w:type="dxa"/>
          </w:tcPr>
          <w:p w14:paraId="67C7B7D4" w14:textId="125F51B8" w:rsidR="002F3217" w:rsidRPr="002F3217" w:rsidRDefault="00384293" w:rsidP="00D3348B">
            <w:pPr>
              <w:pStyle w:val="AODocTxt"/>
              <w:spacing w:before="60" w:after="60"/>
              <w:rPr>
                <w:rFonts w:ascii="Verdana" w:hAnsi="Verdana"/>
                <w:b w:val="0"/>
                <w:bCs w:val="0"/>
                <w:sz w:val="20"/>
                <w:szCs w:val="20"/>
              </w:rPr>
            </w:pPr>
            <w:r w:rsidRPr="002F3217">
              <w:rPr>
                <w:rFonts w:ascii="Verdana" w:hAnsi="Verdana"/>
                <w:b w:val="0"/>
                <w:bCs w:val="0"/>
                <w:sz w:val="20"/>
                <w:szCs w:val="20"/>
              </w:rPr>
              <w:t>Wednesday, 2</w:t>
            </w:r>
            <w:r>
              <w:rPr>
                <w:rFonts w:ascii="Verdana" w:hAnsi="Verdana"/>
                <w:b w:val="0"/>
                <w:bCs w:val="0"/>
                <w:sz w:val="20"/>
                <w:szCs w:val="20"/>
              </w:rPr>
              <w:t>2</w:t>
            </w:r>
            <w:r w:rsidRPr="002F3217">
              <w:rPr>
                <w:rFonts w:ascii="Verdana" w:hAnsi="Verdana"/>
                <w:b w:val="0"/>
                <w:bCs w:val="0"/>
                <w:sz w:val="20"/>
                <w:szCs w:val="20"/>
              </w:rPr>
              <w:t> October 202</w:t>
            </w:r>
            <w:r>
              <w:rPr>
                <w:rFonts w:ascii="Verdana" w:hAnsi="Verdana"/>
                <w:b w:val="0"/>
                <w:bCs w:val="0"/>
                <w:sz w:val="20"/>
                <w:szCs w:val="20"/>
              </w:rPr>
              <w:t>5</w:t>
            </w:r>
          </w:p>
        </w:tc>
        <w:tc>
          <w:tcPr>
            <w:tcW w:w="6237" w:type="dxa"/>
          </w:tcPr>
          <w:p w14:paraId="73E42C6F" w14:textId="6DCEAE5F" w:rsidR="002F3217" w:rsidRPr="002F3217" w:rsidRDefault="00384293"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End date creditor opposition period</w:t>
            </w:r>
          </w:p>
        </w:tc>
      </w:tr>
      <w:tr w:rsidR="002F3217" w14:paraId="7D31FEC8" w14:textId="77777777" w:rsidTr="5A0B6B56">
        <w:tc>
          <w:tcPr>
            <w:cnfStyle w:val="001000000000" w:firstRow="0" w:lastRow="0" w:firstColumn="1" w:lastColumn="0" w:oddVBand="0" w:evenVBand="0" w:oddHBand="0" w:evenHBand="0" w:firstRowFirstColumn="0" w:firstRowLastColumn="0" w:lastRowFirstColumn="0" w:lastRowLastColumn="0"/>
            <w:tcW w:w="3397" w:type="dxa"/>
            <w:hideMark/>
          </w:tcPr>
          <w:p w14:paraId="209F1DDC" w14:textId="032BB56E" w:rsidR="002F3217" w:rsidRPr="002F3217" w:rsidRDefault="002F3217" w:rsidP="00D3348B">
            <w:pPr>
              <w:pStyle w:val="AODocTxt"/>
              <w:spacing w:before="60" w:after="60"/>
              <w:rPr>
                <w:rFonts w:ascii="Verdana" w:hAnsi="Verdana"/>
                <w:b w:val="0"/>
                <w:bCs w:val="0"/>
                <w:sz w:val="20"/>
                <w:szCs w:val="20"/>
              </w:rPr>
            </w:pPr>
            <w:r w:rsidRPr="002F3217">
              <w:rPr>
                <w:rFonts w:ascii="Verdana" w:hAnsi="Verdana"/>
                <w:b w:val="0"/>
                <w:bCs w:val="0"/>
                <w:sz w:val="20"/>
                <w:szCs w:val="20"/>
              </w:rPr>
              <w:t>Tuesday, 2</w:t>
            </w:r>
            <w:r w:rsidR="00F95138">
              <w:rPr>
                <w:rFonts w:ascii="Verdana" w:hAnsi="Verdana"/>
                <w:b w:val="0"/>
                <w:bCs w:val="0"/>
                <w:sz w:val="20"/>
                <w:szCs w:val="20"/>
              </w:rPr>
              <w:t>8</w:t>
            </w:r>
            <w:r w:rsidRPr="002F3217">
              <w:rPr>
                <w:rFonts w:ascii="Verdana" w:hAnsi="Verdana"/>
                <w:b w:val="0"/>
                <w:bCs w:val="0"/>
                <w:sz w:val="20"/>
                <w:szCs w:val="20"/>
              </w:rPr>
              <w:t xml:space="preserve"> October 202</w:t>
            </w:r>
            <w:r w:rsidR="00F95138">
              <w:rPr>
                <w:rFonts w:ascii="Verdana" w:hAnsi="Verdana"/>
                <w:b w:val="0"/>
                <w:bCs w:val="0"/>
                <w:sz w:val="20"/>
                <w:szCs w:val="20"/>
              </w:rPr>
              <w:t>5</w:t>
            </w:r>
          </w:p>
        </w:tc>
        <w:tc>
          <w:tcPr>
            <w:tcW w:w="6237" w:type="dxa"/>
            <w:hideMark/>
          </w:tcPr>
          <w:p w14:paraId="134946E8" w14:textId="363E1454"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Last date for an N shareholder to trade on the JSE in order to appear in the shareholder register and participate in the distribution</w:t>
            </w:r>
          </w:p>
        </w:tc>
      </w:tr>
      <w:tr w:rsidR="002F3217" w14:paraId="589B0454" w14:textId="77777777" w:rsidTr="5A0B6B56">
        <w:tc>
          <w:tcPr>
            <w:cnfStyle w:val="001000000000" w:firstRow="0" w:lastRow="0" w:firstColumn="1" w:lastColumn="0" w:oddVBand="0" w:evenVBand="0" w:oddHBand="0" w:evenHBand="0" w:firstRowFirstColumn="0" w:firstRowLastColumn="0" w:lastRowFirstColumn="0" w:lastRowLastColumn="0"/>
            <w:tcW w:w="3397" w:type="dxa"/>
            <w:hideMark/>
          </w:tcPr>
          <w:p w14:paraId="020829F5" w14:textId="3EDCF1DD" w:rsidR="002F3217" w:rsidRPr="002F3217" w:rsidRDefault="002F3217" w:rsidP="00D74A76">
            <w:pPr>
              <w:pStyle w:val="AODocTxt"/>
              <w:keepNext/>
              <w:keepLines/>
              <w:spacing w:before="60" w:after="60"/>
              <w:rPr>
                <w:rFonts w:ascii="Verdana" w:hAnsi="Verdana"/>
                <w:b w:val="0"/>
                <w:bCs w:val="0"/>
                <w:sz w:val="20"/>
                <w:szCs w:val="20"/>
              </w:rPr>
            </w:pPr>
            <w:r w:rsidRPr="002F3217">
              <w:rPr>
                <w:rFonts w:ascii="Verdana" w:hAnsi="Verdana"/>
                <w:b w:val="0"/>
                <w:bCs w:val="0"/>
                <w:sz w:val="20"/>
                <w:szCs w:val="20"/>
              </w:rPr>
              <w:lastRenderedPageBreak/>
              <w:t xml:space="preserve">Wednesday, </w:t>
            </w:r>
            <w:r w:rsidR="00C67115">
              <w:rPr>
                <w:rFonts w:ascii="Verdana" w:hAnsi="Verdana"/>
                <w:b w:val="0"/>
                <w:bCs w:val="0"/>
                <w:sz w:val="20"/>
                <w:szCs w:val="20"/>
              </w:rPr>
              <w:t>29</w:t>
            </w:r>
            <w:r w:rsidRPr="002F3217">
              <w:rPr>
                <w:rFonts w:ascii="Verdana" w:hAnsi="Verdana"/>
                <w:b w:val="0"/>
                <w:bCs w:val="0"/>
                <w:sz w:val="20"/>
                <w:szCs w:val="20"/>
              </w:rPr>
              <w:t xml:space="preserve"> October 202</w:t>
            </w:r>
            <w:r w:rsidR="00C67115">
              <w:rPr>
                <w:rFonts w:ascii="Verdana" w:hAnsi="Verdana"/>
                <w:b w:val="0"/>
                <w:bCs w:val="0"/>
                <w:sz w:val="20"/>
                <w:szCs w:val="20"/>
              </w:rPr>
              <w:t>5</w:t>
            </w:r>
          </w:p>
        </w:tc>
        <w:tc>
          <w:tcPr>
            <w:tcW w:w="6237" w:type="dxa"/>
            <w:hideMark/>
          </w:tcPr>
          <w:p w14:paraId="0E3E53AE" w14:textId="77777777" w:rsidR="002F3217" w:rsidRPr="002F3217" w:rsidRDefault="002F3217" w:rsidP="00D74A76">
            <w:pPr>
              <w:pStyle w:val="AODocTxt"/>
              <w:keepNext/>
              <w:keepLines/>
              <w:numPr>
                <w:ilvl w:val="0"/>
                <w:numId w:val="2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Ex-dividend/capital repayment date for JSE</w:t>
            </w:r>
          </w:p>
          <w:p w14:paraId="081CEC1F" w14:textId="77777777" w:rsidR="002F3217" w:rsidRPr="002F3217" w:rsidRDefault="002F3217" w:rsidP="00D74A76">
            <w:pPr>
              <w:pStyle w:val="AODocTxt"/>
              <w:keepNext/>
              <w:keepLines/>
              <w:numPr>
                <w:ilvl w:val="0"/>
                <w:numId w:val="2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Last date to trade N shares on the Euronext Amsterdam in order to appear in the shareholder register and participate in the distribution</w:t>
            </w:r>
          </w:p>
        </w:tc>
      </w:tr>
      <w:tr w:rsidR="002F3217" w14:paraId="5AE6AEE2" w14:textId="77777777" w:rsidTr="5A0B6B56">
        <w:tc>
          <w:tcPr>
            <w:cnfStyle w:val="001000000000" w:firstRow="0" w:lastRow="0" w:firstColumn="1" w:lastColumn="0" w:oddVBand="0" w:evenVBand="0" w:oddHBand="0" w:evenHBand="0" w:firstRowFirstColumn="0" w:firstRowLastColumn="0" w:lastRowFirstColumn="0" w:lastRowLastColumn="0"/>
            <w:tcW w:w="3397" w:type="dxa"/>
            <w:hideMark/>
          </w:tcPr>
          <w:p w14:paraId="4E01E4A7" w14:textId="67C219CD" w:rsidR="002F3217" w:rsidRPr="002F3217" w:rsidRDefault="002F3217" w:rsidP="00D3348B">
            <w:pPr>
              <w:pStyle w:val="AODocTxt"/>
              <w:spacing w:before="60" w:after="60"/>
              <w:rPr>
                <w:rFonts w:ascii="Verdana" w:hAnsi="Verdana"/>
                <w:b w:val="0"/>
                <w:bCs w:val="0"/>
                <w:sz w:val="20"/>
                <w:szCs w:val="20"/>
              </w:rPr>
            </w:pPr>
            <w:r w:rsidRPr="002F3217">
              <w:rPr>
                <w:rFonts w:ascii="Verdana" w:hAnsi="Verdana"/>
                <w:b w:val="0"/>
                <w:bCs w:val="0"/>
                <w:sz w:val="20"/>
                <w:szCs w:val="20"/>
              </w:rPr>
              <w:t>Thursday, 3</w:t>
            </w:r>
            <w:r w:rsidR="00D85485">
              <w:rPr>
                <w:rFonts w:ascii="Verdana" w:hAnsi="Verdana"/>
                <w:b w:val="0"/>
                <w:bCs w:val="0"/>
                <w:sz w:val="20"/>
                <w:szCs w:val="20"/>
              </w:rPr>
              <w:t>0</w:t>
            </w:r>
            <w:r w:rsidRPr="002F3217">
              <w:rPr>
                <w:rFonts w:ascii="Verdana" w:hAnsi="Verdana"/>
                <w:b w:val="0"/>
                <w:bCs w:val="0"/>
                <w:sz w:val="20"/>
                <w:szCs w:val="20"/>
              </w:rPr>
              <w:t xml:space="preserve"> October 202</w:t>
            </w:r>
            <w:r w:rsidR="00D85485">
              <w:rPr>
                <w:rFonts w:ascii="Verdana" w:hAnsi="Verdana"/>
                <w:b w:val="0"/>
                <w:bCs w:val="0"/>
                <w:sz w:val="20"/>
                <w:szCs w:val="20"/>
              </w:rPr>
              <w:t>5</w:t>
            </w:r>
          </w:p>
        </w:tc>
        <w:tc>
          <w:tcPr>
            <w:tcW w:w="6237" w:type="dxa"/>
            <w:hideMark/>
          </w:tcPr>
          <w:p w14:paraId="39ADC837" w14:textId="77777777"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Ex-dividend/capital repayment date for Euronext Amsterdam</w:t>
            </w:r>
          </w:p>
        </w:tc>
      </w:tr>
      <w:tr w:rsidR="002F3217" w14:paraId="3C8E7480" w14:textId="77777777" w:rsidTr="5A0B6B56">
        <w:trPr>
          <w:trHeight w:val="248"/>
        </w:trPr>
        <w:tc>
          <w:tcPr>
            <w:cnfStyle w:val="001000000000" w:firstRow="0" w:lastRow="0" w:firstColumn="1" w:lastColumn="0" w:oddVBand="0" w:evenVBand="0" w:oddHBand="0" w:evenHBand="0" w:firstRowFirstColumn="0" w:firstRowLastColumn="0" w:lastRowFirstColumn="0" w:lastRowLastColumn="0"/>
            <w:tcW w:w="3397" w:type="dxa"/>
            <w:hideMark/>
          </w:tcPr>
          <w:p w14:paraId="672645E6" w14:textId="7286A77A" w:rsidR="002F3217" w:rsidRPr="002F3217" w:rsidRDefault="002F3217" w:rsidP="00D3348B">
            <w:pPr>
              <w:pStyle w:val="AODocTxt"/>
              <w:spacing w:before="60" w:after="60"/>
              <w:rPr>
                <w:rFonts w:ascii="Verdana" w:hAnsi="Verdana"/>
                <w:b w:val="0"/>
                <w:bCs w:val="0"/>
                <w:sz w:val="20"/>
                <w:szCs w:val="20"/>
              </w:rPr>
            </w:pPr>
            <w:r w:rsidRPr="002F3217">
              <w:rPr>
                <w:rFonts w:ascii="Verdana" w:hAnsi="Verdana"/>
                <w:b w:val="0"/>
                <w:bCs w:val="0"/>
                <w:sz w:val="20"/>
                <w:szCs w:val="20"/>
              </w:rPr>
              <w:t xml:space="preserve">Friday, </w:t>
            </w:r>
            <w:r w:rsidR="00B025A6">
              <w:rPr>
                <w:rFonts w:ascii="Verdana" w:hAnsi="Verdana"/>
                <w:b w:val="0"/>
                <w:bCs w:val="0"/>
                <w:sz w:val="20"/>
                <w:szCs w:val="20"/>
              </w:rPr>
              <w:t>31 October</w:t>
            </w:r>
            <w:r w:rsidRPr="002F3217">
              <w:rPr>
                <w:rFonts w:ascii="Verdana" w:hAnsi="Verdana"/>
                <w:b w:val="0"/>
                <w:bCs w:val="0"/>
                <w:sz w:val="20"/>
                <w:szCs w:val="20"/>
              </w:rPr>
              <w:t xml:space="preserve"> 202</w:t>
            </w:r>
            <w:r w:rsidR="00B025A6">
              <w:rPr>
                <w:rFonts w:ascii="Verdana" w:hAnsi="Verdana"/>
                <w:b w:val="0"/>
                <w:bCs w:val="0"/>
                <w:sz w:val="20"/>
                <w:szCs w:val="20"/>
              </w:rPr>
              <w:t>5</w:t>
            </w:r>
          </w:p>
        </w:tc>
        <w:tc>
          <w:tcPr>
            <w:tcW w:w="6237" w:type="dxa"/>
            <w:hideMark/>
          </w:tcPr>
          <w:p w14:paraId="42547161" w14:textId="29A6391A"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Record date to appear in the shareholder register and participate in the distribution</w:t>
            </w:r>
            <w:r w:rsidR="00324711">
              <w:rPr>
                <w:rFonts w:ascii="Verdana" w:hAnsi="Verdana"/>
                <w:sz w:val="20"/>
                <w:szCs w:val="20"/>
              </w:rPr>
              <w:t xml:space="preserve"> (“</w:t>
            </w:r>
            <w:r w:rsidR="00324711" w:rsidRPr="00324711">
              <w:rPr>
                <w:rFonts w:ascii="Verdana" w:hAnsi="Verdana"/>
                <w:b/>
                <w:bCs/>
                <w:sz w:val="20"/>
                <w:szCs w:val="20"/>
              </w:rPr>
              <w:t>Record Date</w:t>
            </w:r>
            <w:r w:rsidR="00324711">
              <w:rPr>
                <w:rFonts w:ascii="Verdana" w:hAnsi="Verdana"/>
                <w:sz w:val="20"/>
                <w:szCs w:val="20"/>
              </w:rPr>
              <w:t>”)</w:t>
            </w:r>
          </w:p>
        </w:tc>
      </w:tr>
      <w:tr w:rsidR="002F3217" w14:paraId="5F9787F4" w14:textId="77777777" w:rsidTr="5A0B6B56">
        <w:tc>
          <w:tcPr>
            <w:cnfStyle w:val="001000000000" w:firstRow="0" w:lastRow="0" w:firstColumn="1" w:lastColumn="0" w:oddVBand="0" w:evenVBand="0" w:oddHBand="0" w:evenHBand="0" w:firstRowFirstColumn="0" w:firstRowLastColumn="0" w:lastRowFirstColumn="0" w:lastRowLastColumn="0"/>
            <w:tcW w:w="3397" w:type="dxa"/>
            <w:hideMark/>
          </w:tcPr>
          <w:p w14:paraId="4018194F" w14:textId="7D0104D4" w:rsidR="002F3217" w:rsidRPr="002F3217" w:rsidRDefault="002F3217" w:rsidP="00D3348B">
            <w:pPr>
              <w:pStyle w:val="AODocTxt"/>
              <w:spacing w:before="60" w:after="60"/>
              <w:rPr>
                <w:rFonts w:ascii="Verdana" w:hAnsi="Verdana"/>
                <w:b w:val="0"/>
                <w:bCs w:val="0"/>
                <w:sz w:val="20"/>
                <w:szCs w:val="20"/>
              </w:rPr>
            </w:pPr>
            <w:r w:rsidRPr="002F3217">
              <w:rPr>
                <w:rFonts w:ascii="Verdana" w:hAnsi="Verdana"/>
                <w:b w:val="0"/>
                <w:bCs w:val="0"/>
                <w:sz w:val="20"/>
                <w:szCs w:val="20"/>
              </w:rPr>
              <w:t xml:space="preserve">Monday, </w:t>
            </w:r>
            <w:r w:rsidR="000734A7">
              <w:rPr>
                <w:rFonts w:ascii="Verdana" w:hAnsi="Verdana"/>
                <w:b w:val="0"/>
                <w:bCs w:val="0"/>
                <w:sz w:val="20"/>
                <w:szCs w:val="20"/>
              </w:rPr>
              <w:t>3</w:t>
            </w:r>
            <w:r w:rsidRPr="002F3217">
              <w:rPr>
                <w:rFonts w:ascii="Verdana" w:hAnsi="Verdana"/>
                <w:b w:val="0"/>
                <w:bCs w:val="0"/>
                <w:sz w:val="20"/>
                <w:szCs w:val="20"/>
              </w:rPr>
              <w:t xml:space="preserve"> November 202</w:t>
            </w:r>
            <w:r w:rsidR="000734A7">
              <w:rPr>
                <w:rFonts w:ascii="Verdana" w:hAnsi="Verdana"/>
                <w:b w:val="0"/>
                <w:bCs w:val="0"/>
                <w:sz w:val="20"/>
                <w:szCs w:val="20"/>
              </w:rPr>
              <w:t>5</w:t>
            </w:r>
            <w:r w:rsidRPr="002F3217">
              <w:rPr>
                <w:rFonts w:ascii="Verdana" w:hAnsi="Verdana"/>
                <w:b w:val="0"/>
                <w:bCs w:val="0"/>
                <w:sz w:val="20"/>
                <w:szCs w:val="20"/>
              </w:rPr>
              <w:t xml:space="preserve"> – Monday, </w:t>
            </w:r>
            <w:r w:rsidR="00624E13">
              <w:rPr>
                <w:rFonts w:ascii="Verdana" w:hAnsi="Verdana"/>
                <w:b w:val="0"/>
                <w:bCs w:val="0"/>
                <w:sz w:val="20"/>
                <w:szCs w:val="20"/>
              </w:rPr>
              <w:t>17</w:t>
            </w:r>
            <w:r w:rsidRPr="002F3217">
              <w:rPr>
                <w:rFonts w:ascii="Verdana" w:hAnsi="Verdana"/>
                <w:b w:val="0"/>
                <w:bCs w:val="0"/>
                <w:sz w:val="20"/>
                <w:szCs w:val="20"/>
              </w:rPr>
              <w:t xml:space="preserve"> November 202</w:t>
            </w:r>
            <w:r w:rsidR="000734A7">
              <w:rPr>
                <w:rFonts w:ascii="Verdana" w:hAnsi="Verdana"/>
                <w:b w:val="0"/>
                <w:bCs w:val="0"/>
                <w:sz w:val="20"/>
                <w:szCs w:val="20"/>
              </w:rPr>
              <w:t>5</w:t>
            </w:r>
          </w:p>
        </w:tc>
        <w:tc>
          <w:tcPr>
            <w:tcW w:w="6237" w:type="dxa"/>
            <w:hideMark/>
          </w:tcPr>
          <w:p w14:paraId="778FB81F" w14:textId="77777777"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Dividend/capital repayment election period relating to ordinary N shares only</w:t>
            </w:r>
          </w:p>
        </w:tc>
      </w:tr>
      <w:tr w:rsidR="002F3217" w14:paraId="473EED34" w14:textId="77777777" w:rsidTr="5A0B6B56">
        <w:tc>
          <w:tcPr>
            <w:cnfStyle w:val="001000000000" w:firstRow="0" w:lastRow="0" w:firstColumn="1" w:lastColumn="0" w:oddVBand="0" w:evenVBand="0" w:oddHBand="0" w:evenHBand="0" w:firstRowFirstColumn="0" w:firstRowLastColumn="0" w:lastRowFirstColumn="0" w:lastRowLastColumn="0"/>
            <w:tcW w:w="3397" w:type="dxa"/>
          </w:tcPr>
          <w:p w14:paraId="53477DDF" w14:textId="048D3DE0" w:rsidR="002F3217" w:rsidRPr="002F3217" w:rsidRDefault="002F3217" w:rsidP="00D3348B">
            <w:pPr>
              <w:pStyle w:val="AODocTxt"/>
              <w:spacing w:before="60" w:after="60"/>
              <w:rPr>
                <w:rFonts w:ascii="Verdana" w:hAnsi="Verdana"/>
                <w:b w:val="0"/>
                <w:bCs w:val="0"/>
                <w:sz w:val="20"/>
                <w:szCs w:val="20"/>
              </w:rPr>
            </w:pPr>
            <w:r w:rsidRPr="002F3217">
              <w:rPr>
                <w:rFonts w:ascii="Verdana" w:hAnsi="Verdana"/>
                <w:b w:val="0"/>
                <w:bCs w:val="0"/>
                <w:sz w:val="20"/>
                <w:szCs w:val="20"/>
              </w:rPr>
              <w:t>Monday, 2</w:t>
            </w:r>
            <w:r w:rsidR="00624E13">
              <w:rPr>
                <w:rFonts w:ascii="Verdana" w:hAnsi="Verdana"/>
                <w:b w:val="0"/>
                <w:bCs w:val="0"/>
                <w:sz w:val="20"/>
                <w:szCs w:val="20"/>
              </w:rPr>
              <w:t>4</w:t>
            </w:r>
            <w:r w:rsidRPr="002F3217">
              <w:rPr>
                <w:rFonts w:ascii="Verdana" w:hAnsi="Verdana"/>
                <w:b w:val="0"/>
                <w:bCs w:val="0"/>
                <w:sz w:val="20"/>
                <w:szCs w:val="20"/>
              </w:rPr>
              <w:t xml:space="preserve"> November 202</w:t>
            </w:r>
            <w:r w:rsidR="00624E13">
              <w:rPr>
                <w:rFonts w:ascii="Verdana" w:hAnsi="Verdana"/>
                <w:b w:val="0"/>
                <w:bCs w:val="0"/>
                <w:sz w:val="20"/>
                <w:szCs w:val="20"/>
              </w:rPr>
              <w:t>5</w:t>
            </w:r>
          </w:p>
        </w:tc>
        <w:tc>
          <w:tcPr>
            <w:tcW w:w="6237" w:type="dxa"/>
          </w:tcPr>
          <w:p w14:paraId="78B4B2DE" w14:textId="069E99AF"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Notarial deeds to effectuate the increase and decrease of the nominal value per share in the articles of association of Prosus to be signed and published on the website</w:t>
            </w:r>
          </w:p>
        </w:tc>
      </w:tr>
      <w:tr w:rsidR="002F3217" w14:paraId="2067BB4A" w14:textId="77777777" w:rsidTr="5A0B6B56">
        <w:tc>
          <w:tcPr>
            <w:cnfStyle w:val="001000000000" w:firstRow="0" w:lastRow="0" w:firstColumn="1" w:lastColumn="0" w:oddVBand="0" w:evenVBand="0" w:oddHBand="0" w:evenHBand="0" w:firstRowFirstColumn="0" w:firstRowLastColumn="0" w:lastRowFirstColumn="0" w:lastRowLastColumn="0"/>
            <w:tcW w:w="3397" w:type="dxa"/>
            <w:hideMark/>
          </w:tcPr>
          <w:p w14:paraId="541EB5C9" w14:textId="482D4375" w:rsidR="002F3217" w:rsidRPr="002F3217" w:rsidRDefault="002F3217" w:rsidP="00D3348B">
            <w:pPr>
              <w:pStyle w:val="AODocTxt"/>
              <w:spacing w:before="60" w:after="60"/>
              <w:rPr>
                <w:rFonts w:ascii="Verdana" w:hAnsi="Verdana"/>
                <w:b w:val="0"/>
                <w:bCs w:val="0"/>
                <w:sz w:val="20"/>
                <w:szCs w:val="20"/>
              </w:rPr>
            </w:pPr>
            <w:r w:rsidRPr="002F3217">
              <w:rPr>
                <w:rFonts w:ascii="Verdana" w:hAnsi="Verdana"/>
                <w:b w:val="0"/>
                <w:bCs w:val="0"/>
                <w:sz w:val="20"/>
                <w:szCs w:val="20"/>
              </w:rPr>
              <w:t xml:space="preserve">Tuesday, </w:t>
            </w:r>
            <w:bookmarkStart w:id="0" w:name="_Hlk158127113"/>
            <w:r w:rsidRPr="002F3217">
              <w:rPr>
                <w:rFonts w:ascii="Verdana" w:hAnsi="Verdana"/>
                <w:b w:val="0"/>
                <w:bCs w:val="0"/>
                <w:sz w:val="20"/>
                <w:szCs w:val="20"/>
              </w:rPr>
              <w:t>2</w:t>
            </w:r>
            <w:r w:rsidR="00624E13">
              <w:rPr>
                <w:rFonts w:ascii="Verdana" w:hAnsi="Verdana"/>
                <w:b w:val="0"/>
                <w:bCs w:val="0"/>
                <w:sz w:val="20"/>
                <w:szCs w:val="20"/>
              </w:rPr>
              <w:t>5</w:t>
            </w:r>
            <w:r w:rsidRPr="002F3217">
              <w:rPr>
                <w:rFonts w:ascii="Verdana" w:hAnsi="Verdana"/>
                <w:b w:val="0"/>
                <w:bCs w:val="0"/>
                <w:sz w:val="20"/>
                <w:szCs w:val="20"/>
              </w:rPr>
              <w:t xml:space="preserve"> November 202</w:t>
            </w:r>
            <w:r w:rsidR="00624E13">
              <w:rPr>
                <w:rFonts w:ascii="Verdana" w:hAnsi="Verdana"/>
                <w:b w:val="0"/>
                <w:bCs w:val="0"/>
                <w:sz w:val="20"/>
                <w:szCs w:val="20"/>
              </w:rPr>
              <w:t>5</w:t>
            </w:r>
            <w:r w:rsidRPr="002F3217">
              <w:rPr>
                <w:rFonts w:ascii="Verdana" w:hAnsi="Verdana"/>
                <w:b w:val="0"/>
                <w:bCs w:val="0"/>
                <w:sz w:val="20"/>
                <w:szCs w:val="20"/>
              </w:rPr>
              <w:t xml:space="preserve"> </w:t>
            </w:r>
            <w:bookmarkEnd w:id="0"/>
          </w:p>
        </w:tc>
        <w:tc>
          <w:tcPr>
            <w:tcW w:w="6237" w:type="dxa"/>
            <w:hideMark/>
          </w:tcPr>
          <w:p w14:paraId="3930CE51" w14:textId="4BD6E749"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Dividend/capital repayment date depending on elections in respect of the N shares</w:t>
            </w:r>
            <w:r w:rsidR="00CE3EDA">
              <w:rPr>
                <w:rFonts w:ascii="Verdana" w:hAnsi="Verdana"/>
                <w:sz w:val="20"/>
                <w:szCs w:val="20"/>
              </w:rPr>
              <w:t xml:space="preserve"> (“</w:t>
            </w:r>
            <w:r w:rsidR="00CE3EDA" w:rsidRPr="00CE3EDA">
              <w:rPr>
                <w:rFonts w:ascii="Verdana" w:hAnsi="Verdana"/>
                <w:b/>
                <w:bCs/>
                <w:sz w:val="20"/>
                <w:szCs w:val="20"/>
              </w:rPr>
              <w:t>Payment Date</w:t>
            </w:r>
            <w:r w:rsidR="00CE3EDA">
              <w:rPr>
                <w:rFonts w:ascii="Verdana" w:hAnsi="Verdana"/>
                <w:sz w:val="20"/>
                <w:szCs w:val="20"/>
              </w:rPr>
              <w:t>”)</w:t>
            </w:r>
          </w:p>
        </w:tc>
      </w:tr>
      <w:tr w:rsidR="002F3217" w14:paraId="46E93B0B" w14:textId="77777777" w:rsidTr="5A0B6B56">
        <w:tc>
          <w:tcPr>
            <w:cnfStyle w:val="001000000000" w:firstRow="0" w:lastRow="0" w:firstColumn="1" w:lastColumn="0" w:oddVBand="0" w:evenVBand="0" w:oddHBand="0" w:evenHBand="0" w:firstRowFirstColumn="0" w:firstRowLastColumn="0" w:lastRowFirstColumn="0" w:lastRowLastColumn="0"/>
            <w:tcW w:w="3397" w:type="dxa"/>
            <w:hideMark/>
          </w:tcPr>
          <w:p w14:paraId="4688D2C2" w14:textId="18FFA029" w:rsidR="002F3217" w:rsidRPr="002F3217" w:rsidRDefault="002F3217" w:rsidP="00D3348B">
            <w:pPr>
              <w:pStyle w:val="AODocTxt"/>
              <w:spacing w:before="60" w:after="60"/>
              <w:rPr>
                <w:rFonts w:ascii="Verdana" w:hAnsi="Verdana"/>
                <w:b w:val="0"/>
                <w:bCs w:val="0"/>
                <w:sz w:val="20"/>
                <w:szCs w:val="20"/>
              </w:rPr>
            </w:pPr>
            <w:r w:rsidRPr="002F3217">
              <w:rPr>
                <w:rFonts w:ascii="Verdana" w:hAnsi="Verdana"/>
                <w:b w:val="0"/>
                <w:bCs w:val="0"/>
                <w:sz w:val="20"/>
                <w:szCs w:val="20"/>
              </w:rPr>
              <w:t>Tuesday, 1</w:t>
            </w:r>
            <w:r w:rsidR="00624E13">
              <w:rPr>
                <w:rFonts w:ascii="Verdana" w:hAnsi="Verdana"/>
                <w:b w:val="0"/>
                <w:bCs w:val="0"/>
                <w:sz w:val="20"/>
                <w:szCs w:val="20"/>
              </w:rPr>
              <w:t>6</w:t>
            </w:r>
            <w:r w:rsidRPr="002F3217">
              <w:rPr>
                <w:rFonts w:ascii="Verdana" w:hAnsi="Verdana"/>
                <w:b w:val="0"/>
                <w:bCs w:val="0"/>
                <w:sz w:val="20"/>
                <w:szCs w:val="20"/>
              </w:rPr>
              <w:t xml:space="preserve"> December 202</w:t>
            </w:r>
            <w:r w:rsidR="0037608C">
              <w:rPr>
                <w:rFonts w:ascii="Verdana" w:hAnsi="Verdana"/>
                <w:b w:val="0"/>
                <w:bCs w:val="0"/>
                <w:sz w:val="20"/>
                <w:szCs w:val="20"/>
              </w:rPr>
              <w:t>5</w:t>
            </w:r>
          </w:p>
        </w:tc>
        <w:tc>
          <w:tcPr>
            <w:tcW w:w="6237" w:type="dxa"/>
            <w:hideMark/>
          </w:tcPr>
          <w:p w14:paraId="0A0A4442" w14:textId="2D046AFF" w:rsidR="002F3217" w:rsidRPr="002F3217" w:rsidRDefault="002F3217" w:rsidP="00D3348B">
            <w:pPr>
              <w:pStyle w:val="AODocTxt"/>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F3217">
              <w:rPr>
                <w:rFonts w:ascii="Verdana" w:hAnsi="Verdana"/>
                <w:sz w:val="20"/>
                <w:szCs w:val="20"/>
              </w:rPr>
              <w:t xml:space="preserve">Final date for intermediaries to </w:t>
            </w:r>
            <w:r w:rsidR="00B33752">
              <w:rPr>
                <w:rFonts w:ascii="Verdana" w:hAnsi="Verdana"/>
                <w:sz w:val="20"/>
                <w:szCs w:val="20"/>
              </w:rPr>
              <w:t>submit</w:t>
            </w:r>
            <w:r w:rsidR="00B33752" w:rsidRPr="002F3217">
              <w:rPr>
                <w:rFonts w:ascii="Verdana" w:hAnsi="Verdana"/>
                <w:sz w:val="20"/>
                <w:szCs w:val="20"/>
              </w:rPr>
              <w:t xml:space="preserve"> </w:t>
            </w:r>
            <w:r w:rsidRPr="002F3217">
              <w:rPr>
                <w:rFonts w:ascii="Verdana" w:hAnsi="Verdana"/>
                <w:sz w:val="20"/>
                <w:szCs w:val="20"/>
              </w:rPr>
              <w:t>Dutch DWT reclaims in accordance with tax treaties</w:t>
            </w:r>
            <w:r w:rsidR="00CE3EDA">
              <w:rPr>
                <w:rFonts w:ascii="Verdana" w:hAnsi="Verdana"/>
                <w:sz w:val="20"/>
                <w:szCs w:val="20"/>
              </w:rPr>
              <w:t xml:space="preserve"> (</w:t>
            </w:r>
            <w:r w:rsidR="00883D47">
              <w:rPr>
                <w:rFonts w:ascii="Verdana" w:hAnsi="Verdana"/>
                <w:sz w:val="20"/>
                <w:szCs w:val="20"/>
              </w:rPr>
              <w:t>“</w:t>
            </w:r>
            <w:r w:rsidR="00883D47" w:rsidRPr="00883D47">
              <w:rPr>
                <w:rFonts w:ascii="Verdana" w:hAnsi="Verdana"/>
                <w:b/>
                <w:bCs/>
                <w:sz w:val="20"/>
                <w:szCs w:val="20"/>
              </w:rPr>
              <w:t>Dutch DWT Reclaims Date</w:t>
            </w:r>
            <w:r w:rsidR="00883D47">
              <w:rPr>
                <w:rFonts w:ascii="Verdana" w:hAnsi="Verdana"/>
                <w:sz w:val="20"/>
                <w:szCs w:val="20"/>
              </w:rPr>
              <w:t>”)</w:t>
            </w:r>
          </w:p>
        </w:tc>
      </w:tr>
    </w:tbl>
    <w:p w14:paraId="5F5E8CE0" w14:textId="28EC996D" w:rsidR="003B235D" w:rsidRDefault="00275BCC" w:rsidP="003B235D">
      <w:pPr>
        <w:pStyle w:val="AODocTxt"/>
        <w:rPr>
          <w:rFonts w:ascii="Verdana" w:hAnsi="Verdana"/>
          <w:sz w:val="20"/>
          <w:szCs w:val="20"/>
        </w:rPr>
      </w:pPr>
      <w:r w:rsidRPr="00275BCC">
        <w:rPr>
          <w:rFonts w:ascii="Verdana" w:hAnsi="Verdana"/>
          <w:sz w:val="20"/>
          <w:szCs w:val="20"/>
        </w:rPr>
        <w:t xml:space="preserve">Due to the differing ex-dividend dates between the JSE and Euronext Amsterdam, transfers of N ordinary shares between the JSE and the Euronext Amsterdam between Wednesday, </w:t>
      </w:r>
      <w:r w:rsidR="0037608C">
        <w:rPr>
          <w:rFonts w:ascii="Verdana" w:hAnsi="Verdana"/>
          <w:sz w:val="20"/>
          <w:szCs w:val="20"/>
        </w:rPr>
        <w:t>29</w:t>
      </w:r>
      <w:r w:rsidRPr="00275BCC">
        <w:rPr>
          <w:rFonts w:ascii="Verdana" w:hAnsi="Verdana"/>
          <w:sz w:val="20"/>
          <w:szCs w:val="20"/>
        </w:rPr>
        <w:t xml:space="preserve"> October 202</w:t>
      </w:r>
      <w:r w:rsidR="0037608C">
        <w:rPr>
          <w:rFonts w:ascii="Verdana" w:hAnsi="Verdana"/>
          <w:sz w:val="20"/>
          <w:szCs w:val="20"/>
        </w:rPr>
        <w:t>5</w:t>
      </w:r>
      <w:r w:rsidRPr="00275BCC">
        <w:rPr>
          <w:rFonts w:ascii="Verdana" w:hAnsi="Verdana"/>
          <w:sz w:val="20"/>
          <w:szCs w:val="20"/>
        </w:rPr>
        <w:t xml:space="preserve">, and Friday, </w:t>
      </w:r>
      <w:r w:rsidR="0037608C">
        <w:rPr>
          <w:rFonts w:ascii="Verdana" w:hAnsi="Verdana"/>
          <w:sz w:val="20"/>
          <w:szCs w:val="20"/>
        </w:rPr>
        <w:t>31 October 2025</w:t>
      </w:r>
      <w:r w:rsidRPr="00275BCC">
        <w:rPr>
          <w:rFonts w:ascii="Verdana" w:hAnsi="Verdana"/>
          <w:sz w:val="20"/>
          <w:szCs w:val="20"/>
        </w:rPr>
        <w:t>, both dates inclusive, will not be permitted.</w:t>
      </w:r>
    </w:p>
    <w:p w14:paraId="1D034FB0" w14:textId="7E032C49" w:rsidR="007F06ED" w:rsidRPr="00C967C9" w:rsidRDefault="007F06ED" w:rsidP="007F06ED">
      <w:pPr>
        <w:pStyle w:val="AODocTxt"/>
        <w:rPr>
          <w:rFonts w:ascii="Verdana" w:hAnsi="Verdana"/>
          <w:sz w:val="20"/>
          <w:szCs w:val="20"/>
        </w:rPr>
      </w:pPr>
      <w:r w:rsidRPr="5A0B6B56">
        <w:rPr>
          <w:rFonts w:ascii="Verdana" w:hAnsi="Verdana"/>
          <w:sz w:val="20"/>
          <w:szCs w:val="20"/>
        </w:rPr>
        <w:t xml:space="preserve">Shareholders electing to receive a dividend will receive a dividend declared from retained earnings. Dividends will be subject to the Dutch dividend withholding tax rate of 15% yielding, to those shareholders not entitled to an exemption or relief from Dutch dividend tax, a net dividend of </w:t>
      </w:r>
      <w:r w:rsidR="009167C5">
        <w:rPr>
          <w:rFonts w:ascii="Verdana" w:hAnsi="Verdana"/>
          <w:sz w:val="20"/>
          <w:szCs w:val="20"/>
        </w:rPr>
        <w:t>17.00</w:t>
      </w:r>
      <w:r w:rsidRPr="5A0B6B56">
        <w:rPr>
          <w:rFonts w:ascii="Verdana" w:hAnsi="Verdana"/>
          <w:sz w:val="20"/>
          <w:szCs w:val="20"/>
        </w:rPr>
        <w:t xml:space="preserve"> euro cents per share for N shares held via Euronext and</w:t>
      </w:r>
      <w:r w:rsidR="00BF2A75" w:rsidRPr="5A0B6B56">
        <w:rPr>
          <w:rFonts w:ascii="Verdana" w:hAnsi="Verdana"/>
          <w:sz w:val="20"/>
          <w:szCs w:val="20"/>
        </w:rPr>
        <w:t>, ignoring South African dividend tax (see below),</w:t>
      </w:r>
      <w:r w:rsidRPr="5A0B6B56">
        <w:rPr>
          <w:rFonts w:ascii="Verdana" w:hAnsi="Verdana"/>
          <w:sz w:val="20"/>
          <w:szCs w:val="20"/>
        </w:rPr>
        <w:t xml:space="preserve"> </w:t>
      </w:r>
      <w:r w:rsidR="006F65BF">
        <w:rPr>
          <w:rFonts w:ascii="Verdana" w:hAnsi="Verdana"/>
          <w:sz w:val="20"/>
          <w:szCs w:val="20"/>
        </w:rPr>
        <w:t>350</w:t>
      </w:r>
      <w:r w:rsidR="000F3E6B">
        <w:rPr>
          <w:rFonts w:ascii="Verdana" w:hAnsi="Verdana"/>
          <w:sz w:val="20"/>
          <w:szCs w:val="20"/>
        </w:rPr>
        <w:t>.</w:t>
      </w:r>
      <w:r w:rsidR="006F65BF">
        <w:rPr>
          <w:rFonts w:ascii="Verdana" w:hAnsi="Verdana"/>
          <w:sz w:val="20"/>
          <w:szCs w:val="20"/>
        </w:rPr>
        <w:t xml:space="preserve">5706 </w:t>
      </w:r>
      <w:r w:rsidRPr="5A0B6B56">
        <w:rPr>
          <w:rFonts w:ascii="Verdana" w:hAnsi="Verdana"/>
          <w:sz w:val="20"/>
          <w:szCs w:val="20"/>
        </w:rPr>
        <w:t xml:space="preserve">Rand cents per ordinary N share held via Strate on the South African register and traded on the JSE and </w:t>
      </w:r>
      <w:r w:rsidR="00810531">
        <w:rPr>
          <w:rFonts w:ascii="Verdana" w:hAnsi="Verdana"/>
          <w:sz w:val="20"/>
          <w:szCs w:val="20"/>
        </w:rPr>
        <w:t>4</w:t>
      </w:r>
      <w:r w:rsidR="009B0CE3">
        <w:rPr>
          <w:rFonts w:ascii="Verdana" w:hAnsi="Verdana"/>
          <w:sz w:val="20"/>
          <w:szCs w:val="20"/>
        </w:rPr>
        <w:t>2</w:t>
      </w:r>
      <w:r w:rsidR="007676CA">
        <w:rPr>
          <w:rFonts w:ascii="Verdana" w:hAnsi="Verdana"/>
          <w:sz w:val="20"/>
          <w:szCs w:val="20"/>
        </w:rPr>
        <w:t>.</w:t>
      </w:r>
      <w:r w:rsidR="00C848C1">
        <w:rPr>
          <w:rFonts w:ascii="Verdana" w:hAnsi="Verdana"/>
          <w:sz w:val="20"/>
          <w:szCs w:val="20"/>
        </w:rPr>
        <w:t>36926</w:t>
      </w:r>
      <w:r w:rsidR="00C848C1" w:rsidRPr="00BB23F8">
        <w:rPr>
          <w:rFonts w:ascii="Verdana" w:hAnsi="Verdana"/>
          <w:sz w:val="20"/>
          <w:szCs w:val="20"/>
        </w:rPr>
        <w:t xml:space="preserve"> </w:t>
      </w:r>
      <w:r w:rsidRPr="5A0B6B56">
        <w:rPr>
          <w:rFonts w:ascii="Verdana" w:hAnsi="Verdana"/>
          <w:sz w:val="20"/>
          <w:szCs w:val="20"/>
        </w:rPr>
        <w:t>Rand cents per ordinary share A1 to those shareholders not entitled to an exemption or relief from Dutch dividend tax.</w:t>
      </w:r>
    </w:p>
    <w:p w14:paraId="2314DA92" w14:textId="5001A4AC" w:rsidR="007F06ED" w:rsidRPr="00C967C9" w:rsidRDefault="00E530FD" w:rsidP="007F06ED">
      <w:pPr>
        <w:pStyle w:val="AODocTxt"/>
        <w:rPr>
          <w:rFonts w:ascii="Verdana" w:hAnsi="Verdana"/>
          <w:sz w:val="20"/>
          <w:szCs w:val="20"/>
        </w:rPr>
      </w:pPr>
      <w:r w:rsidRPr="00E530FD">
        <w:rPr>
          <w:rFonts w:ascii="Verdana" w:hAnsi="Verdana"/>
          <w:sz w:val="20"/>
          <w:szCs w:val="20"/>
        </w:rPr>
        <w:t>In addition to the Dutch dividend withholding tax at a rate of up to 15%, dividends paid in respect of ordinary N shares on the South African register and traded on the JSE will also be subject to South African dividend tax at a rate of up to 20% in relation to shareholders not entitled to an exemption from South African dividend tax. The amount of additional South African dividend tax payable may be subject to a rebate for Dutch dividend withholding tax paid in respect of such dividend without any right of recovery by any person, so that the aggregate dividend tax would in those cases add up to a maximum of 20% </w:t>
      </w:r>
      <w:r w:rsidRPr="00E530FD">
        <w:rPr>
          <w:rFonts w:ascii="Verdana" w:hAnsi="Verdana"/>
          <w:b/>
          <w:bCs/>
          <w:sz w:val="20"/>
          <w:szCs w:val="20"/>
        </w:rPr>
        <w:t>(after claiming treaty relief).</w:t>
      </w:r>
    </w:p>
    <w:p w14:paraId="7211DF63" w14:textId="20E414DF" w:rsidR="00396EEA" w:rsidRDefault="007F06ED" w:rsidP="007F06ED">
      <w:pPr>
        <w:pStyle w:val="AODocTxt"/>
        <w:rPr>
          <w:rFonts w:ascii="Verdana" w:hAnsi="Verdana"/>
          <w:sz w:val="20"/>
          <w:szCs w:val="20"/>
        </w:rPr>
      </w:pPr>
      <w:r w:rsidRPr="00C967C9">
        <w:rPr>
          <w:rFonts w:ascii="Verdana" w:hAnsi="Verdana"/>
          <w:sz w:val="20"/>
          <w:szCs w:val="20"/>
        </w:rPr>
        <w:t>As a general position for South African tax resident shareholders holding their shares on the</w:t>
      </w:r>
      <w:r>
        <w:rPr>
          <w:rFonts w:ascii="Verdana" w:hAnsi="Verdana"/>
          <w:sz w:val="20"/>
          <w:szCs w:val="20"/>
        </w:rPr>
        <w:t xml:space="preserve"> </w:t>
      </w:r>
      <w:r w:rsidRPr="00C967C9">
        <w:rPr>
          <w:rFonts w:ascii="Verdana" w:hAnsi="Verdana"/>
          <w:sz w:val="20"/>
          <w:szCs w:val="20"/>
        </w:rPr>
        <w:t xml:space="preserve">JSE that are not exempt from South African </w:t>
      </w:r>
      <w:r w:rsidR="00D66CD3">
        <w:rPr>
          <w:rFonts w:ascii="Verdana" w:hAnsi="Verdana"/>
          <w:sz w:val="20"/>
          <w:szCs w:val="20"/>
        </w:rPr>
        <w:t>d</w:t>
      </w:r>
      <w:r w:rsidR="00D66CD3" w:rsidRPr="00C967C9">
        <w:rPr>
          <w:rFonts w:ascii="Verdana" w:hAnsi="Verdana"/>
          <w:sz w:val="20"/>
          <w:szCs w:val="20"/>
        </w:rPr>
        <w:t xml:space="preserve">ividend </w:t>
      </w:r>
      <w:r w:rsidRPr="00C967C9">
        <w:rPr>
          <w:rFonts w:ascii="Verdana" w:hAnsi="Verdana"/>
          <w:sz w:val="20"/>
          <w:szCs w:val="20"/>
        </w:rPr>
        <w:t>tax, if they positively elect to receive a</w:t>
      </w:r>
      <w:r>
        <w:rPr>
          <w:rFonts w:ascii="Verdana" w:hAnsi="Verdana"/>
          <w:sz w:val="20"/>
          <w:szCs w:val="20"/>
        </w:rPr>
        <w:t xml:space="preserve"> </w:t>
      </w:r>
      <w:r w:rsidRPr="00C967C9">
        <w:rPr>
          <w:rFonts w:ascii="Verdana" w:hAnsi="Verdana"/>
          <w:sz w:val="20"/>
          <w:szCs w:val="20"/>
        </w:rPr>
        <w:t>dividend, the consequences will be as follows:</w:t>
      </w:r>
    </w:p>
    <w:p w14:paraId="69017238" w14:textId="77777777" w:rsidR="00396EEA" w:rsidRDefault="00396EEA" w:rsidP="00396EEA">
      <w:pPr>
        <w:pStyle w:val="AONormal"/>
      </w:pPr>
      <w:r>
        <w:br w:type="page"/>
      </w:r>
    </w:p>
    <w:p w14:paraId="5C5AC27D" w14:textId="77777777" w:rsidR="007F06ED" w:rsidRDefault="007F06ED" w:rsidP="007F06ED">
      <w:pPr>
        <w:pStyle w:val="AODocTxt"/>
        <w:rPr>
          <w:rFonts w:ascii="Verdana" w:hAnsi="Verdana"/>
          <w:sz w:val="20"/>
          <w:szCs w:val="20"/>
        </w:rPr>
      </w:pPr>
    </w:p>
    <w:p w14:paraId="31EC1BCE" w14:textId="77777777" w:rsidR="00440734" w:rsidRDefault="00440734" w:rsidP="00440734">
      <w:pPr>
        <w:pStyle w:val="AODocTxt"/>
        <w:spacing w:before="0"/>
        <w:rPr>
          <w:rFonts w:ascii="Verdana" w:hAnsi="Verdana"/>
          <w:sz w:val="20"/>
          <w:szCs w:val="20"/>
        </w:rPr>
      </w:pPr>
    </w:p>
    <w:tbl>
      <w:tblPr>
        <w:tblStyle w:val="GridTable1Light"/>
        <w:tblW w:w="0" w:type="auto"/>
        <w:tblLook w:val="04A0" w:firstRow="1" w:lastRow="0" w:firstColumn="1" w:lastColumn="0" w:noHBand="0" w:noVBand="1"/>
      </w:tblPr>
      <w:tblGrid>
        <w:gridCol w:w="6658"/>
        <w:gridCol w:w="2970"/>
      </w:tblGrid>
      <w:tr w:rsidR="007F06ED" w14:paraId="0966FF3E" w14:textId="77777777" w:rsidTr="00437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2B3DCB1" w14:textId="6E764C94" w:rsidR="007F06ED" w:rsidRDefault="007F06ED" w:rsidP="00437EAC">
            <w:pPr>
              <w:pStyle w:val="AODocTxt"/>
              <w:spacing w:before="60" w:after="60"/>
              <w:rPr>
                <w:rFonts w:ascii="Verdana" w:hAnsi="Verdana"/>
                <w:sz w:val="20"/>
                <w:szCs w:val="20"/>
              </w:rPr>
            </w:pPr>
            <w:r w:rsidRPr="004F57B4">
              <w:rPr>
                <w:rFonts w:ascii="Verdana" w:hAnsi="Verdana"/>
                <w:sz w:val="20"/>
                <w:szCs w:val="20"/>
              </w:rPr>
              <w:t>Holders of ordinary shares N on the JSE</w:t>
            </w:r>
            <w:r w:rsidR="00576701">
              <w:rPr>
                <w:rFonts w:ascii="Verdana" w:hAnsi="Verdana"/>
                <w:sz w:val="20"/>
                <w:szCs w:val="20"/>
              </w:rPr>
              <w:t>*</w:t>
            </w:r>
          </w:p>
        </w:tc>
        <w:tc>
          <w:tcPr>
            <w:tcW w:w="2970" w:type="dxa"/>
          </w:tcPr>
          <w:p w14:paraId="3926325D" w14:textId="77777777" w:rsidR="007F06ED" w:rsidRDefault="007F06ED" w:rsidP="00437EAC">
            <w:pPr>
              <w:pStyle w:val="AODocTxt"/>
              <w:spacing w:before="60" w:after="60"/>
              <w:jc w:val="right"/>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4F57B4">
              <w:rPr>
                <w:rFonts w:ascii="Verdana" w:hAnsi="Verdana"/>
                <w:sz w:val="20"/>
                <w:szCs w:val="20"/>
              </w:rPr>
              <w:t>ZAR cents</w:t>
            </w:r>
          </w:p>
        </w:tc>
      </w:tr>
      <w:tr w:rsidR="007F06ED" w14:paraId="3F998D27" w14:textId="77777777" w:rsidTr="00437EAC">
        <w:tc>
          <w:tcPr>
            <w:cnfStyle w:val="001000000000" w:firstRow="0" w:lastRow="0" w:firstColumn="1" w:lastColumn="0" w:oddVBand="0" w:evenVBand="0" w:oddHBand="0" w:evenHBand="0" w:firstRowFirstColumn="0" w:firstRowLastColumn="0" w:lastRowFirstColumn="0" w:lastRowLastColumn="0"/>
            <w:tcW w:w="6658" w:type="dxa"/>
            <w:vAlign w:val="bottom"/>
          </w:tcPr>
          <w:p w14:paraId="4F5A9EC0" w14:textId="77777777" w:rsidR="007F06ED" w:rsidRPr="00DB2ADA" w:rsidRDefault="007F06ED" w:rsidP="00437EAC">
            <w:pPr>
              <w:pStyle w:val="AODocTxt"/>
              <w:spacing w:before="60" w:after="60"/>
              <w:rPr>
                <w:rFonts w:ascii="Verdana" w:hAnsi="Verdana"/>
                <w:b w:val="0"/>
                <w:bCs w:val="0"/>
                <w:sz w:val="20"/>
                <w:szCs w:val="20"/>
              </w:rPr>
            </w:pPr>
            <w:r w:rsidRPr="00DB2ADA">
              <w:rPr>
                <w:rFonts w:ascii="Verdana" w:hAnsi="Verdana"/>
                <w:b w:val="0"/>
                <w:bCs w:val="0"/>
                <w:sz w:val="20"/>
                <w:szCs w:val="20"/>
              </w:rPr>
              <w:t>Gross amount of the Dividend </w:t>
            </w:r>
          </w:p>
        </w:tc>
        <w:tc>
          <w:tcPr>
            <w:tcW w:w="2970" w:type="dxa"/>
            <w:vAlign w:val="bottom"/>
          </w:tcPr>
          <w:p w14:paraId="6289128D" w14:textId="0635665E" w:rsidR="007F06ED" w:rsidRDefault="004E3EC8" w:rsidP="00437EAC">
            <w:pPr>
              <w:pStyle w:val="AODocTxt"/>
              <w:spacing w:before="60" w:after="60"/>
              <w:jc w:val="righ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8738CB">
              <w:rPr>
                <w:rFonts w:ascii="Verdana" w:hAnsi="Verdana"/>
                <w:sz w:val="20"/>
                <w:szCs w:val="20"/>
              </w:rPr>
              <w:t>412.4360 </w:t>
            </w:r>
          </w:p>
        </w:tc>
      </w:tr>
      <w:tr w:rsidR="007F06ED" w14:paraId="54832AD0" w14:textId="77777777" w:rsidTr="00437EAC">
        <w:tc>
          <w:tcPr>
            <w:cnfStyle w:val="001000000000" w:firstRow="0" w:lastRow="0" w:firstColumn="1" w:lastColumn="0" w:oddVBand="0" w:evenVBand="0" w:oddHBand="0" w:evenHBand="0" w:firstRowFirstColumn="0" w:firstRowLastColumn="0" w:lastRowFirstColumn="0" w:lastRowLastColumn="0"/>
            <w:tcW w:w="6658" w:type="dxa"/>
            <w:vAlign w:val="bottom"/>
          </w:tcPr>
          <w:p w14:paraId="00C8FA85" w14:textId="77777777" w:rsidR="007F06ED" w:rsidRPr="00DB2ADA" w:rsidRDefault="007F06ED" w:rsidP="00437EAC">
            <w:pPr>
              <w:pStyle w:val="AODocTxt"/>
              <w:spacing w:before="60" w:after="60"/>
              <w:rPr>
                <w:rFonts w:ascii="Verdana" w:hAnsi="Verdana"/>
                <w:b w:val="0"/>
                <w:bCs w:val="0"/>
                <w:sz w:val="20"/>
                <w:szCs w:val="20"/>
              </w:rPr>
            </w:pPr>
            <w:r w:rsidRPr="00DB2ADA">
              <w:rPr>
                <w:rFonts w:ascii="Verdana" w:hAnsi="Verdana"/>
                <w:b w:val="0"/>
                <w:bCs w:val="0"/>
                <w:sz w:val="20"/>
                <w:szCs w:val="20"/>
              </w:rPr>
              <w:t>Less: 15% Dutch Withholding Tax</w:t>
            </w:r>
          </w:p>
        </w:tc>
        <w:tc>
          <w:tcPr>
            <w:tcW w:w="2970" w:type="dxa"/>
            <w:vAlign w:val="bottom"/>
          </w:tcPr>
          <w:p w14:paraId="393F82A1" w14:textId="3899FE74" w:rsidR="007F06ED" w:rsidRDefault="003E4C9F" w:rsidP="00437EAC">
            <w:pPr>
              <w:pStyle w:val="AODocTxt"/>
              <w:spacing w:before="60" w:after="60"/>
              <w:jc w:val="righ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61.</w:t>
            </w:r>
            <w:r w:rsidR="00A042E2">
              <w:rPr>
                <w:rFonts w:ascii="Verdana" w:hAnsi="Verdana"/>
                <w:sz w:val="20"/>
                <w:szCs w:val="20"/>
              </w:rPr>
              <w:t>8654</w:t>
            </w:r>
            <w:r w:rsidR="007F06ED" w:rsidRPr="00DB2ADA">
              <w:rPr>
                <w:rFonts w:ascii="Verdana" w:hAnsi="Verdana"/>
                <w:sz w:val="20"/>
                <w:szCs w:val="20"/>
              </w:rPr>
              <w:t xml:space="preserve"> </w:t>
            </w:r>
          </w:p>
        </w:tc>
      </w:tr>
      <w:tr w:rsidR="007F06ED" w14:paraId="541460C3" w14:textId="77777777" w:rsidTr="00437EAC">
        <w:tc>
          <w:tcPr>
            <w:cnfStyle w:val="001000000000" w:firstRow="0" w:lastRow="0" w:firstColumn="1" w:lastColumn="0" w:oddVBand="0" w:evenVBand="0" w:oddHBand="0" w:evenHBand="0" w:firstRowFirstColumn="0" w:firstRowLastColumn="0" w:lastRowFirstColumn="0" w:lastRowLastColumn="0"/>
            <w:tcW w:w="6658" w:type="dxa"/>
            <w:vAlign w:val="bottom"/>
          </w:tcPr>
          <w:p w14:paraId="470E4813" w14:textId="77777777" w:rsidR="007F06ED" w:rsidRPr="00DB2ADA" w:rsidRDefault="007F06ED" w:rsidP="00437EAC">
            <w:pPr>
              <w:pStyle w:val="AODocTxt"/>
              <w:spacing w:before="60" w:after="60"/>
              <w:rPr>
                <w:rFonts w:ascii="Verdana" w:hAnsi="Verdana"/>
                <w:b w:val="0"/>
                <w:bCs w:val="0"/>
                <w:sz w:val="20"/>
                <w:szCs w:val="20"/>
              </w:rPr>
            </w:pPr>
            <w:r w:rsidRPr="00DB2ADA">
              <w:rPr>
                <w:rFonts w:ascii="Verdana" w:hAnsi="Verdana"/>
                <w:b w:val="0"/>
                <w:bCs w:val="0"/>
                <w:sz w:val="20"/>
                <w:szCs w:val="20"/>
              </w:rPr>
              <w:t>Net Dividend after the deduction of the Dutch Withholding Tax </w:t>
            </w:r>
          </w:p>
        </w:tc>
        <w:tc>
          <w:tcPr>
            <w:tcW w:w="2970" w:type="dxa"/>
            <w:vAlign w:val="bottom"/>
          </w:tcPr>
          <w:p w14:paraId="09EFEAEE" w14:textId="61CE1EA1" w:rsidR="007F06ED" w:rsidRPr="00A138B9" w:rsidRDefault="000470A0" w:rsidP="00437EAC">
            <w:pPr>
              <w:pStyle w:val="AODocTxt"/>
              <w:spacing w:before="60" w:after="60"/>
              <w:jc w:val="righ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A138B9">
              <w:rPr>
                <w:rFonts w:ascii="Verdana" w:hAnsi="Verdana"/>
                <w:sz w:val="20"/>
                <w:szCs w:val="20"/>
              </w:rPr>
              <w:t>350.</w:t>
            </w:r>
            <w:r w:rsidR="00A138B9" w:rsidRPr="00A138B9">
              <w:rPr>
                <w:rFonts w:ascii="Verdana" w:hAnsi="Verdana"/>
                <w:sz w:val="20"/>
                <w:szCs w:val="20"/>
              </w:rPr>
              <w:t>5706</w:t>
            </w:r>
            <w:r w:rsidR="007F06ED" w:rsidRPr="00A138B9">
              <w:rPr>
                <w:rFonts w:ascii="Verdana" w:hAnsi="Verdana"/>
                <w:sz w:val="20"/>
                <w:szCs w:val="20"/>
              </w:rPr>
              <w:t xml:space="preserve"> </w:t>
            </w:r>
          </w:p>
        </w:tc>
      </w:tr>
      <w:tr w:rsidR="0088395D" w14:paraId="0C4ED805" w14:textId="77777777" w:rsidTr="00437EAC">
        <w:tc>
          <w:tcPr>
            <w:cnfStyle w:val="001000000000" w:firstRow="0" w:lastRow="0" w:firstColumn="1" w:lastColumn="0" w:oddVBand="0" w:evenVBand="0" w:oddHBand="0" w:evenHBand="0" w:firstRowFirstColumn="0" w:firstRowLastColumn="0" w:lastRowFirstColumn="0" w:lastRowLastColumn="0"/>
            <w:tcW w:w="6658" w:type="dxa"/>
            <w:vAlign w:val="bottom"/>
          </w:tcPr>
          <w:p w14:paraId="1CB9F468" w14:textId="2ED24F35" w:rsidR="0088395D" w:rsidRPr="00E921D9" w:rsidRDefault="0088395D" w:rsidP="00437EAC">
            <w:pPr>
              <w:pStyle w:val="AODocTxt"/>
              <w:spacing w:before="60" w:after="60"/>
              <w:rPr>
                <w:rFonts w:ascii="Verdana" w:hAnsi="Verdana"/>
                <w:b w:val="0"/>
                <w:bCs w:val="0"/>
                <w:sz w:val="20"/>
                <w:szCs w:val="20"/>
              </w:rPr>
            </w:pPr>
            <w:r>
              <w:rPr>
                <w:rFonts w:ascii="Verdana" w:hAnsi="Verdana"/>
                <w:b w:val="0"/>
                <w:bCs w:val="0"/>
                <w:sz w:val="20"/>
                <w:szCs w:val="20"/>
              </w:rPr>
              <w:t>Less: 20% South African Dividend Tax (levied on gross dividend)</w:t>
            </w:r>
          </w:p>
        </w:tc>
        <w:tc>
          <w:tcPr>
            <w:tcW w:w="2970" w:type="dxa"/>
            <w:vAlign w:val="bottom"/>
          </w:tcPr>
          <w:p w14:paraId="24E1FA5F" w14:textId="2716C244" w:rsidR="0088395D" w:rsidRPr="00014888" w:rsidRDefault="0088395D" w:rsidP="00437EAC">
            <w:pPr>
              <w:pStyle w:val="AODocTxt"/>
              <w:spacing w:before="60" w:after="60"/>
              <w:jc w:val="righ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82.4872</w:t>
            </w:r>
          </w:p>
        </w:tc>
      </w:tr>
      <w:tr w:rsidR="007F06ED" w14:paraId="5C9E0D84" w14:textId="77777777" w:rsidTr="00437EAC">
        <w:tc>
          <w:tcPr>
            <w:cnfStyle w:val="001000000000" w:firstRow="0" w:lastRow="0" w:firstColumn="1" w:lastColumn="0" w:oddVBand="0" w:evenVBand="0" w:oddHBand="0" w:evenHBand="0" w:firstRowFirstColumn="0" w:firstRowLastColumn="0" w:lastRowFirstColumn="0" w:lastRowLastColumn="0"/>
            <w:tcW w:w="6658" w:type="dxa"/>
            <w:vAlign w:val="bottom"/>
          </w:tcPr>
          <w:p w14:paraId="2CD0EA70" w14:textId="7D5CFAEC" w:rsidR="007F06ED" w:rsidRPr="00DB2ADA" w:rsidRDefault="0088395D" w:rsidP="00437EAC">
            <w:pPr>
              <w:pStyle w:val="AODocTxt"/>
              <w:spacing w:before="60" w:after="60"/>
              <w:rPr>
                <w:rFonts w:ascii="Verdana" w:hAnsi="Verdana"/>
                <w:b w:val="0"/>
                <w:bCs w:val="0"/>
                <w:sz w:val="20"/>
                <w:szCs w:val="20"/>
              </w:rPr>
            </w:pPr>
            <w:r>
              <w:rPr>
                <w:rFonts w:ascii="Verdana" w:hAnsi="Verdana"/>
                <w:b w:val="0"/>
                <w:bCs w:val="0"/>
                <w:sz w:val="20"/>
                <w:szCs w:val="20"/>
              </w:rPr>
              <w:t>Plus</w:t>
            </w:r>
            <w:r w:rsidR="007F06ED" w:rsidRPr="00DB2ADA">
              <w:rPr>
                <w:rFonts w:ascii="Verdana" w:hAnsi="Verdana"/>
                <w:b w:val="0"/>
                <w:bCs w:val="0"/>
                <w:sz w:val="20"/>
                <w:szCs w:val="20"/>
              </w:rPr>
              <w:t xml:space="preserve">: </w:t>
            </w:r>
            <w:r>
              <w:rPr>
                <w:rFonts w:ascii="Verdana" w:hAnsi="Verdana"/>
                <w:b w:val="0"/>
                <w:bCs w:val="0"/>
                <w:sz w:val="20"/>
                <w:szCs w:val="20"/>
              </w:rPr>
              <w:t xml:space="preserve">Rebate for Dutch Withholding tax </w:t>
            </w:r>
            <w:r w:rsidR="00671B31">
              <w:rPr>
                <w:rFonts w:ascii="Verdana" w:hAnsi="Verdana"/>
                <w:b w:val="0"/>
                <w:bCs w:val="0"/>
                <w:sz w:val="20"/>
                <w:szCs w:val="20"/>
              </w:rPr>
              <w:t xml:space="preserve">that is not recoverable i.e. </w:t>
            </w:r>
            <w:r w:rsidR="007F06ED" w:rsidRPr="00DB2ADA">
              <w:rPr>
                <w:rFonts w:ascii="Verdana" w:hAnsi="Verdana"/>
                <w:b w:val="0"/>
                <w:bCs w:val="0"/>
                <w:sz w:val="20"/>
                <w:szCs w:val="20"/>
              </w:rPr>
              <w:t xml:space="preserve">10% </w:t>
            </w:r>
            <w:r w:rsidR="00671B31">
              <w:rPr>
                <w:rFonts w:ascii="Verdana" w:hAnsi="Verdana"/>
                <w:b w:val="0"/>
                <w:bCs w:val="0"/>
                <w:sz w:val="20"/>
                <w:szCs w:val="20"/>
              </w:rPr>
              <w:t>of Gross amount of Dividend</w:t>
            </w:r>
          </w:p>
        </w:tc>
        <w:tc>
          <w:tcPr>
            <w:tcW w:w="2970" w:type="dxa"/>
            <w:vAlign w:val="bottom"/>
          </w:tcPr>
          <w:p w14:paraId="65BE9D1B" w14:textId="73133DCC" w:rsidR="007F06ED" w:rsidRPr="00014888" w:rsidRDefault="00671B31" w:rsidP="00437EAC">
            <w:pPr>
              <w:pStyle w:val="AODocTxt"/>
              <w:spacing w:before="60" w:after="60"/>
              <w:jc w:val="righ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41.2436</w:t>
            </w:r>
            <w:r w:rsidR="007F06ED" w:rsidRPr="00014888">
              <w:rPr>
                <w:rFonts w:ascii="Verdana" w:hAnsi="Verdana"/>
                <w:sz w:val="20"/>
                <w:szCs w:val="20"/>
              </w:rPr>
              <w:t xml:space="preserve"> </w:t>
            </w:r>
          </w:p>
        </w:tc>
      </w:tr>
      <w:tr w:rsidR="007F06ED" w14:paraId="5157A862" w14:textId="77777777" w:rsidTr="00437EAC">
        <w:tc>
          <w:tcPr>
            <w:cnfStyle w:val="001000000000" w:firstRow="0" w:lastRow="0" w:firstColumn="1" w:lastColumn="0" w:oddVBand="0" w:evenVBand="0" w:oddHBand="0" w:evenHBand="0" w:firstRowFirstColumn="0" w:firstRowLastColumn="0" w:lastRowFirstColumn="0" w:lastRowLastColumn="0"/>
            <w:tcW w:w="6658" w:type="dxa"/>
            <w:vAlign w:val="bottom"/>
          </w:tcPr>
          <w:p w14:paraId="367972B2" w14:textId="77777777" w:rsidR="007F06ED" w:rsidRPr="00DB2ADA" w:rsidRDefault="007F06ED" w:rsidP="00437EAC">
            <w:pPr>
              <w:pStyle w:val="AODocTxt"/>
              <w:spacing w:before="60" w:after="60"/>
              <w:rPr>
                <w:rFonts w:ascii="Verdana" w:hAnsi="Verdana"/>
                <w:b w:val="0"/>
                <w:bCs w:val="0"/>
                <w:sz w:val="20"/>
                <w:szCs w:val="20"/>
              </w:rPr>
            </w:pPr>
            <w:r w:rsidRPr="00DB2ADA">
              <w:rPr>
                <w:rFonts w:ascii="Verdana" w:hAnsi="Verdana"/>
                <w:b w:val="0"/>
                <w:bCs w:val="0"/>
                <w:sz w:val="20"/>
                <w:szCs w:val="20"/>
              </w:rPr>
              <w:t>Net amount of the Dividend</w:t>
            </w:r>
          </w:p>
        </w:tc>
        <w:tc>
          <w:tcPr>
            <w:tcW w:w="2970" w:type="dxa"/>
            <w:vAlign w:val="bottom"/>
          </w:tcPr>
          <w:p w14:paraId="6C31E629" w14:textId="19500E08" w:rsidR="007F06ED" w:rsidRPr="00A138B9" w:rsidRDefault="00671B31" w:rsidP="00437EAC">
            <w:pPr>
              <w:pStyle w:val="AODocTxt"/>
              <w:spacing w:before="60" w:after="60"/>
              <w:jc w:val="righ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309.</w:t>
            </w:r>
            <w:r w:rsidR="0045492D">
              <w:rPr>
                <w:rFonts w:ascii="Verdana" w:hAnsi="Verdana"/>
                <w:sz w:val="20"/>
                <w:szCs w:val="20"/>
              </w:rPr>
              <w:t>327</w:t>
            </w:r>
            <w:r w:rsidR="0045492D" w:rsidRPr="00A138B9">
              <w:rPr>
                <w:rFonts w:ascii="Verdana" w:hAnsi="Verdana"/>
                <w:sz w:val="20"/>
                <w:szCs w:val="20"/>
              </w:rPr>
              <w:t xml:space="preserve"> </w:t>
            </w:r>
          </w:p>
        </w:tc>
      </w:tr>
    </w:tbl>
    <w:p w14:paraId="2AE38A40" w14:textId="2F0391A5" w:rsidR="007F06ED" w:rsidRDefault="007F06ED" w:rsidP="007F06ED">
      <w:pPr>
        <w:pStyle w:val="AODocTxt"/>
        <w:rPr>
          <w:rFonts w:ascii="Verdana" w:hAnsi="Verdana"/>
          <w:sz w:val="20"/>
          <w:szCs w:val="20"/>
        </w:rPr>
      </w:pPr>
      <w:r w:rsidRPr="004F57B4">
        <w:rPr>
          <w:rFonts w:ascii="Verdana" w:hAnsi="Verdana"/>
          <w:sz w:val="20"/>
          <w:szCs w:val="20"/>
        </w:rPr>
        <w:t xml:space="preserve">*Non-South African shareholders may be subject to South African </w:t>
      </w:r>
      <w:r w:rsidR="00124BDF">
        <w:rPr>
          <w:rFonts w:ascii="Verdana" w:hAnsi="Verdana"/>
          <w:sz w:val="20"/>
          <w:szCs w:val="20"/>
        </w:rPr>
        <w:t>dividend</w:t>
      </w:r>
      <w:r w:rsidR="00124BDF" w:rsidRPr="004F57B4">
        <w:rPr>
          <w:rFonts w:ascii="Verdana" w:hAnsi="Verdana"/>
          <w:sz w:val="20"/>
          <w:szCs w:val="20"/>
        </w:rPr>
        <w:t xml:space="preserve"> </w:t>
      </w:r>
      <w:r w:rsidRPr="004F57B4">
        <w:rPr>
          <w:rFonts w:ascii="Verdana" w:hAnsi="Verdana"/>
          <w:sz w:val="20"/>
          <w:szCs w:val="20"/>
        </w:rPr>
        <w:t>tax (in</w:t>
      </w:r>
      <w:r>
        <w:rPr>
          <w:rFonts w:ascii="Verdana" w:hAnsi="Verdana"/>
          <w:sz w:val="20"/>
          <w:szCs w:val="20"/>
        </w:rPr>
        <w:t xml:space="preserve"> </w:t>
      </w:r>
      <w:r w:rsidRPr="004F57B4">
        <w:rPr>
          <w:rFonts w:ascii="Verdana" w:hAnsi="Verdana"/>
          <w:sz w:val="20"/>
          <w:szCs w:val="20"/>
        </w:rPr>
        <w:t xml:space="preserve">addition to the 15% Dutch </w:t>
      </w:r>
      <w:r w:rsidR="00124BDF">
        <w:rPr>
          <w:rFonts w:ascii="Verdana" w:hAnsi="Verdana"/>
          <w:sz w:val="20"/>
          <w:szCs w:val="20"/>
        </w:rPr>
        <w:t xml:space="preserve">dividend </w:t>
      </w:r>
      <w:r w:rsidRPr="004F57B4">
        <w:rPr>
          <w:rFonts w:ascii="Verdana" w:hAnsi="Verdana"/>
          <w:sz w:val="20"/>
          <w:szCs w:val="20"/>
        </w:rPr>
        <w:t>withholding tax) of 20%.</w:t>
      </w:r>
    </w:p>
    <w:p w14:paraId="65C4476A" w14:textId="77777777" w:rsidR="007F06ED" w:rsidRDefault="007F06ED" w:rsidP="007F06ED">
      <w:pPr>
        <w:pStyle w:val="AODocTxt"/>
        <w:rPr>
          <w:rFonts w:ascii="Verdana" w:hAnsi="Verdana"/>
          <w:sz w:val="20"/>
          <w:szCs w:val="20"/>
        </w:rPr>
      </w:pPr>
      <w:r w:rsidRPr="003B235D">
        <w:rPr>
          <w:rFonts w:ascii="Verdana" w:hAnsi="Verdana"/>
          <w:sz w:val="20"/>
          <w:szCs w:val="20"/>
        </w:rPr>
        <w:t>Holders of Prosus American Depositary Receipts which trade on an over-the-counter basis in</w:t>
      </w:r>
      <w:r>
        <w:rPr>
          <w:rFonts w:ascii="Verdana" w:hAnsi="Verdana"/>
          <w:sz w:val="20"/>
          <w:szCs w:val="20"/>
        </w:rPr>
        <w:t xml:space="preserve"> </w:t>
      </w:r>
      <w:r w:rsidRPr="003B235D">
        <w:rPr>
          <w:rFonts w:ascii="Verdana" w:hAnsi="Verdana"/>
          <w:sz w:val="20"/>
          <w:szCs w:val="20"/>
        </w:rPr>
        <w:t>the United States will receive a dividend.</w:t>
      </w:r>
    </w:p>
    <w:p w14:paraId="320A440C" w14:textId="6CC4BE87" w:rsidR="00BA2793" w:rsidRPr="00BA2793" w:rsidRDefault="00BA2793" w:rsidP="00BA2793">
      <w:pPr>
        <w:pStyle w:val="AODocTxt"/>
        <w:rPr>
          <w:rFonts w:ascii="Verdana" w:hAnsi="Verdana"/>
          <w:sz w:val="20"/>
          <w:szCs w:val="20"/>
        </w:rPr>
      </w:pPr>
      <w:r w:rsidRPr="00BA2793">
        <w:rPr>
          <w:rFonts w:ascii="Verdana" w:hAnsi="Verdana"/>
          <w:sz w:val="20"/>
          <w:szCs w:val="20"/>
        </w:rPr>
        <w:t>Shareholders who are entitled to a reduced Dutch dividend withholding tax rate or an</w:t>
      </w:r>
      <w:r w:rsidR="002A0361">
        <w:rPr>
          <w:rFonts w:ascii="Verdana" w:hAnsi="Verdana"/>
          <w:sz w:val="20"/>
          <w:szCs w:val="20"/>
        </w:rPr>
        <w:t xml:space="preserve"> </w:t>
      </w:r>
      <w:r w:rsidRPr="00BA2793">
        <w:rPr>
          <w:rFonts w:ascii="Verdana" w:hAnsi="Verdana"/>
          <w:sz w:val="20"/>
          <w:szCs w:val="20"/>
        </w:rPr>
        <w:t>exemption from Dutch dividend withholding tax can submit the required evidence to</w:t>
      </w:r>
      <w:r w:rsidR="002A0361">
        <w:rPr>
          <w:rFonts w:ascii="Verdana" w:hAnsi="Verdana"/>
          <w:sz w:val="20"/>
          <w:szCs w:val="20"/>
        </w:rPr>
        <w:t xml:space="preserve"> </w:t>
      </w:r>
      <w:r w:rsidRPr="00BA2793">
        <w:rPr>
          <w:rFonts w:ascii="Verdana" w:hAnsi="Verdana"/>
          <w:sz w:val="20"/>
          <w:szCs w:val="20"/>
        </w:rPr>
        <w:t xml:space="preserve">substantiate their position </w:t>
      </w:r>
      <w:r w:rsidR="00BF6B7D">
        <w:rPr>
          <w:rFonts w:ascii="Verdana" w:hAnsi="Verdana"/>
          <w:sz w:val="20"/>
          <w:szCs w:val="20"/>
        </w:rPr>
        <w:t>to</w:t>
      </w:r>
      <w:r w:rsidRPr="00BA2793">
        <w:rPr>
          <w:rFonts w:ascii="Verdana" w:hAnsi="Verdana"/>
          <w:sz w:val="20"/>
          <w:szCs w:val="20"/>
        </w:rPr>
        <w:t xml:space="preserve"> </w:t>
      </w:r>
      <w:r w:rsidR="007942AE">
        <w:rPr>
          <w:rFonts w:ascii="Verdana" w:hAnsi="Verdana"/>
          <w:sz w:val="20"/>
          <w:szCs w:val="20"/>
        </w:rPr>
        <w:t>ING</w:t>
      </w:r>
      <w:r w:rsidRPr="00BA2793">
        <w:rPr>
          <w:rFonts w:ascii="Verdana" w:hAnsi="Verdana"/>
          <w:sz w:val="20"/>
          <w:szCs w:val="20"/>
        </w:rPr>
        <w:t xml:space="preserve"> </w:t>
      </w:r>
      <w:r w:rsidR="00BF6B7D">
        <w:rPr>
          <w:rFonts w:ascii="Verdana" w:hAnsi="Verdana"/>
          <w:sz w:val="20"/>
          <w:szCs w:val="20"/>
        </w:rPr>
        <w:t xml:space="preserve">by email </w:t>
      </w:r>
      <w:r w:rsidR="0014070C">
        <w:rPr>
          <w:rFonts w:ascii="Verdana" w:hAnsi="Verdana"/>
          <w:sz w:val="20"/>
          <w:szCs w:val="20"/>
        </w:rPr>
        <w:t>(email address: iss.pas@ing.com)</w:t>
      </w:r>
      <w:r w:rsidRPr="00BA2793">
        <w:rPr>
          <w:rFonts w:ascii="Verdana" w:hAnsi="Verdana"/>
          <w:sz w:val="20"/>
          <w:szCs w:val="20"/>
        </w:rPr>
        <w:t xml:space="preserve">. Those shareholders have until </w:t>
      </w:r>
      <w:r w:rsidR="00883D47">
        <w:rPr>
          <w:rFonts w:ascii="Verdana" w:hAnsi="Verdana"/>
          <w:sz w:val="20"/>
          <w:szCs w:val="20"/>
        </w:rPr>
        <w:t xml:space="preserve">the </w:t>
      </w:r>
      <w:r w:rsidR="00883D47" w:rsidRPr="00883D47">
        <w:rPr>
          <w:rFonts w:ascii="Verdana" w:hAnsi="Verdana"/>
          <w:sz w:val="20"/>
          <w:szCs w:val="20"/>
        </w:rPr>
        <w:t xml:space="preserve">Dutch DWT Reclaims Date </w:t>
      </w:r>
      <w:r w:rsidRPr="00BA2793">
        <w:rPr>
          <w:rFonts w:ascii="Verdana" w:hAnsi="Verdana"/>
          <w:sz w:val="20"/>
          <w:szCs w:val="20"/>
        </w:rPr>
        <w:t xml:space="preserve">to provide evidence to </w:t>
      </w:r>
      <w:r w:rsidR="007942AE">
        <w:rPr>
          <w:rFonts w:ascii="Verdana" w:hAnsi="Verdana"/>
          <w:sz w:val="20"/>
          <w:szCs w:val="20"/>
        </w:rPr>
        <w:t>ING</w:t>
      </w:r>
      <w:r w:rsidRPr="00BA2793">
        <w:rPr>
          <w:rFonts w:ascii="Verdana" w:hAnsi="Verdana"/>
          <w:sz w:val="20"/>
          <w:szCs w:val="20"/>
        </w:rPr>
        <w:t>.</w:t>
      </w:r>
    </w:p>
    <w:p w14:paraId="79483DD8" w14:textId="56321B45" w:rsidR="00BA2793" w:rsidRPr="00BA2793" w:rsidRDefault="00BA2793" w:rsidP="00BA2793">
      <w:pPr>
        <w:pStyle w:val="AODocTxt"/>
        <w:rPr>
          <w:rFonts w:ascii="Verdana" w:hAnsi="Verdana"/>
          <w:sz w:val="20"/>
          <w:szCs w:val="20"/>
        </w:rPr>
      </w:pPr>
      <w:r w:rsidRPr="00BA2793">
        <w:rPr>
          <w:rFonts w:ascii="Verdana" w:hAnsi="Verdana"/>
          <w:sz w:val="20"/>
          <w:szCs w:val="20"/>
        </w:rPr>
        <w:t>South African corporates who own 5% or more of the shares in Prosus may qualify for a</w:t>
      </w:r>
      <w:r w:rsidR="006A10E3">
        <w:rPr>
          <w:rFonts w:ascii="Verdana" w:hAnsi="Verdana"/>
          <w:sz w:val="20"/>
          <w:szCs w:val="20"/>
        </w:rPr>
        <w:t>n</w:t>
      </w:r>
      <w:r w:rsidRPr="00BA2793">
        <w:rPr>
          <w:rFonts w:ascii="Verdana" w:hAnsi="Verdana"/>
          <w:sz w:val="20"/>
          <w:szCs w:val="20"/>
        </w:rPr>
        <w:t xml:space="preserve"> exemption from Dutch dividend withholding tax.</w:t>
      </w:r>
    </w:p>
    <w:p w14:paraId="09AB9D07" w14:textId="5B4D1077" w:rsidR="00BA2793" w:rsidRPr="00BA2793" w:rsidRDefault="00BA2793" w:rsidP="00BA2793">
      <w:pPr>
        <w:pStyle w:val="AODocTxt"/>
        <w:rPr>
          <w:rFonts w:ascii="Verdana" w:hAnsi="Verdana"/>
          <w:sz w:val="20"/>
          <w:szCs w:val="20"/>
        </w:rPr>
      </w:pPr>
      <w:r w:rsidRPr="00BA2793">
        <w:rPr>
          <w:rFonts w:ascii="Verdana" w:hAnsi="Verdana"/>
          <w:sz w:val="20"/>
          <w:szCs w:val="20"/>
        </w:rPr>
        <w:t>The treaty between South Africa and the Netherlands notes that the Dutch dividend</w:t>
      </w:r>
      <w:r w:rsidR="002A0361">
        <w:rPr>
          <w:rFonts w:ascii="Verdana" w:hAnsi="Verdana"/>
          <w:sz w:val="20"/>
          <w:szCs w:val="20"/>
        </w:rPr>
        <w:t xml:space="preserve"> </w:t>
      </w:r>
      <w:r w:rsidRPr="00BA2793">
        <w:rPr>
          <w:rFonts w:ascii="Verdana" w:hAnsi="Verdana"/>
          <w:sz w:val="20"/>
          <w:szCs w:val="20"/>
        </w:rPr>
        <w:t>withholding tax may get reduced from 15% to 10%. This reduction applies equally to</w:t>
      </w:r>
      <w:r w:rsidR="002A0361">
        <w:rPr>
          <w:rFonts w:ascii="Verdana" w:hAnsi="Verdana"/>
          <w:sz w:val="20"/>
          <w:szCs w:val="20"/>
        </w:rPr>
        <w:t xml:space="preserve"> </w:t>
      </w:r>
      <w:r w:rsidRPr="00BA2793">
        <w:rPr>
          <w:rFonts w:ascii="Verdana" w:hAnsi="Verdana"/>
          <w:sz w:val="20"/>
          <w:szCs w:val="20"/>
        </w:rPr>
        <w:t>corporates holding less than 10% of the capital of Prosus, individuals and other persons who</w:t>
      </w:r>
      <w:r w:rsidR="002A0361">
        <w:rPr>
          <w:rFonts w:ascii="Verdana" w:hAnsi="Verdana"/>
          <w:sz w:val="20"/>
          <w:szCs w:val="20"/>
        </w:rPr>
        <w:t xml:space="preserve"> </w:t>
      </w:r>
      <w:r w:rsidRPr="00BA2793">
        <w:rPr>
          <w:rFonts w:ascii="Verdana" w:hAnsi="Verdana"/>
          <w:sz w:val="20"/>
          <w:szCs w:val="20"/>
        </w:rPr>
        <w:t>qualify as residents of South Africa for treaty purposes. If shareholders</w:t>
      </w:r>
      <w:r w:rsidR="002A0361">
        <w:rPr>
          <w:rFonts w:ascii="Verdana" w:hAnsi="Verdana"/>
          <w:sz w:val="20"/>
          <w:szCs w:val="20"/>
        </w:rPr>
        <w:t xml:space="preserve"> </w:t>
      </w:r>
      <w:r w:rsidRPr="00BA2793">
        <w:rPr>
          <w:rFonts w:ascii="Verdana" w:hAnsi="Verdana"/>
          <w:sz w:val="20"/>
          <w:szCs w:val="20"/>
        </w:rPr>
        <w:t>conclude that they are entitled to benefits arising from the tax treaty, such shareholders</w:t>
      </w:r>
      <w:r w:rsidR="002A0361">
        <w:rPr>
          <w:rFonts w:ascii="Verdana" w:hAnsi="Verdana"/>
          <w:sz w:val="20"/>
          <w:szCs w:val="20"/>
        </w:rPr>
        <w:t xml:space="preserve"> </w:t>
      </w:r>
      <w:r w:rsidRPr="00BA2793">
        <w:rPr>
          <w:rFonts w:ascii="Verdana" w:hAnsi="Verdana"/>
          <w:sz w:val="20"/>
          <w:szCs w:val="20"/>
        </w:rPr>
        <w:t>should follow the process prescribed by the tax treaty to claim relief.</w:t>
      </w:r>
    </w:p>
    <w:p w14:paraId="0071019E" w14:textId="4E0519AA" w:rsidR="00BA2793" w:rsidRDefault="00BA2793" w:rsidP="00BA2793">
      <w:pPr>
        <w:pStyle w:val="AODocTxt"/>
        <w:rPr>
          <w:rFonts w:ascii="Verdana" w:hAnsi="Verdana"/>
          <w:sz w:val="20"/>
          <w:szCs w:val="20"/>
        </w:rPr>
      </w:pPr>
      <w:r w:rsidRPr="00BA2793">
        <w:rPr>
          <w:rFonts w:ascii="Verdana" w:hAnsi="Verdana"/>
          <w:sz w:val="20"/>
          <w:szCs w:val="20"/>
        </w:rPr>
        <w:t>Please note that no Dutch dividend withholding tax will be withheld on repayments of share</w:t>
      </w:r>
      <w:r w:rsidR="002A0361">
        <w:rPr>
          <w:rFonts w:ascii="Verdana" w:hAnsi="Verdana"/>
          <w:sz w:val="20"/>
          <w:szCs w:val="20"/>
        </w:rPr>
        <w:t xml:space="preserve"> </w:t>
      </w:r>
      <w:r w:rsidRPr="00BA2793">
        <w:rPr>
          <w:rFonts w:ascii="Verdana" w:hAnsi="Verdana"/>
          <w:sz w:val="20"/>
          <w:szCs w:val="20"/>
        </w:rPr>
        <w:t>capital. There will also be no South African dividend tax on repayments of share capital.</w:t>
      </w:r>
    </w:p>
    <w:p w14:paraId="29333AAA" w14:textId="478B011C" w:rsidR="00CE3EDA" w:rsidRPr="00324F97" w:rsidRDefault="00CE3EDA" w:rsidP="00CE3EDA">
      <w:pPr>
        <w:pStyle w:val="AODocTxt"/>
        <w:rPr>
          <w:rFonts w:ascii="Verdana" w:hAnsi="Verdana"/>
          <w:sz w:val="20"/>
          <w:szCs w:val="20"/>
        </w:rPr>
      </w:pPr>
      <w:r w:rsidRPr="00324F97">
        <w:rPr>
          <w:rFonts w:ascii="Verdana" w:hAnsi="Verdana"/>
          <w:sz w:val="20"/>
          <w:szCs w:val="20"/>
        </w:rPr>
        <w:t>Shareholders are advised that the matters contemplated in this announcement may have</w:t>
      </w:r>
      <w:r>
        <w:rPr>
          <w:rFonts w:ascii="Verdana" w:hAnsi="Verdana"/>
          <w:sz w:val="20"/>
          <w:szCs w:val="20"/>
        </w:rPr>
        <w:t xml:space="preserve"> </w:t>
      </w:r>
      <w:r w:rsidRPr="00324F97">
        <w:rPr>
          <w:rFonts w:ascii="Verdana" w:hAnsi="Verdana"/>
          <w:sz w:val="20"/>
          <w:szCs w:val="20"/>
        </w:rPr>
        <w:t>different consequences for each shareholder depending on the jurisdiction in which they reside</w:t>
      </w:r>
      <w:r>
        <w:rPr>
          <w:rFonts w:ascii="Verdana" w:hAnsi="Verdana"/>
          <w:sz w:val="20"/>
          <w:szCs w:val="20"/>
        </w:rPr>
        <w:t xml:space="preserve"> </w:t>
      </w:r>
      <w:r w:rsidRPr="00324F97">
        <w:rPr>
          <w:rFonts w:ascii="Verdana" w:hAnsi="Verdana"/>
          <w:sz w:val="20"/>
          <w:szCs w:val="20"/>
        </w:rPr>
        <w:t xml:space="preserve">and their other unique circumstances. Shareholders are accordingly advised to </w:t>
      </w:r>
      <w:r w:rsidR="00CF1C0E">
        <w:rPr>
          <w:rFonts w:ascii="Verdana" w:hAnsi="Verdana"/>
          <w:sz w:val="20"/>
          <w:szCs w:val="20"/>
        </w:rPr>
        <w:t>consult with their</w:t>
      </w:r>
      <w:r w:rsidRPr="00324F97">
        <w:rPr>
          <w:rFonts w:ascii="Verdana" w:hAnsi="Verdana"/>
          <w:sz w:val="20"/>
          <w:szCs w:val="20"/>
        </w:rPr>
        <w:t xml:space="preserve"> tax </w:t>
      </w:r>
      <w:r w:rsidR="00CF1C0E" w:rsidRPr="00324F97">
        <w:rPr>
          <w:rFonts w:ascii="Verdana" w:hAnsi="Verdana"/>
          <w:sz w:val="20"/>
          <w:szCs w:val="20"/>
        </w:rPr>
        <w:t>advi</w:t>
      </w:r>
      <w:r w:rsidR="00CF1C0E">
        <w:rPr>
          <w:rFonts w:ascii="Verdana" w:hAnsi="Verdana"/>
          <w:sz w:val="20"/>
          <w:szCs w:val="20"/>
        </w:rPr>
        <w:t>sors</w:t>
      </w:r>
      <w:r w:rsidRPr="00324F97">
        <w:rPr>
          <w:rFonts w:ascii="Verdana" w:hAnsi="Verdana"/>
          <w:sz w:val="20"/>
          <w:szCs w:val="20"/>
        </w:rPr>
        <w:t xml:space="preserve"> in relation to matters contained in this</w:t>
      </w:r>
      <w:r>
        <w:rPr>
          <w:rFonts w:ascii="Verdana" w:hAnsi="Verdana"/>
          <w:sz w:val="20"/>
          <w:szCs w:val="20"/>
        </w:rPr>
        <w:t xml:space="preserve"> </w:t>
      </w:r>
      <w:r w:rsidRPr="00324F97">
        <w:rPr>
          <w:rFonts w:ascii="Verdana" w:hAnsi="Verdana"/>
          <w:sz w:val="20"/>
          <w:szCs w:val="20"/>
        </w:rPr>
        <w:t>announcement.</w:t>
      </w:r>
    </w:p>
    <w:p w14:paraId="2D5E4B26" w14:textId="77777777" w:rsidR="00CE3EDA" w:rsidRPr="003B235D" w:rsidRDefault="00CE3EDA" w:rsidP="00CE3EDA">
      <w:pPr>
        <w:pStyle w:val="AODocTxt"/>
        <w:rPr>
          <w:rFonts w:ascii="Verdana" w:hAnsi="Verdana"/>
          <w:sz w:val="20"/>
          <w:szCs w:val="20"/>
        </w:rPr>
      </w:pPr>
      <w:r w:rsidRPr="00324F97">
        <w:rPr>
          <w:rFonts w:ascii="Verdana" w:hAnsi="Verdana"/>
          <w:sz w:val="20"/>
          <w:szCs w:val="20"/>
        </w:rPr>
        <w:t>Prosus does not accept responsibility and will not be held liable for any act of or omission by</w:t>
      </w:r>
      <w:r>
        <w:rPr>
          <w:rFonts w:ascii="Verdana" w:hAnsi="Verdana"/>
          <w:sz w:val="20"/>
          <w:szCs w:val="20"/>
        </w:rPr>
        <w:t xml:space="preserve"> </w:t>
      </w:r>
      <w:r w:rsidRPr="00324F97">
        <w:rPr>
          <w:rFonts w:ascii="Verdana" w:hAnsi="Verdana"/>
          <w:sz w:val="20"/>
          <w:szCs w:val="20"/>
        </w:rPr>
        <w:t>any CSDP or broker, including, without limitation, any failure on the part of the CSDP or</w:t>
      </w:r>
      <w:r>
        <w:rPr>
          <w:rFonts w:ascii="Verdana" w:hAnsi="Verdana"/>
          <w:sz w:val="20"/>
          <w:szCs w:val="20"/>
        </w:rPr>
        <w:t xml:space="preserve"> </w:t>
      </w:r>
      <w:r w:rsidRPr="00324F97">
        <w:rPr>
          <w:rFonts w:ascii="Verdana" w:hAnsi="Verdana"/>
          <w:sz w:val="20"/>
          <w:szCs w:val="20"/>
        </w:rPr>
        <w:t>broker or any registered shareholder to notify the holder of any beneficial interest in respect</w:t>
      </w:r>
      <w:r>
        <w:rPr>
          <w:rFonts w:ascii="Verdana" w:hAnsi="Verdana"/>
          <w:sz w:val="20"/>
          <w:szCs w:val="20"/>
        </w:rPr>
        <w:t xml:space="preserve"> </w:t>
      </w:r>
      <w:r w:rsidRPr="00324F97">
        <w:rPr>
          <w:rFonts w:ascii="Verdana" w:hAnsi="Verdana"/>
          <w:sz w:val="20"/>
          <w:szCs w:val="20"/>
        </w:rPr>
        <w:t>of the distribution or any other matter set out in this announcement.</w:t>
      </w:r>
    </w:p>
    <w:p w14:paraId="2FA7070F" w14:textId="77777777" w:rsidR="00396EEA" w:rsidRDefault="00396EEA">
      <w:pPr>
        <w:spacing w:line="260" w:lineRule="atLeast"/>
        <w:rPr>
          <w:rFonts w:ascii="Verdana" w:hAnsi="Verdana"/>
          <w:b/>
          <w:bCs/>
          <w:sz w:val="20"/>
          <w:szCs w:val="20"/>
        </w:rPr>
      </w:pPr>
      <w:r>
        <w:rPr>
          <w:rFonts w:ascii="Verdana" w:hAnsi="Verdana"/>
          <w:b/>
          <w:bCs/>
          <w:sz w:val="20"/>
          <w:szCs w:val="20"/>
        </w:rPr>
        <w:br w:type="page"/>
      </w:r>
    </w:p>
    <w:p w14:paraId="5FF73042" w14:textId="7787CBEC" w:rsidR="00BA2793" w:rsidRPr="002A0361" w:rsidRDefault="00BA2793" w:rsidP="00BA2793">
      <w:pPr>
        <w:pStyle w:val="AODocTxt"/>
        <w:rPr>
          <w:rFonts w:ascii="Verdana" w:hAnsi="Verdana"/>
          <w:b/>
          <w:bCs/>
          <w:sz w:val="20"/>
          <w:szCs w:val="20"/>
        </w:rPr>
      </w:pPr>
      <w:r w:rsidRPr="002A0361">
        <w:rPr>
          <w:rFonts w:ascii="Verdana" w:hAnsi="Verdana"/>
          <w:b/>
          <w:bCs/>
          <w:sz w:val="20"/>
          <w:szCs w:val="20"/>
        </w:rPr>
        <w:lastRenderedPageBreak/>
        <w:t>Tax Implications</w:t>
      </w:r>
    </w:p>
    <w:p w14:paraId="7C1C7462" w14:textId="5968EC7B" w:rsidR="00BA2793" w:rsidRPr="002A0361" w:rsidRDefault="00BA2793" w:rsidP="002A0361">
      <w:pPr>
        <w:pStyle w:val="AODocTxt"/>
        <w:keepNext/>
        <w:numPr>
          <w:ilvl w:val="0"/>
          <w:numId w:val="27"/>
        </w:numPr>
        <w:ind w:left="567" w:hanging="567"/>
        <w:rPr>
          <w:rFonts w:ascii="Verdana" w:hAnsi="Verdana"/>
          <w:b/>
          <w:bCs/>
          <w:sz w:val="20"/>
          <w:szCs w:val="20"/>
        </w:rPr>
      </w:pPr>
      <w:r w:rsidRPr="002A0361">
        <w:rPr>
          <w:rFonts w:ascii="Verdana" w:hAnsi="Verdana"/>
          <w:b/>
          <w:bCs/>
          <w:sz w:val="20"/>
          <w:szCs w:val="20"/>
        </w:rPr>
        <w:t>Dutch Tax Implications</w:t>
      </w:r>
    </w:p>
    <w:p w14:paraId="0FD35BB9" w14:textId="3BCD3871" w:rsidR="00BA2793" w:rsidRPr="002A0361" w:rsidRDefault="00BA2793" w:rsidP="002A0361">
      <w:pPr>
        <w:pStyle w:val="AODocTxt"/>
        <w:numPr>
          <w:ilvl w:val="1"/>
          <w:numId w:val="27"/>
        </w:numPr>
        <w:ind w:left="851" w:hanging="851"/>
        <w:rPr>
          <w:rFonts w:ascii="Verdana" w:hAnsi="Verdana"/>
          <w:b/>
          <w:bCs/>
          <w:sz w:val="20"/>
          <w:szCs w:val="20"/>
        </w:rPr>
      </w:pPr>
      <w:r w:rsidRPr="002A0361">
        <w:rPr>
          <w:rFonts w:ascii="Verdana" w:hAnsi="Verdana"/>
          <w:b/>
          <w:bCs/>
          <w:sz w:val="20"/>
          <w:szCs w:val="20"/>
        </w:rPr>
        <w:t>General</w:t>
      </w:r>
    </w:p>
    <w:p w14:paraId="11FCCD15" w14:textId="729CF1FB" w:rsidR="00BA2793" w:rsidRPr="00BA2793" w:rsidRDefault="00BA2793" w:rsidP="002A0361">
      <w:pPr>
        <w:pStyle w:val="AODocTxt"/>
        <w:ind w:left="851"/>
        <w:rPr>
          <w:rFonts w:ascii="Verdana" w:hAnsi="Verdana"/>
          <w:sz w:val="20"/>
          <w:szCs w:val="20"/>
        </w:rPr>
      </w:pPr>
      <w:r w:rsidRPr="00BA2793">
        <w:rPr>
          <w:rFonts w:ascii="Verdana" w:hAnsi="Verdana"/>
          <w:sz w:val="20"/>
          <w:szCs w:val="20"/>
        </w:rPr>
        <w:t>Capital repayments will be paid from share capital. No Dutch dividend withholding</w:t>
      </w:r>
      <w:r w:rsidR="002A0361">
        <w:rPr>
          <w:rFonts w:ascii="Verdana" w:hAnsi="Verdana"/>
          <w:sz w:val="20"/>
          <w:szCs w:val="20"/>
        </w:rPr>
        <w:t xml:space="preserve"> </w:t>
      </w:r>
      <w:r w:rsidRPr="00BA2793">
        <w:rPr>
          <w:rFonts w:ascii="Verdana" w:hAnsi="Verdana"/>
          <w:sz w:val="20"/>
          <w:szCs w:val="20"/>
        </w:rPr>
        <w:t>tax ("</w:t>
      </w:r>
      <w:r w:rsidRPr="000154E4">
        <w:rPr>
          <w:rFonts w:ascii="Verdana" w:hAnsi="Verdana"/>
          <w:b/>
          <w:bCs/>
          <w:sz w:val="20"/>
          <w:szCs w:val="20"/>
        </w:rPr>
        <w:t>DWT</w:t>
      </w:r>
      <w:r w:rsidRPr="00BA2793">
        <w:rPr>
          <w:rFonts w:ascii="Verdana" w:hAnsi="Verdana"/>
          <w:sz w:val="20"/>
          <w:szCs w:val="20"/>
        </w:rPr>
        <w:t>") will be withheld on the amounts of capital repayments paid to</w:t>
      </w:r>
      <w:r w:rsidR="002A0361">
        <w:rPr>
          <w:rFonts w:ascii="Verdana" w:hAnsi="Verdana"/>
          <w:sz w:val="20"/>
          <w:szCs w:val="20"/>
        </w:rPr>
        <w:t xml:space="preserve"> </w:t>
      </w:r>
      <w:r w:rsidRPr="00BA2793">
        <w:rPr>
          <w:rFonts w:ascii="Verdana" w:hAnsi="Verdana"/>
          <w:sz w:val="20"/>
          <w:szCs w:val="20"/>
        </w:rPr>
        <w:t>shareholders.</w:t>
      </w:r>
    </w:p>
    <w:p w14:paraId="080A66DA" w14:textId="4EC67C25" w:rsidR="00BA2793" w:rsidRPr="00BA2793" w:rsidRDefault="00BA2793" w:rsidP="002A0361">
      <w:pPr>
        <w:pStyle w:val="AODocTxt"/>
        <w:ind w:left="851"/>
        <w:rPr>
          <w:rFonts w:ascii="Verdana" w:hAnsi="Verdana"/>
          <w:sz w:val="20"/>
          <w:szCs w:val="20"/>
        </w:rPr>
      </w:pPr>
      <w:r w:rsidRPr="00BA2793">
        <w:rPr>
          <w:rFonts w:ascii="Verdana" w:hAnsi="Verdana"/>
          <w:sz w:val="20"/>
          <w:szCs w:val="20"/>
        </w:rPr>
        <w:t>Where a shareholder elects to receive a dividend, generally, 15% DWT will be</w:t>
      </w:r>
      <w:r w:rsidR="002A0361">
        <w:rPr>
          <w:rFonts w:ascii="Verdana" w:hAnsi="Verdana"/>
          <w:sz w:val="20"/>
          <w:szCs w:val="20"/>
        </w:rPr>
        <w:t xml:space="preserve"> </w:t>
      </w:r>
      <w:r w:rsidRPr="00BA2793">
        <w:rPr>
          <w:rFonts w:ascii="Verdana" w:hAnsi="Verdana"/>
          <w:sz w:val="20"/>
          <w:szCs w:val="20"/>
        </w:rPr>
        <w:t>withheld by Prosus on the cash dividend, leaving a distribution amount per share net</w:t>
      </w:r>
      <w:r w:rsidR="002A0361">
        <w:rPr>
          <w:rFonts w:ascii="Verdana" w:hAnsi="Verdana"/>
          <w:sz w:val="20"/>
          <w:szCs w:val="20"/>
        </w:rPr>
        <w:t xml:space="preserve"> </w:t>
      </w:r>
      <w:r w:rsidRPr="00BA2793">
        <w:rPr>
          <w:rFonts w:ascii="Verdana" w:hAnsi="Verdana"/>
          <w:sz w:val="20"/>
          <w:szCs w:val="20"/>
        </w:rPr>
        <w:t>of this 15% Dutch DWT, unless:</w:t>
      </w:r>
    </w:p>
    <w:p w14:paraId="4D8F713F" w14:textId="4ED37C8C" w:rsidR="00BA2793" w:rsidRPr="002A0361" w:rsidRDefault="00BA2793" w:rsidP="002A0361">
      <w:pPr>
        <w:pStyle w:val="AODocTxt"/>
        <w:numPr>
          <w:ilvl w:val="2"/>
          <w:numId w:val="27"/>
        </w:numPr>
        <w:ind w:left="1134" w:hanging="1134"/>
        <w:rPr>
          <w:rFonts w:ascii="Verdana" w:hAnsi="Verdana"/>
          <w:sz w:val="20"/>
          <w:szCs w:val="20"/>
        </w:rPr>
      </w:pPr>
      <w:r w:rsidRPr="002A0361">
        <w:rPr>
          <w:rFonts w:ascii="Verdana" w:hAnsi="Verdana"/>
          <w:sz w:val="20"/>
          <w:szCs w:val="20"/>
        </w:rPr>
        <w:t>a shareholder qualifies for an exemption from or a reduction of Dutch DWT on the basis of Dutch domestic law (including implementation of EU Directives) and/or a tax treaty concluded by the Netherlands; and</w:t>
      </w:r>
    </w:p>
    <w:p w14:paraId="3560A9D5" w14:textId="6E9F6D41" w:rsidR="00BA2793" w:rsidRPr="00BA2793" w:rsidRDefault="00BA2793" w:rsidP="002A0361">
      <w:pPr>
        <w:pStyle w:val="AODocTxt"/>
        <w:numPr>
          <w:ilvl w:val="2"/>
          <w:numId w:val="27"/>
        </w:numPr>
        <w:ind w:left="1134" w:hanging="1134"/>
        <w:rPr>
          <w:rFonts w:ascii="Verdana" w:hAnsi="Verdana"/>
          <w:sz w:val="20"/>
          <w:szCs w:val="20"/>
        </w:rPr>
      </w:pPr>
      <w:r w:rsidRPr="00BA2793">
        <w:rPr>
          <w:rFonts w:ascii="Verdana" w:hAnsi="Verdana"/>
          <w:sz w:val="20"/>
          <w:szCs w:val="20"/>
        </w:rPr>
        <w:t>the formal requirements to apply such exemption from or reduction of Dutch DWT</w:t>
      </w:r>
      <w:r w:rsidR="002A0361">
        <w:rPr>
          <w:rFonts w:ascii="Verdana" w:hAnsi="Verdana"/>
          <w:sz w:val="20"/>
          <w:szCs w:val="20"/>
        </w:rPr>
        <w:t xml:space="preserve"> </w:t>
      </w:r>
      <w:r w:rsidRPr="00BA2793">
        <w:rPr>
          <w:rFonts w:ascii="Verdana" w:hAnsi="Verdana"/>
          <w:sz w:val="20"/>
          <w:szCs w:val="20"/>
        </w:rPr>
        <w:t>are satisfied (insofar applicable).</w:t>
      </w:r>
    </w:p>
    <w:p w14:paraId="03BA5235" w14:textId="4C2E70B4" w:rsidR="00BA2793" w:rsidRPr="00BA2793" w:rsidRDefault="00BA2793" w:rsidP="002A0361">
      <w:pPr>
        <w:pStyle w:val="AODocTxt"/>
        <w:ind w:left="851"/>
        <w:rPr>
          <w:rFonts w:ascii="Verdana" w:hAnsi="Verdana"/>
          <w:sz w:val="20"/>
          <w:szCs w:val="20"/>
        </w:rPr>
      </w:pPr>
      <w:r w:rsidRPr="00BA2793">
        <w:rPr>
          <w:rFonts w:ascii="Verdana" w:hAnsi="Verdana"/>
          <w:sz w:val="20"/>
          <w:szCs w:val="20"/>
        </w:rPr>
        <w:t xml:space="preserve">Prosus will initially withhold 15% </w:t>
      </w:r>
      <w:r w:rsidR="00997328">
        <w:rPr>
          <w:rFonts w:ascii="Verdana" w:hAnsi="Verdana"/>
          <w:sz w:val="20"/>
          <w:szCs w:val="20"/>
        </w:rPr>
        <w:t xml:space="preserve">Dutch </w:t>
      </w:r>
      <w:r w:rsidR="00F86158">
        <w:rPr>
          <w:rFonts w:ascii="Verdana" w:hAnsi="Verdana"/>
          <w:sz w:val="20"/>
          <w:szCs w:val="20"/>
        </w:rPr>
        <w:t xml:space="preserve">DWT </w:t>
      </w:r>
      <w:r w:rsidRPr="00BA2793">
        <w:rPr>
          <w:rFonts w:ascii="Verdana" w:hAnsi="Verdana"/>
          <w:sz w:val="20"/>
          <w:szCs w:val="20"/>
        </w:rPr>
        <w:t xml:space="preserve">on ALL cash dividends distributed on </w:t>
      </w:r>
      <w:r w:rsidR="00CE3EDA" w:rsidRPr="00CE3EDA">
        <w:rPr>
          <w:rFonts w:ascii="Verdana" w:hAnsi="Verdana"/>
          <w:sz w:val="20"/>
          <w:szCs w:val="20"/>
        </w:rPr>
        <w:t>Payment Date</w:t>
      </w:r>
      <w:r w:rsidRPr="00BA2793">
        <w:rPr>
          <w:rFonts w:ascii="Verdana" w:hAnsi="Verdana"/>
          <w:sz w:val="20"/>
          <w:szCs w:val="20"/>
        </w:rPr>
        <w:t>. As a subsequent step, if and to the extent Prosus has been provided</w:t>
      </w:r>
      <w:r w:rsidR="002A0361">
        <w:rPr>
          <w:rFonts w:ascii="Verdana" w:hAnsi="Verdana"/>
          <w:sz w:val="20"/>
          <w:szCs w:val="20"/>
        </w:rPr>
        <w:t xml:space="preserve"> </w:t>
      </w:r>
      <w:r w:rsidRPr="00BA2793">
        <w:rPr>
          <w:rFonts w:ascii="Verdana" w:hAnsi="Verdana"/>
          <w:sz w:val="20"/>
          <w:szCs w:val="20"/>
        </w:rPr>
        <w:t xml:space="preserve">before </w:t>
      </w:r>
      <w:r w:rsidR="00883D47" w:rsidRPr="00883D47">
        <w:rPr>
          <w:rFonts w:ascii="Verdana" w:hAnsi="Verdana"/>
          <w:sz w:val="20"/>
          <w:szCs w:val="20"/>
        </w:rPr>
        <w:t xml:space="preserve">Dutch DWT Reclaims Date </w:t>
      </w:r>
      <w:r w:rsidRPr="00BA2793">
        <w:rPr>
          <w:rFonts w:ascii="Verdana" w:hAnsi="Verdana"/>
          <w:sz w:val="20"/>
          <w:szCs w:val="20"/>
        </w:rPr>
        <w:t>with proof that a shareholder qualifies for an exemption</w:t>
      </w:r>
      <w:r w:rsidR="002A0361">
        <w:rPr>
          <w:rFonts w:ascii="Verdana" w:hAnsi="Verdana"/>
          <w:sz w:val="20"/>
          <w:szCs w:val="20"/>
        </w:rPr>
        <w:t xml:space="preserve"> </w:t>
      </w:r>
      <w:r w:rsidRPr="00BA2793">
        <w:rPr>
          <w:rFonts w:ascii="Verdana" w:hAnsi="Verdana"/>
          <w:sz w:val="20"/>
          <w:szCs w:val="20"/>
        </w:rPr>
        <w:t>from or a reduction of Dutch DWT on the basis of Dutch domestic law, the difference</w:t>
      </w:r>
      <w:r w:rsidR="002A0361">
        <w:rPr>
          <w:rFonts w:ascii="Verdana" w:hAnsi="Verdana"/>
          <w:sz w:val="20"/>
          <w:szCs w:val="20"/>
        </w:rPr>
        <w:t xml:space="preserve"> </w:t>
      </w:r>
      <w:r w:rsidRPr="00BA2793">
        <w:rPr>
          <w:rFonts w:ascii="Verdana" w:hAnsi="Verdana"/>
          <w:sz w:val="20"/>
          <w:szCs w:val="20"/>
        </w:rPr>
        <w:t>between 15% and the Dutch DWT to be withheld will be paid out to the shareholder,</w:t>
      </w:r>
      <w:r w:rsidR="002A0361">
        <w:rPr>
          <w:rFonts w:ascii="Verdana" w:hAnsi="Verdana"/>
          <w:sz w:val="20"/>
          <w:szCs w:val="20"/>
        </w:rPr>
        <w:t xml:space="preserve"> </w:t>
      </w:r>
      <w:r w:rsidRPr="00BA2793">
        <w:rPr>
          <w:rFonts w:ascii="Verdana" w:hAnsi="Verdana"/>
          <w:sz w:val="20"/>
          <w:szCs w:val="20"/>
        </w:rPr>
        <w:t>after the Dutch DWT return and/or Dutch DWT notification has been filed by Prosus</w:t>
      </w:r>
      <w:r w:rsidR="002A0361">
        <w:rPr>
          <w:rFonts w:ascii="Verdana" w:hAnsi="Verdana"/>
          <w:sz w:val="20"/>
          <w:szCs w:val="20"/>
        </w:rPr>
        <w:t xml:space="preserve"> </w:t>
      </w:r>
      <w:r w:rsidRPr="00BA2793">
        <w:rPr>
          <w:rFonts w:ascii="Verdana" w:hAnsi="Verdana"/>
          <w:sz w:val="20"/>
          <w:szCs w:val="20"/>
        </w:rPr>
        <w:t>with the Dutch tax authorities. Prosus will remit the Dutch DWT to be withheld to the</w:t>
      </w:r>
      <w:r w:rsidR="002A0361">
        <w:rPr>
          <w:rFonts w:ascii="Verdana" w:hAnsi="Verdana"/>
          <w:sz w:val="20"/>
          <w:szCs w:val="20"/>
        </w:rPr>
        <w:t xml:space="preserve"> </w:t>
      </w:r>
      <w:r w:rsidRPr="00BA2793">
        <w:rPr>
          <w:rFonts w:ascii="Verdana" w:hAnsi="Verdana"/>
          <w:sz w:val="20"/>
          <w:szCs w:val="20"/>
        </w:rPr>
        <w:t>Dutch tax authorities based on the Dutch DWT return. Shareholders who are entitled</w:t>
      </w:r>
      <w:r w:rsidR="002A0361">
        <w:rPr>
          <w:rFonts w:ascii="Verdana" w:hAnsi="Verdana"/>
          <w:sz w:val="20"/>
          <w:szCs w:val="20"/>
        </w:rPr>
        <w:t xml:space="preserve"> </w:t>
      </w:r>
      <w:r w:rsidRPr="00BA2793">
        <w:rPr>
          <w:rFonts w:ascii="Verdana" w:hAnsi="Verdana"/>
          <w:sz w:val="20"/>
          <w:szCs w:val="20"/>
        </w:rPr>
        <w:t>to a reduced Dutch dividend withholding tax rate or an exemption from Dutch</w:t>
      </w:r>
      <w:r w:rsidR="002A0361">
        <w:rPr>
          <w:rFonts w:ascii="Verdana" w:hAnsi="Verdana"/>
          <w:sz w:val="20"/>
          <w:szCs w:val="20"/>
        </w:rPr>
        <w:t xml:space="preserve"> </w:t>
      </w:r>
      <w:r w:rsidRPr="00BA2793">
        <w:rPr>
          <w:rFonts w:ascii="Verdana" w:hAnsi="Verdana"/>
          <w:sz w:val="20"/>
          <w:szCs w:val="20"/>
        </w:rPr>
        <w:t>dividend withholding tax can submit the required evidence to substantiate their</w:t>
      </w:r>
      <w:r w:rsidR="002A0361">
        <w:rPr>
          <w:rFonts w:ascii="Verdana" w:hAnsi="Verdana"/>
          <w:sz w:val="20"/>
          <w:szCs w:val="20"/>
        </w:rPr>
        <w:t xml:space="preserve"> </w:t>
      </w:r>
      <w:r w:rsidRPr="00BA2793">
        <w:rPr>
          <w:rFonts w:ascii="Verdana" w:hAnsi="Verdana"/>
          <w:sz w:val="20"/>
          <w:szCs w:val="20"/>
        </w:rPr>
        <w:t xml:space="preserve">position </w:t>
      </w:r>
      <w:r w:rsidR="00C94542">
        <w:rPr>
          <w:rFonts w:ascii="Verdana" w:hAnsi="Verdana"/>
          <w:sz w:val="20"/>
          <w:szCs w:val="20"/>
        </w:rPr>
        <w:t>to</w:t>
      </w:r>
      <w:r w:rsidRPr="00BA2793">
        <w:rPr>
          <w:rFonts w:ascii="Verdana" w:hAnsi="Verdana"/>
          <w:sz w:val="20"/>
          <w:szCs w:val="20"/>
        </w:rPr>
        <w:t xml:space="preserve"> </w:t>
      </w:r>
      <w:r w:rsidR="006B35BB">
        <w:rPr>
          <w:rFonts w:ascii="Verdana" w:hAnsi="Verdana"/>
          <w:sz w:val="20"/>
          <w:szCs w:val="20"/>
        </w:rPr>
        <w:t>ING</w:t>
      </w:r>
      <w:r w:rsidRPr="00BA2793">
        <w:rPr>
          <w:rFonts w:ascii="Verdana" w:hAnsi="Verdana"/>
          <w:sz w:val="20"/>
          <w:szCs w:val="20"/>
        </w:rPr>
        <w:t xml:space="preserve"> </w:t>
      </w:r>
      <w:r w:rsidR="00C94542">
        <w:rPr>
          <w:rFonts w:ascii="Verdana" w:hAnsi="Verdana"/>
          <w:sz w:val="20"/>
          <w:szCs w:val="20"/>
        </w:rPr>
        <w:t>by email (email address: iss.pas@ing.com)</w:t>
      </w:r>
      <w:r w:rsidRPr="00BA2793">
        <w:rPr>
          <w:rFonts w:ascii="Verdana" w:hAnsi="Verdana"/>
          <w:sz w:val="20"/>
          <w:szCs w:val="20"/>
        </w:rPr>
        <w:t>.</w:t>
      </w:r>
    </w:p>
    <w:p w14:paraId="6E495974" w14:textId="7C21F6FE" w:rsidR="00BA2793" w:rsidRPr="002A0361" w:rsidRDefault="00BA2793" w:rsidP="002A0361">
      <w:pPr>
        <w:pStyle w:val="AODocTxt"/>
        <w:numPr>
          <w:ilvl w:val="1"/>
          <w:numId w:val="27"/>
        </w:numPr>
        <w:ind w:left="851" w:hanging="851"/>
        <w:rPr>
          <w:rFonts w:ascii="Verdana" w:hAnsi="Verdana"/>
          <w:b/>
          <w:bCs/>
          <w:sz w:val="20"/>
          <w:szCs w:val="20"/>
        </w:rPr>
      </w:pPr>
      <w:r w:rsidRPr="002A0361">
        <w:rPr>
          <w:rFonts w:ascii="Verdana" w:hAnsi="Verdana"/>
          <w:b/>
          <w:bCs/>
          <w:sz w:val="20"/>
          <w:szCs w:val="20"/>
        </w:rPr>
        <w:t>Domestic exemptions from Dutch DWT</w:t>
      </w:r>
    </w:p>
    <w:p w14:paraId="0EF9A0F1" w14:textId="68761A09" w:rsidR="00BA2793" w:rsidRPr="002A0361" w:rsidRDefault="00BA2793" w:rsidP="002A0361">
      <w:pPr>
        <w:pStyle w:val="AODocTxt"/>
        <w:numPr>
          <w:ilvl w:val="2"/>
          <w:numId w:val="27"/>
        </w:numPr>
        <w:ind w:left="1134" w:hanging="1134"/>
        <w:rPr>
          <w:rFonts w:ascii="Verdana" w:hAnsi="Verdana"/>
          <w:b/>
          <w:bCs/>
          <w:sz w:val="20"/>
          <w:szCs w:val="20"/>
        </w:rPr>
      </w:pPr>
      <w:r w:rsidRPr="002A0361">
        <w:rPr>
          <w:rFonts w:ascii="Verdana" w:hAnsi="Verdana"/>
          <w:b/>
          <w:bCs/>
          <w:sz w:val="20"/>
          <w:szCs w:val="20"/>
        </w:rPr>
        <w:t>General</w:t>
      </w:r>
    </w:p>
    <w:p w14:paraId="1BB0E3B2" w14:textId="37F980AC" w:rsidR="00BA2793" w:rsidRPr="00BA2793" w:rsidRDefault="00BA2793" w:rsidP="002A0361">
      <w:pPr>
        <w:pStyle w:val="AODocTxt"/>
        <w:ind w:left="1134"/>
        <w:rPr>
          <w:rFonts w:ascii="Verdana" w:hAnsi="Verdana"/>
          <w:sz w:val="20"/>
          <w:szCs w:val="20"/>
        </w:rPr>
      </w:pPr>
      <w:r w:rsidRPr="00BA2793">
        <w:rPr>
          <w:rFonts w:ascii="Verdana" w:hAnsi="Verdana"/>
          <w:sz w:val="20"/>
          <w:szCs w:val="20"/>
        </w:rPr>
        <w:t xml:space="preserve">Corporate shareholders may be exempt from Dutch DWT </w:t>
      </w:r>
      <w:r w:rsidR="00B52AF6">
        <w:rPr>
          <w:rFonts w:ascii="Verdana" w:hAnsi="Verdana"/>
          <w:sz w:val="20"/>
          <w:szCs w:val="20"/>
        </w:rPr>
        <w:t>under</w:t>
      </w:r>
      <w:r w:rsidRPr="00BA2793">
        <w:rPr>
          <w:rFonts w:ascii="Verdana" w:hAnsi="Verdana"/>
          <w:sz w:val="20"/>
          <w:szCs w:val="20"/>
        </w:rPr>
        <w:t xml:space="preserve"> Dutch domestic law, if:</w:t>
      </w:r>
    </w:p>
    <w:p w14:paraId="7385E41C" w14:textId="3FC77CBF" w:rsidR="00BA2793" w:rsidRPr="002A0361" w:rsidRDefault="00BA2793" w:rsidP="002A0361">
      <w:pPr>
        <w:pStyle w:val="AODocTxt"/>
        <w:numPr>
          <w:ilvl w:val="3"/>
          <w:numId w:val="27"/>
        </w:numPr>
        <w:ind w:left="1418" w:hanging="1418"/>
        <w:rPr>
          <w:rFonts w:ascii="Verdana" w:hAnsi="Verdana"/>
          <w:sz w:val="20"/>
          <w:szCs w:val="20"/>
        </w:rPr>
      </w:pPr>
      <w:r w:rsidRPr="002A0361">
        <w:rPr>
          <w:rFonts w:ascii="Verdana" w:hAnsi="Verdana"/>
          <w:sz w:val="20"/>
          <w:szCs w:val="20"/>
        </w:rPr>
        <w:t>The shareholder is tax resident in the Netherlands and owns 5% or more of</w:t>
      </w:r>
      <w:r w:rsidR="002A0361" w:rsidRPr="002A0361">
        <w:rPr>
          <w:rFonts w:ascii="Verdana" w:hAnsi="Verdana"/>
          <w:sz w:val="20"/>
          <w:szCs w:val="20"/>
        </w:rPr>
        <w:t xml:space="preserve"> </w:t>
      </w:r>
      <w:r w:rsidRPr="002A0361">
        <w:rPr>
          <w:rFonts w:ascii="Verdana" w:hAnsi="Verdana"/>
          <w:sz w:val="20"/>
          <w:szCs w:val="20"/>
        </w:rPr>
        <w:t>the share capital of Prosus, provided that the further requirements for the</w:t>
      </w:r>
      <w:r w:rsidR="002A0361" w:rsidRPr="002A0361">
        <w:rPr>
          <w:rFonts w:ascii="Verdana" w:hAnsi="Verdana"/>
          <w:sz w:val="20"/>
          <w:szCs w:val="20"/>
        </w:rPr>
        <w:t xml:space="preserve"> </w:t>
      </w:r>
      <w:r w:rsidRPr="002A0361">
        <w:rPr>
          <w:rFonts w:ascii="Verdana" w:hAnsi="Verdana"/>
          <w:sz w:val="20"/>
          <w:szCs w:val="20"/>
        </w:rPr>
        <w:t>application of the Dutch participation exemption are met. Special rules may</w:t>
      </w:r>
      <w:r w:rsidR="002A0361" w:rsidRPr="002A0361">
        <w:rPr>
          <w:rFonts w:ascii="Verdana" w:hAnsi="Verdana"/>
          <w:sz w:val="20"/>
          <w:szCs w:val="20"/>
        </w:rPr>
        <w:t xml:space="preserve"> </w:t>
      </w:r>
      <w:r w:rsidRPr="002A0361">
        <w:rPr>
          <w:rFonts w:ascii="Verdana" w:hAnsi="Verdana"/>
          <w:sz w:val="20"/>
          <w:szCs w:val="20"/>
        </w:rPr>
        <w:t>apply for corporate shareholders that are considered tax transparent in their</w:t>
      </w:r>
      <w:r w:rsidR="002A0361" w:rsidRPr="002A0361">
        <w:rPr>
          <w:rFonts w:ascii="Verdana" w:hAnsi="Verdana"/>
          <w:sz w:val="20"/>
          <w:szCs w:val="20"/>
        </w:rPr>
        <w:t xml:space="preserve"> </w:t>
      </w:r>
      <w:r w:rsidRPr="002A0361">
        <w:rPr>
          <w:rFonts w:ascii="Verdana" w:hAnsi="Verdana"/>
          <w:sz w:val="20"/>
          <w:szCs w:val="20"/>
        </w:rPr>
        <w:t>country of residence, or considered tax transparent from a Dutch tax</w:t>
      </w:r>
      <w:r w:rsidR="002A0361">
        <w:rPr>
          <w:rFonts w:ascii="Verdana" w:hAnsi="Verdana"/>
          <w:sz w:val="20"/>
          <w:szCs w:val="20"/>
        </w:rPr>
        <w:t xml:space="preserve"> </w:t>
      </w:r>
      <w:r w:rsidRPr="002A0361">
        <w:rPr>
          <w:rFonts w:ascii="Verdana" w:hAnsi="Verdana"/>
          <w:sz w:val="20"/>
          <w:szCs w:val="20"/>
        </w:rPr>
        <w:t>perspective; or</w:t>
      </w:r>
    </w:p>
    <w:p w14:paraId="646C0143" w14:textId="79CA0EF0" w:rsidR="00BA2793" w:rsidRPr="00BA2793" w:rsidRDefault="00BA2793" w:rsidP="002A0361">
      <w:pPr>
        <w:pStyle w:val="AODocTxt"/>
        <w:numPr>
          <w:ilvl w:val="3"/>
          <w:numId w:val="27"/>
        </w:numPr>
        <w:ind w:left="1418" w:hanging="1418"/>
        <w:rPr>
          <w:rFonts w:ascii="Verdana" w:hAnsi="Verdana"/>
          <w:sz w:val="20"/>
          <w:szCs w:val="20"/>
        </w:rPr>
      </w:pPr>
      <w:r w:rsidRPr="00BA2793">
        <w:rPr>
          <w:rFonts w:ascii="Verdana" w:hAnsi="Verdana"/>
          <w:sz w:val="20"/>
          <w:szCs w:val="20"/>
        </w:rPr>
        <w:t>A shareholder is considered tax resident within the EU or EEA or is a tax</w:t>
      </w:r>
      <w:r w:rsidR="002A0361">
        <w:rPr>
          <w:rFonts w:ascii="Verdana" w:hAnsi="Verdana"/>
          <w:sz w:val="20"/>
          <w:szCs w:val="20"/>
        </w:rPr>
        <w:t xml:space="preserve"> </w:t>
      </w:r>
      <w:r w:rsidRPr="00BA2793">
        <w:rPr>
          <w:rFonts w:ascii="Verdana" w:hAnsi="Verdana"/>
          <w:sz w:val="20"/>
          <w:szCs w:val="20"/>
        </w:rPr>
        <w:t>resident of a country with which the Netherlands has concluded a tax treaty</w:t>
      </w:r>
      <w:r w:rsidR="002A0361">
        <w:rPr>
          <w:rFonts w:ascii="Verdana" w:hAnsi="Verdana"/>
          <w:sz w:val="20"/>
          <w:szCs w:val="20"/>
        </w:rPr>
        <w:t xml:space="preserve"> </w:t>
      </w:r>
      <w:r w:rsidRPr="00BA2793">
        <w:rPr>
          <w:rFonts w:ascii="Verdana" w:hAnsi="Verdana"/>
          <w:sz w:val="20"/>
          <w:szCs w:val="20"/>
        </w:rPr>
        <w:t>containing an article on taxation of dividends (such as South Africa), and, as</w:t>
      </w:r>
      <w:r w:rsidR="002A0361">
        <w:rPr>
          <w:rFonts w:ascii="Verdana" w:hAnsi="Verdana"/>
          <w:sz w:val="20"/>
          <w:szCs w:val="20"/>
        </w:rPr>
        <w:t xml:space="preserve"> </w:t>
      </w:r>
      <w:r w:rsidRPr="00BA2793">
        <w:rPr>
          <w:rFonts w:ascii="Verdana" w:hAnsi="Verdana"/>
          <w:sz w:val="20"/>
          <w:szCs w:val="20"/>
        </w:rPr>
        <w:t>a general rule, this corporate shareholder is the beneficial owner of the</w:t>
      </w:r>
      <w:r w:rsidR="002A0361">
        <w:rPr>
          <w:rFonts w:ascii="Verdana" w:hAnsi="Verdana"/>
          <w:sz w:val="20"/>
          <w:szCs w:val="20"/>
        </w:rPr>
        <w:t xml:space="preserve"> </w:t>
      </w:r>
      <w:r w:rsidRPr="00BA2793">
        <w:rPr>
          <w:rFonts w:ascii="Verdana" w:hAnsi="Verdana"/>
          <w:sz w:val="20"/>
          <w:szCs w:val="20"/>
        </w:rPr>
        <w:t>dividends distributed by Prosus and owns 5% or more of the share capital</w:t>
      </w:r>
      <w:r w:rsidR="002A0361">
        <w:rPr>
          <w:rFonts w:ascii="Verdana" w:hAnsi="Verdana"/>
          <w:sz w:val="20"/>
          <w:szCs w:val="20"/>
        </w:rPr>
        <w:t xml:space="preserve"> </w:t>
      </w:r>
      <w:r w:rsidRPr="00BA2793">
        <w:rPr>
          <w:rFonts w:ascii="Verdana" w:hAnsi="Verdana"/>
          <w:sz w:val="20"/>
          <w:szCs w:val="20"/>
        </w:rPr>
        <w:t>of Prosus. In addition to the shareholding requirement, the shareholder is</w:t>
      </w:r>
      <w:r w:rsidR="002A0361">
        <w:rPr>
          <w:rFonts w:ascii="Verdana" w:hAnsi="Verdana"/>
          <w:sz w:val="20"/>
          <w:szCs w:val="20"/>
        </w:rPr>
        <w:t xml:space="preserve"> </w:t>
      </w:r>
      <w:r w:rsidRPr="00BA2793">
        <w:rPr>
          <w:rFonts w:ascii="Verdana" w:hAnsi="Verdana"/>
          <w:sz w:val="20"/>
          <w:szCs w:val="20"/>
        </w:rPr>
        <w:t>also required to meet certain other conditions relating to the application of</w:t>
      </w:r>
      <w:r w:rsidR="002A0361">
        <w:rPr>
          <w:rFonts w:ascii="Verdana" w:hAnsi="Verdana"/>
          <w:sz w:val="20"/>
          <w:szCs w:val="20"/>
        </w:rPr>
        <w:t xml:space="preserve"> </w:t>
      </w:r>
      <w:r w:rsidRPr="00BA2793">
        <w:rPr>
          <w:rFonts w:ascii="Verdana" w:hAnsi="Verdana"/>
          <w:sz w:val="20"/>
          <w:szCs w:val="20"/>
        </w:rPr>
        <w:t>the Dutch participation exemption, determined as if the corporate</w:t>
      </w:r>
      <w:r w:rsidR="002A0361">
        <w:rPr>
          <w:rFonts w:ascii="Verdana" w:hAnsi="Verdana"/>
          <w:sz w:val="20"/>
          <w:szCs w:val="20"/>
        </w:rPr>
        <w:t xml:space="preserve"> </w:t>
      </w:r>
      <w:r w:rsidRPr="00BA2793">
        <w:rPr>
          <w:rFonts w:ascii="Verdana" w:hAnsi="Verdana"/>
          <w:sz w:val="20"/>
          <w:szCs w:val="20"/>
        </w:rPr>
        <w:t xml:space="preserve">shareholder </w:t>
      </w:r>
      <w:r w:rsidR="00B52AF6">
        <w:rPr>
          <w:rFonts w:ascii="Verdana" w:hAnsi="Verdana"/>
          <w:sz w:val="20"/>
          <w:szCs w:val="20"/>
        </w:rPr>
        <w:t>would be</w:t>
      </w:r>
      <w:r w:rsidR="00B52AF6" w:rsidRPr="00BA2793">
        <w:rPr>
          <w:rFonts w:ascii="Verdana" w:hAnsi="Verdana"/>
          <w:sz w:val="20"/>
          <w:szCs w:val="20"/>
        </w:rPr>
        <w:t xml:space="preserve"> </w:t>
      </w:r>
      <w:r w:rsidRPr="00BA2793">
        <w:rPr>
          <w:rFonts w:ascii="Verdana" w:hAnsi="Verdana"/>
          <w:sz w:val="20"/>
          <w:szCs w:val="20"/>
        </w:rPr>
        <w:t>a Dutch tax resident.</w:t>
      </w:r>
    </w:p>
    <w:p w14:paraId="7C50336B" w14:textId="2F67CD01" w:rsidR="00BA2793" w:rsidRPr="00BA2793" w:rsidRDefault="00BA2793" w:rsidP="002A0361">
      <w:pPr>
        <w:pStyle w:val="AODocTxt"/>
        <w:ind w:left="1418"/>
        <w:rPr>
          <w:rFonts w:ascii="Verdana" w:hAnsi="Verdana"/>
          <w:sz w:val="20"/>
          <w:szCs w:val="20"/>
        </w:rPr>
      </w:pPr>
      <w:r w:rsidRPr="00BA2793">
        <w:rPr>
          <w:rFonts w:ascii="Verdana" w:hAnsi="Verdana"/>
          <w:sz w:val="20"/>
          <w:szCs w:val="20"/>
        </w:rPr>
        <w:lastRenderedPageBreak/>
        <w:t xml:space="preserve">The above exemptions are not available in cases of </w:t>
      </w:r>
      <w:r w:rsidR="00B52AF6">
        <w:rPr>
          <w:rFonts w:ascii="Verdana" w:hAnsi="Verdana"/>
          <w:sz w:val="20"/>
          <w:szCs w:val="20"/>
        </w:rPr>
        <w:t xml:space="preserve">(deemed) </w:t>
      </w:r>
      <w:r w:rsidRPr="00BA2793">
        <w:rPr>
          <w:rFonts w:ascii="Verdana" w:hAnsi="Verdana"/>
          <w:sz w:val="20"/>
          <w:szCs w:val="20"/>
        </w:rPr>
        <w:t>abuse, for which a main</w:t>
      </w:r>
      <w:r w:rsidR="002A0361">
        <w:rPr>
          <w:rFonts w:ascii="Verdana" w:hAnsi="Verdana"/>
          <w:sz w:val="20"/>
          <w:szCs w:val="20"/>
        </w:rPr>
        <w:t xml:space="preserve"> </w:t>
      </w:r>
      <w:r w:rsidRPr="00BA2793">
        <w:rPr>
          <w:rFonts w:ascii="Verdana" w:hAnsi="Verdana"/>
          <w:sz w:val="20"/>
          <w:szCs w:val="20"/>
        </w:rPr>
        <w:t>purposes test and artificial arrangement test applies.</w:t>
      </w:r>
    </w:p>
    <w:p w14:paraId="727E9529" w14:textId="5D24AB2E" w:rsidR="00BA2793" w:rsidRPr="00BA2793" w:rsidRDefault="00BA2793" w:rsidP="002A0361">
      <w:pPr>
        <w:pStyle w:val="AODocTxt"/>
        <w:ind w:left="1418"/>
        <w:rPr>
          <w:rFonts w:ascii="Verdana" w:hAnsi="Verdana"/>
          <w:sz w:val="20"/>
          <w:szCs w:val="20"/>
        </w:rPr>
      </w:pPr>
      <w:r w:rsidRPr="00BA2793">
        <w:rPr>
          <w:rFonts w:ascii="Verdana" w:hAnsi="Verdana"/>
          <w:sz w:val="20"/>
          <w:szCs w:val="20"/>
        </w:rPr>
        <w:t>If a shareholder is eligible for an exemption or reduction from Dutch DWT, in</w:t>
      </w:r>
      <w:r w:rsidR="002A0361">
        <w:rPr>
          <w:rFonts w:ascii="Verdana" w:hAnsi="Verdana"/>
          <w:sz w:val="20"/>
          <w:szCs w:val="20"/>
        </w:rPr>
        <w:t xml:space="preserve"> </w:t>
      </w:r>
      <w:r w:rsidRPr="00BA2793">
        <w:rPr>
          <w:rFonts w:ascii="Verdana" w:hAnsi="Verdana"/>
          <w:sz w:val="20"/>
          <w:szCs w:val="20"/>
        </w:rPr>
        <w:t>order to place reliance on such exemption or reduction, the shareholder is</w:t>
      </w:r>
      <w:r w:rsidR="002A0361">
        <w:rPr>
          <w:rFonts w:ascii="Verdana" w:hAnsi="Verdana"/>
          <w:sz w:val="20"/>
          <w:szCs w:val="20"/>
        </w:rPr>
        <w:t xml:space="preserve"> </w:t>
      </w:r>
      <w:r w:rsidRPr="00BA2793">
        <w:rPr>
          <w:rFonts w:ascii="Verdana" w:hAnsi="Verdana"/>
          <w:sz w:val="20"/>
          <w:szCs w:val="20"/>
        </w:rPr>
        <w:t xml:space="preserve">required to submit certain information to </w:t>
      </w:r>
      <w:r w:rsidR="007942AE">
        <w:rPr>
          <w:rFonts w:ascii="Verdana" w:hAnsi="Verdana"/>
          <w:sz w:val="20"/>
          <w:szCs w:val="20"/>
        </w:rPr>
        <w:t>ING</w:t>
      </w:r>
      <w:r w:rsidRPr="00BA2793">
        <w:rPr>
          <w:rFonts w:ascii="Verdana" w:hAnsi="Verdana"/>
          <w:sz w:val="20"/>
          <w:szCs w:val="20"/>
        </w:rPr>
        <w:t xml:space="preserve"> as set-out below.</w:t>
      </w:r>
    </w:p>
    <w:p w14:paraId="4D89D2A4" w14:textId="6B6955A4" w:rsidR="00BA2793" w:rsidRPr="002A0361" w:rsidRDefault="00BA2793" w:rsidP="002A0361">
      <w:pPr>
        <w:pStyle w:val="AODocTxt"/>
        <w:numPr>
          <w:ilvl w:val="2"/>
          <w:numId w:val="27"/>
        </w:numPr>
        <w:ind w:left="1134" w:hanging="1134"/>
        <w:rPr>
          <w:rFonts w:ascii="Verdana" w:hAnsi="Verdana"/>
          <w:b/>
          <w:bCs/>
          <w:sz w:val="20"/>
          <w:szCs w:val="20"/>
        </w:rPr>
      </w:pPr>
      <w:r w:rsidRPr="002A0361">
        <w:rPr>
          <w:rFonts w:ascii="Verdana" w:hAnsi="Verdana"/>
          <w:b/>
          <w:bCs/>
          <w:sz w:val="20"/>
          <w:szCs w:val="20"/>
        </w:rPr>
        <w:t>Dutch corporate shareholders owning 5% or more of Prosus' share capital</w:t>
      </w:r>
    </w:p>
    <w:p w14:paraId="7CAE9DE2" w14:textId="6AA60ADF" w:rsidR="00BA2793" w:rsidRPr="00BA2793" w:rsidRDefault="00BA2793" w:rsidP="002A0361">
      <w:pPr>
        <w:pStyle w:val="AODocTxt"/>
        <w:ind w:left="1134"/>
        <w:rPr>
          <w:rFonts w:ascii="Verdana" w:hAnsi="Verdana"/>
          <w:sz w:val="20"/>
          <w:szCs w:val="20"/>
        </w:rPr>
      </w:pPr>
      <w:r w:rsidRPr="00BA2793">
        <w:rPr>
          <w:rFonts w:ascii="Verdana" w:hAnsi="Verdana"/>
          <w:sz w:val="20"/>
          <w:szCs w:val="20"/>
        </w:rPr>
        <w:t xml:space="preserve">In order to rely on this domestic exemption from Dutch DWT described in paragraph 1.2.1.1 above, the shareholder should provide </w:t>
      </w:r>
      <w:r w:rsidR="007942AE">
        <w:rPr>
          <w:rFonts w:ascii="Verdana" w:hAnsi="Verdana"/>
          <w:sz w:val="20"/>
          <w:szCs w:val="20"/>
        </w:rPr>
        <w:t>ING</w:t>
      </w:r>
      <w:r w:rsidRPr="00BA2793">
        <w:rPr>
          <w:rFonts w:ascii="Verdana" w:hAnsi="Verdana"/>
          <w:sz w:val="20"/>
          <w:szCs w:val="20"/>
        </w:rPr>
        <w:t xml:space="preserve"> via its own intermediary bank with: (i) its name, address and place of residency, and corresponding extract from the Dutch Chamber of Commerce; (ii) the number and percentage of shares owned in Prosus; (iii) its bank account details; and (iv) a statement confirming that the Dutch participation exemption applies to the dividend at the level of the Dutch corporate shareholder. This information should be submitted before </w:t>
      </w:r>
      <w:r w:rsidR="00883D47">
        <w:rPr>
          <w:rFonts w:ascii="Verdana" w:hAnsi="Verdana"/>
          <w:sz w:val="20"/>
          <w:szCs w:val="20"/>
        </w:rPr>
        <w:t xml:space="preserve">the </w:t>
      </w:r>
      <w:bookmarkStart w:id="1" w:name="_Hlk178764500"/>
      <w:r w:rsidR="00883D47" w:rsidRPr="00883D47">
        <w:rPr>
          <w:rFonts w:ascii="Verdana" w:hAnsi="Verdana"/>
          <w:sz w:val="20"/>
          <w:szCs w:val="20"/>
        </w:rPr>
        <w:t>Dutch DWT Reclaims Date</w:t>
      </w:r>
      <w:bookmarkEnd w:id="1"/>
      <w:r w:rsidRPr="00BA2793">
        <w:rPr>
          <w:rFonts w:ascii="Verdana" w:hAnsi="Verdana"/>
          <w:sz w:val="20"/>
          <w:szCs w:val="20"/>
        </w:rPr>
        <w:t>.</w:t>
      </w:r>
    </w:p>
    <w:p w14:paraId="7D64C08A" w14:textId="2F190E5C" w:rsidR="00BA2793" w:rsidRPr="00BA2793" w:rsidRDefault="00BA2793" w:rsidP="002A0361">
      <w:pPr>
        <w:pStyle w:val="AODocTxt"/>
        <w:ind w:left="1134"/>
        <w:rPr>
          <w:rFonts w:ascii="Verdana" w:hAnsi="Verdana"/>
          <w:sz w:val="20"/>
          <w:szCs w:val="20"/>
        </w:rPr>
      </w:pPr>
      <w:r w:rsidRPr="00BA2793">
        <w:rPr>
          <w:rFonts w:ascii="Verdana" w:hAnsi="Verdana"/>
          <w:sz w:val="20"/>
          <w:szCs w:val="20"/>
        </w:rPr>
        <w:t xml:space="preserve">As indicated above, Prosus will, as a general rule, initially withhold 15% on ALL dividends distributed on </w:t>
      </w:r>
      <w:r w:rsidR="00883D47">
        <w:rPr>
          <w:rFonts w:ascii="Verdana" w:hAnsi="Verdana"/>
          <w:sz w:val="20"/>
          <w:szCs w:val="20"/>
        </w:rPr>
        <w:t>the Payment Date</w:t>
      </w:r>
      <w:r w:rsidRPr="00BA2793">
        <w:rPr>
          <w:rFonts w:ascii="Verdana" w:hAnsi="Verdana"/>
          <w:sz w:val="20"/>
          <w:szCs w:val="20"/>
        </w:rPr>
        <w:t xml:space="preserve">. If, however, Prosus has been provided with proof, to its satisfaction, ultimately before </w:t>
      </w:r>
      <w:r w:rsidR="00883D47">
        <w:rPr>
          <w:rFonts w:ascii="Verdana" w:hAnsi="Verdana"/>
          <w:sz w:val="20"/>
          <w:szCs w:val="20"/>
        </w:rPr>
        <w:t xml:space="preserve">the </w:t>
      </w:r>
      <w:r w:rsidR="00883D47" w:rsidRPr="00883D47">
        <w:rPr>
          <w:rFonts w:ascii="Verdana" w:hAnsi="Verdana"/>
          <w:sz w:val="20"/>
          <w:szCs w:val="20"/>
        </w:rPr>
        <w:t>Dutch DWT Reclaims Date</w:t>
      </w:r>
      <w:r w:rsidRPr="00BA2793">
        <w:rPr>
          <w:rFonts w:ascii="Verdana" w:hAnsi="Verdana"/>
          <w:sz w:val="20"/>
          <w:szCs w:val="20"/>
        </w:rPr>
        <w:t xml:space="preserve">, that the relevant shareholder qualifies for an exemption from Dutch DWT, no amount of </w:t>
      </w:r>
      <w:r w:rsidR="00B91C34">
        <w:rPr>
          <w:rFonts w:ascii="Verdana" w:hAnsi="Verdana"/>
          <w:sz w:val="20"/>
          <w:szCs w:val="20"/>
        </w:rPr>
        <w:t xml:space="preserve">Dutch </w:t>
      </w:r>
      <w:r w:rsidRPr="00BA2793">
        <w:rPr>
          <w:rFonts w:ascii="Verdana" w:hAnsi="Verdana"/>
          <w:sz w:val="20"/>
          <w:szCs w:val="20"/>
        </w:rPr>
        <w:t xml:space="preserve">DWT will be withheld, and the 15% </w:t>
      </w:r>
      <w:r w:rsidR="00B91C34">
        <w:rPr>
          <w:rFonts w:ascii="Verdana" w:hAnsi="Verdana"/>
          <w:sz w:val="20"/>
          <w:szCs w:val="20"/>
        </w:rPr>
        <w:t xml:space="preserve">Dutch </w:t>
      </w:r>
      <w:r w:rsidRPr="00BA2793">
        <w:rPr>
          <w:rFonts w:ascii="Verdana" w:hAnsi="Verdana"/>
          <w:sz w:val="20"/>
          <w:szCs w:val="20"/>
        </w:rPr>
        <w:t xml:space="preserve">DWT that otherwise would have been withheld will be paid out by Prosus to the relevant shareholder directly, after the </w:t>
      </w:r>
      <w:r w:rsidR="00B91C34">
        <w:rPr>
          <w:rFonts w:ascii="Verdana" w:hAnsi="Verdana"/>
          <w:sz w:val="20"/>
          <w:szCs w:val="20"/>
        </w:rPr>
        <w:t xml:space="preserve">Dutch </w:t>
      </w:r>
      <w:r w:rsidRPr="00BA2793">
        <w:rPr>
          <w:rFonts w:ascii="Verdana" w:hAnsi="Verdana"/>
          <w:sz w:val="20"/>
          <w:szCs w:val="20"/>
        </w:rPr>
        <w:t>DWT return has been filed by Prosus with the Dutch tax authorities.</w:t>
      </w:r>
    </w:p>
    <w:p w14:paraId="75512142" w14:textId="7976FA3C" w:rsidR="00BA2793" w:rsidRPr="002A0361" w:rsidRDefault="00BA2793" w:rsidP="002A0361">
      <w:pPr>
        <w:pStyle w:val="AODocTxt"/>
        <w:numPr>
          <w:ilvl w:val="2"/>
          <w:numId w:val="27"/>
        </w:numPr>
        <w:ind w:left="1134" w:hanging="1134"/>
        <w:rPr>
          <w:rFonts w:ascii="Verdana" w:hAnsi="Verdana"/>
          <w:b/>
          <w:bCs/>
          <w:sz w:val="20"/>
          <w:szCs w:val="20"/>
        </w:rPr>
      </w:pPr>
      <w:r w:rsidRPr="002A0361">
        <w:rPr>
          <w:rFonts w:ascii="Verdana" w:hAnsi="Verdana"/>
          <w:b/>
          <w:bCs/>
          <w:sz w:val="20"/>
          <w:szCs w:val="20"/>
        </w:rPr>
        <w:t>EU/EEA or tax treaty country resident corporate shareholders owning 5% or more</w:t>
      </w:r>
    </w:p>
    <w:p w14:paraId="0BDCE0AE" w14:textId="0488F8B3" w:rsidR="00BA2793" w:rsidRPr="00BA2793" w:rsidRDefault="00BA2793" w:rsidP="002A0361">
      <w:pPr>
        <w:pStyle w:val="AODocTxt"/>
        <w:ind w:left="1134"/>
        <w:rPr>
          <w:rFonts w:ascii="Verdana" w:hAnsi="Verdana"/>
          <w:sz w:val="20"/>
          <w:szCs w:val="20"/>
        </w:rPr>
      </w:pPr>
      <w:r w:rsidRPr="00BA2793">
        <w:rPr>
          <w:rFonts w:ascii="Verdana" w:hAnsi="Verdana"/>
          <w:sz w:val="20"/>
          <w:szCs w:val="20"/>
        </w:rPr>
        <w:t xml:space="preserve">In order for a corporate shareholder to rely on the domestic exemption from Dutch DWT described in paragraph 1.2.1.2 above, the shareholder should provide </w:t>
      </w:r>
      <w:r w:rsidR="006B35BB">
        <w:rPr>
          <w:rFonts w:ascii="Verdana" w:hAnsi="Verdana"/>
          <w:sz w:val="20"/>
          <w:szCs w:val="20"/>
        </w:rPr>
        <w:t>ING</w:t>
      </w:r>
      <w:r w:rsidRPr="00BA2793">
        <w:rPr>
          <w:rFonts w:ascii="Verdana" w:hAnsi="Verdana"/>
          <w:sz w:val="20"/>
          <w:szCs w:val="20"/>
        </w:rPr>
        <w:t xml:space="preserve"> via its own intermediary bank with: (i) its name, address and place of residency; (ii) the number and percentage of shares owned in Prosus; (iii) a tax residency certificate issued by its country of residence; (iv) its bank account details; and (v) a statement confirming that all relevant conditions of the</w:t>
      </w:r>
      <w:r w:rsidR="002A0361">
        <w:rPr>
          <w:rFonts w:ascii="Verdana" w:hAnsi="Verdana"/>
          <w:sz w:val="20"/>
          <w:szCs w:val="20"/>
        </w:rPr>
        <w:t xml:space="preserve"> </w:t>
      </w:r>
      <w:r w:rsidRPr="00BA2793">
        <w:rPr>
          <w:rFonts w:ascii="Verdana" w:hAnsi="Verdana"/>
          <w:sz w:val="20"/>
          <w:szCs w:val="20"/>
        </w:rPr>
        <w:t xml:space="preserve">DWT exemption are met. This information should be submitted before </w:t>
      </w:r>
      <w:r w:rsidR="00883D47">
        <w:rPr>
          <w:rFonts w:ascii="Verdana" w:hAnsi="Verdana"/>
          <w:sz w:val="20"/>
          <w:szCs w:val="20"/>
        </w:rPr>
        <w:t xml:space="preserve">the </w:t>
      </w:r>
      <w:r w:rsidR="00883D47" w:rsidRPr="00883D47">
        <w:rPr>
          <w:rFonts w:ascii="Verdana" w:hAnsi="Verdana"/>
          <w:sz w:val="20"/>
          <w:szCs w:val="20"/>
        </w:rPr>
        <w:t>Dutch DWT Reclaims Date</w:t>
      </w:r>
      <w:r w:rsidRPr="00BA2793">
        <w:rPr>
          <w:rFonts w:ascii="Verdana" w:hAnsi="Verdana"/>
          <w:sz w:val="20"/>
          <w:szCs w:val="20"/>
        </w:rPr>
        <w:t>. Subsequently, Prosus will need to file a Dutch DWT notification with the Dutch tax authorities.</w:t>
      </w:r>
    </w:p>
    <w:p w14:paraId="16C7E548" w14:textId="7C823E8E" w:rsidR="00BA2793" w:rsidRPr="00BA2793" w:rsidRDefault="00BA2793" w:rsidP="002A0361">
      <w:pPr>
        <w:pStyle w:val="AODocTxt"/>
        <w:ind w:left="1134"/>
        <w:rPr>
          <w:rFonts w:ascii="Verdana" w:hAnsi="Verdana"/>
          <w:sz w:val="20"/>
          <w:szCs w:val="20"/>
        </w:rPr>
      </w:pPr>
      <w:r w:rsidRPr="00BA2793">
        <w:rPr>
          <w:rFonts w:ascii="Verdana" w:hAnsi="Verdana"/>
          <w:sz w:val="20"/>
          <w:szCs w:val="20"/>
        </w:rPr>
        <w:t xml:space="preserve">Shareholders are advised that Prosus will, as a general rule, initially withhold 15% </w:t>
      </w:r>
      <w:r w:rsidR="00B91C34">
        <w:rPr>
          <w:rFonts w:ascii="Verdana" w:hAnsi="Verdana"/>
          <w:sz w:val="20"/>
          <w:szCs w:val="20"/>
        </w:rPr>
        <w:t xml:space="preserve">Dutch DWT </w:t>
      </w:r>
      <w:r w:rsidRPr="00BA2793">
        <w:rPr>
          <w:rFonts w:ascii="Verdana" w:hAnsi="Verdana"/>
          <w:sz w:val="20"/>
          <w:szCs w:val="20"/>
        </w:rPr>
        <w:t xml:space="preserve">on ALL dividends distributed on the </w:t>
      </w:r>
      <w:r w:rsidR="00883D47">
        <w:rPr>
          <w:rFonts w:ascii="Verdana" w:hAnsi="Verdana"/>
          <w:sz w:val="20"/>
          <w:szCs w:val="20"/>
        </w:rPr>
        <w:t>Payment Date</w:t>
      </w:r>
      <w:r w:rsidRPr="00BA2793">
        <w:rPr>
          <w:rFonts w:ascii="Verdana" w:hAnsi="Verdana"/>
          <w:sz w:val="20"/>
          <w:szCs w:val="20"/>
        </w:rPr>
        <w:t xml:space="preserve">. If, however, </w:t>
      </w:r>
      <w:r w:rsidR="006B35BB">
        <w:rPr>
          <w:rFonts w:ascii="Verdana" w:hAnsi="Verdana"/>
          <w:sz w:val="20"/>
          <w:szCs w:val="20"/>
        </w:rPr>
        <w:t xml:space="preserve">ING </w:t>
      </w:r>
      <w:r w:rsidRPr="00BA2793">
        <w:rPr>
          <w:rFonts w:ascii="Verdana" w:hAnsi="Verdana"/>
          <w:sz w:val="20"/>
          <w:szCs w:val="20"/>
        </w:rPr>
        <w:t xml:space="preserve"> has been provided with proof, to its satisfaction, </w:t>
      </w:r>
      <w:r w:rsidR="00B52AF6">
        <w:rPr>
          <w:rFonts w:ascii="Verdana" w:hAnsi="Verdana"/>
          <w:sz w:val="20"/>
          <w:szCs w:val="20"/>
        </w:rPr>
        <w:t>ultimately before</w:t>
      </w:r>
      <w:r w:rsidR="00B52AF6" w:rsidRPr="00BA2793">
        <w:rPr>
          <w:rFonts w:ascii="Verdana" w:hAnsi="Verdana"/>
          <w:sz w:val="20"/>
          <w:szCs w:val="20"/>
        </w:rPr>
        <w:t xml:space="preserve"> </w:t>
      </w:r>
      <w:r w:rsidR="00883D47">
        <w:rPr>
          <w:rFonts w:ascii="Verdana" w:hAnsi="Verdana"/>
          <w:sz w:val="20"/>
          <w:szCs w:val="20"/>
        </w:rPr>
        <w:t xml:space="preserve">the </w:t>
      </w:r>
      <w:r w:rsidR="00883D47" w:rsidRPr="00883D47">
        <w:rPr>
          <w:rFonts w:ascii="Verdana" w:hAnsi="Verdana"/>
          <w:sz w:val="20"/>
          <w:szCs w:val="20"/>
        </w:rPr>
        <w:t>Dutch DWT Reclaims Date</w:t>
      </w:r>
      <w:r w:rsidRPr="00BA2793">
        <w:rPr>
          <w:rFonts w:ascii="Verdana" w:hAnsi="Verdana"/>
          <w:sz w:val="20"/>
          <w:szCs w:val="20"/>
        </w:rPr>
        <w:t>, that the relevant shareholder qualifies</w:t>
      </w:r>
      <w:r w:rsidR="002A0361">
        <w:rPr>
          <w:rFonts w:ascii="Verdana" w:hAnsi="Verdana"/>
          <w:sz w:val="20"/>
          <w:szCs w:val="20"/>
        </w:rPr>
        <w:t xml:space="preserve"> </w:t>
      </w:r>
      <w:r w:rsidRPr="00BA2793">
        <w:rPr>
          <w:rFonts w:ascii="Verdana" w:hAnsi="Verdana"/>
          <w:sz w:val="20"/>
          <w:szCs w:val="20"/>
        </w:rPr>
        <w:t xml:space="preserve">for an exemption from Dutch DWT, no amount of </w:t>
      </w:r>
      <w:r w:rsidR="00B91C34">
        <w:rPr>
          <w:rFonts w:ascii="Verdana" w:hAnsi="Verdana"/>
          <w:sz w:val="20"/>
          <w:szCs w:val="20"/>
        </w:rPr>
        <w:t xml:space="preserve">Dutch </w:t>
      </w:r>
      <w:r w:rsidRPr="00BA2793">
        <w:rPr>
          <w:rFonts w:ascii="Verdana" w:hAnsi="Verdana"/>
          <w:sz w:val="20"/>
          <w:szCs w:val="20"/>
        </w:rPr>
        <w:t>DWT will be withheld, and the</w:t>
      </w:r>
      <w:r w:rsidR="002A0361">
        <w:rPr>
          <w:rFonts w:ascii="Verdana" w:hAnsi="Verdana"/>
          <w:sz w:val="20"/>
          <w:szCs w:val="20"/>
        </w:rPr>
        <w:t xml:space="preserve"> </w:t>
      </w:r>
      <w:r w:rsidRPr="00BA2793">
        <w:rPr>
          <w:rFonts w:ascii="Verdana" w:hAnsi="Verdana"/>
          <w:sz w:val="20"/>
          <w:szCs w:val="20"/>
        </w:rPr>
        <w:t xml:space="preserve">15% </w:t>
      </w:r>
      <w:r w:rsidR="001D5552">
        <w:rPr>
          <w:rFonts w:ascii="Verdana" w:hAnsi="Verdana"/>
          <w:sz w:val="20"/>
          <w:szCs w:val="20"/>
        </w:rPr>
        <w:t xml:space="preserve">Dutch </w:t>
      </w:r>
      <w:r w:rsidRPr="00BA2793">
        <w:rPr>
          <w:rFonts w:ascii="Verdana" w:hAnsi="Verdana"/>
          <w:sz w:val="20"/>
          <w:szCs w:val="20"/>
        </w:rPr>
        <w:t xml:space="preserve">DWT that otherwise would have been withheld will be paid out by Prosus to the relevant shareholder directly, after the </w:t>
      </w:r>
      <w:r w:rsidR="00B91C34">
        <w:rPr>
          <w:rFonts w:ascii="Verdana" w:hAnsi="Verdana"/>
          <w:sz w:val="20"/>
          <w:szCs w:val="20"/>
        </w:rPr>
        <w:t xml:space="preserve">Dutch </w:t>
      </w:r>
      <w:r w:rsidRPr="00BA2793">
        <w:rPr>
          <w:rFonts w:ascii="Verdana" w:hAnsi="Verdana"/>
          <w:sz w:val="20"/>
          <w:szCs w:val="20"/>
        </w:rPr>
        <w:t>DWT return has been filed by Prosus</w:t>
      </w:r>
      <w:r w:rsidR="002A0361">
        <w:rPr>
          <w:rFonts w:ascii="Verdana" w:hAnsi="Verdana"/>
          <w:sz w:val="20"/>
          <w:szCs w:val="20"/>
        </w:rPr>
        <w:t xml:space="preserve"> </w:t>
      </w:r>
      <w:r w:rsidRPr="00BA2793">
        <w:rPr>
          <w:rFonts w:ascii="Verdana" w:hAnsi="Verdana"/>
          <w:sz w:val="20"/>
          <w:szCs w:val="20"/>
        </w:rPr>
        <w:t>with the Dutch tax authorities.</w:t>
      </w:r>
    </w:p>
    <w:p w14:paraId="434A76FC" w14:textId="4905A3C7" w:rsidR="00BA2793" w:rsidRPr="002A0361" w:rsidRDefault="00BA2793" w:rsidP="002A0361">
      <w:pPr>
        <w:pStyle w:val="AODocTxt"/>
        <w:keepNext/>
        <w:numPr>
          <w:ilvl w:val="1"/>
          <w:numId w:val="27"/>
        </w:numPr>
        <w:ind w:left="851" w:hanging="851"/>
        <w:rPr>
          <w:rFonts w:ascii="Verdana" w:hAnsi="Verdana"/>
          <w:b/>
          <w:bCs/>
          <w:sz w:val="20"/>
          <w:szCs w:val="20"/>
        </w:rPr>
      </w:pPr>
      <w:r w:rsidRPr="002A0361">
        <w:rPr>
          <w:rFonts w:ascii="Verdana" w:hAnsi="Verdana"/>
          <w:b/>
          <w:bCs/>
          <w:sz w:val="20"/>
          <w:szCs w:val="20"/>
        </w:rPr>
        <w:t>Tax treaty relief</w:t>
      </w:r>
    </w:p>
    <w:p w14:paraId="106FBEEB" w14:textId="77777777" w:rsidR="002A0361" w:rsidRDefault="00BA2793" w:rsidP="002A0361">
      <w:pPr>
        <w:pStyle w:val="AODocTxt"/>
        <w:ind w:left="851"/>
        <w:rPr>
          <w:rFonts w:ascii="Verdana" w:hAnsi="Verdana"/>
          <w:sz w:val="20"/>
          <w:szCs w:val="20"/>
        </w:rPr>
      </w:pPr>
      <w:r w:rsidRPr="00BA2793">
        <w:rPr>
          <w:rFonts w:ascii="Verdana" w:hAnsi="Verdana"/>
          <w:sz w:val="20"/>
          <w:szCs w:val="20"/>
        </w:rPr>
        <w:t>Shareholders that do not qualify for the domestic exemption from Dutch DWT as</w:t>
      </w:r>
      <w:r w:rsidR="002A0361">
        <w:rPr>
          <w:rFonts w:ascii="Verdana" w:hAnsi="Verdana"/>
          <w:sz w:val="20"/>
          <w:szCs w:val="20"/>
        </w:rPr>
        <w:t xml:space="preserve"> </w:t>
      </w:r>
      <w:r w:rsidRPr="00BA2793">
        <w:rPr>
          <w:rFonts w:ascii="Verdana" w:hAnsi="Verdana"/>
          <w:sz w:val="20"/>
          <w:szCs w:val="20"/>
        </w:rPr>
        <w:t>outlined in paragraph 1.2, may qualify for an exemption from or reduction of Dutch</w:t>
      </w:r>
      <w:r w:rsidR="002A0361">
        <w:rPr>
          <w:rFonts w:ascii="Verdana" w:hAnsi="Verdana"/>
          <w:sz w:val="20"/>
          <w:szCs w:val="20"/>
        </w:rPr>
        <w:t xml:space="preserve"> </w:t>
      </w:r>
      <w:r w:rsidRPr="00BA2793">
        <w:rPr>
          <w:rFonts w:ascii="Verdana" w:hAnsi="Verdana"/>
          <w:sz w:val="20"/>
          <w:szCs w:val="20"/>
        </w:rPr>
        <w:t>DWT on the basis of a relevant tax treaty concluded by the Netherlands. The claiming</w:t>
      </w:r>
      <w:r w:rsidR="002A0361">
        <w:rPr>
          <w:rFonts w:ascii="Verdana" w:hAnsi="Verdana"/>
          <w:sz w:val="20"/>
          <w:szCs w:val="20"/>
        </w:rPr>
        <w:t xml:space="preserve"> </w:t>
      </w:r>
      <w:r w:rsidRPr="00BA2793">
        <w:rPr>
          <w:rFonts w:ascii="Verdana" w:hAnsi="Verdana"/>
          <w:sz w:val="20"/>
          <w:szCs w:val="20"/>
        </w:rPr>
        <w:t>of tax treaty relief or a credit will generally be subject to formal requirements.</w:t>
      </w:r>
      <w:r w:rsidR="002A0361">
        <w:rPr>
          <w:rFonts w:ascii="Verdana" w:hAnsi="Verdana"/>
          <w:sz w:val="20"/>
          <w:szCs w:val="20"/>
        </w:rPr>
        <w:t xml:space="preserve"> </w:t>
      </w:r>
    </w:p>
    <w:p w14:paraId="1944284E" w14:textId="4480F74A" w:rsidR="00BA2793" w:rsidRPr="00BA2793" w:rsidRDefault="00BA2793" w:rsidP="002A0361">
      <w:pPr>
        <w:pStyle w:val="AODocTxt"/>
        <w:ind w:left="851"/>
        <w:rPr>
          <w:rFonts w:ascii="Verdana" w:hAnsi="Verdana"/>
          <w:sz w:val="20"/>
          <w:szCs w:val="20"/>
        </w:rPr>
      </w:pPr>
      <w:r w:rsidRPr="00BA2793">
        <w:rPr>
          <w:rFonts w:ascii="Verdana" w:hAnsi="Verdana"/>
          <w:sz w:val="20"/>
          <w:szCs w:val="20"/>
        </w:rPr>
        <w:lastRenderedPageBreak/>
        <w:t>Shareholders should consult their tax advisor to determine if such an exemption or</w:t>
      </w:r>
      <w:r w:rsidR="002A0361">
        <w:rPr>
          <w:rFonts w:ascii="Verdana" w:hAnsi="Verdana"/>
          <w:sz w:val="20"/>
          <w:szCs w:val="20"/>
        </w:rPr>
        <w:t xml:space="preserve"> </w:t>
      </w:r>
      <w:r w:rsidRPr="00BA2793">
        <w:rPr>
          <w:rFonts w:ascii="Verdana" w:hAnsi="Verdana"/>
          <w:sz w:val="20"/>
          <w:szCs w:val="20"/>
        </w:rPr>
        <w:t xml:space="preserve">reduction is applicable to their situation and in which way, they can claim this </w:t>
      </w:r>
      <w:r w:rsidR="001D5552">
        <w:rPr>
          <w:rFonts w:ascii="Verdana" w:hAnsi="Verdana"/>
          <w:sz w:val="20"/>
          <w:szCs w:val="20"/>
        </w:rPr>
        <w:t xml:space="preserve">Dutch </w:t>
      </w:r>
      <w:r w:rsidRPr="00BA2793">
        <w:rPr>
          <w:rFonts w:ascii="Verdana" w:hAnsi="Verdana"/>
          <w:sz w:val="20"/>
          <w:szCs w:val="20"/>
        </w:rPr>
        <w:t>DWT</w:t>
      </w:r>
      <w:r w:rsidR="002A0361">
        <w:rPr>
          <w:rFonts w:ascii="Verdana" w:hAnsi="Verdana"/>
          <w:sz w:val="20"/>
          <w:szCs w:val="20"/>
        </w:rPr>
        <w:t xml:space="preserve"> </w:t>
      </w:r>
      <w:r w:rsidRPr="00BA2793">
        <w:rPr>
          <w:rFonts w:ascii="Verdana" w:hAnsi="Verdana"/>
          <w:sz w:val="20"/>
          <w:szCs w:val="20"/>
        </w:rPr>
        <w:t>back from the Dutch tax authorities.</w:t>
      </w:r>
    </w:p>
    <w:p w14:paraId="13A84683" w14:textId="5A9C2485" w:rsidR="00BA2793" w:rsidRPr="002A0361" w:rsidRDefault="00BA2793" w:rsidP="002A0361">
      <w:pPr>
        <w:pStyle w:val="AODocTxt"/>
        <w:keepNext/>
        <w:numPr>
          <w:ilvl w:val="0"/>
          <w:numId w:val="27"/>
        </w:numPr>
        <w:ind w:left="567" w:hanging="567"/>
        <w:rPr>
          <w:rFonts w:ascii="Verdana" w:hAnsi="Verdana"/>
          <w:b/>
          <w:bCs/>
          <w:sz w:val="20"/>
          <w:szCs w:val="20"/>
        </w:rPr>
      </w:pPr>
      <w:r w:rsidRPr="002A0361">
        <w:rPr>
          <w:rFonts w:ascii="Verdana" w:hAnsi="Verdana"/>
          <w:b/>
          <w:bCs/>
          <w:sz w:val="20"/>
          <w:szCs w:val="20"/>
        </w:rPr>
        <w:t>South African Tax Implications</w:t>
      </w:r>
    </w:p>
    <w:p w14:paraId="26E2F8BB" w14:textId="1993307A" w:rsidR="00BA2793" w:rsidRPr="002A0361" w:rsidRDefault="00BA2793" w:rsidP="002A0361">
      <w:pPr>
        <w:pStyle w:val="AODocTxt"/>
        <w:keepNext/>
        <w:numPr>
          <w:ilvl w:val="1"/>
          <w:numId w:val="27"/>
        </w:numPr>
        <w:ind w:left="851" w:hanging="851"/>
        <w:rPr>
          <w:rFonts w:ascii="Verdana" w:hAnsi="Verdana"/>
          <w:b/>
          <w:bCs/>
          <w:sz w:val="20"/>
          <w:szCs w:val="20"/>
        </w:rPr>
      </w:pPr>
      <w:r w:rsidRPr="002A0361">
        <w:rPr>
          <w:rFonts w:ascii="Verdana" w:hAnsi="Verdana"/>
          <w:b/>
          <w:bCs/>
          <w:sz w:val="20"/>
          <w:szCs w:val="20"/>
        </w:rPr>
        <w:t>General</w:t>
      </w:r>
    </w:p>
    <w:p w14:paraId="4F74340D" w14:textId="72F8BCD9" w:rsidR="00BA2793" w:rsidRPr="00BA2793" w:rsidRDefault="00BA2793" w:rsidP="002A0361">
      <w:pPr>
        <w:pStyle w:val="AODocTxt"/>
        <w:ind w:left="851"/>
        <w:rPr>
          <w:rFonts w:ascii="Verdana" w:hAnsi="Verdana"/>
          <w:sz w:val="20"/>
          <w:szCs w:val="20"/>
        </w:rPr>
      </w:pPr>
      <w:r w:rsidRPr="00BA2793">
        <w:rPr>
          <w:rFonts w:ascii="Verdana" w:hAnsi="Verdana"/>
          <w:sz w:val="20"/>
          <w:szCs w:val="20"/>
        </w:rPr>
        <w:t>A capital repayment in respect of a Prosus share that is listed on the JSE will be</w:t>
      </w:r>
      <w:r w:rsidR="002A0361">
        <w:rPr>
          <w:rFonts w:ascii="Verdana" w:hAnsi="Verdana"/>
          <w:sz w:val="20"/>
          <w:szCs w:val="20"/>
        </w:rPr>
        <w:t xml:space="preserve"> </w:t>
      </w:r>
      <w:r w:rsidRPr="00BA2793">
        <w:rPr>
          <w:rFonts w:ascii="Verdana" w:hAnsi="Verdana"/>
          <w:sz w:val="20"/>
          <w:szCs w:val="20"/>
        </w:rPr>
        <w:t>regarded as a "foreign return of capital" for South African tax purposes. No South</w:t>
      </w:r>
      <w:r w:rsidR="002A0361">
        <w:rPr>
          <w:rFonts w:ascii="Verdana" w:hAnsi="Verdana"/>
          <w:sz w:val="20"/>
          <w:szCs w:val="20"/>
        </w:rPr>
        <w:t xml:space="preserve"> </w:t>
      </w:r>
      <w:r w:rsidRPr="00BA2793">
        <w:rPr>
          <w:rFonts w:ascii="Verdana" w:hAnsi="Verdana"/>
          <w:sz w:val="20"/>
          <w:szCs w:val="20"/>
        </w:rPr>
        <w:t>African dividend tax ("</w:t>
      </w:r>
      <w:r w:rsidRPr="00883D47">
        <w:rPr>
          <w:rFonts w:ascii="Verdana" w:hAnsi="Verdana"/>
          <w:b/>
          <w:bCs/>
          <w:sz w:val="20"/>
          <w:szCs w:val="20"/>
        </w:rPr>
        <w:t>SADT</w:t>
      </w:r>
      <w:r w:rsidRPr="00BA2793">
        <w:rPr>
          <w:rFonts w:ascii="Verdana" w:hAnsi="Verdana"/>
          <w:sz w:val="20"/>
          <w:szCs w:val="20"/>
        </w:rPr>
        <w:t>") will be withheld on the amounts paid to shareholders</w:t>
      </w:r>
      <w:r w:rsidR="002A0361">
        <w:rPr>
          <w:rFonts w:ascii="Verdana" w:hAnsi="Verdana"/>
          <w:sz w:val="20"/>
          <w:szCs w:val="20"/>
        </w:rPr>
        <w:t xml:space="preserve"> </w:t>
      </w:r>
      <w:r w:rsidRPr="00BA2793">
        <w:rPr>
          <w:rFonts w:ascii="Verdana" w:hAnsi="Verdana"/>
          <w:sz w:val="20"/>
          <w:szCs w:val="20"/>
        </w:rPr>
        <w:t>as a capital repayment.</w:t>
      </w:r>
    </w:p>
    <w:p w14:paraId="3FC7322A" w14:textId="372A79BD" w:rsidR="00BA2793" w:rsidRPr="00BA2793" w:rsidRDefault="00BA2793" w:rsidP="002A0361">
      <w:pPr>
        <w:pStyle w:val="AODocTxt"/>
        <w:ind w:left="851"/>
        <w:rPr>
          <w:rFonts w:ascii="Verdana" w:hAnsi="Verdana"/>
          <w:sz w:val="20"/>
          <w:szCs w:val="20"/>
        </w:rPr>
      </w:pPr>
      <w:r w:rsidRPr="00BA2793">
        <w:rPr>
          <w:rFonts w:ascii="Verdana" w:hAnsi="Verdana"/>
          <w:sz w:val="20"/>
          <w:szCs w:val="20"/>
        </w:rPr>
        <w:t xml:space="preserve">For </w:t>
      </w:r>
      <w:r w:rsidR="00A305D6">
        <w:rPr>
          <w:rFonts w:ascii="Verdana" w:hAnsi="Verdana"/>
          <w:sz w:val="20"/>
          <w:szCs w:val="20"/>
        </w:rPr>
        <w:t xml:space="preserve">SA resident </w:t>
      </w:r>
      <w:r w:rsidRPr="00BA2793">
        <w:rPr>
          <w:rFonts w:ascii="Verdana" w:hAnsi="Verdana"/>
          <w:sz w:val="20"/>
          <w:szCs w:val="20"/>
        </w:rPr>
        <w:t>shareholders holding Prosus shares as a capital investment, the capital</w:t>
      </w:r>
      <w:r w:rsidR="002A0361">
        <w:rPr>
          <w:rFonts w:ascii="Verdana" w:hAnsi="Verdana"/>
          <w:sz w:val="20"/>
          <w:szCs w:val="20"/>
        </w:rPr>
        <w:t xml:space="preserve"> </w:t>
      </w:r>
      <w:r w:rsidRPr="00BA2793">
        <w:rPr>
          <w:rFonts w:ascii="Verdana" w:hAnsi="Verdana"/>
          <w:sz w:val="20"/>
          <w:szCs w:val="20"/>
        </w:rPr>
        <w:t>repayment will reduce the South African tax base cost of the Prosus shares in the</w:t>
      </w:r>
      <w:r w:rsidR="002A0361">
        <w:rPr>
          <w:rFonts w:ascii="Verdana" w:hAnsi="Verdana"/>
          <w:sz w:val="20"/>
          <w:szCs w:val="20"/>
        </w:rPr>
        <w:t xml:space="preserve"> </w:t>
      </w:r>
      <w:r w:rsidRPr="00BA2793">
        <w:rPr>
          <w:rFonts w:ascii="Verdana" w:hAnsi="Verdana"/>
          <w:sz w:val="20"/>
          <w:szCs w:val="20"/>
        </w:rPr>
        <w:t>hands of the shareholder by an amount equal to the capital repayment. To the extent</w:t>
      </w:r>
      <w:r w:rsidR="002A0361">
        <w:rPr>
          <w:rFonts w:ascii="Verdana" w:hAnsi="Verdana"/>
          <w:sz w:val="20"/>
          <w:szCs w:val="20"/>
        </w:rPr>
        <w:t xml:space="preserve"> </w:t>
      </w:r>
      <w:r w:rsidRPr="00BA2793">
        <w:rPr>
          <w:rFonts w:ascii="Verdana" w:hAnsi="Verdana"/>
          <w:sz w:val="20"/>
          <w:szCs w:val="20"/>
        </w:rPr>
        <w:t>that the capital repayment may exceed the tax base cost of the Prosus shares,</w:t>
      </w:r>
      <w:r w:rsidR="002A0361">
        <w:rPr>
          <w:rFonts w:ascii="Verdana" w:hAnsi="Verdana"/>
          <w:sz w:val="20"/>
          <w:szCs w:val="20"/>
        </w:rPr>
        <w:t xml:space="preserve"> </w:t>
      </w:r>
      <w:r w:rsidRPr="00BA2793">
        <w:rPr>
          <w:rFonts w:ascii="Verdana" w:hAnsi="Verdana"/>
          <w:sz w:val="20"/>
          <w:szCs w:val="20"/>
        </w:rPr>
        <w:t xml:space="preserve">taxable gains may result </w:t>
      </w:r>
      <w:r w:rsidR="00A305D6">
        <w:rPr>
          <w:rFonts w:ascii="Verdana" w:hAnsi="Verdana"/>
          <w:sz w:val="20"/>
          <w:szCs w:val="20"/>
        </w:rPr>
        <w:t xml:space="preserve">in </w:t>
      </w:r>
      <w:r w:rsidRPr="00BA2793">
        <w:rPr>
          <w:rFonts w:ascii="Verdana" w:hAnsi="Verdana"/>
          <w:sz w:val="20"/>
          <w:szCs w:val="20"/>
        </w:rPr>
        <w:t xml:space="preserve">shareholders </w:t>
      </w:r>
      <w:r w:rsidR="00A305D6">
        <w:rPr>
          <w:rFonts w:ascii="Verdana" w:hAnsi="Verdana"/>
          <w:sz w:val="20"/>
          <w:szCs w:val="20"/>
        </w:rPr>
        <w:t xml:space="preserve">being </w:t>
      </w:r>
      <w:r w:rsidRPr="00BA2793">
        <w:rPr>
          <w:rFonts w:ascii="Verdana" w:hAnsi="Verdana"/>
          <w:sz w:val="20"/>
          <w:szCs w:val="20"/>
        </w:rPr>
        <w:t>subject to South African capital gains tax.</w:t>
      </w:r>
    </w:p>
    <w:p w14:paraId="3236F861" w14:textId="213419B0" w:rsidR="00D03089" w:rsidRDefault="00BA2793" w:rsidP="00D03089">
      <w:pPr>
        <w:pStyle w:val="AODocTxt"/>
        <w:ind w:left="851"/>
        <w:rPr>
          <w:rFonts w:ascii="Verdana" w:hAnsi="Verdana"/>
          <w:sz w:val="20"/>
          <w:szCs w:val="20"/>
        </w:rPr>
      </w:pPr>
      <w:r w:rsidRPr="00BA2793">
        <w:rPr>
          <w:rFonts w:ascii="Verdana" w:hAnsi="Verdana"/>
          <w:sz w:val="20"/>
          <w:szCs w:val="20"/>
        </w:rPr>
        <w:t>Where a shareholder elects to receive a dividend in respect of a Prosus share that is</w:t>
      </w:r>
      <w:r w:rsidR="002A0361">
        <w:rPr>
          <w:rFonts w:ascii="Verdana" w:hAnsi="Verdana"/>
          <w:sz w:val="20"/>
          <w:szCs w:val="20"/>
        </w:rPr>
        <w:t xml:space="preserve"> </w:t>
      </w:r>
      <w:r w:rsidRPr="00BA2793">
        <w:rPr>
          <w:rFonts w:ascii="Verdana" w:hAnsi="Verdana"/>
          <w:sz w:val="20"/>
          <w:szCs w:val="20"/>
        </w:rPr>
        <w:t>listed on the JSE, such distribution will be regarded as a "foreign dividend" for South</w:t>
      </w:r>
      <w:r w:rsidR="002A0361">
        <w:rPr>
          <w:rFonts w:ascii="Verdana" w:hAnsi="Verdana"/>
          <w:sz w:val="20"/>
          <w:szCs w:val="20"/>
        </w:rPr>
        <w:t xml:space="preserve"> </w:t>
      </w:r>
      <w:r w:rsidRPr="00BA2793">
        <w:rPr>
          <w:rFonts w:ascii="Verdana" w:hAnsi="Verdana"/>
          <w:sz w:val="20"/>
          <w:szCs w:val="20"/>
        </w:rPr>
        <w:t>African income tax purposes and should generally be exempt from normal tax in</w:t>
      </w:r>
      <w:r w:rsidR="002A0361">
        <w:rPr>
          <w:rFonts w:ascii="Verdana" w:hAnsi="Verdana"/>
          <w:sz w:val="20"/>
          <w:szCs w:val="20"/>
        </w:rPr>
        <w:t xml:space="preserve"> </w:t>
      </w:r>
      <w:r w:rsidRPr="00BA2793">
        <w:rPr>
          <w:rFonts w:ascii="Verdana" w:hAnsi="Verdana"/>
          <w:sz w:val="20"/>
          <w:szCs w:val="20"/>
        </w:rPr>
        <w:t>South Africa. However such foreign dividends will, generally and in addition to being</w:t>
      </w:r>
      <w:r w:rsidR="002A0361">
        <w:rPr>
          <w:rFonts w:ascii="Verdana" w:hAnsi="Verdana"/>
          <w:sz w:val="20"/>
          <w:szCs w:val="20"/>
        </w:rPr>
        <w:t xml:space="preserve"> </w:t>
      </w:r>
      <w:r w:rsidRPr="00BA2793">
        <w:rPr>
          <w:rFonts w:ascii="Verdana" w:hAnsi="Verdana"/>
          <w:sz w:val="20"/>
          <w:szCs w:val="20"/>
        </w:rPr>
        <w:t>subject to Dutch DWT, be subject to 20% SADT, to be withheld by the regulated</w:t>
      </w:r>
      <w:r w:rsidR="002A0361">
        <w:rPr>
          <w:rFonts w:ascii="Verdana" w:hAnsi="Verdana"/>
          <w:sz w:val="20"/>
          <w:szCs w:val="20"/>
        </w:rPr>
        <w:t xml:space="preserve"> </w:t>
      </w:r>
      <w:r w:rsidRPr="00BA2793">
        <w:rPr>
          <w:rFonts w:ascii="Verdana" w:hAnsi="Verdana"/>
          <w:sz w:val="20"/>
          <w:szCs w:val="20"/>
        </w:rPr>
        <w:t>intermediary in South Africa (CSDP), leaving a distribution amount per share net of</w:t>
      </w:r>
      <w:r w:rsidR="002A0361">
        <w:rPr>
          <w:rFonts w:ascii="Verdana" w:hAnsi="Verdana"/>
          <w:sz w:val="20"/>
          <w:szCs w:val="20"/>
        </w:rPr>
        <w:t xml:space="preserve"> </w:t>
      </w:r>
      <w:r w:rsidRPr="00BA2793">
        <w:rPr>
          <w:rFonts w:ascii="Verdana" w:hAnsi="Verdana"/>
          <w:sz w:val="20"/>
          <w:szCs w:val="20"/>
        </w:rPr>
        <w:t>SADT, unless:</w:t>
      </w:r>
      <w:r w:rsidR="00D03089">
        <w:rPr>
          <w:rFonts w:ascii="Verdana" w:hAnsi="Verdana"/>
          <w:sz w:val="20"/>
          <w:szCs w:val="20"/>
        </w:rPr>
        <w:t xml:space="preserve"> </w:t>
      </w:r>
      <w:r w:rsidRPr="000E56CB">
        <w:rPr>
          <w:rFonts w:ascii="Verdana" w:hAnsi="Verdana"/>
          <w:sz w:val="20"/>
          <w:szCs w:val="20"/>
        </w:rPr>
        <w:t>a shareholder qualifies for an exemption from SADT, on the basis of South African</w:t>
      </w:r>
      <w:r w:rsidR="002A0361" w:rsidRPr="000E56CB">
        <w:rPr>
          <w:rFonts w:ascii="Verdana" w:hAnsi="Verdana"/>
          <w:sz w:val="20"/>
          <w:szCs w:val="20"/>
        </w:rPr>
        <w:t xml:space="preserve"> </w:t>
      </w:r>
      <w:r w:rsidRPr="000E56CB">
        <w:rPr>
          <w:rFonts w:ascii="Verdana" w:hAnsi="Verdana"/>
          <w:sz w:val="20"/>
          <w:szCs w:val="20"/>
        </w:rPr>
        <w:t>domestic law and before the dividend is paid, the formal requirements to apply</w:t>
      </w:r>
      <w:r w:rsidR="002A0361" w:rsidRPr="000E56CB">
        <w:rPr>
          <w:rFonts w:ascii="Verdana" w:hAnsi="Verdana"/>
          <w:sz w:val="20"/>
          <w:szCs w:val="20"/>
        </w:rPr>
        <w:t xml:space="preserve"> </w:t>
      </w:r>
      <w:r w:rsidRPr="000E56CB">
        <w:rPr>
          <w:rFonts w:ascii="Verdana" w:hAnsi="Verdana"/>
          <w:sz w:val="20"/>
          <w:szCs w:val="20"/>
        </w:rPr>
        <w:t>such exemption from SADT are satisfied (insofar as applicable).</w:t>
      </w:r>
      <w:r w:rsidR="000E56CB">
        <w:rPr>
          <w:rFonts w:ascii="Verdana" w:hAnsi="Verdana"/>
          <w:sz w:val="20"/>
          <w:szCs w:val="20"/>
        </w:rPr>
        <w:t xml:space="preserve"> </w:t>
      </w:r>
    </w:p>
    <w:p w14:paraId="596F2A25" w14:textId="6B959367" w:rsidR="00BA2793" w:rsidRPr="000E56CB" w:rsidRDefault="00BA2793" w:rsidP="00AF659C">
      <w:pPr>
        <w:pStyle w:val="AODocTxt"/>
        <w:ind w:left="851"/>
        <w:rPr>
          <w:rFonts w:ascii="Verdana" w:hAnsi="Verdana"/>
          <w:sz w:val="20"/>
          <w:szCs w:val="20"/>
        </w:rPr>
      </w:pPr>
      <w:r w:rsidRPr="000E56CB">
        <w:rPr>
          <w:rFonts w:ascii="Verdana" w:hAnsi="Verdana"/>
          <w:sz w:val="20"/>
          <w:szCs w:val="20"/>
        </w:rPr>
        <w:t xml:space="preserve">In order to qualify for any exemption from SADT described </w:t>
      </w:r>
      <w:r w:rsidR="00AF659C">
        <w:rPr>
          <w:rFonts w:ascii="Verdana" w:hAnsi="Verdana"/>
          <w:sz w:val="20"/>
          <w:szCs w:val="20"/>
        </w:rPr>
        <w:t>above,</w:t>
      </w:r>
      <w:r w:rsidRPr="000E56CB">
        <w:rPr>
          <w:rFonts w:ascii="Verdana" w:hAnsi="Verdana"/>
          <w:sz w:val="20"/>
          <w:szCs w:val="20"/>
        </w:rPr>
        <w:t xml:space="preserve"> the</w:t>
      </w:r>
      <w:r w:rsidR="002A0361" w:rsidRPr="000E56CB">
        <w:rPr>
          <w:rFonts w:ascii="Verdana" w:hAnsi="Verdana"/>
          <w:sz w:val="20"/>
          <w:szCs w:val="20"/>
        </w:rPr>
        <w:t xml:space="preserve"> </w:t>
      </w:r>
      <w:r w:rsidRPr="000E56CB">
        <w:rPr>
          <w:rFonts w:ascii="Verdana" w:hAnsi="Verdana"/>
          <w:sz w:val="20"/>
          <w:szCs w:val="20"/>
        </w:rPr>
        <w:t>person to whom the dividend is paid must provide the following documentation to</w:t>
      </w:r>
      <w:r w:rsidR="002A0361" w:rsidRPr="000E56CB">
        <w:rPr>
          <w:rFonts w:ascii="Verdana" w:hAnsi="Verdana"/>
          <w:sz w:val="20"/>
          <w:szCs w:val="20"/>
        </w:rPr>
        <w:t xml:space="preserve"> </w:t>
      </w:r>
      <w:r w:rsidRPr="000E56CB">
        <w:rPr>
          <w:rFonts w:ascii="Verdana" w:hAnsi="Verdana"/>
          <w:sz w:val="20"/>
          <w:szCs w:val="20"/>
        </w:rPr>
        <w:t>the CSDP before the dividend is paid:</w:t>
      </w:r>
    </w:p>
    <w:p w14:paraId="309F4B24" w14:textId="708868FE" w:rsidR="00BA2793" w:rsidRPr="00BA2793" w:rsidRDefault="00BA2793" w:rsidP="000E56CB">
      <w:pPr>
        <w:pStyle w:val="AODocTxt"/>
        <w:numPr>
          <w:ilvl w:val="2"/>
          <w:numId w:val="27"/>
        </w:numPr>
        <w:ind w:left="1134" w:hanging="1134"/>
        <w:rPr>
          <w:rFonts w:ascii="Verdana" w:hAnsi="Verdana"/>
          <w:sz w:val="20"/>
          <w:szCs w:val="20"/>
        </w:rPr>
      </w:pPr>
      <w:r w:rsidRPr="00BA2793">
        <w:rPr>
          <w:rFonts w:ascii="Verdana" w:hAnsi="Verdana"/>
          <w:sz w:val="20"/>
          <w:szCs w:val="20"/>
        </w:rPr>
        <w:t>a written declaration that the dividend is exempt from SADT in terms of South</w:t>
      </w:r>
      <w:r w:rsidR="002A0361">
        <w:rPr>
          <w:rFonts w:ascii="Verdana" w:hAnsi="Verdana"/>
          <w:sz w:val="20"/>
          <w:szCs w:val="20"/>
        </w:rPr>
        <w:t xml:space="preserve"> </w:t>
      </w:r>
      <w:r w:rsidRPr="00BA2793">
        <w:rPr>
          <w:rFonts w:ascii="Verdana" w:hAnsi="Verdana"/>
          <w:sz w:val="20"/>
          <w:szCs w:val="20"/>
        </w:rPr>
        <w:t>African domestic law; and</w:t>
      </w:r>
    </w:p>
    <w:p w14:paraId="7366C479" w14:textId="1A93BF4F" w:rsidR="00BA2793" w:rsidRPr="00BA2793" w:rsidRDefault="00BA2793" w:rsidP="000E56CB">
      <w:pPr>
        <w:pStyle w:val="AODocTxt"/>
        <w:numPr>
          <w:ilvl w:val="2"/>
          <w:numId w:val="27"/>
        </w:numPr>
        <w:ind w:left="1134" w:hanging="1134"/>
        <w:rPr>
          <w:rFonts w:ascii="Verdana" w:hAnsi="Verdana"/>
          <w:sz w:val="20"/>
          <w:szCs w:val="20"/>
        </w:rPr>
      </w:pPr>
      <w:r w:rsidRPr="00BA2793">
        <w:rPr>
          <w:rFonts w:ascii="Verdana" w:hAnsi="Verdana"/>
          <w:sz w:val="20"/>
          <w:szCs w:val="20"/>
        </w:rPr>
        <w:t>a written undertaking to inform the regulated intermediary in writing should the</w:t>
      </w:r>
      <w:r w:rsidR="002A0361">
        <w:rPr>
          <w:rFonts w:ascii="Verdana" w:hAnsi="Verdana"/>
          <w:sz w:val="20"/>
          <w:szCs w:val="20"/>
        </w:rPr>
        <w:t xml:space="preserve"> </w:t>
      </w:r>
      <w:r w:rsidRPr="00BA2793">
        <w:rPr>
          <w:rFonts w:ascii="Verdana" w:hAnsi="Verdana"/>
          <w:sz w:val="20"/>
          <w:szCs w:val="20"/>
        </w:rPr>
        <w:t>circumstances affecting the exemption/reduction applicable change or should the beneficial owner cease to be the beneficial owner, by the date determined by the</w:t>
      </w:r>
      <w:r w:rsidR="002A0361">
        <w:rPr>
          <w:rFonts w:ascii="Verdana" w:hAnsi="Verdana"/>
          <w:sz w:val="20"/>
          <w:szCs w:val="20"/>
        </w:rPr>
        <w:t xml:space="preserve"> </w:t>
      </w:r>
      <w:r w:rsidRPr="00BA2793">
        <w:rPr>
          <w:rFonts w:ascii="Verdana" w:hAnsi="Verdana"/>
          <w:sz w:val="20"/>
          <w:szCs w:val="20"/>
        </w:rPr>
        <w:t>CSDP, or where no date is determined, by the date of payment of the dividend.</w:t>
      </w:r>
    </w:p>
    <w:p w14:paraId="4B452F78" w14:textId="46FBF99F" w:rsidR="00BA2793" w:rsidRPr="00D03089" w:rsidRDefault="00BA2793" w:rsidP="00D03089">
      <w:pPr>
        <w:pStyle w:val="AODocTxt"/>
        <w:keepNext/>
        <w:numPr>
          <w:ilvl w:val="1"/>
          <w:numId w:val="27"/>
        </w:numPr>
        <w:ind w:left="851" w:hanging="851"/>
        <w:rPr>
          <w:rFonts w:ascii="Verdana" w:hAnsi="Verdana"/>
          <w:b/>
          <w:bCs/>
          <w:sz w:val="20"/>
          <w:szCs w:val="20"/>
        </w:rPr>
      </w:pPr>
      <w:r w:rsidRPr="00D03089">
        <w:rPr>
          <w:rFonts w:ascii="Verdana" w:hAnsi="Verdana"/>
          <w:b/>
          <w:bCs/>
          <w:sz w:val="20"/>
          <w:szCs w:val="20"/>
        </w:rPr>
        <w:t>Tax implications for South African corporate shareholders</w:t>
      </w:r>
    </w:p>
    <w:p w14:paraId="66072096" w14:textId="1C53C58C" w:rsidR="00BA2793" w:rsidRPr="00BA2793" w:rsidRDefault="00BA2793" w:rsidP="00D03089">
      <w:pPr>
        <w:pStyle w:val="AODocTxt"/>
        <w:ind w:left="851"/>
        <w:rPr>
          <w:rFonts w:ascii="Verdana" w:hAnsi="Verdana"/>
          <w:sz w:val="20"/>
          <w:szCs w:val="20"/>
        </w:rPr>
      </w:pPr>
      <w:r w:rsidRPr="00BA2793">
        <w:rPr>
          <w:rFonts w:ascii="Verdana" w:hAnsi="Verdana"/>
          <w:sz w:val="20"/>
          <w:szCs w:val="20"/>
        </w:rPr>
        <w:t>Where the South African resident beneficial owner of the dividend is a company, the</w:t>
      </w:r>
      <w:r w:rsidR="002A0361">
        <w:rPr>
          <w:rFonts w:ascii="Verdana" w:hAnsi="Verdana"/>
          <w:sz w:val="20"/>
          <w:szCs w:val="20"/>
        </w:rPr>
        <w:t xml:space="preserve"> </w:t>
      </w:r>
      <w:r w:rsidRPr="00BA2793">
        <w:rPr>
          <w:rFonts w:ascii="Verdana" w:hAnsi="Verdana"/>
          <w:sz w:val="20"/>
          <w:szCs w:val="20"/>
        </w:rPr>
        <w:t>dividend will be exempt from SADT in terms of domestic law, provided the</w:t>
      </w:r>
      <w:r w:rsidR="002A0361">
        <w:rPr>
          <w:rFonts w:ascii="Verdana" w:hAnsi="Verdana"/>
          <w:sz w:val="20"/>
          <w:szCs w:val="20"/>
        </w:rPr>
        <w:t xml:space="preserve"> </w:t>
      </w:r>
      <w:r w:rsidRPr="00BA2793">
        <w:rPr>
          <w:rFonts w:ascii="Verdana" w:hAnsi="Verdana"/>
          <w:sz w:val="20"/>
          <w:szCs w:val="20"/>
        </w:rPr>
        <w:t>documentary requirements set out above are complied with.</w:t>
      </w:r>
    </w:p>
    <w:p w14:paraId="7711AAD8" w14:textId="4F13A216" w:rsidR="00BA2793" w:rsidRPr="00D03089" w:rsidRDefault="00BA2793" w:rsidP="00D03089">
      <w:pPr>
        <w:pStyle w:val="AODocTxt"/>
        <w:keepNext/>
        <w:numPr>
          <w:ilvl w:val="1"/>
          <w:numId w:val="27"/>
        </w:numPr>
        <w:ind w:left="851" w:hanging="851"/>
        <w:rPr>
          <w:rFonts w:ascii="Verdana" w:hAnsi="Verdana"/>
          <w:b/>
          <w:bCs/>
          <w:sz w:val="20"/>
          <w:szCs w:val="20"/>
        </w:rPr>
      </w:pPr>
      <w:r w:rsidRPr="00D03089">
        <w:rPr>
          <w:rFonts w:ascii="Verdana" w:hAnsi="Verdana"/>
          <w:b/>
          <w:bCs/>
          <w:sz w:val="20"/>
          <w:szCs w:val="20"/>
        </w:rPr>
        <w:t>Tax implications for South African non-corporate shareholders</w:t>
      </w:r>
    </w:p>
    <w:p w14:paraId="16F022FA" w14:textId="651CC67B" w:rsidR="00BA2793" w:rsidRPr="00BA2793" w:rsidRDefault="00BA2793" w:rsidP="00D03089">
      <w:pPr>
        <w:pStyle w:val="AODocTxt"/>
        <w:ind w:left="851"/>
        <w:rPr>
          <w:rFonts w:ascii="Verdana" w:hAnsi="Verdana"/>
          <w:sz w:val="20"/>
          <w:szCs w:val="20"/>
        </w:rPr>
      </w:pPr>
      <w:r w:rsidRPr="00BA2793">
        <w:rPr>
          <w:rFonts w:ascii="Verdana" w:hAnsi="Verdana"/>
          <w:sz w:val="20"/>
          <w:szCs w:val="20"/>
        </w:rPr>
        <w:t>Where the South African resident beneficial owner of the dividend is a non-corporate</w:t>
      </w:r>
      <w:r w:rsidR="002A0361">
        <w:rPr>
          <w:rFonts w:ascii="Verdana" w:hAnsi="Verdana"/>
          <w:sz w:val="20"/>
          <w:szCs w:val="20"/>
        </w:rPr>
        <w:t xml:space="preserve"> </w:t>
      </w:r>
      <w:r w:rsidRPr="00BA2793">
        <w:rPr>
          <w:rFonts w:ascii="Verdana" w:hAnsi="Verdana"/>
          <w:sz w:val="20"/>
          <w:szCs w:val="20"/>
        </w:rPr>
        <w:t>shareholder, the dividend may be exempt from SADT in terms of domestic law. Where</w:t>
      </w:r>
      <w:r w:rsidR="002A0361">
        <w:rPr>
          <w:rFonts w:ascii="Verdana" w:hAnsi="Verdana"/>
          <w:sz w:val="20"/>
          <w:szCs w:val="20"/>
        </w:rPr>
        <w:t xml:space="preserve"> </w:t>
      </w:r>
      <w:r w:rsidRPr="00BA2793">
        <w:rPr>
          <w:rFonts w:ascii="Verdana" w:hAnsi="Verdana"/>
          <w:sz w:val="20"/>
          <w:szCs w:val="20"/>
        </w:rPr>
        <w:t>the dividend does not qualify for one of the domestic exemptions, SADT will be paid</w:t>
      </w:r>
      <w:r w:rsidR="002A0361">
        <w:rPr>
          <w:rFonts w:ascii="Verdana" w:hAnsi="Verdana"/>
          <w:sz w:val="20"/>
          <w:szCs w:val="20"/>
        </w:rPr>
        <w:t xml:space="preserve"> </w:t>
      </w:r>
      <w:r w:rsidRPr="00BA2793">
        <w:rPr>
          <w:rFonts w:ascii="Verdana" w:hAnsi="Verdana"/>
          <w:sz w:val="20"/>
          <w:szCs w:val="20"/>
        </w:rPr>
        <w:t>at an initial rate of 20%, subject to a rebate for Dutch DWT paid in respect of such</w:t>
      </w:r>
      <w:r w:rsidR="002A0361">
        <w:rPr>
          <w:rFonts w:ascii="Verdana" w:hAnsi="Verdana"/>
          <w:sz w:val="20"/>
          <w:szCs w:val="20"/>
        </w:rPr>
        <w:t xml:space="preserve"> </w:t>
      </w:r>
      <w:r w:rsidRPr="00BA2793">
        <w:rPr>
          <w:rFonts w:ascii="Verdana" w:hAnsi="Verdana"/>
          <w:sz w:val="20"/>
          <w:szCs w:val="20"/>
        </w:rPr>
        <w:t>dividend without any recovery by any person.</w:t>
      </w:r>
    </w:p>
    <w:p w14:paraId="1A20930A" w14:textId="39420B29" w:rsidR="00BA2793" w:rsidRPr="00D03089" w:rsidRDefault="00BA2793" w:rsidP="00D03089">
      <w:pPr>
        <w:pStyle w:val="AODocTxt"/>
        <w:keepNext/>
        <w:numPr>
          <w:ilvl w:val="1"/>
          <w:numId w:val="27"/>
        </w:numPr>
        <w:ind w:left="851" w:hanging="851"/>
        <w:rPr>
          <w:rFonts w:ascii="Verdana" w:hAnsi="Verdana"/>
          <w:b/>
          <w:bCs/>
          <w:sz w:val="20"/>
          <w:szCs w:val="20"/>
        </w:rPr>
      </w:pPr>
      <w:r w:rsidRPr="00D03089">
        <w:rPr>
          <w:rFonts w:ascii="Verdana" w:hAnsi="Verdana"/>
          <w:b/>
          <w:bCs/>
          <w:sz w:val="20"/>
          <w:szCs w:val="20"/>
        </w:rPr>
        <w:lastRenderedPageBreak/>
        <w:t>Rebate on SADT paid</w:t>
      </w:r>
    </w:p>
    <w:p w14:paraId="608E7D72" w14:textId="4A911EA3" w:rsidR="00BA2793" w:rsidRPr="00BA2793" w:rsidRDefault="00BA2793" w:rsidP="00D03089">
      <w:pPr>
        <w:pStyle w:val="AODocTxt"/>
        <w:ind w:left="851"/>
        <w:rPr>
          <w:rFonts w:ascii="Verdana" w:hAnsi="Verdana"/>
          <w:sz w:val="20"/>
          <w:szCs w:val="20"/>
        </w:rPr>
      </w:pPr>
      <w:r w:rsidRPr="00BA2793">
        <w:rPr>
          <w:rFonts w:ascii="Verdana" w:hAnsi="Verdana"/>
          <w:sz w:val="20"/>
          <w:szCs w:val="20"/>
        </w:rPr>
        <w:t>A rebate for foreign taxes (i.e. Dutch DWT) imposed on the dividend paid is available</w:t>
      </w:r>
      <w:r w:rsidR="002A0361">
        <w:rPr>
          <w:rFonts w:ascii="Verdana" w:hAnsi="Verdana"/>
          <w:sz w:val="20"/>
          <w:szCs w:val="20"/>
        </w:rPr>
        <w:t xml:space="preserve"> </w:t>
      </w:r>
      <w:r w:rsidRPr="00BA2793">
        <w:rPr>
          <w:rFonts w:ascii="Verdana" w:hAnsi="Verdana"/>
          <w:sz w:val="20"/>
          <w:szCs w:val="20"/>
        </w:rPr>
        <w:t>to reduce the SADT liability. This rebate is calculated based on the Dutch DWT paid</w:t>
      </w:r>
      <w:r w:rsidR="002A0361">
        <w:rPr>
          <w:rFonts w:ascii="Verdana" w:hAnsi="Verdana"/>
          <w:sz w:val="20"/>
          <w:szCs w:val="20"/>
        </w:rPr>
        <w:t xml:space="preserve"> </w:t>
      </w:r>
      <w:r w:rsidRPr="00BA2793">
        <w:rPr>
          <w:rFonts w:ascii="Verdana" w:hAnsi="Verdana"/>
          <w:sz w:val="20"/>
          <w:szCs w:val="20"/>
        </w:rPr>
        <w:t>without the right of recovery by any person. In other words, the rebate is limited to</w:t>
      </w:r>
      <w:r w:rsidR="002A0361">
        <w:rPr>
          <w:rFonts w:ascii="Verdana" w:hAnsi="Verdana"/>
          <w:sz w:val="20"/>
          <w:szCs w:val="20"/>
        </w:rPr>
        <w:t xml:space="preserve"> </w:t>
      </w:r>
      <w:r w:rsidRPr="00BA2793">
        <w:rPr>
          <w:rFonts w:ascii="Verdana" w:hAnsi="Verdana"/>
          <w:sz w:val="20"/>
          <w:szCs w:val="20"/>
        </w:rPr>
        <w:t>the amount of Dutch DWT paid after taking into account relevant exemptions from,</w:t>
      </w:r>
      <w:r w:rsidR="002A0361">
        <w:rPr>
          <w:rFonts w:ascii="Verdana" w:hAnsi="Verdana"/>
          <w:sz w:val="20"/>
          <w:szCs w:val="20"/>
        </w:rPr>
        <w:t xml:space="preserve"> </w:t>
      </w:r>
      <w:r w:rsidRPr="00BA2793">
        <w:rPr>
          <w:rFonts w:ascii="Verdana" w:hAnsi="Verdana"/>
          <w:sz w:val="20"/>
          <w:szCs w:val="20"/>
        </w:rPr>
        <w:t>or reductions of, Dutch DWT that the shareholder may be eligible for as described in</w:t>
      </w:r>
      <w:r w:rsidR="002A0361">
        <w:rPr>
          <w:rFonts w:ascii="Verdana" w:hAnsi="Verdana"/>
          <w:sz w:val="20"/>
          <w:szCs w:val="20"/>
        </w:rPr>
        <w:t xml:space="preserve"> </w:t>
      </w:r>
      <w:r w:rsidRPr="00BA2793">
        <w:rPr>
          <w:rFonts w:ascii="Verdana" w:hAnsi="Verdana"/>
          <w:sz w:val="20"/>
          <w:szCs w:val="20"/>
        </w:rPr>
        <w:t>paragraph 1 above.</w:t>
      </w:r>
    </w:p>
    <w:p w14:paraId="49952BEE" w14:textId="4EF845E3" w:rsidR="00BA2793" w:rsidRPr="00BA2793" w:rsidRDefault="00BA2793" w:rsidP="00D03089">
      <w:pPr>
        <w:pStyle w:val="AODocTxt"/>
        <w:ind w:left="851"/>
        <w:rPr>
          <w:rFonts w:ascii="Verdana" w:hAnsi="Verdana"/>
          <w:sz w:val="20"/>
          <w:szCs w:val="20"/>
        </w:rPr>
      </w:pPr>
      <w:r w:rsidRPr="00BA2793">
        <w:rPr>
          <w:rFonts w:ascii="Verdana" w:hAnsi="Verdana"/>
          <w:sz w:val="20"/>
          <w:szCs w:val="20"/>
        </w:rPr>
        <w:t>The rebate will further be limited to the SADT imposed. For example, if the dividend</w:t>
      </w:r>
      <w:r w:rsidR="002A0361">
        <w:rPr>
          <w:rFonts w:ascii="Verdana" w:hAnsi="Verdana"/>
          <w:sz w:val="20"/>
          <w:szCs w:val="20"/>
        </w:rPr>
        <w:t xml:space="preserve"> </w:t>
      </w:r>
      <w:r w:rsidRPr="00BA2793">
        <w:rPr>
          <w:rFonts w:ascii="Verdana" w:hAnsi="Verdana"/>
          <w:sz w:val="20"/>
          <w:szCs w:val="20"/>
        </w:rPr>
        <w:t>is exempt from Dutch DWT in terms of Dutch domestic law as a result of the</w:t>
      </w:r>
      <w:r w:rsidR="002A0361">
        <w:rPr>
          <w:rFonts w:ascii="Verdana" w:hAnsi="Verdana"/>
          <w:sz w:val="20"/>
          <w:szCs w:val="20"/>
        </w:rPr>
        <w:t xml:space="preserve"> </w:t>
      </w:r>
      <w:r w:rsidRPr="00BA2793">
        <w:rPr>
          <w:rFonts w:ascii="Verdana" w:hAnsi="Verdana"/>
          <w:sz w:val="20"/>
          <w:szCs w:val="20"/>
        </w:rPr>
        <w:t>shareholder holding 5% or more of Prosus's shares, no rebate will be available.</w:t>
      </w:r>
    </w:p>
    <w:p w14:paraId="71DC6CB1" w14:textId="29DBFD50" w:rsidR="00BA2793" w:rsidRPr="00BA2793" w:rsidRDefault="00BA2793" w:rsidP="00D03089">
      <w:pPr>
        <w:pStyle w:val="AODocTxt"/>
        <w:ind w:left="851"/>
        <w:rPr>
          <w:rFonts w:ascii="Verdana" w:hAnsi="Verdana"/>
          <w:sz w:val="20"/>
          <w:szCs w:val="20"/>
        </w:rPr>
      </w:pPr>
      <w:r w:rsidRPr="00BA2793">
        <w:rPr>
          <w:rFonts w:ascii="Verdana" w:hAnsi="Verdana"/>
          <w:sz w:val="20"/>
          <w:szCs w:val="20"/>
        </w:rPr>
        <w:t>The CSDP is responsible for withholding SADT from the dividend payable to</w:t>
      </w:r>
      <w:r w:rsidR="002A0361">
        <w:rPr>
          <w:rFonts w:ascii="Verdana" w:hAnsi="Verdana"/>
          <w:sz w:val="20"/>
          <w:szCs w:val="20"/>
        </w:rPr>
        <w:t xml:space="preserve"> </w:t>
      </w:r>
      <w:r w:rsidRPr="00BA2793">
        <w:rPr>
          <w:rFonts w:ascii="Verdana" w:hAnsi="Verdana"/>
          <w:sz w:val="20"/>
          <w:szCs w:val="20"/>
        </w:rPr>
        <w:t>shareholders on the South African register and paying such amounts to the South</w:t>
      </w:r>
      <w:r w:rsidR="002A0361">
        <w:rPr>
          <w:rFonts w:ascii="Verdana" w:hAnsi="Verdana"/>
          <w:sz w:val="20"/>
          <w:szCs w:val="20"/>
        </w:rPr>
        <w:t xml:space="preserve"> </w:t>
      </w:r>
      <w:r w:rsidRPr="00BA2793">
        <w:rPr>
          <w:rFonts w:ascii="Verdana" w:hAnsi="Verdana"/>
          <w:sz w:val="20"/>
          <w:szCs w:val="20"/>
        </w:rPr>
        <w:t>African Revenue Service.</w:t>
      </w:r>
    </w:p>
    <w:p w14:paraId="09BFBC8C" w14:textId="6904CBDD" w:rsidR="00BA2793" w:rsidRPr="00BA2793" w:rsidRDefault="00BA2793" w:rsidP="00D03089">
      <w:pPr>
        <w:pStyle w:val="AODocTxt"/>
        <w:ind w:left="851"/>
        <w:rPr>
          <w:rFonts w:ascii="Verdana" w:hAnsi="Verdana"/>
          <w:sz w:val="20"/>
          <w:szCs w:val="20"/>
        </w:rPr>
      </w:pPr>
      <w:r w:rsidRPr="00BA2793">
        <w:rPr>
          <w:rFonts w:ascii="Verdana" w:hAnsi="Verdana"/>
          <w:sz w:val="20"/>
          <w:szCs w:val="20"/>
        </w:rPr>
        <w:t>In order to apply a rebate, the CSDP must be satisfied:</w:t>
      </w:r>
    </w:p>
    <w:p w14:paraId="71A58E36" w14:textId="301DC67B" w:rsidR="00BA2793" w:rsidRPr="00BA2793" w:rsidRDefault="00BA2793" w:rsidP="00AF659C">
      <w:pPr>
        <w:pStyle w:val="AODocTxt"/>
        <w:numPr>
          <w:ilvl w:val="2"/>
          <w:numId w:val="27"/>
        </w:numPr>
        <w:ind w:left="1134" w:hanging="1134"/>
        <w:rPr>
          <w:rFonts w:ascii="Verdana" w:hAnsi="Verdana"/>
          <w:sz w:val="20"/>
          <w:szCs w:val="20"/>
        </w:rPr>
      </w:pPr>
      <w:r w:rsidRPr="00BA2793">
        <w:rPr>
          <w:rFonts w:ascii="Verdana" w:hAnsi="Verdana"/>
          <w:sz w:val="20"/>
          <w:szCs w:val="20"/>
        </w:rPr>
        <w:t xml:space="preserve">that </w:t>
      </w:r>
      <w:r w:rsidR="005279BE">
        <w:rPr>
          <w:rFonts w:ascii="Verdana" w:hAnsi="Verdana"/>
          <w:sz w:val="20"/>
          <w:szCs w:val="20"/>
        </w:rPr>
        <w:t xml:space="preserve">Dutch </w:t>
      </w:r>
      <w:r w:rsidRPr="00BA2793">
        <w:rPr>
          <w:rFonts w:ascii="Verdana" w:hAnsi="Verdana"/>
          <w:sz w:val="20"/>
          <w:szCs w:val="20"/>
        </w:rPr>
        <w:t>DWT was applied; and</w:t>
      </w:r>
    </w:p>
    <w:p w14:paraId="77072601" w14:textId="726B3215" w:rsidR="00BA2793" w:rsidRPr="00BA2793" w:rsidRDefault="00BA2793" w:rsidP="00AF659C">
      <w:pPr>
        <w:pStyle w:val="AODocTxt"/>
        <w:numPr>
          <w:ilvl w:val="2"/>
          <w:numId w:val="27"/>
        </w:numPr>
        <w:ind w:left="1134" w:hanging="1134"/>
        <w:rPr>
          <w:rFonts w:ascii="Verdana" w:hAnsi="Verdana"/>
          <w:sz w:val="20"/>
          <w:szCs w:val="20"/>
        </w:rPr>
      </w:pPr>
      <w:r w:rsidRPr="00BA2793">
        <w:rPr>
          <w:rFonts w:ascii="Verdana" w:hAnsi="Verdana"/>
          <w:sz w:val="20"/>
          <w:szCs w:val="20"/>
        </w:rPr>
        <w:t xml:space="preserve">that the relevant shareholder qualifies for a reduced rate of </w:t>
      </w:r>
      <w:r w:rsidR="005279BE">
        <w:rPr>
          <w:rFonts w:ascii="Verdana" w:hAnsi="Verdana"/>
          <w:sz w:val="20"/>
          <w:szCs w:val="20"/>
        </w:rPr>
        <w:t xml:space="preserve">Dutch </w:t>
      </w:r>
      <w:r w:rsidRPr="00BA2793">
        <w:rPr>
          <w:rFonts w:ascii="Verdana" w:hAnsi="Verdana"/>
          <w:sz w:val="20"/>
          <w:szCs w:val="20"/>
        </w:rPr>
        <w:t>DWT.</w:t>
      </w:r>
    </w:p>
    <w:p w14:paraId="04F401E9" w14:textId="28579933" w:rsidR="00BA2793" w:rsidRPr="00BA2793" w:rsidRDefault="00BA2793" w:rsidP="00AF659C">
      <w:pPr>
        <w:pStyle w:val="AODocTxt"/>
        <w:ind w:left="851"/>
        <w:rPr>
          <w:rFonts w:ascii="Verdana" w:hAnsi="Verdana"/>
          <w:sz w:val="20"/>
          <w:szCs w:val="20"/>
        </w:rPr>
      </w:pPr>
      <w:r w:rsidRPr="00BA2793">
        <w:rPr>
          <w:rFonts w:ascii="Verdana" w:hAnsi="Verdana"/>
          <w:sz w:val="20"/>
          <w:szCs w:val="20"/>
        </w:rPr>
        <w:t>The rebate for foreign taxes is determined in Rand</w:t>
      </w:r>
      <w:r w:rsidR="00175822">
        <w:rPr>
          <w:rFonts w:ascii="Verdana" w:hAnsi="Verdana"/>
          <w:sz w:val="20"/>
          <w:szCs w:val="20"/>
        </w:rPr>
        <w:t>s</w:t>
      </w:r>
      <w:r w:rsidRPr="00BA2793">
        <w:rPr>
          <w:rFonts w:ascii="Verdana" w:hAnsi="Verdana"/>
          <w:sz w:val="20"/>
          <w:szCs w:val="20"/>
        </w:rPr>
        <w:t xml:space="preserve"> by translating the foreign currency</w:t>
      </w:r>
      <w:r w:rsidR="002A0361">
        <w:rPr>
          <w:rFonts w:ascii="Verdana" w:hAnsi="Verdana"/>
          <w:sz w:val="20"/>
          <w:szCs w:val="20"/>
        </w:rPr>
        <w:t xml:space="preserve"> </w:t>
      </w:r>
      <w:r w:rsidRPr="00BA2793">
        <w:rPr>
          <w:rFonts w:ascii="Verdana" w:hAnsi="Verdana"/>
          <w:sz w:val="20"/>
          <w:szCs w:val="20"/>
        </w:rPr>
        <w:t>amount using the same rate used to translate the foreign dividend.</w:t>
      </w:r>
    </w:p>
    <w:p w14:paraId="54B91F35" w14:textId="5BFC63F5" w:rsidR="00BA2793" w:rsidRPr="00AF659C" w:rsidRDefault="00BA2793" w:rsidP="00AF659C">
      <w:pPr>
        <w:pStyle w:val="AODocTxt"/>
        <w:keepNext/>
        <w:numPr>
          <w:ilvl w:val="1"/>
          <w:numId w:val="27"/>
        </w:numPr>
        <w:ind w:left="851" w:hanging="851"/>
        <w:rPr>
          <w:rFonts w:ascii="Verdana" w:hAnsi="Verdana"/>
          <w:b/>
          <w:bCs/>
          <w:sz w:val="20"/>
          <w:szCs w:val="20"/>
        </w:rPr>
      </w:pPr>
      <w:r w:rsidRPr="00AF659C">
        <w:rPr>
          <w:rFonts w:ascii="Verdana" w:hAnsi="Verdana"/>
          <w:b/>
          <w:bCs/>
          <w:sz w:val="20"/>
          <w:szCs w:val="20"/>
        </w:rPr>
        <w:t>Refund mechanism</w:t>
      </w:r>
    </w:p>
    <w:p w14:paraId="5F22C012" w14:textId="1049D2CD" w:rsidR="00BA2793" w:rsidRPr="00BA2793" w:rsidRDefault="00BA2793" w:rsidP="00AF659C">
      <w:pPr>
        <w:pStyle w:val="AODocTxt"/>
        <w:ind w:left="851"/>
        <w:rPr>
          <w:rFonts w:ascii="Verdana" w:hAnsi="Verdana"/>
          <w:sz w:val="20"/>
          <w:szCs w:val="20"/>
        </w:rPr>
      </w:pPr>
      <w:r w:rsidRPr="00AF659C">
        <w:rPr>
          <w:rFonts w:ascii="Verdana" w:hAnsi="Verdana"/>
          <w:sz w:val="20"/>
          <w:szCs w:val="20"/>
        </w:rPr>
        <w:t xml:space="preserve">The maximum effective dividend tax </w:t>
      </w:r>
      <w:r w:rsidRPr="00BA2793">
        <w:rPr>
          <w:rFonts w:ascii="Verdana" w:hAnsi="Verdana"/>
          <w:sz w:val="20"/>
          <w:szCs w:val="20"/>
        </w:rPr>
        <w:t>to be paid by South African tax resident</w:t>
      </w:r>
      <w:r w:rsidR="002A0361">
        <w:rPr>
          <w:rFonts w:ascii="Verdana" w:hAnsi="Verdana"/>
          <w:sz w:val="20"/>
          <w:szCs w:val="20"/>
        </w:rPr>
        <w:t xml:space="preserve"> </w:t>
      </w:r>
      <w:r w:rsidRPr="00BA2793">
        <w:rPr>
          <w:rFonts w:ascii="Verdana" w:hAnsi="Verdana"/>
          <w:sz w:val="20"/>
          <w:szCs w:val="20"/>
        </w:rPr>
        <w:t>shareholders on the South African register, who are not exempt from SADT will be</w:t>
      </w:r>
      <w:r w:rsidR="002A0361">
        <w:rPr>
          <w:rFonts w:ascii="Verdana" w:hAnsi="Verdana"/>
          <w:sz w:val="20"/>
          <w:szCs w:val="20"/>
        </w:rPr>
        <w:t xml:space="preserve"> </w:t>
      </w:r>
      <w:r w:rsidRPr="00BA2793">
        <w:rPr>
          <w:rFonts w:ascii="Verdana" w:hAnsi="Verdana"/>
          <w:sz w:val="20"/>
          <w:szCs w:val="20"/>
        </w:rPr>
        <w:t>20%. For example, where a CSDP is satisfied that a particular shareholder has paid</w:t>
      </w:r>
      <w:r w:rsidR="002A0361">
        <w:rPr>
          <w:rFonts w:ascii="Verdana" w:hAnsi="Verdana"/>
          <w:sz w:val="20"/>
          <w:szCs w:val="20"/>
        </w:rPr>
        <w:t xml:space="preserve"> </w:t>
      </w:r>
      <w:r w:rsidRPr="00BA2793">
        <w:rPr>
          <w:rFonts w:ascii="Verdana" w:hAnsi="Verdana"/>
          <w:sz w:val="20"/>
          <w:szCs w:val="20"/>
        </w:rPr>
        <w:t>15% Dutch DWT, which is not recoverable by that shareholder from the Dutch tax</w:t>
      </w:r>
      <w:r w:rsidR="002A0361">
        <w:rPr>
          <w:rFonts w:ascii="Verdana" w:hAnsi="Verdana"/>
          <w:sz w:val="20"/>
          <w:szCs w:val="20"/>
        </w:rPr>
        <w:t xml:space="preserve"> </w:t>
      </w:r>
      <w:r w:rsidRPr="00BA2793">
        <w:rPr>
          <w:rFonts w:ascii="Verdana" w:hAnsi="Verdana"/>
          <w:sz w:val="20"/>
          <w:szCs w:val="20"/>
        </w:rPr>
        <w:t>authority, such CSDP should withhold only 5% SADT, being the 20% SADT less 15%</w:t>
      </w:r>
      <w:r w:rsidR="002A0361">
        <w:rPr>
          <w:rFonts w:ascii="Verdana" w:hAnsi="Verdana"/>
          <w:sz w:val="20"/>
          <w:szCs w:val="20"/>
        </w:rPr>
        <w:t xml:space="preserve"> </w:t>
      </w:r>
      <w:r w:rsidR="00D610D2">
        <w:rPr>
          <w:rFonts w:ascii="Verdana" w:hAnsi="Verdana"/>
          <w:sz w:val="20"/>
          <w:szCs w:val="20"/>
        </w:rPr>
        <w:t xml:space="preserve">Dutch </w:t>
      </w:r>
      <w:r w:rsidRPr="00BA2793">
        <w:rPr>
          <w:rFonts w:ascii="Verdana" w:hAnsi="Verdana"/>
          <w:sz w:val="20"/>
          <w:szCs w:val="20"/>
        </w:rPr>
        <w:t>DWT (unless a specific South African domestic exemption applies and the required</w:t>
      </w:r>
      <w:r w:rsidR="002A0361">
        <w:rPr>
          <w:rFonts w:ascii="Verdana" w:hAnsi="Verdana"/>
          <w:sz w:val="20"/>
          <w:szCs w:val="20"/>
        </w:rPr>
        <w:t xml:space="preserve"> </w:t>
      </w:r>
      <w:r w:rsidRPr="00BA2793">
        <w:rPr>
          <w:rFonts w:ascii="Verdana" w:hAnsi="Verdana"/>
          <w:sz w:val="20"/>
          <w:szCs w:val="20"/>
        </w:rPr>
        <w:t>documentation as set out in paragraph 2 has been provided to the CSDP). However</w:t>
      </w:r>
      <w:r w:rsidR="00175822">
        <w:rPr>
          <w:rFonts w:ascii="Verdana" w:hAnsi="Verdana"/>
          <w:sz w:val="20"/>
          <w:szCs w:val="20"/>
        </w:rPr>
        <w:t>,</w:t>
      </w:r>
      <w:r>
        <w:rPr>
          <w:rFonts w:ascii="Verdana" w:hAnsi="Verdana"/>
          <w:sz w:val="20"/>
          <w:szCs w:val="20"/>
        </w:rPr>
        <w:t xml:space="preserve"> </w:t>
      </w:r>
      <w:r w:rsidRPr="00BA2793">
        <w:rPr>
          <w:rFonts w:ascii="Verdana" w:hAnsi="Verdana"/>
          <w:sz w:val="20"/>
          <w:szCs w:val="20"/>
        </w:rPr>
        <w:t>if the CSDP is not satisfied that the Dutch DWT cannot be recovered by the</w:t>
      </w:r>
      <w:r>
        <w:rPr>
          <w:rFonts w:ascii="Verdana" w:hAnsi="Verdana"/>
          <w:sz w:val="20"/>
          <w:szCs w:val="20"/>
        </w:rPr>
        <w:t xml:space="preserve"> </w:t>
      </w:r>
      <w:r w:rsidRPr="00BA2793">
        <w:rPr>
          <w:rFonts w:ascii="Verdana" w:hAnsi="Verdana"/>
          <w:sz w:val="20"/>
          <w:szCs w:val="20"/>
        </w:rPr>
        <w:t>shareholder, the CSDP may withhold up to 20% in SADT.</w:t>
      </w:r>
    </w:p>
    <w:p w14:paraId="5F3FD1F4" w14:textId="3C7B635C" w:rsidR="00BA2793" w:rsidRPr="00BA2793" w:rsidRDefault="00BA2793" w:rsidP="00AF659C">
      <w:pPr>
        <w:pStyle w:val="AODocTxt"/>
        <w:ind w:left="851"/>
        <w:rPr>
          <w:rFonts w:ascii="Verdana" w:hAnsi="Verdana"/>
          <w:sz w:val="20"/>
          <w:szCs w:val="20"/>
        </w:rPr>
      </w:pPr>
      <w:r w:rsidRPr="00BA2793">
        <w:rPr>
          <w:rFonts w:ascii="Verdana" w:hAnsi="Verdana"/>
          <w:sz w:val="20"/>
          <w:szCs w:val="20"/>
        </w:rPr>
        <w:t xml:space="preserve">If such shareholder pays more than an aggregate 20% tax (being the total Dutch </w:t>
      </w:r>
      <w:r w:rsidR="00D610D2">
        <w:rPr>
          <w:rFonts w:ascii="Verdana" w:hAnsi="Verdana"/>
          <w:sz w:val="20"/>
          <w:szCs w:val="20"/>
        </w:rPr>
        <w:t xml:space="preserve">DWT </w:t>
      </w:r>
      <w:r w:rsidRPr="00BA2793">
        <w:rPr>
          <w:rFonts w:ascii="Verdana" w:hAnsi="Verdana"/>
          <w:sz w:val="20"/>
          <w:szCs w:val="20"/>
        </w:rPr>
        <w:t>and</w:t>
      </w:r>
      <w:r>
        <w:rPr>
          <w:rFonts w:ascii="Verdana" w:hAnsi="Verdana"/>
          <w:sz w:val="20"/>
          <w:szCs w:val="20"/>
        </w:rPr>
        <w:t xml:space="preserve"> </w:t>
      </w:r>
      <w:r w:rsidR="00D610D2">
        <w:rPr>
          <w:rFonts w:ascii="Verdana" w:hAnsi="Verdana"/>
          <w:sz w:val="20"/>
          <w:szCs w:val="20"/>
        </w:rPr>
        <w:t>SADT</w:t>
      </w:r>
      <w:r w:rsidRPr="00BA2793">
        <w:rPr>
          <w:rFonts w:ascii="Verdana" w:hAnsi="Verdana"/>
          <w:sz w:val="20"/>
          <w:szCs w:val="20"/>
        </w:rPr>
        <w:t xml:space="preserve"> paid on the same dividend), such shareholders are advised</w:t>
      </w:r>
      <w:r>
        <w:rPr>
          <w:rFonts w:ascii="Verdana" w:hAnsi="Verdana"/>
          <w:sz w:val="20"/>
          <w:szCs w:val="20"/>
        </w:rPr>
        <w:t xml:space="preserve"> </w:t>
      </w:r>
      <w:r w:rsidRPr="00BA2793">
        <w:rPr>
          <w:rFonts w:ascii="Verdana" w:hAnsi="Verdana"/>
          <w:sz w:val="20"/>
          <w:szCs w:val="20"/>
        </w:rPr>
        <w:t>to follow the procedures set out paragraphs 1, if appropriate, in order to claim a</w:t>
      </w:r>
      <w:r>
        <w:rPr>
          <w:rFonts w:ascii="Verdana" w:hAnsi="Verdana"/>
          <w:sz w:val="20"/>
          <w:szCs w:val="20"/>
        </w:rPr>
        <w:t xml:space="preserve"> </w:t>
      </w:r>
      <w:r w:rsidRPr="00BA2793">
        <w:rPr>
          <w:rFonts w:ascii="Verdana" w:hAnsi="Verdana"/>
          <w:sz w:val="20"/>
          <w:szCs w:val="20"/>
        </w:rPr>
        <w:t>refund of Dutch DWT overpaid. Where an amount of SADT has been overpaid</w:t>
      </w:r>
      <w:r>
        <w:rPr>
          <w:rFonts w:ascii="Verdana" w:hAnsi="Verdana"/>
          <w:sz w:val="20"/>
          <w:szCs w:val="20"/>
        </w:rPr>
        <w:t xml:space="preserve"> </w:t>
      </w:r>
      <w:r w:rsidRPr="00BA2793">
        <w:rPr>
          <w:rFonts w:ascii="Verdana" w:hAnsi="Verdana"/>
          <w:sz w:val="20"/>
          <w:szCs w:val="20"/>
        </w:rPr>
        <w:t>as a result of failure to comply with the requirements described in paragraphs 2.</w:t>
      </w:r>
      <w:r w:rsidR="00551365">
        <w:rPr>
          <w:rFonts w:ascii="Verdana" w:hAnsi="Verdana"/>
          <w:sz w:val="20"/>
          <w:szCs w:val="20"/>
        </w:rPr>
        <w:t>4.1</w:t>
      </w:r>
      <w:r>
        <w:rPr>
          <w:rFonts w:ascii="Verdana" w:hAnsi="Verdana"/>
          <w:sz w:val="20"/>
          <w:szCs w:val="20"/>
        </w:rPr>
        <w:t xml:space="preserve"> </w:t>
      </w:r>
      <w:r w:rsidRPr="00BA2793">
        <w:rPr>
          <w:rFonts w:ascii="Verdana" w:hAnsi="Verdana"/>
          <w:sz w:val="20"/>
          <w:szCs w:val="20"/>
        </w:rPr>
        <w:t>and 2.</w:t>
      </w:r>
      <w:r w:rsidR="00551365">
        <w:rPr>
          <w:rFonts w:ascii="Verdana" w:hAnsi="Verdana"/>
          <w:sz w:val="20"/>
          <w:szCs w:val="20"/>
        </w:rPr>
        <w:t>4.2</w:t>
      </w:r>
      <w:r w:rsidRPr="00BA2793">
        <w:rPr>
          <w:rFonts w:ascii="Verdana" w:hAnsi="Verdana"/>
          <w:sz w:val="20"/>
          <w:szCs w:val="20"/>
        </w:rPr>
        <w:t>, or the failure to deduct a rebate as described in paragraph 2.4, the</w:t>
      </w:r>
      <w:r>
        <w:rPr>
          <w:rFonts w:ascii="Verdana" w:hAnsi="Verdana"/>
          <w:sz w:val="20"/>
          <w:szCs w:val="20"/>
        </w:rPr>
        <w:t xml:space="preserve"> </w:t>
      </w:r>
      <w:r w:rsidRPr="00BA2793">
        <w:rPr>
          <w:rFonts w:ascii="Verdana" w:hAnsi="Verdana"/>
          <w:sz w:val="20"/>
          <w:szCs w:val="20"/>
        </w:rPr>
        <w:t>shareholder may be entitled to claim a refund of the SADT overpaid. This refund</w:t>
      </w:r>
      <w:r>
        <w:rPr>
          <w:rFonts w:ascii="Verdana" w:hAnsi="Verdana"/>
          <w:sz w:val="20"/>
          <w:szCs w:val="20"/>
        </w:rPr>
        <w:t xml:space="preserve"> </w:t>
      </w:r>
      <w:r w:rsidRPr="00BA2793">
        <w:rPr>
          <w:rFonts w:ascii="Verdana" w:hAnsi="Verdana"/>
          <w:sz w:val="20"/>
          <w:szCs w:val="20"/>
        </w:rPr>
        <w:t>must be claimed from the CSDP within a period of three years after the date of</w:t>
      </w:r>
      <w:r>
        <w:rPr>
          <w:rFonts w:ascii="Verdana" w:hAnsi="Verdana"/>
          <w:sz w:val="20"/>
          <w:szCs w:val="20"/>
        </w:rPr>
        <w:t xml:space="preserve"> </w:t>
      </w:r>
      <w:r w:rsidRPr="00BA2793">
        <w:rPr>
          <w:rFonts w:ascii="Verdana" w:hAnsi="Verdana"/>
          <w:sz w:val="20"/>
          <w:szCs w:val="20"/>
        </w:rPr>
        <w:t>payment of the dividend.</w:t>
      </w:r>
    </w:p>
    <w:p w14:paraId="43897FD2" w14:textId="3E0088B0" w:rsidR="00BA2793" w:rsidRPr="00BA2793" w:rsidRDefault="00BA2793" w:rsidP="00AF659C">
      <w:pPr>
        <w:pStyle w:val="AODocTxt"/>
        <w:ind w:left="851"/>
        <w:rPr>
          <w:rFonts w:ascii="Verdana" w:hAnsi="Verdana"/>
          <w:sz w:val="20"/>
          <w:szCs w:val="20"/>
        </w:rPr>
      </w:pPr>
      <w:r w:rsidRPr="00BA2793">
        <w:rPr>
          <w:rFonts w:ascii="Verdana" w:hAnsi="Verdana"/>
          <w:sz w:val="20"/>
          <w:szCs w:val="20"/>
        </w:rPr>
        <w:t>Whether or not there is a refund due to the shareholder should be determined with</w:t>
      </w:r>
      <w:r>
        <w:rPr>
          <w:rFonts w:ascii="Verdana" w:hAnsi="Verdana"/>
          <w:sz w:val="20"/>
          <w:szCs w:val="20"/>
        </w:rPr>
        <w:t xml:space="preserve"> </w:t>
      </w:r>
      <w:r w:rsidRPr="00BA2793">
        <w:rPr>
          <w:rFonts w:ascii="Verdana" w:hAnsi="Verdana"/>
          <w:sz w:val="20"/>
          <w:szCs w:val="20"/>
        </w:rPr>
        <w:t>reference to the specific facts applicable to that shareholder.</w:t>
      </w:r>
    </w:p>
    <w:p w14:paraId="1CC3CABC" w14:textId="220BD829" w:rsidR="00BA2793" w:rsidRPr="003B235D" w:rsidRDefault="00BA2793" w:rsidP="00AF659C">
      <w:pPr>
        <w:pStyle w:val="AODocTxt"/>
        <w:ind w:left="851"/>
        <w:rPr>
          <w:rFonts w:ascii="Verdana" w:hAnsi="Verdana"/>
          <w:sz w:val="20"/>
          <w:szCs w:val="20"/>
        </w:rPr>
      </w:pPr>
      <w:r w:rsidRPr="00BA2793">
        <w:rPr>
          <w:rFonts w:ascii="Verdana" w:hAnsi="Verdana"/>
          <w:sz w:val="20"/>
          <w:szCs w:val="20"/>
        </w:rPr>
        <w:t>The information provided above does not constitute tax advice and is only provided</w:t>
      </w:r>
      <w:r>
        <w:rPr>
          <w:rFonts w:ascii="Verdana" w:hAnsi="Verdana"/>
          <w:sz w:val="20"/>
          <w:szCs w:val="20"/>
        </w:rPr>
        <w:t xml:space="preserve"> </w:t>
      </w:r>
      <w:r w:rsidRPr="00BA2793">
        <w:rPr>
          <w:rFonts w:ascii="Verdana" w:hAnsi="Verdana"/>
          <w:sz w:val="20"/>
          <w:szCs w:val="20"/>
        </w:rPr>
        <w:t>as a general guide on the South African tax treatment of the cash dividend declaration</w:t>
      </w:r>
      <w:r>
        <w:rPr>
          <w:rFonts w:ascii="Verdana" w:hAnsi="Verdana"/>
          <w:sz w:val="20"/>
          <w:szCs w:val="20"/>
        </w:rPr>
        <w:t xml:space="preserve"> </w:t>
      </w:r>
      <w:r w:rsidRPr="00BA2793">
        <w:rPr>
          <w:rFonts w:ascii="Verdana" w:hAnsi="Verdana"/>
          <w:sz w:val="20"/>
          <w:szCs w:val="20"/>
        </w:rPr>
        <w:t>by Prosus to South African tax resident shareholders. For shareholders residing</w:t>
      </w:r>
      <w:r>
        <w:rPr>
          <w:rFonts w:ascii="Verdana" w:hAnsi="Verdana"/>
          <w:sz w:val="20"/>
          <w:szCs w:val="20"/>
        </w:rPr>
        <w:t xml:space="preserve"> </w:t>
      </w:r>
      <w:r w:rsidRPr="00BA2793">
        <w:rPr>
          <w:rFonts w:ascii="Verdana" w:hAnsi="Verdana"/>
          <w:sz w:val="20"/>
          <w:szCs w:val="20"/>
        </w:rPr>
        <w:t>outside of South Africa, the dividend may have other legal or tax implications and</w:t>
      </w:r>
      <w:r>
        <w:rPr>
          <w:rFonts w:ascii="Verdana" w:hAnsi="Verdana"/>
          <w:sz w:val="20"/>
          <w:szCs w:val="20"/>
        </w:rPr>
        <w:t xml:space="preserve"> </w:t>
      </w:r>
      <w:r w:rsidRPr="00BA2793">
        <w:rPr>
          <w:rFonts w:ascii="Verdana" w:hAnsi="Verdana"/>
          <w:sz w:val="20"/>
          <w:szCs w:val="20"/>
        </w:rPr>
        <w:t>such shareholders are advised to obtain appropriate advice from their professional</w:t>
      </w:r>
      <w:r>
        <w:rPr>
          <w:rFonts w:ascii="Verdana" w:hAnsi="Verdana"/>
          <w:sz w:val="20"/>
          <w:szCs w:val="20"/>
        </w:rPr>
        <w:t xml:space="preserve"> </w:t>
      </w:r>
      <w:r w:rsidRPr="00BA2793">
        <w:rPr>
          <w:rFonts w:ascii="Verdana" w:hAnsi="Verdana"/>
          <w:sz w:val="20"/>
          <w:szCs w:val="20"/>
        </w:rPr>
        <w:t>advisers in this regard.</w:t>
      </w:r>
    </w:p>
    <w:p w14:paraId="0BE3166C" w14:textId="77777777" w:rsidR="005E503D" w:rsidRDefault="00C565D2">
      <w:pPr>
        <w:pStyle w:val="AODocTxt"/>
        <w:rPr>
          <w:rFonts w:ascii="Verdana" w:hAnsi="Verdana"/>
          <w:sz w:val="20"/>
          <w:szCs w:val="20"/>
        </w:rPr>
      </w:pPr>
      <w:r>
        <w:rPr>
          <w:rFonts w:ascii="Verdana" w:hAnsi="Verdana"/>
          <w:sz w:val="20"/>
          <w:szCs w:val="20"/>
        </w:rPr>
        <w:lastRenderedPageBreak/>
        <w:t>Amsterdam, the Netherlands</w:t>
      </w:r>
    </w:p>
    <w:sdt>
      <w:sdtPr>
        <w:alias w:val="Contract Express"/>
        <w:tag w:val="d=BuyBackDateOfAnnouncement&amp;r="/>
        <w:id w:val="93825884"/>
      </w:sdtPr>
      <w:sdtEndPr/>
      <w:sdtContent>
        <w:p w14:paraId="0BE3166D" w14:textId="43257B9A" w:rsidR="005E503D" w:rsidRDefault="00F5480A">
          <w:pPr>
            <w:pStyle w:val="AODocTxt"/>
            <w:spacing w:before="0"/>
            <w:rPr>
              <w:rFonts w:ascii="Verdana" w:hAnsi="Verdana"/>
              <w:sz w:val="20"/>
              <w:szCs w:val="20"/>
            </w:rPr>
          </w:pPr>
          <w:r>
            <w:rPr>
              <w:rFonts w:ascii="Verdana" w:hAnsi="Verdana"/>
              <w:sz w:val="20"/>
              <w:szCs w:val="20"/>
            </w:rPr>
            <w:t>21</w:t>
          </w:r>
          <w:r w:rsidR="00D74A76">
            <w:rPr>
              <w:rFonts w:ascii="Verdana" w:hAnsi="Verdana"/>
              <w:sz w:val="20"/>
              <w:szCs w:val="20"/>
            </w:rPr>
            <w:t xml:space="preserve"> October 202</w:t>
          </w:r>
          <w:r>
            <w:rPr>
              <w:rFonts w:ascii="Verdana" w:hAnsi="Verdana"/>
              <w:sz w:val="20"/>
              <w:szCs w:val="20"/>
            </w:rPr>
            <w:t>5</w:t>
          </w:r>
        </w:p>
      </w:sdtContent>
    </w:sdt>
    <w:p w14:paraId="163C73E1" w14:textId="77777777" w:rsidR="00980343" w:rsidRDefault="00980343" w:rsidP="00980343">
      <w:pPr>
        <w:pStyle w:val="AODocTxt"/>
        <w:spacing w:before="0" w:line="240" w:lineRule="auto"/>
        <w:rPr>
          <w:rFonts w:ascii="Verdana" w:hAnsi="Verdana"/>
          <w:sz w:val="20"/>
          <w:szCs w:val="20"/>
        </w:rPr>
      </w:pPr>
    </w:p>
    <w:p w14:paraId="2DE924CC" w14:textId="4913C369" w:rsidR="00980343" w:rsidRDefault="00980343" w:rsidP="008F2122">
      <w:pPr>
        <w:pStyle w:val="AODocTxt"/>
        <w:spacing w:before="0" w:line="240" w:lineRule="auto"/>
        <w:rPr>
          <w:rFonts w:ascii="Verdana" w:hAnsi="Verdana"/>
          <w:sz w:val="20"/>
          <w:szCs w:val="20"/>
        </w:rPr>
      </w:pPr>
      <w:r>
        <w:rPr>
          <w:rFonts w:ascii="Verdana" w:hAnsi="Verdana"/>
          <w:sz w:val="20"/>
          <w:szCs w:val="20"/>
        </w:rPr>
        <w:t>Euronext Listing agent and Paying agent</w:t>
      </w:r>
    </w:p>
    <w:p w14:paraId="2E847DAA" w14:textId="77777777" w:rsidR="00980343" w:rsidRDefault="00980343" w:rsidP="008F2122">
      <w:pPr>
        <w:pStyle w:val="AODocTxt"/>
        <w:spacing w:before="0" w:line="240" w:lineRule="auto"/>
        <w:rPr>
          <w:rFonts w:ascii="Verdana" w:hAnsi="Verdana"/>
          <w:sz w:val="20"/>
          <w:szCs w:val="20"/>
        </w:rPr>
      </w:pPr>
      <w:r>
        <w:rPr>
          <w:rFonts w:ascii="Verdana" w:hAnsi="Verdana"/>
          <w:sz w:val="20"/>
          <w:szCs w:val="20"/>
        </w:rPr>
        <w:t>ING Bank N.V.</w:t>
      </w:r>
    </w:p>
    <w:p w14:paraId="4B38CCE3" w14:textId="4B664C28" w:rsidR="003F650E" w:rsidRDefault="003F650E" w:rsidP="003F650E">
      <w:pPr>
        <w:pStyle w:val="AODocTxt"/>
        <w:rPr>
          <w:rFonts w:ascii="Verdana" w:hAnsi="Verdana"/>
          <w:sz w:val="20"/>
          <w:szCs w:val="20"/>
        </w:rPr>
      </w:pPr>
      <w:r>
        <w:rPr>
          <w:rFonts w:ascii="Verdana" w:hAnsi="Verdana"/>
          <w:sz w:val="20"/>
          <w:szCs w:val="20"/>
        </w:rPr>
        <w:t>JSE sponsor to Prosus</w:t>
      </w:r>
    </w:p>
    <w:p w14:paraId="5D190445" w14:textId="77777777" w:rsidR="003F650E" w:rsidRDefault="003F650E" w:rsidP="003F650E">
      <w:pPr>
        <w:pStyle w:val="AODocTxt"/>
        <w:spacing w:before="0"/>
        <w:rPr>
          <w:rFonts w:ascii="Verdana" w:hAnsi="Verdana"/>
          <w:sz w:val="20"/>
          <w:szCs w:val="20"/>
        </w:rPr>
      </w:pPr>
      <w:r>
        <w:rPr>
          <w:rFonts w:ascii="Verdana" w:hAnsi="Verdana"/>
          <w:sz w:val="20"/>
          <w:szCs w:val="20"/>
        </w:rPr>
        <w:t>Investec Bank Limited</w:t>
      </w:r>
    </w:p>
    <w:p w14:paraId="23C5A2CF" w14:textId="77777777" w:rsidR="003F650E" w:rsidRDefault="003F650E" w:rsidP="003F650E">
      <w:pPr>
        <w:suppressAutoHyphens/>
        <w:jc w:val="both"/>
        <w:rPr>
          <w:rFonts w:ascii="Calibri" w:eastAsia="Arial" w:hAnsi="Calibri" w:cs="Calibri"/>
          <w:lang w:eastAsia="en-GB"/>
        </w:rPr>
      </w:pPr>
    </w:p>
    <w:p w14:paraId="1FC313DB" w14:textId="77777777" w:rsidR="00AA2FB7" w:rsidRDefault="00AA2FB7" w:rsidP="00AA2F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AA2FB7" w14:paraId="124A6319" w14:textId="77777777" w:rsidTr="00CF6E98">
        <w:tc>
          <w:tcPr>
            <w:tcW w:w="4815" w:type="dxa"/>
            <w:tcBorders>
              <w:top w:val="nil"/>
              <w:left w:val="nil"/>
              <w:bottom w:val="nil"/>
              <w:right w:val="nil"/>
            </w:tcBorders>
            <w:hideMark/>
          </w:tcPr>
          <w:p w14:paraId="19DD84EA" w14:textId="77777777" w:rsidR="00AA2FB7" w:rsidRPr="005431FA" w:rsidRDefault="00AA2FB7" w:rsidP="00CF6E98">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6240BC01" w14:textId="77777777" w:rsidR="00AA2FB7" w:rsidRDefault="00AA2FB7" w:rsidP="00CF6E98">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687958A3" w14:textId="77777777" w:rsidR="00AA2FB7" w:rsidRDefault="00AA2FB7" w:rsidP="00CF6E98">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AA2FB7" w14:paraId="1B45139E" w14:textId="77777777" w:rsidTr="00CF6E98">
        <w:trPr>
          <w:trHeight w:val="110"/>
        </w:trPr>
        <w:tc>
          <w:tcPr>
            <w:tcW w:w="4815" w:type="dxa"/>
            <w:tcBorders>
              <w:top w:val="nil"/>
              <w:left w:val="nil"/>
              <w:bottom w:val="nil"/>
              <w:right w:val="nil"/>
            </w:tcBorders>
            <w:hideMark/>
          </w:tcPr>
          <w:p w14:paraId="4AC86F8D" w14:textId="77777777" w:rsidR="00AA2FB7" w:rsidRPr="00B60C2F" w:rsidRDefault="00AA2FB7" w:rsidP="00CF6E98">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066C5A47" w14:textId="77777777" w:rsidR="00AA2FB7" w:rsidRPr="00C6670E" w:rsidRDefault="00AA2FB7" w:rsidP="00CF6E98">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05D01868" w14:textId="77777777" w:rsidR="00AA2FB7" w:rsidRDefault="00AA2FB7" w:rsidP="00CF6E98">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440E52F7" w14:textId="77777777" w:rsidR="00AA2FB7" w:rsidRDefault="00AA2FB7" w:rsidP="00AA2FB7">
      <w:pPr>
        <w:suppressAutoHyphens/>
        <w:rPr>
          <w:rFonts w:ascii="Verdana" w:eastAsia="Verdana" w:hAnsi="Verdana" w:cs="Verdana"/>
          <w:b/>
          <w:color w:val="000000"/>
          <w:sz w:val="20"/>
          <w:szCs w:val="20"/>
          <w:lang w:eastAsia="en-GB"/>
        </w:rPr>
      </w:pPr>
    </w:p>
    <w:p w14:paraId="74919AE7" w14:textId="77777777" w:rsidR="00AA2FB7" w:rsidRDefault="00AA2FB7" w:rsidP="00AA2FB7">
      <w:pPr>
        <w:keepNext/>
        <w:spacing w:after="160" w:line="256" w:lineRule="auto"/>
        <w:jc w:val="both"/>
        <w:rPr>
          <w:rFonts w:ascii="Calibri" w:eastAsia="Calibri" w:hAnsi="Calibri" w:cs="Arial"/>
          <w:b/>
          <w:bCs/>
          <w:i/>
          <w:iCs/>
          <w:color w:val="000000"/>
          <w:sz w:val="16"/>
          <w:szCs w:val="16"/>
          <w:lang w:val="en-US"/>
        </w:rPr>
      </w:pPr>
      <w:bookmarkStart w:id="3" w:name="_Hlk179556295"/>
      <w:r>
        <w:rPr>
          <w:rFonts w:ascii="Calibri" w:eastAsia="Calibri" w:hAnsi="Calibri" w:cs="Arial"/>
          <w:b/>
          <w:bCs/>
          <w:i/>
          <w:iCs/>
          <w:color w:val="000000"/>
          <w:sz w:val="16"/>
          <w:szCs w:val="16"/>
          <w:lang w:val="en-US"/>
        </w:rPr>
        <w:t>About Prosus</w:t>
      </w:r>
    </w:p>
    <w:bookmarkEnd w:id="3"/>
    <w:p w14:paraId="10F09392" w14:textId="77777777" w:rsidR="00AA2FB7" w:rsidRPr="00FD75AB" w:rsidRDefault="00AA2FB7" w:rsidP="00AA2F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785A010E" w14:textId="77777777" w:rsidR="00AA2FB7" w:rsidRPr="00FD75AB" w:rsidRDefault="00AA2FB7" w:rsidP="00AA2F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2FE77F0E" w14:textId="77777777" w:rsidR="00AA2FB7" w:rsidRPr="00FD75AB" w:rsidRDefault="00AA2FB7" w:rsidP="00AA2F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5F02176C" w14:textId="77777777" w:rsidR="00AA2FB7" w:rsidRPr="00FD75AB" w:rsidRDefault="00AA2FB7" w:rsidP="00AA2F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6E49742E" w14:textId="77777777" w:rsidR="00AA2FB7" w:rsidRPr="00FD75AB" w:rsidRDefault="00AA2FB7" w:rsidP="00AA2F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0BE31688" w14:textId="4A12B865" w:rsidR="005E503D" w:rsidRDefault="005E503D" w:rsidP="00AA2FB7">
      <w:pPr>
        <w:spacing w:after="160" w:line="256" w:lineRule="auto"/>
        <w:jc w:val="both"/>
        <w:textAlignment w:val="baseline"/>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8090" w14:textId="77777777" w:rsidR="00B33E1E" w:rsidRDefault="00B33E1E">
      <w:r>
        <w:separator/>
      </w:r>
    </w:p>
  </w:endnote>
  <w:endnote w:type="continuationSeparator" w:id="0">
    <w:p w14:paraId="46573574" w14:textId="77777777" w:rsidR="00B33E1E" w:rsidRDefault="00B3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C565D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C63C" w14:textId="77777777" w:rsidR="00B33E1E" w:rsidRDefault="00B33E1E">
      <w:r>
        <w:separator/>
      </w:r>
    </w:p>
  </w:footnote>
  <w:footnote w:type="continuationSeparator" w:id="0">
    <w:p w14:paraId="19CC4507" w14:textId="77777777" w:rsidR="00B33E1E" w:rsidRDefault="00B33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F212950"/>
    <w:multiLevelType w:val="hybridMultilevel"/>
    <w:tmpl w:val="365E3860"/>
    <w:lvl w:ilvl="0" w:tplc="25CC4500">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29E20C1D"/>
    <w:multiLevelType w:val="hybridMultilevel"/>
    <w:tmpl w:val="8A020154"/>
    <w:lvl w:ilvl="0" w:tplc="25CC4500">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D8750B3"/>
    <w:multiLevelType w:val="hybridMultilevel"/>
    <w:tmpl w:val="62E8F9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7" w15:restartNumberingAfterBreak="0">
    <w:nsid w:val="36397557"/>
    <w:multiLevelType w:val="hybridMultilevel"/>
    <w:tmpl w:val="AE322056"/>
    <w:lvl w:ilvl="0" w:tplc="CC86B324">
      <w:start w:val="1"/>
      <w:numFmt w:val="bullet"/>
      <w:lvlText w:val=""/>
      <w:lvlJc w:val="left"/>
      <w:pPr>
        <w:ind w:left="720" w:hanging="360"/>
      </w:pPr>
      <w:rPr>
        <w:rFonts w:ascii="Symbol" w:hAnsi="Symbol" w:hint="default"/>
      </w:rPr>
    </w:lvl>
    <w:lvl w:ilvl="1" w:tplc="2410E4AC" w:tentative="1">
      <w:start w:val="1"/>
      <w:numFmt w:val="bullet"/>
      <w:lvlText w:val="o"/>
      <w:lvlJc w:val="left"/>
      <w:pPr>
        <w:ind w:left="1440" w:hanging="360"/>
      </w:pPr>
      <w:rPr>
        <w:rFonts w:ascii="Courier New" w:hAnsi="Courier New" w:cs="Courier New" w:hint="default"/>
      </w:rPr>
    </w:lvl>
    <w:lvl w:ilvl="2" w:tplc="572214C8" w:tentative="1">
      <w:start w:val="1"/>
      <w:numFmt w:val="bullet"/>
      <w:lvlText w:val=""/>
      <w:lvlJc w:val="left"/>
      <w:pPr>
        <w:ind w:left="2160" w:hanging="360"/>
      </w:pPr>
      <w:rPr>
        <w:rFonts w:ascii="Wingdings" w:hAnsi="Wingdings" w:hint="default"/>
      </w:rPr>
    </w:lvl>
    <w:lvl w:ilvl="3" w:tplc="898C4126" w:tentative="1">
      <w:start w:val="1"/>
      <w:numFmt w:val="bullet"/>
      <w:lvlText w:val=""/>
      <w:lvlJc w:val="left"/>
      <w:pPr>
        <w:ind w:left="2880" w:hanging="360"/>
      </w:pPr>
      <w:rPr>
        <w:rFonts w:ascii="Symbol" w:hAnsi="Symbol" w:hint="default"/>
      </w:rPr>
    </w:lvl>
    <w:lvl w:ilvl="4" w:tplc="D6D68F3A" w:tentative="1">
      <w:start w:val="1"/>
      <w:numFmt w:val="bullet"/>
      <w:lvlText w:val="o"/>
      <w:lvlJc w:val="left"/>
      <w:pPr>
        <w:ind w:left="3600" w:hanging="360"/>
      </w:pPr>
      <w:rPr>
        <w:rFonts w:ascii="Courier New" w:hAnsi="Courier New" w:cs="Courier New" w:hint="default"/>
      </w:rPr>
    </w:lvl>
    <w:lvl w:ilvl="5" w:tplc="0AD867B6" w:tentative="1">
      <w:start w:val="1"/>
      <w:numFmt w:val="bullet"/>
      <w:lvlText w:val=""/>
      <w:lvlJc w:val="left"/>
      <w:pPr>
        <w:ind w:left="4320" w:hanging="360"/>
      </w:pPr>
      <w:rPr>
        <w:rFonts w:ascii="Wingdings" w:hAnsi="Wingdings" w:hint="default"/>
      </w:rPr>
    </w:lvl>
    <w:lvl w:ilvl="6" w:tplc="25186CBA" w:tentative="1">
      <w:start w:val="1"/>
      <w:numFmt w:val="bullet"/>
      <w:lvlText w:val=""/>
      <w:lvlJc w:val="left"/>
      <w:pPr>
        <w:ind w:left="5040" w:hanging="360"/>
      </w:pPr>
      <w:rPr>
        <w:rFonts w:ascii="Symbol" w:hAnsi="Symbol" w:hint="default"/>
      </w:rPr>
    </w:lvl>
    <w:lvl w:ilvl="7" w:tplc="88E2C6FA" w:tentative="1">
      <w:start w:val="1"/>
      <w:numFmt w:val="bullet"/>
      <w:lvlText w:val="o"/>
      <w:lvlJc w:val="left"/>
      <w:pPr>
        <w:ind w:left="5760" w:hanging="360"/>
      </w:pPr>
      <w:rPr>
        <w:rFonts w:ascii="Courier New" w:hAnsi="Courier New" w:cs="Courier New" w:hint="default"/>
      </w:rPr>
    </w:lvl>
    <w:lvl w:ilvl="8" w:tplc="ED2431C4" w:tentative="1">
      <w:start w:val="1"/>
      <w:numFmt w:val="bullet"/>
      <w:lvlText w:val=""/>
      <w:lvlJc w:val="left"/>
      <w:pPr>
        <w:ind w:left="6480" w:hanging="360"/>
      </w:pPr>
      <w:rPr>
        <w:rFonts w:ascii="Wingdings" w:hAnsi="Wingdings" w:hint="default"/>
      </w:rPr>
    </w:lvl>
  </w:abstractNum>
  <w:abstractNum w:abstractNumId="8"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2"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4B11128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6"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15:restartNumberingAfterBreak="0">
    <w:nsid w:val="4F554316"/>
    <w:multiLevelType w:val="hybridMultilevel"/>
    <w:tmpl w:val="2200D6AE"/>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9" w15:restartNumberingAfterBreak="0">
    <w:nsid w:val="623B46C7"/>
    <w:multiLevelType w:val="hybridMultilevel"/>
    <w:tmpl w:val="83583188"/>
    <w:lvl w:ilvl="0" w:tplc="7ECA8C44">
      <w:start w:val="1"/>
      <w:numFmt w:val="decimal"/>
      <w:lvlText w:val="%1"/>
      <w:lvlJc w:val="left"/>
      <w:pPr>
        <w:ind w:left="840" w:hanging="48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1"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3"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3BA027E"/>
    <w:multiLevelType w:val="hybridMultilevel"/>
    <w:tmpl w:val="7368D656"/>
    <w:lvl w:ilvl="0" w:tplc="25CC4500">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6"/>
  </w:num>
  <w:num w:numId="2" w16cid:durableId="1858038158">
    <w:abstractNumId w:val="15"/>
  </w:num>
  <w:num w:numId="3" w16cid:durableId="861288154">
    <w:abstractNumId w:val="20"/>
  </w:num>
  <w:num w:numId="4" w16cid:durableId="942763838">
    <w:abstractNumId w:val="25"/>
  </w:num>
  <w:num w:numId="5" w16cid:durableId="982125977">
    <w:abstractNumId w:val="10"/>
  </w:num>
  <w:num w:numId="6" w16cid:durableId="1648969041">
    <w:abstractNumId w:val="12"/>
  </w:num>
  <w:num w:numId="7" w16cid:durableId="255675084">
    <w:abstractNumId w:val="22"/>
  </w:num>
  <w:num w:numId="8" w16cid:durableId="926580198">
    <w:abstractNumId w:val="0"/>
  </w:num>
  <w:num w:numId="9" w16cid:durableId="529294735">
    <w:abstractNumId w:val="13"/>
  </w:num>
  <w:num w:numId="10" w16cid:durableId="1082066787">
    <w:abstractNumId w:val="9"/>
  </w:num>
  <w:num w:numId="11" w16cid:durableId="1282608523">
    <w:abstractNumId w:val="6"/>
  </w:num>
  <w:num w:numId="12" w16cid:durableId="536281450">
    <w:abstractNumId w:val="3"/>
  </w:num>
  <w:num w:numId="13" w16cid:durableId="683023282">
    <w:abstractNumId w:val="23"/>
  </w:num>
  <w:num w:numId="14" w16cid:durableId="514267943">
    <w:abstractNumId w:val="11"/>
  </w:num>
  <w:num w:numId="15" w16cid:durableId="1897666252">
    <w:abstractNumId w:val="18"/>
  </w:num>
  <w:num w:numId="16" w16cid:durableId="1113209281">
    <w:abstractNumId w:val="8"/>
  </w:num>
  <w:num w:numId="17" w16cid:durableId="480846910">
    <w:abstractNumId w:val="21"/>
  </w:num>
  <w:num w:numId="18" w16cid:durableId="1891720936">
    <w:abstractNumId w:val="2"/>
  </w:num>
  <w:num w:numId="19" w16cid:durableId="1825705793">
    <w:abstractNumId w:val="6"/>
  </w:num>
  <w:num w:numId="20" w16cid:durableId="1339775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7"/>
  </w:num>
  <w:num w:numId="22" w16cid:durableId="1820923872">
    <w:abstractNumId w:val="17"/>
  </w:num>
  <w:num w:numId="23" w16cid:durableId="1840657107">
    <w:abstractNumId w:val="4"/>
  </w:num>
  <w:num w:numId="24" w16cid:durableId="516623386">
    <w:abstractNumId w:val="24"/>
  </w:num>
  <w:num w:numId="25" w16cid:durableId="1981180281">
    <w:abstractNumId w:val="1"/>
  </w:num>
  <w:num w:numId="26" w16cid:durableId="523399553">
    <w:abstractNumId w:val="5"/>
  </w:num>
  <w:num w:numId="27" w16cid:durableId="842432482">
    <w:abstractNumId w:val="14"/>
  </w:num>
  <w:num w:numId="28" w16cid:durableId="3730400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F8"/>
    <w:rsid w:val="00001B8A"/>
    <w:rsid w:val="00005636"/>
    <w:rsid w:val="000068A6"/>
    <w:rsid w:val="000126F6"/>
    <w:rsid w:val="00014888"/>
    <w:rsid w:val="000154E4"/>
    <w:rsid w:val="000209FD"/>
    <w:rsid w:val="00025EC3"/>
    <w:rsid w:val="00032F94"/>
    <w:rsid w:val="000470A0"/>
    <w:rsid w:val="0006060F"/>
    <w:rsid w:val="000734A7"/>
    <w:rsid w:val="000929DB"/>
    <w:rsid w:val="00094DDF"/>
    <w:rsid w:val="000A03C8"/>
    <w:rsid w:val="000A1E69"/>
    <w:rsid w:val="000B4C1D"/>
    <w:rsid w:val="000D5CB2"/>
    <w:rsid w:val="000E56CB"/>
    <w:rsid w:val="000F3E6B"/>
    <w:rsid w:val="0011408E"/>
    <w:rsid w:val="00124BDF"/>
    <w:rsid w:val="0014070C"/>
    <w:rsid w:val="001426F9"/>
    <w:rsid w:val="00165E35"/>
    <w:rsid w:val="00175822"/>
    <w:rsid w:val="001D14FE"/>
    <w:rsid w:val="001D5552"/>
    <w:rsid w:val="001E11A0"/>
    <w:rsid w:val="001E3BCB"/>
    <w:rsid w:val="001F0FF0"/>
    <w:rsid w:val="0020067E"/>
    <w:rsid w:val="00275BCC"/>
    <w:rsid w:val="00296B11"/>
    <w:rsid w:val="002A0361"/>
    <w:rsid w:val="002C180F"/>
    <w:rsid w:val="002C1DB3"/>
    <w:rsid w:val="002C6B31"/>
    <w:rsid w:val="002F3217"/>
    <w:rsid w:val="0031212B"/>
    <w:rsid w:val="003214E0"/>
    <w:rsid w:val="00324711"/>
    <w:rsid w:val="00324F97"/>
    <w:rsid w:val="00326238"/>
    <w:rsid w:val="0036514E"/>
    <w:rsid w:val="0037608C"/>
    <w:rsid w:val="0038161B"/>
    <w:rsid w:val="00384293"/>
    <w:rsid w:val="0039204A"/>
    <w:rsid w:val="00396EEA"/>
    <w:rsid w:val="003B235D"/>
    <w:rsid w:val="003E4C9F"/>
    <w:rsid w:val="003E6CF8"/>
    <w:rsid w:val="003F650E"/>
    <w:rsid w:val="00412E76"/>
    <w:rsid w:val="00440734"/>
    <w:rsid w:val="0045492D"/>
    <w:rsid w:val="00492751"/>
    <w:rsid w:val="00495C76"/>
    <w:rsid w:val="004A7F17"/>
    <w:rsid w:val="004D222A"/>
    <w:rsid w:val="004E3EC8"/>
    <w:rsid w:val="004F57B4"/>
    <w:rsid w:val="00507AFF"/>
    <w:rsid w:val="005279BE"/>
    <w:rsid w:val="005454D0"/>
    <w:rsid w:val="00547058"/>
    <w:rsid w:val="00551365"/>
    <w:rsid w:val="00553406"/>
    <w:rsid w:val="0055362A"/>
    <w:rsid w:val="00576701"/>
    <w:rsid w:val="005850D8"/>
    <w:rsid w:val="00586AE8"/>
    <w:rsid w:val="005A22C9"/>
    <w:rsid w:val="005C02C1"/>
    <w:rsid w:val="005D76D6"/>
    <w:rsid w:val="005E503D"/>
    <w:rsid w:val="005E62FC"/>
    <w:rsid w:val="00604AE6"/>
    <w:rsid w:val="00624E13"/>
    <w:rsid w:val="006259EF"/>
    <w:rsid w:val="00671B31"/>
    <w:rsid w:val="0068441F"/>
    <w:rsid w:val="006A10E3"/>
    <w:rsid w:val="006A2FAC"/>
    <w:rsid w:val="006A7A12"/>
    <w:rsid w:val="006B35BB"/>
    <w:rsid w:val="006C5D10"/>
    <w:rsid w:val="006D7E8A"/>
    <w:rsid w:val="006E1E38"/>
    <w:rsid w:val="006F1FDA"/>
    <w:rsid w:val="006F358B"/>
    <w:rsid w:val="006F65BF"/>
    <w:rsid w:val="00723FEF"/>
    <w:rsid w:val="007430BA"/>
    <w:rsid w:val="0075305E"/>
    <w:rsid w:val="00756940"/>
    <w:rsid w:val="007676CA"/>
    <w:rsid w:val="0078387A"/>
    <w:rsid w:val="00791740"/>
    <w:rsid w:val="007942AE"/>
    <w:rsid w:val="007B454E"/>
    <w:rsid w:val="007B6AB5"/>
    <w:rsid w:val="007E2ABB"/>
    <w:rsid w:val="007F06ED"/>
    <w:rsid w:val="007F34EB"/>
    <w:rsid w:val="00802BDF"/>
    <w:rsid w:val="008071B3"/>
    <w:rsid w:val="00810531"/>
    <w:rsid w:val="00827360"/>
    <w:rsid w:val="0083076B"/>
    <w:rsid w:val="00860090"/>
    <w:rsid w:val="008630F3"/>
    <w:rsid w:val="00872827"/>
    <w:rsid w:val="0087426C"/>
    <w:rsid w:val="008816DF"/>
    <w:rsid w:val="0088395D"/>
    <w:rsid w:val="00883D47"/>
    <w:rsid w:val="00894A18"/>
    <w:rsid w:val="008F2122"/>
    <w:rsid w:val="00915F45"/>
    <w:rsid w:val="009167C5"/>
    <w:rsid w:val="00942E7B"/>
    <w:rsid w:val="009470AB"/>
    <w:rsid w:val="0095725C"/>
    <w:rsid w:val="009624AC"/>
    <w:rsid w:val="00976E14"/>
    <w:rsid w:val="00980343"/>
    <w:rsid w:val="00986D91"/>
    <w:rsid w:val="009922D3"/>
    <w:rsid w:val="00992A01"/>
    <w:rsid w:val="00997328"/>
    <w:rsid w:val="009B0CE3"/>
    <w:rsid w:val="00A042E2"/>
    <w:rsid w:val="00A138B9"/>
    <w:rsid w:val="00A305D6"/>
    <w:rsid w:val="00A3073C"/>
    <w:rsid w:val="00A316CC"/>
    <w:rsid w:val="00A50FCE"/>
    <w:rsid w:val="00A513D8"/>
    <w:rsid w:val="00A5299B"/>
    <w:rsid w:val="00AA2FB7"/>
    <w:rsid w:val="00AB46EE"/>
    <w:rsid w:val="00AC474A"/>
    <w:rsid w:val="00AC60B1"/>
    <w:rsid w:val="00AF659C"/>
    <w:rsid w:val="00B025A6"/>
    <w:rsid w:val="00B33752"/>
    <w:rsid w:val="00B33E1E"/>
    <w:rsid w:val="00B52AF6"/>
    <w:rsid w:val="00B60FFB"/>
    <w:rsid w:val="00B73518"/>
    <w:rsid w:val="00B91C34"/>
    <w:rsid w:val="00BA2793"/>
    <w:rsid w:val="00BB23F8"/>
    <w:rsid w:val="00BC0CD4"/>
    <w:rsid w:val="00BF2A75"/>
    <w:rsid w:val="00BF6B7D"/>
    <w:rsid w:val="00C0666A"/>
    <w:rsid w:val="00C20818"/>
    <w:rsid w:val="00C23B87"/>
    <w:rsid w:val="00C565D2"/>
    <w:rsid w:val="00C67115"/>
    <w:rsid w:val="00C848C1"/>
    <w:rsid w:val="00C94542"/>
    <w:rsid w:val="00C967C9"/>
    <w:rsid w:val="00CB1A91"/>
    <w:rsid w:val="00CC6CC7"/>
    <w:rsid w:val="00CE3EDA"/>
    <w:rsid w:val="00CF1C0E"/>
    <w:rsid w:val="00D03089"/>
    <w:rsid w:val="00D3348B"/>
    <w:rsid w:val="00D4042D"/>
    <w:rsid w:val="00D610D2"/>
    <w:rsid w:val="00D66CD3"/>
    <w:rsid w:val="00D74A76"/>
    <w:rsid w:val="00D85485"/>
    <w:rsid w:val="00DB2ADA"/>
    <w:rsid w:val="00DF1B07"/>
    <w:rsid w:val="00E01D62"/>
    <w:rsid w:val="00E035B8"/>
    <w:rsid w:val="00E3480D"/>
    <w:rsid w:val="00E476B9"/>
    <w:rsid w:val="00E530FD"/>
    <w:rsid w:val="00E72BC4"/>
    <w:rsid w:val="00E74D9A"/>
    <w:rsid w:val="00E76054"/>
    <w:rsid w:val="00E80250"/>
    <w:rsid w:val="00E921D9"/>
    <w:rsid w:val="00EA039D"/>
    <w:rsid w:val="00EC3C74"/>
    <w:rsid w:val="00EC46D8"/>
    <w:rsid w:val="00EC6DFA"/>
    <w:rsid w:val="00ED0182"/>
    <w:rsid w:val="00EE35A5"/>
    <w:rsid w:val="00EF1213"/>
    <w:rsid w:val="00F02453"/>
    <w:rsid w:val="00F11098"/>
    <w:rsid w:val="00F303B5"/>
    <w:rsid w:val="00F4009A"/>
    <w:rsid w:val="00F5480A"/>
    <w:rsid w:val="00F677B8"/>
    <w:rsid w:val="00F70A9E"/>
    <w:rsid w:val="00F86158"/>
    <w:rsid w:val="00F86BF0"/>
    <w:rsid w:val="00F9415D"/>
    <w:rsid w:val="00F95138"/>
    <w:rsid w:val="00FB163A"/>
    <w:rsid w:val="00FC0CC0"/>
    <w:rsid w:val="00FC68AA"/>
    <w:rsid w:val="00FD4E5C"/>
    <w:rsid w:val="00FE0F36"/>
    <w:rsid w:val="00FF532C"/>
    <w:rsid w:val="41843B5A"/>
    <w:rsid w:val="4D0F5986"/>
    <w:rsid w:val="541D47A3"/>
    <w:rsid w:val="5A0B6B56"/>
    <w:rsid w:val="6431C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paragraph" w:styleId="ListParagraph">
    <w:name w:val="List Paragraph"/>
    <w:basedOn w:val="Normal"/>
    <w:uiPriority w:val="34"/>
    <w:qFormat/>
    <w:rsid w:val="002F3217"/>
    <w:pPr>
      <w:ind w:left="720"/>
      <w:contextualSpacing/>
    </w:pPr>
    <w:rPr>
      <w:rFonts w:ascii="Calibri" w:hAnsi="Calibri" w:cs="Calibri"/>
      <w:lang w:val="en-US"/>
    </w:rPr>
  </w:style>
  <w:style w:type="table" w:styleId="GridTable1Light">
    <w:name w:val="Grid Table 1 Light"/>
    <w:basedOn w:val="TableNormal"/>
    <w:uiPriority w:val="46"/>
    <w:rsid w:val="002F321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976E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73C6EA96-3506-4E65-A924-7768B5864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Prosus - Buyback announcement - 23 September 2024 - 27 September 2024</vt:lpstr>
    </vt:vector>
  </TitlesOfParts>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- 23 September 2024 - 27 September 2024</dc:title>
  <dc:creator>Serge de Reus</dc:creator>
  <cp:lastModifiedBy>Tonilee Lutz</cp:lastModifiedBy>
  <cp:revision>10</cp:revision>
  <dcterms:created xsi:type="dcterms:W3CDTF">2025-10-20T14:55:00Z</dcterms:created>
  <dcterms:modified xsi:type="dcterms:W3CDTF">2025-10-21T06:39:00Z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AAAAAAAYQzU=</vt:lpwstr>
  </property>
  <property fmtid="{D5CDD505-2E9C-101B-9397-08002B2CF9AE}" pid="4" name="db_document_id">
    <vt:lpwstr>12613</vt:lpwstr>
  </property>
  <property fmtid="{D5CDD505-2E9C-101B-9397-08002B2CF9AE}" pid="5" name="MediaServiceImageTags">
    <vt:lpwstr/>
  </property>
  <property fmtid="{D5CDD505-2E9C-101B-9397-08002B2CF9AE}" pid="6" name="GrammarlyDocumentId">
    <vt:lpwstr>8e28000b-ad19-4565-83c8-9037138c8b80</vt:lpwstr>
  </property>
</Properties>
</file>