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A144" w14:textId="77777777" w:rsidR="00BE5FF8" w:rsidRPr="00547054" w:rsidRDefault="00BE5FF8" w:rsidP="00547054">
      <w:pPr>
        <w:pStyle w:val="Title16"/>
        <w:spacing w:line="276" w:lineRule="auto"/>
        <w:rPr>
          <w:rFonts w:ascii="Verdana" w:eastAsia="MS Mincho" w:hAnsi="Verdana" w:cs="Calibri"/>
          <w:sz w:val="22"/>
          <w:szCs w:val="22"/>
        </w:rPr>
      </w:pPr>
    </w:p>
    <w:p w14:paraId="55996812" w14:textId="77777777" w:rsidR="00BE5FF8" w:rsidRPr="00547054" w:rsidRDefault="00BE5FF8" w:rsidP="00547054">
      <w:pPr>
        <w:pStyle w:val="Title16"/>
        <w:spacing w:line="276" w:lineRule="auto"/>
        <w:rPr>
          <w:rFonts w:ascii="Verdana" w:eastAsia="MS Mincho" w:hAnsi="Verdana" w:cs="Calibri"/>
          <w:sz w:val="22"/>
          <w:szCs w:val="22"/>
        </w:rPr>
      </w:pPr>
    </w:p>
    <w:p w14:paraId="793A677C" w14:textId="77777777" w:rsidR="00BE5FF8" w:rsidRPr="00547054" w:rsidRDefault="00BE5FF8" w:rsidP="00547054">
      <w:pPr>
        <w:pStyle w:val="Title16"/>
        <w:spacing w:line="276" w:lineRule="auto"/>
        <w:rPr>
          <w:rFonts w:ascii="Verdana" w:eastAsia="MS Mincho" w:hAnsi="Verdana" w:cs="Calibri"/>
          <w:sz w:val="22"/>
          <w:szCs w:val="22"/>
        </w:rPr>
      </w:pPr>
    </w:p>
    <w:p w14:paraId="50A0F4EF" w14:textId="77777777" w:rsidR="00BE5FF8" w:rsidRPr="00547054" w:rsidRDefault="00BE5FF8" w:rsidP="00547054">
      <w:pPr>
        <w:pStyle w:val="Title16"/>
        <w:spacing w:line="276" w:lineRule="auto"/>
        <w:rPr>
          <w:rFonts w:ascii="Verdana" w:eastAsia="MS Mincho" w:hAnsi="Verdana" w:cs="Calibri"/>
          <w:sz w:val="20"/>
          <w:szCs w:val="20"/>
        </w:rPr>
      </w:pPr>
    </w:p>
    <w:p w14:paraId="49E15C73" w14:textId="77777777" w:rsidR="00155973" w:rsidRPr="00547054" w:rsidRDefault="00155973" w:rsidP="00547054">
      <w:pPr>
        <w:pStyle w:val="Title16"/>
        <w:spacing w:line="276" w:lineRule="auto"/>
        <w:rPr>
          <w:rFonts w:ascii="Verdana" w:eastAsia="MS Mincho" w:hAnsi="Verdana" w:cs="Calibri"/>
          <w:sz w:val="20"/>
          <w:szCs w:val="20"/>
        </w:rPr>
      </w:pPr>
      <w:r w:rsidRPr="00547054">
        <w:rPr>
          <w:rFonts w:ascii="Verdana" w:eastAsia="MS Mincho" w:hAnsi="Verdana" w:cs="Calibri"/>
          <w:sz w:val="20"/>
          <w:szCs w:val="20"/>
        </w:rPr>
        <w:t>PROSUS N.V.</w:t>
      </w:r>
    </w:p>
    <w:p w14:paraId="65A489A2" w14:textId="77777777" w:rsidR="00155973" w:rsidRPr="00547054" w:rsidRDefault="00155973" w:rsidP="00547054">
      <w:pPr>
        <w:pStyle w:val="Title16"/>
        <w:spacing w:after="0" w:line="276" w:lineRule="auto"/>
        <w:rPr>
          <w:rFonts w:ascii="Verdana" w:eastAsia="MS Mincho" w:hAnsi="Verdana" w:cs="Calibri"/>
          <w:b w:val="0"/>
          <w:sz w:val="20"/>
          <w:szCs w:val="20"/>
        </w:rPr>
      </w:pPr>
      <w:r w:rsidRPr="00547054">
        <w:rPr>
          <w:rFonts w:ascii="Verdana" w:eastAsia="MS Mincho" w:hAnsi="Verdana" w:cs="Calibri"/>
          <w:b w:val="0"/>
          <w:sz w:val="20"/>
          <w:szCs w:val="20"/>
        </w:rPr>
        <w:t>(Incorporated in the Netherlands)</w:t>
      </w:r>
    </w:p>
    <w:p w14:paraId="7440EE3B" w14:textId="77777777" w:rsidR="00155973" w:rsidRPr="00547054" w:rsidRDefault="00155973" w:rsidP="00547054">
      <w:pPr>
        <w:pStyle w:val="Title16"/>
        <w:spacing w:after="0" w:line="276" w:lineRule="auto"/>
        <w:rPr>
          <w:rFonts w:ascii="Verdana" w:eastAsia="MS Mincho" w:hAnsi="Verdana" w:cs="Calibri"/>
          <w:b w:val="0"/>
          <w:sz w:val="20"/>
          <w:szCs w:val="20"/>
        </w:rPr>
      </w:pPr>
      <w:r w:rsidRPr="00547054">
        <w:rPr>
          <w:rFonts w:ascii="Verdana" w:eastAsia="MS Mincho" w:hAnsi="Verdana" w:cs="Calibri"/>
          <w:b w:val="0"/>
          <w:sz w:val="20"/>
          <w:szCs w:val="20"/>
        </w:rPr>
        <w:t>(Legal Entity Identifier: 635400Z5LQ5F9OLVT688)</w:t>
      </w:r>
    </w:p>
    <w:p w14:paraId="7A003A3A" w14:textId="77777777" w:rsidR="00155973" w:rsidRPr="00547054" w:rsidRDefault="00155973" w:rsidP="00547054">
      <w:pPr>
        <w:pStyle w:val="Title16"/>
        <w:spacing w:after="0" w:line="276" w:lineRule="auto"/>
        <w:rPr>
          <w:rFonts w:ascii="Verdana" w:eastAsia="MS Mincho" w:hAnsi="Verdana" w:cs="Calibri"/>
          <w:b w:val="0"/>
          <w:sz w:val="20"/>
          <w:szCs w:val="20"/>
        </w:rPr>
      </w:pPr>
      <w:r w:rsidRPr="00547054">
        <w:rPr>
          <w:rFonts w:ascii="Verdana" w:eastAsia="MS Mincho" w:hAnsi="Verdana" w:cs="Calibri"/>
          <w:b w:val="0"/>
          <w:sz w:val="20"/>
          <w:szCs w:val="20"/>
        </w:rPr>
        <w:t>ISIN: NL0013654783</w:t>
      </w:r>
    </w:p>
    <w:p w14:paraId="75C6B961" w14:textId="77777777" w:rsidR="00155973" w:rsidRPr="00547054" w:rsidRDefault="00155973" w:rsidP="00547054">
      <w:pPr>
        <w:pStyle w:val="Title16"/>
        <w:spacing w:after="0" w:line="276" w:lineRule="auto"/>
        <w:rPr>
          <w:rFonts w:ascii="Verdana" w:eastAsia="MS Mincho" w:hAnsi="Verdana" w:cs="Calibri"/>
          <w:b w:val="0"/>
          <w:sz w:val="20"/>
          <w:szCs w:val="20"/>
        </w:rPr>
      </w:pPr>
      <w:r w:rsidRPr="00547054">
        <w:rPr>
          <w:rFonts w:ascii="Verdana" w:eastAsia="MS Mincho" w:hAnsi="Verdana" w:cs="Calibri"/>
          <w:b w:val="0"/>
          <w:sz w:val="20"/>
          <w:szCs w:val="20"/>
        </w:rPr>
        <w:t>Euronext Amsterdam and JSE Share code: PRX</w:t>
      </w:r>
    </w:p>
    <w:p w14:paraId="63C2B73F" w14:textId="3F073C7A" w:rsidR="00155973" w:rsidRPr="00547054" w:rsidRDefault="00155973" w:rsidP="00547054">
      <w:pPr>
        <w:pStyle w:val="Title16"/>
        <w:spacing w:after="0" w:line="276" w:lineRule="auto"/>
        <w:rPr>
          <w:rFonts w:ascii="Verdana" w:eastAsia="MS Mincho" w:hAnsi="Verdana" w:cs="Calibri"/>
          <w:sz w:val="20"/>
          <w:szCs w:val="20"/>
        </w:rPr>
      </w:pPr>
      <w:r w:rsidRPr="00547054">
        <w:rPr>
          <w:rFonts w:ascii="Verdana" w:eastAsia="MS Mincho" w:hAnsi="Verdana" w:cs="Calibri"/>
          <w:b w:val="0"/>
          <w:sz w:val="20"/>
          <w:szCs w:val="20"/>
        </w:rPr>
        <w:t>(</w:t>
      </w:r>
      <w:r w:rsidRPr="00547054">
        <w:rPr>
          <w:rFonts w:ascii="Verdana" w:eastAsia="MS Mincho" w:hAnsi="Verdana" w:cs="Calibri"/>
          <w:sz w:val="20"/>
          <w:szCs w:val="20"/>
        </w:rPr>
        <w:t xml:space="preserve">Prosus </w:t>
      </w:r>
      <w:r w:rsidRPr="00547054">
        <w:rPr>
          <w:rFonts w:ascii="Verdana" w:eastAsia="MS Mincho" w:hAnsi="Verdana" w:cs="Calibri"/>
          <w:b w:val="0"/>
          <w:sz w:val="20"/>
          <w:szCs w:val="20"/>
        </w:rPr>
        <w:t>or</w:t>
      </w:r>
      <w:r w:rsidRPr="00547054">
        <w:rPr>
          <w:rFonts w:ascii="Verdana" w:eastAsia="MS Mincho" w:hAnsi="Verdana" w:cs="Calibri"/>
          <w:sz w:val="20"/>
          <w:szCs w:val="20"/>
        </w:rPr>
        <w:t xml:space="preserve"> </w:t>
      </w:r>
      <w:r w:rsidRPr="00547054">
        <w:rPr>
          <w:rFonts w:ascii="Verdana" w:eastAsia="MS Mincho" w:hAnsi="Verdana" w:cs="Calibri"/>
          <w:b w:val="0"/>
          <w:sz w:val="20"/>
          <w:szCs w:val="20"/>
        </w:rPr>
        <w:t xml:space="preserve">the </w:t>
      </w:r>
      <w:r w:rsidR="00024BB0" w:rsidRPr="00547054">
        <w:rPr>
          <w:rFonts w:ascii="Verdana" w:eastAsia="MS Mincho" w:hAnsi="Verdana" w:cs="Calibri"/>
          <w:sz w:val="20"/>
          <w:szCs w:val="20"/>
        </w:rPr>
        <w:t>c</w:t>
      </w:r>
      <w:r w:rsidRPr="00547054">
        <w:rPr>
          <w:rFonts w:ascii="Verdana" w:eastAsia="MS Mincho" w:hAnsi="Verdana" w:cs="Calibri"/>
          <w:sz w:val="20"/>
          <w:szCs w:val="20"/>
        </w:rPr>
        <w:t>ompany</w:t>
      </w:r>
      <w:r w:rsidRPr="00547054">
        <w:rPr>
          <w:rFonts w:ascii="Verdana" w:eastAsia="MS Mincho" w:hAnsi="Verdana" w:cs="Calibri"/>
          <w:b w:val="0"/>
          <w:sz w:val="20"/>
          <w:szCs w:val="20"/>
        </w:rPr>
        <w:t>)</w:t>
      </w:r>
    </w:p>
    <w:p w14:paraId="3FFCD337" w14:textId="77777777" w:rsidR="00112278" w:rsidRPr="00547054" w:rsidRDefault="00112278" w:rsidP="00547054">
      <w:pPr>
        <w:spacing w:line="276" w:lineRule="auto"/>
        <w:jc w:val="both"/>
        <w:rPr>
          <w:rFonts w:ascii="Verdana" w:hAnsi="Verdana"/>
          <w:sz w:val="20"/>
          <w:szCs w:val="20"/>
          <w:lang w:val="en-GB"/>
        </w:rPr>
      </w:pPr>
    </w:p>
    <w:p w14:paraId="613FAAF6" w14:textId="77777777" w:rsidR="00155973" w:rsidRPr="00547054" w:rsidRDefault="00155973" w:rsidP="00547054">
      <w:pPr>
        <w:spacing w:line="276" w:lineRule="auto"/>
        <w:jc w:val="center"/>
        <w:rPr>
          <w:rFonts w:ascii="Verdana" w:hAnsi="Verdana"/>
          <w:b/>
          <w:bCs/>
          <w:sz w:val="20"/>
          <w:szCs w:val="20"/>
          <w:lang w:val="en-GB"/>
        </w:rPr>
      </w:pPr>
      <w:r w:rsidRPr="00547054">
        <w:rPr>
          <w:rFonts w:ascii="Verdana" w:hAnsi="Verdana"/>
          <w:b/>
          <w:bCs/>
          <w:sz w:val="20"/>
          <w:szCs w:val="20"/>
          <w:lang w:val="en-GB"/>
        </w:rPr>
        <w:t>RESULTS OF ANNUAL GENERAL MEETING</w:t>
      </w:r>
    </w:p>
    <w:p w14:paraId="628E923B" w14:textId="77777777" w:rsidR="00155973" w:rsidRPr="00547054" w:rsidRDefault="00155973" w:rsidP="00547054">
      <w:pPr>
        <w:spacing w:line="276" w:lineRule="auto"/>
        <w:jc w:val="both"/>
        <w:rPr>
          <w:rFonts w:ascii="Verdana" w:hAnsi="Verdana"/>
          <w:sz w:val="20"/>
          <w:szCs w:val="20"/>
          <w:lang w:val="en-GB"/>
        </w:rPr>
      </w:pPr>
    </w:p>
    <w:p w14:paraId="128CCCBC" w14:textId="60000810" w:rsidR="00155973" w:rsidRPr="00547054" w:rsidRDefault="00155973" w:rsidP="00547054">
      <w:pPr>
        <w:spacing w:after="160" w:line="276" w:lineRule="auto"/>
        <w:jc w:val="both"/>
        <w:rPr>
          <w:rFonts w:ascii="Verdana" w:hAnsi="Verdana"/>
          <w:sz w:val="20"/>
          <w:szCs w:val="20"/>
          <w:lang w:val="en-GB"/>
        </w:rPr>
      </w:pPr>
      <w:r w:rsidRPr="00547054">
        <w:rPr>
          <w:rFonts w:ascii="Verdana" w:hAnsi="Verdana"/>
          <w:sz w:val="20"/>
          <w:szCs w:val="20"/>
          <w:lang w:val="en-GB"/>
        </w:rPr>
        <w:t xml:space="preserve">Amsterdam, </w:t>
      </w:r>
      <w:r w:rsidR="004F70A6" w:rsidRPr="00547054">
        <w:rPr>
          <w:rFonts w:ascii="Verdana" w:hAnsi="Verdana"/>
          <w:sz w:val="20"/>
          <w:szCs w:val="20"/>
          <w:lang w:val="en-GB"/>
        </w:rPr>
        <w:t>2</w:t>
      </w:r>
      <w:r w:rsidR="005B6600">
        <w:rPr>
          <w:rFonts w:ascii="Verdana" w:hAnsi="Verdana"/>
          <w:sz w:val="20"/>
          <w:szCs w:val="20"/>
          <w:lang w:val="en-GB"/>
        </w:rPr>
        <w:t>1</w:t>
      </w:r>
      <w:r w:rsidRPr="00547054">
        <w:rPr>
          <w:rFonts w:ascii="Verdana" w:hAnsi="Verdana"/>
          <w:sz w:val="20"/>
          <w:szCs w:val="20"/>
          <w:lang w:val="en-GB"/>
        </w:rPr>
        <w:t xml:space="preserve"> August 202</w:t>
      </w:r>
      <w:r w:rsidR="00754EF9">
        <w:rPr>
          <w:rFonts w:ascii="Verdana" w:hAnsi="Verdana"/>
          <w:sz w:val="20"/>
          <w:szCs w:val="20"/>
          <w:lang w:val="en-GB"/>
        </w:rPr>
        <w:t>5</w:t>
      </w:r>
      <w:r w:rsidRPr="00547054">
        <w:rPr>
          <w:rFonts w:ascii="Verdana" w:hAnsi="Verdana"/>
          <w:sz w:val="20"/>
          <w:szCs w:val="20"/>
          <w:lang w:val="en-GB"/>
        </w:rPr>
        <w:t xml:space="preserve"> – Prosus N.V. (</w:t>
      </w:r>
      <w:r w:rsidRPr="00547054">
        <w:rPr>
          <w:rFonts w:ascii="Verdana" w:hAnsi="Verdana"/>
          <w:b/>
          <w:sz w:val="20"/>
          <w:lang w:val="en-GB"/>
        </w:rPr>
        <w:t>Prosus</w:t>
      </w:r>
      <w:r w:rsidRPr="00547054">
        <w:rPr>
          <w:rFonts w:ascii="Verdana" w:hAnsi="Verdana"/>
          <w:sz w:val="20"/>
          <w:szCs w:val="20"/>
          <w:lang w:val="en-GB"/>
        </w:rPr>
        <w:t xml:space="preserve">) (AEX and JSE: PRX) </w:t>
      </w:r>
      <w:r w:rsidR="00B5418C" w:rsidRPr="00547054">
        <w:rPr>
          <w:rFonts w:ascii="Verdana" w:hAnsi="Verdana"/>
          <w:sz w:val="20"/>
          <w:szCs w:val="20"/>
          <w:lang w:val="en-GB"/>
        </w:rPr>
        <w:t>The annual general meeting (</w:t>
      </w:r>
      <w:r w:rsidR="00B5418C" w:rsidRPr="00547054">
        <w:rPr>
          <w:rFonts w:ascii="Verdana" w:hAnsi="Verdana"/>
          <w:b/>
          <w:sz w:val="20"/>
          <w:lang w:val="en-GB"/>
        </w:rPr>
        <w:t>AGM</w:t>
      </w:r>
      <w:r w:rsidR="00B5418C" w:rsidRPr="00547054">
        <w:rPr>
          <w:rFonts w:ascii="Verdana" w:hAnsi="Verdana"/>
          <w:sz w:val="20"/>
          <w:szCs w:val="20"/>
          <w:lang w:val="en-GB"/>
        </w:rPr>
        <w:t xml:space="preserve">) of </w:t>
      </w:r>
      <w:r w:rsidR="00F6074B" w:rsidRPr="00547054">
        <w:rPr>
          <w:rFonts w:ascii="Verdana" w:hAnsi="Verdana"/>
          <w:sz w:val="20"/>
          <w:szCs w:val="20"/>
          <w:lang w:val="en-GB"/>
        </w:rPr>
        <w:t xml:space="preserve">the shareholders of </w:t>
      </w:r>
      <w:r w:rsidR="00B5418C" w:rsidRPr="00547054">
        <w:rPr>
          <w:rFonts w:ascii="Verdana" w:hAnsi="Verdana"/>
          <w:sz w:val="20"/>
          <w:szCs w:val="20"/>
          <w:lang w:val="en-GB"/>
        </w:rPr>
        <w:t xml:space="preserve">Prosus was held </w:t>
      </w:r>
      <w:r w:rsidR="005B6600">
        <w:rPr>
          <w:rFonts w:ascii="Verdana" w:hAnsi="Verdana"/>
          <w:sz w:val="20"/>
          <w:szCs w:val="20"/>
          <w:lang w:val="en-GB"/>
        </w:rPr>
        <w:t>yesterday</w:t>
      </w:r>
      <w:r w:rsidR="00B5418C" w:rsidRPr="00547054">
        <w:rPr>
          <w:rFonts w:ascii="Verdana" w:hAnsi="Verdana"/>
          <w:sz w:val="20"/>
          <w:szCs w:val="20"/>
          <w:lang w:val="en-GB"/>
        </w:rPr>
        <w:t>.</w:t>
      </w:r>
    </w:p>
    <w:p w14:paraId="29D1C917" w14:textId="7660306D" w:rsidR="00F6074B" w:rsidRPr="00547054" w:rsidRDefault="00155973" w:rsidP="00547054">
      <w:pPr>
        <w:spacing w:after="160" w:line="276" w:lineRule="auto"/>
        <w:jc w:val="both"/>
        <w:rPr>
          <w:rFonts w:ascii="Verdana" w:hAnsi="Verdana"/>
          <w:sz w:val="20"/>
          <w:szCs w:val="20"/>
          <w:lang w:val="en-GB"/>
        </w:rPr>
      </w:pPr>
      <w:r w:rsidRPr="00547054">
        <w:rPr>
          <w:rFonts w:ascii="Verdana" w:hAnsi="Verdana"/>
          <w:sz w:val="20"/>
          <w:szCs w:val="20"/>
          <w:lang w:val="en-GB"/>
        </w:rPr>
        <w:t xml:space="preserve">Shareholders are advised that </w:t>
      </w:r>
      <w:r w:rsidRPr="00D4576F">
        <w:rPr>
          <w:rFonts w:ascii="Verdana" w:hAnsi="Verdana"/>
          <w:sz w:val="20"/>
          <w:szCs w:val="20"/>
          <w:lang w:val="en-GB"/>
        </w:rPr>
        <w:t>all</w:t>
      </w:r>
      <w:r w:rsidRPr="00547054">
        <w:rPr>
          <w:rFonts w:ascii="Verdana" w:hAnsi="Verdana"/>
          <w:sz w:val="20"/>
          <w:szCs w:val="20"/>
          <w:lang w:val="en-GB"/>
        </w:rPr>
        <w:t xml:space="preserve"> resolutions set out in the notice of </w:t>
      </w:r>
      <w:r w:rsidR="009830A5" w:rsidRPr="00547054">
        <w:rPr>
          <w:rFonts w:ascii="Verdana" w:hAnsi="Verdana"/>
          <w:sz w:val="20"/>
          <w:szCs w:val="20"/>
          <w:lang w:val="en-GB"/>
        </w:rPr>
        <w:t xml:space="preserve">the </w:t>
      </w:r>
      <w:r w:rsidRPr="00547054">
        <w:rPr>
          <w:rFonts w:ascii="Verdana" w:hAnsi="Verdana"/>
          <w:sz w:val="20"/>
          <w:szCs w:val="20"/>
          <w:lang w:val="en-GB"/>
        </w:rPr>
        <w:t xml:space="preserve">AGM were passed by the requisite majority of shareholders represented at the </w:t>
      </w:r>
      <w:r w:rsidR="00564558" w:rsidRPr="00547054">
        <w:rPr>
          <w:rFonts w:ascii="Verdana" w:hAnsi="Verdana"/>
          <w:sz w:val="20"/>
          <w:szCs w:val="20"/>
          <w:lang w:val="en-GB"/>
        </w:rPr>
        <w:t>AGM</w:t>
      </w:r>
      <w:r w:rsidR="009830A5" w:rsidRPr="00547054">
        <w:rPr>
          <w:rFonts w:ascii="Verdana" w:hAnsi="Verdana"/>
          <w:sz w:val="20"/>
          <w:szCs w:val="20"/>
          <w:lang w:val="en-GB"/>
        </w:rPr>
        <w:t xml:space="preserve"> and adopted</w:t>
      </w:r>
      <w:r w:rsidR="00260EA7" w:rsidRPr="00547054">
        <w:rPr>
          <w:rFonts w:ascii="Verdana" w:hAnsi="Verdana"/>
          <w:sz w:val="20"/>
          <w:szCs w:val="20"/>
          <w:lang w:val="en-GB"/>
        </w:rPr>
        <w:t>.</w:t>
      </w:r>
      <w:r w:rsidR="00F6074B" w:rsidRPr="00547054">
        <w:rPr>
          <w:rFonts w:ascii="Verdana" w:hAnsi="Verdana"/>
          <w:sz w:val="20"/>
          <w:szCs w:val="20"/>
          <w:lang w:val="en-GB"/>
        </w:rPr>
        <w:t xml:space="preserve"> </w:t>
      </w:r>
    </w:p>
    <w:p w14:paraId="3E96FFF8" w14:textId="632EC1D4" w:rsidR="00155973" w:rsidRPr="00547054" w:rsidRDefault="00CF21F1" w:rsidP="00547054">
      <w:pPr>
        <w:spacing w:after="160" w:line="276" w:lineRule="auto"/>
        <w:jc w:val="both"/>
        <w:rPr>
          <w:rFonts w:ascii="Verdana" w:hAnsi="Verdana"/>
          <w:sz w:val="20"/>
          <w:szCs w:val="20"/>
          <w:lang w:val="en-GB"/>
        </w:rPr>
      </w:pPr>
      <w:r w:rsidRPr="00547054">
        <w:rPr>
          <w:rFonts w:ascii="Verdana" w:hAnsi="Verdana"/>
          <w:sz w:val="20"/>
          <w:szCs w:val="20"/>
          <w:lang w:val="en-GB"/>
        </w:rPr>
        <w:t xml:space="preserve">We note that the issued share capital of Prosus </w:t>
      </w:r>
      <w:r w:rsidR="0007320D" w:rsidRPr="00547054">
        <w:rPr>
          <w:rFonts w:ascii="Verdana" w:hAnsi="Verdana"/>
          <w:sz w:val="20"/>
          <w:szCs w:val="20"/>
          <w:lang w:val="en-GB"/>
        </w:rPr>
        <w:t xml:space="preserve">at </w:t>
      </w:r>
      <w:r w:rsidR="004A567C" w:rsidRPr="00547054">
        <w:rPr>
          <w:rFonts w:ascii="Verdana" w:hAnsi="Verdana"/>
          <w:sz w:val="20"/>
          <w:szCs w:val="20"/>
          <w:lang w:val="en-GB"/>
        </w:rPr>
        <w:t xml:space="preserve">the </w:t>
      </w:r>
      <w:r w:rsidR="0007320D" w:rsidRPr="00547054">
        <w:rPr>
          <w:rFonts w:ascii="Verdana" w:hAnsi="Verdana"/>
          <w:sz w:val="20"/>
          <w:szCs w:val="20"/>
          <w:lang w:val="en-GB"/>
        </w:rPr>
        <w:t>record date</w:t>
      </w:r>
      <w:r w:rsidRPr="00547054">
        <w:rPr>
          <w:rFonts w:ascii="Verdana" w:hAnsi="Verdana"/>
          <w:sz w:val="20"/>
          <w:szCs w:val="20"/>
          <w:lang w:val="en-GB"/>
        </w:rPr>
        <w:t xml:space="preserve"> </w:t>
      </w:r>
      <w:r w:rsidR="00F6074B" w:rsidRPr="00547054">
        <w:rPr>
          <w:rFonts w:ascii="Verdana" w:hAnsi="Verdana"/>
          <w:sz w:val="20"/>
          <w:szCs w:val="20"/>
          <w:lang w:val="en-GB"/>
        </w:rPr>
        <w:t xml:space="preserve">was </w:t>
      </w:r>
      <w:r w:rsidRPr="00547054">
        <w:rPr>
          <w:rFonts w:ascii="Verdana" w:hAnsi="Verdana"/>
          <w:sz w:val="20"/>
          <w:szCs w:val="20"/>
          <w:lang w:val="en-GB"/>
        </w:rPr>
        <w:t>as follows:</w:t>
      </w:r>
    </w:p>
    <w:tbl>
      <w:tblPr>
        <w:tblW w:w="5155" w:type="pct"/>
        <w:tblInd w:w="-5" w:type="dxa"/>
        <w:tblBorders>
          <w:top w:val="single" w:sz="4" w:space="0" w:color="00856D"/>
          <w:left w:val="single" w:sz="4" w:space="0" w:color="00856D"/>
          <w:bottom w:val="single" w:sz="4" w:space="0" w:color="00856D"/>
          <w:right w:val="single" w:sz="4" w:space="0" w:color="00856D"/>
          <w:insideH w:val="single" w:sz="4" w:space="0" w:color="00856D"/>
          <w:insideV w:val="single" w:sz="4" w:space="0" w:color="00856D"/>
        </w:tblBorders>
        <w:tblLayout w:type="fixed"/>
        <w:tblLook w:val="01E0" w:firstRow="1" w:lastRow="1" w:firstColumn="1" w:lastColumn="1" w:noHBand="0" w:noVBand="0"/>
      </w:tblPr>
      <w:tblGrid>
        <w:gridCol w:w="2377"/>
        <w:gridCol w:w="1584"/>
        <w:gridCol w:w="1585"/>
        <w:gridCol w:w="2614"/>
        <w:gridCol w:w="2614"/>
      </w:tblGrid>
      <w:tr w:rsidR="00573DC5" w:rsidRPr="00547054" w14:paraId="778A873A" w14:textId="77777777" w:rsidTr="006D28ED">
        <w:trPr>
          <w:trHeight w:val="828"/>
          <w:tblHeader/>
        </w:trPr>
        <w:tc>
          <w:tcPr>
            <w:tcW w:w="2377" w:type="dxa"/>
            <w:tcBorders>
              <w:top w:val="single" w:sz="4" w:space="0" w:color="000000"/>
              <w:left w:val="single" w:sz="4" w:space="0" w:color="auto"/>
              <w:bottom w:val="single" w:sz="4" w:space="0" w:color="auto"/>
              <w:right w:val="single" w:sz="4" w:space="0" w:color="auto"/>
            </w:tcBorders>
            <w:shd w:val="clear" w:color="auto" w:fill="auto"/>
            <w:vAlign w:val="center"/>
          </w:tcPr>
          <w:p w14:paraId="41E6A55C" w14:textId="77777777" w:rsidR="00315E62" w:rsidRPr="00547054" w:rsidRDefault="00315E62" w:rsidP="00547054">
            <w:pPr>
              <w:spacing w:after="160" w:line="276" w:lineRule="auto"/>
              <w:jc w:val="both"/>
              <w:rPr>
                <w:rFonts w:ascii="Verdana" w:hAnsi="Verdana"/>
                <w:b/>
                <w:bCs/>
                <w:sz w:val="20"/>
                <w:szCs w:val="20"/>
                <w:lang w:val="en-GB"/>
              </w:rPr>
            </w:pPr>
            <w:r w:rsidRPr="00547054">
              <w:rPr>
                <w:rFonts w:ascii="Verdana" w:hAnsi="Verdana"/>
                <w:b/>
                <w:bCs/>
                <w:sz w:val="20"/>
                <w:szCs w:val="20"/>
                <w:lang w:val="en-GB"/>
              </w:rPr>
              <w:t>Class of share</w:t>
            </w:r>
          </w:p>
        </w:tc>
        <w:tc>
          <w:tcPr>
            <w:tcW w:w="1584" w:type="dxa"/>
            <w:tcBorders>
              <w:top w:val="single" w:sz="4" w:space="0" w:color="000000"/>
              <w:left w:val="single" w:sz="4" w:space="0" w:color="auto"/>
              <w:bottom w:val="single" w:sz="4" w:space="0" w:color="000000"/>
              <w:right w:val="single" w:sz="4" w:space="0" w:color="auto"/>
            </w:tcBorders>
            <w:shd w:val="clear" w:color="auto" w:fill="auto"/>
            <w:vAlign w:val="center"/>
          </w:tcPr>
          <w:p w14:paraId="48629336" w14:textId="77777777" w:rsidR="00315E62" w:rsidRPr="00547054" w:rsidRDefault="00315E62" w:rsidP="00547054">
            <w:pPr>
              <w:spacing w:after="160" w:line="276" w:lineRule="auto"/>
              <w:jc w:val="both"/>
              <w:rPr>
                <w:rFonts w:ascii="Verdana" w:hAnsi="Verdana"/>
                <w:b/>
                <w:bCs/>
                <w:sz w:val="20"/>
                <w:szCs w:val="20"/>
                <w:lang w:val="en-GB"/>
              </w:rPr>
            </w:pPr>
            <w:r w:rsidRPr="00547054">
              <w:rPr>
                <w:rFonts w:ascii="Verdana" w:hAnsi="Verdana"/>
                <w:b/>
                <w:bCs/>
                <w:sz w:val="20"/>
                <w:szCs w:val="20"/>
                <w:lang w:val="en-GB"/>
              </w:rPr>
              <w:t xml:space="preserve">Nominal value </w:t>
            </w:r>
            <w:r w:rsidRPr="00547054">
              <w:rPr>
                <w:rFonts w:ascii="Verdana" w:hAnsi="Verdana"/>
                <w:b/>
                <w:bCs/>
                <w:sz w:val="20"/>
                <w:szCs w:val="20"/>
                <w:lang w:val="en-GB"/>
              </w:rPr>
              <w:br/>
              <w:t>per share</w:t>
            </w:r>
          </w:p>
        </w:tc>
        <w:tc>
          <w:tcPr>
            <w:tcW w:w="1585" w:type="dxa"/>
            <w:tcBorders>
              <w:top w:val="single" w:sz="4" w:space="0" w:color="000000"/>
              <w:left w:val="single" w:sz="4" w:space="0" w:color="auto"/>
              <w:bottom w:val="single" w:sz="4" w:space="0" w:color="000000"/>
              <w:right w:val="single" w:sz="4" w:space="0" w:color="auto"/>
            </w:tcBorders>
            <w:shd w:val="clear" w:color="auto" w:fill="auto"/>
            <w:vAlign w:val="center"/>
          </w:tcPr>
          <w:p w14:paraId="08B661D3" w14:textId="77777777" w:rsidR="00315E62" w:rsidRPr="00547054" w:rsidRDefault="00315E62" w:rsidP="00547054">
            <w:pPr>
              <w:spacing w:after="160" w:line="276" w:lineRule="auto"/>
              <w:jc w:val="both"/>
              <w:rPr>
                <w:rFonts w:ascii="Verdana" w:hAnsi="Verdana"/>
                <w:b/>
                <w:bCs/>
                <w:sz w:val="20"/>
                <w:szCs w:val="20"/>
                <w:lang w:val="en-GB"/>
              </w:rPr>
            </w:pPr>
            <w:r w:rsidRPr="00547054">
              <w:rPr>
                <w:rFonts w:ascii="Verdana" w:hAnsi="Verdana"/>
                <w:b/>
                <w:bCs/>
                <w:sz w:val="20"/>
                <w:szCs w:val="20"/>
                <w:lang w:val="en-GB"/>
              </w:rPr>
              <w:t xml:space="preserve">Number of votes </w:t>
            </w:r>
            <w:r w:rsidRPr="00547054">
              <w:rPr>
                <w:rFonts w:ascii="Verdana" w:hAnsi="Verdana"/>
                <w:b/>
                <w:bCs/>
                <w:sz w:val="20"/>
                <w:szCs w:val="20"/>
                <w:lang w:val="en-GB"/>
              </w:rPr>
              <w:br/>
              <w:t>per share</w:t>
            </w:r>
          </w:p>
        </w:tc>
        <w:tc>
          <w:tcPr>
            <w:tcW w:w="2614" w:type="dxa"/>
            <w:tcBorders>
              <w:top w:val="single" w:sz="4" w:space="0" w:color="000000"/>
              <w:left w:val="single" w:sz="4" w:space="0" w:color="auto"/>
              <w:bottom w:val="single" w:sz="4" w:space="0" w:color="000000"/>
              <w:right w:val="single" w:sz="4" w:space="0" w:color="000000"/>
            </w:tcBorders>
            <w:shd w:val="clear" w:color="auto" w:fill="auto"/>
            <w:vAlign w:val="center"/>
          </w:tcPr>
          <w:p w14:paraId="57D3A202" w14:textId="77777777" w:rsidR="00315E62" w:rsidRPr="00547054" w:rsidRDefault="00315E62" w:rsidP="00547054">
            <w:pPr>
              <w:spacing w:after="160" w:line="276" w:lineRule="auto"/>
              <w:jc w:val="both"/>
              <w:rPr>
                <w:rFonts w:ascii="Verdana" w:hAnsi="Verdana"/>
                <w:b/>
                <w:bCs/>
                <w:sz w:val="20"/>
                <w:szCs w:val="20"/>
                <w:lang w:val="en-GB"/>
              </w:rPr>
            </w:pPr>
            <w:r w:rsidRPr="00547054">
              <w:rPr>
                <w:rFonts w:ascii="Verdana" w:hAnsi="Verdana"/>
                <w:b/>
                <w:bCs/>
                <w:sz w:val="20"/>
                <w:szCs w:val="20"/>
                <w:lang w:val="en-GB"/>
              </w:rPr>
              <w:t xml:space="preserve">Issued </w:t>
            </w:r>
            <w:r w:rsidRPr="00547054">
              <w:rPr>
                <w:rFonts w:ascii="Verdana" w:hAnsi="Verdana"/>
                <w:b/>
                <w:bCs/>
                <w:sz w:val="20"/>
                <w:szCs w:val="20"/>
                <w:lang w:val="en-GB"/>
              </w:rPr>
              <w:br/>
              <w:t>share capital</w:t>
            </w:r>
          </w:p>
        </w:tc>
        <w:tc>
          <w:tcPr>
            <w:tcW w:w="26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FB1611" w14:textId="77777777" w:rsidR="00315E62" w:rsidRPr="00547054" w:rsidRDefault="00315E62" w:rsidP="00547054">
            <w:pPr>
              <w:spacing w:after="160" w:line="276" w:lineRule="auto"/>
              <w:jc w:val="both"/>
              <w:rPr>
                <w:rFonts w:ascii="Verdana" w:hAnsi="Verdana"/>
                <w:b/>
                <w:bCs/>
                <w:sz w:val="20"/>
                <w:szCs w:val="20"/>
                <w:lang w:val="en-GB"/>
              </w:rPr>
            </w:pPr>
            <w:r w:rsidRPr="00547054">
              <w:rPr>
                <w:rFonts w:ascii="Verdana" w:hAnsi="Verdana"/>
                <w:b/>
                <w:bCs/>
                <w:sz w:val="20"/>
                <w:szCs w:val="20"/>
                <w:lang w:val="en-GB"/>
              </w:rPr>
              <w:t xml:space="preserve">Authorised </w:t>
            </w:r>
            <w:r w:rsidRPr="00547054">
              <w:rPr>
                <w:rFonts w:ascii="Verdana" w:hAnsi="Verdana"/>
                <w:b/>
                <w:bCs/>
                <w:sz w:val="20"/>
                <w:szCs w:val="20"/>
                <w:lang w:val="en-GB"/>
              </w:rPr>
              <w:br/>
              <w:t>share capital</w:t>
            </w:r>
          </w:p>
        </w:tc>
      </w:tr>
      <w:tr w:rsidR="00472678" w:rsidRPr="00547054" w14:paraId="36CDEF82" w14:textId="77777777" w:rsidTr="00620CB5">
        <w:trPr>
          <w:trHeight w:val="151"/>
        </w:trPr>
        <w:tc>
          <w:tcPr>
            <w:tcW w:w="2377" w:type="dxa"/>
            <w:tcBorders>
              <w:top w:val="single" w:sz="4" w:space="0" w:color="auto"/>
              <w:left w:val="single" w:sz="4" w:space="0" w:color="auto"/>
              <w:bottom w:val="single" w:sz="4" w:space="0" w:color="auto"/>
              <w:right w:val="single" w:sz="4" w:space="0" w:color="auto"/>
            </w:tcBorders>
            <w:shd w:val="clear" w:color="auto" w:fill="auto"/>
          </w:tcPr>
          <w:p w14:paraId="1872C26B" w14:textId="77777777" w:rsidR="00472678" w:rsidRPr="00547054" w:rsidRDefault="00472678" w:rsidP="006803FB">
            <w:pPr>
              <w:spacing w:after="160" w:line="276" w:lineRule="auto"/>
              <w:rPr>
                <w:rFonts w:ascii="Verdana" w:hAnsi="Verdana"/>
                <w:sz w:val="20"/>
                <w:szCs w:val="20"/>
                <w:lang w:val="en-GB"/>
              </w:rPr>
            </w:pPr>
            <w:bookmarkStart w:id="0" w:name="_Hlk143606428"/>
            <w:r w:rsidRPr="00547054">
              <w:rPr>
                <w:rFonts w:ascii="Verdana" w:hAnsi="Verdana"/>
                <w:sz w:val="20"/>
                <w:szCs w:val="20"/>
                <w:lang w:val="en-GB"/>
              </w:rPr>
              <w:t>Ordinary Share N (N shares)</w:t>
            </w:r>
          </w:p>
        </w:tc>
        <w:tc>
          <w:tcPr>
            <w:tcW w:w="1584" w:type="dxa"/>
            <w:tcBorders>
              <w:top w:val="single" w:sz="4" w:space="0" w:color="000000"/>
              <w:left w:val="single" w:sz="4" w:space="0" w:color="auto"/>
              <w:bottom w:val="single" w:sz="4" w:space="0" w:color="auto"/>
              <w:right w:val="single" w:sz="4" w:space="0" w:color="auto"/>
            </w:tcBorders>
            <w:shd w:val="clear" w:color="auto" w:fill="auto"/>
          </w:tcPr>
          <w:p w14:paraId="05995093" w14:textId="77777777" w:rsidR="00472678" w:rsidRPr="00547054" w:rsidRDefault="00472678" w:rsidP="00472678">
            <w:pPr>
              <w:spacing w:after="160" w:line="276" w:lineRule="auto"/>
              <w:jc w:val="right"/>
              <w:rPr>
                <w:rFonts w:ascii="Verdana" w:hAnsi="Verdana"/>
                <w:sz w:val="20"/>
                <w:szCs w:val="20"/>
                <w:lang w:val="en-GB"/>
              </w:rPr>
            </w:pPr>
            <w:r w:rsidRPr="00547054">
              <w:rPr>
                <w:rFonts w:ascii="Verdana" w:hAnsi="Verdana"/>
                <w:sz w:val="20"/>
                <w:szCs w:val="20"/>
                <w:lang w:val="en-GB"/>
              </w:rPr>
              <w:t>EUR0.05</w:t>
            </w:r>
          </w:p>
        </w:tc>
        <w:tc>
          <w:tcPr>
            <w:tcW w:w="1585" w:type="dxa"/>
            <w:tcBorders>
              <w:top w:val="single" w:sz="4" w:space="0" w:color="000000"/>
              <w:left w:val="single" w:sz="4" w:space="0" w:color="auto"/>
              <w:bottom w:val="single" w:sz="4" w:space="0" w:color="auto"/>
              <w:right w:val="single" w:sz="4" w:space="0" w:color="auto"/>
            </w:tcBorders>
            <w:shd w:val="clear" w:color="auto" w:fill="auto"/>
          </w:tcPr>
          <w:p w14:paraId="65B4D8BD" w14:textId="77777777" w:rsidR="00472678" w:rsidRPr="00547054" w:rsidRDefault="00472678" w:rsidP="00472678">
            <w:pPr>
              <w:spacing w:after="160" w:line="276" w:lineRule="auto"/>
              <w:jc w:val="right"/>
              <w:rPr>
                <w:rFonts w:ascii="Verdana" w:hAnsi="Verdana"/>
                <w:sz w:val="20"/>
                <w:szCs w:val="20"/>
                <w:lang w:val="en-GB"/>
              </w:rPr>
            </w:pPr>
            <w:r w:rsidRPr="00547054">
              <w:rPr>
                <w:rFonts w:ascii="Verdana" w:hAnsi="Verdana"/>
                <w:sz w:val="20"/>
                <w:szCs w:val="20"/>
                <w:lang w:val="en-GB"/>
              </w:rPr>
              <w:t>1</w:t>
            </w:r>
          </w:p>
        </w:tc>
        <w:tc>
          <w:tcPr>
            <w:tcW w:w="2614" w:type="dxa"/>
            <w:tcBorders>
              <w:top w:val="single" w:sz="4" w:space="0" w:color="000000"/>
              <w:left w:val="single" w:sz="4" w:space="0" w:color="auto"/>
              <w:bottom w:val="single" w:sz="4" w:space="0" w:color="auto"/>
              <w:right w:val="single" w:sz="4" w:space="0" w:color="000000"/>
            </w:tcBorders>
            <w:shd w:val="clear" w:color="auto" w:fill="auto"/>
          </w:tcPr>
          <w:p w14:paraId="795590F3" w14:textId="57806768" w:rsidR="004F4FDB" w:rsidRPr="004F4FDB" w:rsidRDefault="004F4FDB" w:rsidP="004F4FDB">
            <w:pPr>
              <w:spacing w:after="160" w:line="276" w:lineRule="auto"/>
              <w:jc w:val="right"/>
              <w:rPr>
                <w:rFonts w:ascii="Verdana" w:hAnsi="Verdana"/>
                <w:sz w:val="20"/>
                <w:szCs w:val="20"/>
                <w:lang w:val="en-ZA"/>
              </w:rPr>
            </w:pPr>
            <w:r w:rsidRPr="004F4FDB">
              <w:rPr>
                <w:rFonts w:ascii="Verdana" w:hAnsi="Verdana"/>
                <w:sz w:val="20"/>
                <w:szCs w:val="20"/>
              </w:rPr>
              <w:t xml:space="preserve">  2</w:t>
            </w:r>
            <w:r>
              <w:rPr>
                <w:rFonts w:ascii="Verdana" w:hAnsi="Verdana"/>
                <w:sz w:val="20"/>
                <w:szCs w:val="20"/>
              </w:rPr>
              <w:t>,</w:t>
            </w:r>
            <w:r w:rsidRPr="004F4FDB">
              <w:rPr>
                <w:rFonts w:ascii="Verdana" w:hAnsi="Verdana"/>
                <w:sz w:val="20"/>
                <w:szCs w:val="20"/>
              </w:rPr>
              <w:t>487</w:t>
            </w:r>
            <w:r>
              <w:rPr>
                <w:rFonts w:ascii="Verdana" w:hAnsi="Verdana"/>
                <w:sz w:val="20"/>
                <w:szCs w:val="20"/>
              </w:rPr>
              <w:t>,</w:t>
            </w:r>
            <w:r w:rsidRPr="004F4FDB">
              <w:rPr>
                <w:rFonts w:ascii="Verdana" w:hAnsi="Verdana"/>
                <w:sz w:val="20"/>
                <w:szCs w:val="20"/>
              </w:rPr>
              <w:t>280</w:t>
            </w:r>
            <w:r>
              <w:rPr>
                <w:rFonts w:ascii="Verdana" w:hAnsi="Verdana"/>
                <w:sz w:val="20"/>
                <w:szCs w:val="20"/>
              </w:rPr>
              <w:t>,</w:t>
            </w:r>
            <w:r w:rsidRPr="004F4FDB">
              <w:rPr>
                <w:rFonts w:ascii="Verdana" w:hAnsi="Verdana"/>
                <w:sz w:val="20"/>
                <w:szCs w:val="20"/>
              </w:rPr>
              <w:t xml:space="preserve">090 </w:t>
            </w:r>
          </w:p>
          <w:p w14:paraId="65EBB37C" w14:textId="78CAA162" w:rsidR="00472678" w:rsidRPr="00547054" w:rsidRDefault="00472678" w:rsidP="00472678">
            <w:pPr>
              <w:spacing w:after="160" w:line="276" w:lineRule="auto"/>
              <w:jc w:val="right"/>
              <w:rPr>
                <w:rFonts w:ascii="Verdana" w:hAnsi="Verdana"/>
                <w:sz w:val="20"/>
                <w:szCs w:val="20"/>
                <w:lang w:val="en-GB"/>
              </w:rPr>
            </w:pPr>
          </w:p>
        </w:tc>
        <w:tc>
          <w:tcPr>
            <w:tcW w:w="2614" w:type="dxa"/>
            <w:tcBorders>
              <w:top w:val="single" w:sz="4" w:space="0" w:color="000000"/>
              <w:left w:val="single" w:sz="4" w:space="0" w:color="000000"/>
              <w:bottom w:val="single" w:sz="4" w:space="0" w:color="auto"/>
              <w:right w:val="single" w:sz="4" w:space="0" w:color="auto"/>
            </w:tcBorders>
            <w:shd w:val="clear" w:color="auto" w:fill="auto"/>
          </w:tcPr>
          <w:p w14:paraId="1E517A4F" w14:textId="1DC56D96" w:rsidR="00472678" w:rsidRPr="00547054" w:rsidRDefault="00472678" w:rsidP="00472678">
            <w:pPr>
              <w:spacing w:after="160" w:line="276" w:lineRule="auto"/>
              <w:jc w:val="right"/>
              <w:rPr>
                <w:rFonts w:ascii="Verdana" w:hAnsi="Verdana"/>
                <w:sz w:val="20"/>
                <w:szCs w:val="20"/>
                <w:lang w:val="en-GB"/>
              </w:rPr>
            </w:pPr>
            <w:r w:rsidRPr="00BD7946">
              <w:rPr>
                <w:rFonts w:ascii="Verdana" w:hAnsi="Verdana"/>
                <w:sz w:val="20"/>
                <w:szCs w:val="20"/>
                <w:lang w:val="en-GB"/>
              </w:rPr>
              <w:t>5,000,000,000</w:t>
            </w:r>
          </w:p>
        </w:tc>
      </w:tr>
      <w:tr w:rsidR="00472678" w:rsidRPr="00547054" w14:paraId="131CC07E" w14:textId="77777777" w:rsidTr="00620CB5">
        <w:tc>
          <w:tcPr>
            <w:tcW w:w="2377" w:type="dxa"/>
            <w:tcBorders>
              <w:top w:val="single" w:sz="4" w:space="0" w:color="auto"/>
              <w:left w:val="single" w:sz="4" w:space="0" w:color="auto"/>
              <w:bottom w:val="single" w:sz="4" w:space="0" w:color="auto"/>
              <w:right w:val="single" w:sz="4" w:space="0" w:color="auto"/>
            </w:tcBorders>
            <w:shd w:val="clear" w:color="auto" w:fill="auto"/>
          </w:tcPr>
          <w:p w14:paraId="156A1AA8" w14:textId="77777777" w:rsidR="00472678" w:rsidRPr="00547054" w:rsidRDefault="00472678" w:rsidP="006803FB">
            <w:pPr>
              <w:spacing w:after="160" w:line="276" w:lineRule="auto"/>
              <w:rPr>
                <w:rFonts w:ascii="Verdana" w:hAnsi="Verdana"/>
                <w:sz w:val="20"/>
                <w:szCs w:val="20"/>
                <w:lang w:val="en-GB"/>
              </w:rPr>
            </w:pPr>
            <w:r w:rsidRPr="00547054">
              <w:rPr>
                <w:rFonts w:ascii="Verdana" w:hAnsi="Verdana"/>
                <w:sz w:val="20"/>
                <w:szCs w:val="20"/>
                <w:lang w:val="en-GB"/>
              </w:rPr>
              <w:t>Ordinary Share A1 (A shares)</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28D5D00" w14:textId="77777777" w:rsidR="00472678" w:rsidRPr="00547054" w:rsidRDefault="00472678" w:rsidP="00472678">
            <w:pPr>
              <w:spacing w:after="160" w:line="276" w:lineRule="auto"/>
              <w:jc w:val="right"/>
              <w:rPr>
                <w:rFonts w:ascii="Verdana" w:hAnsi="Verdana"/>
                <w:sz w:val="20"/>
                <w:szCs w:val="20"/>
                <w:lang w:val="en-GB"/>
              </w:rPr>
            </w:pPr>
            <w:r w:rsidRPr="00547054">
              <w:rPr>
                <w:rFonts w:ascii="Verdana" w:hAnsi="Verdana"/>
                <w:sz w:val="20"/>
                <w:szCs w:val="20"/>
                <w:lang w:val="en-GB"/>
              </w:rPr>
              <w:t>EUR0.05</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243584CB" w14:textId="77777777" w:rsidR="00472678" w:rsidRPr="00547054" w:rsidRDefault="00472678" w:rsidP="00472678">
            <w:pPr>
              <w:spacing w:after="160" w:line="276" w:lineRule="auto"/>
              <w:jc w:val="right"/>
              <w:rPr>
                <w:rFonts w:ascii="Verdana" w:hAnsi="Verdana"/>
                <w:sz w:val="20"/>
                <w:szCs w:val="20"/>
                <w:lang w:val="en-GB"/>
              </w:rPr>
            </w:pPr>
            <w:r w:rsidRPr="00547054">
              <w:rPr>
                <w:rFonts w:ascii="Verdana" w:hAnsi="Verdana"/>
                <w:sz w:val="20"/>
                <w:szCs w:val="20"/>
                <w:lang w:val="en-GB"/>
              </w:rPr>
              <w:t>1</w:t>
            </w:r>
          </w:p>
        </w:tc>
        <w:tc>
          <w:tcPr>
            <w:tcW w:w="2614" w:type="dxa"/>
            <w:tcBorders>
              <w:top w:val="single" w:sz="4" w:space="0" w:color="auto"/>
              <w:left w:val="single" w:sz="4" w:space="0" w:color="auto"/>
              <w:bottom w:val="single" w:sz="4" w:space="0" w:color="auto"/>
              <w:right w:val="single" w:sz="4" w:space="0" w:color="000000"/>
            </w:tcBorders>
            <w:shd w:val="clear" w:color="auto" w:fill="auto"/>
          </w:tcPr>
          <w:p w14:paraId="343437A3" w14:textId="3407AA85" w:rsidR="00472678" w:rsidRPr="00547054" w:rsidRDefault="00472678" w:rsidP="00472678">
            <w:pPr>
              <w:spacing w:after="160" w:line="276" w:lineRule="auto"/>
              <w:jc w:val="right"/>
              <w:rPr>
                <w:rFonts w:ascii="Verdana" w:hAnsi="Verdana"/>
                <w:sz w:val="20"/>
                <w:szCs w:val="20"/>
                <w:lang w:val="en-GB"/>
              </w:rPr>
            </w:pPr>
            <w:r w:rsidRPr="006D28ED">
              <w:rPr>
                <w:rFonts w:ascii="Verdana" w:hAnsi="Verdana"/>
                <w:sz w:val="20"/>
                <w:szCs w:val="20"/>
                <w:lang w:val="en-GB"/>
              </w:rPr>
              <w:t>6,446,739</w:t>
            </w:r>
          </w:p>
        </w:tc>
        <w:tc>
          <w:tcPr>
            <w:tcW w:w="2614" w:type="dxa"/>
            <w:tcBorders>
              <w:top w:val="single" w:sz="4" w:space="0" w:color="auto"/>
              <w:left w:val="single" w:sz="4" w:space="0" w:color="000000"/>
              <w:bottom w:val="single" w:sz="4" w:space="0" w:color="auto"/>
              <w:right w:val="single" w:sz="4" w:space="0" w:color="auto"/>
            </w:tcBorders>
            <w:shd w:val="clear" w:color="auto" w:fill="auto"/>
          </w:tcPr>
          <w:p w14:paraId="52474487" w14:textId="36DBCA38" w:rsidR="00472678" w:rsidRPr="00547054" w:rsidRDefault="00BD7946" w:rsidP="00472678">
            <w:pPr>
              <w:spacing w:after="160" w:line="276" w:lineRule="auto"/>
              <w:jc w:val="right"/>
              <w:rPr>
                <w:rFonts w:ascii="Verdana" w:hAnsi="Verdana"/>
                <w:sz w:val="20"/>
                <w:szCs w:val="20"/>
                <w:lang w:val="en-GB"/>
              </w:rPr>
            </w:pPr>
            <w:r w:rsidRPr="00BD7946">
              <w:rPr>
                <w:rFonts w:ascii="Verdana" w:hAnsi="Verdana"/>
                <w:sz w:val="20"/>
                <w:szCs w:val="20"/>
                <w:lang w:val="en-GB"/>
              </w:rPr>
              <w:t>10,000,000</w:t>
            </w:r>
          </w:p>
        </w:tc>
      </w:tr>
      <w:tr w:rsidR="00472678" w:rsidRPr="00547054" w14:paraId="093314E4" w14:textId="77777777" w:rsidTr="00620CB5">
        <w:tc>
          <w:tcPr>
            <w:tcW w:w="2377" w:type="dxa"/>
            <w:tcBorders>
              <w:top w:val="single" w:sz="4" w:space="0" w:color="auto"/>
              <w:left w:val="single" w:sz="4" w:space="0" w:color="auto"/>
              <w:bottom w:val="single" w:sz="4" w:space="0" w:color="auto"/>
              <w:right w:val="single" w:sz="4" w:space="0" w:color="auto"/>
            </w:tcBorders>
            <w:shd w:val="clear" w:color="auto" w:fill="auto"/>
          </w:tcPr>
          <w:p w14:paraId="51116642" w14:textId="77777777" w:rsidR="00472678" w:rsidRPr="00547054" w:rsidRDefault="00472678" w:rsidP="006803FB">
            <w:pPr>
              <w:spacing w:after="160" w:line="276" w:lineRule="auto"/>
              <w:rPr>
                <w:rFonts w:ascii="Verdana" w:hAnsi="Verdana"/>
                <w:sz w:val="20"/>
                <w:szCs w:val="20"/>
                <w:lang w:val="en-GB"/>
              </w:rPr>
            </w:pPr>
            <w:r w:rsidRPr="00547054">
              <w:rPr>
                <w:rFonts w:ascii="Verdana" w:hAnsi="Verdana"/>
                <w:sz w:val="20"/>
                <w:szCs w:val="20"/>
                <w:lang w:val="en-GB"/>
              </w:rPr>
              <w:t>Ordinary Share B (B shares)</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38CCC91" w14:textId="77777777" w:rsidR="00472678" w:rsidRPr="00547054" w:rsidRDefault="00472678" w:rsidP="00472678">
            <w:pPr>
              <w:spacing w:after="160" w:line="276" w:lineRule="auto"/>
              <w:jc w:val="right"/>
              <w:rPr>
                <w:rFonts w:ascii="Verdana" w:hAnsi="Verdana"/>
                <w:sz w:val="20"/>
                <w:szCs w:val="20"/>
                <w:lang w:val="en-GB"/>
              </w:rPr>
            </w:pPr>
            <w:r w:rsidRPr="00547054">
              <w:rPr>
                <w:rFonts w:ascii="Verdana" w:hAnsi="Verdana"/>
                <w:sz w:val="20"/>
                <w:szCs w:val="20"/>
                <w:lang w:val="en-GB"/>
              </w:rPr>
              <w:t>EUR0.05</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6B90A14D" w14:textId="77777777" w:rsidR="00472678" w:rsidRPr="00547054" w:rsidRDefault="00472678" w:rsidP="00472678">
            <w:pPr>
              <w:spacing w:after="160" w:line="276" w:lineRule="auto"/>
              <w:jc w:val="right"/>
              <w:rPr>
                <w:rFonts w:ascii="Verdana" w:hAnsi="Verdana"/>
                <w:sz w:val="20"/>
                <w:szCs w:val="20"/>
                <w:lang w:val="en-GB"/>
              </w:rPr>
            </w:pPr>
            <w:r w:rsidRPr="00547054">
              <w:rPr>
                <w:rFonts w:ascii="Verdana" w:hAnsi="Verdana"/>
                <w:sz w:val="20"/>
                <w:szCs w:val="20"/>
                <w:lang w:val="en-GB"/>
              </w:rPr>
              <w:t>1</w:t>
            </w:r>
          </w:p>
        </w:tc>
        <w:tc>
          <w:tcPr>
            <w:tcW w:w="2614" w:type="dxa"/>
            <w:tcBorders>
              <w:top w:val="single" w:sz="4" w:space="0" w:color="auto"/>
              <w:left w:val="single" w:sz="4" w:space="0" w:color="auto"/>
              <w:bottom w:val="single" w:sz="4" w:space="0" w:color="auto"/>
              <w:right w:val="single" w:sz="4" w:space="0" w:color="000000"/>
            </w:tcBorders>
            <w:shd w:val="clear" w:color="auto" w:fill="auto"/>
          </w:tcPr>
          <w:p w14:paraId="268903E1" w14:textId="47913B70" w:rsidR="00472678" w:rsidRPr="00547054" w:rsidRDefault="00472678" w:rsidP="00472678">
            <w:pPr>
              <w:spacing w:after="160" w:line="276" w:lineRule="auto"/>
              <w:jc w:val="right"/>
              <w:rPr>
                <w:rFonts w:ascii="Verdana" w:hAnsi="Verdana"/>
                <w:sz w:val="20"/>
                <w:szCs w:val="20"/>
                <w:lang w:val="en-GB"/>
              </w:rPr>
            </w:pPr>
            <w:r w:rsidRPr="006D28ED">
              <w:rPr>
                <w:rFonts w:ascii="Verdana" w:hAnsi="Verdana"/>
                <w:sz w:val="20"/>
                <w:szCs w:val="20"/>
                <w:lang w:val="en-GB"/>
              </w:rPr>
              <w:t>2,869,537,584</w:t>
            </w:r>
          </w:p>
        </w:tc>
        <w:tc>
          <w:tcPr>
            <w:tcW w:w="2614" w:type="dxa"/>
            <w:tcBorders>
              <w:top w:val="single" w:sz="4" w:space="0" w:color="auto"/>
              <w:left w:val="single" w:sz="4" w:space="0" w:color="000000"/>
              <w:bottom w:val="single" w:sz="4" w:space="0" w:color="auto"/>
              <w:right w:val="single" w:sz="4" w:space="0" w:color="auto"/>
            </w:tcBorders>
            <w:shd w:val="clear" w:color="auto" w:fill="auto"/>
          </w:tcPr>
          <w:p w14:paraId="7166A0C8" w14:textId="6C1F46C0" w:rsidR="00472678" w:rsidRPr="00547054" w:rsidRDefault="00472678" w:rsidP="00472678">
            <w:pPr>
              <w:spacing w:after="160" w:line="276" w:lineRule="auto"/>
              <w:jc w:val="right"/>
              <w:rPr>
                <w:rFonts w:ascii="Verdana" w:hAnsi="Verdana"/>
                <w:sz w:val="20"/>
                <w:szCs w:val="20"/>
                <w:lang w:val="en-GB"/>
              </w:rPr>
            </w:pPr>
            <w:r w:rsidRPr="00BD7946">
              <w:rPr>
                <w:rFonts w:ascii="Verdana" w:hAnsi="Verdana"/>
                <w:sz w:val="20"/>
                <w:szCs w:val="20"/>
                <w:lang w:val="en-GB"/>
              </w:rPr>
              <w:t>3,000,000,000</w:t>
            </w:r>
          </w:p>
        </w:tc>
      </w:tr>
      <w:bookmarkEnd w:id="0"/>
    </w:tbl>
    <w:p w14:paraId="07B5289A" w14:textId="77777777" w:rsidR="00155973" w:rsidRPr="00547054" w:rsidRDefault="00155973" w:rsidP="00547054">
      <w:pPr>
        <w:spacing w:after="160" w:line="276" w:lineRule="auto"/>
        <w:jc w:val="both"/>
        <w:rPr>
          <w:rFonts w:ascii="Verdana" w:hAnsi="Verdana"/>
          <w:sz w:val="20"/>
          <w:szCs w:val="20"/>
          <w:lang w:val="en-GB"/>
        </w:rPr>
      </w:pPr>
    </w:p>
    <w:p w14:paraId="4BE35125" w14:textId="181B0A16" w:rsidR="004B7A4C" w:rsidRPr="00170EF2" w:rsidRDefault="000B40D2" w:rsidP="005B30D8">
      <w:pPr>
        <w:spacing w:line="240" w:lineRule="auto"/>
        <w:rPr>
          <w:rFonts w:cs="Calibri"/>
          <w:color w:val="000000"/>
          <w:sz w:val="22"/>
          <w:szCs w:val="22"/>
          <w:lang w:val="en-ZA" w:eastAsia="en-ZA"/>
        </w:rPr>
      </w:pPr>
      <w:r w:rsidRPr="000B40D2">
        <w:rPr>
          <w:rFonts w:ascii="Verdana" w:hAnsi="Verdana"/>
          <w:sz w:val="20"/>
          <w:szCs w:val="20"/>
          <w:lang w:val="en-GB"/>
        </w:rPr>
        <w:t>108</w:t>
      </w:r>
      <w:r w:rsidR="005B30D8">
        <w:rPr>
          <w:rFonts w:ascii="Verdana" w:hAnsi="Verdana"/>
          <w:sz w:val="20"/>
          <w:szCs w:val="20"/>
          <w:lang w:val="en-GB"/>
        </w:rPr>
        <w:t>,</w:t>
      </w:r>
      <w:r w:rsidRPr="000B40D2">
        <w:rPr>
          <w:rFonts w:ascii="Verdana" w:hAnsi="Verdana"/>
          <w:sz w:val="20"/>
          <w:szCs w:val="20"/>
          <w:lang w:val="en-GB"/>
        </w:rPr>
        <w:t>332</w:t>
      </w:r>
      <w:r w:rsidR="005B30D8">
        <w:rPr>
          <w:rFonts w:ascii="Verdana" w:hAnsi="Verdana"/>
          <w:sz w:val="20"/>
          <w:szCs w:val="20"/>
          <w:lang w:val="en-GB"/>
        </w:rPr>
        <w:t>,</w:t>
      </w:r>
      <w:r w:rsidRPr="000B40D2">
        <w:rPr>
          <w:rFonts w:ascii="Verdana" w:hAnsi="Verdana"/>
          <w:sz w:val="20"/>
          <w:szCs w:val="20"/>
          <w:lang w:val="en-GB"/>
        </w:rPr>
        <w:t xml:space="preserve">254 </w:t>
      </w:r>
      <w:r w:rsidR="004F70A6" w:rsidRPr="00547054">
        <w:rPr>
          <w:rFonts w:ascii="Verdana" w:hAnsi="Verdana"/>
          <w:sz w:val="20"/>
          <w:szCs w:val="20"/>
          <w:lang w:val="en-GB"/>
        </w:rPr>
        <w:t xml:space="preserve">ordinary shares N </w:t>
      </w:r>
      <w:r w:rsidR="008C3A30" w:rsidRPr="00547054">
        <w:rPr>
          <w:rFonts w:ascii="Verdana" w:hAnsi="Verdana"/>
          <w:sz w:val="20"/>
          <w:szCs w:val="20"/>
          <w:lang w:val="en-GB"/>
        </w:rPr>
        <w:t xml:space="preserve">were </w:t>
      </w:r>
      <w:r w:rsidR="004F70A6" w:rsidRPr="00547054">
        <w:rPr>
          <w:rFonts w:ascii="Verdana" w:hAnsi="Verdana"/>
          <w:sz w:val="20"/>
          <w:szCs w:val="20"/>
          <w:lang w:val="en-GB"/>
        </w:rPr>
        <w:t>held in treasury by the Company</w:t>
      </w:r>
      <w:r w:rsidR="008C3A30" w:rsidRPr="00547054">
        <w:rPr>
          <w:rFonts w:ascii="Verdana" w:hAnsi="Verdana"/>
          <w:sz w:val="20"/>
          <w:szCs w:val="20"/>
          <w:lang w:val="en-GB"/>
        </w:rPr>
        <w:t xml:space="preserve"> as at the record date</w:t>
      </w:r>
      <w:r w:rsidR="004F70A6" w:rsidRPr="00547054">
        <w:rPr>
          <w:rFonts w:ascii="Verdana" w:hAnsi="Verdana"/>
          <w:sz w:val="20"/>
          <w:szCs w:val="20"/>
          <w:lang w:val="en-GB"/>
        </w:rPr>
        <w:t>. Therefore, t</w:t>
      </w:r>
      <w:r w:rsidR="005607E7" w:rsidRPr="00547054">
        <w:rPr>
          <w:rFonts w:ascii="Verdana" w:hAnsi="Verdana"/>
          <w:sz w:val="20"/>
          <w:szCs w:val="20"/>
          <w:lang w:val="en-GB"/>
        </w:rPr>
        <w:t>he n</w:t>
      </w:r>
      <w:r w:rsidR="00573DC5" w:rsidRPr="00547054">
        <w:rPr>
          <w:rFonts w:ascii="Verdana" w:hAnsi="Verdana"/>
          <w:sz w:val="20"/>
          <w:szCs w:val="20"/>
          <w:lang w:val="en-GB"/>
        </w:rPr>
        <w:t xml:space="preserve">umber of ordinary shares that could have been voted at the meeting: </w:t>
      </w:r>
      <w:r w:rsidR="00170EF2" w:rsidRPr="00170EF2">
        <w:rPr>
          <w:rFonts w:ascii="Verdana" w:hAnsi="Verdana"/>
          <w:sz w:val="20"/>
          <w:szCs w:val="20"/>
          <w:lang w:val="en-GB"/>
        </w:rPr>
        <w:t>5,254,932,159</w:t>
      </w:r>
      <w:r w:rsidR="005607E7" w:rsidRPr="00547054">
        <w:rPr>
          <w:rFonts w:ascii="Verdana" w:hAnsi="Verdana"/>
          <w:sz w:val="20"/>
          <w:szCs w:val="20"/>
          <w:lang w:val="en-GB"/>
        </w:rPr>
        <w:t>.</w:t>
      </w:r>
      <w:r w:rsidR="00C6319C" w:rsidRPr="00547054">
        <w:rPr>
          <w:rFonts w:ascii="Verdana" w:hAnsi="Verdana"/>
          <w:sz w:val="20"/>
          <w:szCs w:val="20"/>
          <w:lang w:val="en-GB"/>
        </w:rPr>
        <w:t xml:space="preserve"> The total number of ordinary shares </w:t>
      </w:r>
      <w:r w:rsidR="007200EA" w:rsidRPr="00547054">
        <w:rPr>
          <w:rFonts w:ascii="Verdana" w:hAnsi="Verdana"/>
          <w:sz w:val="20"/>
          <w:szCs w:val="20"/>
          <w:lang w:val="en-GB"/>
        </w:rPr>
        <w:t xml:space="preserve">represented </w:t>
      </w:r>
      <w:r w:rsidR="00C6319C" w:rsidRPr="00547054">
        <w:rPr>
          <w:rFonts w:ascii="Verdana" w:hAnsi="Verdana"/>
          <w:sz w:val="20"/>
          <w:szCs w:val="20"/>
          <w:lang w:val="en-GB"/>
        </w:rPr>
        <w:t xml:space="preserve">at the meeting was: </w:t>
      </w:r>
      <w:r w:rsidR="005D7077">
        <w:rPr>
          <w:rFonts w:ascii="Verdana" w:hAnsi="Verdana"/>
          <w:sz w:val="20"/>
          <w:szCs w:val="20"/>
          <w:lang w:val="en-GB"/>
        </w:rPr>
        <w:t>4,723,032,358</w:t>
      </w:r>
      <w:r w:rsidR="00007C29">
        <w:rPr>
          <w:rFonts w:ascii="Verdana" w:hAnsi="Verdana"/>
          <w:sz w:val="20"/>
          <w:szCs w:val="20"/>
          <w:lang w:val="en-GB"/>
        </w:rPr>
        <w:t xml:space="preserve"> </w:t>
      </w:r>
      <w:r w:rsidR="00C6319C" w:rsidRPr="00547054">
        <w:rPr>
          <w:rFonts w:ascii="Verdana" w:hAnsi="Verdana"/>
          <w:sz w:val="20"/>
          <w:szCs w:val="20"/>
          <w:lang w:val="en-GB"/>
        </w:rPr>
        <w:t xml:space="preserve">which is </w:t>
      </w:r>
      <w:r w:rsidR="005D7077">
        <w:rPr>
          <w:rFonts w:ascii="Verdana" w:hAnsi="Verdana"/>
          <w:sz w:val="20"/>
          <w:szCs w:val="20"/>
          <w:lang w:val="en-GB"/>
        </w:rPr>
        <w:t>89.88</w:t>
      </w:r>
      <w:r w:rsidR="00007C29" w:rsidRPr="00007C29">
        <w:rPr>
          <w:rFonts w:ascii="Verdana" w:hAnsi="Verdana"/>
          <w:sz w:val="20"/>
          <w:szCs w:val="20"/>
          <w:lang w:val="en-GB"/>
        </w:rPr>
        <w:t>%</w:t>
      </w:r>
      <w:r w:rsidR="00604A2F" w:rsidRPr="00547054">
        <w:rPr>
          <w:rFonts w:ascii="Verdana" w:hAnsi="Verdana"/>
          <w:sz w:val="20"/>
          <w:szCs w:val="20"/>
          <w:lang w:val="en-GB"/>
        </w:rPr>
        <w:t xml:space="preserve"> </w:t>
      </w:r>
      <w:r w:rsidR="00C6319C" w:rsidRPr="00547054">
        <w:rPr>
          <w:rFonts w:ascii="Verdana" w:hAnsi="Verdana"/>
          <w:sz w:val="20"/>
          <w:szCs w:val="20"/>
          <w:lang w:val="en-GB"/>
        </w:rPr>
        <w:t>of the total issued share capital.</w:t>
      </w:r>
      <w:r w:rsidR="00CF79EC" w:rsidRPr="00547054">
        <w:rPr>
          <w:rFonts w:ascii="Verdana" w:hAnsi="Verdana"/>
          <w:sz w:val="20"/>
          <w:szCs w:val="20"/>
          <w:lang w:val="en-GB"/>
        </w:rPr>
        <w:t xml:space="preserve"> </w:t>
      </w:r>
    </w:p>
    <w:p w14:paraId="6AACD0EE" w14:textId="77777777" w:rsidR="005607E7" w:rsidRPr="00547054" w:rsidRDefault="00C6319C" w:rsidP="00547054">
      <w:pPr>
        <w:spacing w:line="276" w:lineRule="auto"/>
        <w:jc w:val="both"/>
        <w:rPr>
          <w:rFonts w:ascii="Verdana" w:hAnsi="Verdana"/>
          <w:sz w:val="22"/>
          <w:szCs w:val="22"/>
          <w:lang w:val="en-GB"/>
        </w:rPr>
      </w:pPr>
      <w:r w:rsidRPr="00547054">
        <w:rPr>
          <w:rFonts w:ascii="Verdana" w:hAnsi="Verdana"/>
          <w:sz w:val="22"/>
          <w:szCs w:val="22"/>
          <w:lang w:val="en-GB"/>
        </w:rPr>
        <w:t xml:space="preserve"> </w:t>
      </w:r>
    </w:p>
    <w:p w14:paraId="02D09E2A" w14:textId="77777777" w:rsidR="00CF21F1" w:rsidRPr="00547054" w:rsidRDefault="00CF21F1" w:rsidP="00547054">
      <w:pPr>
        <w:spacing w:line="276" w:lineRule="auto"/>
        <w:jc w:val="both"/>
        <w:rPr>
          <w:rFonts w:ascii="Verdana" w:hAnsi="Verdana"/>
          <w:sz w:val="22"/>
          <w:szCs w:val="22"/>
          <w:lang w:val="en-GB"/>
        </w:rPr>
        <w:sectPr w:rsidR="00CF21F1" w:rsidRPr="00547054" w:rsidSect="00111DEA">
          <w:footerReference w:type="even" r:id="rId12"/>
          <w:footerReference w:type="default" r:id="rId13"/>
          <w:footerReference w:type="first" r:id="rId14"/>
          <w:pgSz w:w="11900" w:h="16840"/>
          <w:pgMar w:top="720" w:right="720" w:bottom="720" w:left="720" w:header="567" w:footer="510" w:gutter="0"/>
          <w:cols w:space="708"/>
          <w:titlePg/>
          <w:docGrid w:linePitch="360"/>
        </w:sectPr>
      </w:pPr>
    </w:p>
    <w:p w14:paraId="185061AA" w14:textId="77777777" w:rsidR="00573DC5" w:rsidRPr="00547054" w:rsidRDefault="00573DC5" w:rsidP="00547054">
      <w:pPr>
        <w:keepNext/>
        <w:spacing w:line="276" w:lineRule="auto"/>
        <w:jc w:val="both"/>
        <w:rPr>
          <w:rFonts w:ascii="Verdana" w:hAnsi="Verdana" w:cs="Calibri"/>
          <w:sz w:val="20"/>
          <w:szCs w:val="20"/>
          <w:lang w:val="en-GB"/>
        </w:rPr>
      </w:pPr>
      <w:r w:rsidRPr="00547054">
        <w:rPr>
          <w:rFonts w:ascii="Verdana" w:hAnsi="Verdana" w:cs="Calibri"/>
          <w:sz w:val="20"/>
          <w:szCs w:val="20"/>
          <w:lang w:val="en-GB"/>
        </w:rPr>
        <w:lastRenderedPageBreak/>
        <w:t>Details of voting</w:t>
      </w:r>
      <w:r w:rsidR="008C7081" w:rsidRPr="00547054">
        <w:rPr>
          <w:rFonts w:ascii="Verdana" w:hAnsi="Verdana" w:cs="Calibri"/>
          <w:sz w:val="20"/>
          <w:szCs w:val="20"/>
          <w:lang w:val="en-GB"/>
        </w:rPr>
        <w:t xml:space="preserve"> results: </w:t>
      </w:r>
      <w:r w:rsidRPr="00547054">
        <w:rPr>
          <w:rFonts w:ascii="Verdana" w:hAnsi="Verdana" w:cs="Calibri"/>
          <w:sz w:val="20"/>
          <w:szCs w:val="20"/>
          <w:lang w:val="en-GB"/>
        </w:rPr>
        <w:t xml:space="preserve"> </w:t>
      </w:r>
    </w:p>
    <w:tbl>
      <w:tblPr>
        <w:tblW w:w="15588" w:type="dxa"/>
        <w:tblCellMar>
          <w:left w:w="70" w:type="dxa"/>
          <w:right w:w="70" w:type="dxa"/>
        </w:tblCellMar>
        <w:tblLook w:val="04A0" w:firstRow="1" w:lastRow="0" w:firstColumn="1" w:lastColumn="0" w:noHBand="0" w:noVBand="1"/>
      </w:tblPr>
      <w:tblGrid>
        <w:gridCol w:w="988"/>
        <w:gridCol w:w="5528"/>
        <w:gridCol w:w="1559"/>
        <w:gridCol w:w="960"/>
        <w:gridCol w:w="1450"/>
        <w:gridCol w:w="850"/>
        <w:gridCol w:w="1701"/>
        <w:gridCol w:w="1418"/>
        <w:gridCol w:w="1134"/>
      </w:tblGrid>
      <w:tr w:rsidR="00C6319C" w:rsidRPr="00547054" w14:paraId="0E31C640" w14:textId="77777777" w:rsidTr="00612494">
        <w:trPr>
          <w:trHeight w:val="520"/>
        </w:trPr>
        <w:tc>
          <w:tcPr>
            <w:tcW w:w="988" w:type="dxa"/>
            <w:tcBorders>
              <w:top w:val="single" w:sz="4" w:space="0" w:color="auto"/>
              <w:left w:val="single" w:sz="4" w:space="0" w:color="auto"/>
              <w:bottom w:val="single" w:sz="4" w:space="0" w:color="auto"/>
              <w:right w:val="single" w:sz="4" w:space="0" w:color="auto"/>
            </w:tcBorders>
          </w:tcPr>
          <w:p w14:paraId="5EBF7746"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bCs/>
                <w:sz w:val="18"/>
                <w:szCs w:val="18"/>
                <w:lang w:val="en-GB" w:eastAsia="nl-NL"/>
              </w:rPr>
              <w:t>N</w:t>
            </w:r>
            <w:r w:rsidR="007F59B7" w:rsidRPr="00547054">
              <w:rPr>
                <w:rFonts w:ascii="Verdana" w:hAnsi="Verdana" w:cstheme="minorHAnsi"/>
                <w:b/>
                <w:bCs/>
                <w:sz w:val="18"/>
                <w:szCs w:val="18"/>
                <w:lang w:val="en-GB" w:eastAsia="nl-NL"/>
              </w:rPr>
              <w:t>O.</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724F91F7"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AGENDA ITEM</w:t>
            </w:r>
          </w:p>
        </w:tc>
        <w:tc>
          <w:tcPr>
            <w:tcW w:w="1559" w:type="dxa"/>
            <w:tcBorders>
              <w:top w:val="single" w:sz="4" w:space="0" w:color="auto"/>
              <w:left w:val="nil"/>
              <w:bottom w:val="single" w:sz="4" w:space="0" w:color="auto"/>
              <w:right w:val="single" w:sz="4" w:space="0" w:color="auto"/>
            </w:tcBorders>
            <w:shd w:val="clear" w:color="auto" w:fill="auto"/>
            <w:hideMark/>
          </w:tcPr>
          <w:p w14:paraId="719FB341"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VOTES</w:t>
            </w:r>
            <w:r w:rsidRPr="00547054">
              <w:rPr>
                <w:rFonts w:ascii="Verdana" w:hAnsi="Verdana" w:cstheme="minorHAnsi"/>
                <w:b/>
                <w:sz w:val="18"/>
                <w:szCs w:val="18"/>
                <w:lang w:val="en-GB" w:eastAsia="nl-NL"/>
              </w:rPr>
              <w:br/>
              <w:t>FOR</w:t>
            </w:r>
          </w:p>
        </w:tc>
        <w:tc>
          <w:tcPr>
            <w:tcW w:w="960" w:type="dxa"/>
            <w:tcBorders>
              <w:top w:val="single" w:sz="4" w:space="0" w:color="auto"/>
              <w:left w:val="nil"/>
              <w:bottom w:val="single" w:sz="4" w:space="0" w:color="auto"/>
              <w:right w:val="single" w:sz="4" w:space="0" w:color="auto"/>
            </w:tcBorders>
            <w:shd w:val="clear" w:color="auto" w:fill="auto"/>
            <w:hideMark/>
          </w:tcPr>
          <w:p w14:paraId="16ACAEA4"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w:t>
            </w:r>
          </w:p>
        </w:tc>
        <w:tc>
          <w:tcPr>
            <w:tcW w:w="1450" w:type="dxa"/>
            <w:tcBorders>
              <w:top w:val="single" w:sz="4" w:space="0" w:color="auto"/>
              <w:left w:val="nil"/>
              <w:bottom w:val="single" w:sz="4" w:space="0" w:color="auto"/>
              <w:right w:val="single" w:sz="4" w:space="0" w:color="auto"/>
            </w:tcBorders>
            <w:shd w:val="clear" w:color="auto" w:fill="auto"/>
            <w:hideMark/>
          </w:tcPr>
          <w:p w14:paraId="79B47DF3"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VOTES</w:t>
            </w:r>
            <w:r w:rsidRPr="00547054">
              <w:rPr>
                <w:rFonts w:ascii="Verdana" w:hAnsi="Verdana" w:cstheme="minorHAnsi"/>
                <w:b/>
                <w:sz w:val="18"/>
                <w:szCs w:val="18"/>
                <w:lang w:val="en-GB" w:eastAsia="nl-NL"/>
              </w:rPr>
              <w:br/>
              <w:t>AGAINST</w:t>
            </w:r>
          </w:p>
        </w:tc>
        <w:tc>
          <w:tcPr>
            <w:tcW w:w="850" w:type="dxa"/>
            <w:tcBorders>
              <w:top w:val="single" w:sz="4" w:space="0" w:color="auto"/>
              <w:left w:val="nil"/>
              <w:bottom w:val="single" w:sz="4" w:space="0" w:color="auto"/>
              <w:right w:val="single" w:sz="4" w:space="0" w:color="auto"/>
            </w:tcBorders>
            <w:shd w:val="clear" w:color="auto" w:fill="auto"/>
            <w:hideMark/>
          </w:tcPr>
          <w:p w14:paraId="1C50D235"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w:t>
            </w:r>
          </w:p>
        </w:tc>
        <w:tc>
          <w:tcPr>
            <w:tcW w:w="1701" w:type="dxa"/>
            <w:tcBorders>
              <w:top w:val="single" w:sz="4" w:space="0" w:color="auto"/>
              <w:left w:val="nil"/>
              <w:bottom w:val="single" w:sz="4" w:space="0" w:color="auto"/>
              <w:right w:val="single" w:sz="4" w:space="0" w:color="auto"/>
            </w:tcBorders>
            <w:shd w:val="clear" w:color="auto" w:fill="auto"/>
            <w:hideMark/>
          </w:tcPr>
          <w:p w14:paraId="639D09B4"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VOTES</w:t>
            </w:r>
            <w:r w:rsidRPr="00547054">
              <w:rPr>
                <w:rFonts w:ascii="Verdana" w:hAnsi="Verdana" w:cstheme="minorHAnsi"/>
                <w:b/>
                <w:sz w:val="18"/>
                <w:szCs w:val="18"/>
                <w:lang w:val="en-GB" w:eastAsia="nl-NL"/>
              </w:rPr>
              <w:br/>
              <w:t>ABSTAIN</w:t>
            </w:r>
          </w:p>
        </w:tc>
        <w:tc>
          <w:tcPr>
            <w:tcW w:w="1418" w:type="dxa"/>
            <w:tcBorders>
              <w:top w:val="single" w:sz="4" w:space="0" w:color="auto"/>
              <w:left w:val="nil"/>
              <w:bottom w:val="single" w:sz="4" w:space="0" w:color="auto"/>
              <w:right w:val="single" w:sz="4" w:space="0" w:color="auto"/>
            </w:tcBorders>
            <w:shd w:val="clear" w:color="auto" w:fill="auto"/>
            <w:hideMark/>
          </w:tcPr>
          <w:p w14:paraId="1A8A1F0D"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sz w:val="18"/>
                <w:szCs w:val="18"/>
                <w:lang w:val="en-GB" w:eastAsia="nl-NL"/>
              </w:rPr>
              <w:t>VOTES</w:t>
            </w:r>
            <w:r w:rsidRPr="00547054">
              <w:rPr>
                <w:rFonts w:ascii="Verdana" w:hAnsi="Verdana" w:cstheme="minorHAnsi"/>
                <w:b/>
                <w:sz w:val="18"/>
                <w:szCs w:val="18"/>
                <w:lang w:val="en-GB" w:eastAsia="nl-NL"/>
              </w:rPr>
              <w:br/>
              <w:t>TOTAL</w:t>
            </w:r>
          </w:p>
        </w:tc>
        <w:tc>
          <w:tcPr>
            <w:tcW w:w="1134" w:type="dxa"/>
            <w:tcBorders>
              <w:top w:val="single" w:sz="4" w:space="0" w:color="auto"/>
              <w:left w:val="nil"/>
              <w:bottom w:val="single" w:sz="4" w:space="0" w:color="auto"/>
              <w:right w:val="single" w:sz="4" w:space="0" w:color="auto"/>
            </w:tcBorders>
            <w:shd w:val="clear" w:color="auto" w:fill="auto"/>
            <w:hideMark/>
          </w:tcPr>
          <w:p w14:paraId="3FD5F556" w14:textId="77777777" w:rsidR="00C6319C" w:rsidRPr="00547054" w:rsidRDefault="00C6319C" w:rsidP="00547054">
            <w:pPr>
              <w:spacing w:line="276" w:lineRule="auto"/>
              <w:jc w:val="center"/>
              <w:rPr>
                <w:rFonts w:ascii="Verdana" w:hAnsi="Verdana" w:cstheme="minorHAnsi"/>
                <w:b/>
                <w:sz w:val="18"/>
                <w:szCs w:val="18"/>
                <w:lang w:val="en-GB" w:eastAsia="nl-NL"/>
              </w:rPr>
            </w:pPr>
            <w:r w:rsidRPr="00547054">
              <w:rPr>
                <w:rFonts w:ascii="Verdana" w:hAnsi="Verdana" w:cstheme="minorHAnsi"/>
                <w:b/>
                <w:bCs/>
                <w:sz w:val="18"/>
                <w:szCs w:val="18"/>
                <w:lang w:val="en-GB" w:eastAsia="nl-NL"/>
              </w:rPr>
              <w:t xml:space="preserve">% of </w:t>
            </w:r>
            <w:r w:rsidR="007F59B7" w:rsidRPr="00547054">
              <w:rPr>
                <w:rFonts w:ascii="Verdana" w:hAnsi="Verdana" w:cstheme="minorHAnsi"/>
                <w:b/>
                <w:bCs/>
                <w:sz w:val="18"/>
                <w:szCs w:val="18"/>
                <w:lang w:val="en-GB" w:eastAsia="nl-NL"/>
              </w:rPr>
              <w:t>ISSUED SHARE CAPITAL</w:t>
            </w:r>
            <w:r w:rsidRPr="00547054">
              <w:rPr>
                <w:rFonts w:ascii="Verdana" w:hAnsi="Verdana" w:cstheme="minorHAnsi"/>
                <w:b/>
                <w:bCs/>
                <w:sz w:val="18"/>
                <w:szCs w:val="18"/>
                <w:lang w:val="en-GB" w:eastAsia="nl-NL"/>
              </w:rPr>
              <w:t xml:space="preserve"> VOTED</w:t>
            </w:r>
          </w:p>
        </w:tc>
      </w:tr>
      <w:tr w:rsidR="00A14DCB" w:rsidRPr="00612494" w14:paraId="76CD161E"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268F4F35" w14:textId="5727805C" w:rsidR="00A14DCB" w:rsidRPr="00612494" w:rsidRDefault="00A14DCB" w:rsidP="00A14DCB">
            <w:pPr>
              <w:spacing w:line="276" w:lineRule="auto"/>
              <w:rPr>
                <w:rFonts w:ascii="Verdana" w:hAnsi="Verdana" w:cstheme="minorHAnsi"/>
                <w:color w:val="000000"/>
                <w:sz w:val="18"/>
                <w:szCs w:val="18"/>
                <w:lang w:val="en-GB" w:eastAsia="nl-NL"/>
              </w:rPr>
            </w:pPr>
            <w:bookmarkStart w:id="1" w:name="_Hlk48658942"/>
            <w:r w:rsidRPr="00612494">
              <w:rPr>
                <w:rFonts w:ascii="Verdana" w:hAnsi="Verdana" w:cstheme="minorHAnsi"/>
                <w:color w:val="000000"/>
                <w:sz w:val="18"/>
                <w:szCs w:val="18"/>
                <w:lang w:val="en-GB" w:eastAsia="nl-NL"/>
              </w:rPr>
              <w:t>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6271" w14:textId="77777777"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approve the directors’ remuneration report</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873801E" w14:textId="76836109"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4 124 976 241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6A410" w14:textId="77DA1988"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87,34</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0D73F" w14:textId="31D59F8E"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597 841 089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E7921" w14:textId="7B614AFD"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12,66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9E0BF" w14:textId="722F1ED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214 701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FDF98" w14:textId="11CFC389"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ACC0" w14:textId="417D66FF"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bookmarkEnd w:id="1"/>
      <w:tr w:rsidR="00A14DCB" w:rsidRPr="00612494" w14:paraId="08A0C553"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34D66AF8" w14:textId="02E94272"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7F7E" w14:textId="0ABA0D61"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adopt the annual accounts for the financial year ending 31 March 2025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671BE9E" w14:textId="2CEE478D"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4 721 731 768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A95EF" w14:textId="2A5B714F"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99,98</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69FD4" w14:textId="30B725B4"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872 075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E7617" w14:textId="6F984429"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4FD63" w14:textId="09FD0B98"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427 971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99F2D" w14:textId="1C09EFC6"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4 723 031 814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C3D83" w14:textId="706CD3D6"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26B0609A"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1ABEC903" w14:textId="1CE01E65"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232FC" w14:textId="7BDB658B"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make a distribution in relation to the financial year ending 31 March 2025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4DABE8C" w14:textId="31CB3637"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4 713 554 064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CC1E6" w14:textId="7C85ACA4"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99,80</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76182" w14:textId="5109C61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9 228 822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4809C" w14:textId="49A41AA2"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6A5FC" w14:textId="5C98FD80"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249 145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A68B3" w14:textId="24D3BA3D"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F5EB0" w14:textId="34DD323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4A2FD814"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5776C58B" w14:textId="1AE085FC"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537EC" w14:textId="05133970"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discharge the executive directors from liability</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F04B8" w14:textId="4093F1A5"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4 589 937 714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4D239" w14:textId="49EBD0FB"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97,30</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1BB35" w14:textId="4C618740"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127 248 323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7CCAC" w14:textId="772A67D2"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3DC65" w14:textId="4A02FAD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5 845 994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AD678" w14:textId="5BCE0D67"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2BA3E" w14:textId="0FCAE1AF"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4F863CEF"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2F67EF80" w14:textId="12FC0F0B"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BD711" w14:textId="77777777"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discharge the non-executive directors from liability</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B5691A5" w14:textId="4F01ACC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4 581 491 895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E6B6A" w14:textId="7707BE00"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97,05</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BA0BF" w14:textId="4808AE97"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139 050 537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26DB1" w14:textId="04A12C03"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702E1" w14:textId="56E562B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2 489 599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66668" w14:textId="35B4F61C"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35023" w14:textId="4715C2A0"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7A0AC56F"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28816556" w14:textId="40A88E14"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7</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96791" w14:textId="2E64040D"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adopt the remuneration policy of the executive and non-executive directors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4A6D88D" w14:textId="0AA46BE4"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4 032 145 266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E7FE0" w14:textId="05ED4B33"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85,38</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C8884" w14:textId="40ABF00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690 675 075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E2F7C" w14:textId="244D88F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14,62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06185" w14:textId="76BA924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211 690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9EB02" w14:textId="6ADD1699"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96E57" w14:textId="55B3615B"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55E3D128"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0D046FE2" w14:textId="6F814423"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8</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4F5E2" w14:textId="77777777"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approve  the remuneration of the non-executive directors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699D590" w14:textId="7865ACD6"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4 697 243 672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2D5E5" w14:textId="17A1262F"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99,46</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49133" w14:textId="40224E6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25 546 131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337A8" w14:textId="62B0632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AF1B0" w14:textId="5C9EAB2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242 228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6B59E" w14:textId="3C83EBA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24F94" w14:textId="664EDF6C"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60DE680B"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7263FB2D" w14:textId="771E767F"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9</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7CFBC" w14:textId="77777777"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 xml:space="preserve">To appoint Phuthi </w:t>
            </w:r>
            <w:proofErr w:type="spellStart"/>
            <w:r w:rsidRPr="00612494">
              <w:rPr>
                <w:rFonts w:ascii="Verdana" w:hAnsi="Verdana" w:cstheme="minorHAnsi"/>
                <w:color w:val="000000"/>
                <w:sz w:val="18"/>
                <w:szCs w:val="18"/>
                <w:lang w:val="en-GB" w:eastAsia="nl-NL"/>
              </w:rPr>
              <w:t>Mahaneyele</w:t>
            </w:r>
            <w:proofErr w:type="spellEnd"/>
            <w:r w:rsidRPr="00612494">
              <w:rPr>
                <w:rFonts w:ascii="Verdana" w:hAnsi="Verdana" w:cstheme="minorHAnsi"/>
                <w:color w:val="000000"/>
                <w:sz w:val="18"/>
                <w:szCs w:val="18"/>
                <w:lang w:val="en-GB" w:eastAsia="nl-NL"/>
              </w:rPr>
              <w:t>-Dabengwa as an executive director of Prosus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0D8FF71" w14:textId="383F1000"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4 675 712 772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C68F8" w14:textId="7D678589"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99,04</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3CC02" w14:textId="0E47613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45 118 254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6415E" w14:textId="327E7F68"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6886A" w14:textId="74BA69F1"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2 201 005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C3F78" w14:textId="633F1723"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BCD43" w14:textId="4C60E262"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5D9B1B6C"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69A3F050" w14:textId="77777777"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71D0B" w14:textId="4F201FA2"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appoint Nico Marais as an executive director of Prosus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032076A" w14:textId="285FCC37"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4 686 194 722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32DE0" w14:textId="30C896DB"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99,27</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39EFA" w14:textId="0D3D632A"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34 636 078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6A3ED" w14:textId="5979E308"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BA366" w14:textId="23D99412"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2 201 231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853E7" w14:textId="7182F7D7"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78237" w14:textId="487E0109" w:rsidR="00A14DCB" w:rsidRPr="00A14DCB" w:rsidRDefault="00A14DCB" w:rsidP="00A14DCB">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14DCB" w:rsidRPr="00612494" w14:paraId="06FCC1C2" w14:textId="77777777" w:rsidTr="00C278A6">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0A453E9F" w14:textId="38D52A7C"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00A7" w14:textId="509E4AF1" w:rsidR="00A14DCB" w:rsidRPr="00612494" w:rsidRDefault="00A14DCB" w:rsidP="00A14DCB">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 xml:space="preserve">To reappoint the following non-executive directors: </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2A5C48F" w14:textId="1393F653" w:rsidR="00A14DCB" w:rsidRPr="00A14DCB" w:rsidRDefault="00A14DCB" w:rsidP="00A14DCB">
            <w:pPr>
              <w:spacing w:line="276" w:lineRule="auto"/>
              <w:jc w:val="center"/>
              <w:rPr>
                <w:rFonts w:ascii="Verdana" w:hAnsi="Verdana" w:cstheme="minorHAnsi"/>
                <w:color w:val="000000"/>
                <w:sz w:val="18"/>
                <w:szCs w:val="18"/>
                <w:lang w:val="en-GB" w:eastAsia="nl-NL"/>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C727D23" w14:textId="46FDD9A9" w:rsidR="00A14DCB" w:rsidRPr="00A14DCB" w:rsidRDefault="00A14DCB" w:rsidP="00A14DCB">
            <w:pPr>
              <w:spacing w:line="276" w:lineRule="auto"/>
              <w:jc w:val="center"/>
              <w:rPr>
                <w:rFonts w:ascii="Verdana" w:hAnsi="Verdana" w:cstheme="minorHAnsi"/>
                <w:color w:val="000000"/>
                <w:sz w:val="18"/>
                <w:szCs w:val="18"/>
                <w:lang w:val="en-GB" w:eastAsia="nl-NL"/>
              </w:rPr>
            </w:pPr>
          </w:p>
        </w:tc>
        <w:tc>
          <w:tcPr>
            <w:tcW w:w="1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F3783BB" w14:textId="29DE0F4E" w:rsidR="00A14DCB" w:rsidRPr="00A14DCB" w:rsidRDefault="00A14DCB" w:rsidP="00A14DCB">
            <w:pPr>
              <w:spacing w:line="276" w:lineRule="auto"/>
              <w:jc w:val="center"/>
              <w:rPr>
                <w:rFonts w:ascii="Verdana" w:hAnsi="Verdana" w:cstheme="minorHAnsi"/>
                <w:color w:val="000000"/>
                <w:sz w:val="18"/>
                <w:szCs w:val="18"/>
                <w:lang w:val="en-GB" w:eastAsia="nl-NL"/>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FC55281" w14:textId="392A6128" w:rsidR="00A14DCB" w:rsidRPr="00A14DCB" w:rsidRDefault="00A14DCB" w:rsidP="00A14DCB">
            <w:pPr>
              <w:spacing w:line="276" w:lineRule="auto"/>
              <w:jc w:val="center"/>
              <w:rPr>
                <w:rFonts w:ascii="Verdana" w:hAnsi="Verdana" w:cstheme="minorHAnsi"/>
                <w:color w:val="000000"/>
                <w:sz w:val="18"/>
                <w:szCs w:val="18"/>
                <w:lang w:val="en-GB" w:eastAsia="nl-NL"/>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FFB1A32" w14:textId="59DAC7A8" w:rsidR="00A14DCB" w:rsidRPr="00A14DCB" w:rsidRDefault="00A14DCB" w:rsidP="00A14DCB">
            <w:pPr>
              <w:spacing w:line="276" w:lineRule="auto"/>
              <w:jc w:val="center"/>
              <w:rPr>
                <w:rFonts w:ascii="Verdana" w:hAnsi="Verdana" w:cstheme="minorHAnsi"/>
                <w:color w:val="000000"/>
                <w:sz w:val="18"/>
                <w:szCs w:val="18"/>
                <w:lang w:val="en-GB"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F28C941" w14:textId="275A9A36" w:rsidR="00A14DCB" w:rsidRPr="00A14DCB" w:rsidRDefault="00A14DCB" w:rsidP="00A14DCB">
            <w:pPr>
              <w:spacing w:line="276" w:lineRule="auto"/>
              <w:jc w:val="center"/>
              <w:rPr>
                <w:rFonts w:ascii="Verdana" w:hAnsi="Verdana" w:cstheme="minorHAnsi"/>
                <w:color w:val="000000"/>
                <w:sz w:val="18"/>
                <w:szCs w:val="18"/>
                <w:lang w:val="en-GB" w:eastAsia="nl-NL"/>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ABD9B53" w14:textId="490D8957" w:rsidR="00A14DCB" w:rsidRPr="00A14DCB" w:rsidRDefault="00A14DCB" w:rsidP="00A14DCB">
            <w:pPr>
              <w:spacing w:line="276" w:lineRule="auto"/>
              <w:jc w:val="center"/>
              <w:rPr>
                <w:rFonts w:ascii="Verdana" w:hAnsi="Verdana" w:cstheme="minorHAnsi"/>
                <w:color w:val="000000"/>
                <w:sz w:val="18"/>
                <w:szCs w:val="18"/>
                <w:lang w:val="en-GB" w:eastAsia="nl-NL"/>
              </w:rPr>
            </w:pPr>
          </w:p>
        </w:tc>
      </w:tr>
      <w:tr w:rsidR="00AA6CC0" w:rsidRPr="00612494" w14:paraId="42A5F718"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29A1D398" w14:textId="736ADBDC"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11.1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F36D3" w14:textId="251201E9"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Koos Bekker</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42716DD" w14:textId="24CE920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4 315 202 354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510CC" w14:textId="60505225"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91,74</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24D42" w14:textId="47A074D5"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388 560 573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AAD3B" w14:textId="607D60C3"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45228" w14:textId="2B7A02BA"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19 269 104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071F8" w14:textId="38025C0F"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FBBB" w14:textId="0916104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10A3F267"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74053C77" w14:textId="355D660B"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11.2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D9EE4" w14:textId="044BAA20"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Sharmistha Dubey</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1F53578" w14:textId="6B3342E2"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4 711 369 418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10F9C" w14:textId="2DDE7E9C"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99,76</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0DDC3" w14:textId="1D18BBBE"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11 417 797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8790E" w14:textId="389A86B2"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8C131" w14:textId="52FAD491"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244 816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823A2" w14:textId="198A383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BC57B" w14:textId="7C8F3BB4"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4A88CFC2"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7C971069" w14:textId="0C49ECC5"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11.3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D98C9" w14:textId="2F9DA2EB"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Debra Meyer</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3BB2E9D" w14:textId="78D41341"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4 659 344 782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7FD79" w14:textId="6EC7A5F3"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98,66</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3ECE3" w14:textId="4BE1D51F"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63 501 030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3A9D0" w14:textId="42419DD8"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6793C" w14:textId="47D0A190"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186 219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5E97B" w14:textId="1DE9EDF1"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B0918" w14:textId="4228758A"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3302EFC0"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1B936214" w14:textId="0B131951"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11.4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65BCE" w14:textId="3FCD9284"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Steve Pacak</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A9CACB3" w14:textId="08E8A8A7"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4 363 486 875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A3814" w14:textId="2E0B009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93,02</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63275" w14:textId="1F3D719B"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327 641 637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A6828" w14:textId="02E216BA"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6,98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7C1C" w14:textId="134BAE7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31 903 519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803C8" w14:textId="60F01192"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5DFAD" w14:textId="2B159F00"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37F0A9A4"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7DDE889F" w14:textId="77777777"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12</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C325F" w14:textId="390D9E7E"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reappoint Deloitte Accountants B.V. as the auditor charged with the auditing of the annual accounts for the years ending 31 March 2026 and 31 March 2027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3955509" w14:textId="4042CE9C"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4 718 424 415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BEAAD" w14:textId="4E3BDC9C"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99,91</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6AF5B" w14:textId="1A907E6B"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4 367 481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24552" w14:textId="4683389F"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A4004" w14:textId="6C4A903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240 135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6C280" w14:textId="23159F8A"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09BAB" w14:textId="0DF8E6FE"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2D3D560D"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0A61A13D" w14:textId="5A0D5824"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35EC0" w14:textId="6D445EAF"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appoint Deloitte Accountants B.V. as the auditor charged with the auditing of the sustainability statements  for the year ending 31 March 2027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B06D16E" w14:textId="5CCC41A2"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4 721 798 246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D2F19" w14:textId="22471AE5"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99,98</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48628" w14:textId="493EF196"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990 385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B8F96" w14:textId="0093D67A"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04C6E" w14:textId="4EC01B50"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243 400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0D0C1" w14:textId="708F62A8"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5702E" w14:textId="7AE0EDF0"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16E6C8AA"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251AF330" w14:textId="5F2B67E0"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14</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03056" w14:textId="3D478C20"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designate the board of directors as the Company body authorised to issue shares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A7B1A0D" w14:textId="1EC36B40"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4 620 948 269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33127" w14:textId="060A1AF5"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97,87</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16322" w14:textId="6CC97704"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100 549 402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F183" w14:textId="5F9A539B"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1E01D" w14:textId="437A5A38"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1 534 360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FBB36" w14:textId="10005B8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DD810" w14:textId="32A84F7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41ECD040"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2EACD622" w14:textId="7C85670E"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AEEB" w14:textId="7CD77985"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authorise the board of directors to resolve that the Company acquires shares in its own capital</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4063BAD" w14:textId="1BD976F2"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4 402 577 205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C0834" w14:textId="37B2893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93,23</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3A11B" w14:textId="74E30D3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319 875 931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89082" w14:textId="3C2C8C8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6,77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C7CE8" w14:textId="00A17F9E"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578 895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0942B" w14:textId="5585F8F5"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0FED4" w14:textId="6D9CBABA"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r w:rsidR="00AA6CC0" w:rsidRPr="00612494" w14:paraId="16E86CFA" w14:textId="77777777" w:rsidTr="00612494">
        <w:trPr>
          <w:trHeight w:val="290"/>
        </w:trPr>
        <w:tc>
          <w:tcPr>
            <w:tcW w:w="988" w:type="dxa"/>
            <w:tcBorders>
              <w:top w:val="single" w:sz="4" w:space="0" w:color="auto"/>
              <w:left w:val="single" w:sz="4" w:space="0" w:color="auto"/>
              <w:bottom w:val="single" w:sz="4" w:space="0" w:color="auto"/>
              <w:right w:val="nil"/>
            </w:tcBorders>
            <w:shd w:val="clear" w:color="auto" w:fill="auto"/>
            <w:vAlign w:val="center"/>
          </w:tcPr>
          <w:p w14:paraId="34FDFACC" w14:textId="45415D04"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16</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2BE5" w14:textId="77777777" w:rsidR="00AA6CC0" w:rsidRPr="00612494" w:rsidRDefault="00AA6CC0" w:rsidP="00AA6CC0">
            <w:pPr>
              <w:spacing w:line="276" w:lineRule="auto"/>
              <w:rPr>
                <w:rFonts w:ascii="Verdana" w:hAnsi="Verdana" w:cstheme="minorHAnsi"/>
                <w:color w:val="000000"/>
                <w:sz w:val="18"/>
                <w:szCs w:val="18"/>
                <w:lang w:val="en-GB" w:eastAsia="nl-NL"/>
              </w:rPr>
            </w:pPr>
            <w:r w:rsidRPr="00612494">
              <w:rPr>
                <w:rFonts w:ascii="Verdana" w:hAnsi="Verdana" w:cstheme="minorHAnsi"/>
                <w:color w:val="000000"/>
                <w:sz w:val="18"/>
                <w:szCs w:val="18"/>
                <w:lang w:val="en-GB" w:eastAsia="nl-NL"/>
              </w:rPr>
              <w:t>To reduce the share capital by cancelling own shares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C1FA41F" w14:textId="108703D7"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4 705 922 446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7E805" w14:textId="0D4C14B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99,64</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CC87B" w14:textId="189C040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16 871 235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3E728" w14:textId="02DDCCCB"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0,36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7C685" w14:textId="16A74E07"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238 350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79FC1" w14:textId="7AA98209"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4 723 032 031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874DF" w14:textId="018E26DD" w:rsidR="00AA6CC0" w:rsidRPr="00A14DCB" w:rsidRDefault="00AA6CC0" w:rsidP="00AA6CC0">
            <w:pPr>
              <w:spacing w:line="276" w:lineRule="auto"/>
              <w:jc w:val="center"/>
              <w:rPr>
                <w:rFonts w:ascii="Verdana" w:hAnsi="Verdana" w:cstheme="minorHAnsi"/>
                <w:color w:val="000000"/>
                <w:sz w:val="18"/>
                <w:szCs w:val="18"/>
                <w:lang w:val="en-GB" w:eastAsia="nl-NL"/>
              </w:rPr>
            </w:pPr>
            <w:r w:rsidRPr="00A14DCB">
              <w:rPr>
                <w:rFonts w:ascii="Aptos Narrow" w:hAnsi="Aptos Narrow"/>
                <w:color w:val="000000"/>
                <w:sz w:val="18"/>
                <w:szCs w:val="18"/>
              </w:rPr>
              <w:t>89,88%</w:t>
            </w:r>
          </w:p>
        </w:tc>
      </w:tr>
    </w:tbl>
    <w:p w14:paraId="6DA95DC0" w14:textId="77777777" w:rsidR="00CF21F1" w:rsidRPr="00612494" w:rsidRDefault="00CF21F1" w:rsidP="00547054">
      <w:pPr>
        <w:spacing w:line="276" w:lineRule="auto"/>
        <w:jc w:val="both"/>
        <w:rPr>
          <w:rFonts w:ascii="Verdana" w:hAnsi="Verdana"/>
          <w:sz w:val="18"/>
          <w:szCs w:val="18"/>
          <w:lang w:val="en-GB"/>
        </w:rPr>
        <w:sectPr w:rsidR="00CF21F1" w:rsidRPr="00612494" w:rsidSect="00BE5FF8">
          <w:pgSz w:w="16840" w:h="11900" w:orient="landscape"/>
          <w:pgMar w:top="720" w:right="720" w:bottom="720" w:left="720" w:header="708" w:footer="708" w:gutter="0"/>
          <w:cols w:space="708"/>
          <w:titlePg/>
          <w:docGrid w:linePitch="360"/>
        </w:sectPr>
      </w:pPr>
    </w:p>
    <w:p w14:paraId="157E9207" w14:textId="77777777" w:rsidR="00112278" w:rsidRPr="00CB59D4" w:rsidRDefault="00112278" w:rsidP="00547054">
      <w:pPr>
        <w:spacing w:after="160" w:line="276" w:lineRule="auto"/>
        <w:jc w:val="both"/>
        <w:rPr>
          <w:rFonts w:ascii="Verdana" w:hAnsi="Verdana"/>
          <w:b/>
          <w:sz w:val="20"/>
          <w:szCs w:val="20"/>
          <w:lang w:val="en-GB"/>
        </w:rPr>
      </w:pPr>
      <w:r w:rsidRPr="00612494">
        <w:rPr>
          <w:rFonts w:ascii="Verdana" w:hAnsi="Verdana"/>
          <w:b/>
          <w:sz w:val="18"/>
          <w:szCs w:val="18"/>
          <w:lang w:val="en-GB"/>
        </w:rPr>
        <w:lastRenderedPageBreak/>
        <w:t>S</w:t>
      </w:r>
      <w:r w:rsidRPr="00CB59D4">
        <w:rPr>
          <w:rFonts w:ascii="Verdana" w:hAnsi="Verdana"/>
          <w:b/>
          <w:sz w:val="20"/>
          <w:szCs w:val="20"/>
          <w:lang w:val="en-GB"/>
        </w:rPr>
        <w:t>ummary of statements from the annual general meeting:</w:t>
      </w:r>
    </w:p>
    <w:p w14:paraId="33B4D303" w14:textId="77777777" w:rsidR="006B26B6" w:rsidRPr="00CB59D4" w:rsidRDefault="006B26B6" w:rsidP="00547054">
      <w:pPr>
        <w:spacing w:after="160" w:line="276" w:lineRule="auto"/>
        <w:jc w:val="both"/>
        <w:rPr>
          <w:rFonts w:ascii="Verdana" w:hAnsi="Verdana" w:cs="Calibri"/>
          <w:b/>
          <w:sz w:val="20"/>
          <w:szCs w:val="20"/>
          <w:lang w:val="en-GB"/>
        </w:rPr>
      </w:pPr>
    </w:p>
    <w:p w14:paraId="39FFBD77" w14:textId="77777777" w:rsidR="00DE1845" w:rsidRPr="005B17A3" w:rsidRDefault="00DE1845" w:rsidP="00DE1845">
      <w:pPr>
        <w:keepNext/>
        <w:spacing w:after="160" w:line="276" w:lineRule="auto"/>
        <w:jc w:val="both"/>
        <w:rPr>
          <w:rFonts w:ascii="Verdana" w:hAnsi="Verdana"/>
          <w:b/>
          <w:bCs/>
          <w:sz w:val="20"/>
          <w:szCs w:val="20"/>
          <w:lang w:val="en-GB"/>
        </w:rPr>
      </w:pPr>
      <w:r w:rsidRPr="005B17A3">
        <w:rPr>
          <w:rFonts w:ascii="Verdana" w:hAnsi="Verdana"/>
          <w:b/>
          <w:bCs/>
          <w:sz w:val="20"/>
          <w:szCs w:val="20"/>
          <w:lang w:val="en-GB"/>
        </w:rPr>
        <w:t>Unlocking an AI-first world</w:t>
      </w:r>
    </w:p>
    <w:p w14:paraId="23144BC9" w14:textId="4FD735F3"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 xml:space="preserve">We believe this time of fast change offers opportunities to invest in transformative businesses, particularly in AI or </w:t>
      </w:r>
      <w:r w:rsidR="009E030C" w:rsidRPr="005B17A3">
        <w:rPr>
          <w:rFonts w:ascii="Verdana" w:hAnsi="Verdana"/>
          <w:sz w:val="20"/>
          <w:szCs w:val="20"/>
          <w:lang w:val="en-GB"/>
        </w:rPr>
        <w:t>artificial</w:t>
      </w:r>
      <w:r w:rsidRPr="005B17A3">
        <w:rPr>
          <w:rFonts w:ascii="Verdana" w:hAnsi="Verdana"/>
          <w:sz w:val="20"/>
          <w:szCs w:val="20"/>
          <w:lang w:val="en-GB"/>
        </w:rPr>
        <w:t xml:space="preserve"> </w:t>
      </w:r>
      <w:r w:rsidR="009E030C" w:rsidRPr="005B17A3">
        <w:rPr>
          <w:rFonts w:ascii="Verdana" w:hAnsi="Verdana"/>
          <w:sz w:val="20"/>
          <w:szCs w:val="20"/>
          <w:lang w:val="en-GB"/>
        </w:rPr>
        <w:t>intelligence</w:t>
      </w:r>
      <w:r w:rsidRPr="005B17A3">
        <w:rPr>
          <w:rFonts w:ascii="Verdana" w:hAnsi="Verdana"/>
          <w:sz w:val="20"/>
          <w:szCs w:val="20"/>
          <w:lang w:val="en-GB"/>
        </w:rPr>
        <w:t>. Our goal is to build the #1 lifestyle ecommerce ecosystems in Latin America, Europe and India, unlocking an AI-first world for our two billion consumers.</w:t>
      </w:r>
    </w:p>
    <w:p w14:paraId="5CAC116B" w14:textId="77777777" w:rsidR="00DE1845" w:rsidRPr="005B17A3" w:rsidRDefault="00DE1845" w:rsidP="00DE1845">
      <w:pPr>
        <w:spacing w:line="276" w:lineRule="auto"/>
        <w:jc w:val="both"/>
        <w:rPr>
          <w:rFonts w:ascii="Verdana" w:hAnsi="Verdana"/>
          <w:sz w:val="20"/>
          <w:szCs w:val="20"/>
          <w:lang w:val="en-GB"/>
        </w:rPr>
      </w:pPr>
    </w:p>
    <w:p w14:paraId="502526F0" w14:textId="3311A425"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Given the speed at which our daily lives are becoming more digital, we have focused our considerable technological capabilities on AI and digital transformation</w:t>
      </w:r>
      <w:r w:rsidR="00A51B93">
        <w:rPr>
          <w:rFonts w:ascii="Verdana" w:hAnsi="Verdana"/>
          <w:sz w:val="20"/>
          <w:szCs w:val="20"/>
          <w:lang w:val="en-GB"/>
        </w:rPr>
        <w:t xml:space="preserve"> </w:t>
      </w:r>
      <w:r w:rsidR="00A51B93">
        <w:rPr>
          <w:rFonts w:ascii="Verdana" w:hAnsi="Verdana" w:cs="Arial"/>
          <w:sz w:val="20"/>
          <w:szCs w:val="20"/>
          <w:lang w:val="en-GB"/>
        </w:rPr>
        <w:t>through innovation</w:t>
      </w:r>
      <w:r w:rsidRPr="005B17A3">
        <w:rPr>
          <w:rFonts w:ascii="Verdana" w:hAnsi="Verdana"/>
          <w:sz w:val="20"/>
          <w:szCs w:val="20"/>
          <w:lang w:val="en-GB"/>
        </w:rPr>
        <w:t>. Equally important, we have integrated ethical AI frameworks to ensure our technologies are safe, transparent and equitable. Throughout our group, we are not negotiable on adhering to accepted standards of ethical practice in deploying technology.</w:t>
      </w:r>
    </w:p>
    <w:p w14:paraId="3C53A2B3" w14:textId="77777777" w:rsidR="00DE1845" w:rsidRPr="005B17A3" w:rsidRDefault="00DE1845" w:rsidP="00DE1845">
      <w:pPr>
        <w:spacing w:line="276" w:lineRule="auto"/>
        <w:jc w:val="both"/>
        <w:rPr>
          <w:rFonts w:ascii="Verdana" w:hAnsi="Verdana"/>
          <w:sz w:val="20"/>
          <w:szCs w:val="20"/>
          <w:lang w:val="en-GB"/>
        </w:rPr>
      </w:pPr>
    </w:p>
    <w:p w14:paraId="6F957AE0"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 xml:space="preserve">Our commitment to innovation is evident in our strategic investments in high-potential areas, and our ongoing work to use AI in improving operational efficiencies and customer experiences. </w:t>
      </w:r>
    </w:p>
    <w:p w14:paraId="5497D903" w14:textId="77777777" w:rsidR="00DE1845" w:rsidRPr="005B17A3" w:rsidRDefault="00DE1845" w:rsidP="00DE1845">
      <w:pPr>
        <w:spacing w:line="276" w:lineRule="auto"/>
        <w:jc w:val="both"/>
        <w:rPr>
          <w:rFonts w:ascii="Verdana" w:hAnsi="Verdana"/>
          <w:sz w:val="20"/>
          <w:szCs w:val="20"/>
          <w:lang w:val="en-GB"/>
        </w:rPr>
      </w:pPr>
    </w:p>
    <w:p w14:paraId="606D28D2" w14:textId="77777777" w:rsidR="00DE1845" w:rsidRPr="005B17A3" w:rsidRDefault="00DE1845" w:rsidP="00DE1845">
      <w:pPr>
        <w:keepNext/>
        <w:spacing w:after="160" w:line="276" w:lineRule="auto"/>
        <w:jc w:val="both"/>
        <w:rPr>
          <w:rFonts w:ascii="Verdana" w:hAnsi="Verdana"/>
          <w:b/>
          <w:bCs/>
          <w:sz w:val="20"/>
          <w:szCs w:val="20"/>
          <w:lang w:val="en-GB"/>
        </w:rPr>
      </w:pPr>
      <w:r w:rsidRPr="005B17A3">
        <w:rPr>
          <w:rFonts w:ascii="Verdana" w:hAnsi="Verdana"/>
          <w:b/>
          <w:bCs/>
          <w:sz w:val="20"/>
          <w:szCs w:val="20"/>
          <w:lang w:val="en-GB"/>
        </w:rPr>
        <w:t>Discount to net asset value</w:t>
      </w:r>
    </w:p>
    <w:p w14:paraId="56C3ED3C"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 xml:space="preserve">In the past year, we made further progress on reducing the discount to net asset value at which Prosus and Naspers shares trade. </w:t>
      </w:r>
      <w:r w:rsidRPr="005B17A3">
        <w:rPr>
          <w:rFonts w:ascii="Verdana" w:hAnsi="Verdana"/>
          <w:color w:val="000000" w:themeColor="text1"/>
          <w:sz w:val="20"/>
          <w:szCs w:val="20"/>
        </w:rPr>
        <w:t xml:space="preserve">We have created additional value for shareholders by continuing our open-ended share-repurchase </w:t>
      </w:r>
      <w:proofErr w:type="spellStart"/>
      <w:r w:rsidRPr="005B17A3">
        <w:rPr>
          <w:rFonts w:ascii="Verdana" w:hAnsi="Verdana"/>
          <w:color w:val="000000" w:themeColor="text1"/>
          <w:sz w:val="20"/>
          <w:szCs w:val="20"/>
        </w:rPr>
        <w:t>programme</w:t>
      </w:r>
      <w:proofErr w:type="spellEnd"/>
      <w:r w:rsidRPr="005B17A3">
        <w:rPr>
          <w:rFonts w:ascii="Verdana" w:hAnsi="Verdana"/>
          <w:color w:val="000000" w:themeColor="text1"/>
          <w:sz w:val="20"/>
          <w:szCs w:val="20"/>
        </w:rPr>
        <w:t xml:space="preserve">, funded by small sales of Tencent shares. </w:t>
      </w:r>
      <w:r w:rsidRPr="005B17A3">
        <w:rPr>
          <w:rFonts w:ascii="Verdana" w:hAnsi="Verdana"/>
          <w:sz w:val="20"/>
          <w:szCs w:val="20"/>
          <w:lang w:val="en-GB"/>
        </w:rPr>
        <w:t xml:space="preserve">Since its inception in mid-2022, this has increased net asset value per share by 11%, reduced the free-float share count by over 27% and generated US$35bn of value for shareholders. </w:t>
      </w:r>
    </w:p>
    <w:p w14:paraId="3570F4AF" w14:textId="77777777" w:rsidR="00DE1845" w:rsidRPr="005B17A3" w:rsidRDefault="00DE1845" w:rsidP="00DE1845">
      <w:pPr>
        <w:spacing w:line="276" w:lineRule="auto"/>
        <w:rPr>
          <w:rFonts w:ascii="Verdana" w:hAnsi="Verdana"/>
          <w:color w:val="000000" w:themeColor="text1"/>
          <w:sz w:val="20"/>
          <w:szCs w:val="20"/>
        </w:rPr>
      </w:pPr>
    </w:p>
    <w:p w14:paraId="4967A7E7" w14:textId="77777777" w:rsidR="00DE1845" w:rsidRPr="005B17A3" w:rsidRDefault="00DE1845" w:rsidP="00DE1845">
      <w:pPr>
        <w:spacing w:line="276" w:lineRule="auto"/>
        <w:rPr>
          <w:rFonts w:ascii="Verdana" w:hAnsi="Verdana"/>
          <w:color w:val="000000" w:themeColor="text1"/>
          <w:sz w:val="20"/>
          <w:szCs w:val="20"/>
        </w:rPr>
      </w:pPr>
      <w:r w:rsidRPr="005B17A3">
        <w:rPr>
          <w:rFonts w:ascii="Verdana" w:hAnsi="Verdana"/>
          <w:color w:val="000000" w:themeColor="text1"/>
          <w:sz w:val="20"/>
          <w:szCs w:val="20"/>
        </w:rPr>
        <w:t xml:space="preserve">Importantly, this buyback </w:t>
      </w:r>
      <w:proofErr w:type="spellStart"/>
      <w:r w:rsidRPr="005B17A3">
        <w:rPr>
          <w:rFonts w:ascii="Verdana" w:hAnsi="Verdana"/>
          <w:color w:val="000000" w:themeColor="text1"/>
          <w:sz w:val="20"/>
          <w:szCs w:val="20"/>
        </w:rPr>
        <w:t>programme</w:t>
      </w:r>
      <w:proofErr w:type="spellEnd"/>
      <w:r w:rsidRPr="005B17A3">
        <w:rPr>
          <w:rFonts w:ascii="Verdana" w:hAnsi="Verdana"/>
          <w:color w:val="000000" w:themeColor="text1"/>
          <w:sz w:val="20"/>
          <w:szCs w:val="20"/>
        </w:rPr>
        <w:t xml:space="preserve"> increases our per-share exposure to Tencent. Given our confidence in Tencent’s future, we are committed to remaining a large shareholder.</w:t>
      </w:r>
    </w:p>
    <w:p w14:paraId="28A129F4" w14:textId="77777777" w:rsidR="00DE1845" w:rsidRPr="005B17A3" w:rsidRDefault="00DE1845" w:rsidP="00DE1845">
      <w:pPr>
        <w:spacing w:line="276" w:lineRule="auto"/>
        <w:rPr>
          <w:rFonts w:ascii="Verdana" w:hAnsi="Verdana"/>
          <w:color w:val="00B050"/>
          <w:sz w:val="20"/>
          <w:szCs w:val="20"/>
        </w:rPr>
      </w:pPr>
    </w:p>
    <w:p w14:paraId="49D331BC" w14:textId="77777777" w:rsidR="00DE1845" w:rsidRPr="005B17A3" w:rsidRDefault="00DE1845" w:rsidP="00DE1845">
      <w:pPr>
        <w:spacing w:after="160" w:line="276" w:lineRule="auto"/>
        <w:jc w:val="both"/>
        <w:rPr>
          <w:rFonts w:ascii="Verdana" w:hAnsi="Verdana"/>
          <w:b/>
          <w:sz w:val="20"/>
          <w:szCs w:val="20"/>
          <w:lang w:val="en-GB"/>
        </w:rPr>
      </w:pPr>
      <w:r w:rsidRPr="005B17A3">
        <w:rPr>
          <w:rFonts w:ascii="Verdana" w:hAnsi="Verdana"/>
          <w:b/>
          <w:sz w:val="20"/>
          <w:szCs w:val="20"/>
          <w:lang w:val="en-GB"/>
        </w:rPr>
        <w:t>Reshaping our strategy</w:t>
      </w:r>
    </w:p>
    <w:p w14:paraId="4627C6B3"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 xml:space="preserve">We have reshaped our strategy to focus on exceptional performance in our ecosystems, concentrated in regions with the greatest growth potential, primarily Latin America, India and Europe. A core element of this strategy is leading in innovation to ensure that our ecosystems anticipate change. </w:t>
      </w:r>
    </w:p>
    <w:p w14:paraId="7EFE8CDA" w14:textId="77777777" w:rsidR="00DE1845" w:rsidRPr="005B17A3" w:rsidRDefault="00DE1845" w:rsidP="00DE1845">
      <w:pPr>
        <w:spacing w:line="276" w:lineRule="auto"/>
        <w:jc w:val="both"/>
        <w:rPr>
          <w:rFonts w:ascii="Verdana" w:hAnsi="Verdana"/>
          <w:sz w:val="20"/>
          <w:szCs w:val="20"/>
          <w:lang w:val="en-GB"/>
        </w:rPr>
      </w:pPr>
    </w:p>
    <w:p w14:paraId="066E8082"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Innovation is at the core of our future. Across the group, expert teams are working independently and collaboratively to innovate – transforming ideas into functional benefits for our customers and the companies in our portfolio. At Prosus level, we are already proving the benefits of integrated technologies and optimal use of our databases as we develop large commerce models that will underpin our ecosystems.</w:t>
      </w:r>
    </w:p>
    <w:p w14:paraId="5844B1B3" w14:textId="77777777" w:rsidR="00DE1845" w:rsidRPr="005B17A3" w:rsidRDefault="00DE1845" w:rsidP="00DE1845">
      <w:pPr>
        <w:spacing w:line="276" w:lineRule="auto"/>
        <w:jc w:val="both"/>
        <w:rPr>
          <w:rFonts w:ascii="Verdana" w:hAnsi="Verdana"/>
          <w:sz w:val="20"/>
          <w:szCs w:val="20"/>
          <w:lang w:val="en-GB"/>
        </w:rPr>
      </w:pPr>
    </w:p>
    <w:p w14:paraId="5E61FBE3"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 xml:space="preserve">In the review period, we made good progress on our strategy, supported by disciplined execution and management. With active portfolio management across multiple fronts, our FY25 results demonstrate real progress in building sustainable operations. </w:t>
      </w:r>
    </w:p>
    <w:p w14:paraId="700927D3" w14:textId="77777777" w:rsidR="00DE1845" w:rsidRPr="005B17A3" w:rsidRDefault="00DE1845" w:rsidP="00DE1845">
      <w:pPr>
        <w:spacing w:line="276" w:lineRule="auto"/>
        <w:jc w:val="both"/>
        <w:rPr>
          <w:rFonts w:ascii="Verdana" w:hAnsi="Verdana"/>
          <w:sz w:val="20"/>
          <w:szCs w:val="20"/>
          <w:lang w:val="en-GB"/>
        </w:rPr>
      </w:pPr>
    </w:p>
    <w:p w14:paraId="2A49CD3A" w14:textId="77777777" w:rsidR="00DE1845" w:rsidRPr="005B17A3" w:rsidRDefault="00DE1845" w:rsidP="00DE1845">
      <w:pPr>
        <w:rPr>
          <w:rFonts w:ascii="Verdana" w:hAnsi="Verdana"/>
          <w:b/>
          <w:sz w:val="20"/>
          <w:szCs w:val="20"/>
          <w:lang w:val="en-GB"/>
        </w:rPr>
      </w:pPr>
      <w:r w:rsidRPr="005B17A3">
        <w:rPr>
          <w:rFonts w:ascii="Verdana" w:hAnsi="Verdana"/>
          <w:b/>
          <w:sz w:val="20"/>
          <w:szCs w:val="20"/>
          <w:lang w:val="en-GB"/>
        </w:rPr>
        <w:t>A year of progress</w:t>
      </w:r>
    </w:p>
    <w:p w14:paraId="6C530269" w14:textId="69C6BA75" w:rsidR="00DE1845" w:rsidRPr="005B17A3" w:rsidRDefault="00DE1845" w:rsidP="00DE1845">
      <w:pPr>
        <w:spacing w:line="276" w:lineRule="auto"/>
        <w:rPr>
          <w:rFonts w:ascii="Verdana" w:hAnsi="Verdana"/>
          <w:color w:val="000000" w:themeColor="text1"/>
          <w:sz w:val="20"/>
          <w:szCs w:val="20"/>
          <w:lang w:val="en-GB"/>
        </w:rPr>
      </w:pPr>
      <w:r w:rsidRPr="005B17A3">
        <w:rPr>
          <w:rFonts w:ascii="Verdana" w:hAnsi="Verdana"/>
          <w:color w:val="000000" w:themeColor="text1"/>
          <w:sz w:val="20"/>
          <w:szCs w:val="20"/>
          <w:lang w:val="en-GB"/>
        </w:rPr>
        <w:t>The 2025 financial year was a turning point for our group as we outpaced our peers in revenue growth. Group revenue grew 13% to US$6.</w:t>
      </w:r>
      <w:r w:rsidR="00437C93">
        <w:rPr>
          <w:rFonts w:ascii="Verdana" w:hAnsi="Verdana"/>
          <w:color w:val="000000" w:themeColor="text1"/>
          <w:sz w:val="20"/>
          <w:szCs w:val="20"/>
          <w:lang w:val="en-GB"/>
        </w:rPr>
        <w:t>2</w:t>
      </w:r>
      <w:r w:rsidRPr="005B17A3">
        <w:rPr>
          <w:rFonts w:ascii="Verdana" w:hAnsi="Verdana"/>
          <w:color w:val="000000" w:themeColor="text1"/>
          <w:sz w:val="20"/>
          <w:szCs w:val="20"/>
          <w:lang w:val="en-GB"/>
        </w:rPr>
        <w:t xml:space="preserve"> billion, driven by strong performances in Classifieds and Food Delivery. Consolidated revenue growth for our Ecommerce </w:t>
      </w:r>
      <w:r w:rsidR="00437C93">
        <w:rPr>
          <w:rFonts w:ascii="Verdana" w:hAnsi="Verdana"/>
          <w:color w:val="000000" w:themeColor="text1"/>
          <w:sz w:val="20"/>
          <w:szCs w:val="20"/>
          <w:lang w:val="en-GB"/>
        </w:rPr>
        <w:t>segment</w:t>
      </w:r>
      <w:r w:rsidR="00437C93" w:rsidRPr="005B17A3">
        <w:rPr>
          <w:rFonts w:ascii="Verdana" w:hAnsi="Verdana"/>
          <w:color w:val="000000" w:themeColor="text1"/>
          <w:sz w:val="20"/>
          <w:szCs w:val="20"/>
          <w:lang w:val="en-GB"/>
        </w:rPr>
        <w:t xml:space="preserve"> </w:t>
      </w:r>
      <w:r w:rsidRPr="005B17A3">
        <w:rPr>
          <w:rFonts w:ascii="Verdana" w:hAnsi="Verdana"/>
          <w:color w:val="000000" w:themeColor="text1"/>
          <w:sz w:val="20"/>
          <w:szCs w:val="20"/>
          <w:lang w:val="en-GB"/>
        </w:rPr>
        <w:t>was 21%</w:t>
      </w:r>
      <w:r w:rsidR="00437C93">
        <w:rPr>
          <w:rFonts w:ascii="Verdana" w:hAnsi="Verdana"/>
          <w:color w:val="000000" w:themeColor="text1"/>
          <w:sz w:val="20"/>
          <w:szCs w:val="20"/>
          <w:lang w:val="en-GB"/>
        </w:rPr>
        <w:t xml:space="preserve"> in local currency excluding M&amp;A</w:t>
      </w:r>
      <w:r w:rsidRPr="005B17A3">
        <w:rPr>
          <w:rFonts w:ascii="Verdana" w:hAnsi="Verdana"/>
          <w:color w:val="000000" w:themeColor="text1"/>
          <w:sz w:val="20"/>
          <w:szCs w:val="20"/>
          <w:lang w:val="en-GB"/>
        </w:rPr>
        <w:t xml:space="preserve">, 2x faster than our peer group. </w:t>
      </w:r>
    </w:p>
    <w:p w14:paraId="479055E7" w14:textId="77777777" w:rsidR="00DE1845" w:rsidRPr="005B17A3" w:rsidRDefault="00DE1845" w:rsidP="00DE1845">
      <w:pPr>
        <w:spacing w:line="276" w:lineRule="auto"/>
        <w:rPr>
          <w:rFonts w:ascii="Verdana" w:hAnsi="Verdana"/>
          <w:color w:val="000000" w:themeColor="text1"/>
          <w:sz w:val="20"/>
          <w:szCs w:val="20"/>
          <w:lang w:val="en-GB"/>
        </w:rPr>
      </w:pPr>
    </w:p>
    <w:p w14:paraId="073C5E28" w14:textId="77777777" w:rsidR="00DE1845" w:rsidRPr="005B17A3" w:rsidRDefault="00DE1845" w:rsidP="00DE1845">
      <w:pPr>
        <w:spacing w:line="276" w:lineRule="auto"/>
        <w:rPr>
          <w:rFonts w:ascii="Verdana" w:hAnsi="Verdana"/>
          <w:color w:val="000000" w:themeColor="text1"/>
          <w:sz w:val="20"/>
          <w:szCs w:val="20"/>
          <w:lang w:val="en-GB"/>
        </w:rPr>
      </w:pPr>
      <w:r w:rsidRPr="005B17A3">
        <w:rPr>
          <w:rFonts w:ascii="Verdana" w:hAnsi="Verdana"/>
          <w:color w:val="000000" w:themeColor="text1"/>
          <w:sz w:val="20"/>
          <w:szCs w:val="20"/>
          <w:lang w:val="en-GB"/>
        </w:rPr>
        <w:t xml:space="preserve">We continued to look for long-term growth opportunities, with external investment of US$7.8bn for the year – mostly for the acquisitions of </w:t>
      </w:r>
      <w:proofErr w:type="spellStart"/>
      <w:r w:rsidRPr="005B17A3">
        <w:rPr>
          <w:rFonts w:ascii="Verdana" w:hAnsi="Verdana"/>
          <w:color w:val="000000" w:themeColor="text1"/>
          <w:sz w:val="20"/>
          <w:szCs w:val="20"/>
          <w:lang w:val="en-GB"/>
        </w:rPr>
        <w:t>Despegar</w:t>
      </w:r>
      <w:proofErr w:type="spellEnd"/>
      <w:r w:rsidRPr="005B17A3">
        <w:rPr>
          <w:rFonts w:ascii="Verdana" w:hAnsi="Verdana"/>
          <w:color w:val="000000" w:themeColor="text1"/>
          <w:sz w:val="20"/>
          <w:szCs w:val="20"/>
          <w:lang w:val="en-GB"/>
        </w:rPr>
        <w:t xml:space="preserve"> in the Latin America ecosystem and Just Eat Takeaway in the Europe ecosystem. While this is above the US$6.3bn peak in 2022, we maintained discipline in a challenging investment landscape. </w:t>
      </w:r>
    </w:p>
    <w:p w14:paraId="31F4D2D7" w14:textId="77777777" w:rsidR="00DE1845" w:rsidRPr="005B17A3" w:rsidRDefault="00DE1845" w:rsidP="00DE1845">
      <w:pPr>
        <w:spacing w:line="276" w:lineRule="auto"/>
        <w:rPr>
          <w:rFonts w:ascii="Verdana" w:hAnsi="Verdana"/>
          <w:color w:val="000000" w:themeColor="text1"/>
          <w:sz w:val="20"/>
          <w:szCs w:val="20"/>
          <w:lang w:val="en-GB"/>
        </w:rPr>
      </w:pPr>
    </w:p>
    <w:p w14:paraId="18493F53" w14:textId="2B98B693" w:rsidR="00DE1845" w:rsidRPr="005B17A3" w:rsidRDefault="00DE1845" w:rsidP="00DE1845">
      <w:pPr>
        <w:spacing w:line="276" w:lineRule="auto"/>
        <w:rPr>
          <w:rFonts w:ascii="Verdana" w:hAnsi="Verdana"/>
          <w:color w:val="000000" w:themeColor="text1"/>
          <w:sz w:val="20"/>
          <w:szCs w:val="20"/>
          <w:lang w:val="en-GB"/>
        </w:rPr>
      </w:pPr>
      <w:r w:rsidRPr="005B17A3">
        <w:rPr>
          <w:rFonts w:ascii="Verdana" w:hAnsi="Verdana"/>
          <w:color w:val="000000" w:themeColor="text1"/>
          <w:sz w:val="20"/>
          <w:szCs w:val="20"/>
          <w:lang w:val="en-GB"/>
        </w:rPr>
        <w:t>Our balance sheet remains strong and liquid, with net cash of US$2.6bn. We remain fully committed to ou</w:t>
      </w:r>
      <w:r w:rsidR="00037900">
        <w:rPr>
          <w:rFonts w:ascii="Verdana" w:hAnsi="Verdana"/>
          <w:color w:val="000000" w:themeColor="text1"/>
          <w:sz w:val="20"/>
          <w:szCs w:val="20"/>
          <w:lang w:val="en-GB"/>
        </w:rPr>
        <w:t>r</w:t>
      </w:r>
      <w:r w:rsidRPr="005B17A3">
        <w:rPr>
          <w:rFonts w:ascii="Verdana" w:hAnsi="Verdana"/>
          <w:color w:val="000000" w:themeColor="text1"/>
          <w:sz w:val="20"/>
          <w:szCs w:val="20"/>
          <w:lang w:val="en-GB"/>
        </w:rPr>
        <w:t xml:space="preserve"> investment-grade rating. </w:t>
      </w:r>
    </w:p>
    <w:p w14:paraId="4D0F15FD" w14:textId="77777777" w:rsidR="00DE1845" w:rsidRPr="005B17A3" w:rsidRDefault="00DE1845" w:rsidP="00DE1845">
      <w:pPr>
        <w:spacing w:line="276" w:lineRule="auto"/>
        <w:rPr>
          <w:rFonts w:ascii="Verdana" w:hAnsi="Verdana"/>
          <w:sz w:val="20"/>
          <w:szCs w:val="20"/>
          <w:lang w:val="en-GB"/>
        </w:rPr>
      </w:pPr>
    </w:p>
    <w:p w14:paraId="56CB65A6" w14:textId="77777777" w:rsidR="00DE1845" w:rsidRPr="005B17A3" w:rsidRDefault="00DE1845" w:rsidP="00DE1845">
      <w:pPr>
        <w:keepNext/>
        <w:spacing w:after="160" w:line="276" w:lineRule="auto"/>
        <w:jc w:val="both"/>
        <w:rPr>
          <w:rFonts w:ascii="Verdana" w:hAnsi="Verdana"/>
          <w:b/>
          <w:bCs/>
          <w:sz w:val="20"/>
          <w:szCs w:val="20"/>
          <w:lang w:val="en-GB"/>
        </w:rPr>
      </w:pPr>
      <w:r w:rsidRPr="005B17A3">
        <w:rPr>
          <w:rFonts w:ascii="Verdana" w:hAnsi="Verdana"/>
          <w:b/>
          <w:bCs/>
          <w:sz w:val="20"/>
          <w:szCs w:val="20"/>
          <w:lang w:val="en-GB"/>
        </w:rPr>
        <w:t xml:space="preserve">Our role </w:t>
      </w:r>
      <w:r w:rsidRPr="005B17A3">
        <w:rPr>
          <w:rFonts w:ascii="Verdana" w:hAnsi="Verdana"/>
          <w:b/>
          <w:sz w:val="20"/>
          <w:szCs w:val="20"/>
          <w:lang w:val="en-GB"/>
        </w:rPr>
        <w:t>in</w:t>
      </w:r>
      <w:r w:rsidRPr="005B17A3">
        <w:rPr>
          <w:rFonts w:ascii="Verdana" w:hAnsi="Verdana"/>
          <w:b/>
          <w:bCs/>
          <w:sz w:val="20"/>
          <w:szCs w:val="20"/>
          <w:lang w:val="en-GB"/>
        </w:rPr>
        <w:t xml:space="preserve"> society </w:t>
      </w:r>
    </w:p>
    <w:p w14:paraId="540769DE" w14:textId="77777777" w:rsidR="00DE1845" w:rsidRPr="005B17A3" w:rsidRDefault="00DE1845" w:rsidP="00DE1845">
      <w:pPr>
        <w:spacing w:line="276" w:lineRule="auto"/>
        <w:jc w:val="both"/>
        <w:rPr>
          <w:rFonts w:ascii="Verdana" w:hAnsi="Verdana"/>
          <w:sz w:val="20"/>
          <w:szCs w:val="20"/>
        </w:rPr>
      </w:pPr>
      <w:r w:rsidRPr="005B17A3">
        <w:rPr>
          <w:rFonts w:ascii="Verdana" w:hAnsi="Verdana"/>
          <w:sz w:val="20"/>
          <w:szCs w:val="20"/>
        </w:rPr>
        <w:t xml:space="preserve">As a global technology group, we are creating solutions for some of the world’s most-pressing needs. We are committed to discovering and scaling digital services and technologies that help address shared global challenges through our diverse portfolio. Equally, we believe large technology companies like Prosus have a responsibility to ensure a positive impact in the communities where they operate and to support the transition to a green and inclusive economy. </w:t>
      </w:r>
    </w:p>
    <w:p w14:paraId="3B755E50" w14:textId="77777777" w:rsidR="00DE1845" w:rsidRPr="005B17A3" w:rsidRDefault="00DE1845" w:rsidP="00DE1845">
      <w:pPr>
        <w:spacing w:line="276" w:lineRule="auto"/>
        <w:jc w:val="both"/>
        <w:rPr>
          <w:rFonts w:ascii="Verdana" w:hAnsi="Verdana"/>
          <w:sz w:val="20"/>
          <w:szCs w:val="20"/>
        </w:rPr>
      </w:pPr>
    </w:p>
    <w:p w14:paraId="20AFF5C9" w14:textId="77777777" w:rsidR="00DE1845" w:rsidRPr="005B17A3" w:rsidRDefault="00DE1845" w:rsidP="00DE1845">
      <w:pPr>
        <w:spacing w:line="276" w:lineRule="auto"/>
        <w:jc w:val="both"/>
        <w:rPr>
          <w:rFonts w:ascii="Verdana" w:hAnsi="Verdana"/>
          <w:sz w:val="20"/>
          <w:szCs w:val="20"/>
        </w:rPr>
      </w:pPr>
      <w:r w:rsidRPr="005B17A3">
        <w:rPr>
          <w:rFonts w:ascii="Verdana" w:hAnsi="Verdana"/>
          <w:sz w:val="20"/>
          <w:szCs w:val="20"/>
        </w:rPr>
        <w:t xml:space="preserve">Prosus is inherently a sustainable company – </w:t>
      </w:r>
      <w:r w:rsidRPr="005B17A3">
        <w:rPr>
          <w:rFonts w:ascii="Verdana" w:hAnsi="Verdana"/>
          <w:b/>
          <w:bCs/>
          <w:sz w:val="20"/>
          <w:szCs w:val="20"/>
        </w:rPr>
        <w:t>environmentally</w:t>
      </w:r>
      <w:r w:rsidRPr="005B17A3">
        <w:rPr>
          <w:rFonts w:ascii="Verdana" w:hAnsi="Verdana"/>
          <w:sz w:val="20"/>
          <w:szCs w:val="20"/>
        </w:rPr>
        <w:t xml:space="preserve">, our digital platforms are asset-light and low-carbon; </w:t>
      </w:r>
      <w:r w:rsidRPr="005B17A3">
        <w:rPr>
          <w:rFonts w:ascii="Verdana" w:hAnsi="Verdana"/>
          <w:b/>
          <w:bCs/>
          <w:sz w:val="20"/>
          <w:szCs w:val="20"/>
        </w:rPr>
        <w:t>socially</w:t>
      </w:r>
      <w:r w:rsidRPr="005B17A3">
        <w:rPr>
          <w:rFonts w:ascii="Verdana" w:hAnsi="Verdana"/>
          <w:sz w:val="20"/>
          <w:szCs w:val="20"/>
        </w:rPr>
        <w:t xml:space="preserve">, the reputation of each platform is tied to ensuring a lasting and positive impact across its value chain; and all our businesses are guided by the stringent </w:t>
      </w:r>
      <w:r w:rsidRPr="005B17A3">
        <w:rPr>
          <w:rFonts w:ascii="Verdana" w:hAnsi="Verdana"/>
          <w:b/>
          <w:bCs/>
          <w:sz w:val="20"/>
          <w:szCs w:val="20"/>
        </w:rPr>
        <w:t>governance</w:t>
      </w:r>
      <w:r w:rsidRPr="005B17A3">
        <w:rPr>
          <w:rFonts w:ascii="Verdana" w:hAnsi="Verdana"/>
          <w:sz w:val="20"/>
          <w:szCs w:val="20"/>
        </w:rPr>
        <w:t xml:space="preserve"> standards set at group level. </w:t>
      </w:r>
    </w:p>
    <w:p w14:paraId="1974E7E1" w14:textId="77777777" w:rsidR="00DE1845" w:rsidRPr="005B17A3" w:rsidRDefault="00DE1845" w:rsidP="00DE1845">
      <w:pPr>
        <w:spacing w:line="276" w:lineRule="auto"/>
        <w:jc w:val="both"/>
        <w:rPr>
          <w:rFonts w:ascii="Verdana" w:hAnsi="Verdana"/>
          <w:sz w:val="20"/>
          <w:szCs w:val="20"/>
          <w:lang w:val="en-GB"/>
        </w:rPr>
      </w:pPr>
    </w:p>
    <w:p w14:paraId="34F05DA2" w14:textId="66D4660C" w:rsidR="00DE1845" w:rsidRPr="005B17A3" w:rsidRDefault="00DE1845" w:rsidP="00DE1845">
      <w:pPr>
        <w:spacing w:line="276" w:lineRule="auto"/>
        <w:jc w:val="both"/>
        <w:rPr>
          <w:rFonts w:ascii="Verdana" w:hAnsi="Verdana"/>
          <w:sz w:val="20"/>
          <w:szCs w:val="20"/>
        </w:rPr>
      </w:pPr>
      <w:r w:rsidRPr="005B17A3">
        <w:rPr>
          <w:rFonts w:ascii="Verdana" w:hAnsi="Verdana"/>
          <w:sz w:val="20"/>
          <w:szCs w:val="20"/>
        </w:rPr>
        <w:t xml:space="preserve">As a result, we are </w:t>
      </w:r>
      <w:r w:rsidR="00037900">
        <w:rPr>
          <w:rFonts w:ascii="Verdana" w:hAnsi="Verdana"/>
          <w:sz w:val="20"/>
          <w:szCs w:val="20"/>
        </w:rPr>
        <w:t>well-positioned</w:t>
      </w:r>
      <w:r w:rsidRPr="005B17A3">
        <w:rPr>
          <w:rFonts w:ascii="Verdana" w:hAnsi="Verdana"/>
          <w:sz w:val="20"/>
          <w:szCs w:val="20"/>
        </w:rPr>
        <w:t xml:space="preserve"> to respond to the global demand from shareholders and other stakeholders for more substance and transparency on how companies embed sustainability into their business practices. At the same time, regulatory sustainability reporting requirements are increasing significantly, particularly in Europe and India. These present additional compliance challenges, but we are proactively preparing to comply with these requirements as detailed in our annual report.</w:t>
      </w:r>
    </w:p>
    <w:p w14:paraId="0444E0DA" w14:textId="77777777" w:rsidR="00DE1845" w:rsidRPr="005B17A3" w:rsidRDefault="00DE1845" w:rsidP="00DE1845">
      <w:pPr>
        <w:spacing w:line="276" w:lineRule="auto"/>
        <w:jc w:val="both"/>
        <w:rPr>
          <w:rFonts w:ascii="Verdana" w:hAnsi="Verdana"/>
          <w:sz w:val="20"/>
          <w:szCs w:val="20"/>
          <w:lang w:val="en-GB"/>
        </w:rPr>
      </w:pPr>
    </w:p>
    <w:p w14:paraId="6172CC3B" w14:textId="77777777" w:rsidR="00DE1845" w:rsidRPr="005B17A3" w:rsidRDefault="00DE1845" w:rsidP="00DE1845">
      <w:pPr>
        <w:spacing w:line="276" w:lineRule="auto"/>
        <w:jc w:val="both"/>
        <w:rPr>
          <w:rFonts w:ascii="Verdana" w:hAnsi="Verdana"/>
          <w:sz w:val="20"/>
          <w:szCs w:val="20"/>
        </w:rPr>
      </w:pPr>
      <w:r w:rsidRPr="005B17A3">
        <w:rPr>
          <w:rFonts w:ascii="Verdana" w:hAnsi="Verdana"/>
          <w:sz w:val="20"/>
          <w:szCs w:val="20"/>
        </w:rPr>
        <w:t xml:space="preserve">We are harnessing the power of technology to create solutions for challenges like climate action and social inclusion. For example, our grocery-delivery and </w:t>
      </w:r>
      <w:proofErr w:type="spellStart"/>
      <w:r w:rsidRPr="005B17A3">
        <w:rPr>
          <w:rFonts w:ascii="Verdana" w:hAnsi="Verdana"/>
          <w:sz w:val="20"/>
          <w:szCs w:val="20"/>
        </w:rPr>
        <w:t>etail</w:t>
      </w:r>
      <w:proofErr w:type="spellEnd"/>
      <w:r w:rsidRPr="005B17A3">
        <w:rPr>
          <w:rFonts w:ascii="Verdana" w:hAnsi="Verdana"/>
          <w:sz w:val="20"/>
          <w:szCs w:val="20"/>
        </w:rPr>
        <w:t xml:space="preserve"> platforms combine convenience with a lower carbon footprint. Our best-in-class food-delivery businesses are creating livelihoods in countries with high youth unemployment. At the same time, they are focused on curbing the environmental impact of delivery services through sustainable packaging initiatives and zero-emission vehicles. Our digital financial services reach people in remote regions, often providing access to finance for the first time. </w:t>
      </w:r>
    </w:p>
    <w:p w14:paraId="0C11E6C0" w14:textId="77777777" w:rsidR="00DE1845" w:rsidRPr="005B17A3" w:rsidRDefault="00DE1845" w:rsidP="00DE1845">
      <w:pPr>
        <w:spacing w:line="276" w:lineRule="auto"/>
        <w:jc w:val="both"/>
        <w:rPr>
          <w:rFonts w:ascii="Verdana" w:hAnsi="Verdana"/>
          <w:sz w:val="20"/>
          <w:szCs w:val="20"/>
        </w:rPr>
      </w:pPr>
    </w:p>
    <w:p w14:paraId="25CE1C22" w14:textId="77777777" w:rsidR="00DE1845" w:rsidRPr="005B17A3" w:rsidRDefault="00DE1845" w:rsidP="00DE1845">
      <w:pPr>
        <w:keepNext/>
        <w:spacing w:after="160" w:line="276" w:lineRule="auto"/>
        <w:jc w:val="both"/>
        <w:rPr>
          <w:rFonts w:ascii="Verdana" w:hAnsi="Verdana"/>
          <w:b/>
          <w:bCs/>
          <w:sz w:val="20"/>
          <w:szCs w:val="20"/>
          <w:lang w:val="en-GB"/>
        </w:rPr>
      </w:pPr>
      <w:r w:rsidRPr="005B17A3">
        <w:rPr>
          <w:rFonts w:ascii="Verdana" w:hAnsi="Verdana"/>
          <w:b/>
          <w:bCs/>
          <w:sz w:val="20"/>
          <w:szCs w:val="20"/>
          <w:lang w:val="en-GB"/>
        </w:rPr>
        <w:t>Aligning remuneration to performance and value creation</w:t>
      </w:r>
    </w:p>
    <w:p w14:paraId="6F1A09A8"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lang w:val="en-GB"/>
        </w:rPr>
        <w:t xml:space="preserve">Naspers operates in highly competitive, fast-changing markets, many characterised by the shortage of key skills. Our remuneration principles are simple: pay for performance; align with desired shareholder outcomes; achieve the business plan; and be consistent. Our remuneration structures therefore focus on attracting, motivating and retaining the best people to create sustainable shareholder value. </w:t>
      </w:r>
    </w:p>
    <w:p w14:paraId="54F172E8" w14:textId="77777777" w:rsidR="00DE1845" w:rsidRPr="005B17A3" w:rsidRDefault="00DE1845" w:rsidP="00DE1845">
      <w:pPr>
        <w:spacing w:line="276" w:lineRule="auto"/>
        <w:jc w:val="both"/>
        <w:rPr>
          <w:rFonts w:ascii="Verdana" w:hAnsi="Verdana"/>
          <w:sz w:val="20"/>
          <w:szCs w:val="20"/>
          <w:lang w:val="en-GB"/>
        </w:rPr>
      </w:pPr>
    </w:p>
    <w:p w14:paraId="4DD2184E"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rPr>
        <w:t xml:space="preserve">We continued to amend our remuneration structure to better align with our strategic goals and shareholder interests. Some of these changes reflect feedback from our shareholders and the investment community during our annual remuneration roadshow. We have done our best to incorporate these recommendations, as noted in our detailed response in the annual report. As one example, </w:t>
      </w:r>
      <w:r w:rsidRPr="005B17A3">
        <w:rPr>
          <w:rFonts w:ascii="Verdana" w:hAnsi="Verdana"/>
          <w:sz w:val="20"/>
          <w:szCs w:val="20"/>
          <w:lang w:val="en-GB"/>
        </w:rPr>
        <w:t>for FY26, we again included a discount-related goal in the CEO and chief financial officer’s (CFO) short-term incentive objectives</w:t>
      </w:r>
    </w:p>
    <w:p w14:paraId="0FFB4301" w14:textId="77777777" w:rsidR="00DE1845" w:rsidRPr="005B17A3" w:rsidRDefault="00DE1845" w:rsidP="00DE1845">
      <w:pPr>
        <w:spacing w:line="276" w:lineRule="auto"/>
        <w:jc w:val="both"/>
        <w:rPr>
          <w:rFonts w:ascii="Verdana" w:hAnsi="Verdana"/>
          <w:sz w:val="20"/>
          <w:szCs w:val="20"/>
        </w:rPr>
      </w:pPr>
    </w:p>
    <w:p w14:paraId="47F02131" w14:textId="77777777" w:rsidR="00351504" w:rsidRPr="00516240" w:rsidRDefault="00351504" w:rsidP="00351504">
      <w:pPr>
        <w:spacing w:line="276" w:lineRule="auto"/>
        <w:jc w:val="both"/>
        <w:rPr>
          <w:rFonts w:ascii="Verdana" w:hAnsi="Verdana" w:cs="Arial"/>
          <w:sz w:val="20"/>
          <w:szCs w:val="20"/>
        </w:rPr>
      </w:pPr>
      <w:r w:rsidRPr="00516240">
        <w:rPr>
          <w:rFonts w:ascii="Verdana" w:hAnsi="Verdana" w:cs="Arial"/>
          <w:sz w:val="20"/>
          <w:szCs w:val="20"/>
        </w:rPr>
        <w:t xml:space="preserve">The remuneration packages for our CEO, Fabricio Bloisi, new CFO, Nico Marais, </w:t>
      </w:r>
      <w:r>
        <w:rPr>
          <w:rFonts w:ascii="Verdana" w:hAnsi="Verdana" w:cs="Arial"/>
          <w:sz w:val="20"/>
          <w:szCs w:val="20"/>
        </w:rPr>
        <w:t xml:space="preserve">and new executive director, Phuthi </w:t>
      </w:r>
      <w:r w:rsidRPr="001B6CE0">
        <w:rPr>
          <w:rFonts w:ascii="Verdana" w:hAnsi="Verdana" w:cs="Arial"/>
          <w:bCs/>
          <w:sz w:val="20"/>
          <w:szCs w:val="20"/>
          <w:lang w:val="en-GB"/>
        </w:rPr>
        <w:t>Mahanyele-Dabengwa</w:t>
      </w:r>
      <w:r>
        <w:rPr>
          <w:rFonts w:ascii="Verdana" w:hAnsi="Verdana" w:cs="Arial"/>
          <w:bCs/>
          <w:sz w:val="20"/>
          <w:szCs w:val="20"/>
          <w:lang w:val="en-GB"/>
        </w:rPr>
        <w:t>,</w:t>
      </w:r>
      <w:r w:rsidRPr="001B6CE0">
        <w:rPr>
          <w:rFonts w:ascii="Verdana" w:hAnsi="Verdana" w:cs="Arial"/>
          <w:bCs/>
          <w:sz w:val="20"/>
          <w:szCs w:val="20"/>
          <w:lang w:val="en-GB"/>
        </w:rPr>
        <w:t xml:space="preserve"> </w:t>
      </w:r>
      <w:r w:rsidRPr="00516240">
        <w:rPr>
          <w:rFonts w:ascii="Verdana" w:hAnsi="Verdana" w:cs="Arial"/>
          <w:sz w:val="20"/>
          <w:szCs w:val="20"/>
        </w:rPr>
        <w:t xml:space="preserve">were detailed in our annual report. </w:t>
      </w:r>
    </w:p>
    <w:p w14:paraId="5F904800" w14:textId="77777777" w:rsidR="00DE1845" w:rsidRPr="005B17A3" w:rsidRDefault="00DE1845" w:rsidP="00DE1845">
      <w:pPr>
        <w:spacing w:line="276" w:lineRule="auto"/>
        <w:jc w:val="both"/>
        <w:rPr>
          <w:rFonts w:ascii="Verdana" w:hAnsi="Verdana"/>
          <w:sz w:val="20"/>
          <w:szCs w:val="20"/>
        </w:rPr>
      </w:pPr>
    </w:p>
    <w:p w14:paraId="0F6EF970" w14:textId="77777777" w:rsidR="00DE1845" w:rsidRPr="005B17A3" w:rsidRDefault="00DE1845" w:rsidP="00DE1845">
      <w:pPr>
        <w:spacing w:line="276" w:lineRule="auto"/>
        <w:jc w:val="both"/>
        <w:rPr>
          <w:rFonts w:ascii="Verdana" w:hAnsi="Verdana"/>
          <w:sz w:val="20"/>
          <w:szCs w:val="20"/>
        </w:rPr>
      </w:pPr>
    </w:p>
    <w:p w14:paraId="5F784DC4" w14:textId="5E89144F" w:rsidR="00D202F5" w:rsidRPr="005B17A3" w:rsidRDefault="007F7618" w:rsidP="00547054">
      <w:pPr>
        <w:spacing w:after="160" w:line="276" w:lineRule="auto"/>
        <w:jc w:val="both"/>
        <w:rPr>
          <w:rFonts w:ascii="Verdana" w:hAnsi="Verdana"/>
          <w:b/>
          <w:bCs/>
          <w:sz w:val="20"/>
          <w:szCs w:val="20"/>
          <w:lang w:val="en-GB"/>
        </w:rPr>
      </w:pPr>
      <w:r w:rsidRPr="005B17A3">
        <w:rPr>
          <w:rFonts w:ascii="Verdana" w:hAnsi="Verdana"/>
          <w:b/>
          <w:bCs/>
          <w:sz w:val="20"/>
          <w:szCs w:val="20"/>
          <w:lang w:val="en-GB"/>
        </w:rPr>
        <w:t>Distributions to shareholders</w:t>
      </w:r>
    </w:p>
    <w:p w14:paraId="2389C1E5" w14:textId="6B851092" w:rsidR="008738CB" w:rsidRPr="008738CB" w:rsidRDefault="008738CB" w:rsidP="008738CB">
      <w:pPr>
        <w:spacing w:line="276" w:lineRule="auto"/>
        <w:rPr>
          <w:rFonts w:ascii="Verdana" w:hAnsi="Verdana"/>
          <w:sz w:val="20"/>
          <w:szCs w:val="20"/>
          <w:lang w:val="en-ZA"/>
        </w:rPr>
      </w:pPr>
      <w:r w:rsidRPr="008738CB">
        <w:rPr>
          <w:rFonts w:ascii="Verdana" w:hAnsi="Verdana"/>
          <w:sz w:val="20"/>
          <w:szCs w:val="20"/>
        </w:rPr>
        <w:t>Shareholders approved the distribution to holders of ordinary shares N of 20 euro cents per share. Shareholders holding their ordinary shares N in South Africa via Strate will then receive a gross distribution of 412.4360 Rand cents per ordinary share N. Holders of ordinary shares B and ordinary shares A1 will receive an amount per share equal to their economic entitlement as set out in the articles of association.</w:t>
      </w:r>
    </w:p>
    <w:p w14:paraId="76E0378B" w14:textId="77777777" w:rsidR="008738CB" w:rsidRPr="008738CB" w:rsidRDefault="008738CB" w:rsidP="008738CB">
      <w:pPr>
        <w:spacing w:line="276" w:lineRule="auto"/>
        <w:rPr>
          <w:rFonts w:ascii="Verdana" w:hAnsi="Verdana"/>
          <w:sz w:val="20"/>
          <w:szCs w:val="20"/>
          <w:lang w:val="en-ZA"/>
        </w:rPr>
      </w:pPr>
      <w:r w:rsidRPr="008738CB">
        <w:rPr>
          <w:rFonts w:ascii="Verdana" w:hAnsi="Verdana"/>
          <w:sz w:val="20"/>
          <w:szCs w:val="20"/>
        </w:rPr>
        <w:lastRenderedPageBreak/>
        <w:t> </w:t>
      </w:r>
    </w:p>
    <w:p w14:paraId="12BFC908" w14:textId="77777777" w:rsidR="008738CB" w:rsidRPr="008738CB" w:rsidRDefault="008738CB" w:rsidP="008738CB">
      <w:pPr>
        <w:spacing w:line="276" w:lineRule="auto"/>
        <w:rPr>
          <w:rFonts w:ascii="Verdana" w:hAnsi="Verdana"/>
          <w:sz w:val="20"/>
          <w:szCs w:val="20"/>
          <w:lang w:val="en-ZA"/>
        </w:rPr>
      </w:pPr>
      <w:r w:rsidRPr="008738CB">
        <w:rPr>
          <w:rFonts w:ascii="Verdana" w:hAnsi="Verdana"/>
          <w:sz w:val="20"/>
          <w:szCs w:val="20"/>
        </w:rPr>
        <w:t>D</w:t>
      </w:r>
      <w:proofErr w:type="spellStart"/>
      <w:r w:rsidRPr="008738CB">
        <w:rPr>
          <w:rFonts w:ascii="Verdana" w:hAnsi="Verdana"/>
          <w:sz w:val="20"/>
          <w:szCs w:val="20"/>
          <w:lang w:val="en-ZA"/>
        </w:rPr>
        <w:t>ividends</w:t>
      </w:r>
      <w:proofErr w:type="spellEnd"/>
      <w:r w:rsidRPr="008738CB">
        <w:rPr>
          <w:rFonts w:ascii="Verdana" w:hAnsi="Verdana"/>
          <w:sz w:val="20"/>
          <w:szCs w:val="20"/>
          <w:lang w:val="en-ZA"/>
        </w:rPr>
        <w:t xml:space="preserve"> and capital repayments are declared and paid in euros. The above amounts are based on an EUR/ZAR exchange rate of 20.6218 cents per share as at 20 August 2025. Further details regarding the distribution will be published at a later date.</w:t>
      </w:r>
    </w:p>
    <w:p w14:paraId="4CC9C94E" w14:textId="77777777" w:rsidR="00032A2B" w:rsidRPr="008738CB" w:rsidRDefault="00032A2B" w:rsidP="006803FB">
      <w:pPr>
        <w:spacing w:line="276" w:lineRule="auto"/>
        <w:rPr>
          <w:rFonts w:ascii="Verdana" w:hAnsi="Verdana"/>
          <w:b/>
          <w:bCs/>
          <w:sz w:val="20"/>
          <w:szCs w:val="20"/>
          <w:lang w:val="en-ZA"/>
        </w:rPr>
      </w:pPr>
    </w:p>
    <w:p w14:paraId="142B39B5" w14:textId="77777777" w:rsidR="007F7618" w:rsidRPr="005B17A3" w:rsidRDefault="007F7618" w:rsidP="00547054">
      <w:pPr>
        <w:spacing w:after="160" w:line="276" w:lineRule="auto"/>
        <w:jc w:val="both"/>
        <w:rPr>
          <w:rFonts w:ascii="Verdana" w:hAnsi="Verdana"/>
          <w:b/>
          <w:bCs/>
          <w:sz w:val="20"/>
          <w:szCs w:val="20"/>
          <w:lang w:val="en-GB"/>
        </w:rPr>
      </w:pPr>
      <w:r w:rsidRPr="005B17A3">
        <w:rPr>
          <w:rFonts w:ascii="Verdana" w:hAnsi="Verdana"/>
          <w:b/>
          <w:bCs/>
          <w:sz w:val="20"/>
          <w:szCs w:val="20"/>
          <w:lang w:val="en-GB"/>
        </w:rPr>
        <w:t>Looking forward with confidence</w:t>
      </w:r>
    </w:p>
    <w:p w14:paraId="21C73B7F" w14:textId="77777777" w:rsidR="00DE1845" w:rsidRPr="005B17A3" w:rsidRDefault="00DE1845" w:rsidP="00DE1845">
      <w:pPr>
        <w:spacing w:line="276" w:lineRule="auto"/>
        <w:jc w:val="both"/>
        <w:rPr>
          <w:rFonts w:ascii="Verdana" w:hAnsi="Verdana"/>
          <w:sz w:val="20"/>
          <w:szCs w:val="20"/>
        </w:rPr>
      </w:pPr>
      <w:r w:rsidRPr="005B17A3">
        <w:rPr>
          <w:rFonts w:ascii="Verdana" w:hAnsi="Verdana"/>
          <w:sz w:val="20"/>
          <w:szCs w:val="20"/>
          <w:lang w:val="en-GB"/>
        </w:rPr>
        <w:t xml:space="preserve">Our purpose is unchanged – we aim to improve everyday life for people around the world by building leading companies that use technology to meet societal needs in better ways. </w:t>
      </w:r>
      <w:r w:rsidRPr="005B17A3">
        <w:rPr>
          <w:rFonts w:ascii="Verdana" w:hAnsi="Verdana"/>
          <w:sz w:val="20"/>
          <w:szCs w:val="20"/>
        </w:rPr>
        <w:t xml:space="preserve">Our focus on being </w:t>
      </w:r>
      <w:r w:rsidRPr="005B17A3">
        <w:rPr>
          <w:rFonts w:ascii="Verdana" w:hAnsi="Verdana"/>
          <w:sz w:val="20"/>
          <w:szCs w:val="20"/>
          <w:lang w:val="en-GB"/>
        </w:rPr>
        <w:t xml:space="preserve">a responsible business that has a sustainable, positive impact on the world and operates under high standards of corporate governance </w:t>
      </w:r>
      <w:r w:rsidRPr="005B17A3">
        <w:rPr>
          <w:rFonts w:ascii="Verdana" w:hAnsi="Verdana"/>
          <w:sz w:val="20"/>
          <w:szCs w:val="20"/>
        </w:rPr>
        <w:t xml:space="preserve">will continue to guide our work. </w:t>
      </w:r>
    </w:p>
    <w:p w14:paraId="73423E04" w14:textId="77777777" w:rsidR="00DE1845" w:rsidRPr="005B17A3" w:rsidRDefault="00DE1845" w:rsidP="00DE1845">
      <w:pPr>
        <w:spacing w:line="276" w:lineRule="auto"/>
        <w:jc w:val="both"/>
        <w:rPr>
          <w:rFonts w:ascii="Verdana" w:hAnsi="Verdana"/>
          <w:sz w:val="20"/>
          <w:szCs w:val="20"/>
        </w:rPr>
      </w:pPr>
    </w:p>
    <w:p w14:paraId="4F521936" w14:textId="77777777" w:rsidR="00DE1845" w:rsidRPr="005B17A3" w:rsidRDefault="00DE1845" w:rsidP="00DE1845">
      <w:pPr>
        <w:spacing w:line="276" w:lineRule="auto"/>
        <w:jc w:val="both"/>
        <w:rPr>
          <w:rFonts w:ascii="Verdana" w:hAnsi="Verdana"/>
          <w:sz w:val="20"/>
          <w:szCs w:val="20"/>
          <w:lang w:val="en-GB"/>
        </w:rPr>
      </w:pPr>
      <w:r w:rsidRPr="005B17A3">
        <w:rPr>
          <w:rFonts w:ascii="Verdana" w:hAnsi="Verdana"/>
          <w:sz w:val="20"/>
          <w:szCs w:val="20"/>
        </w:rPr>
        <w:t xml:space="preserve">We are excited about the opportunities ahead. </w:t>
      </w:r>
      <w:r w:rsidRPr="005B17A3">
        <w:rPr>
          <w:rFonts w:ascii="Verdana" w:hAnsi="Verdana"/>
          <w:sz w:val="20"/>
          <w:szCs w:val="20"/>
          <w:lang w:val="en-GB"/>
        </w:rPr>
        <w:t>We aim to keep growing fast, create competitive advantage through innovation, and increase our profitability. This will create long-term value for our shareholders.</w:t>
      </w:r>
    </w:p>
    <w:p w14:paraId="34FC7A68" w14:textId="77777777" w:rsidR="00E61081" w:rsidRPr="005B17A3" w:rsidRDefault="00E61081" w:rsidP="00547054">
      <w:pPr>
        <w:keepNext/>
        <w:spacing w:after="160" w:line="276" w:lineRule="auto"/>
        <w:jc w:val="both"/>
        <w:rPr>
          <w:rFonts w:ascii="Verdana" w:hAnsi="Verdana"/>
          <w:sz w:val="20"/>
          <w:szCs w:val="20"/>
          <w:lang w:val="en-GB"/>
        </w:rPr>
      </w:pPr>
    </w:p>
    <w:p w14:paraId="7F18A4CB" w14:textId="61A93FAB" w:rsidR="00315E62" w:rsidRPr="00CB59D4" w:rsidRDefault="00315E62" w:rsidP="00547054">
      <w:pPr>
        <w:keepNext/>
        <w:spacing w:after="160" w:line="276" w:lineRule="auto"/>
        <w:jc w:val="both"/>
        <w:rPr>
          <w:rFonts w:ascii="Verdana" w:hAnsi="Verdana" w:cs="Calibri"/>
          <w:sz w:val="20"/>
          <w:szCs w:val="20"/>
          <w:lang w:val="en-GB"/>
        </w:rPr>
      </w:pPr>
      <w:r w:rsidRPr="005B17A3">
        <w:rPr>
          <w:rFonts w:ascii="Verdana" w:hAnsi="Verdana" w:cs="Calibri"/>
          <w:sz w:val="20"/>
          <w:szCs w:val="20"/>
          <w:lang w:val="en-GB"/>
        </w:rPr>
        <w:t>A</w:t>
      </w:r>
      <w:r w:rsidRPr="00CB59D4">
        <w:rPr>
          <w:rFonts w:ascii="Verdana" w:hAnsi="Verdana" w:cs="Calibri"/>
          <w:sz w:val="20"/>
          <w:szCs w:val="20"/>
          <w:lang w:val="en-GB"/>
        </w:rPr>
        <w:t>msterdam, the Netherlands</w:t>
      </w:r>
    </w:p>
    <w:p w14:paraId="6F76EE30" w14:textId="074CB638" w:rsidR="00315E62" w:rsidRPr="00CB59D4" w:rsidRDefault="00080E83" w:rsidP="00547054">
      <w:pPr>
        <w:spacing w:after="160" w:line="276" w:lineRule="auto"/>
        <w:jc w:val="both"/>
        <w:rPr>
          <w:rFonts w:ascii="Verdana" w:hAnsi="Verdana" w:cs="Calibri"/>
          <w:sz w:val="20"/>
          <w:szCs w:val="20"/>
          <w:lang w:val="en-GB"/>
        </w:rPr>
      </w:pPr>
      <w:r w:rsidRPr="00CB59D4">
        <w:rPr>
          <w:rFonts w:ascii="Verdana" w:hAnsi="Verdana" w:cs="Calibri"/>
          <w:sz w:val="20"/>
          <w:szCs w:val="20"/>
          <w:lang w:val="en-GB"/>
        </w:rPr>
        <w:t>2</w:t>
      </w:r>
      <w:r w:rsidR="007D4EB4">
        <w:rPr>
          <w:rFonts w:ascii="Verdana" w:hAnsi="Verdana" w:cs="Calibri"/>
          <w:sz w:val="20"/>
          <w:szCs w:val="20"/>
          <w:lang w:val="en-GB"/>
        </w:rPr>
        <w:t>1</w:t>
      </w:r>
      <w:r w:rsidRPr="00CB59D4">
        <w:rPr>
          <w:rFonts w:ascii="Verdana" w:hAnsi="Verdana" w:cs="Calibri"/>
          <w:sz w:val="20"/>
          <w:szCs w:val="20"/>
          <w:lang w:val="en-GB"/>
        </w:rPr>
        <w:t xml:space="preserve"> </w:t>
      </w:r>
      <w:r w:rsidR="00315E62" w:rsidRPr="00CB59D4">
        <w:rPr>
          <w:rFonts w:ascii="Verdana" w:hAnsi="Verdana" w:cs="Calibri"/>
          <w:sz w:val="20"/>
          <w:szCs w:val="20"/>
          <w:lang w:val="en-GB"/>
        </w:rPr>
        <w:t>August 202</w:t>
      </w:r>
      <w:r w:rsidR="005B17A3">
        <w:rPr>
          <w:rFonts w:ascii="Verdana" w:hAnsi="Verdana" w:cs="Calibri"/>
          <w:sz w:val="20"/>
          <w:szCs w:val="20"/>
          <w:lang w:val="en-GB"/>
        </w:rPr>
        <w:t>5</w:t>
      </w:r>
    </w:p>
    <w:p w14:paraId="509FF533" w14:textId="77777777" w:rsidR="00315E62" w:rsidRPr="00CB59D4" w:rsidRDefault="00315E62" w:rsidP="00547054">
      <w:pPr>
        <w:spacing w:after="160" w:line="276" w:lineRule="auto"/>
        <w:jc w:val="both"/>
        <w:rPr>
          <w:rFonts w:ascii="Verdana" w:hAnsi="Verdana" w:cs="Calibri"/>
          <w:sz w:val="20"/>
          <w:szCs w:val="20"/>
          <w:lang w:val="en-GB"/>
        </w:rPr>
      </w:pPr>
    </w:p>
    <w:p w14:paraId="535CA165" w14:textId="77777777" w:rsidR="00315E62" w:rsidRPr="005B17A3" w:rsidRDefault="00315E62" w:rsidP="00547054">
      <w:pPr>
        <w:spacing w:after="160" w:line="276" w:lineRule="auto"/>
        <w:jc w:val="both"/>
        <w:rPr>
          <w:rFonts w:ascii="Verdana" w:hAnsi="Verdana" w:cs="Calibri"/>
          <w:b/>
          <w:bCs/>
          <w:sz w:val="20"/>
          <w:szCs w:val="20"/>
          <w:lang w:val="en-GB"/>
        </w:rPr>
      </w:pPr>
      <w:r w:rsidRPr="005B17A3">
        <w:rPr>
          <w:rFonts w:ascii="Verdana" w:hAnsi="Verdana" w:cs="Calibri"/>
          <w:b/>
          <w:bCs/>
          <w:sz w:val="20"/>
          <w:szCs w:val="20"/>
          <w:lang w:val="en-GB"/>
        </w:rPr>
        <w:t>JSE sponsor to Prosus:</w:t>
      </w:r>
    </w:p>
    <w:p w14:paraId="23A886F2" w14:textId="77777777" w:rsidR="002751E5" w:rsidRPr="00CB59D4" w:rsidRDefault="00315E62" w:rsidP="00547054">
      <w:pPr>
        <w:spacing w:after="160" w:line="276" w:lineRule="auto"/>
        <w:jc w:val="both"/>
        <w:rPr>
          <w:rFonts w:ascii="Verdana" w:hAnsi="Verdana" w:cs="Calibri"/>
          <w:sz w:val="20"/>
          <w:szCs w:val="20"/>
          <w:lang w:val="en-GB"/>
        </w:rPr>
      </w:pPr>
      <w:r w:rsidRPr="00CB59D4">
        <w:rPr>
          <w:rFonts w:ascii="Verdana" w:hAnsi="Verdana" w:cs="Calibri"/>
          <w:sz w:val="20"/>
          <w:szCs w:val="20"/>
          <w:lang w:val="en-GB"/>
        </w:rPr>
        <w:t>Investec Bank Limited</w:t>
      </w:r>
    </w:p>
    <w:p w14:paraId="134DB0EF" w14:textId="77777777" w:rsidR="00B5418C" w:rsidRPr="00CB59D4" w:rsidRDefault="00B5418C" w:rsidP="00547054">
      <w:pPr>
        <w:spacing w:after="160" w:line="276" w:lineRule="auto"/>
        <w:jc w:val="both"/>
        <w:rPr>
          <w:rFonts w:ascii="Verdana" w:hAnsi="Verdana" w:cstheme="minorHAnsi"/>
          <w:sz w:val="20"/>
          <w:szCs w:val="20"/>
          <w:lang w:val="en-GB"/>
        </w:rPr>
      </w:pPr>
    </w:p>
    <w:p w14:paraId="26896B16" w14:textId="77777777" w:rsidR="00B5418C" w:rsidRPr="00CB59D4" w:rsidRDefault="00B5418C" w:rsidP="00547054">
      <w:pPr>
        <w:spacing w:after="160" w:line="276" w:lineRule="auto"/>
        <w:jc w:val="both"/>
        <w:rPr>
          <w:rFonts w:ascii="Verdana" w:hAnsi="Verdana" w:cs="Calibri"/>
          <w:b/>
          <w:bCs/>
          <w:sz w:val="20"/>
          <w:szCs w:val="20"/>
          <w:lang w:val="en-GB"/>
        </w:rPr>
      </w:pPr>
      <w:r w:rsidRPr="00CB59D4">
        <w:rPr>
          <w:rFonts w:ascii="Verdana" w:hAnsi="Verdana" w:cs="Calibri"/>
          <w:b/>
          <w:bCs/>
          <w:sz w:val="20"/>
          <w:szCs w:val="20"/>
          <w:lang w:val="en-GB"/>
        </w:rPr>
        <w:t>Euronext listing agent</w:t>
      </w:r>
    </w:p>
    <w:p w14:paraId="00DDEF8E" w14:textId="77777777" w:rsidR="00B5418C" w:rsidRPr="00CB59D4" w:rsidRDefault="00B5418C" w:rsidP="00547054">
      <w:pPr>
        <w:spacing w:after="160" w:line="276" w:lineRule="auto"/>
        <w:ind w:left="3974" w:hanging="3974"/>
        <w:jc w:val="both"/>
        <w:rPr>
          <w:rFonts w:ascii="Verdana" w:hAnsi="Verdana" w:cstheme="minorHAnsi"/>
          <w:sz w:val="20"/>
          <w:szCs w:val="20"/>
          <w:lang w:val="en-GB"/>
        </w:rPr>
      </w:pPr>
      <w:r w:rsidRPr="00CB59D4">
        <w:rPr>
          <w:rFonts w:ascii="Verdana" w:hAnsi="Verdana" w:cstheme="minorHAnsi"/>
          <w:sz w:val="20"/>
          <w:szCs w:val="20"/>
          <w:lang w:val="en-GB"/>
        </w:rPr>
        <w:t>ING Bank N.V.</w:t>
      </w:r>
    </w:p>
    <w:p w14:paraId="5D3BD5C7" w14:textId="77777777" w:rsidR="00B5418C" w:rsidRPr="00CB59D4" w:rsidRDefault="00B5418C" w:rsidP="00547054">
      <w:pPr>
        <w:spacing w:after="160" w:line="276" w:lineRule="auto"/>
        <w:ind w:left="3974" w:hanging="3974"/>
        <w:jc w:val="both"/>
        <w:rPr>
          <w:rFonts w:ascii="Verdana" w:hAnsi="Verdana" w:cstheme="minorHAnsi"/>
          <w:sz w:val="20"/>
          <w:szCs w:val="20"/>
          <w:lang w:val="en-GB"/>
        </w:rPr>
      </w:pPr>
    </w:p>
    <w:p w14:paraId="5B85202A" w14:textId="77777777" w:rsidR="00B5418C" w:rsidRPr="00CB59D4" w:rsidRDefault="00B5418C" w:rsidP="00547054">
      <w:pPr>
        <w:spacing w:after="160" w:line="276" w:lineRule="auto"/>
        <w:jc w:val="both"/>
        <w:rPr>
          <w:rFonts w:ascii="Verdana" w:hAnsi="Verdana" w:cs="Calibri"/>
          <w:b/>
          <w:bCs/>
          <w:sz w:val="20"/>
          <w:szCs w:val="20"/>
          <w:lang w:val="en-GB"/>
        </w:rPr>
      </w:pPr>
      <w:r w:rsidRPr="00CB59D4">
        <w:rPr>
          <w:rFonts w:ascii="Verdana" w:hAnsi="Verdana" w:cs="Calibri"/>
          <w:b/>
          <w:bCs/>
          <w:sz w:val="20"/>
          <w:szCs w:val="20"/>
          <w:lang w:val="en-GB"/>
        </w:rPr>
        <w:t>Euronext paying agent</w:t>
      </w:r>
    </w:p>
    <w:p w14:paraId="1D2FCDA4" w14:textId="4AB493F8" w:rsidR="00B5418C" w:rsidRPr="00CB59D4" w:rsidRDefault="00764B49" w:rsidP="00547054">
      <w:pPr>
        <w:spacing w:after="160" w:line="276" w:lineRule="auto"/>
        <w:ind w:left="3974" w:hanging="3974"/>
        <w:jc w:val="both"/>
        <w:rPr>
          <w:rFonts w:ascii="Verdana" w:hAnsi="Verdana" w:cstheme="minorHAnsi"/>
          <w:sz w:val="20"/>
          <w:szCs w:val="20"/>
          <w:lang w:val="de-DE"/>
        </w:rPr>
      </w:pPr>
      <w:r>
        <w:rPr>
          <w:rFonts w:ascii="Verdana" w:hAnsi="Verdana" w:cstheme="minorHAnsi"/>
          <w:sz w:val="20"/>
          <w:szCs w:val="20"/>
          <w:lang w:val="de-DE"/>
        </w:rPr>
        <w:t xml:space="preserve">ING </w:t>
      </w:r>
      <w:r w:rsidR="00B5418C" w:rsidRPr="00CB59D4">
        <w:rPr>
          <w:rFonts w:ascii="Verdana" w:hAnsi="Verdana" w:cstheme="minorHAnsi"/>
          <w:sz w:val="20"/>
          <w:szCs w:val="20"/>
          <w:lang w:val="de-DE"/>
        </w:rPr>
        <w:t xml:space="preserve"> Bank N.V.</w:t>
      </w:r>
    </w:p>
    <w:p w14:paraId="7DDFF18A" w14:textId="1082F91E" w:rsidR="007F71A8" w:rsidRDefault="007F71A8" w:rsidP="007F71A8">
      <w:pPr>
        <w:pStyle w:val="AODocTxt"/>
        <w:spacing w:line="276" w:lineRule="auto"/>
        <w:jc w:val="left"/>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7F71A8" w:rsidRPr="005431FA" w14:paraId="75379029" w14:textId="77777777" w:rsidTr="00A8072A">
        <w:tc>
          <w:tcPr>
            <w:tcW w:w="4815" w:type="dxa"/>
            <w:tcBorders>
              <w:top w:val="nil"/>
              <w:left w:val="nil"/>
              <w:bottom w:val="nil"/>
              <w:right w:val="nil"/>
            </w:tcBorders>
            <w:shd w:val="clear" w:color="auto" w:fill="auto"/>
            <w:hideMark/>
          </w:tcPr>
          <w:p w14:paraId="134241EF" w14:textId="77777777" w:rsidR="007F71A8" w:rsidRPr="005431FA" w:rsidRDefault="007F71A8" w:rsidP="00A8072A">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6FE8189B" w14:textId="77777777" w:rsidR="007F71A8" w:rsidRPr="005431FA" w:rsidRDefault="007F71A8" w:rsidP="00A8072A">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3604E7A6" w14:textId="77777777" w:rsidR="007F71A8" w:rsidRPr="005431FA" w:rsidRDefault="007F71A8" w:rsidP="00A8072A">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7F71A8" w:rsidRPr="005431FA" w14:paraId="01F8293E" w14:textId="77777777" w:rsidTr="00A8072A">
        <w:trPr>
          <w:trHeight w:val="110"/>
        </w:trPr>
        <w:tc>
          <w:tcPr>
            <w:tcW w:w="4815" w:type="dxa"/>
            <w:tcBorders>
              <w:top w:val="nil"/>
              <w:left w:val="nil"/>
              <w:bottom w:val="nil"/>
              <w:right w:val="nil"/>
            </w:tcBorders>
            <w:shd w:val="clear" w:color="auto" w:fill="auto"/>
            <w:hideMark/>
          </w:tcPr>
          <w:p w14:paraId="6FA27252" w14:textId="77777777" w:rsidR="007F71A8" w:rsidRPr="00B60C2F" w:rsidRDefault="007F71A8" w:rsidP="00A8072A">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4608B6B0" w14:textId="77777777" w:rsidR="007F71A8" w:rsidRPr="00B60C2F" w:rsidRDefault="007F71A8" w:rsidP="00A8072A">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5755645D" w14:textId="77777777" w:rsidR="007F71A8" w:rsidRPr="005431FA" w:rsidRDefault="007F71A8" w:rsidP="00A8072A">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2852E0C1" w14:textId="77777777" w:rsidR="007F71A8" w:rsidRDefault="007F71A8" w:rsidP="007F71A8">
      <w:pPr>
        <w:rPr>
          <w:rFonts w:ascii="Verdana" w:eastAsia="Verdana" w:hAnsi="Verdana" w:cs="Verdana"/>
          <w:b/>
          <w:color w:val="000000"/>
          <w:sz w:val="20"/>
          <w:szCs w:val="20"/>
          <w:lang w:eastAsia="en-GB"/>
        </w:rPr>
      </w:pPr>
    </w:p>
    <w:p w14:paraId="0E850C8F" w14:textId="77777777" w:rsidR="007F71A8" w:rsidRDefault="007F71A8" w:rsidP="007F71A8">
      <w:pPr>
        <w:spacing w:after="160" w:line="256" w:lineRule="auto"/>
        <w:jc w:val="both"/>
        <w:rPr>
          <w:rFonts w:eastAsia="Calibri" w:cs="Arial"/>
          <w:b/>
          <w:bCs/>
          <w:i/>
          <w:iCs/>
          <w:color w:val="000000"/>
          <w:sz w:val="16"/>
          <w:szCs w:val="16"/>
        </w:rPr>
      </w:pPr>
      <w:r>
        <w:rPr>
          <w:rFonts w:eastAsia="Calibri" w:cs="Arial"/>
          <w:b/>
          <w:bCs/>
          <w:i/>
          <w:iCs/>
          <w:color w:val="000000"/>
          <w:sz w:val="16"/>
          <w:szCs w:val="16"/>
        </w:rPr>
        <w:t>About Prosus</w:t>
      </w:r>
    </w:p>
    <w:p w14:paraId="213F7629" w14:textId="77777777" w:rsidR="007F71A8" w:rsidRPr="00F8547B" w:rsidRDefault="007F71A8" w:rsidP="007F71A8">
      <w:pPr>
        <w:spacing w:after="160" w:line="257" w:lineRule="auto"/>
        <w:jc w:val="both"/>
        <w:rPr>
          <w:rFonts w:eastAsia="Calibri" w:cs="Arial"/>
          <w:i/>
          <w:iCs/>
          <w:color w:val="000000"/>
          <w:sz w:val="16"/>
          <w:szCs w:val="16"/>
        </w:rPr>
      </w:pPr>
      <w:r w:rsidRPr="00F8547B">
        <w:rPr>
          <w:rFonts w:eastAsia="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1AA4BCD1" w14:textId="77777777" w:rsidR="007F71A8" w:rsidRPr="00F8547B" w:rsidRDefault="007F71A8" w:rsidP="007F71A8">
      <w:pPr>
        <w:spacing w:after="160" w:line="257" w:lineRule="auto"/>
        <w:jc w:val="both"/>
        <w:rPr>
          <w:rFonts w:eastAsia="Calibri" w:cs="Arial"/>
          <w:i/>
          <w:iCs/>
          <w:color w:val="000000"/>
          <w:sz w:val="16"/>
          <w:szCs w:val="16"/>
        </w:rPr>
      </w:pPr>
      <w:r w:rsidRPr="00F8547B">
        <w:rPr>
          <w:rFonts w:eastAsia="Calibri" w:cs="Arial"/>
          <w:i/>
          <w:iCs/>
          <w:color w:val="000000"/>
          <w:sz w:val="16"/>
          <w:szCs w:val="16"/>
        </w:rPr>
        <w:t>Prosus has a primary listing on Euronext Amsterdam (AEX:PRX) and secondary listings on the Johannesburg Stock Exchange (XJSE:PRX) and A2X Markets (PRX.AJ). Prosus is majority-owned by Naspers.</w:t>
      </w:r>
    </w:p>
    <w:p w14:paraId="3CEC6110" w14:textId="77777777" w:rsidR="007F71A8" w:rsidRPr="00F8547B" w:rsidRDefault="007F71A8" w:rsidP="007F71A8">
      <w:pPr>
        <w:spacing w:after="160" w:line="257" w:lineRule="auto"/>
        <w:jc w:val="both"/>
        <w:rPr>
          <w:rFonts w:eastAsia="Calibri" w:cs="Arial"/>
          <w:i/>
          <w:iCs/>
          <w:color w:val="000000"/>
          <w:sz w:val="16"/>
          <w:szCs w:val="16"/>
        </w:rPr>
      </w:pPr>
      <w:r w:rsidRPr="00F8547B">
        <w:rPr>
          <w:rFonts w:eastAsia="Calibri" w:cs="Arial"/>
          <w:i/>
          <w:iCs/>
          <w:color w:val="000000"/>
          <w:sz w:val="16"/>
          <w:szCs w:val="16"/>
        </w:rPr>
        <w:t xml:space="preserve">For more information, please visit </w:t>
      </w:r>
      <w:hyperlink r:id="rId15" w:history="1">
        <w:r w:rsidRPr="00F8547B">
          <w:rPr>
            <w:rStyle w:val="Hyperlink"/>
            <w:rFonts w:eastAsia="Calibri" w:cs="Arial"/>
            <w:i/>
            <w:iCs/>
            <w:sz w:val="16"/>
            <w:szCs w:val="16"/>
          </w:rPr>
          <w:t>www.prosus.com</w:t>
        </w:r>
      </w:hyperlink>
      <w:r w:rsidRPr="00F8547B">
        <w:rPr>
          <w:rFonts w:eastAsia="Calibri" w:cs="Arial"/>
          <w:i/>
          <w:iCs/>
          <w:color w:val="000000"/>
          <w:sz w:val="16"/>
          <w:szCs w:val="16"/>
        </w:rPr>
        <w:t>.</w:t>
      </w:r>
    </w:p>
    <w:p w14:paraId="7190D9A4" w14:textId="3F3928D9" w:rsidR="00CA57EF" w:rsidRPr="00623ADE" w:rsidRDefault="00CA57EF" w:rsidP="00623ADE">
      <w:pPr>
        <w:keepNext/>
        <w:spacing w:after="160" w:line="256" w:lineRule="auto"/>
        <w:jc w:val="both"/>
        <w:rPr>
          <w:rFonts w:eastAsia="Calibri" w:cs="Arial"/>
          <w:b/>
          <w:bCs/>
          <w:i/>
          <w:iCs/>
          <w:color w:val="000000"/>
          <w:sz w:val="16"/>
          <w:szCs w:val="16"/>
        </w:rPr>
      </w:pPr>
      <w:r w:rsidRPr="00623ADE">
        <w:rPr>
          <w:rFonts w:eastAsia="Calibri" w:cs="Arial"/>
          <w:b/>
          <w:bCs/>
          <w:i/>
          <w:iCs/>
          <w:color w:val="000000"/>
          <w:sz w:val="16"/>
          <w:szCs w:val="16"/>
        </w:rPr>
        <w:t>Disclaimer</w:t>
      </w:r>
    </w:p>
    <w:p w14:paraId="5CFA6063" w14:textId="77777777" w:rsidR="00CA57EF" w:rsidRPr="00623ADE" w:rsidRDefault="00CA57EF" w:rsidP="00623ADE">
      <w:pPr>
        <w:spacing w:after="160" w:line="257" w:lineRule="auto"/>
        <w:jc w:val="both"/>
        <w:rPr>
          <w:rFonts w:eastAsia="Calibri" w:cs="Arial"/>
          <w:i/>
          <w:iCs/>
          <w:color w:val="000000"/>
          <w:sz w:val="16"/>
          <w:szCs w:val="16"/>
        </w:rPr>
      </w:pPr>
      <w:r w:rsidRPr="00623ADE">
        <w:rPr>
          <w:rFonts w:eastAsia="Calibri" w:cs="Arial"/>
          <w:i/>
          <w:iCs/>
          <w:color w:val="000000"/>
          <w:sz w:val="16"/>
          <w:szCs w:val="16"/>
        </w:rPr>
        <w:t>This document contains information that qualifies as inside information within the meaning of Article 7(1) of the Market Abuse Regulation.</w:t>
      </w:r>
    </w:p>
    <w:p w14:paraId="0C50A0E4" w14:textId="77777777" w:rsidR="00CA57EF" w:rsidRPr="00623ADE" w:rsidRDefault="00CA57EF" w:rsidP="00623ADE">
      <w:pPr>
        <w:spacing w:after="160" w:line="257" w:lineRule="auto"/>
        <w:jc w:val="both"/>
        <w:rPr>
          <w:rFonts w:eastAsia="Calibri" w:cs="Arial"/>
          <w:i/>
          <w:iCs/>
          <w:color w:val="000000"/>
          <w:sz w:val="16"/>
          <w:szCs w:val="16"/>
        </w:rPr>
      </w:pPr>
      <w:r w:rsidRPr="00623ADE">
        <w:rPr>
          <w:rFonts w:eastAsia="Calibri" w:cs="Arial"/>
          <w:i/>
          <w:iCs/>
          <w:color w:val="000000"/>
          <w:sz w:val="16"/>
          <w:szCs w:val="16"/>
        </w:rPr>
        <w:t>This announcement does not constitute, or form part of, an offer or any solicitation of an offer for securities in any jurisdiction.</w:t>
      </w:r>
    </w:p>
    <w:p w14:paraId="0C390606" w14:textId="77777777" w:rsidR="00CA57EF" w:rsidRPr="00623ADE" w:rsidRDefault="00CA57EF" w:rsidP="00623ADE">
      <w:pPr>
        <w:spacing w:after="160" w:line="257" w:lineRule="auto"/>
        <w:jc w:val="both"/>
        <w:rPr>
          <w:rFonts w:eastAsia="Calibri" w:cs="Arial"/>
          <w:i/>
          <w:iCs/>
          <w:color w:val="000000"/>
          <w:sz w:val="16"/>
          <w:szCs w:val="16"/>
        </w:rPr>
      </w:pPr>
      <w:r w:rsidRPr="00623ADE">
        <w:rPr>
          <w:rFonts w:eastAsia="Calibri" w:cs="Arial"/>
          <w:i/>
          <w:iCs/>
          <w:color w:val="000000"/>
          <w:sz w:val="16"/>
          <w:szCs w:val="16"/>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sidRPr="00623ADE">
        <w:rPr>
          <w:rFonts w:eastAsia="Calibri" w:cs="Arial"/>
          <w:i/>
          <w:iCs/>
          <w:color w:val="000000"/>
          <w:sz w:val="16"/>
          <w:szCs w:val="16"/>
        </w:rPr>
        <w:t>Prosus’s</w:t>
      </w:r>
      <w:proofErr w:type="spellEnd"/>
      <w:r w:rsidRPr="00623ADE">
        <w:rPr>
          <w:rFonts w:eastAsia="Calibri" w:cs="Arial"/>
          <w:i/>
          <w:iCs/>
          <w:color w:val="000000"/>
          <w:sz w:val="16"/>
          <w:szCs w:val="16"/>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 </w:t>
      </w:r>
    </w:p>
    <w:p w14:paraId="02A8DAB1" w14:textId="77777777" w:rsidR="00CA57EF" w:rsidRPr="00623ADE" w:rsidRDefault="00CA57EF" w:rsidP="00623ADE">
      <w:pPr>
        <w:spacing w:after="160" w:line="257" w:lineRule="auto"/>
        <w:jc w:val="both"/>
        <w:rPr>
          <w:rFonts w:eastAsia="Calibri" w:cs="Arial"/>
          <w:i/>
          <w:iCs/>
          <w:color w:val="000000"/>
          <w:sz w:val="16"/>
          <w:szCs w:val="16"/>
        </w:rPr>
      </w:pPr>
      <w:r w:rsidRPr="00623ADE">
        <w:rPr>
          <w:rFonts w:eastAsia="Calibri" w:cs="Arial"/>
          <w:i/>
          <w:iCs/>
          <w:color w:val="000000"/>
          <w:sz w:val="16"/>
          <w:szCs w:val="16"/>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p>
    <w:p w14:paraId="22DA68DB" w14:textId="77777777" w:rsidR="00CA57EF" w:rsidRPr="00623ADE" w:rsidRDefault="00CA57EF" w:rsidP="00547054">
      <w:pPr>
        <w:spacing w:line="276" w:lineRule="auto"/>
        <w:jc w:val="both"/>
        <w:rPr>
          <w:rFonts w:ascii="Verdana" w:hAnsi="Verdana"/>
          <w:sz w:val="16"/>
          <w:szCs w:val="16"/>
          <w:lang w:val="en-GB"/>
        </w:rPr>
      </w:pPr>
    </w:p>
    <w:p w14:paraId="2FF56803" w14:textId="77777777" w:rsidR="002751E5" w:rsidRPr="00547054" w:rsidRDefault="002751E5" w:rsidP="00547054">
      <w:pPr>
        <w:pStyle w:val="DocText"/>
        <w:numPr>
          <w:ilvl w:val="0"/>
          <w:numId w:val="0"/>
        </w:numPr>
        <w:spacing w:line="276" w:lineRule="auto"/>
        <w:rPr>
          <w:rFonts w:ascii="Verdana" w:hAnsi="Verdana" w:cs="Calibri"/>
        </w:rPr>
      </w:pPr>
    </w:p>
    <w:sectPr w:rsidR="002751E5" w:rsidRPr="00547054" w:rsidSect="00BE5FF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80FB" w14:textId="77777777" w:rsidR="009E671A" w:rsidRDefault="009E671A" w:rsidP="00112278">
      <w:pPr>
        <w:spacing w:line="240" w:lineRule="auto"/>
      </w:pPr>
      <w:r>
        <w:separator/>
      </w:r>
    </w:p>
  </w:endnote>
  <w:endnote w:type="continuationSeparator" w:id="0">
    <w:p w14:paraId="59B1F899" w14:textId="77777777" w:rsidR="009E671A" w:rsidRDefault="009E671A" w:rsidP="00112278">
      <w:pPr>
        <w:spacing w:line="240" w:lineRule="auto"/>
      </w:pPr>
      <w:r>
        <w:continuationSeparator/>
      </w:r>
    </w:p>
  </w:endnote>
  <w:endnote w:type="continuationNotice" w:id="1">
    <w:p w14:paraId="208557E2" w14:textId="77777777" w:rsidR="009E671A" w:rsidRDefault="009E67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604252"/>
      <w:docPartObj>
        <w:docPartGallery w:val="Page Numbers (Bottom of Page)"/>
        <w:docPartUnique/>
      </w:docPartObj>
    </w:sdtPr>
    <w:sdtEndPr>
      <w:rPr>
        <w:rStyle w:val="PageNumber"/>
      </w:rPr>
    </w:sdtEndPr>
    <w:sdtContent>
      <w:p w14:paraId="37F18B02" w14:textId="77777777" w:rsidR="007F59B7" w:rsidRDefault="007F59B7" w:rsidP="00B541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E8AD1" w14:textId="77777777" w:rsidR="007F59B7" w:rsidRDefault="007F5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874648"/>
      <w:docPartObj>
        <w:docPartGallery w:val="Page Numbers (Bottom of Page)"/>
        <w:docPartUnique/>
      </w:docPartObj>
    </w:sdtPr>
    <w:sdtEndPr>
      <w:rPr>
        <w:rStyle w:val="PageNumber"/>
      </w:rPr>
    </w:sdtEndPr>
    <w:sdtContent>
      <w:p w14:paraId="78EDEDC0" w14:textId="279C34D8" w:rsidR="007F59B7" w:rsidRDefault="007F59B7" w:rsidP="00B541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4BC0">
          <w:rPr>
            <w:rStyle w:val="PageNumber"/>
            <w:noProof/>
          </w:rPr>
          <w:t>6</w:t>
        </w:r>
        <w:r>
          <w:rPr>
            <w:rStyle w:val="PageNumber"/>
          </w:rPr>
          <w:fldChar w:fldCharType="end"/>
        </w:r>
      </w:p>
    </w:sdtContent>
  </w:sdt>
  <w:p w14:paraId="5AC6E70B" w14:textId="77777777" w:rsidR="007F59B7" w:rsidRDefault="007F5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0525188"/>
      <w:docPartObj>
        <w:docPartGallery w:val="Page Numbers (Bottom of Page)"/>
        <w:docPartUnique/>
      </w:docPartObj>
    </w:sdtPr>
    <w:sdtEndPr>
      <w:rPr>
        <w:noProof/>
      </w:rPr>
    </w:sdtEndPr>
    <w:sdtContent>
      <w:p w14:paraId="137C1618" w14:textId="1B4E1752" w:rsidR="00111DEA" w:rsidRPr="00111DEA" w:rsidRDefault="00111DEA" w:rsidP="00111DEA">
        <w:pPr>
          <w:pStyle w:val="Footer"/>
          <w:tabs>
            <w:tab w:val="clear" w:pos="9360"/>
            <w:tab w:val="right" w:pos="10348"/>
          </w:tabs>
          <w:rPr>
            <w:rFonts w:ascii="Arial" w:hAnsi="Arial" w:cs="Arial"/>
            <w:sz w:val="18"/>
            <w:szCs w:val="18"/>
          </w:rPr>
        </w:pPr>
        <w:r w:rsidRPr="00111DEA">
          <w:rPr>
            <w:rFonts w:ascii="Arial" w:hAnsi="Arial" w:cs="Arial"/>
            <w:sz w:val="18"/>
            <w:szCs w:val="18"/>
          </w:rPr>
          <w:fldChar w:fldCharType="begin"/>
        </w:r>
        <w:r w:rsidRPr="00111DEA">
          <w:rPr>
            <w:rFonts w:ascii="Arial" w:hAnsi="Arial" w:cs="Arial"/>
            <w:sz w:val="18"/>
            <w:szCs w:val="18"/>
            <w:lang w:val="en-GB"/>
          </w:rPr>
          <w:instrText xml:space="preserve"> DATE \@ "dd/MM/yyyy" </w:instrText>
        </w:r>
        <w:r w:rsidRPr="00111DEA">
          <w:rPr>
            <w:rFonts w:ascii="Arial" w:hAnsi="Arial" w:cs="Arial"/>
            <w:sz w:val="18"/>
            <w:szCs w:val="18"/>
          </w:rPr>
          <w:fldChar w:fldCharType="separate"/>
        </w:r>
        <w:r w:rsidR="008738CB">
          <w:rPr>
            <w:rFonts w:ascii="Arial" w:hAnsi="Arial" w:cs="Arial"/>
            <w:noProof/>
            <w:sz w:val="18"/>
            <w:szCs w:val="18"/>
            <w:lang w:val="en-GB"/>
          </w:rPr>
          <w:t>20/08/2025</w:t>
        </w:r>
        <w:r w:rsidRPr="00111DEA">
          <w:rPr>
            <w:rFonts w:ascii="Arial" w:hAnsi="Arial" w:cs="Arial"/>
            <w:sz w:val="18"/>
            <w:szCs w:val="18"/>
          </w:rPr>
          <w:fldChar w:fldCharType="end"/>
        </w:r>
        <w:r w:rsidRPr="00111DEA">
          <w:rPr>
            <w:rFonts w:ascii="Arial" w:hAnsi="Arial" w:cs="Arial"/>
            <w:sz w:val="18"/>
            <w:szCs w:val="18"/>
          </w:rPr>
          <w:tab/>
        </w:r>
        <w:r w:rsidRPr="00111DEA">
          <w:rPr>
            <w:rFonts w:ascii="Arial" w:hAnsi="Arial" w:cs="Arial"/>
            <w:sz w:val="18"/>
            <w:szCs w:val="18"/>
          </w:rPr>
          <w:tab/>
        </w:r>
        <w:r w:rsidRPr="00111DEA">
          <w:rPr>
            <w:rFonts w:ascii="Arial" w:hAnsi="Arial" w:cs="Arial"/>
            <w:sz w:val="18"/>
            <w:szCs w:val="18"/>
          </w:rPr>
          <w:fldChar w:fldCharType="begin"/>
        </w:r>
        <w:r w:rsidRPr="00111DEA">
          <w:rPr>
            <w:rFonts w:ascii="Arial" w:hAnsi="Arial" w:cs="Arial"/>
            <w:sz w:val="18"/>
            <w:szCs w:val="18"/>
          </w:rPr>
          <w:instrText xml:space="preserve"> PAGE   \* MERGEFORMAT </w:instrText>
        </w:r>
        <w:r w:rsidRPr="00111DEA">
          <w:rPr>
            <w:rFonts w:ascii="Arial" w:hAnsi="Arial" w:cs="Arial"/>
            <w:sz w:val="18"/>
            <w:szCs w:val="18"/>
          </w:rPr>
          <w:fldChar w:fldCharType="separate"/>
        </w:r>
        <w:r w:rsidRPr="00111DEA">
          <w:rPr>
            <w:rFonts w:ascii="Arial" w:hAnsi="Arial" w:cs="Arial"/>
            <w:noProof/>
            <w:sz w:val="18"/>
            <w:szCs w:val="18"/>
          </w:rPr>
          <w:t>2</w:t>
        </w:r>
        <w:r w:rsidRPr="00111DE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F51E" w14:textId="77777777" w:rsidR="009E671A" w:rsidRDefault="009E671A" w:rsidP="00112278">
      <w:pPr>
        <w:spacing w:line="240" w:lineRule="auto"/>
      </w:pPr>
      <w:r>
        <w:separator/>
      </w:r>
    </w:p>
  </w:footnote>
  <w:footnote w:type="continuationSeparator" w:id="0">
    <w:p w14:paraId="0ADBEB50" w14:textId="77777777" w:rsidR="009E671A" w:rsidRDefault="009E671A" w:rsidP="00112278">
      <w:pPr>
        <w:spacing w:line="240" w:lineRule="auto"/>
      </w:pPr>
      <w:r>
        <w:continuationSeparator/>
      </w:r>
    </w:p>
  </w:footnote>
  <w:footnote w:type="continuationNotice" w:id="1">
    <w:p w14:paraId="54EE181B" w14:textId="77777777" w:rsidR="009E671A" w:rsidRDefault="009E671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2FC3"/>
    <w:multiLevelType w:val="hybridMultilevel"/>
    <w:tmpl w:val="D870F770"/>
    <w:lvl w:ilvl="0" w:tplc="D77AE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6A81"/>
    <w:multiLevelType w:val="multilevel"/>
    <w:tmpl w:val="2CD4276C"/>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2" w15:restartNumberingAfterBreak="0">
    <w:nsid w:val="3B7E14E9"/>
    <w:multiLevelType w:val="hybridMultilevel"/>
    <w:tmpl w:val="618A5F72"/>
    <w:lvl w:ilvl="0" w:tplc="853E0F9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942E5"/>
    <w:multiLevelType w:val="hybridMultilevel"/>
    <w:tmpl w:val="1676181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4F5E095B"/>
    <w:multiLevelType w:val="hybridMultilevel"/>
    <w:tmpl w:val="808A8C24"/>
    <w:lvl w:ilvl="0" w:tplc="A80A1464">
      <w:start w:val="1"/>
      <w:numFmt w:val="bullet"/>
      <w:pStyle w:val="Bullet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073E4"/>
    <w:multiLevelType w:val="hybridMultilevel"/>
    <w:tmpl w:val="7C9614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5CE875BD"/>
    <w:multiLevelType w:val="multilevel"/>
    <w:tmpl w:val="3B2EC0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6A6756"/>
    <w:multiLevelType w:val="hybridMultilevel"/>
    <w:tmpl w:val="4EB611A8"/>
    <w:lvl w:ilvl="0" w:tplc="B178D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072D0"/>
    <w:multiLevelType w:val="hybridMultilevel"/>
    <w:tmpl w:val="B4584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922F9"/>
    <w:multiLevelType w:val="hybridMultilevel"/>
    <w:tmpl w:val="C57C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129514">
    <w:abstractNumId w:val="2"/>
  </w:num>
  <w:num w:numId="2" w16cid:durableId="154610305">
    <w:abstractNumId w:val="4"/>
  </w:num>
  <w:num w:numId="3" w16cid:durableId="135531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212825">
    <w:abstractNumId w:val="1"/>
  </w:num>
  <w:num w:numId="5" w16cid:durableId="424808201">
    <w:abstractNumId w:val="5"/>
  </w:num>
  <w:num w:numId="6" w16cid:durableId="2114129248">
    <w:abstractNumId w:val="9"/>
  </w:num>
  <w:num w:numId="7" w16cid:durableId="1476410224">
    <w:abstractNumId w:val="7"/>
  </w:num>
  <w:num w:numId="8" w16cid:durableId="763456945">
    <w:abstractNumId w:val="6"/>
  </w:num>
  <w:num w:numId="9" w16cid:durableId="1983803614">
    <w:abstractNumId w:val="8"/>
  </w:num>
  <w:num w:numId="10" w16cid:durableId="1040859484">
    <w:abstractNumId w:val="0"/>
  </w:num>
  <w:num w:numId="11" w16cid:durableId="40449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78"/>
    <w:rsid w:val="000037D3"/>
    <w:rsid w:val="00007C29"/>
    <w:rsid w:val="0001272D"/>
    <w:rsid w:val="00024BB0"/>
    <w:rsid w:val="00025EFB"/>
    <w:rsid w:val="00027A6E"/>
    <w:rsid w:val="000307B1"/>
    <w:rsid w:val="00032951"/>
    <w:rsid w:val="00032A2B"/>
    <w:rsid w:val="0003391B"/>
    <w:rsid w:val="00034F3B"/>
    <w:rsid w:val="00037900"/>
    <w:rsid w:val="000509D9"/>
    <w:rsid w:val="00061503"/>
    <w:rsid w:val="0007320D"/>
    <w:rsid w:val="00076426"/>
    <w:rsid w:val="00080E83"/>
    <w:rsid w:val="000912E9"/>
    <w:rsid w:val="00097B82"/>
    <w:rsid w:val="000A2148"/>
    <w:rsid w:val="000A4AFA"/>
    <w:rsid w:val="000B0AFD"/>
    <w:rsid w:val="000B40D2"/>
    <w:rsid w:val="000C0418"/>
    <w:rsid w:val="000C1F8A"/>
    <w:rsid w:val="000C2CB9"/>
    <w:rsid w:val="000C6197"/>
    <w:rsid w:val="000C7F32"/>
    <w:rsid w:val="000D3A5C"/>
    <w:rsid w:val="000D51FA"/>
    <w:rsid w:val="000D5656"/>
    <w:rsid w:val="000E4F49"/>
    <w:rsid w:val="000F2165"/>
    <w:rsid w:val="000F4921"/>
    <w:rsid w:val="000F59BC"/>
    <w:rsid w:val="0010129D"/>
    <w:rsid w:val="00111DEA"/>
    <w:rsid w:val="00112278"/>
    <w:rsid w:val="00114F27"/>
    <w:rsid w:val="0011682A"/>
    <w:rsid w:val="00120135"/>
    <w:rsid w:val="001209FA"/>
    <w:rsid w:val="00141834"/>
    <w:rsid w:val="001418BE"/>
    <w:rsid w:val="00143C32"/>
    <w:rsid w:val="00150E09"/>
    <w:rsid w:val="00155973"/>
    <w:rsid w:val="00162F65"/>
    <w:rsid w:val="00170EF2"/>
    <w:rsid w:val="00175736"/>
    <w:rsid w:val="00180278"/>
    <w:rsid w:val="001869DA"/>
    <w:rsid w:val="001922CE"/>
    <w:rsid w:val="00192E49"/>
    <w:rsid w:val="00193FDD"/>
    <w:rsid w:val="001A1290"/>
    <w:rsid w:val="001B3684"/>
    <w:rsid w:val="001C395F"/>
    <w:rsid w:val="001D02F7"/>
    <w:rsid w:val="001D0E41"/>
    <w:rsid w:val="001D1780"/>
    <w:rsid w:val="001D66E8"/>
    <w:rsid w:val="001E5956"/>
    <w:rsid w:val="002013E7"/>
    <w:rsid w:val="0020402B"/>
    <w:rsid w:val="00205723"/>
    <w:rsid w:val="0021286D"/>
    <w:rsid w:val="0021486D"/>
    <w:rsid w:val="0021726D"/>
    <w:rsid w:val="00217E6D"/>
    <w:rsid w:val="0022187B"/>
    <w:rsid w:val="002219FA"/>
    <w:rsid w:val="0022639E"/>
    <w:rsid w:val="00234B91"/>
    <w:rsid w:val="00234EE3"/>
    <w:rsid w:val="00237273"/>
    <w:rsid w:val="00244D61"/>
    <w:rsid w:val="00256253"/>
    <w:rsid w:val="00256D98"/>
    <w:rsid w:val="00257FA7"/>
    <w:rsid w:val="00260EA7"/>
    <w:rsid w:val="002641A9"/>
    <w:rsid w:val="00264CB2"/>
    <w:rsid w:val="002746BA"/>
    <w:rsid w:val="002751E5"/>
    <w:rsid w:val="0028198A"/>
    <w:rsid w:val="002B33DC"/>
    <w:rsid w:val="002C4EC6"/>
    <w:rsid w:val="002D3FA8"/>
    <w:rsid w:val="002D75D7"/>
    <w:rsid w:val="002E6589"/>
    <w:rsid w:val="002F3E96"/>
    <w:rsid w:val="00302E75"/>
    <w:rsid w:val="003045D9"/>
    <w:rsid w:val="00304CBF"/>
    <w:rsid w:val="00306D68"/>
    <w:rsid w:val="00313A5F"/>
    <w:rsid w:val="00315E62"/>
    <w:rsid w:val="00316B00"/>
    <w:rsid w:val="00317D4E"/>
    <w:rsid w:val="00323F5E"/>
    <w:rsid w:val="00326DE5"/>
    <w:rsid w:val="003275D6"/>
    <w:rsid w:val="003344F4"/>
    <w:rsid w:val="00337BF0"/>
    <w:rsid w:val="00346D23"/>
    <w:rsid w:val="00346DAB"/>
    <w:rsid w:val="00351504"/>
    <w:rsid w:val="00352765"/>
    <w:rsid w:val="0039395C"/>
    <w:rsid w:val="00396346"/>
    <w:rsid w:val="003A2209"/>
    <w:rsid w:val="003B0E09"/>
    <w:rsid w:val="003B4A00"/>
    <w:rsid w:val="003C1EB6"/>
    <w:rsid w:val="003E1151"/>
    <w:rsid w:val="003E63DF"/>
    <w:rsid w:val="003F6C3A"/>
    <w:rsid w:val="003F755E"/>
    <w:rsid w:val="00413927"/>
    <w:rsid w:val="00415243"/>
    <w:rsid w:val="0042488B"/>
    <w:rsid w:val="004304D6"/>
    <w:rsid w:val="00430B21"/>
    <w:rsid w:val="00437C93"/>
    <w:rsid w:val="00441E07"/>
    <w:rsid w:val="0044323D"/>
    <w:rsid w:val="0044735E"/>
    <w:rsid w:val="00450060"/>
    <w:rsid w:val="00461DD9"/>
    <w:rsid w:val="00462356"/>
    <w:rsid w:val="0046315A"/>
    <w:rsid w:val="00472678"/>
    <w:rsid w:val="00480A08"/>
    <w:rsid w:val="004837F3"/>
    <w:rsid w:val="00486E1D"/>
    <w:rsid w:val="0048741C"/>
    <w:rsid w:val="00491455"/>
    <w:rsid w:val="00494A3B"/>
    <w:rsid w:val="004A567C"/>
    <w:rsid w:val="004B0103"/>
    <w:rsid w:val="004B02E1"/>
    <w:rsid w:val="004B4DFC"/>
    <w:rsid w:val="004B7A4C"/>
    <w:rsid w:val="004C38CF"/>
    <w:rsid w:val="004D08FE"/>
    <w:rsid w:val="004D6AC9"/>
    <w:rsid w:val="004D7928"/>
    <w:rsid w:val="004E4832"/>
    <w:rsid w:val="004E7357"/>
    <w:rsid w:val="004F4FDB"/>
    <w:rsid w:val="004F70A6"/>
    <w:rsid w:val="00511398"/>
    <w:rsid w:val="005269E5"/>
    <w:rsid w:val="0053460D"/>
    <w:rsid w:val="00543535"/>
    <w:rsid w:val="00545456"/>
    <w:rsid w:val="00545655"/>
    <w:rsid w:val="00545C60"/>
    <w:rsid w:val="00547054"/>
    <w:rsid w:val="00554EE1"/>
    <w:rsid w:val="005578E4"/>
    <w:rsid w:val="005607E7"/>
    <w:rsid w:val="005617C2"/>
    <w:rsid w:val="00564558"/>
    <w:rsid w:val="00572455"/>
    <w:rsid w:val="00573807"/>
    <w:rsid w:val="00573DC5"/>
    <w:rsid w:val="0058176C"/>
    <w:rsid w:val="00584115"/>
    <w:rsid w:val="005B17A3"/>
    <w:rsid w:val="005B30D8"/>
    <w:rsid w:val="005B6600"/>
    <w:rsid w:val="005C0C89"/>
    <w:rsid w:val="005C1E8D"/>
    <w:rsid w:val="005C7452"/>
    <w:rsid w:val="005D19A7"/>
    <w:rsid w:val="005D7077"/>
    <w:rsid w:val="005E4135"/>
    <w:rsid w:val="005F4CAA"/>
    <w:rsid w:val="005F5B42"/>
    <w:rsid w:val="00604A2F"/>
    <w:rsid w:val="00612494"/>
    <w:rsid w:val="00615A98"/>
    <w:rsid w:val="00620CB5"/>
    <w:rsid w:val="00623ADE"/>
    <w:rsid w:val="00626B27"/>
    <w:rsid w:val="00640A03"/>
    <w:rsid w:val="00640B9A"/>
    <w:rsid w:val="00641579"/>
    <w:rsid w:val="00642906"/>
    <w:rsid w:val="00645F24"/>
    <w:rsid w:val="00646140"/>
    <w:rsid w:val="006462FD"/>
    <w:rsid w:val="00647A14"/>
    <w:rsid w:val="006642FC"/>
    <w:rsid w:val="00666903"/>
    <w:rsid w:val="00666F8D"/>
    <w:rsid w:val="00671521"/>
    <w:rsid w:val="006803FB"/>
    <w:rsid w:val="0068619F"/>
    <w:rsid w:val="00693419"/>
    <w:rsid w:val="006A6B2D"/>
    <w:rsid w:val="006B01C5"/>
    <w:rsid w:val="006B26B6"/>
    <w:rsid w:val="006B3081"/>
    <w:rsid w:val="006B546D"/>
    <w:rsid w:val="006B583E"/>
    <w:rsid w:val="006B5B22"/>
    <w:rsid w:val="006C1FD3"/>
    <w:rsid w:val="006C3AAD"/>
    <w:rsid w:val="006D28ED"/>
    <w:rsid w:val="006D43FE"/>
    <w:rsid w:val="006E1261"/>
    <w:rsid w:val="006F39BF"/>
    <w:rsid w:val="006F5B0B"/>
    <w:rsid w:val="00701A7D"/>
    <w:rsid w:val="007127A6"/>
    <w:rsid w:val="007132E7"/>
    <w:rsid w:val="007200EA"/>
    <w:rsid w:val="0072460C"/>
    <w:rsid w:val="007410BE"/>
    <w:rsid w:val="00743FA3"/>
    <w:rsid w:val="00746AEF"/>
    <w:rsid w:val="00752A23"/>
    <w:rsid w:val="00754EF9"/>
    <w:rsid w:val="00764B49"/>
    <w:rsid w:val="007A2D4B"/>
    <w:rsid w:val="007A6D1A"/>
    <w:rsid w:val="007B3F95"/>
    <w:rsid w:val="007B4021"/>
    <w:rsid w:val="007C1AF5"/>
    <w:rsid w:val="007C2FFD"/>
    <w:rsid w:val="007D4EB4"/>
    <w:rsid w:val="007E0639"/>
    <w:rsid w:val="007F2190"/>
    <w:rsid w:val="007F3524"/>
    <w:rsid w:val="007F459D"/>
    <w:rsid w:val="007F59B7"/>
    <w:rsid w:val="007F71A8"/>
    <w:rsid w:val="007F7618"/>
    <w:rsid w:val="00804127"/>
    <w:rsid w:val="00810752"/>
    <w:rsid w:val="00814592"/>
    <w:rsid w:val="00821768"/>
    <w:rsid w:val="008315E1"/>
    <w:rsid w:val="00831891"/>
    <w:rsid w:val="00833DEB"/>
    <w:rsid w:val="0084086A"/>
    <w:rsid w:val="00850166"/>
    <w:rsid w:val="0086011F"/>
    <w:rsid w:val="00870C18"/>
    <w:rsid w:val="00872856"/>
    <w:rsid w:val="00872C87"/>
    <w:rsid w:val="008738CB"/>
    <w:rsid w:val="008819F9"/>
    <w:rsid w:val="00892714"/>
    <w:rsid w:val="00896135"/>
    <w:rsid w:val="008A6C0D"/>
    <w:rsid w:val="008B37BA"/>
    <w:rsid w:val="008B4BC0"/>
    <w:rsid w:val="008C3A30"/>
    <w:rsid w:val="008C7081"/>
    <w:rsid w:val="008E278A"/>
    <w:rsid w:val="008E5710"/>
    <w:rsid w:val="008F5158"/>
    <w:rsid w:val="008F5E8C"/>
    <w:rsid w:val="0090475C"/>
    <w:rsid w:val="0092540D"/>
    <w:rsid w:val="0092684A"/>
    <w:rsid w:val="00930169"/>
    <w:rsid w:val="00931B66"/>
    <w:rsid w:val="00940801"/>
    <w:rsid w:val="00943411"/>
    <w:rsid w:val="00943BEB"/>
    <w:rsid w:val="00944651"/>
    <w:rsid w:val="00952AC5"/>
    <w:rsid w:val="00954448"/>
    <w:rsid w:val="009737F9"/>
    <w:rsid w:val="009779BF"/>
    <w:rsid w:val="009830A5"/>
    <w:rsid w:val="00987C9C"/>
    <w:rsid w:val="009A2B4E"/>
    <w:rsid w:val="009A6BFA"/>
    <w:rsid w:val="009C30E7"/>
    <w:rsid w:val="009C733E"/>
    <w:rsid w:val="009C7F89"/>
    <w:rsid w:val="009D5D6A"/>
    <w:rsid w:val="009D691B"/>
    <w:rsid w:val="009E030C"/>
    <w:rsid w:val="009E671A"/>
    <w:rsid w:val="009F0925"/>
    <w:rsid w:val="00A07AA4"/>
    <w:rsid w:val="00A14C29"/>
    <w:rsid w:val="00A14DCB"/>
    <w:rsid w:val="00A15608"/>
    <w:rsid w:val="00A171F1"/>
    <w:rsid w:val="00A2094B"/>
    <w:rsid w:val="00A3355E"/>
    <w:rsid w:val="00A45253"/>
    <w:rsid w:val="00A51B93"/>
    <w:rsid w:val="00A51E16"/>
    <w:rsid w:val="00A60AC1"/>
    <w:rsid w:val="00A64425"/>
    <w:rsid w:val="00A64C2B"/>
    <w:rsid w:val="00A71D87"/>
    <w:rsid w:val="00A720B4"/>
    <w:rsid w:val="00A730D5"/>
    <w:rsid w:val="00A77A2D"/>
    <w:rsid w:val="00A77F8A"/>
    <w:rsid w:val="00A90363"/>
    <w:rsid w:val="00A90EF0"/>
    <w:rsid w:val="00A9153C"/>
    <w:rsid w:val="00A94CBF"/>
    <w:rsid w:val="00AA4A28"/>
    <w:rsid w:val="00AA6CC0"/>
    <w:rsid w:val="00AA6E1D"/>
    <w:rsid w:val="00AC598F"/>
    <w:rsid w:val="00AC7113"/>
    <w:rsid w:val="00AD3420"/>
    <w:rsid w:val="00AE512F"/>
    <w:rsid w:val="00AF6133"/>
    <w:rsid w:val="00B24F45"/>
    <w:rsid w:val="00B36C37"/>
    <w:rsid w:val="00B40CA9"/>
    <w:rsid w:val="00B5418C"/>
    <w:rsid w:val="00B70EC0"/>
    <w:rsid w:val="00B722E6"/>
    <w:rsid w:val="00B77193"/>
    <w:rsid w:val="00B7753A"/>
    <w:rsid w:val="00B83F1C"/>
    <w:rsid w:val="00B913E3"/>
    <w:rsid w:val="00B930AD"/>
    <w:rsid w:val="00BA0700"/>
    <w:rsid w:val="00BA4CAB"/>
    <w:rsid w:val="00BA50DC"/>
    <w:rsid w:val="00BA7183"/>
    <w:rsid w:val="00BB0061"/>
    <w:rsid w:val="00BC037B"/>
    <w:rsid w:val="00BD7946"/>
    <w:rsid w:val="00BE2220"/>
    <w:rsid w:val="00BE39B3"/>
    <w:rsid w:val="00BE5FF8"/>
    <w:rsid w:val="00BF3978"/>
    <w:rsid w:val="00C0494F"/>
    <w:rsid w:val="00C04FD9"/>
    <w:rsid w:val="00C12AFE"/>
    <w:rsid w:val="00C13E7B"/>
    <w:rsid w:val="00C20347"/>
    <w:rsid w:val="00C225FC"/>
    <w:rsid w:val="00C278A6"/>
    <w:rsid w:val="00C3011E"/>
    <w:rsid w:val="00C40529"/>
    <w:rsid w:val="00C41943"/>
    <w:rsid w:val="00C46B6F"/>
    <w:rsid w:val="00C50B39"/>
    <w:rsid w:val="00C51B6D"/>
    <w:rsid w:val="00C577BC"/>
    <w:rsid w:val="00C61C6A"/>
    <w:rsid w:val="00C6319C"/>
    <w:rsid w:val="00C836E9"/>
    <w:rsid w:val="00C87234"/>
    <w:rsid w:val="00C91187"/>
    <w:rsid w:val="00C96E05"/>
    <w:rsid w:val="00C97A2F"/>
    <w:rsid w:val="00CA57EF"/>
    <w:rsid w:val="00CA74E0"/>
    <w:rsid w:val="00CB59D4"/>
    <w:rsid w:val="00CC5008"/>
    <w:rsid w:val="00CE786D"/>
    <w:rsid w:val="00CF21F1"/>
    <w:rsid w:val="00CF79EC"/>
    <w:rsid w:val="00D0166D"/>
    <w:rsid w:val="00D07BA0"/>
    <w:rsid w:val="00D12769"/>
    <w:rsid w:val="00D202F5"/>
    <w:rsid w:val="00D215A5"/>
    <w:rsid w:val="00D22288"/>
    <w:rsid w:val="00D23038"/>
    <w:rsid w:val="00D2402D"/>
    <w:rsid w:val="00D3284C"/>
    <w:rsid w:val="00D37211"/>
    <w:rsid w:val="00D4576F"/>
    <w:rsid w:val="00D540E1"/>
    <w:rsid w:val="00D57904"/>
    <w:rsid w:val="00D61071"/>
    <w:rsid w:val="00D727AA"/>
    <w:rsid w:val="00D77845"/>
    <w:rsid w:val="00D85E67"/>
    <w:rsid w:val="00D91B8C"/>
    <w:rsid w:val="00D951D9"/>
    <w:rsid w:val="00D97371"/>
    <w:rsid w:val="00D97E23"/>
    <w:rsid w:val="00DA2ADF"/>
    <w:rsid w:val="00DA38F1"/>
    <w:rsid w:val="00DA46AF"/>
    <w:rsid w:val="00DD46B2"/>
    <w:rsid w:val="00DD6A1B"/>
    <w:rsid w:val="00DE1845"/>
    <w:rsid w:val="00DE2CA0"/>
    <w:rsid w:val="00DE5027"/>
    <w:rsid w:val="00DE6471"/>
    <w:rsid w:val="00DF77D9"/>
    <w:rsid w:val="00E03DE2"/>
    <w:rsid w:val="00E15076"/>
    <w:rsid w:val="00E2363C"/>
    <w:rsid w:val="00E267CA"/>
    <w:rsid w:val="00E40431"/>
    <w:rsid w:val="00E47D81"/>
    <w:rsid w:val="00E51C42"/>
    <w:rsid w:val="00E564D6"/>
    <w:rsid w:val="00E5655C"/>
    <w:rsid w:val="00E5660C"/>
    <w:rsid w:val="00E56E6A"/>
    <w:rsid w:val="00E61081"/>
    <w:rsid w:val="00E647E6"/>
    <w:rsid w:val="00E736E3"/>
    <w:rsid w:val="00E75FA8"/>
    <w:rsid w:val="00E76821"/>
    <w:rsid w:val="00E91B75"/>
    <w:rsid w:val="00E955FA"/>
    <w:rsid w:val="00EB11D8"/>
    <w:rsid w:val="00EB2429"/>
    <w:rsid w:val="00EB6B9D"/>
    <w:rsid w:val="00EC707E"/>
    <w:rsid w:val="00EC7816"/>
    <w:rsid w:val="00ED7304"/>
    <w:rsid w:val="00EE2D9C"/>
    <w:rsid w:val="00EF538D"/>
    <w:rsid w:val="00F212E2"/>
    <w:rsid w:val="00F33E47"/>
    <w:rsid w:val="00F400D2"/>
    <w:rsid w:val="00F40C7D"/>
    <w:rsid w:val="00F40DFD"/>
    <w:rsid w:val="00F413D7"/>
    <w:rsid w:val="00F6074B"/>
    <w:rsid w:val="00F66BC6"/>
    <w:rsid w:val="00F66D01"/>
    <w:rsid w:val="00F826D0"/>
    <w:rsid w:val="00F865F7"/>
    <w:rsid w:val="00FA02E0"/>
    <w:rsid w:val="00FA18A3"/>
    <w:rsid w:val="00FA6731"/>
    <w:rsid w:val="00FA6F5D"/>
    <w:rsid w:val="00FC0AD9"/>
    <w:rsid w:val="00FC10B3"/>
    <w:rsid w:val="00FC40D6"/>
    <w:rsid w:val="00FC45ED"/>
    <w:rsid w:val="00FC4E4F"/>
    <w:rsid w:val="00FC5DC6"/>
    <w:rsid w:val="00FD0F2E"/>
    <w:rsid w:val="00FE288E"/>
    <w:rsid w:val="00FF2794"/>
    <w:rsid w:val="00FF569A"/>
    <w:rsid w:val="00FF791A"/>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F55AE"/>
  <w15:chartTrackingRefBased/>
  <w15:docId w15:val="{8CD0A7A5-4240-684D-86F9-3D8F0F22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78"/>
    <w:pPr>
      <w:spacing w:line="360" w:lineRule="auto"/>
    </w:pPr>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Normal"/>
    <w:uiPriority w:val="1"/>
    <w:qFormat/>
    <w:rsid w:val="00112278"/>
    <w:pPr>
      <w:numPr>
        <w:numId w:val="2"/>
      </w:numPr>
      <w:tabs>
        <w:tab w:val="num" w:pos="720"/>
      </w:tabs>
      <w:spacing w:after="60"/>
    </w:pPr>
    <w:rPr>
      <w:rFonts w:eastAsia="Calibri"/>
      <w:sz w:val="20"/>
      <w:szCs w:val="22"/>
      <w:lang w:val="en-GB"/>
    </w:rPr>
  </w:style>
  <w:style w:type="paragraph" w:styleId="Footer">
    <w:name w:val="footer"/>
    <w:basedOn w:val="Normal"/>
    <w:link w:val="FooterChar"/>
    <w:uiPriority w:val="99"/>
    <w:unhideWhenUsed/>
    <w:rsid w:val="00112278"/>
    <w:pPr>
      <w:tabs>
        <w:tab w:val="center" w:pos="4680"/>
        <w:tab w:val="right" w:pos="9360"/>
      </w:tabs>
      <w:spacing w:line="240" w:lineRule="auto"/>
    </w:pPr>
  </w:style>
  <w:style w:type="character" w:customStyle="1" w:styleId="FooterChar">
    <w:name w:val="Footer Char"/>
    <w:basedOn w:val="DefaultParagraphFont"/>
    <w:link w:val="Footer"/>
    <w:uiPriority w:val="99"/>
    <w:rsid w:val="00112278"/>
    <w:rPr>
      <w:rFonts w:ascii="Calibri" w:eastAsia="Times New Roman" w:hAnsi="Calibri" w:cs="Times New Roman"/>
      <w:lang w:val="en-US"/>
    </w:rPr>
  </w:style>
  <w:style w:type="character" w:styleId="PageNumber">
    <w:name w:val="page number"/>
    <w:basedOn w:val="DefaultParagraphFont"/>
    <w:uiPriority w:val="99"/>
    <w:semiHidden/>
    <w:unhideWhenUsed/>
    <w:rsid w:val="00112278"/>
  </w:style>
  <w:style w:type="paragraph" w:customStyle="1" w:styleId="Title16">
    <w:name w:val="Title16"/>
    <w:basedOn w:val="Normal"/>
    <w:rsid w:val="00155973"/>
    <w:pPr>
      <w:keepNext/>
      <w:keepLines/>
      <w:suppressAutoHyphens/>
      <w:spacing w:after="120" w:line="290" w:lineRule="auto"/>
      <w:jc w:val="center"/>
      <w:outlineLvl w:val="0"/>
    </w:pPr>
    <w:rPr>
      <w:rFonts w:ascii="Times New Roman" w:hAnsi="Times New Roman"/>
      <w:b/>
      <w:kern w:val="20"/>
      <w:sz w:val="32"/>
      <w:lang w:val="en-GB" w:eastAsia="en-GB"/>
    </w:rPr>
  </w:style>
  <w:style w:type="paragraph" w:styleId="NoSpacing">
    <w:name w:val="No Spacing"/>
    <w:qFormat/>
    <w:rsid w:val="00315E62"/>
    <w:pPr>
      <w:suppressAutoHyphens/>
    </w:pPr>
    <w:rPr>
      <w:rFonts w:ascii="Arial" w:eastAsia="Times New Roman" w:hAnsi="Arial" w:cs="Times New Roman"/>
      <w:sz w:val="22"/>
      <w:lang w:eastAsia="en-GB"/>
    </w:rPr>
  </w:style>
  <w:style w:type="paragraph" w:customStyle="1" w:styleId="DocText">
    <w:name w:val="DocText"/>
    <w:basedOn w:val="Normal"/>
    <w:qFormat/>
    <w:rsid w:val="00315E62"/>
    <w:pPr>
      <w:numPr>
        <w:numId w:val="3"/>
      </w:numPr>
      <w:spacing w:before="240" w:line="260" w:lineRule="atLeast"/>
      <w:jc w:val="both"/>
    </w:pPr>
    <w:rPr>
      <w:rFonts w:ascii="Arial" w:eastAsiaTheme="minorHAnsi" w:hAnsi="Arial"/>
      <w:sz w:val="20"/>
      <w:szCs w:val="22"/>
      <w:lang w:val="en-GB"/>
    </w:rPr>
  </w:style>
  <w:style w:type="paragraph" w:customStyle="1" w:styleId="DocTextL1">
    <w:name w:val="DocTextL1"/>
    <w:basedOn w:val="DocText"/>
    <w:qFormat/>
    <w:rsid w:val="00315E62"/>
    <w:pPr>
      <w:numPr>
        <w:ilvl w:val="1"/>
      </w:numPr>
    </w:pPr>
  </w:style>
  <w:style w:type="paragraph" w:customStyle="1" w:styleId="DocTextL2">
    <w:name w:val="DocTextL2"/>
    <w:basedOn w:val="DocText"/>
    <w:qFormat/>
    <w:rsid w:val="00315E62"/>
    <w:pPr>
      <w:numPr>
        <w:ilvl w:val="2"/>
      </w:numPr>
    </w:pPr>
  </w:style>
  <w:style w:type="paragraph" w:customStyle="1" w:styleId="DocTextL3">
    <w:name w:val="DocTextL3"/>
    <w:basedOn w:val="DocText"/>
    <w:qFormat/>
    <w:rsid w:val="00315E62"/>
    <w:pPr>
      <w:numPr>
        <w:ilvl w:val="3"/>
      </w:numPr>
    </w:pPr>
  </w:style>
  <w:style w:type="paragraph" w:customStyle="1" w:styleId="DocTextL4">
    <w:name w:val="DocTextL4"/>
    <w:basedOn w:val="DocText"/>
    <w:rsid w:val="00315E62"/>
    <w:pPr>
      <w:numPr>
        <w:ilvl w:val="4"/>
      </w:numPr>
    </w:pPr>
  </w:style>
  <w:style w:type="paragraph" w:customStyle="1" w:styleId="DocTextL5">
    <w:name w:val="DocTextL5"/>
    <w:basedOn w:val="DocText"/>
    <w:rsid w:val="00315E62"/>
    <w:pPr>
      <w:numPr>
        <w:ilvl w:val="5"/>
      </w:numPr>
    </w:pPr>
  </w:style>
  <w:style w:type="paragraph" w:customStyle="1" w:styleId="DocTextL6">
    <w:name w:val="DocTextL6"/>
    <w:basedOn w:val="DocText"/>
    <w:qFormat/>
    <w:rsid w:val="00315E62"/>
    <w:pPr>
      <w:numPr>
        <w:ilvl w:val="6"/>
      </w:numPr>
    </w:pPr>
  </w:style>
  <w:style w:type="paragraph" w:customStyle="1" w:styleId="DocTextL7">
    <w:name w:val="DocTextL7"/>
    <w:basedOn w:val="DocText"/>
    <w:qFormat/>
    <w:rsid w:val="00315E62"/>
    <w:pPr>
      <w:numPr>
        <w:ilvl w:val="7"/>
      </w:numPr>
    </w:pPr>
  </w:style>
  <w:style w:type="paragraph" w:customStyle="1" w:styleId="DocTextL8">
    <w:name w:val="DocTextL8"/>
    <w:basedOn w:val="DocText"/>
    <w:qFormat/>
    <w:rsid w:val="00315E62"/>
    <w:pPr>
      <w:numPr>
        <w:ilvl w:val="8"/>
      </w:numPr>
    </w:pPr>
  </w:style>
  <w:style w:type="table" w:styleId="TableGrid">
    <w:name w:val="Table Grid"/>
    <w:basedOn w:val="TableNormal"/>
    <w:uiPriority w:val="59"/>
    <w:qFormat/>
    <w:rsid w:val="00315E62"/>
    <w:rPr>
      <w:rFonts w:ascii="Times New Roman" w:hAnsi="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5607E7"/>
    <w:rPr>
      <w:rFonts w:eastAsiaTheme="minorEastAsia"/>
      <w:sz w:val="20"/>
      <w:szCs w:val="20"/>
      <w:lang w:val="en-US"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5418C"/>
    <w:pPr>
      <w:autoSpaceDE w:val="0"/>
      <w:autoSpaceDN w:val="0"/>
      <w:adjustRightInd w:val="0"/>
    </w:pPr>
    <w:rPr>
      <w:rFonts w:ascii="Calibri" w:hAnsi="Calibri" w:cs="Calibri"/>
      <w:color w:val="000000"/>
      <w:lang w:val="en-ZA"/>
    </w:rPr>
  </w:style>
  <w:style w:type="paragraph" w:styleId="BalloonText">
    <w:name w:val="Balloon Text"/>
    <w:basedOn w:val="Normal"/>
    <w:link w:val="BalloonTextChar"/>
    <w:uiPriority w:val="99"/>
    <w:semiHidden/>
    <w:unhideWhenUsed/>
    <w:rsid w:val="008C70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081"/>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8C7081"/>
    <w:rPr>
      <w:sz w:val="16"/>
      <w:szCs w:val="16"/>
    </w:rPr>
  </w:style>
  <w:style w:type="paragraph" w:styleId="CommentText">
    <w:name w:val="annotation text"/>
    <w:basedOn w:val="Normal"/>
    <w:link w:val="CommentTextChar"/>
    <w:uiPriority w:val="99"/>
    <w:unhideWhenUsed/>
    <w:rsid w:val="008C7081"/>
    <w:pPr>
      <w:spacing w:line="240" w:lineRule="auto"/>
    </w:pPr>
    <w:rPr>
      <w:sz w:val="20"/>
      <w:szCs w:val="20"/>
    </w:rPr>
  </w:style>
  <w:style w:type="character" w:customStyle="1" w:styleId="CommentTextChar">
    <w:name w:val="Comment Text Char"/>
    <w:basedOn w:val="DefaultParagraphFont"/>
    <w:link w:val="CommentText"/>
    <w:uiPriority w:val="99"/>
    <w:rsid w:val="008C708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C30E7"/>
    <w:rPr>
      <w:b/>
      <w:bCs/>
    </w:rPr>
  </w:style>
  <w:style w:type="character" w:customStyle="1" w:styleId="CommentSubjectChar">
    <w:name w:val="Comment Subject Char"/>
    <w:basedOn w:val="CommentTextChar"/>
    <w:link w:val="CommentSubject"/>
    <w:uiPriority w:val="99"/>
    <w:semiHidden/>
    <w:rsid w:val="009C30E7"/>
    <w:rPr>
      <w:rFonts w:ascii="Calibri" w:eastAsia="Times New Roman" w:hAnsi="Calibri" w:cs="Times New Roman"/>
      <w:b/>
      <w:bCs/>
      <w:sz w:val="20"/>
      <w:szCs w:val="20"/>
      <w:lang w:val="en-US"/>
    </w:rPr>
  </w:style>
  <w:style w:type="paragraph" w:styleId="ListParagraph">
    <w:name w:val="List Paragraph"/>
    <w:basedOn w:val="Normal"/>
    <w:uiPriority w:val="34"/>
    <w:qFormat/>
    <w:rsid w:val="00143C32"/>
    <w:pPr>
      <w:ind w:left="720"/>
      <w:contextualSpacing/>
    </w:pPr>
  </w:style>
  <w:style w:type="character" w:styleId="Hyperlink">
    <w:name w:val="Hyperlink"/>
    <w:basedOn w:val="DefaultParagraphFont"/>
    <w:uiPriority w:val="99"/>
    <w:unhideWhenUsed/>
    <w:rsid w:val="00A90EF0"/>
    <w:rPr>
      <w:color w:val="0563C1" w:themeColor="hyperlink"/>
      <w:u w:val="single"/>
    </w:rPr>
  </w:style>
  <w:style w:type="character" w:customStyle="1" w:styleId="UnresolvedMention1">
    <w:name w:val="Unresolved Mention1"/>
    <w:basedOn w:val="DefaultParagraphFont"/>
    <w:uiPriority w:val="99"/>
    <w:semiHidden/>
    <w:unhideWhenUsed/>
    <w:rsid w:val="00A90EF0"/>
    <w:rPr>
      <w:color w:val="605E5C"/>
      <w:shd w:val="clear" w:color="auto" w:fill="E1DFDD"/>
    </w:rPr>
  </w:style>
  <w:style w:type="character" w:styleId="FollowedHyperlink">
    <w:name w:val="FollowedHyperlink"/>
    <w:basedOn w:val="DefaultParagraphFont"/>
    <w:uiPriority w:val="99"/>
    <w:semiHidden/>
    <w:unhideWhenUsed/>
    <w:rsid w:val="00A90EF0"/>
    <w:rPr>
      <w:color w:val="954F72" w:themeColor="followedHyperlink"/>
      <w:u w:val="single"/>
    </w:rPr>
  </w:style>
  <w:style w:type="paragraph" w:styleId="FootnoteText">
    <w:name w:val="footnote text"/>
    <w:basedOn w:val="Normal"/>
    <w:link w:val="FootnoteTextChar"/>
    <w:uiPriority w:val="99"/>
    <w:semiHidden/>
    <w:unhideWhenUsed/>
    <w:rsid w:val="00AC598F"/>
    <w:pPr>
      <w:spacing w:line="240" w:lineRule="auto"/>
    </w:pPr>
    <w:rPr>
      <w:sz w:val="20"/>
      <w:szCs w:val="20"/>
    </w:rPr>
  </w:style>
  <w:style w:type="character" w:customStyle="1" w:styleId="FootnoteTextChar">
    <w:name w:val="Footnote Text Char"/>
    <w:basedOn w:val="DefaultParagraphFont"/>
    <w:link w:val="FootnoteText"/>
    <w:uiPriority w:val="99"/>
    <w:semiHidden/>
    <w:rsid w:val="00AC598F"/>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AC598F"/>
    <w:rPr>
      <w:vertAlign w:val="superscript"/>
    </w:rPr>
  </w:style>
  <w:style w:type="paragraph" w:styleId="Header">
    <w:name w:val="header"/>
    <w:basedOn w:val="Normal"/>
    <w:link w:val="HeaderChar"/>
    <w:uiPriority w:val="99"/>
    <w:unhideWhenUsed/>
    <w:rsid w:val="005578E4"/>
    <w:pPr>
      <w:tabs>
        <w:tab w:val="center" w:pos="4680"/>
        <w:tab w:val="right" w:pos="9360"/>
      </w:tabs>
      <w:spacing w:line="240" w:lineRule="auto"/>
    </w:pPr>
  </w:style>
  <w:style w:type="character" w:customStyle="1" w:styleId="HeaderChar">
    <w:name w:val="Header Char"/>
    <w:basedOn w:val="DefaultParagraphFont"/>
    <w:link w:val="Header"/>
    <w:uiPriority w:val="99"/>
    <w:rsid w:val="00645F24"/>
    <w:rPr>
      <w:rFonts w:ascii="Calibri" w:eastAsia="Times New Roman" w:hAnsi="Calibri" w:cs="Times New Roman"/>
      <w:lang w:val="en-US"/>
    </w:rPr>
  </w:style>
  <w:style w:type="paragraph" w:customStyle="1" w:styleId="WWBodyText">
    <w:name w:val="WW_BodyText"/>
    <w:basedOn w:val="Normal"/>
    <w:rsid w:val="00CA57EF"/>
    <w:pPr>
      <w:suppressAutoHyphens/>
      <w:spacing w:after="240"/>
      <w:jc w:val="both"/>
    </w:pPr>
    <w:rPr>
      <w:rFonts w:ascii="Arial" w:hAnsi="Arial"/>
      <w:sz w:val="22"/>
      <w:lang w:val="en-GB" w:eastAsia="en-GB"/>
    </w:rPr>
  </w:style>
  <w:style w:type="paragraph" w:customStyle="1" w:styleId="AODocTxt">
    <w:name w:val="AODocTxt"/>
    <w:basedOn w:val="Normal"/>
    <w:qFormat/>
    <w:rsid w:val="00CA57EF"/>
    <w:pPr>
      <w:spacing w:before="240" w:line="260" w:lineRule="atLeast"/>
      <w:jc w:val="both"/>
    </w:pPr>
    <w:rPr>
      <w:rFonts w:ascii="Times New Roman" w:eastAsiaTheme="minorHAnsi" w:hAnsi="Times New Roman"/>
      <w:sz w:val="22"/>
      <w:szCs w:val="22"/>
      <w:lang w:val="en-GB"/>
    </w:rPr>
  </w:style>
  <w:style w:type="paragraph" w:styleId="Revision">
    <w:name w:val="Revision"/>
    <w:hidden/>
    <w:uiPriority w:val="99"/>
    <w:semiHidden/>
    <w:rsid w:val="005C7452"/>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162">
      <w:bodyDiv w:val="1"/>
      <w:marLeft w:val="0"/>
      <w:marRight w:val="0"/>
      <w:marTop w:val="0"/>
      <w:marBottom w:val="0"/>
      <w:divBdr>
        <w:top w:val="none" w:sz="0" w:space="0" w:color="auto"/>
        <w:left w:val="none" w:sz="0" w:space="0" w:color="auto"/>
        <w:bottom w:val="none" w:sz="0" w:space="0" w:color="auto"/>
        <w:right w:val="none" w:sz="0" w:space="0" w:color="auto"/>
      </w:divBdr>
    </w:div>
    <w:div w:id="221252665">
      <w:bodyDiv w:val="1"/>
      <w:marLeft w:val="0"/>
      <w:marRight w:val="0"/>
      <w:marTop w:val="0"/>
      <w:marBottom w:val="0"/>
      <w:divBdr>
        <w:top w:val="none" w:sz="0" w:space="0" w:color="auto"/>
        <w:left w:val="none" w:sz="0" w:space="0" w:color="auto"/>
        <w:bottom w:val="none" w:sz="0" w:space="0" w:color="auto"/>
        <w:right w:val="none" w:sz="0" w:space="0" w:color="auto"/>
      </w:divBdr>
    </w:div>
    <w:div w:id="546571733">
      <w:bodyDiv w:val="1"/>
      <w:marLeft w:val="0"/>
      <w:marRight w:val="0"/>
      <w:marTop w:val="0"/>
      <w:marBottom w:val="0"/>
      <w:divBdr>
        <w:top w:val="none" w:sz="0" w:space="0" w:color="auto"/>
        <w:left w:val="none" w:sz="0" w:space="0" w:color="auto"/>
        <w:bottom w:val="none" w:sz="0" w:space="0" w:color="auto"/>
        <w:right w:val="none" w:sz="0" w:space="0" w:color="auto"/>
      </w:divBdr>
    </w:div>
    <w:div w:id="674498073">
      <w:bodyDiv w:val="1"/>
      <w:marLeft w:val="0"/>
      <w:marRight w:val="0"/>
      <w:marTop w:val="0"/>
      <w:marBottom w:val="0"/>
      <w:divBdr>
        <w:top w:val="none" w:sz="0" w:space="0" w:color="auto"/>
        <w:left w:val="none" w:sz="0" w:space="0" w:color="auto"/>
        <w:bottom w:val="none" w:sz="0" w:space="0" w:color="auto"/>
        <w:right w:val="none" w:sz="0" w:space="0" w:color="auto"/>
      </w:divBdr>
    </w:div>
    <w:div w:id="715391117">
      <w:bodyDiv w:val="1"/>
      <w:marLeft w:val="0"/>
      <w:marRight w:val="0"/>
      <w:marTop w:val="0"/>
      <w:marBottom w:val="0"/>
      <w:divBdr>
        <w:top w:val="none" w:sz="0" w:space="0" w:color="auto"/>
        <w:left w:val="none" w:sz="0" w:space="0" w:color="auto"/>
        <w:bottom w:val="none" w:sz="0" w:space="0" w:color="auto"/>
        <w:right w:val="none" w:sz="0" w:space="0" w:color="auto"/>
      </w:divBdr>
    </w:div>
    <w:div w:id="788939715">
      <w:bodyDiv w:val="1"/>
      <w:marLeft w:val="0"/>
      <w:marRight w:val="0"/>
      <w:marTop w:val="0"/>
      <w:marBottom w:val="0"/>
      <w:divBdr>
        <w:top w:val="none" w:sz="0" w:space="0" w:color="auto"/>
        <w:left w:val="none" w:sz="0" w:space="0" w:color="auto"/>
        <w:bottom w:val="none" w:sz="0" w:space="0" w:color="auto"/>
        <w:right w:val="none" w:sz="0" w:space="0" w:color="auto"/>
      </w:divBdr>
    </w:div>
    <w:div w:id="927805699">
      <w:bodyDiv w:val="1"/>
      <w:marLeft w:val="0"/>
      <w:marRight w:val="0"/>
      <w:marTop w:val="0"/>
      <w:marBottom w:val="0"/>
      <w:divBdr>
        <w:top w:val="none" w:sz="0" w:space="0" w:color="auto"/>
        <w:left w:val="none" w:sz="0" w:space="0" w:color="auto"/>
        <w:bottom w:val="none" w:sz="0" w:space="0" w:color="auto"/>
        <w:right w:val="none" w:sz="0" w:space="0" w:color="auto"/>
      </w:divBdr>
    </w:div>
    <w:div w:id="1227376065">
      <w:bodyDiv w:val="1"/>
      <w:marLeft w:val="0"/>
      <w:marRight w:val="0"/>
      <w:marTop w:val="0"/>
      <w:marBottom w:val="0"/>
      <w:divBdr>
        <w:top w:val="none" w:sz="0" w:space="0" w:color="auto"/>
        <w:left w:val="none" w:sz="0" w:space="0" w:color="auto"/>
        <w:bottom w:val="none" w:sz="0" w:space="0" w:color="auto"/>
        <w:right w:val="none" w:sz="0" w:space="0" w:color="auto"/>
      </w:divBdr>
    </w:div>
    <w:div w:id="1262489332">
      <w:bodyDiv w:val="1"/>
      <w:marLeft w:val="0"/>
      <w:marRight w:val="0"/>
      <w:marTop w:val="0"/>
      <w:marBottom w:val="0"/>
      <w:divBdr>
        <w:top w:val="none" w:sz="0" w:space="0" w:color="auto"/>
        <w:left w:val="none" w:sz="0" w:space="0" w:color="auto"/>
        <w:bottom w:val="none" w:sz="0" w:space="0" w:color="auto"/>
        <w:right w:val="none" w:sz="0" w:space="0" w:color="auto"/>
      </w:divBdr>
    </w:div>
    <w:div w:id="1515148445">
      <w:bodyDiv w:val="1"/>
      <w:marLeft w:val="0"/>
      <w:marRight w:val="0"/>
      <w:marTop w:val="0"/>
      <w:marBottom w:val="0"/>
      <w:divBdr>
        <w:top w:val="none" w:sz="0" w:space="0" w:color="auto"/>
        <w:left w:val="none" w:sz="0" w:space="0" w:color="auto"/>
        <w:bottom w:val="none" w:sz="0" w:space="0" w:color="auto"/>
        <w:right w:val="none" w:sz="0" w:space="0" w:color="auto"/>
      </w:divBdr>
    </w:div>
    <w:div w:id="1798913378">
      <w:bodyDiv w:val="1"/>
      <w:marLeft w:val="0"/>
      <w:marRight w:val="0"/>
      <w:marTop w:val="0"/>
      <w:marBottom w:val="0"/>
      <w:divBdr>
        <w:top w:val="none" w:sz="0" w:space="0" w:color="auto"/>
        <w:left w:val="none" w:sz="0" w:space="0" w:color="auto"/>
        <w:bottom w:val="none" w:sz="0" w:space="0" w:color="auto"/>
        <w:right w:val="none" w:sz="0" w:space="0" w:color="auto"/>
      </w:divBdr>
    </w:div>
    <w:div w:id="2001541353">
      <w:bodyDiv w:val="1"/>
      <w:marLeft w:val="0"/>
      <w:marRight w:val="0"/>
      <w:marTop w:val="0"/>
      <w:marBottom w:val="0"/>
      <w:divBdr>
        <w:top w:val="none" w:sz="0" w:space="0" w:color="auto"/>
        <w:left w:val="none" w:sz="0" w:space="0" w:color="auto"/>
        <w:bottom w:val="none" w:sz="0" w:space="0" w:color="auto"/>
        <w:right w:val="none" w:sz="0" w:space="0" w:color="auto"/>
      </w:divBdr>
    </w:div>
    <w:div w:id="20453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rosus.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1 6 " ? > < p r o p e r t i e s   x m l n s = " h t t p : / / w w w . i m a n a g e . c o m / w o r k / x m l s c h e m a " >  
     < d o c u m e n t i d > E U O 3 ! 2 0 1 3 0 4 7 5 4 8 . 1 < / d o c u m e n t i d >  
     < s e n d e r i d > H O V H A N I L < / s e n d e r i d >  
     < s e n d e r e m a i l > L O U S I N E . H O V H A N I S I A N @ A L L E N O V E R Y . C O M < / s e n d e r e m a i l >  
     < l a s t m o d i f i e d > 2 0 2 3 - 0 8 - 2 2 T 1 5 : 4 9 : 0 0 . 0 0 0 0 0 0 0 + 0 2 : 0 0 < / l a s t m o d i f i e d >  
     < d a t a b a s e > E U O 3 < / d a t a b a s e >  
 < / p r o p e r t i e s > 
</file>

<file path=customXml/itemProps1.xml><?xml version="1.0" encoding="utf-8"?>
<ds:datastoreItem xmlns:ds="http://schemas.openxmlformats.org/officeDocument/2006/customXml" ds:itemID="{2810E789-A794-4F58-86BF-0DD884639934}">
  <ds:schemaRefs>
    <ds:schemaRef ds:uri="http://schemas.microsoft.com/sharepoint/v3/contenttype/forms"/>
  </ds:schemaRefs>
</ds:datastoreItem>
</file>

<file path=customXml/itemProps2.xml><?xml version="1.0" encoding="utf-8"?>
<ds:datastoreItem xmlns:ds="http://schemas.openxmlformats.org/officeDocument/2006/customXml" ds:itemID="{AF32CDF1-1F7C-4B8D-ACD6-6117FD28936C}">
  <ds:schemaRefs>
    <ds:schemaRef ds:uri="http://schemas.openxmlformats.org/officeDocument/2006/bibliography"/>
  </ds:schemaRefs>
</ds:datastoreItem>
</file>

<file path=customXml/itemProps3.xml><?xml version="1.0" encoding="utf-8"?>
<ds:datastoreItem xmlns:ds="http://schemas.openxmlformats.org/officeDocument/2006/customXml" ds:itemID="{15F43F34-8886-4E1B-B4C6-BC642164E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EE0E8-D926-4E74-A193-62B74E5BA5AE}">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3D3504A-5196-4403-BC4C-F164A82C424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12393</Characters>
  <Application>Microsoft Office Word</Application>
  <DocSecurity>0</DocSecurity>
  <Lines>427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Pieter Carnelley</dc:creator>
  <cp:lastModifiedBy>Tonilee Lutz</cp:lastModifiedBy>
  <cp:revision>69</cp:revision>
  <cp:lastPrinted>1899-12-31T23:00:00Z</cp:lastPrinted>
  <dcterms:created xsi:type="dcterms:W3CDTF">2024-08-06T07:59:00Z</dcterms:created>
  <dcterms:modified xsi:type="dcterms:W3CDTF">2025-08-20T14:32:00Z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ediaServiceImageTags">
    <vt:lpwstr/>
  </property>
  <property fmtid="{D5CDD505-2E9C-101B-9397-08002B2CF9AE}" pid="4" name="Client">
    <vt:lpwstr>0097703</vt:lpwstr>
  </property>
  <property fmtid="{D5CDD505-2E9C-101B-9397-08002B2CF9AE}" pid="5" name="Matter">
    <vt:lpwstr>0000002</vt:lpwstr>
  </property>
  <property fmtid="{D5CDD505-2E9C-101B-9397-08002B2CF9AE}" pid="6" name="cpDocRef">
    <vt:lpwstr>EUO3: 2013047548.1</vt:lpwstr>
  </property>
  <property fmtid="{D5CDD505-2E9C-101B-9397-08002B2CF9AE}" pid="7" name="cpClientMatter">
    <vt:lpwstr>0097703-0000002</vt:lpwstr>
  </property>
  <property fmtid="{D5CDD505-2E9C-101B-9397-08002B2CF9AE}" pid="8" name="cpCombinedRef">
    <vt:lpwstr>0097703-0000002 EUO3: 2013047548.1</vt:lpwstr>
  </property>
  <property fmtid="{D5CDD505-2E9C-101B-9397-08002B2CF9AE}" pid="9" name="MSIP_Label_246f4cd6-607d-414f-909b-a3722938e11f_Enabled">
    <vt:lpwstr>true</vt:lpwstr>
  </property>
  <property fmtid="{D5CDD505-2E9C-101B-9397-08002B2CF9AE}" pid="10" name="MSIP_Label_246f4cd6-607d-414f-909b-a3722938e11f_SetDate">
    <vt:lpwstr>2023-08-22T13:30:57Z</vt:lpwstr>
  </property>
  <property fmtid="{D5CDD505-2E9C-101B-9397-08002B2CF9AE}" pid="11" name="MSIP_Label_246f4cd6-607d-414f-909b-a3722938e11f_Method">
    <vt:lpwstr>Privileged</vt:lpwstr>
  </property>
  <property fmtid="{D5CDD505-2E9C-101B-9397-08002B2CF9AE}" pid="12" name="MSIP_Label_246f4cd6-607d-414f-909b-a3722938e11f_Name">
    <vt:lpwstr>246f4cd6-607d-414f-909b-a3722938e11f</vt:lpwstr>
  </property>
  <property fmtid="{D5CDD505-2E9C-101B-9397-08002B2CF9AE}" pid="13" name="MSIP_Label_246f4cd6-607d-414f-909b-a3722938e11f_SiteId">
    <vt:lpwstr>7f0b44d2-04f8-4672-bf5d-4676796468a3</vt:lpwstr>
  </property>
  <property fmtid="{D5CDD505-2E9C-101B-9397-08002B2CF9AE}" pid="14" name="MSIP_Label_246f4cd6-607d-414f-909b-a3722938e11f_ActionId">
    <vt:lpwstr>52fd50d0-9f81-4a9d-a6f4-0520eb5396ab</vt:lpwstr>
  </property>
  <property fmtid="{D5CDD505-2E9C-101B-9397-08002B2CF9AE}" pid="15" name="MSIP_Label_246f4cd6-607d-414f-909b-a3722938e11f_ContentBits">
    <vt:lpwstr>0</vt:lpwstr>
  </property>
  <property fmtid="{D5CDD505-2E9C-101B-9397-08002B2CF9AE}" pid="16" name="GrammarlyDocumentId">
    <vt:lpwstr>417f918a-b078-4a3e-b262-12b9ebb452a1</vt:lpwstr>
  </property>
</Properties>
</file>