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770BB" w14:textId="77777777" w:rsidR="00311D8B" w:rsidRDefault="00311D8B" w:rsidP="00311D8B">
      <w:pPr>
        <w:spacing w:after="0" w:line="240" w:lineRule="auto"/>
        <w:jc w:val="center"/>
        <w:rPr>
          <w:b/>
          <w:bCs/>
          <w:sz w:val="22"/>
          <w:szCs w:val="22"/>
        </w:rPr>
      </w:pPr>
      <w:r>
        <w:rPr>
          <w:noProof/>
          <w:lang w:eastAsia="en-GB"/>
        </w:rPr>
        <w:drawing>
          <wp:inline distT="0" distB="0" distL="0" distR="0" wp14:anchorId="0D454707" wp14:editId="183D3957">
            <wp:extent cx="1841399" cy="468022"/>
            <wp:effectExtent l="0" t="0" r="6985"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7425" cy="479720"/>
                    </a:xfrm>
                    <a:prstGeom prst="rect">
                      <a:avLst/>
                    </a:prstGeom>
                    <a:noFill/>
                    <a:ln>
                      <a:noFill/>
                    </a:ln>
                  </pic:spPr>
                </pic:pic>
              </a:graphicData>
            </a:graphic>
          </wp:inline>
        </w:drawing>
      </w:r>
    </w:p>
    <w:p w14:paraId="6EAC9637" w14:textId="77777777" w:rsidR="00311D8B" w:rsidRDefault="00311D8B" w:rsidP="00311D8B">
      <w:pPr>
        <w:spacing w:after="0" w:line="240" w:lineRule="auto"/>
        <w:jc w:val="center"/>
        <w:rPr>
          <w:b/>
          <w:bCs/>
          <w:sz w:val="22"/>
          <w:szCs w:val="22"/>
        </w:rPr>
      </w:pPr>
    </w:p>
    <w:p w14:paraId="3B7BF938" w14:textId="33FA0C0E" w:rsidR="00B11EF9" w:rsidRDefault="00B11EF9" w:rsidP="00311D8B">
      <w:pPr>
        <w:spacing w:after="0" w:line="240" w:lineRule="auto"/>
        <w:jc w:val="center"/>
        <w:rPr>
          <w:b/>
          <w:bCs/>
          <w:noProof/>
          <w:sz w:val="28"/>
          <w:szCs w:val="28"/>
          <w:lang w:val="fr-FR"/>
        </w:rPr>
      </w:pPr>
    </w:p>
    <w:p w14:paraId="1AAD3AC6" w14:textId="77777777" w:rsidR="005E235A" w:rsidRDefault="005E235A" w:rsidP="00311D8B">
      <w:pPr>
        <w:spacing w:after="0" w:line="240" w:lineRule="auto"/>
        <w:jc w:val="center"/>
        <w:rPr>
          <w:b/>
          <w:bCs/>
          <w:noProof/>
          <w:sz w:val="28"/>
          <w:szCs w:val="28"/>
          <w:lang w:val="fr-FR"/>
        </w:rPr>
      </w:pPr>
    </w:p>
    <w:p w14:paraId="6647251E" w14:textId="77777777" w:rsidR="002238CE" w:rsidRPr="00133C50" w:rsidRDefault="00311D8B" w:rsidP="002238CE">
      <w:pPr>
        <w:spacing w:after="0" w:line="240" w:lineRule="auto"/>
        <w:jc w:val="center"/>
        <w:rPr>
          <w:rFonts w:eastAsia="Times New Roman" w:cstheme="minorHAnsi"/>
          <w:b/>
          <w:color w:val="1B4255"/>
          <w:sz w:val="32"/>
          <w:szCs w:val="28"/>
          <w:lang w:val="fr-FR" w:eastAsia="fr-FR"/>
        </w:rPr>
      </w:pPr>
      <w:r w:rsidRPr="005C4DA3">
        <w:rPr>
          <w:rFonts w:eastAsia="Times New Roman" w:cstheme="minorHAnsi"/>
          <w:b/>
          <w:color w:val="1B4255"/>
          <w:sz w:val="32"/>
          <w:szCs w:val="28"/>
          <w:lang w:val="fr-FR" w:eastAsia="fr-FR"/>
        </w:rPr>
        <w:t>Advicenne</w:t>
      </w:r>
      <w:r w:rsidRPr="007A31AE">
        <w:rPr>
          <w:b/>
          <w:bCs/>
          <w:noProof/>
          <w:sz w:val="28"/>
          <w:szCs w:val="28"/>
          <w:lang w:val="fr-FR"/>
        </w:rPr>
        <w:t xml:space="preserve"> </w:t>
      </w:r>
      <w:r w:rsidR="002238CE" w:rsidRPr="00133C50">
        <w:rPr>
          <w:rFonts w:eastAsia="Times New Roman" w:cstheme="minorHAnsi"/>
          <w:b/>
          <w:color w:val="1B4255"/>
          <w:sz w:val="32"/>
          <w:szCs w:val="28"/>
          <w:lang w:val="fr-FR" w:eastAsia="fr-FR"/>
        </w:rPr>
        <w:t>met à disposition son</w:t>
      </w:r>
    </w:p>
    <w:p w14:paraId="4FD82FEE" w14:textId="6016BB5E" w:rsidR="00311D8B" w:rsidRPr="00133C50" w:rsidRDefault="002238CE" w:rsidP="002238CE">
      <w:pPr>
        <w:spacing w:after="0" w:line="240" w:lineRule="auto"/>
        <w:jc w:val="center"/>
        <w:rPr>
          <w:rFonts w:eastAsia="Times New Roman" w:cstheme="minorHAnsi"/>
          <w:b/>
          <w:color w:val="1B4255"/>
          <w:sz w:val="32"/>
          <w:szCs w:val="28"/>
          <w:lang w:val="fr-FR" w:eastAsia="fr-FR"/>
        </w:rPr>
      </w:pPr>
      <w:r w:rsidRPr="00133C50">
        <w:rPr>
          <w:rFonts w:eastAsia="Times New Roman" w:cstheme="minorHAnsi"/>
          <w:b/>
          <w:color w:val="1B4255"/>
          <w:sz w:val="32"/>
          <w:szCs w:val="28"/>
          <w:lang w:val="fr-FR" w:eastAsia="fr-FR"/>
        </w:rPr>
        <w:t xml:space="preserve">Document d’Enregistrement Universel </w:t>
      </w:r>
      <w:r w:rsidR="00311D8B" w:rsidRPr="00133C50">
        <w:rPr>
          <w:rFonts w:eastAsia="Times New Roman" w:cstheme="minorHAnsi"/>
          <w:b/>
          <w:color w:val="1B4255"/>
          <w:sz w:val="32"/>
          <w:szCs w:val="28"/>
          <w:lang w:val="fr-FR" w:eastAsia="fr-FR"/>
        </w:rPr>
        <w:t>202</w:t>
      </w:r>
      <w:r w:rsidR="00B87354">
        <w:rPr>
          <w:rFonts w:eastAsia="Times New Roman" w:cstheme="minorHAnsi"/>
          <w:b/>
          <w:color w:val="1B4255"/>
          <w:sz w:val="32"/>
          <w:szCs w:val="28"/>
          <w:lang w:val="fr-FR" w:eastAsia="fr-FR"/>
        </w:rPr>
        <w:t>4</w:t>
      </w:r>
    </w:p>
    <w:p w14:paraId="0EE58666" w14:textId="529CCFB3" w:rsidR="00B11EF9" w:rsidRDefault="00B11EF9" w:rsidP="00311D8B">
      <w:pPr>
        <w:tabs>
          <w:tab w:val="left" w:pos="2530"/>
          <w:tab w:val="center" w:pos="4961"/>
        </w:tabs>
        <w:spacing w:after="0" w:line="240" w:lineRule="auto"/>
        <w:rPr>
          <w:i/>
          <w:iCs/>
          <w:noProof/>
          <w:sz w:val="22"/>
          <w:szCs w:val="22"/>
          <w:lang w:val="fr-FR"/>
        </w:rPr>
      </w:pPr>
    </w:p>
    <w:p w14:paraId="65BD2A21" w14:textId="77777777" w:rsidR="004A2440" w:rsidRPr="00C96C5C" w:rsidRDefault="004A2440" w:rsidP="00C96C5C">
      <w:pPr>
        <w:pStyle w:val="Paragraphedeliste"/>
        <w:ind w:left="2356"/>
        <w:rPr>
          <w:noProof/>
          <w:sz w:val="22"/>
          <w:szCs w:val="22"/>
          <w:lang w:val="fr-FR"/>
        </w:rPr>
      </w:pPr>
    </w:p>
    <w:p w14:paraId="0BD345A9" w14:textId="2695827D" w:rsidR="000A6CA9" w:rsidRDefault="00311D8B" w:rsidP="001A2426">
      <w:pPr>
        <w:spacing w:after="0" w:line="240" w:lineRule="auto"/>
        <w:jc w:val="both"/>
        <w:rPr>
          <w:rFonts w:ascii="Calibri" w:hAnsi="Calibri" w:cs="Calibri"/>
          <w:sz w:val="22"/>
          <w:szCs w:val="22"/>
          <w:lang w:val="fr-FR"/>
        </w:rPr>
      </w:pPr>
      <w:r w:rsidRPr="00C96C5C">
        <w:rPr>
          <w:b/>
          <w:bCs/>
          <w:noProof/>
          <w:sz w:val="22"/>
          <w:szCs w:val="22"/>
          <w:lang w:val="fr-FR"/>
        </w:rPr>
        <w:t>Paris</w:t>
      </w:r>
      <w:r w:rsidR="001B11E1">
        <w:rPr>
          <w:b/>
          <w:bCs/>
          <w:noProof/>
          <w:sz w:val="22"/>
          <w:szCs w:val="22"/>
          <w:lang w:val="fr-FR"/>
        </w:rPr>
        <w:t xml:space="preserve"> </w:t>
      </w:r>
      <w:r w:rsidR="00804639">
        <w:rPr>
          <w:b/>
          <w:bCs/>
          <w:noProof/>
          <w:sz w:val="22"/>
          <w:szCs w:val="22"/>
          <w:lang w:val="fr-FR"/>
        </w:rPr>
        <w:t>(France)</w:t>
      </w:r>
      <w:r w:rsidRPr="00C96C5C">
        <w:rPr>
          <w:b/>
          <w:bCs/>
          <w:noProof/>
          <w:sz w:val="22"/>
          <w:szCs w:val="22"/>
          <w:lang w:val="fr-FR"/>
        </w:rPr>
        <w:t xml:space="preserve">, </w:t>
      </w:r>
      <w:r w:rsidR="005C3848" w:rsidRPr="00C96C5C">
        <w:rPr>
          <w:b/>
          <w:bCs/>
          <w:noProof/>
          <w:sz w:val="22"/>
          <w:szCs w:val="22"/>
          <w:lang w:val="fr-FR"/>
        </w:rPr>
        <w:t xml:space="preserve">le </w:t>
      </w:r>
      <w:r w:rsidR="00987B9F">
        <w:rPr>
          <w:b/>
          <w:bCs/>
          <w:noProof/>
          <w:sz w:val="22"/>
          <w:szCs w:val="22"/>
          <w:lang w:val="fr-FR"/>
        </w:rPr>
        <w:t>2</w:t>
      </w:r>
      <w:r w:rsidR="00945707">
        <w:rPr>
          <w:b/>
          <w:bCs/>
          <w:noProof/>
          <w:sz w:val="22"/>
          <w:szCs w:val="22"/>
          <w:lang w:val="fr-FR"/>
        </w:rPr>
        <w:t>9</w:t>
      </w:r>
      <w:r w:rsidRPr="00C96C5C">
        <w:rPr>
          <w:b/>
          <w:bCs/>
          <w:noProof/>
          <w:sz w:val="22"/>
          <w:szCs w:val="22"/>
          <w:lang w:val="fr-FR"/>
        </w:rPr>
        <w:t xml:space="preserve"> </w:t>
      </w:r>
      <w:r w:rsidR="002238CE">
        <w:rPr>
          <w:b/>
          <w:bCs/>
          <w:noProof/>
          <w:sz w:val="22"/>
          <w:szCs w:val="22"/>
          <w:lang w:val="fr-FR"/>
        </w:rPr>
        <w:t xml:space="preserve">avril </w:t>
      </w:r>
      <w:r w:rsidR="005C3848" w:rsidRPr="00C96C5C">
        <w:rPr>
          <w:b/>
          <w:bCs/>
          <w:noProof/>
          <w:sz w:val="22"/>
          <w:szCs w:val="22"/>
          <w:lang w:val="fr-FR"/>
        </w:rPr>
        <w:t>202</w:t>
      </w:r>
      <w:r w:rsidR="00B87354">
        <w:rPr>
          <w:b/>
          <w:bCs/>
          <w:noProof/>
          <w:sz w:val="22"/>
          <w:szCs w:val="22"/>
          <w:lang w:val="fr-FR"/>
        </w:rPr>
        <w:t>5</w:t>
      </w:r>
      <w:r w:rsidR="005C3848" w:rsidRPr="00C96C5C">
        <w:rPr>
          <w:b/>
          <w:bCs/>
          <w:noProof/>
          <w:sz w:val="22"/>
          <w:szCs w:val="22"/>
          <w:lang w:val="fr-FR"/>
        </w:rPr>
        <w:t xml:space="preserve">, </w:t>
      </w:r>
      <w:r w:rsidR="005C3848" w:rsidRPr="00BE7064">
        <w:rPr>
          <w:b/>
          <w:bCs/>
          <w:noProof/>
          <w:sz w:val="22"/>
          <w:szCs w:val="22"/>
          <w:lang w:val="fr-FR"/>
        </w:rPr>
        <w:t xml:space="preserve">à </w:t>
      </w:r>
      <w:r w:rsidR="00CF4E65" w:rsidRPr="00BE7064">
        <w:rPr>
          <w:b/>
          <w:bCs/>
          <w:noProof/>
          <w:sz w:val="22"/>
          <w:szCs w:val="22"/>
          <w:lang w:val="fr-FR"/>
        </w:rPr>
        <w:t>18</w:t>
      </w:r>
      <w:r w:rsidR="005C3848" w:rsidRPr="00BE7064">
        <w:rPr>
          <w:b/>
          <w:bCs/>
          <w:noProof/>
          <w:sz w:val="22"/>
          <w:szCs w:val="22"/>
          <w:lang w:val="fr-FR"/>
        </w:rPr>
        <w:t>h</w:t>
      </w:r>
      <w:r w:rsidR="00BF0205">
        <w:rPr>
          <w:b/>
          <w:bCs/>
          <w:noProof/>
          <w:sz w:val="22"/>
          <w:szCs w:val="22"/>
          <w:lang w:val="fr-FR"/>
        </w:rPr>
        <w:t>0</w:t>
      </w:r>
      <w:r w:rsidR="005C3848" w:rsidRPr="00BE7064">
        <w:rPr>
          <w:b/>
          <w:bCs/>
          <w:noProof/>
          <w:sz w:val="22"/>
          <w:szCs w:val="22"/>
          <w:lang w:val="fr-FR"/>
        </w:rPr>
        <w:t>0 (CET)</w:t>
      </w:r>
      <w:r w:rsidRPr="00BE7064">
        <w:rPr>
          <w:b/>
          <w:bCs/>
          <w:noProof/>
          <w:sz w:val="22"/>
          <w:szCs w:val="22"/>
          <w:lang w:val="fr-FR"/>
        </w:rPr>
        <w:t xml:space="preserve"> – </w:t>
      </w:r>
      <w:r w:rsidR="005C3848" w:rsidRPr="00BE7064">
        <w:rPr>
          <w:rFonts w:ascii="Calibri" w:hAnsi="Calibri" w:cs="Calibri"/>
          <w:sz w:val="22"/>
          <w:szCs w:val="22"/>
          <w:lang w:val="fr-FR"/>
        </w:rPr>
        <w:t>Advicenne (</w:t>
      </w:r>
      <w:r w:rsidR="00E14231" w:rsidRPr="00E14231">
        <w:rPr>
          <w:rFonts w:cstheme="minorHAnsi"/>
          <w:color w:val="000000" w:themeColor="text1"/>
          <w:sz w:val="22"/>
          <w:szCs w:val="22"/>
          <w:lang w:val="fr-FR"/>
        </w:rPr>
        <w:t>Euronext Growth Paris ALDVI - FR0013296746</w:t>
      </w:r>
      <w:r w:rsidR="005C3848" w:rsidRPr="00BE7064">
        <w:rPr>
          <w:rFonts w:ascii="Calibri" w:hAnsi="Calibri" w:cs="Calibri"/>
          <w:sz w:val="22"/>
          <w:szCs w:val="22"/>
          <w:lang w:val="fr-FR"/>
        </w:rPr>
        <w:t xml:space="preserve">), </w:t>
      </w:r>
      <w:r w:rsidR="005920A0" w:rsidRPr="00BE7064">
        <w:rPr>
          <w:rFonts w:ascii="Calibri" w:hAnsi="Calibri" w:cs="Calibri"/>
          <w:sz w:val="22"/>
          <w:szCs w:val="22"/>
          <w:lang w:val="fr-FR"/>
        </w:rPr>
        <w:t>socié</w:t>
      </w:r>
      <w:r w:rsidR="000768C9">
        <w:rPr>
          <w:rFonts w:ascii="Calibri" w:hAnsi="Calibri" w:cs="Calibri"/>
          <w:sz w:val="22"/>
          <w:szCs w:val="22"/>
          <w:lang w:val="fr-FR"/>
        </w:rPr>
        <w:t xml:space="preserve">té </w:t>
      </w:r>
      <w:r w:rsidR="005C3848" w:rsidRPr="00C96C5C">
        <w:rPr>
          <w:rFonts w:ascii="Calibri" w:hAnsi="Calibri" w:cs="Calibri"/>
          <w:sz w:val="22"/>
          <w:szCs w:val="22"/>
          <w:lang w:val="fr-FR"/>
        </w:rPr>
        <w:t xml:space="preserve">pharmaceutique </w:t>
      </w:r>
      <w:r w:rsidR="005920A0" w:rsidRPr="00C96C5C">
        <w:rPr>
          <w:rFonts w:ascii="Calibri" w:hAnsi="Calibri" w:cs="Calibri"/>
          <w:sz w:val="22"/>
          <w:szCs w:val="22"/>
          <w:lang w:val="fr-FR"/>
        </w:rPr>
        <w:t>spécialisée</w:t>
      </w:r>
      <w:r w:rsidR="005C3848" w:rsidRPr="00C96C5C">
        <w:rPr>
          <w:rFonts w:ascii="Calibri" w:hAnsi="Calibri" w:cs="Calibri"/>
          <w:sz w:val="22"/>
          <w:szCs w:val="22"/>
          <w:lang w:val="fr-FR"/>
        </w:rPr>
        <w:t xml:space="preserve"> dans le </w:t>
      </w:r>
      <w:r w:rsidR="005920A0" w:rsidRPr="00C96C5C">
        <w:rPr>
          <w:rFonts w:ascii="Calibri" w:hAnsi="Calibri" w:cs="Calibri"/>
          <w:sz w:val="22"/>
          <w:szCs w:val="22"/>
          <w:lang w:val="fr-FR"/>
        </w:rPr>
        <w:t>développement</w:t>
      </w:r>
      <w:r w:rsidR="005C3848" w:rsidRPr="00C96C5C">
        <w:rPr>
          <w:rFonts w:ascii="Calibri" w:hAnsi="Calibri" w:cs="Calibri"/>
          <w:sz w:val="22"/>
          <w:szCs w:val="22"/>
          <w:lang w:val="fr-FR"/>
        </w:rPr>
        <w:t xml:space="preserve"> et la commercialisation de traitements innovants pour les personnes souffrant de maladies </w:t>
      </w:r>
      <w:r w:rsidR="00350426" w:rsidRPr="00C96C5C">
        <w:rPr>
          <w:rFonts w:ascii="Calibri" w:hAnsi="Calibri" w:cs="Calibri"/>
          <w:sz w:val="22"/>
          <w:szCs w:val="22"/>
          <w:lang w:val="fr-FR"/>
        </w:rPr>
        <w:t>rénales</w:t>
      </w:r>
      <w:r w:rsidR="005C3848" w:rsidRPr="00C96C5C">
        <w:rPr>
          <w:rFonts w:ascii="Calibri" w:hAnsi="Calibri" w:cs="Calibri"/>
          <w:sz w:val="22"/>
          <w:szCs w:val="22"/>
          <w:lang w:val="fr-FR"/>
        </w:rPr>
        <w:t xml:space="preserve"> rares, </w:t>
      </w:r>
      <w:r w:rsidR="00FD7E17" w:rsidRPr="00FD7E17">
        <w:rPr>
          <w:rFonts w:ascii="Calibri" w:hAnsi="Calibri" w:cs="Calibri"/>
          <w:sz w:val="22"/>
          <w:szCs w:val="22"/>
          <w:lang w:val="fr-FR"/>
        </w:rPr>
        <w:t>annonce que son Document d’Enregistrement Universel 202</w:t>
      </w:r>
      <w:r w:rsidR="00B87354">
        <w:rPr>
          <w:rFonts w:ascii="Calibri" w:hAnsi="Calibri" w:cs="Calibri"/>
          <w:sz w:val="22"/>
          <w:szCs w:val="22"/>
          <w:lang w:val="fr-FR"/>
        </w:rPr>
        <w:t>4</w:t>
      </w:r>
      <w:r w:rsidR="00FD7E17" w:rsidRPr="00FD7E17">
        <w:rPr>
          <w:rFonts w:ascii="Calibri" w:hAnsi="Calibri" w:cs="Calibri"/>
          <w:sz w:val="22"/>
          <w:szCs w:val="22"/>
          <w:lang w:val="fr-FR"/>
        </w:rPr>
        <w:t xml:space="preserve"> a été déposé auprès de l’Autorité des Marchés Financiers</w:t>
      </w:r>
      <w:r w:rsidR="005C3848" w:rsidRPr="00C96C5C">
        <w:rPr>
          <w:rFonts w:ascii="Calibri" w:hAnsi="Calibri" w:cs="Calibri"/>
          <w:sz w:val="22"/>
          <w:szCs w:val="22"/>
          <w:lang w:val="fr-FR"/>
        </w:rPr>
        <w:t>.</w:t>
      </w:r>
    </w:p>
    <w:p w14:paraId="587218A7" w14:textId="77777777" w:rsidR="00FD7E17" w:rsidRDefault="00FD7E17" w:rsidP="001A2426">
      <w:pPr>
        <w:spacing w:after="0" w:line="240" w:lineRule="auto"/>
        <w:jc w:val="both"/>
        <w:rPr>
          <w:rFonts w:ascii="Calibri" w:hAnsi="Calibri" w:cs="Calibri"/>
          <w:sz w:val="22"/>
          <w:szCs w:val="22"/>
          <w:lang w:val="fr-FR"/>
        </w:rPr>
      </w:pPr>
    </w:p>
    <w:p w14:paraId="01F2D58B" w14:textId="6F42392D" w:rsidR="00173D3D" w:rsidRDefault="00B32263" w:rsidP="001A2426">
      <w:pPr>
        <w:spacing w:after="0" w:line="240" w:lineRule="auto"/>
        <w:jc w:val="both"/>
        <w:rPr>
          <w:rFonts w:cstheme="minorHAnsi"/>
          <w:sz w:val="22"/>
          <w:szCs w:val="22"/>
          <w:lang w:val="fr-FR"/>
        </w:rPr>
      </w:pPr>
      <w:r w:rsidRPr="00B32263">
        <w:rPr>
          <w:rFonts w:ascii="Calibri" w:hAnsi="Calibri" w:cs="Calibri"/>
          <w:sz w:val="22"/>
          <w:szCs w:val="22"/>
          <w:lang w:val="fr-FR"/>
        </w:rPr>
        <w:t xml:space="preserve">Le Document d’Enregistrement Universel inclut notamment le rapport annuel, le rapport de gestion de </w:t>
      </w:r>
      <w:r w:rsidR="00997FD1">
        <w:rPr>
          <w:rFonts w:ascii="Calibri" w:hAnsi="Calibri" w:cs="Calibri"/>
          <w:sz w:val="22"/>
          <w:szCs w:val="22"/>
          <w:lang w:val="fr-FR"/>
        </w:rPr>
        <w:t>la société</w:t>
      </w:r>
      <w:r w:rsidRPr="00B32263">
        <w:rPr>
          <w:rFonts w:ascii="Calibri" w:hAnsi="Calibri" w:cs="Calibri"/>
          <w:sz w:val="22"/>
          <w:szCs w:val="22"/>
          <w:lang w:val="fr-FR"/>
        </w:rPr>
        <w:t>, le rapport du Conseil d’administration sur le gouvernement d’entreprise et les rapports des Commissaires aux comptes. Il contient également le descriptif du programme de rachat d’actions</w:t>
      </w:r>
      <w:r w:rsidR="00E14231">
        <w:rPr>
          <w:rFonts w:cstheme="minorHAnsi"/>
          <w:sz w:val="22"/>
          <w:szCs w:val="22"/>
          <w:lang w:val="fr-FR"/>
        </w:rPr>
        <w:t>.</w:t>
      </w:r>
    </w:p>
    <w:p w14:paraId="08F5AA42" w14:textId="77777777" w:rsidR="00B32263" w:rsidRDefault="00B32263" w:rsidP="001A2426">
      <w:pPr>
        <w:spacing w:after="0" w:line="240" w:lineRule="auto"/>
        <w:jc w:val="both"/>
        <w:rPr>
          <w:rFonts w:cstheme="minorHAnsi"/>
          <w:sz w:val="22"/>
          <w:szCs w:val="22"/>
          <w:lang w:val="fr-FR"/>
        </w:rPr>
      </w:pPr>
    </w:p>
    <w:p w14:paraId="0B4F5B3D" w14:textId="35E85C8D" w:rsidR="00B32263" w:rsidRDefault="00B32263" w:rsidP="001A2426">
      <w:pPr>
        <w:spacing w:after="0" w:line="240" w:lineRule="auto"/>
        <w:jc w:val="both"/>
        <w:rPr>
          <w:rFonts w:cstheme="minorHAnsi"/>
          <w:sz w:val="22"/>
          <w:szCs w:val="22"/>
          <w:lang w:val="fr-FR"/>
        </w:rPr>
      </w:pPr>
      <w:r w:rsidRPr="00B32263">
        <w:rPr>
          <w:rFonts w:cstheme="minorHAnsi"/>
          <w:sz w:val="22"/>
          <w:szCs w:val="22"/>
          <w:lang w:val="fr-FR"/>
        </w:rPr>
        <w:t>Le Document d’Enregistrement Universel est disponible sur le site d’Advicenne (www.advicenne.com), dans la rubrique Investisseurs / Information financière et celui de l’AMF</w:t>
      </w:r>
      <w:r w:rsidR="00C14B0F">
        <w:rPr>
          <w:rFonts w:cstheme="minorHAnsi"/>
          <w:sz w:val="22"/>
          <w:szCs w:val="22"/>
          <w:lang w:val="fr-FR"/>
        </w:rPr>
        <w:t xml:space="preserve"> </w:t>
      </w:r>
      <w:r w:rsidRPr="00B32263">
        <w:rPr>
          <w:rFonts w:cstheme="minorHAnsi"/>
          <w:sz w:val="22"/>
          <w:szCs w:val="22"/>
          <w:lang w:val="fr-FR"/>
        </w:rPr>
        <w:t>(www.amf-france.org).</w:t>
      </w:r>
    </w:p>
    <w:p w14:paraId="2C5BE27A" w14:textId="77777777" w:rsidR="00173D3D" w:rsidRDefault="00173D3D" w:rsidP="00311D8B">
      <w:pPr>
        <w:spacing w:after="0" w:line="240" w:lineRule="auto"/>
        <w:rPr>
          <w:rFonts w:ascii="Arial" w:hAnsi="Arial" w:cs="Arial"/>
          <w:b/>
          <w:bCs/>
          <w:noProof/>
          <w:lang w:val="fr-FR"/>
        </w:rPr>
      </w:pPr>
    </w:p>
    <w:p w14:paraId="58CC4C56" w14:textId="77777777" w:rsidR="00173D3D" w:rsidRDefault="00173D3D" w:rsidP="00311D8B">
      <w:pPr>
        <w:spacing w:after="0" w:line="240" w:lineRule="auto"/>
        <w:rPr>
          <w:rFonts w:ascii="Arial" w:hAnsi="Arial" w:cs="Arial"/>
          <w:b/>
          <w:bCs/>
          <w:noProof/>
          <w:lang w:val="fr-FR"/>
        </w:rPr>
      </w:pPr>
    </w:p>
    <w:p w14:paraId="0031477F" w14:textId="77777777" w:rsidR="008055DA" w:rsidRDefault="008055DA" w:rsidP="00311D8B">
      <w:pPr>
        <w:spacing w:after="0" w:line="240" w:lineRule="auto"/>
        <w:rPr>
          <w:rFonts w:ascii="Arial" w:hAnsi="Arial" w:cs="Arial"/>
          <w:b/>
          <w:bCs/>
          <w:noProof/>
          <w:lang w:val="fr-FR"/>
        </w:rPr>
      </w:pPr>
    </w:p>
    <w:p w14:paraId="33165BC9" w14:textId="5C0C23F5" w:rsidR="00311D8B" w:rsidRPr="00913458" w:rsidRDefault="00311D8B" w:rsidP="00311D8B">
      <w:pPr>
        <w:spacing w:after="0" w:line="240" w:lineRule="auto"/>
        <w:rPr>
          <w:rFonts w:cstheme="minorHAnsi"/>
          <w:b/>
          <w:bCs/>
          <w:noProof/>
          <w:sz w:val="22"/>
          <w:szCs w:val="22"/>
          <w:lang w:val="fr-FR"/>
        </w:rPr>
      </w:pPr>
      <w:r w:rsidRPr="00913458">
        <w:rPr>
          <w:rFonts w:cstheme="minorHAnsi"/>
          <w:b/>
          <w:bCs/>
          <w:noProof/>
          <w:sz w:val="22"/>
          <w:szCs w:val="22"/>
          <w:lang w:val="fr-FR"/>
        </w:rPr>
        <w:t>CONTACTS</w:t>
      </w:r>
    </w:p>
    <w:p w14:paraId="7BCC0BE7" w14:textId="77777777" w:rsidR="00311D8B" w:rsidRPr="0022789D" w:rsidRDefault="00311D8B" w:rsidP="00311D8B">
      <w:pPr>
        <w:spacing w:after="0" w:line="240" w:lineRule="auto"/>
        <w:rPr>
          <w:b/>
          <w:bCs/>
          <w:noProof/>
          <w:lang w:val="fr-FR"/>
        </w:rPr>
      </w:pPr>
    </w:p>
    <w:tbl>
      <w:tblPr>
        <w:tblW w:w="0" w:type="auto"/>
        <w:tblLook w:val="04A0" w:firstRow="1" w:lastRow="0" w:firstColumn="1" w:lastColumn="0" w:noHBand="0" w:noVBand="1"/>
      </w:tblPr>
      <w:tblGrid>
        <w:gridCol w:w="4595"/>
        <w:gridCol w:w="4477"/>
      </w:tblGrid>
      <w:tr w:rsidR="00311D8B" w:rsidRPr="00913458" w14:paraId="6C0D7B0A" w14:textId="77777777" w:rsidTr="000E0E4B">
        <w:trPr>
          <w:trHeight w:val="844"/>
        </w:trPr>
        <w:tc>
          <w:tcPr>
            <w:tcW w:w="4595" w:type="dxa"/>
            <w:shd w:val="clear" w:color="auto" w:fill="auto"/>
          </w:tcPr>
          <w:p w14:paraId="16D27AB5" w14:textId="16FD0F88" w:rsidR="00311D8B" w:rsidRPr="00913458" w:rsidRDefault="00311D8B" w:rsidP="000E0E4B">
            <w:pPr>
              <w:spacing w:after="0" w:line="240" w:lineRule="auto"/>
              <w:ind w:left="-108"/>
              <w:jc w:val="both"/>
              <w:rPr>
                <w:rStyle w:val="relationnom"/>
                <w:rFonts w:cstheme="minorHAnsi"/>
                <w:color w:val="000000"/>
                <w:sz w:val="22"/>
                <w:szCs w:val="22"/>
                <w:lang w:val="fr-FR"/>
              </w:rPr>
            </w:pPr>
            <w:r w:rsidRPr="00913458">
              <w:rPr>
                <w:rStyle w:val="relationsociete"/>
                <w:rFonts w:cstheme="minorHAnsi"/>
                <w:b/>
                <w:bCs/>
                <w:color w:val="000000"/>
                <w:sz w:val="22"/>
                <w:szCs w:val="22"/>
                <w:lang w:val="fr-FR"/>
              </w:rPr>
              <w:t>Advicenne</w:t>
            </w:r>
            <w:r w:rsidRPr="00913458">
              <w:rPr>
                <w:rFonts w:cstheme="minorHAnsi"/>
                <w:bCs/>
                <w:color w:val="000000"/>
                <w:sz w:val="22"/>
                <w:szCs w:val="22"/>
                <w:lang w:val="fr-FR"/>
              </w:rPr>
              <w:br/>
            </w:r>
            <w:r w:rsidRPr="00913458">
              <w:rPr>
                <w:rStyle w:val="relationsociete"/>
                <w:rFonts w:cstheme="minorHAnsi"/>
                <w:color w:val="000000"/>
                <w:sz w:val="22"/>
                <w:szCs w:val="22"/>
                <w:lang w:val="fr-FR"/>
              </w:rPr>
              <w:t xml:space="preserve">Didier Laurens, </w:t>
            </w:r>
            <w:r w:rsidR="00D35B80" w:rsidRPr="00913458">
              <w:rPr>
                <w:rStyle w:val="relationsociete"/>
                <w:rFonts w:cstheme="minorHAnsi"/>
                <w:color w:val="000000"/>
                <w:sz w:val="22"/>
                <w:szCs w:val="22"/>
                <w:lang w:val="fr-FR"/>
              </w:rPr>
              <w:t>Directeur Général</w:t>
            </w:r>
          </w:p>
          <w:p w14:paraId="23BA2DD9" w14:textId="2EC3895F" w:rsidR="00311D8B" w:rsidRPr="00913458" w:rsidRDefault="00311D8B" w:rsidP="000E0E4B">
            <w:pPr>
              <w:spacing w:after="0" w:line="240" w:lineRule="auto"/>
              <w:ind w:left="-108"/>
              <w:rPr>
                <w:rFonts w:cstheme="minorHAnsi"/>
                <w:bCs/>
                <w:color w:val="000000"/>
                <w:sz w:val="22"/>
                <w:szCs w:val="22"/>
                <w:lang w:val="fr-FR"/>
              </w:rPr>
            </w:pPr>
            <w:r w:rsidRPr="00913458">
              <w:rPr>
                <w:rFonts w:cstheme="minorHAnsi"/>
                <w:bCs/>
                <w:color w:val="000000"/>
                <w:sz w:val="22"/>
                <w:szCs w:val="22"/>
                <w:lang w:val="fr-FR"/>
              </w:rPr>
              <w:t>+33 (0)</w:t>
            </w:r>
            <w:r w:rsidR="00B11EF9" w:rsidRPr="00913458">
              <w:rPr>
                <w:rFonts w:cstheme="minorHAnsi"/>
                <w:bCs/>
                <w:color w:val="000000"/>
                <w:sz w:val="22"/>
                <w:szCs w:val="22"/>
                <w:lang w:val="fr-FR"/>
              </w:rPr>
              <w:t xml:space="preserve"> 1 87 44 40 17</w:t>
            </w:r>
          </w:p>
          <w:p w14:paraId="387DAB3C" w14:textId="77777777" w:rsidR="00311D8B" w:rsidRPr="00913458" w:rsidRDefault="00311D8B" w:rsidP="000E0E4B">
            <w:pPr>
              <w:spacing w:after="0" w:line="240" w:lineRule="auto"/>
              <w:ind w:left="-108"/>
              <w:rPr>
                <w:rStyle w:val="relationsociete"/>
                <w:rFonts w:cstheme="minorHAnsi"/>
                <w:bCs/>
                <w:color w:val="000000"/>
                <w:sz w:val="22"/>
                <w:szCs w:val="22"/>
                <w:lang w:val="fr-FR"/>
              </w:rPr>
            </w:pPr>
            <w:r w:rsidRPr="00913458">
              <w:rPr>
                <w:rFonts w:cstheme="minorHAnsi"/>
                <w:bCs/>
                <w:color w:val="000000"/>
                <w:sz w:val="22"/>
                <w:szCs w:val="22"/>
                <w:lang w:val="fr-FR"/>
              </w:rPr>
              <w:t xml:space="preserve">Email: </w:t>
            </w:r>
            <w:hyperlink r:id="rId9" w:history="1">
              <w:r w:rsidRPr="00913458">
                <w:rPr>
                  <w:rStyle w:val="Lienhypertexte"/>
                  <w:rFonts w:cstheme="minorHAnsi"/>
                  <w:bCs/>
                  <w:sz w:val="22"/>
                  <w:szCs w:val="22"/>
                  <w:lang w:val="fr-FR"/>
                </w:rPr>
                <w:t>investors@advicenne.com</w:t>
              </w:r>
            </w:hyperlink>
            <w:r w:rsidRPr="00913458">
              <w:rPr>
                <w:rFonts w:cstheme="minorHAnsi"/>
                <w:bCs/>
                <w:color w:val="000000"/>
                <w:sz w:val="22"/>
                <w:szCs w:val="22"/>
                <w:lang w:val="fr-FR"/>
              </w:rPr>
              <w:t xml:space="preserve"> </w:t>
            </w:r>
          </w:p>
        </w:tc>
        <w:tc>
          <w:tcPr>
            <w:tcW w:w="4477" w:type="dxa"/>
            <w:shd w:val="clear" w:color="auto" w:fill="auto"/>
          </w:tcPr>
          <w:p w14:paraId="481EE8A0" w14:textId="27311DAF" w:rsidR="00311D8B" w:rsidRPr="00913458" w:rsidRDefault="00A55BB8" w:rsidP="000E0E4B">
            <w:pPr>
              <w:spacing w:after="0" w:line="240" w:lineRule="auto"/>
              <w:ind w:left="-108"/>
              <w:jc w:val="both"/>
              <w:rPr>
                <w:rFonts w:cstheme="minorHAnsi"/>
                <w:b/>
                <w:bCs/>
                <w:color w:val="000000"/>
                <w:sz w:val="22"/>
                <w:szCs w:val="22"/>
              </w:rPr>
            </w:pPr>
            <w:r w:rsidRPr="00913458">
              <w:rPr>
                <w:rFonts w:cstheme="minorHAnsi"/>
                <w:b/>
                <w:bCs/>
                <w:color w:val="000000"/>
                <w:sz w:val="22"/>
                <w:szCs w:val="22"/>
              </w:rPr>
              <w:t>Ulysse</w:t>
            </w:r>
            <w:r w:rsidR="00311D8B" w:rsidRPr="00913458">
              <w:rPr>
                <w:rFonts w:cstheme="minorHAnsi"/>
                <w:b/>
                <w:bCs/>
                <w:color w:val="000000"/>
                <w:sz w:val="22"/>
                <w:szCs w:val="22"/>
              </w:rPr>
              <w:t xml:space="preserve"> Communication</w:t>
            </w:r>
          </w:p>
          <w:p w14:paraId="64CF1512" w14:textId="77777777" w:rsidR="00311D8B" w:rsidRPr="00913458" w:rsidRDefault="00311D8B" w:rsidP="000E0E4B">
            <w:pPr>
              <w:spacing w:after="0" w:line="240" w:lineRule="auto"/>
              <w:ind w:left="-108"/>
              <w:jc w:val="both"/>
              <w:rPr>
                <w:rFonts w:cstheme="minorHAnsi"/>
                <w:color w:val="000000"/>
                <w:sz w:val="22"/>
                <w:szCs w:val="22"/>
              </w:rPr>
            </w:pPr>
            <w:r w:rsidRPr="00913458">
              <w:rPr>
                <w:rFonts w:cstheme="minorHAnsi"/>
                <w:color w:val="000000"/>
                <w:sz w:val="22"/>
                <w:szCs w:val="22"/>
              </w:rPr>
              <w:t>Media relations</w:t>
            </w:r>
          </w:p>
          <w:p w14:paraId="7768304C" w14:textId="77777777" w:rsidR="00311D8B" w:rsidRPr="00913458" w:rsidRDefault="00311D8B" w:rsidP="000E0E4B">
            <w:pPr>
              <w:spacing w:after="0" w:line="240" w:lineRule="auto"/>
              <w:ind w:left="-108"/>
              <w:jc w:val="both"/>
              <w:rPr>
                <w:rFonts w:cstheme="minorHAnsi"/>
                <w:color w:val="000000"/>
                <w:sz w:val="22"/>
                <w:szCs w:val="22"/>
                <w:lang w:val="en-US"/>
              </w:rPr>
            </w:pPr>
            <w:r w:rsidRPr="00913458">
              <w:rPr>
                <w:rFonts w:cstheme="minorHAnsi"/>
                <w:color w:val="000000"/>
                <w:sz w:val="22"/>
                <w:szCs w:val="22"/>
                <w:lang w:val="en-US"/>
              </w:rPr>
              <w:t>Bruno Arabian</w:t>
            </w:r>
          </w:p>
          <w:p w14:paraId="7311CEDD" w14:textId="77777777" w:rsidR="00311D8B" w:rsidRPr="00913458" w:rsidRDefault="00311D8B" w:rsidP="000E0E4B">
            <w:pPr>
              <w:spacing w:after="0" w:line="240" w:lineRule="auto"/>
              <w:ind w:left="-108"/>
              <w:jc w:val="both"/>
              <w:rPr>
                <w:rFonts w:cstheme="minorHAnsi"/>
                <w:sz w:val="22"/>
                <w:szCs w:val="22"/>
                <w:lang w:val="en-US"/>
              </w:rPr>
            </w:pPr>
            <w:r w:rsidRPr="00913458">
              <w:rPr>
                <w:rFonts w:cstheme="minorHAnsi"/>
                <w:sz w:val="22"/>
                <w:szCs w:val="22"/>
                <w:lang w:val="en-US"/>
              </w:rPr>
              <w:t>+33 (0)6 87 88 47 26</w:t>
            </w:r>
          </w:p>
          <w:p w14:paraId="023FFE5A" w14:textId="0DFD9F8E" w:rsidR="00311D8B" w:rsidRPr="00913458" w:rsidRDefault="00311D8B" w:rsidP="000E0E4B">
            <w:pPr>
              <w:spacing w:after="0" w:line="240" w:lineRule="auto"/>
              <w:ind w:left="-108"/>
              <w:jc w:val="both"/>
              <w:rPr>
                <w:rStyle w:val="relationsociete"/>
                <w:rFonts w:cstheme="minorHAnsi"/>
                <w:sz w:val="22"/>
                <w:szCs w:val="22"/>
              </w:rPr>
            </w:pPr>
            <w:r w:rsidRPr="00913458">
              <w:rPr>
                <w:rFonts w:cstheme="minorHAnsi"/>
                <w:sz w:val="22"/>
                <w:szCs w:val="22"/>
                <w:lang w:val="en-US"/>
              </w:rPr>
              <w:t xml:space="preserve">Email: </w:t>
            </w:r>
            <w:hyperlink r:id="rId10" w:history="1">
              <w:r w:rsidRPr="00913458">
                <w:rPr>
                  <w:rStyle w:val="Lienhypertexte"/>
                  <w:rFonts w:cstheme="minorHAnsi"/>
                  <w:sz w:val="22"/>
                  <w:szCs w:val="22"/>
                  <w:lang w:val="en-US"/>
                </w:rPr>
                <w:t>advicenne@ulysse-communication.com</w:t>
              </w:r>
            </w:hyperlink>
          </w:p>
        </w:tc>
      </w:tr>
      <w:tr w:rsidR="00311D8B" w:rsidRPr="00913458" w14:paraId="512A62DD" w14:textId="77777777" w:rsidTr="000E0E4B">
        <w:trPr>
          <w:trHeight w:val="844"/>
        </w:trPr>
        <w:tc>
          <w:tcPr>
            <w:tcW w:w="4595" w:type="dxa"/>
            <w:shd w:val="clear" w:color="auto" w:fill="auto"/>
          </w:tcPr>
          <w:p w14:paraId="2AA5280A" w14:textId="7DA5DFFB" w:rsidR="00311D8B" w:rsidRPr="00913458" w:rsidRDefault="00311D8B" w:rsidP="000E0E4B">
            <w:pPr>
              <w:spacing w:after="0" w:line="240" w:lineRule="auto"/>
              <w:ind w:left="-108"/>
              <w:jc w:val="both"/>
              <w:rPr>
                <w:rStyle w:val="relationsociete"/>
                <w:rFonts w:cstheme="minorHAnsi"/>
                <w:b/>
                <w:bCs/>
                <w:color w:val="000000"/>
                <w:sz w:val="22"/>
                <w:szCs w:val="22"/>
              </w:rPr>
            </w:pPr>
          </w:p>
        </w:tc>
        <w:tc>
          <w:tcPr>
            <w:tcW w:w="4477" w:type="dxa"/>
            <w:shd w:val="clear" w:color="auto" w:fill="auto"/>
          </w:tcPr>
          <w:p w14:paraId="1CFDD6E9" w14:textId="77777777" w:rsidR="00311D8B" w:rsidRPr="00913458" w:rsidRDefault="00311D8B" w:rsidP="000E0E4B">
            <w:pPr>
              <w:spacing w:after="0" w:line="240" w:lineRule="auto"/>
              <w:ind w:left="-108"/>
              <w:jc w:val="both"/>
              <w:rPr>
                <w:rFonts w:cstheme="minorHAnsi"/>
                <w:sz w:val="22"/>
                <w:szCs w:val="22"/>
                <w:lang w:val="en-US"/>
              </w:rPr>
            </w:pPr>
          </w:p>
        </w:tc>
      </w:tr>
    </w:tbl>
    <w:p w14:paraId="318707EA" w14:textId="5A130D1F" w:rsidR="002B3CF7" w:rsidRPr="00917CE5" w:rsidRDefault="002B3CF7" w:rsidP="002B3CF7">
      <w:pPr>
        <w:spacing w:before="100" w:beforeAutospacing="1" w:after="100" w:afterAutospacing="1" w:line="240" w:lineRule="auto"/>
        <w:jc w:val="both"/>
        <w:rPr>
          <w:rFonts w:ascii="Times New Roman" w:eastAsia="Times New Roman" w:hAnsi="Times New Roman" w:cs="Times New Roman"/>
          <w:sz w:val="22"/>
          <w:szCs w:val="22"/>
          <w:lang w:val="fr-FR" w:eastAsia="fr-FR"/>
        </w:rPr>
      </w:pPr>
      <w:r w:rsidRPr="00917CE5">
        <w:rPr>
          <w:rFonts w:ascii="Calibri" w:eastAsia="Times New Roman" w:hAnsi="Calibri" w:cs="Calibri"/>
          <w:b/>
          <w:bCs/>
          <w:sz w:val="22"/>
          <w:szCs w:val="22"/>
          <w:lang w:val="fr-FR" w:eastAsia="fr-FR"/>
        </w:rPr>
        <w:t xml:space="preserve">A PROPOS D’ADVICENNE </w:t>
      </w:r>
    </w:p>
    <w:p w14:paraId="244763B7" w14:textId="3CA092AF" w:rsidR="002B3CF7" w:rsidRPr="00917CE5" w:rsidRDefault="002B3CF7" w:rsidP="002B3CF7">
      <w:pPr>
        <w:spacing w:before="100" w:beforeAutospacing="1" w:after="100" w:afterAutospacing="1" w:line="240" w:lineRule="auto"/>
        <w:jc w:val="both"/>
        <w:rPr>
          <w:rFonts w:ascii="Times New Roman" w:eastAsia="Times New Roman" w:hAnsi="Times New Roman" w:cs="Times New Roman"/>
          <w:sz w:val="22"/>
          <w:szCs w:val="22"/>
          <w:lang w:val="fr-FR" w:eastAsia="fr-FR"/>
        </w:rPr>
      </w:pPr>
      <w:r w:rsidRPr="00917CE5">
        <w:rPr>
          <w:rFonts w:ascii="Calibri" w:eastAsia="Times New Roman" w:hAnsi="Calibri" w:cs="Calibri"/>
          <w:sz w:val="22"/>
          <w:szCs w:val="22"/>
          <w:lang w:val="fr-FR" w:eastAsia="fr-FR"/>
        </w:rPr>
        <w:t>Advicenne (</w:t>
      </w:r>
      <w:r w:rsidR="00B33436" w:rsidRPr="00917CE5">
        <w:rPr>
          <w:rFonts w:cstheme="minorHAnsi"/>
          <w:color w:val="000000" w:themeColor="text1"/>
          <w:sz w:val="22"/>
          <w:szCs w:val="22"/>
          <w:lang w:val="fr-FR"/>
        </w:rPr>
        <w:t>Euronext Growth Paris ALDVI - FR0013296746</w:t>
      </w:r>
      <w:r w:rsidRPr="00917CE5">
        <w:rPr>
          <w:rFonts w:ascii="Calibri" w:eastAsia="Times New Roman" w:hAnsi="Calibri" w:cs="Calibri"/>
          <w:sz w:val="22"/>
          <w:szCs w:val="22"/>
          <w:lang w:val="fr-FR" w:eastAsia="fr-FR"/>
        </w:rPr>
        <w:t xml:space="preserve">) est une entreprise pharmaceutique créée en 2007, spécialisée dans le développement de traitements innovants en néphrologie. Son médicament principal, </w:t>
      </w:r>
      <w:r w:rsidR="001F7EA1" w:rsidRPr="00917CE5">
        <w:rPr>
          <w:rFonts w:ascii="Calibri" w:eastAsia="Times New Roman" w:hAnsi="Calibri" w:cs="Calibri"/>
          <w:sz w:val="22"/>
          <w:szCs w:val="22"/>
          <w:lang w:val="fr-FR" w:eastAsia="fr-FR"/>
        </w:rPr>
        <w:t xml:space="preserve">Sibnayal® </w:t>
      </w:r>
      <w:r w:rsidRPr="00917CE5">
        <w:rPr>
          <w:rFonts w:ascii="Calibri" w:eastAsia="Times New Roman" w:hAnsi="Calibri" w:cs="Calibri"/>
          <w:sz w:val="22"/>
          <w:szCs w:val="22"/>
          <w:lang w:val="fr-FR" w:eastAsia="fr-FR"/>
        </w:rPr>
        <w:t xml:space="preserve">(ADV7103) a reçu une autorisation de mise sur le marché en Europe et </w:t>
      </w:r>
      <w:r w:rsidR="00541582" w:rsidRPr="00917CE5">
        <w:rPr>
          <w:rFonts w:ascii="Calibri" w:eastAsia="Times New Roman" w:hAnsi="Calibri" w:cs="Calibri"/>
          <w:sz w:val="22"/>
          <w:szCs w:val="22"/>
          <w:lang w:val="fr-FR" w:eastAsia="fr-FR"/>
        </w:rPr>
        <w:t xml:space="preserve">en Grande-Bretagne </w:t>
      </w:r>
      <w:r w:rsidRPr="00917CE5">
        <w:rPr>
          <w:rFonts w:ascii="Calibri" w:eastAsia="Times New Roman" w:hAnsi="Calibri" w:cs="Calibri"/>
          <w:sz w:val="22"/>
          <w:szCs w:val="22"/>
          <w:lang w:val="fr-FR" w:eastAsia="fr-FR"/>
        </w:rPr>
        <w:t xml:space="preserve">dans le traitement de l’acidose tubulaire rénale </w:t>
      </w:r>
      <w:r w:rsidR="0067393E" w:rsidRPr="00917CE5">
        <w:rPr>
          <w:rFonts w:ascii="Calibri" w:eastAsia="Times New Roman" w:hAnsi="Calibri" w:cs="Calibri"/>
          <w:sz w:val="22"/>
          <w:szCs w:val="22"/>
          <w:lang w:val="fr-FR" w:eastAsia="fr-FR"/>
        </w:rPr>
        <w:t xml:space="preserve">distale </w:t>
      </w:r>
      <w:r w:rsidRPr="00917CE5">
        <w:rPr>
          <w:rFonts w:ascii="Calibri" w:eastAsia="Times New Roman" w:hAnsi="Calibri" w:cs="Calibri"/>
          <w:sz w:val="22"/>
          <w:szCs w:val="22"/>
          <w:lang w:val="fr-FR" w:eastAsia="fr-FR"/>
        </w:rPr>
        <w:t>(ATRd).</w:t>
      </w:r>
      <w:r w:rsidRPr="00917CE5">
        <w:rPr>
          <w:noProof/>
          <w:sz w:val="22"/>
          <w:szCs w:val="22"/>
          <w:lang w:val="fr-FR"/>
        </w:rPr>
        <w:t xml:space="preserve"> </w:t>
      </w:r>
      <w:r w:rsidRPr="00917CE5">
        <w:rPr>
          <w:rFonts w:ascii="Calibri" w:eastAsia="Times New Roman" w:hAnsi="Calibri" w:cs="Calibri"/>
          <w:sz w:val="22"/>
          <w:szCs w:val="22"/>
          <w:lang w:val="fr-FR" w:eastAsia="fr-FR"/>
        </w:rPr>
        <w:t xml:space="preserve">ADV7103 est actuellement en phase avancée de développement clinique </w:t>
      </w:r>
      <w:r w:rsidR="00755F7A" w:rsidRPr="00917CE5">
        <w:rPr>
          <w:rFonts w:ascii="Calibri" w:eastAsia="Times New Roman" w:hAnsi="Calibri" w:cs="Calibri"/>
          <w:sz w:val="22"/>
          <w:szCs w:val="22"/>
          <w:lang w:val="fr-FR" w:eastAsia="fr-FR"/>
        </w:rPr>
        <w:t xml:space="preserve">aux Etats-Unis et au Canada dans l’ATRd et dans la cystinurie en Europe et aux Etats-Unis. Basée à Paris, Advicenne, cotée sur le marché Euronext depuis 2017, est cotée depuis le 30 mars 2022 sur le marché Euronext Growth à Paris à la suite de son transfert de cotation. </w:t>
      </w:r>
      <w:r w:rsidRPr="00917CE5">
        <w:rPr>
          <w:rFonts w:ascii="Calibri" w:eastAsia="Times New Roman" w:hAnsi="Calibri" w:cs="Calibri"/>
          <w:b/>
          <w:bCs/>
          <w:sz w:val="22"/>
          <w:szCs w:val="22"/>
          <w:lang w:val="fr-FR" w:eastAsia="fr-FR"/>
        </w:rPr>
        <w:t xml:space="preserve">Pour plus d’informations : </w:t>
      </w:r>
      <w:r w:rsidRPr="00917CE5">
        <w:rPr>
          <w:rFonts w:ascii="Calibri" w:eastAsia="Times New Roman" w:hAnsi="Calibri" w:cs="Calibri"/>
          <w:color w:val="005EBC"/>
          <w:sz w:val="22"/>
          <w:szCs w:val="22"/>
          <w:lang w:val="fr-FR" w:eastAsia="fr-FR"/>
        </w:rPr>
        <w:t xml:space="preserve">https://advicenne.com/ </w:t>
      </w:r>
    </w:p>
    <w:p w14:paraId="776AEC4D" w14:textId="77777777" w:rsidR="002B3CF7" w:rsidRDefault="002B3CF7" w:rsidP="00311D8B">
      <w:pPr>
        <w:spacing w:after="0" w:line="240" w:lineRule="auto"/>
        <w:jc w:val="both"/>
        <w:rPr>
          <w:rFonts w:eastAsia="DFKai-SB"/>
          <w:b/>
          <w:lang w:val="fr-FR"/>
        </w:rPr>
      </w:pPr>
    </w:p>
    <w:p w14:paraId="13FCFBB4" w14:textId="7D908B8E" w:rsidR="008055DA" w:rsidRDefault="008055DA">
      <w:pPr>
        <w:spacing w:after="0" w:line="240" w:lineRule="auto"/>
        <w:rPr>
          <w:rFonts w:eastAsia="DFKai-SB"/>
          <w:b/>
          <w:lang w:val="fr-FR"/>
        </w:rPr>
      </w:pPr>
      <w:r>
        <w:rPr>
          <w:rFonts w:eastAsia="DFKai-SB"/>
          <w:b/>
          <w:lang w:val="fr-FR"/>
        </w:rPr>
        <w:br w:type="page"/>
      </w:r>
    </w:p>
    <w:p w14:paraId="2D46BE2D" w14:textId="77777777" w:rsidR="0002036C" w:rsidRDefault="0002036C" w:rsidP="00311D8B">
      <w:pPr>
        <w:spacing w:after="0" w:line="240" w:lineRule="auto"/>
        <w:jc w:val="both"/>
        <w:rPr>
          <w:rFonts w:eastAsia="DFKai-SB"/>
          <w:b/>
          <w:lang w:val="fr-FR"/>
        </w:rPr>
      </w:pPr>
    </w:p>
    <w:p w14:paraId="70FBFE5F" w14:textId="45EC4417" w:rsidR="00311D8B" w:rsidRPr="00913458" w:rsidRDefault="005C3848" w:rsidP="00311D8B">
      <w:pPr>
        <w:spacing w:after="0" w:line="240" w:lineRule="auto"/>
        <w:jc w:val="both"/>
        <w:rPr>
          <w:rFonts w:eastAsia="DFKai-SB"/>
          <w:b/>
          <w:sz w:val="22"/>
          <w:szCs w:val="22"/>
          <w:lang w:val="fr-FR"/>
        </w:rPr>
      </w:pPr>
      <w:r w:rsidRPr="00913458">
        <w:rPr>
          <w:rFonts w:eastAsia="DFKai-SB"/>
          <w:b/>
          <w:sz w:val="22"/>
          <w:szCs w:val="22"/>
          <w:lang w:val="fr-FR"/>
        </w:rPr>
        <w:t>Déclarations prospectives</w:t>
      </w:r>
    </w:p>
    <w:p w14:paraId="411E9F3F" w14:textId="77777777" w:rsidR="00173D3D" w:rsidRPr="00913458" w:rsidRDefault="00173D3D">
      <w:pPr>
        <w:spacing w:after="0" w:line="240" w:lineRule="auto"/>
        <w:rPr>
          <w:sz w:val="22"/>
          <w:szCs w:val="22"/>
          <w:lang w:val="fr-FR"/>
        </w:rPr>
      </w:pPr>
    </w:p>
    <w:p w14:paraId="35215831" w14:textId="507CC8BA" w:rsidR="006A0F7F" w:rsidRPr="00913458" w:rsidRDefault="007C4B49" w:rsidP="00903550">
      <w:pPr>
        <w:spacing w:after="0" w:line="240" w:lineRule="auto"/>
        <w:jc w:val="both"/>
        <w:rPr>
          <w:i/>
          <w:iCs/>
          <w:sz w:val="18"/>
          <w:szCs w:val="18"/>
          <w:lang w:val="fr-FR"/>
        </w:rPr>
      </w:pPr>
      <w:r w:rsidRPr="00913458">
        <w:rPr>
          <w:i/>
          <w:iCs/>
          <w:sz w:val="18"/>
          <w:szCs w:val="18"/>
          <w:lang w:val="fr-FR"/>
        </w:rPr>
        <w:t xml:space="preserve">Ce communiqué contient des déclarations prospectives. Ces déclarations ne constituent pas des faits historiques. Ces déclarations comprennent des projections et des estimations ainsi que les hypothèses sur lesquelles celles- ci reposent, des déclarations portant sur des projets, des objectifs, des intentions et des attentes concernant des résultats financiers, des événements, des opérations, le développement de produits et leur potentiel ou les performances futures. Ces déclarations prospectives peuvent souvent entre identifiées par les mots « s’attendre à », « anticiper », « croire », « avoir l’intention de », « estimer » ou « planifier », ainsi que par d’autres termes similaires. Bien que la direction d’Advicenne estime que ces déclarations prospectives sont raisonnables, les investisseurs sont alertés sur le fait qu’elles sont soumises à̀ de nombreux risques et incertitudes, difficilement prévisibles et généralement en dehors du contrôle d’Advicenne qui peuvent impliquer que les résultats et évènements effectifs réalisés diffèrent significativement de ceux qui sont exprimés, induits ou prévus dans les informations et déclarations prospectives. Ces risques et incertitudes comprennent notamment les incertitudes inhérentes à̀ la mise sur le marché et à la commercialisation des médicaments développés par Advicenne ainsi que ceux qui sont développés ou identifiés dans les documents publics déposés par Advicenne auprès de l’Autorité des marchés financiers y compris ceux </w:t>
      </w:r>
      <w:proofErr w:type="spellStart"/>
      <w:r w:rsidRPr="00913458">
        <w:rPr>
          <w:i/>
          <w:iCs/>
          <w:sz w:val="18"/>
          <w:szCs w:val="18"/>
          <w:lang w:val="fr-FR"/>
        </w:rPr>
        <w:t>énumérés</w:t>
      </w:r>
      <w:proofErr w:type="spellEnd"/>
      <w:r w:rsidRPr="00913458">
        <w:rPr>
          <w:i/>
          <w:iCs/>
          <w:sz w:val="18"/>
          <w:szCs w:val="18"/>
          <w:lang w:val="fr-FR"/>
        </w:rPr>
        <w:t xml:space="preserve"> dans le chapitre 3 « Facteurs de risque » du document d’enregistrement universel d’Advicenne déposé</w:t>
      </w:r>
      <w:r w:rsidR="00903550" w:rsidRPr="00913458">
        <w:rPr>
          <w:i/>
          <w:iCs/>
          <w:sz w:val="18"/>
          <w:szCs w:val="18"/>
          <w:lang w:val="fr-FR"/>
        </w:rPr>
        <w:t xml:space="preserve"> </w:t>
      </w:r>
      <w:r w:rsidRPr="00913458">
        <w:rPr>
          <w:i/>
          <w:iCs/>
          <w:sz w:val="18"/>
          <w:szCs w:val="18"/>
          <w:lang w:val="fr-FR"/>
        </w:rPr>
        <w:t xml:space="preserve">auprès de l’Autorité des marchés financiers le </w:t>
      </w:r>
      <w:r w:rsidR="00B87354">
        <w:rPr>
          <w:i/>
          <w:iCs/>
          <w:sz w:val="18"/>
          <w:szCs w:val="18"/>
          <w:lang w:val="fr-FR"/>
        </w:rPr>
        <w:t>5</w:t>
      </w:r>
      <w:r w:rsidRPr="00913458">
        <w:rPr>
          <w:i/>
          <w:iCs/>
          <w:sz w:val="18"/>
          <w:szCs w:val="18"/>
          <w:lang w:val="fr-FR"/>
        </w:rPr>
        <w:t xml:space="preserve"> avril 202</w:t>
      </w:r>
      <w:r w:rsidR="00B87354">
        <w:rPr>
          <w:i/>
          <w:iCs/>
          <w:sz w:val="18"/>
          <w:szCs w:val="18"/>
          <w:lang w:val="fr-FR"/>
        </w:rPr>
        <w:t>4</w:t>
      </w:r>
      <w:r w:rsidRPr="00913458">
        <w:rPr>
          <w:i/>
          <w:iCs/>
          <w:sz w:val="18"/>
          <w:szCs w:val="18"/>
          <w:lang w:val="fr-FR"/>
        </w:rPr>
        <w:t>. Advicenne ne prend aucun engagement de mettre à jour les informations et déclarations prospectives sous réserve de la réglementation applicable notamment les articles 223-1 et suivants du règlement général de l’Autorité des marchés financiers.</w:t>
      </w:r>
    </w:p>
    <w:sectPr w:rsidR="006A0F7F" w:rsidRPr="00913458" w:rsidSect="00C47EE8">
      <w:headerReference w:type="default" r:id="rId11"/>
      <w:footerReference w:type="default" r:id="rId12"/>
      <w:headerReference w:type="first" r:id="rId13"/>
      <w:footerReference w:type="first" r:id="rId14"/>
      <w:pgSz w:w="11906" w:h="16838"/>
      <w:pgMar w:top="1147" w:right="991" w:bottom="1134" w:left="993" w:header="709" w:footer="2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A0ACD" w14:textId="77777777" w:rsidR="00566776" w:rsidRDefault="00566776">
      <w:pPr>
        <w:spacing w:after="0" w:line="240" w:lineRule="auto"/>
      </w:pPr>
      <w:r>
        <w:separator/>
      </w:r>
    </w:p>
  </w:endnote>
  <w:endnote w:type="continuationSeparator" w:id="0">
    <w:p w14:paraId="23C78A55" w14:textId="77777777" w:rsidR="00566776" w:rsidRDefault="00566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FKai-SB">
    <w:altName w:val="Microsoft JhengHei Light"/>
    <w:charset w:val="88"/>
    <w:family w:val="script"/>
    <w:pitch w:val="fixed"/>
    <w:sig w:usb0="00000003" w:usb1="080E0000" w:usb2="00000016" w:usb3="00000000" w:csb0="00100001" w:csb1="00000000"/>
  </w:font>
  <w:font w:name="Queens Park">
    <w:altName w:val="Times New Roman"/>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5A384" w14:textId="46DCBE72" w:rsidR="004A6699" w:rsidRPr="00B37CCB" w:rsidRDefault="00000000" w:rsidP="004A6699">
    <w:pPr>
      <w:pStyle w:val="Pieddepage"/>
      <w:jc w:val="center"/>
    </w:pPr>
    <w:sdt>
      <w:sdtPr>
        <w:rPr>
          <w:sz w:val="18"/>
          <w:szCs w:val="18"/>
        </w:rPr>
        <w:id w:val="1728636285"/>
        <w:docPartObj>
          <w:docPartGallery w:val="Page Numbers (Top of Page)"/>
          <w:docPartUnique/>
        </w:docPartObj>
      </w:sdtPr>
      <w:sdtContent>
        <w:r w:rsidR="004A6699" w:rsidRPr="00B37CCB">
          <w:rPr>
            <w:bCs/>
            <w:sz w:val="18"/>
            <w:szCs w:val="18"/>
          </w:rPr>
          <w:fldChar w:fldCharType="begin"/>
        </w:r>
        <w:r w:rsidR="004A6699" w:rsidRPr="00B37CCB">
          <w:rPr>
            <w:bCs/>
            <w:sz w:val="18"/>
            <w:szCs w:val="18"/>
          </w:rPr>
          <w:instrText>PAGE</w:instrText>
        </w:r>
        <w:r w:rsidR="004A6699" w:rsidRPr="00B37CCB">
          <w:rPr>
            <w:bCs/>
            <w:sz w:val="18"/>
            <w:szCs w:val="18"/>
          </w:rPr>
          <w:fldChar w:fldCharType="separate"/>
        </w:r>
        <w:r w:rsidR="004A6699">
          <w:rPr>
            <w:bCs/>
            <w:sz w:val="18"/>
            <w:szCs w:val="18"/>
          </w:rPr>
          <w:t>1</w:t>
        </w:r>
        <w:r w:rsidR="004A6699" w:rsidRPr="00B37CCB">
          <w:rPr>
            <w:bCs/>
            <w:sz w:val="18"/>
            <w:szCs w:val="18"/>
          </w:rPr>
          <w:fldChar w:fldCharType="end"/>
        </w:r>
        <w:r w:rsidR="004A6699" w:rsidRPr="00B37CCB">
          <w:rPr>
            <w:sz w:val="18"/>
            <w:szCs w:val="18"/>
          </w:rPr>
          <w:t>/</w:t>
        </w:r>
        <w:r w:rsidR="004A6699" w:rsidRPr="00B37CCB">
          <w:rPr>
            <w:bCs/>
            <w:sz w:val="18"/>
            <w:szCs w:val="18"/>
          </w:rPr>
          <w:fldChar w:fldCharType="begin"/>
        </w:r>
        <w:r w:rsidR="004A6699" w:rsidRPr="00B37CCB">
          <w:rPr>
            <w:bCs/>
            <w:sz w:val="18"/>
            <w:szCs w:val="18"/>
          </w:rPr>
          <w:instrText>NUMPAGES</w:instrText>
        </w:r>
        <w:r w:rsidR="004A6699" w:rsidRPr="00B37CCB">
          <w:rPr>
            <w:bCs/>
            <w:sz w:val="18"/>
            <w:szCs w:val="18"/>
          </w:rPr>
          <w:fldChar w:fldCharType="separate"/>
        </w:r>
        <w:r w:rsidR="004A6699">
          <w:rPr>
            <w:bCs/>
            <w:sz w:val="18"/>
            <w:szCs w:val="18"/>
          </w:rPr>
          <w:t>2</w:t>
        </w:r>
        <w:r w:rsidR="004A6699" w:rsidRPr="00B37CCB">
          <w:rPr>
            <w:bCs/>
            <w:sz w:val="18"/>
            <w:szCs w:val="18"/>
          </w:rPr>
          <w:fldChar w:fldCharType="end"/>
        </w:r>
      </w:sdtContent>
    </w:sdt>
  </w:p>
  <w:p w14:paraId="1627206A" w14:textId="77777777" w:rsidR="00997FD1" w:rsidRPr="00C47EE8" w:rsidRDefault="00997FD1" w:rsidP="00C47EE8">
    <w:pPr>
      <w:pStyle w:val="Pieddepage"/>
      <w:spacing w:after="0"/>
      <w:jc w:val="center"/>
      <w:rPr>
        <w:rFonts w:ascii="Queens Park" w:hAnsi="Queens Park"/>
        <w:color w:val="7F7F7F"/>
        <w:sz w:val="8"/>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FC384" w14:textId="77777777" w:rsidR="00997FD1" w:rsidRPr="00C47EE8" w:rsidRDefault="001A7A0C" w:rsidP="00C47EE8">
    <w:pPr>
      <w:pStyle w:val="Pieddepage"/>
      <w:spacing w:after="0"/>
      <w:jc w:val="center"/>
      <w:rPr>
        <w:rFonts w:ascii="Queens Park" w:hAnsi="Queens Park"/>
        <w:color w:val="7F7F7F"/>
        <w:sz w:val="14"/>
        <w:szCs w:val="14"/>
      </w:rPr>
    </w:pPr>
    <w:bookmarkStart w:id="0" w:name="_Hlk515360553"/>
    <w:bookmarkStart w:id="1" w:name="_Hlk515360554"/>
    <w:r w:rsidRPr="00C47EE8">
      <w:rPr>
        <w:rFonts w:ascii="Queens Park" w:hAnsi="Queens Park"/>
        <w:color w:val="7F7F7F"/>
        <w:sz w:val="14"/>
        <w:szCs w:val="14"/>
      </w:rPr>
      <w:t>41 LOTHBURY, LONDON, EC2R 7HG</w:t>
    </w:r>
  </w:p>
  <w:p w14:paraId="05EC60F8" w14:textId="77777777" w:rsidR="00997FD1" w:rsidRPr="00C47EE8" w:rsidRDefault="001A7A0C" w:rsidP="00C47EE8">
    <w:pPr>
      <w:pStyle w:val="Pieddepage"/>
      <w:spacing w:after="0"/>
      <w:jc w:val="center"/>
      <w:rPr>
        <w:rFonts w:ascii="Queens Park" w:hAnsi="Queens Park"/>
        <w:color w:val="2B2D7C"/>
        <w:sz w:val="14"/>
        <w:szCs w:val="14"/>
      </w:rPr>
    </w:pPr>
    <w:r w:rsidRPr="00C47EE8">
      <w:rPr>
        <w:rFonts w:ascii="Queens Park" w:hAnsi="Queens Park"/>
        <w:b/>
        <w:color w:val="2B2D7C"/>
        <w:sz w:val="14"/>
        <w:szCs w:val="14"/>
      </w:rPr>
      <w:t>T</w:t>
    </w:r>
    <w:r w:rsidRPr="00C47EE8">
      <w:rPr>
        <w:rFonts w:ascii="Queens Park" w:hAnsi="Queens Park"/>
        <w:color w:val="2B2D7C"/>
        <w:sz w:val="14"/>
        <w:szCs w:val="14"/>
      </w:rPr>
      <w:t xml:space="preserve"> +44 (0)20 3709 5700   |   info@consilium-comms.com   |   </w:t>
    </w:r>
    <w:hyperlink r:id="rId1" w:history="1">
      <w:r w:rsidRPr="00C47EE8">
        <w:rPr>
          <w:rStyle w:val="Lienhypertexte"/>
          <w:rFonts w:ascii="Queens Park" w:hAnsi="Queens Park"/>
          <w:sz w:val="14"/>
          <w:szCs w:val="14"/>
        </w:rPr>
        <w:t>www.consilium-comms.com</w:t>
      </w:r>
    </w:hyperlink>
  </w:p>
  <w:p w14:paraId="5850BE8B" w14:textId="77777777" w:rsidR="00997FD1" w:rsidRPr="00C47EE8" w:rsidRDefault="00997FD1" w:rsidP="00C47EE8">
    <w:pPr>
      <w:pStyle w:val="Pieddepage"/>
      <w:spacing w:after="0"/>
      <w:jc w:val="center"/>
      <w:rPr>
        <w:rFonts w:ascii="Queens Park" w:hAnsi="Queens Park"/>
        <w:sz w:val="8"/>
        <w:szCs w:val="14"/>
      </w:rPr>
    </w:pPr>
  </w:p>
  <w:p w14:paraId="2CAABA08" w14:textId="77777777" w:rsidR="00997FD1" w:rsidRPr="00C47EE8" w:rsidRDefault="001A7A0C" w:rsidP="00C47EE8">
    <w:pPr>
      <w:pStyle w:val="Pieddepage"/>
      <w:spacing w:after="0"/>
      <w:jc w:val="center"/>
      <w:rPr>
        <w:rFonts w:ascii="Queens Park" w:hAnsi="Queens Park"/>
        <w:color w:val="7F7F7F"/>
        <w:sz w:val="8"/>
        <w:szCs w:val="14"/>
      </w:rPr>
    </w:pPr>
    <w:r w:rsidRPr="00C47EE8">
      <w:rPr>
        <w:rFonts w:ascii="Queens Park" w:hAnsi="Queens Park"/>
        <w:color w:val="7F7F7F"/>
        <w:sz w:val="8"/>
        <w:szCs w:val="14"/>
      </w:rPr>
      <w:t>VAT no. 164 146 320   Registered in England no. 08519137</w:t>
    </w:r>
  </w:p>
  <w:p w14:paraId="2CAF8F16" w14:textId="77777777" w:rsidR="00997FD1" w:rsidRPr="00C47EE8" w:rsidRDefault="001A7A0C" w:rsidP="00C47EE8">
    <w:pPr>
      <w:pStyle w:val="Pieddepage"/>
      <w:spacing w:after="0"/>
      <w:jc w:val="center"/>
      <w:rPr>
        <w:rFonts w:ascii="Queens Park" w:hAnsi="Queens Park"/>
        <w:color w:val="7F7F7F"/>
        <w:sz w:val="8"/>
        <w:szCs w:val="14"/>
      </w:rPr>
    </w:pPr>
    <w:r w:rsidRPr="00C47EE8">
      <w:rPr>
        <w:rFonts w:ascii="Queens Park" w:hAnsi="Queens Park"/>
        <w:color w:val="7F7F7F"/>
        <w:sz w:val="8"/>
        <w:szCs w:val="14"/>
      </w:rPr>
      <w:t>Consilium Strategic Communications Limited Registered Office: 7 West Street, Epsom, Surrey KT18 7RL</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5F7C0" w14:textId="77777777" w:rsidR="00566776" w:rsidRDefault="00566776">
      <w:pPr>
        <w:spacing w:after="0" w:line="240" w:lineRule="auto"/>
      </w:pPr>
      <w:r>
        <w:separator/>
      </w:r>
    </w:p>
  </w:footnote>
  <w:footnote w:type="continuationSeparator" w:id="0">
    <w:p w14:paraId="212E92A1" w14:textId="77777777" w:rsidR="00566776" w:rsidRDefault="005667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2B870" w14:textId="46E13D9F" w:rsidR="00997FD1" w:rsidRPr="009831D8" w:rsidRDefault="00997FD1" w:rsidP="00AA78E9">
    <w:pPr>
      <w:pStyle w:val="En-tte"/>
      <w:jc w:val="center"/>
      <w:rPr>
        <w:b/>
        <w:bCs/>
        <w:sz w:val="36"/>
        <w:szCs w:val="3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0F13B" w14:textId="77777777" w:rsidR="00997FD1" w:rsidRPr="007A6286" w:rsidRDefault="001A7A0C" w:rsidP="007A6286">
    <w:pPr>
      <w:pStyle w:val="En-tte"/>
      <w:spacing w:line="360" w:lineRule="auto"/>
      <w:jc w:val="center"/>
      <w:rPr>
        <w:rFonts w:ascii="Queens Park" w:hAnsi="Queens Park"/>
      </w:rPr>
    </w:pPr>
    <w:r>
      <w:rPr>
        <w:noProof/>
        <w:lang w:eastAsia="en-GB"/>
      </w:rPr>
      <w:drawing>
        <wp:anchor distT="0" distB="0" distL="114300" distR="114300" simplePos="0" relativeHeight="251659264" behindDoc="1" locked="0" layoutInCell="1" allowOverlap="1" wp14:anchorId="37EFC0B1" wp14:editId="03C012F5">
          <wp:simplePos x="0" y="0"/>
          <wp:positionH relativeFrom="column">
            <wp:posOffset>2131060</wp:posOffset>
          </wp:positionH>
          <wp:positionV relativeFrom="paragraph">
            <wp:posOffset>-183515</wp:posOffset>
          </wp:positionV>
          <wp:extent cx="2019300" cy="476250"/>
          <wp:effectExtent l="0" t="0" r="0" b="0"/>
          <wp:wrapTight wrapText="bothSides">
            <wp:wrapPolygon edited="0">
              <wp:start x="0" y="0"/>
              <wp:lineTo x="0" y="20736"/>
              <wp:lineTo x="21396" y="20736"/>
              <wp:lineTo x="21396" y="0"/>
              <wp:lineTo x="0" y="0"/>
            </wp:wrapPolygon>
          </wp:wrapTight>
          <wp:docPr id="12" name="Picture 12" descr="Image result for consilium strategic communicat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consilium strategic communications  logo"/>
                  <pic:cNvPicPr>
                    <a:picLocks noChangeAspect="1" noChangeArrowheads="1"/>
                  </pic:cNvPicPr>
                </pic:nvPicPr>
                <pic:blipFill rotWithShape="1">
                  <a:blip r:embed="rId1">
                    <a:extLst>
                      <a:ext uri="{28A0092B-C50C-407E-A947-70E740481C1C}">
                        <a14:useLocalDpi xmlns:a14="http://schemas.microsoft.com/office/drawing/2010/main" val="0"/>
                      </a:ext>
                    </a:extLst>
                  </a:blip>
                  <a:srcRect t="30769" b="33443"/>
                  <a:stretch/>
                </pic:blipFill>
                <pic:spPr bwMode="auto">
                  <a:xfrm>
                    <a:off x="0" y="0"/>
                    <a:ext cx="2019300" cy="4762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t xml:space="preserve"> </w:t>
    </w:r>
    <w:r w:rsidRPr="007A6286">
      <w:rPr>
        <w:rFonts w:ascii="Queens Park" w:hAnsi="Queens Park"/>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0036"/>
    <w:multiLevelType w:val="hybridMultilevel"/>
    <w:tmpl w:val="F2FAED8E"/>
    <w:lvl w:ilvl="0" w:tplc="2348C7DC">
      <w:start w:val="1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F1C278D"/>
    <w:multiLevelType w:val="hybridMultilevel"/>
    <w:tmpl w:val="006ECC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2170915"/>
    <w:multiLevelType w:val="hybridMultilevel"/>
    <w:tmpl w:val="4BD6EA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19432EA"/>
    <w:multiLevelType w:val="hybridMultilevel"/>
    <w:tmpl w:val="10A016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0D14A63"/>
    <w:multiLevelType w:val="hybridMultilevel"/>
    <w:tmpl w:val="52A041D8"/>
    <w:lvl w:ilvl="0" w:tplc="116250B2">
      <w:start w:val="1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19E7E45"/>
    <w:multiLevelType w:val="hybridMultilevel"/>
    <w:tmpl w:val="E146D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AF6C35"/>
    <w:multiLevelType w:val="hybridMultilevel"/>
    <w:tmpl w:val="8CE81D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DD2191B"/>
    <w:multiLevelType w:val="hybridMultilevel"/>
    <w:tmpl w:val="87E00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655450"/>
    <w:multiLevelType w:val="hybridMultilevel"/>
    <w:tmpl w:val="9926E7F0"/>
    <w:lvl w:ilvl="0" w:tplc="5FC0E598">
      <w:start w:val="1"/>
      <w:numFmt w:val="bullet"/>
      <w:lvlText w:val="-"/>
      <w:lvlJc w:val="left"/>
      <w:pPr>
        <w:ind w:left="1636" w:hanging="360"/>
      </w:pPr>
      <w:rPr>
        <w:rFonts w:ascii="Calibri" w:eastAsia="Times New Roman" w:hAnsi="Calibri" w:cs="Calibri" w:hint="default"/>
        <w:b w:val="0"/>
        <w:sz w:val="22"/>
      </w:rPr>
    </w:lvl>
    <w:lvl w:ilvl="1" w:tplc="08090003">
      <w:start w:val="1"/>
      <w:numFmt w:val="bullet"/>
      <w:lvlText w:val="o"/>
      <w:lvlJc w:val="left"/>
      <w:pPr>
        <w:ind w:left="2356" w:hanging="360"/>
      </w:pPr>
      <w:rPr>
        <w:rFonts w:ascii="Courier New" w:hAnsi="Courier New" w:cs="Courier New" w:hint="default"/>
      </w:rPr>
    </w:lvl>
    <w:lvl w:ilvl="2" w:tplc="08090005">
      <w:start w:val="1"/>
      <w:numFmt w:val="bullet"/>
      <w:lvlText w:val=""/>
      <w:lvlJc w:val="left"/>
      <w:pPr>
        <w:ind w:left="3076" w:hanging="360"/>
      </w:pPr>
      <w:rPr>
        <w:rFonts w:ascii="Wingdings" w:hAnsi="Wingdings" w:hint="default"/>
      </w:rPr>
    </w:lvl>
    <w:lvl w:ilvl="3" w:tplc="08090001">
      <w:start w:val="1"/>
      <w:numFmt w:val="bullet"/>
      <w:lvlText w:val=""/>
      <w:lvlJc w:val="left"/>
      <w:pPr>
        <w:ind w:left="3796" w:hanging="360"/>
      </w:pPr>
      <w:rPr>
        <w:rFonts w:ascii="Symbol" w:hAnsi="Symbol" w:hint="default"/>
      </w:rPr>
    </w:lvl>
    <w:lvl w:ilvl="4" w:tplc="08090003">
      <w:start w:val="1"/>
      <w:numFmt w:val="bullet"/>
      <w:lvlText w:val="o"/>
      <w:lvlJc w:val="left"/>
      <w:pPr>
        <w:ind w:left="4516" w:hanging="360"/>
      </w:pPr>
      <w:rPr>
        <w:rFonts w:ascii="Courier New" w:hAnsi="Courier New" w:cs="Courier New" w:hint="default"/>
      </w:rPr>
    </w:lvl>
    <w:lvl w:ilvl="5" w:tplc="08090005">
      <w:start w:val="1"/>
      <w:numFmt w:val="bullet"/>
      <w:lvlText w:val=""/>
      <w:lvlJc w:val="left"/>
      <w:pPr>
        <w:ind w:left="5236" w:hanging="360"/>
      </w:pPr>
      <w:rPr>
        <w:rFonts w:ascii="Wingdings" w:hAnsi="Wingdings" w:hint="default"/>
      </w:rPr>
    </w:lvl>
    <w:lvl w:ilvl="6" w:tplc="08090001">
      <w:start w:val="1"/>
      <w:numFmt w:val="bullet"/>
      <w:lvlText w:val=""/>
      <w:lvlJc w:val="left"/>
      <w:pPr>
        <w:ind w:left="5956" w:hanging="360"/>
      </w:pPr>
      <w:rPr>
        <w:rFonts w:ascii="Symbol" w:hAnsi="Symbol" w:hint="default"/>
      </w:rPr>
    </w:lvl>
    <w:lvl w:ilvl="7" w:tplc="08090003">
      <w:start w:val="1"/>
      <w:numFmt w:val="bullet"/>
      <w:lvlText w:val="o"/>
      <w:lvlJc w:val="left"/>
      <w:pPr>
        <w:ind w:left="6676" w:hanging="360"/>
      </w:pPr>
      <w:rPr>
        <w:rFonts w:ascii="Courier New" w:hAnsi="Courier New" w:cs="Courier New" w:hint="default"/>
      </w:rPr>
    </w:lvl>
    <w:lvl w:ilvl="8" w:tplc="08090005">
      <w:start w:val="1"/>
      <w:numFmt w:val="bullet"/>
      <w:lvlText w:val=""/>
      <w:lvlJc w:val="left"/>
      <w:pPr>
        <w:ind w:left="7396" w:hanging="360"/>
      </w:pPr>
      <w:rPr>
        <w:rFonts w:ascii="Wingdings" w:hAnsi="Wingdings" w:hint="default"/>
      </w:rPr>
    </w:lvl>
  </w:abstractNum>
  <w:abstractNum w:abstractNumId="9" w15:restartNumberingAfterBreak="0">
    <w:nsid w:val="61107939"/>
    <w:multiLevelType w:val="hybridMultilevel"/>
    <w:tmpl w:val="80828D76"/>
    <w:lvl w:ilvl="0" w:tplc="040C0001">
      <w:start w:val="1"/>
      <w:numFmt w:val="bullet"/>
      <w:lvlText w:val=""/>
      <w:lvlJc w:val="left"/>
      <w:pPr>
        <w:ind w:left="2356" w:hanging="360"/>
      </w:pPr>
      <w:rPr>
        <w:rFonts w:ascii="Symbol" w:hAnsi="Symbol" w:hint="default"/>
      </w:rPr>
    </w:lvl>
    <w:lvl w:ilvl="1" w:tplc="040C0003" w:tentative="1">
      <w:start w:val="1"/>
      <w:numFmt w:val="bullet"/>
      <w:lvlText w:val="o"/>
      <w:lvlJc w:val="left"/>
      <w:pPr>
        <w:ind w:left="3076" w:hanging="360"/>
      </w:pPr>
      <w:rPr>
        <w:rFonts w:ascii="Courier New" w:hAnsi="Courier New" w:cs="Courier New" w:hint="default"/>
      </w:rPr>
    </w:lvl>
    <w:lvl w:ilvl="2" w:tplc="040C0005" w:tentative="1">
      <w:start w:val="1"/>
      <w:numFmt w:val="bullet"/>
      <w:lvlText w:val=""/>
      <w:lvlJc w:val="left"/>
      <w:pPr>
        <w:ind w:left="3796" w:hanging="360"/>
      </w:pPr>
      <w:rPr>
        <w:rFonts w:ascii="Wingdings" w:hAnsi="Wingdings" w:hint="default"/>
      </w:rPr>
    </w:lvl>
    <w:lvl w:ilvl="3" w:tplc="040C0001" w:tentative="1">
      <w:start w:val="1"/>
      <w:numFmt w:val="bullet"/>
      <w:lvlText w:val=""/>
      <w:lvlJc w:val="left"/>
      <w:pPr>
        <w:ind w:left="4516" w:hanging="360"/>
      </w:pPr>
      <w:rPr>
        <w:rFonts w:ascii="Symbol" w:hAnsi="Symbol" w:hint="default"/>
      </w:rPr>
    </w:lvl>
    <w:lvl w:ilvl="4" w:tplc="040C0003" w:tentative="1">
      <w:start w:val="1"/>
      <w:numFmt w:val="bullet"/>
      <w:lvlText w:val="o"/>
      <w:lvlJc w:val="left"/>
      <w:pPr>
        <w:ind w:left="5236" w:hanging="360"/>
      </w:pPr>
      <w:rPr>
        <w:rFonts w:ascii="Courier New" w:hAnsi="Courier New" w:cs="Courier New" w:hint="default"/>
      </w:rPr>
    </w:lvl>
    <w:lvl w:ilvl="5" w:tplc="040C0005" w:tentative="1">
      <w:start w:val="1"/>
      <w:numFmt w:val="bullet"/>
      <w:lvlText w:val=""/>
      <w:lvlJc w:val="left"/>
      <w:pPr>
        <w:ind w:left="5956" w:hanging="360"/>
      </w:pPr>
      <w:rPr>
        <w:rFonts w:ascii="Wingdings" w:hAnsi="Wingdings" w:hint="default"/>
      </w:rPr>
    </w:lvl>
    <w:lvl w:ilvl="6" w:tplc="040C0001" w:tentative="1">
      <w:start w:val="1"/>
      <w:numFmt w:val="bullet"/>
      <w:lvlText w:val=""/>
      <w:lvlJc w:val="left"/>
      <w:pPr>
        <w:ind w:left="6676" w:hanging="360"/>
      </w:pPr>
      <w:rPr>
        <w:rFonts w:ascii="Symbol" w:hAnsi="Symbol" w:hint="default"/>
      </w:rPr>
    </w:lvl>
    <w:lvl w:ilvl="7" w:tplc="040C0003" w:tentative="1">
      <w:start w:val="1"/>
      <w:numFmt w:val="bullet"/>
      <w:lvlText w:val="o"/>
      <w:lvlJc w:val="left"/>
      <w:pPr>
        <w:ind w:left="7396" w:hanging="360"/>
      </w:pPr>
      <w:rPr>
        <w:rFonts w:ascii="Courier New" w:hAnsi="Courier New" w:cs="Courier New" w:hint="default"/>
      </w:rPr>
    </w:lvl>
    <w:lvl w:ilvl="8" w:tplc="040C0005" w:tentative="1">
      <w:start w:val="1"/>
      <w:numFmt w:val="bullet"/>
      <w:lvlText w:val=""/>
      <w:lvlJc w:val="left"/>
      <w:pPr>
        <w:ind w:left="8116" w:hanging="360"/>
      </w:pPr>
      <w:rPr>
        <w:rFonts w:ascii="Wingdings" w:hAnsi="Wingdings" w:hint="default"/>
      </w:rPr>
    </w:lvl>
  </w:abstractNum>
  <w:abstractNum w:abstractNumId="10" w15:restartNumberingAfterBreak="0">
    <w:nsid w:val="66A64468"/>
    <w:multiLevelType w:val="hybridMultilevel"/>
    <w:tmpl w:val="7DFEF368"/>
    <w:lvl w:ilvl="0" w:tplc="4CACFB26">
      <w:start w:val="1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24499324">
    <w:abstractNumId w:val="7"/>
  </w:num>
  <w:num w:numId="2" w16cid:durableId="1218518649">
    <w:abstractNumId w:val="5"/>
  </w:num>
  <w:num w:numId="3" w16cid:durableId="759643602">
    <w:abstractNumId w:val="3"/>
  </w:num>
  <w:num w:numId="4" w16cid:durableId="286131189">
    <w:abstractNumId w:val="8"/>
  </w:num>
  <w:num w:numId="5" w16cid:durableId="1001588135">
    <w:abstractNumId w:val="6"/>
  </w:num>
  <w:num w:numId="6" w16cid:durableId="1735081609">
    <w:abstractNumId w:val="1"/>
  </w:num>
  <w:num w:numId="7" w16cid:durableId="1891110556">
    <w:abstractNumId w:val="9"/>
  </w:num>
  <w:num w:numId="8" w16cid:durableId="1308320496">
    <w:abstractNumId w:val="0"/>
  </w:num>
  <w:num w:numId="9" w16cid:durableId="1664311907">
    <w:abstractNumId w:val="2"/>
  </w:num>
  <w:num w:numId="10" w16cid:durableId="1152523832">
    <w:abstractNumId w:val="4"/>
  </w:num>
  <w:num w:numId="11" w16cid:durableId="4793464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D8B"/>
    <w:rsid w:val="00016CFF"/>
    <w:rsid w:val="00017145"/>
    <w:rsid w:val="00017F38"/>
    <w:rsid w:val="0002036C"/>
    <w:rsid w:val="000342A1"/>
    <w:rsid w:val="00034C19"/>
    <w:rsid w:val="00037234"/>
    <w:rsid w:val="00037BC3"/>
    <w:rsid w:val="00044EED"/>
    <w:rsid w:val="000768C9"/>
    <w:rsid w:val="000831C9"/>
    <w:rsid w:val="000920B1"/>
    <w:rsid w:val="000948BF"/>
    <w:rsid w:val="000A1D92"/>
    <w:rsid w:val="000A2AE1"/>
    <w:rsid w:val="000A5895"/>
    <w:rsid w:val="000A6CA9"/>
    <w:rsid w:val="000B0B1D"/>
    <w:rsid w:val="000B0C02"/>
    <w:rsid w:val="000C01BE"/>
    <w:rsid w:val="000C20E8"/>
    <w:rsid w:val="000C3977"/>
    <w:rsid w:val="000D6F7A"/>
    <w:rsid w:val="000D7813"/>
    <w:rsid w:val="000F3636"/>
    <w:rsid w:val="000F733B"/>
    <w:rsid w:val="001044D9"/>
    <w:rsid w:val="00105266"/>
    <w:rsid w:val="00123C1C"/>
    <w:rsid w:val="00133217"/>
    <w:rsid w:val="00133C50"/>
    <w:rsid w:val="001349A6"/>
    <w:rsid w:val="001375E7"/>
    <w:rsid w:val="001446C7"/>
    <w:rsid w:val="001548C6"/>
    <w:rsid w:val="00157B13"/>
    <w:rsid w:val="00162965"/>
    <w:rsid w:val="0016464C"/>
    <w:rsid w:val="00165A18"/>
    <w:rsid w:val="00173D3D"/>
    <w:rsid w:val="00176360"/>
    <w:rsid w:val="0018259C"/>
    <w:rsid w:val="00184FF4"/>
    <w:rsid w:val="001957AE"/>
    <w:rsid w:val="001A2426"/>
    <w:rsid w:val="001A4770"/>
    <w:rsid w:val="001A7A0C"/>
    <w:rsid w:val="001B05EB"/>
    <w:rsid w:val="001B11E1"/>
    <w:rsid w:val="001C058F"/>
    <w:rsid w:val="001C49AB"/>
    <w:rsid w:val="001E1A8A"/>
    <w:rsid w:val="001E29A8"/>
    <w:rsid w:val="001E6D55"/>
    <w:rsid w:val="001F1E47"/>
    <w:rsid w:val="001F72F9"/>
    <w:rsid w:val="001F7EA1"/>
    <w:rsid w:val="002048A9"/>
    <w:rsid w:val="0020520C"/>
    <w:rsid w:val="00205217"/>
    <w:rsid w:val="002063AB"/>
    <w:rsid w:val="0021253D"/>
    <w:rsid w:val="002238CE"/>
    <w:rsid w:val="00224256"/>
    <w:rsid w:val="002246F4"/>
    <w:rsid w:val="0022789D"/>
    <w:rsid w:val="00230870"/>
    <w:rsid w:val="0023692E"/>
    <w:rsid w:val="00240A3F"/>
    <w:rsid w:val="00246323"/>
    <w:rsid w:val="002466DD"/>
    <w:rsid w:val="00256B15"/>
    <w:rsid w:val="00256CEB"/>
    <w:rsid w:val="0025783E"/>
    <w:rsid w:val="002718D3"/>
    <w:rsid w:val="0028125C"/>
    <w:rsid w:val="002822BC"/>
    <w:rsid w:val="002823EB"/>
    <w:rsid w:val="0028492B"/>
    <w:rsid w:val="002A30E4"/>
    <w:rsid w:val="002A517C"/>
    <w:rsid w:val="002B3CF7"/>
    <w:rsid w:val="002B452C"/>
    <w:rsid w:val="002C11AE"/>
    <w:rsid w:val="002C11DC"/>
    <w:rsid w:val="002C3C3E"/>
    <w:rsid w:val="002D40FB"/>
    <w:rsid w:val="002D6402"/>
    <w:rsid w:val="002D6843"/>
    <w:rsid w:val="002E1E9C"/>
    <w:rsid w:val="00311D8B"/>
    <w:rsid w:val="003135A8"/>
    <w:rsid w:val="0031417A"/>
    <w:rsid w:val="00316948"/>
    <w:rsid w:val="0031739D"/>
    <w:rsid w:val="003329BC"/>
    <w:rsid w:val="00334E61"/>
    <w:rsid w:val="0034379D"/>
    <w:rsid w:val="00347367"/>
    <w:rsid w:val="00350426"/>
    <w:rsid w:val="003557AE"/>
    <w:rsid w:val="003574E5"/>
    <w:rsid w:val="00376B05"/>
    <w:rsid w:val="00381301"/>
    <w:rsid w:val="00395504"/>
    <w:rsid w:val="00395B51"/>
    <w:rsid w:val="003A3E42"/>
    <w:rsid w:val="003A40ED"/>
    <w:rsid w:val="003B4B91"/>
    <w:rsid w:val="003C2BD9"/>
    <w:rsid w:val="003E389F"/>
    <w:rsid w:val="003E5B86"/>
    <w:rsid w:val="003F1187"/>
    <w:rsid w:val="003F4C3C"/>
    <w:rsid w:val="003F4DB2"/>
    <w:rsid w:val="003F5A4D"/>
    <w:rsid w:val="003F7A0E"/>
    <w:rsid w:val="004012CD"/>
    <w:rsid w:val="00425708"/>
    <w:rsid w:val="00434AB2"/>
    <w:rsid w:val="004470D3"/>
    <w:rsid w:val="00456353"/>
    <w:rsid w:val="004565AC"/>
    <w:rsid w:val="0045665E"/>
    <w:rsid w:val="00467785"/>
    <w:rsid w:val="00467A94"/>
    <w:rsid w:val="00476650"/>
    <w:rsid w:val="00484574"/>
    <w:rsid w:val="004A2440"/>
    <w:rsid w:val="004A6699"/>
    <w:rsid w:val="004C38F3"/>
    <w:rsid w:val="004F3770"/>
    <w:rsid w:val="004F6933"/>
    <w:rsid w:val="00501ED0"/>
    <w:rsid w:val="00507A9E"/>
    <w:rsid w:val="00511FD1"/>
    <w:rsid w:val="0052089A"/>
    <w:rsid w:val="00522067"/>
    <w:rsid w:val="005266BB"/>
    <w:rsid w:val="00534D98"/>
    <w:rsid w:val="00540092"/>
    <w:rsid w:val="00541582"/>
    <w:rsid w:val="00542548"/>
    <w:rsid w:val="00543E89"/>
    <w:rsid w:val="00550DE9"/>
    <w:rsid w:val="00552B50"/>
    <w:rsid w:val="005530BB"/>
    <w:rsid w:val="00560995"/>
    <w:rsid w:val="00566776"/>
    <w:rsid w:val="005920A0"/>
    <w:rsid w:val="005A36F2"/>
    <w:rsid w:val="005B6D12"/>
    <w:rsid w:val="005C249E"/>
    <w:rsid w:val="005C300D"/>
    <w:rsid w:val="005C3848"/>
    <w:rsid w:val="005C4DA3"/>
    <w:rsid w:val="005C5EB4"/>
    <w:rsid w:val="005D1811"/>
    <w:rsid w:val="005E0E9D"/>
    <w:rsid w:val="005E235A"/>
    <w:rsid w:val="005F0C8E"/>
    <w:rsid w:val="005F252A"/>
    <w:rsid w:val="005F54BE"/>
    <w:rsid w:val="00606E97"/>
    <w:rsid w:val="00607AA8"/>
    <w:rsid w:val="006165FE"/>
    <w:rsid w:val="00617793"/>
    <w:rsid w:val="00636381"/>
    <w:rsid w:val="00642605"/>
    <w:rsid w:val="0064477D"/>
    <w:rsid w:val="006558FB"/>
    <w:rsid w:val="00664694"/>
    <w:rsid w:val="006704CF"/>
    <w:rsid w:val="0067393E"/>
    <w:rsid w:val="00675074"/>
    <w:rsid w:val="0067704C"/>
    <w:rsid w:val="00690D12"/>
    <w:rsid w:val="00694CB3"/>
    <w:rsid w:val="006A0F7F"/>
    <w:rsid w:val="006A10C9"/>
    <w:rsid w:val="006A5DFB"/>
    <w:rsid w:val="006B3A8F"/>
    <w:rsid w:val="006C22AF"/>
    <w:rsid w:val="006C35A3"/>
    <w:rsid w:val="006D02C2"/>
    <w:rsid w:val="006D1444"/>
    <w:rsid w:val="006D301A"/>
    <w:rsid w:val="006E0BDF"/>
    <w:rsid w:val="006F1716"/>
    <w:rsid w:val="006F2143"/>
    <w:rsid w:val="006F5B52"/>
    <w:rsid w:val="00704D6B"/>
    <w:rsid w:val="0071022C"/>
    <w:rsid w:val="00734537"/>
    <w:rsid w:val="007514E2"/>
    <w:rsid w:val="00755F7A"/>
    <w:rsid w:val="00757266"/>
    <w:rsid w:val="007623DE"/>
    <w:rsid w:val="0076387F"/>
    <w:rsid w:val="00766B9F"/>
    <w:rsid w:val="0077043F"/>
    <w:rsid w:val="00771348"/>
    <w:rsid w:val="007756CE"/>
    <w:rsid w:val="007828E8"/>
    <w:rsid w:val="007A11C8"/>
    <w:rsid w:val="007A1941"/>
    <w:rsid w:val="007A31AE"/>
    <w:rsid w:val="007B2884"/>
    <w:rsid w:val="007C4B49"/>
    <w:rsid w:val="007C52A5"/>
    <w:rsid w:val="007D128A"/>
    <w:rsid w:val="007D6F56"/>
    <w:rsid w:val="007F1FAE"/>
    <w:rsid w:val="007F31B6"/>
    <w:rsid w:val="00804639"/>
    <w:rsid w:val="008055DA"/>
    <w:rsid w:val="00823D19"/>
    <w:rsid w:val="00827C88"/>
    <w:rsid w:val="00827E88"/>
    <w:rsid w:val="00831725"/>
    <w:rsid w:val="00834E3E"/>
    <w:rsid w:val="00841499"/>
    <w:rsid w:val="008421C6"/>
    <w:rsid w:val="00842BB5"/>
    <w:rsid w:val="00850C50"/>
    <w:rsid w:val="00852050"/>
    <w:rsid w:val="00852AAE"/>
    <w:rsid w:val="00854686"/>
    <w:rsid w:val="00855661"/>
    <w:rsid w:val="0086169E"/>
    <w:rsid w:val="00865B3F"/>
    <w:rsid w:val="00883378"/>
    <w:rsid w:val="008904CA"/>
    <w:rsid w:val="008969B9"/>
    <w:rsid w:val="008B4699"/>
    <w:rsid w:val="008F27FA"/>
    <w:rsid w:val="00903550"/>
    <w:rsid w:val="0090411F"/>
    <w:rsid w:val="0090536C"/>
    <w:rsid w:val="00912AF4"/>
    <w:rsid w:val="00913458"/>
    <w:rsid w:val="00914EC8"/>
    <w:rsid w:val="00917CE5"/>
    <w:rsid w:val="00923B34"/>
    <w:rsid w:val="00931BC4"/>
    <w:rsid w:val="00932E56"/>
    <w:rsid w:val="00937B68"/>
    <w:rsid w:val="0094508B"/>
    <w:rsid w:val="0094545E"/>
    <w:rsid w:val="00945707"/>
    <w:rsid w:val="00945A18"/>
    <w:rsid w:val="00954640"/>
    <w:rsid w:val="00961D5B"/>
    <w:rsid w:val="00974A97"/>
    <w:rsid w:val="009831D8"/>
    <w:rsid w:val="00985344"/>
    <w:rsid w:val="00987B9F"/>
    <w:rsid w:val="00993031"/>
    <w:rsid w:val="00994B54"/>
    <w:rsid w:val="00995B7A"/>
    <w:rsid w:val="00997FD1"/>
    <w:rsid w:val="009B6218"/>
    <w:rsid w:val="009B6932"/>
    <w:rsid w:val="009C0C0C"/>
    <w:rsid w:val="009D431C"/>
    <w:rsid w:val="009D73A3"/>
    <w:rsid w:val="009E44FC"/>
    <w:rsid w:val="009E4C1A"/>
    <w:rsid w:val="009E6841"/>
    <w:rsid w:val="009F0CCC"/>
    <w:rsid w:val="00A0575F"/>
    <w:rsid w:val="00A322EC"/>
    <w:rsid w:val="00A41910"/>
    <w:rsid w:val="00A421B7"/>
    <w:rsid w:val="00A55BB8"/>
    <w:rsid w:val="00A575DD"/>
    <w:rsid w:val="00A67A1E"/>
    <w:rsid w:val="00A90CF7"/>
    <w:rsid w:val="00AB7268"/>
    <w:rsid w:val="00AD6F18"/>
    <w:rsid w:val="00AD71FF"/>
    <w:rsid w:val="00AE4FEB"/>
    <w:rsid w:val="00AF3690"/>
    <w:rsid w:val="00AF40A1"/>
    <w:rsid w:val="00B00A6F"/>
    <w:rsid w:val="00B07CDD"/>
    <w:rsid w:val="00B11EF9"/>
    <w:rsid w:val="00B12264"/>
    <w:rsid w:val="00B13BDD"/>
    <w:rsid w:val="00B21CAE"/>
    <w:rsid w:val="00B25639"/>
    <w:rsid w:val="00B32263"/>
    <w:rsid w:val="00B33436"/>
    <w:rsid w:val="00B3737C"/>
    <w:rsid w:val="00B425B5"/>
    <w:rsid w:val="00B51BA4"/>
    <w:rsid w:val="00B6304A"/>
    <w:rsid w:val="00B71189"/>
    <w:rsid w:val="00B765AF"/>
    <w:rsid w:val="00B87354"/>
    <w:rsid w:val="00B9313A"/>
    <w:rsid w:val="00BA1DA6"/>
    <w:rsid w:val="00BB6090"/>
    <w:rsid w:val="00BC2C76"/>
    <w:rsid w:val="00BD60D6"/>
    <w:rsid w:val="00BD654C"/>
    <w:rsid w:val="00BD7024"/>
    <w:rsid w:val="00BE53DD"/>
    <w:rsid w:val="00BE68FF"/>
    <w:rsid w:val="00BE7064"/>
    <w:rsid w:val="00BF0205"/>
    <w:rsid w:val="00C0248E"/>
    <w:rsid w:val="00C144B5"/>
    <w:rsid w:val="00C14B0F"/>
    <w:rsid w:val="00C21DEB"/>
    <w:rsid w:val="00C353E4"/>
    <w:rsid w:val="00C403A3"/>
    <w:rsid w:val="00C40D4F"/>
    <w:rsid w:val="00C4449C"/>
    <w:rsid w:val="00C45037"/>
    <w:rsid w:val="00C46467"/>
    <w:rsid w:val="00C467AA"/>
    <w:rsid w:val="00C60005"/>
    <w:rsid w:val="00C71B61"/>
    <w:rsid w:val="00C723DB"/>
    <w:rsid w:val="00C750F8"/>
    <w:rsid w:val="00C77277"/>
    <w:rsid w:val="00C82EB8"/>
    <w:rsid w:val="00C84D76"/>
    <w:rsid w:val="00C96C5C"/>
    <w:rsid w:val="00C977FE"/>
    <w:rsid w:val="00CA2356"/>
    <w:rsid w:val="00CA4B5A"/>
    <w:rsid w:val="00CA5865"/>
    <w:rsid w:val="00CA6AD0"/>
    <w:rsid w:val="00CA7190"/>
    <w:rsid w:val="00CA7947"/>
    <w:rsid w:val="00CC0F1C"/>
    <w:rsid w:val="00CC14B7"/>
    <w:rsid w:val="00CC298C"/>
    <w:rsid w:val="00CC7290"/>
    <w:rsid w:val="00CC77D6"/>
    <w:rsid w:val="00CD7C23"/>
    <w:rsid w:val="00CF429C"/>
    <w:rsid w:val="00CF4E65"/>
    <w:rsid w:val="00D026B6"/>
    <w:rsid w:val="00D0781D"/>
    <w:rsid w:val="00D122EB"/>
    <w:rsid w:val="00D124EE"/>
    <w:rsid w:val="00D134BE"/>
    <w:rsid w:val="00D14A6D"/>
    <w:rsid w:val="00D317BA"/>
    <w:rsid w:val="00D33A1D"/>
    <w:rsid w:val="00D35B80"/>
    <w:rsid w:val="00D558CD"/>
    <w:rsid w:val="00D64413"/>
    <w:rsid w:val="00D80AD1"/>
    <w:rsid w:val="00D823F2"/>
    <w:rsid w:val="00D847D4"/>
    <w:rsid w:val="00D94F11"/>
    <w:rsid w:val="00DA0710"/>
    <w:rsid w:val="00DA09DC"/>
    <w:rsid w:val="00DA4EE8"/>
    <w:rsid w:val="00DC15E8"/>
    <w:rsid w:val="00DC6891"/>
    <w:rsid w:val="00DD0283"/>
    <w:rsid w:val="00DE6A22"/>
    <w:rsid w:val="00DE6DFC"/>
    <w:rsid w:val="00E04D5B"/>
    <w:rsid w:val="00E14231"/>
    <w:rsid w:val="00E14D37"/>
    <w:rsid w:val="00E337D5"/>
    <w:rsid w:val="00E554DA"/>
    <w:rsid w:val="00E565D0"/>
    <w:rsid w:val="00E70E02"/>
    <w:rsid w:val="00E77253"/>
    <w:rsid w:val="00E83CC0"/>
    <w:rsid w:val="00E877EC"/>
    <w:rsid w:val="00E9497E"/>
    <w:rsid w:val="00E97EF3"/>
    <w:rsid w:val="00EB4B9D"/>
    <w:rsid w:val="00EC6C74"/>
    <w:rsid w:val="00ED3542"/>
    <w:rsid w:val="00ED7044"/>
    <w:rsid w:val="00EE50CF"/>
    <w:rsid w:val="00EE73A3"/>
    <w:rsid w:val="00EF08C6"/>
    <w:rsid w:val="00EF3270"/>
    <w:rsid w:val="00EF466D"/>
    <w:rsid w:val="00F26CE5"/>
    <w:rsid w:val="00F62C51"/>
    <w:rsid w:val="00F6635D"/>
    <w:rsid w:val="00F85300"/>
    <w:rsid w:val="00F97BE4"/>
    <w:rsid w:val="00FA4273"/>
    <w:rsid w:val="00FC1ED1"/>
    <w:rsid w:val="00FC7A9A"/>
    <w:rsid w:val="00FD060B"/>
    <w:rsid w:val="00FD31B9"/>
    <w:rsid w:val="00FD57E1"/>
    <w:rsid w:val="00FD7E17"/>
    <w:rsid w:val="00FE20AF"/>
    <w:rsid w:val="00FE5201"/>
    <w:rsid w:val="00FF57E1"/>
    <w:rsid w:val="00FF6C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2D87C"/>
  <w15:chartTrackingRefBased/>
  <w15:docId w15:val="{FBEFEF87-A36C-D540-AD0F-3E52C5149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SC Normal"/>
    <w:qFormat/>
    <w:rsid w:val="00311D8B"/>
    <w:pPr>
      <w:spacing w:after="120" w:line="264" w:lineRule="auto"/>
    </w:pPr>
    <w:rPr>
      <w:rFonts w:eastAsiaTheme="minorEastAsia"/>
      <w:sz w:val="20"/>
      <w:szCs w:val="20"/>
      <w:lang w:val="en-GB"/>
    </w:rPr>
  </w:style>
  <w:style w:type="paragraph" w:styleId="Titre1">
    <w:name w:val="heading 1"/>
    <w:basedOn w:val="Normal"/>
    <w:next w:val="Normal"/>
    <w:link w:val="Titre1Car"/>
    <w:uiPriority w:val="9"/>
    <w:qFormat/>
    <w:rsid w:val="00694CB3"/>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11D8B"/>
    <w:pPr>
      <w:tabs>
        <w:tab w:val="center" w:pos="4513"/>
        <w:tab w:val="right" w:pos="9026"/>
      </w:tabs>
      <w:spacing w:line="240" w:lineRule="auto"/>
    </w:pPr>
  </w:style>
  <w:style w:type="character" w:customStyle="1" w:styleId="En-tteCar">
    <w:name w:val="En-tête Car"/>
    <w:basedOn w:val="Policepardfaut"/>
    <w:link w:val="En-tte"/>
    <w:uiPriority w:val="99"/>
    <w:rsid w:val="00311D8B"/>
    <w:rPr>
      <w:rFonts w:eastAsiaTheme="minorEastAsia"/>
      <w:sz w:val="20"/>
      <w:szCs w:val="20"/>
      <w:lang w:val="en-GB"/>
    </w:rPr>
  </w:style>
  <w:style w:type="paragraph" w:styleId="Pieddepage">
    <w:name w:val="footer"/>
    <w:basedOn w:val="Normal"/>
    <w:link w:val="PieddepageCar"/>
    <w:uiPriority w:val="99"/>
    <w:unhideWhenUsed/>
    <w:rsid w:val="00311D8B"/>
    <w:pPr>
      <w:tabs>
        <w:tab w:val="center" w:pos="4513"/>
        <w:tab w:val="right" w:pos="9026"/>
      </w:tabs>
      <w:spacing w:line="240" w:lineRule="auto"/>
    </w:pPr>
  </w:style>
  <w:style w:type="character" w:customStyle="1" w:styleId="PieddepageCar">
    <w:name w:val="Pied de page Car"/>
    <w:basedOn w:val="Policepardfaut"/>
    <w:link w:val="Pieddepage"/>
    <w:uiPriority w:val="99"/>
    <w:rsid w:val="00311D8B"/>
    <w:rPr>
      <w:rFonts w:eastAsiaTheme="minorEastAsia"/>
      <w:sz w:val="20"/>
      <w:szCs w:val="20"/>
      <w:lang w:val="en-GB"/>
    </w:rPr>
  </w:style>
  <w:style w:type="character" w:styleId="Lienhypertexte">
    <w:name w:val="Hyperlink"/>
    <w:basedOn w:val="Policepardfaut"/>
    <w:uiPriority w:val="99"/>
    <w:unhideWhenUsed/>
    <w:rsid w:val="00311D8B"/>
    <w:rPr>
      <w:color w:val="0563C1" w:themeColor="hyperlink"/>
      <w:u w:val="single"/>
    </w:rPr>
  </w:style>
  <w:style w:type="paragraph" w:styleId="Paragraphedeliste">
    <w:name w:val="List Paragraph"/>
    <w:aliases w:val="ANNEXE"/>
    <w:basedOn w:val="Normal"/>
    <w:link w:val="ParagraphedelisteCar"/>
    <w:uiPriority w:val="34"/>
    <w:qFormat/>
    <w:rsid w:val="00311D8B"/>
    <w:pPr>
      <w:ind w:left="720"/>
      <w:contextualSpacing/>
    </w:pPr>
  </w:style>
  <w:style w:type="character" w:customStyle="1" w:styleId="relationsociete">
    <w:name w:val="relation_societe"/>
    <w:basedOn w:val="Policepardfaut"/>
    <w:rsid w:val="00311D8B"/>
  </w:style>
  <w:style w:type="character" w:customStyle="1" w:styleId="relationnom">
    <w:name w:val="relation_nom"/>
    <w:basedOn w:val="Policepardfaut"/>
    <w:rsid w:val="00311D8B"/>
  </w:style>
  <w:style w:type="paragraph" w:styleId="NormalWeb">
    <w:name w:val="Normal (Web)"/>
    <w:basedOn w:val="Normal"/>
    <w:uiPriority w:val="99"/>
    <w:unhideWhenUsed/>
    <w:rsid w:val="005C3848"/>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Mentionnonrsolue">
    <w:name w:val="Unresolved Mention"/>
    <w:basedOn w:val="Policepardfaut"/>
    <w:uiPriority w:val="99"/>
    <w:semiHidden/>
    <w:unhideWhenUsed/>
    <w:rsid w:val="002823EB"/>
    <w:rPr>
      <w:color w:val="605E5C"/>
      <w:shd w:val="clear" w:color="auto" w:fill="E1DFDD"/>
    </w:rPr>
  </w:style>
  <w:style w:type="character" w:styleId="Marquedecommentaire">
    <w:name w:val="annotation reference"/>
    <w:basedOn w:val="Policepardfaut"/>
    <w:uiPriority w:val="99"/>
    <w:unhideWhenUsed/>
    <w:rsid w:val="00923B34"/>
    <w:rPr>
      <w:sz w:val="16"/>
      <w:szCs w:val="16"/>
    </w:rPr>
  </w:style>
  <w:style w:type="paragraph" w:styleId="Commentaire">
    <w:name w:val="annotation text"/>
    <w:basedOn w:val="Normal"/>
    <w:link w:val="CommentaireCar"/>
    <w:unhideWhenUsed/>
    <w:rsid w:val="00923B34"/>
    <w:pPr>
      <w:spacing w:line="240" w:lineRule="auto"/>
    </w:pPr>
  </w:style>
  <w:style w:type="character" w:customStyle="1" w:styleId="CommentaireCar">
    <w:name w:val="Commentaire Car"/>
    <w:basedOn w:val="Policepardfaut"/>
    <w:link w:val="Commentaire"/>
    <w:rsid w:val="00923B34"/>
    <w:rPr>
      <w:rFonts w:eastAsiaTheme="minorEastAsia"/>
      <w:sz w:val="20"/>
      <w:szCs w:val="20"/>
      <w:lang w:val="en-GB"/>
    </w:rPr>
  </w:style>
  <w:style w:type="paragraph" w:styleId="Objetducommentaire">
    <w:name w:val="annotation subject"/>
    <w:basedOn w:val="Commentaire"/>
    <w:next w:val="Commentaire"/>
    <w:link w:val="ObjetducommentaireCar"/>
    <w:uiPriority w:val="99"/>
    <w:semiHidden/>
    <w:unhideWhenUsed/>
    <w:rsid w:val="00923B34"/>
    <w:rPr>
      <w:b/>
      <w:bCs/>
    </w:rPr>
  </w:style>
  <w:style w:type="character" w:customStyle="1" w:styleId="ObjetducommentaireCar">
    <w:name w:val="Objet du commentaire Car"/>
    <w:basedOn w:val="CommentaireCar"/>
    <w:link w:val="Objetducommentaire"/>
    <w:uiPriority w:val="99"/>
    <w:semiHidden/>
    <w:rsid w:val="00923B34"/>
    <w:rPr>
      <w:rFonts w:eastAsiaTheme="minorEastAsia"/>
      <w:b/>
      <w:bCs/>
      <w:sz w:val="20"/>
      <w:szCs w:val="20"/>
      <w:lang w:val="en-GB"/>
    </w:rPr>
  </w:style>
  <w:style w:type="character" w:customStyle="1" w:styleId="Titre1Car">
    <w:name w:val="Titre 1 Car"/>
    <w:basedOn w:val="Policepardfaut"/>
    <w:link w:val="Titre1"/>
    <w:uiPriority w:val="9"/>
    <w:rsid w:val="00694CB3"/>
    <w:rPr>
      <w:rFonts w:asciiTheme="majorHAnsi" w:eastAsiaTheme="majorEastAsia" w:hAnsiTheme="majorHAnsi" w:cstheme="majorBidi"/>
      <w:b/>
      <w:bCs/>
      <w:color w:val="2F5496" w:themeColor="accent1" w:themeShade="BF"/>
      <w:sz w:val="28"/>
      <w:szCs w:val="28"/>
    </w:rPr>
  </w:style>
  <w:style w:type="paragraph" w:styleId="Retraitcorpsdetexte">
    <w:name w:val="Body Text Indent"/>
    <w:basedOn w:val="Normal"/>
    <w:link w:val="RetraitcorpsdetexteCar"/>
    <w:uiPriority w:val="99"/>
    <w:semiHidden/>
    <w:unhideWhenUsed/>
    <w:rsid w:val="00694CB3"/>
    <w:pPr>
      <w:ind w:left="283"/>
    </w:pPr>
  </w:style>
  <w:style w:type="character" w:customStyle="1" w:styleId="RetraitcorpsdetexteCar">
    <w:name w:val="Retrait corps de texte Car"/>
    <w:basedOn w:val="Policepardfaut"/>
    <w:link w:val="Retraitcorpsdetexte"/>
    <w:uiPriority w:val="99"/>
    <w:semiHidden/>
    <w:rsid w:val="00694CB3"/>
    <w:rPr>
      <w:rFonts w:eastAsiaTheme="minorEastAsia"/>
      <w:sz w:val="20"/>
      <w:szCs w:val="20"/>
      <w:lang w:val="en-GB"/>
    </w:rPr>
  </w:style>
  <w:style w:type="paragraph" w:styleId="Retraitcorpset1relig">
    <w:name w:val="Body Text First Indent 2"/>
    <w:basedOn w:val="Retraitcorpsdetexte"/>
    <w:link w:val="Retraitcorpset1religCar"/>
    <w:uiPriority w:val="99"/>
    <w:unhideWhenUsed/>
    <w:rsid w:val="00694CB3"/>
    <w:pPr>
      <w:spacing w:after="200" w:line="276" w:lineRule="auto"/>
      <w:ind w:left="360" w:firstLine="360"/>
    </w:pPr>
    <w:rPr>
      <w:rFonts w:eastAsiaTheme="minorHAnsi"/>
      <w:sz w:val="22"/>
      <w:szCs w:val="22"/>
      <w:lang w:val="fr-FR"/>
    </w:rPr>
  </w:style>
  <w:style w:type="character" w:customStyle="1" w:styleId="Retraitcorpset1religCar">
    <w:name w:val="Retrait corps et 1re lig. Car"/>
    <w:basedOn w:val="RetraitcorpsdetexteCar"/>
    <w:link w:val="Retraitcorpset1relig"/>
    <w:uiPriority w:val="99"/>
    <w:rsid w:val="00694CB3"/>
    <w:rPr>
      <w:rFonts w:eastAsiaTheme="minorEastAsia"/>
      <w:sz w:val="22"/>
      <w:szCs w:val="22"/>
      <w:lang w:val="en-GB"/>
    </w:rPr>
  </w:style>
  <w:style w:type="table" w:styleId="Grilledutableau">
    <w:name w:val="Table Grid"/>
    <w:basedOn w:val="TableauNormal"/>
    <w:uiPriority w:val="39"/>
    <w:rsid w:val="00550D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2-Accentuation1">
    <w:name w:val="Grid Table 2 Accent 1"/>
    <w:basedOn w:val="TableauNormal"/>
    <w:uiPriority w:val="47"/>
    <w:rsid w:val="00550DE9"/>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auGrille4-Accentuation1">
    <w:name w:val="Grid Table 4 Accent 1"/>
    <w:basedOn w:val="TableauNormal"/>
    <w:uiPriority w:val="49"/>
    <w:rsid w:val="00550DE9"/>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Rvision">
    <w:name w:val="Revision"/>
    <w:hidden/>
    <w:uiPriority w:val="99"/>
    <w:semiHidden/>
    <w:rsid w:val="00C21DEB"/>
    <w:rPr>
      <w:rFonts w:eastAsiaTheme="minorEastAsia"/>
      <w:sz w:val="20"/>
      <w:szCs w:val="20"/>
      <w:lang w:val="en-GB"/>
    </w:rPr>
  </w:style>
  <w:style w:type="character" w:customStyle="1" w:styleId="cf01">
    <w:name w:val="cf01"/>
    <w:basedOn w:val="Policepardfaut"/>
    <w:rsid w:val="00BE68FF"/>
    <w:rPr>
      <w:rFonts w:ascii="Segoe UI" w:hAnsi="Segoe UI" w:cs="Segoe UI" w:hint="default"/>
      <w:sz w:val="18"/>
      <w:szCs w:val="18"/>
    </w:rPr>
  </w:style>
  <w:style w:type="character" w:customStyle="1" w:styleId="cf11">
    <w:name w:val="cf11"/>
    <w:basedOn w:val="Policepardfaut"/>
    <w:rsid w:val="002822BC"/>
    <w:rPr>
      <w:rFonts w:ascii="Segoe UI" w:hAnsi="Segoe UI" w:cs="Segoe UI" w:hint="default"/>
      <w:sz w:val="18"/>
      <w:szCs w:val="18"/>
    </w:rPr>
  </w:style>
  <w:style w:type="paragraph" w:styleId="Textedebulles">
    <w:name w:val="Balloon Text"/>
    <w:basedOn w:val="Normal"/>
    <w:link w:val="TextedebullesCar"/>
    <w:uiPriority w:val="99"/>
    <w:semiHidden/>
    <w:unhideWhenUsed/>
    <w:rsid w:val="003329B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329BC"/>
    <w:rPr>
      <w:rFonts w:ascii="Segoe UI" w:eastAsiaTheme="minorEastAsia" w:hAnsi="Segoe UI" w:cs="Segoe UI"/>
      <w:sz w:val="18"/>
      <w:szCs w:val="18"/>
      <w:lang w:val="en-GB"/>
    </w:rPr>
  </w:style>
  <w:style w:type="character" w:customStyle="1" w:styleId="ParagraphedelisteCar">
    <w:name w:val="Paragraphe de liste Car"/>
    <w:aliases w:val="ANNEXE Car"/>
    <w:basedOn w:val="Policepardfaut"/>
    <w:link w:val="Paragraphedeliste"/>
    <w:uiPriority w:val="34"/>
    <w:locked/>
    <w:rsid w:val="00173D3D"/>
    <w:rPr>
      <w:rFonts w:eastAsiaTheme="minorEastAsia"/>
      <w:sz w:val="20"/>
      <w:szCs w:val="20"/>
      <w:lang w:val="en-GB"/>
    </w:rPr>
  </w:style>
  <w:style w:type="character" w:styleId="Appelnotedebasdep">
    <w:name w:val="footnote reference"/>
    <w:basedOn w:val="Policepardfaut"/>
    <w:uiPriority w:val="99"/>
    <w:semiHidden/>
    <w:unhideWhenUsed/>
    <w:rsid w:val="00173D3D"/>
    <w:rPr>
      <w:vertAlign w:val="superscript"/>
    </w:rPr>
  </w:style>
  <w:style w:type="character" w:customStyle="1" w:styleId="apple-converted-space">
    <w:name w:val="apple-converted-space"/>
    <w:basedOn w:val="Policepardfaut"/>
    <w:rsid w:val="00173D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74269">
      <w:bodyDiv w:val="1"/>
      <w:marLeft w:val="0"/>
      <w:marRight w:val="0"/>
      <w:marTop w:val="0"/>
      <w:marBottom w:val="0"/>
      <w:divBdr>
        <w:top w:val="none" w:sz="0" w:space="0" w:color="auto"/>
        <w:left w:val="none" w:sz="0" w:space="0" w:color="auto"/>
        <w:bottom w:val="none" w:sz="0" w:space="0" w:color="auto"/>
        <w:right w:val="none" w:sz="0" w:space="0" w:color="auto"/>
      </w:divBdr>
      <w:divsChild>
        <w:div w:id="658923206">
          <w:marLeft w:val="0"/>
          <w:marRight w:val="0"/>
          <w:marTop w:val="0"/>
          <w:marBottom w:val="0"/>
          <w:divBdr>
            <w:top w:val="none" w:sz="0" w:space="0" w:color="auto"/>
            <w:left w:val="none" w:sz="0" w:space="0" w:color="auto"/>
            <w:bottom w:val="none" w:sz="0" w:space="0" w:color="auto"/>
            <w:right w:val="none" w:sz="0" w:space="0" w:color="auto"/>
          </w:divBdr>
          <w:divsChild>
            <w:div w:id="377516061">
              <w:marLeft w:val="0"/>
              <w:marRight w:val="0"/>
              <w:marTop w:val="0"/>
              <w:marBottom w:val="0"/>
              <w:divBdr>
                <w:top w:val="none" w:sz="0" w:space="0" w:color="auto"/>
                <w:left w:val="none" w:sz="0" w:space="0" w:color="auto"/>
                <w:bottom w:val="none" w:sz="0" w:space="0" w:color="auto"/>
                <w:right w:val="none" w:sz="0" w:space="0" w:color="auto"/>
              </w:divBdr>
              <w:divsChild>
                <w:div w:id="50987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615129">
      <w:bodyDiv w:val="1"/>
      <w:marLeft w:val="0"/>
      <w:marRight w:val="0"/>
      <w:marTop w:val="0"/>
      <w:marBottom w:val="0"/>
      <w:divBdr>
        <w:top w:val="none" w:sz="0" w:space="0" w:color="auto"/>
        <w:left w:val="none" w:sz="0" w:space="0" w:color="auto"/>
        <w:bottom w:val="none" w:sz="0" w:space="0" w:color="auto"/>
        <w:right w:val="none" w:sz="0" w:space="0" w:color="auto"/>
      </w:divBdr>
      <w:divsChild>
        <w:div w:id="19091198">
          <w:marLeft w:val="0"/>
          <w:marRight w:val="0"/>
          <w:marTop w:val="0"/>
          <w:marBottom w:val="0"/>
          <w:divBdr>
            <w:top w:val="none" w:sz="0" w:space="0" w:color="auto"/>
            <w:left w:val="none" w:sz="0" w:space="0" w:color="auto"/>
            <w:bottom w:val="none" w:sz="0" w:space="0" w:color="auto"/>
            <w:right w:val="none" w:sz="0" w:space="0" w:color="auto"/>
          </w:divBdr>
          <w:divsChild>
            <w:div w:id="615716959">
              <w:marLeft w:val="0"/>
              <w:marRight w:val="0"/>
              <w:marTop w:val="0"/>
              <w:marBottom w:val="0"/>
              <w:divBdr>
                <w:top w:val="none" w:sz="0" w:space="0" w:color="auto"/>
                <w:left w:val="none" w:sz="0" w:space="0" w:color="auto"/>
                <w:bottom w:val="none" w:sz="0" w:space="0" w:color="auto"/>
                <w:right w:val="none" w:sz="0" w:space="0" w:color="auto"/>
              </w:divBdr>
              <w:divsChild>
                <w:div w:id="189250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799501">
      <w:bodyDiv w:val="1"/>
      <w:marLeft w:val="0"/>
      <w:marRight w:val="0"/>
      <w:marTop w:val="0"/>
      <w:marBottom w:val="0"/>
      <w:divBdr>
        <w:top w:val="none" w:sz="0" w:space="0" w:color="auto"/>
        <w:left w:val="none" w:sz="0" w:space="0" w:color="auto"/>
        <w:bottom w:val="none" w:sz="0" w:space="0" w:color="auto"/>
        <w:right w:val="none" w:sz="0" w:space="0" w:color="auto"/>
      </w:divBdr>
    </w:div>
    <w:div w:id="564881190">
      <w:bodyDiv w:val="1"/>
      <w:marLeft w:val="0"/>
      <w:marRight w:val="0"/>
      <w:marTop w:val="0"/>
      <w:marBottom w:val="0"/>
      <w:divBdr>
        <w:top w:val="none" w:sz="0" w:space="0" w:color="auto"/>
        <w:left w:val="none" w:sz="0" w:space="0" w:color="auto"/>
        <w:bottom w:val="none" w:sz="0" w:space="0" w:color="auto"/>
        <w:right w:val="none" w:sz="0" w:space="0" w:color="auto"/>
      </w:divBdr>
      <w:divsChild>
        <w:div w:id="1658923268">
          <w:marLeft w:val="0"/>
          <w:marRight w:val="0"/>
          <w:marTop w:val="0"/>
          <w:marBottom w:val="0"/>
          <w:divBdr>
            <w:top w:val="none" w:sz="0" w:space="0" w:color="auto"/>
            <w:left w:val="none" w:sz="0" w:space="0" w:color="auto"/>
            <w:bottom w:val="none" w:sz="0" w:space="0" w:color="auto"/>
            <w:right w:val="none" w:sz="0" w:space="0" w:color="auto"/>
          </w:divBdr>
          <w:divsChild>
            <w:div w:id="1684552751">
              <w:marLeft w:val="0"/>
              <w:marRight w:val="0"/>
              <w:marTop w:val="0"/>
              <w:marBottom w:val="0"/>
              <w:divBdr>
                <w:top w:val="none" w:sz="0" w:space="0" w:color="auto"/>
                <w:left w:val="none" w:sz="0" w:space="0" w:color="auto"/>
                <w:bottom w:val="none" w:sz="0" w:space="0" w:color="auto"/>
                <w:right w:val="none" w:sz="0" w:space="0" w:color="auto"/>
              </w:divBdr>
              <w:divsChild>
                <w:div w:id="199263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281346">
      <w:bodyDiv w:val="1"/>
      <w:marLeft w:val="0"/>
      <w:marRight w:val="0"/>
      <w:marTop w:val="0"/>
      <w:marBottom w:val="0"/>
      <w:divBdr>
        <w:top w:val="none" w:sz="0" w:space="0" w:color="auto"/>
        <w:left w:val="none" w:sz="0" w:space="0" w:color="auto"/>
        <w:bottom w:val="none" w:sz="0" w:space="0" w:color="auto"/>
        <w:right w:val="none" w:sz="0" w:space="0" w:color="auto"/>
      </w:divBdr>
      <w:divsChild>
        <w:div w:id="1900556609">
          <w:marLeft w:val="0"/>
          <w:marRight w:val="0"/>
          <w:marTop w:val="0"/>
          <w:marBottom w:val="0"/>
          <w:divBdr>
            <w:top w:val="none" w:sz="0" w:space="0" w:color="auto"/>
            <w:left w:val="none" w:sz="0" w:space="0" w:color="auto"/>
            <w:bottom w:val="none" w:sz="0" w:space="0" w:color="auto"/>
            <w:right w:val="none" w:sz="0" w:space="0" w:color="auto"/>
          </w:divBdr>
          <w:divsChild>
            <w:div w:id="197279795">
              <w:marLeft w:val="0"/>
              <w:marRight w:val="0"/>
              <w:marTop w:val="0"/>
              <w:marBottom w:val="0"/>
              <w:divBdr>
                <w:top w:val="none" w:sz="0" w:space="0" w:color="auto"/>
                <w:left w:val="none" w:sz="0" w:space="0" w:color="auto"/>
                <w:bottom w:val="none" w:sz="0" w:space="0" w:color="auto"/>
                <w:right w:val="none" w:sz="0" w:space="0" w:color="auto"/>
              </w:divBdr>
              <w:divsChild>
                <w:div w:id="22822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535161">
      <w:bodyDiv w:val="1"/>
      <w:marLeft w:val="0"/>
      <w:marRight w:val="0"/>
      <w:marTop w:val="0"/>
      <w:marBottom w:val="0"/>
      <w:divBdr>
        <w:top w:val="none" w:sz="0" w:space="0" w:color="auto"/>
        <w:left w:val="none" w:sz="0" w:space="0" w:color="auto"/>
        <w:bottom w:val="none" w:sz="0" w:space="0" w:color="auto"/>
        <w:right w:val="none" w:sz="0" w:space="0" w:color="auto"/>
      </w:divBdr>
      <w:divsChild>
        <w:div w:id="458188361">
          <w:marLeft w:val="0"/>
          <w:marRight w:val="0"/>
          <w:marTop w:val="0"/>
          <w:marBottom w:val="0"/>
          <w:divBdr>
            <w:top w:val="none" w:sz="0" w:space="0" w:color="auto"/>
            <w:left w:val="none" w:sz="0" w:space="0" w:color="auto"/>
            <w:bottom w:val="none" w:sz="0" w:space="0" w:color="auto"/>
            <w:right w:val="none" w:sz="0" w:space="0" w:color="auto"/>
          </w:divBdr>
          <w:divsChild>
            <w:div w:id="1009330624">
              <w:marLeft w:val="0"/>
              <w:marRight w:val="0"/>
              <w:marTop w:val="0"/>
              <w:marBottom w:val="0"/>
              <w:divBdr>
                <w:top w:val="none" w:sz="0" w:space="0" w:color="auto"/>
                <w:left w:val="none" w:sz="0" w:space="0" w:color="auto"/>
                <w:bottom w:val="none" w:sz="0" w:space="0" w:color="auto"/>
                <w:right w:val="none" w:sz="0" w:space="0" w:color="auto"/>
              </w:divBdr>
              <w:divsChild>
                <w:div w:id="32578190">
                  <w:marLeft w:val="0"/>
                  <w:marRight w:val="0"/>
                  <w:marTop w:val="0"/>
                  <w:marBottom w:val="0"/>
                  <w:divBdr>
                    <w:top w:val="none" w:sz="0" w:space="0" w:color="auto"/>
                    <w:left w:val="none" w:sz="0" w:space="0" w:color="auto"/>
                    <w:bottom w:val="none" w:sz="0" w:space="0" w:color="auto"/>
                    <w:right w:val="none" w:sz="0" w:space="0" w:color="auto"/>
                  </w:divBdr>
                </w:div>
              </w:divsChild>
            </w:div>
            <w:div w:id="1802377462">
              <w:marLeft w:val="0"/>
              <w:marRight w:val="0"/>
              <w:marTop w:val="0"/>
              <w:marBottom w:val="0"/>
              <w:divBdr>
                <w:top w:val="none" w:sz="0" w:space="0" w:color="auto"/>
                <w:left w:val="none" w:sz="0" w:space="0" w:color="auto"/>
                <w:bottom w:val="none" w:sz="0" w:space="0" w:color="auto"/>
                <w:right w:val="none" w:sz="0" w:space="0" w:color="auto"/>
              </w:divBdr>
              <w:divsChild>
                <w:div w:id="1298756537">
                  <w:marLeft w:val="0"/>
                  <w:marRight w:val="0"/>
                  <w:marTop w:val="0"/>
                  <w:marBottom w:val="0"/>
                  <w:divBdr>
                    <w:top w:val="none" w:sz="0" w:space="0" w:color="auto"/>
                    <w:left w:val="none" w:sz="0" w:space="0" w:color="auto"/>
                    <w:bottom w:val="none" w:sz="0" w:space="0" w:color="auto"/>
                    <w:right w:val="none" w:sz="0" w:space="0" w:color="auto"/>
                  </w:divBdr>
                </w:div>
                <w:div w:id="715083100">
                  <w:marLeft w:val="0"/>
                  <w:marRight w:val="0"/>
                  <w:marTop w:val="0"/>
                  <w:marBottom w:val="0"/>
                  <w:divBdr>
                    <w:top w:val="none" w:sz="0" w:space="0" w:color="auto"/>
                    <w:left w:val="none" w:sz="0" w:space="0" w:color="auto"/>
                    <w:bottom w:val="none" w:sz="0" w:space="0" w:color="auto"/>
                    <w:right w:val="none" w:sz="0" w:space="0" w:color="auto"/>
                  </w:divBdr>
                </w:div>
              </w:divsChild>
            </w:div>
            <w:div w:id="1589582140">
              <w:marLeft w:val="0"/>
              <w:marRight w:val="0"/>
              <w:marTop w:val="0"/>
              <w:marBottom w:val="0"/>
              <w:divBdr>
                <w:top w:val="none" w:sz="0" w:space="0" w:color="auto"/>
                <w:left w:val="none" w:sz="0" w:space="0" w:color="auto"/>
                <w:bottom w:val="none" w:sz="0" w:space="0" w:color="auto"/>
                <w:right w:val="none" w:sz="0" w:space="0" w:color="auto"/>
              </w:divBdr>
              <w:divsChild>
                <w:div w:id="930819481">
                  <w:marLeft w:val="0"/>
                  <w:marRight w:val="0"/>
                  <w:marTop w:val="0"/>
                  <w:marBottom w:val="0"/>
                  <w:divBdr>
                    <w:top w:val="none" w:sz="0" w:space="0" w:color="auto"/>
                    <w:left w:val="none" w:sz="0" w:space="0" w:color="auto"/>
                    <w:bottom w:val="none" w:sz="0" w:space="0" w:color="auto"/>
                    <w:right w:val="none" w:sz="0" w:space="0" w:color="auto"/>
                  </w:divBdr>
                </w:div>
              </w:divsChild>
            </w:div>
            <w:div w:id="820121532">
              <w:marLeft w:val="0"/>
              <w:marRight w:val="0"/>
              <w:marTop w:val="0"/>
              <w:marBottom w:val="0"/>
              <w:divBdr>
                <w:top w:val="none" w:sz="0" w:space="0" w:color="auto"/>
                <w:left w:val="none" w:sz="0" w:space="0" w:color="auto"/>
                <w:bottom w:val="none" w:sz="0" w:space="0" w:color="auto"/>
                <w:right w:val="none" w:sz="0" w:space="0" w:color="auto"/>
              </w:divBdr>
              <w:divsChild>
                <w:div w:id="81298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899517">
      <w:bodyDiv w:val="1"/>
      <w:marLeft w:val="0"/>
      <w:marRight w:val="0"/>
      <w:marTop w:val="0"/>
      <w:marBottom w:val="0"/>
      <w:divBdr>
        <w:top w:val="none" w:sz="0" w:space="0" w:color="auto"/>
        <w:left w:val="none" w:sz="0" w:space="0" w:color="auto"/>
        <w:bottom w:val="none" w:sz="0" w:space="0" w:color="auto"/>
        <w:right w:val="none" w:sz="0" w:space="0" w:color="auto"/>
      </w:divBdr>
    </w:div>
    <w:div w:id="1427773739">
      <w:bodyDiv w:val="1"/>
      <w:marLeft w:val="0"/>
      <w:marRight w:val="0"/>
      <w:marTop w:val="0"/>
      <w:marBottom w:val="0"/>
      <w:divBdr>
        <w:top w:val="none" w:sz="0" w:space="0" w:color="auto"/>
        <w:left w:val="none" w:sz="0" w:space="0" w:color="auto"/>
        <w:bottom w:val="none" w:sz="0" w:space="0" w:color="auto"/>
        <w:right w:val="none" w:sz="0" w:space="0" w:color="auto"/>
      </w:divBdr>
      <w:divsChild>
        <w:div w:id="1681009646">
          <w:marLeft w:val="0"/>
          <w:marRight w:val="0"/>
          <w:marTop w:val="0"/>
          <w:marBottom w:val="0"/>
          <w:divBdr>
            <w:top w:val="none" w:sz="0" w:space="0" w:color="auto"/>
            <w:left w:val="none" w:sz="0" w:space="0" w:color="auto"/>
            <w:bottom w:val="none" w:sz="0" w:space="0" w:color="auto"/>
            <w:right w:val="none" w:sz="0" w:space="0" w:color="auto"/>
          </w:divBdr>
          <w:divsChild>
            <w:div w:id="1306201558">
              <w:marLeft w:val="0"/>
              <w:marRight w:val="0"/>
              <w:marTop w:val="0"/>
              <w:marBottom w:val="0"/>
              <w:divBdr>
                <w:top w:val="none" w:sz="0" w:space="0" w:color="auto"/>
                <w:left w:val="none" w:sz="0" w:space="0" w:color="auto"/>
                <w:bottom w:val="none" w:sz="0" w:space="0" w:color="auto"/>
                <w:right w:val="none" w:sz="0" w:space="0" w:color="auto"/>
              </w:divBdr>
              <w:divsChild>
                <w:div w:id="78173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382028">
      <w:bodyDiv w:val="1"/>
      <w:marLeft w:val="0"/>
      <w:marRight w:val="0"/>
      <w:marTop w:val="0"/>
      <w:marBottom w:val="0"/>
      <w:divBdr>
        <w:top w:val="none" w:sz="0" w:space="0" w:color="auto"/>
        <w:left w:val="none" w:sz="0" w:space="0" w:color="auto"/>
        <w:bottom w:val="none" w:sz="0" w:space="0" w:color="auto"/>
        <w:right w:val="none" w:sz="0" w:space="0" w:color="auto"/>
      </w:divBdr>
    </w:div>
    <w:div w:id="1506434515">
      <w:bodyDiv w:val="1"/>
      <w:marLeft w:val="0"/>
      <w:marRight w:val="0"/>
      <w:marTop w:val="0"/>
      <w:marBottom w:val="0"/>
      <w:divBdr>
        <w:top w:val="none" w:sz="0" w:space="0" w:color="auto"/>
        <w:left w:val="none" w:sz="0" w:space="0" w:color="auto"/>
        <w:bottom w:val="none" w:sz="0" w:space="0" w:color="auto"/>
        <w:right w:val="none" w:sz="0" w:space="0" w:color="auto"/>
      </w:divBdr>
    </w:div>
    <w:div w:id="1679575965">
      <w:bodyDiv w:val="1"/>
      <w:marLeft w:val="0"/>
      <w:marRight w:val="0"/>
      <w:marTop w:val="0"/>
      <w:marBottom w:val="0"/>
      <w:divBdr>
        <w:top w:val="none" w:sz="0" w:space="0" w:color="auto"/>
        <w:left w:val="none" w:sz="0" w:space="0" w:color="auto"/>
        <w:bottom w:val="none" w:sz="0" w:space="0" w:color="auto"/>
        <w:right w:val="none" w:sz="0" w:space="0" w:color="auto"/>
      </w:divBdr>
    </w:div>
    <w:div w:id="210129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dvicenne@ulysse-communication.com" TargetMode="External"/><Relationship Id="rId4" Type="http://schemas.openxmlformats.org/officeDocument/2006/relationships/settings" Target="settings.xml"/><Relationship Id="rId9" Type="http://schemas.openxmlformats.org/officeDocument/2006/relationships/hyperlink" Target="mailto:investors@advicenne.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consilium-comm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1EE7C-19C5-46A2-A919-52562177C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617</Words>
  <Characters>3397</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Arabian</dc:creator>
  <cp:keywords/>
  <dc:description/>
  <cp:lastModifiedBy>Isabelle KERVELLA</cp:lastModifiedBy>
  <cp:revision>5</cp:revision>
  <cp:lastPrinted>2021-09-28T10:18:00Z</cp:lastPrinted>
  <dcterms:created xsi:type="dcterms:W3CDTF">2025-04-03T15:48:00Z</dcterms:created>
  <dcterms:modified xsi:type="dcterms:W3CDTF">2025-04-29T13:19:00Z</dcterms:modified>
</cp:coreProperties>
</file>