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58DAFBC9"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11376F">
            <w:rPr>
              <w:rFonts w:ascii="Verdana" w:hAnsi="Verdana"/>
              <w:sz w:val="20"/>
              <w:szCs w:val="20"/>
            </w:rPr>
            <w:t>24</w:t>
          </w:r>
          <w:r w:rsidR="00B62308">
            <w:rPr>
              <w:rFonts w:ascii="Verdana" w:hAnsi="Verdana"/>
              <w:sz w:val="20"/>
              <w:szCs w:val="20"/>
            </w:rPr>
            <w:t xml:space="preserve"> March</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11376F">
            <w:rPr>
              <w:rFonts w:ascii="Verdana" w:hAnsi="Verdana"/>
              <w:sz w:val="20"/>
              <w:szCs w:val="20"/>
            </w:rPr>
            <w:t>28</w:t>
          </w:r>
          <w:r w:rsidR="003F0B94">
            <w:rPr>
              <w:rFonts w:ascii="Verdana" w:hAnsi="Verdana"/>
              <w:sz w:val="20"/>
              <w:szCs w:val="20"/>
            </w:rPr>
            <w:t xml:space="preserve"> </w:t>
          </w:r>
          <w:r w:rsidR="00B62308">
            <w:rPr>
              <w:rFonts w:ascii="Verdana" w:hAnsi="Verdana"/>
              <w:sz w:val="20"/>
              <w:szCs w:val="20"/>
            </w:rPr>
            <w:t>March</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Content>
          <w:r w:rsidR="00AF45CD">
            <w:rPr>
              <w:rFonts w:ascii="Verdana" w:hAnsi="Verdana"/>
              <w:sz w:val="20"/>
              <w:szCs w:val="20"/>
            </w:rPr>
            <w:t>4,700,875</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Content>
          <w:r w:rsidR="00AF45CD">
            <w:rPr>
              <w:rFonts w:ascii="Verdana" w:hAnsi="Verdana"/>
              <w:sz w:val="20"/>
              <w:szCs w:val="20"/>
            </w:rPr>
            <w:t>43.4370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1C6E03">
            <w:rPr>
              <w:rFonts w:ascii="Verdana" w:hAnsi="Verdana"/>
              <w:sz w:val="20"/>
              <w:szCs w:val="20"/>
            </w:rPr>
            <w:t>204</w:t>
          </w:r>
          <w:r w:rsidR="00D64185">
            <w:rPr>
              <w:rFonts w:ascii="Verdana" w:hAnsi="Verdana"/>
              <w:sz w:val="20"/>
              <w:szCs w:val="20"/>
            </w:rPr>
            <w:t>,</w:t>
          </w:r>
          <w:r w:rsidR="001C6E03">
            <w:rPr>
              <w:rFonts w:ascii="Verdana" w:hAnsi="Verdana"/>
              <w:sz w:val="20"/>
              <w:szCs w:val="20"/>
            </w:rPr>
            <w:t>191</w:t>
          </w:r>
          <w:r w:rsidR="00D35D5F">
            <w:rPr>
              <w:rFonts w:ascii="Verdana" w:hAnsi="Verdana"/>
              <w:sz w:val="20"/>
              <w:szCs w:val="20"/>
            </w:rPr>
            <w:t>,</w:t>
          </w:r>
          <w:r w:rsidR="001C6E03">
            <w:rPr>
              <w:rFonts w:ascii="Verdana" w:hAnsi="Verdana"/>
              <w:sz w:val="20"/>
              <w:szCs w:val="20"/>
            </w:rPr>
            <w:t>963</w:t>
          </w:r>
          <w:r w:rsidR="00D64185">
            <w:rPr>
              <w:rFonts w:ascii="Verdana" w:hAnsi="Verdana"/>
              <w:sz w:val="20"/>
              <w:szCs w:val="20"/>
            </w:rPr>
            <w:t>.</w:t>
          </w:r>
          <w:r w:rsidR="001C6E03">
            <w:rPr>
              <w:rFonts w:ascii="Verdana" w:hAnsi="Verdana"/>
              <w:sz w:val="20"/>
              <w:szCs w:val="20"/>
            </w:rPr>
            <w:t>96</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1C6E03">
            <w:rPr>
              <w:rFonts w:ascii="Verdana" w:hAnsi="Verdana"/>
              <w:sz w:val="20"/>
              <w:szCs w:val="20"/>
            </w:rPr>
            <w:t>220</w:t>
          </w:r>
          <w:r w:rsidR="00144494">
            <w:rPr>
              <w:rFonts w:ascii="Verdana" w:hAnsi="Verdana"/>
              <w:sz w:val="20"/>
              <w:szCs w:val="20"/>
            </w:rPr>
            <w:t>,</w:t>
          </w:r>
          <w:r w:rsidR="00D66D6E">
            <w:rPr>
              <w:rFonts w:ascii="Verdana" w:hAnsi="Verdana"/>
              <w:sz w:val="20"/>
              <w:szCs w:val="20"/>
            </w:rPr>
            <w:t>561</w:t>
          </w:r>
          <w:r w:rsidR="00144494">
            <w:rPr>
              <w:rFonts w:ascii="Verdana" w:hAnsi="Verdana"/>
              <w:sz w:val="20"/>
              <w:szCs w:val="20"/>
            </w:rPr>
            <w:t>,</w:t>
          </w:r>
          <w:r w:rsidR="001B49A7">
            <w:rPr>
              <w:rFonts w:ascii="Verdana" w:hAnsi="Verdana"/>
              <w:sz w:val="20"/>
              <w:szCs w:val="20"/>
            </w:rPr>
            <w:t>466.56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5DF43A5B" w:rsidR="005E503D" w:rsidRDefault="001B49A7">
          <w:pPr>
            <w:pStyle w:val="AODocTxt"/>
            <w:spacing w:before="0"/>
            <w:rPr>
              <w:rFonts w:ascii="Verdana" w:hAnsi="Verdana"/>
              <w:sz w:val="20"/>
              <w:szCs w:val="20"/>
            </w:rPr>
          </w:pPr>
          <w:r w:rsidRPr="001B49A7">
            <w:rPr>
              <w:rFonts w:ascii="Verdana" w:hAnsi="Verdana"/>
              <w:sz w:val="20"/>
              <w:szCs w:val="20"/>
            </w:rPr>
            <w:t>1 April</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BDE9" w14:textId="77777777" w:rsidR="00585EF3" w:rsidRDefault="00585EF3">
      <w:r>
        <w:separator/>
      </w:r>
    </w:p>
  </w:endnote>
  <w:endnote w:type="continuationSeparator" w:id="0">
    <w:p w14:paraId="1E2F9E5B" w14:textId="77777777" w:rsidR="00585EF3" w:rsidRDefault="0058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309F" w14:textId="77777777" w:rsidR="00585EF3" w:rsidRDefault="00585EF3">
      <w:r>
        <w:separator/>
      </w:r>
    </w:p>
  </w:footnote>
  <w:footnote w:type="continuationSeparator" w:id="0">
    <w:p w14:paraId="5047B100" w14:textId="77777777" w:rsidR="00585EF3" w:rsidRDefault="00585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46E02"/>
    <w:rsid w:val="000A3AC1"/>
    <w:rsid w:val="000C6FF4"/>
    <w:rsid w:val="0011376F"/>
    <w:rsid w:val="00144494"/>
    <w:rsid w:val="00183A70"/>
    <w:rsid w:val="00195F07"/>
    <w:rsid w:val="001B49A7"/>
    <w:rsid w:val="001C33E2"/>
    <w:rsid w:val="001C6E03"/>
    <w:rsid w:val="003D2AF2"/>
    <w:rsid w:val="003D720C"/>
    <w:rsid w:val="003F0B94"/>
    <w:rsid w:val="00424C22"/>
    <w:rsid w:val="004252ED"/>
    <w:rsid w:val="004C18BF"/>
    <w:rsid w:val="004D2F8A"/>
    <w:rsid w:val="00573078"/>
    <w:rsid w:val="00585EF3"/>
    <w:rsid w:val="00587712"/>
    <w:rsid w:val="00592F6D"/>
    <w:rsid w:val="005B24A3"/>
    <w:rsid w:val="005E503D"/>
    <w:rsid w:val="007C548B"/>
    <w:rsid w:val="007F7025"/>
    <w:rsid w:val="00894D84"/>
    <w:rsid w:val="008A767B"/>
    <w:rsid w:val="008B39BC"/>
    <w:rsid w:val="008C52B7"/>
    <w:rsid w:val="009345DF"/>
    <w:rsid w:val="00AF45CD"/>
    <w:rsid w:val="00B063CB"/>
    <w:rsid w:val="00B62308"/>
    <w:rsid w:val="00BA6487"/>
    <w:rsid w:val="00BD1868"/>
    <w:rsid w:val="00C27A17"/>
    <w:rsid w:val="00CA3CD3"/>
    <w:rsid w:val="00CB5195"/>
    <w:rsid w:val="00D35465"/>
    <w:rsid w:val="00D35D5F"/>
    <w:rsid w:val="00D64185"/>
    <w:rsid w:val="00D66D6E"/>
    <w:rsid w:val="00DD53D7"/>
    <w:rsid w:val="00E24D6B"/>
    <w:rsid w:val="00E3338D"/>
    <w:rsid w:val="00E64826"/>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36</cp:revision>
  <dcterms:created xsi:type="dcterms:W3CDTF">2025-02-11T11:09:00Z</dcterms:created>
  <dcterms:modified xsi:type="dcterms:W3CDTF">2025-03-31T12:44:00Z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