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1DCEF" w14:textId="77777777" w:rsidR="00000000" w:rsidRDefault="00000000">
      <w:pPr>
        <w:pStyle w:val="Normaalweb"/>
        <w:jc w:val="center"/>
        <w:divId w:val="671185364"/>
        <w:rPr>
          <w:rFonts w:ascii="Verdana" w:hAnsi="Verdana"/>
          <w:sz w:val="22"/>
          <w:szCs w:val="22"/>
        </w:rPr>
      </w:pPr>
      <w:r>
        <w:rPr>
          <w:rFonts w:ascii="Verdana" w:hAnsi="Verdana"/>
          <w:sz w:val="22"/>
          <w:szCs w:val="22"/>
        </w:rPr>
        <w:t xml:space="preserve">TR-1: Standard form for notification of major holdings </w:t>
      </w:r>
    </w:p>
    <w:p w14:paraId="72B5BEAC" w14:textId="77777777" w:rsidR="00000000" w:rsidRDefault="00000000">
      <w:pPr>
        <w:shd w:val="clear" w:color="auto" w:fill="7C173A"/>
        <w:divId w:val="1671789955"/>
        <w:rPr>
          <w:rFonts w:ascii="Verdana" w:eastAsia="Times New Roman" w:hAnsi="Verdana"/>
          <w:b/>
          <w:bCs/>
          <w:sz w:val="22"/>
          <w:szCs w:val="22"/>
        </w:rPr>
      </w:pPr>
      <w:r>
        <w:rPr>
          <w:rFonts w:ascii="Verdana" w:eastAsia="Times New Roman" w:hAnsi="Verdana"/>
          <w:b/>
          <w:bCs/>
          <w:sz w:val="22"/>
          <w:szCs w:val="22"/>
        </w:rPr>
        <w:t xml:space="preserve">1. Issuer Details </w:t>
      </w:r>
    </w:p>
    <w:p w14:paraId="4160C472" w14:textId="77777777" w:rsidR="00000000" w:rsidRDefault="00000000">
      <w:pPr>
        <w:divId w:val="1007706481"/>
        <w:rPr>
          <w:rFonts w:ascii="Verdana" w:eastAsia="Times New Roman" w:hAnsi="Verdana"/>
          <w:b/>
          <w:bCs/>
          <w:sz w:val="22"/>
          <w:szCs w:val="22"/>
        </w:rPr>
      </w:pPr>
      <w:r>
        <w:rPr>
          <w:rFonts w:ascii="Verdana" w:eastAsia="Times New Roman" w:hAnsi="Verdana"/>
          <w:b/>
          <w:bCs/>
          <w:sz w:val="22"/>
          <w:szCs w:val="22"/>
        </w:rPr>
        <w:t xml:space="preserve">ISIN </w:t>
      </w:r>
    </w:p>
    <w:p w14:paraId="385D1BE9" w14:textId="77777777" w:rsidR="00000000" w:rsidRDefault="00000000">
      <w:pPr>
        <w:divId w:val="1176266229"/>
        <w:rPr>
          <w:rFonts w:ascii="Verdana" w:eastAsia="Times New Roman" w:hAnsi="Verdana"/>
          <w:sz w:val="22"/>
          <w:szCs w:val="22"/>
        </w:rPr>
      </w:pPr>
      <w:r>
        <w:rPr>
          <w:rFonts w:ascii="Verdana" w:eastAsia="Times New Roman" w:hAnsi="Verdana"/>
          <w:b/>
          <w:bCs/>
          <w:sz w:val="22"/>
          <w:szCs w:val="22"/>
        </w:rPr>
        <w:pict w14:anchorId="5D3BECAA"/>
      </w:r>
      <w:r>
        <w:rPr>
          <w:rFonts w:ascii="Verdana" w:eastAsia="Times New Roman" w:hAnsi="Verdana"/>
          <w:sz w:val="22"/>
          <w:szCs w:val="22"/>
        </w:rPr>
        <w:t xml:space="preserve">GB00BQQFX454 </w:t>
      </w:r>
    </w:p>
    <w:p w14:paraId="670492F5" w14:textId="77777777" w:rsidR="00000000" w:rsidRDefault="00000000">
      <w:pPr>
        <w:divId w:val="513303671"/>
        <w:rPr>
          <w:rFonts w:ascii="Verdana" w:eastAsia="Times New Roman" w:hAnsi="Verdana"/>
          <w:b/>
          <w:bCs/>
          <w:sz w:val="22"/>
          <w:szCs w:val="22"/>
        </w:rPr>
      </w:pPr>
      <w:r>
        <w:rPr>
          <w:rFonts w:ascii="Verdana" w:eastAsia="Times New Roman" w:hAnsi="Verdana"/>
          <w:b/>
          <w:bCs/>
          <w:sz w:val="22"/>
          <w:szCs w:val="22"/>
        </w:rPr>
        <w:t xml:space="preserve">Issuer Name </w:t>
      </w:r>
    </w:p>
    <w:p w14:paraId="3586AEA0" w14:textId="77777777" w:rsidR="00000000" w:rsidRDefault="00000000">
      <w:pPr>
        <w:divId w:val="1436632746"/>
        <w:rPr>
          <w:rFonts w:ascii="Verdana" w:eastAsia="Times New Roman" w:hAnsi="Verdana"/>
          <w:sz w:val="22"/>
          <w:szCs w:val="22"/>
        </w:rPr>
      </w:pPr>
      <w:r>
        <w:rPr>
          <w:rFonts w:ascii="Verdana" w:eastAsia="Times New Roman" w:hAnsi="Verdana"/>
          <w:sz w:val="22"/>
          <w:szCs w:val="22"/>
        </w:rPr>
        <w:t xml:space="preserve">ACCSYS TECHNOLOGIES PLC </w:t>
      </w:r>
    </w:p>
    <w:p w14:paraId="0AE60001" w14:textId="77777777" w:rsidR="00000000" w:rsidRDefault="00000000">
      <w:pPr>
        <w:divId w:val="1999841943"/>
        <w:rPr>
          <w:rFonts w:ascii="Verdana" w:eastAsia="Times New Roman" w:hAnsi="Verdana"/>
          <w:b/>
          <w:bCs/>
          <w:sz w:val="22"/>
          <w:szCs w:val="22"/>
        </w:rPr>
      </w:pPr>
      <w:r>
        <w:rPr>
          <w:rFonts w:ascii="Verdana" w:eastAsia="Times New Roman" w:hAnsi="Verdana"/>
          <w:b/>
          <w:bCs/>
          <w:sz w:val="22"/>
          <w:szCs w:val="22"/>
        </w:rPr>
        <w:t xml:space="preserve">UK or Non-UK Issuer </w:t>
      </w:r>
    </w:p>
    <w:p w14:paraId="349ACB9B" w14:textId="77777777" w:rsidR="00000000" w:rsidRDefault="00000000">
      <w:pPr>
        <w:divId w:val="2103182413"/>
        <w:rPr>
          <w:rFonts w:ascii="Verdana" w:eastAsia="Times New Roman" w:hAnsi="Verdana"/>
          <w:sz w:val="22"/>
          <w:szCs w:val="22"/>
        </w:rPr>
      </w:pPr>
      <w:r>
        <w:rPr>
          <w:rFonts w:ascii="Verdana" w:eastAsia="Times New Roman" w:hAnsi="Verdana"/>
          <w:sz w:val="22"/>
          <w:szCs w:val="22"/>
        </w:rPr>
        <w:t xml:space="preserve">UK </w:t>
      </w:r>
    </w:p>
    <w:p w14:paraId="3181B75A" w14:textId="77777777" w:rsidR="00000000" w:rsidRDefault="00000000">
      <w:pPr>
        <w:shd w:val="clear" w:color="auto" w:fill="7C173A"/>
        <w:divId w:val="1434470928"/>
        <w:rPr>
          <w:rFonts w:ascii="Verdana" w:eastAsia="Times New Roman" w:hAnsi="Verdana"/>
          <w:b/>
          <w:bCs/>
          <w:sz w:val="22"/>
          <w:szCs w:val="22"/>
        </w:rPr>
      </w:pPr>
      <w:r>
        <w:rPr>
          <w:rFonts w:ascii="Verdana" w:eastAsia="Times New Roman" w:hAnsi="Verdana"/>
          <w:b/>
          <w:bCs/>
          <w:sz w:val="22"/>
          <w:szCs w:val="22"/>
        </w:rPr>
        <w:t xml:space="preserve">2. Reason for Notification </w:t>
      </w:r>
    </w:p>
    <w:p w14:paraId="5863BA75" w14:textId="77777777" w:rsidR="00000000" w:rsidRDefault="00000000">
      <w:pPr>
        <w:divId w:val="2021540183"/>
        <w:rPr>
          <w:rFonts w:ascii="Verdana" w:eastAsia="Times New Roman" w:hAnsi="Verdana"/>
          <w:sz w:val="22"/>
          <w:szCs w:val="22"/>
        </w:rPr>
      </w:pPr>
      <w:r>
        <w:rPr>
          <w:rFonts w:ascii="Verdana" w:eastAsia="Times New Roman" w:hAnsi="Verdana"/>
          <w:sz w:val="22"/>
          <w:szCs w:val="22"/>
        </w:rPr>
        <w:t xml:space="preserve">An acquisition or disposal of voting rights; Other </w:t>
      </w:r>
    </w:p>
    <w:p w14:paraId="04F4EE47" w14:textId="77777777" w:rsidR="00000000" w:rsidRDefault="00000000">
      <w:pPr>
        <w:divId w:val="1116947190"/>
        <w:rPr>
          <w:rFonts w:ascii="Verdana" w:eastAsia="Times New Roman" w:hAnsi="Verdana"/>
          <w:b/>
          <w:bCs/>
          <w:sz w:val="22"/>
          <w:szCs w:val="22"/>
        </w:rPr>
      </w:pPr>
      <w:r>
        <w:rPr>
          <w:rFonts w:ascii="Verdana" w:eastAsia="Times New Roman" w:hAnsi="Verdana"/>
          <w:b/>
          <w:bCs/>
          <w:sz w:val="22"/>
          <w:szCs w:val="22"/>
        </w:rPr>
        <w:t xml:space="preserve">Comments </w:t>
      </w:r>
    </w:p>
    <w:p w14:paraId="4365D01E" w14:textId="77777777" w:rsidR="00000000" w:rsidRDefault="00000000">
      <w:pPr>
        <w:divId w:val="2094206690"/>
        <w:rPr>
          <w:rFonts w:ascii="Verdana" w:eastAsia="Times New Roman" w:hAnsi="Verdana"/>
          <w:sz w:val="22"/>
          <w:szCs w:val="22"/>
        </w:rPr>
      </w:pPr>
      <w:r>
        <w:rPr>
          <w:rFonts w:ascii="Verdana" w:eastAsia="Times New Roman" w:hAnsi="Verdana"/>
          <w:sz w:val="22"/>
          <w:szCs w:val="22"/>
        </w:rPr>
        <w:t xml:space="preserve">Teslin Participaties Coöperatief UA and Hoogh Blarick BV terminated their shared relationship agreement with Accsys, no lasting shared common policy applies. Teslin has bought shares and remains a party to the relationship agreement with Accsys. </w:t>
      </w:r>
    </w:p>
    <w:p w14:paraId="33EDDCD3" w14:textId="77777777" w:rsidR="00000000" w:rsidRDefault="00000000">
      <w:pPr>
        <w:shd w:val="clear" w:color="auto" w:fill="7C173A"/>
        <w:divId w:val="1459177507"/>
        <w:rPr>
          <w:rFonts w:ascii="Verdana" w:eastAsia="Times New Roman" w:hAnsi="Verdana"/>
          <w:b/>
          <w:bCs/>
          <w:sz w:val="22"/>
          <w:szCs w:val="22"/>
        </w:rPr>
      </w:pPr>
      <w:r>
        <w:rPr>
          <w:rFonts w:ascii="Verdana" w:eastAsia="Times New Roman" w:hAnsi="Verdana"/>
          <w:b/>
          <w:bCs/>
          <w:sz w:val="22"/>
          <w:szCs w:val="22"/>
        </w:rPr>
        <w:t xml:space="preserve">3. Details of person subject to the notification obligation </w:t>
      </w:r>
    </w:p>
    <w:p w14:paraId="473D60E5" w14:textId="77777777" w:rsidR="00000000" w:rsidRDefault="00000000">
      <w:pPr>
        <w:divId w:val="275329713"/>
        <w:rPr>
          <w:rFonts w:ascii="Verdana" w:eastAsia="Times New Roman" w:hAnsi="Verdana"/>
          <w:b/>
          <w:bCs/>
          <w:sz w:val="22"/>
          <w:szCs w:val="22"/>
        </w:rPr>
      </w:pPr>
      <w:r>
        <w:rPr>
          <w:rFonts w:ascii="Verdana" w:eastAsia="Times New Roman" w:hAnsi="Verdana"/>
          <w:b/>
          <w:bCs/>
          <w:sz w:val="22"/>
          <w:szCs w:val="22"/>
        </w:rPr>
        <w:t xml:space="preserve">Name </w:t>
      </w:r>
    </w:p>
    <w:p w14:paraId="18BB0DA8" w14:textId="77777777" w:rsidR="00000000" w:rsidRDefault="00000000">
      <w:pPr>
        <w:divId w:val="1482425520"/>
        <w:rPr>
          <w:rFonts w:ascii="Verdana" w:eastAsia="Times New Roman" w:hAnsi="Verdana"/>
          <w:sz w:val="22"/>
          <w:szCs w:val="22"/>
        </w:rPr>
      </w:pPr>
      <w:r>
        <w:rPr>
          <w:rFonts w:ascii="Verdana" w:eastAsia="Times New Roman" w:hAnsi="Verdana"/>
          <w:sz w:val="22"/>
          <w:szCs w:val="22"/>
        </w:rPr>
        <w:t xml:space="preserve">Teslin Participaties Coöperatief U.A. </w:t>
      </w:r>
    </w:p>
    <w:p w14:paraId="5B079F0D" w14:textId="77777777" w:rsidR="00000000" w:rsidRDefault="00000000">
      <w:pPr>
        <w:divId w:val="1855067145"/>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14:paraId="4E6D9854" w14:textId="77777777" w:rsidR="00000000" w:rsidRDefault="00000000">
      <w:pPr>
        <w:divId w:val="473260710"/>
        <w:rPr>
          <w:rFonts w:ascii="Verdana" w:eastAsia="Times New Roman" w:hAnsi="Verdana"/>
          <w:sz w:val="22"/>
          <w:szCs w:val="22"/>
        </w:rPr>
      </w:pPr>
      <w:r>
        <w:rPr>
          <w:rFonts w:ascii="Verdana" w:eastAsia="Times New Roman" w:hAnsi="Verdana"/>
          <w:sz w:val="22"/>
          <w:szCs w:val="22"/>
        </w:rPr>
        <w:t xml:space="preserve">Maarsbergen </w:t>
      </w:r>
    </w:p>
    <w:p w14:paraId="5D79A9DA" w14:textId="77777777" w:rsidR="00000000" w:rsidRDefault="00000000">
      <w:pPr>
        <w:divId w:val="806170017"/>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14:paraId="1F75FA25" w14:textId="77777777" w:rsidR="00000000" w:rsidRDefault="00000000">
      <w:pPr>
        <w:divId w:val="188758630"/>
        <w:rPr>
          <w:rFonts w:ascii="Verdana" w:eastAsia="Times New Roman" w:hAnsi="Verdana"/>
          <w:sz w:val="22"/>
          <w:szCs w:val="22"/>
        </w:rPr>
      </w:pPr>
      <w:r>
        <w:rPr>
          <w:rFonts w:ascii="Verdana" w:eastAsia="Times New Roman" w:hAnsi="Verdana"/>
          <w:sz w:val="22"/>
          <w:szCs w:val="22"/>
        </w:rPr>
        <w:t xml:space="preserve">The Netherlands </w:t>
      </w:r>
    </w:p>
    <w:p w14:paraId="0C0A3124" w14:textId="77777777" w:rsidR="00000000" w:rsidRDefault="00000000">
      <w:pPr>
        <w:shd w:val="clear" w:color="auto" w:fill="7C173A"/>
        <w:divId w:val="1356420405"/>
        <w:rPr>
          <w:rFonts w:ascii="Verdana" w:eastAsia="Times New Roman" w:hAnsi="Verdana"/>
          <w:b/>
          <w:bCs/>
          <w:sz w:val="22"/>
          <w:szCs w:val="22"/>
        </w:rPr>
      </w:pPr>
      <w:r>
        <w:rPr>
          <w:rFonts w:ascii="Verdana" w:eastAsia="Times New Roman" w:hAnsi="Verdana"/>
          <w:b/>
          <w:bCs/>
          <w:sz w:val="22"/>
          <w:szCs w:val="22"/>
        </w:rPr>
        <w:t xml:space="preserve">4. Details of the shareholder </w:t>
      </w:r>
    </w:p>
    <w:p w14:paraId="7E0BE16E" w14:textId="77777777" w:rsidR="00000000" w:rsidRDefault="00000000">
      <w:pPr>
        <w:divId w:val="1673557456"/>
        <w:rPr>
          <w:rFonts w:ascii="Verdana" w:eastAsia="Times New Roman" w:hAnsi="Verdana"/>
          <w:b/>
          <w:bCs/>
          <w:sz w:val="22"/>
          <w:szCs w:val="22"/>
        </w:rPr>
      </w:pPr>
      <w:r>
        <w:rPr>
          <w:rFonts w:ascii="Verdana" w:eastAsia="Times New Roman" w:hAnsi="Verdana"/>
          <w:b/>
          <w:bCs/>
          <w:sz w:val="22"/>
          <w:szCs w:val="22"/>
        </w:rPr>
        <w:t xml:space="preserve">Full name of shareholder(s) if different from the person(s) subject to the notification obligation, above </w:t>
      </w:r>
    </w:p>
    <w:p w14:paraId="28D4315F" w14:textId="77777777" w:rsidR="00000000" w:rsidRDefault="00000000">
      <w:pPr>
        <w:divId w:val="1714387149"/>
        <w:rPr>
          <w:rFonts w:ascii="Verdana" w:eastAsia="Times New Roman" w:hAnsi="Verdana"/>
          <w:b/>
          <w:bCs/>
          <w:sz w:val="22"/>
          <w:szCs w:val="22"/>
        </w:rPr>
      </w:pPr>
    </w:p>
    <w:p w14:paraId="6F76DF74" w14:textId="77777777" w:rsidR="00000000" w:rsidRDefault="00000000">
      <w:pPr>
        <w:divId w:val="2051027802"/>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14:paraId="3E674C18" w14:textId="77777777" w:rsidR="00000000" w:rsidRDefault="00000000">
      <w:pPr>
        <w:divId w:val="592586524"/>
        <w:rPr>
          <w:rFonts w:ascii="Verdana" w:eastAsia="Times New Roman" w:hAnsi="Verdana"/>
          <w:b/>
          <w:bCs/>
          <w:sz w:val="22"/>
          <w:szCs w:val="22"/>
        </w:rPr>
      </w:pPr>
    </w:p>
    <w:p w14:paraId="1BDEFE60" w14:textId="77777777" w:rsidR="00000000" w:rsidRDefault="00000000">
      <w:pPr>
        <w:divId w:val="1994605214"/>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14:paraId="54D1718E" w14:textId="77777777" w:rsidR="00000000" w:rsidRDefault="00000000">
      <w:pPr>
        <w:divId w:val="821581907"/>
        <w:rPr>
          <w:rFonts w:ascii="Verdana" w:eastAsia="Times New Roman" w:hAnsi="Verdana"/>
          <w:b/>
          <w:bCs/>
          <w:sz w:val="22"/>
          <w:szCs w:val="22"/>
        </w:rPr>
      </w:pPr>
    </w:p>
    <w:p w14:paraId="01FE35C6" w14:textId="77777777" w:rsidR="00000000" w:rsidRDefault="00000000">
      <w:pPr>
        <w:shd w:val="clear" w:color="auto" w:fill="7C173A"/>
        <w:divId w:val="1436249844"/>
        <w:rPr>
          <w:rFonts w:ascii="Verdana" w:eastAsia="Times New Roman" w:hAnsi="Verdana"/>
          <w:b/>
          <w:bCs/>
          <w:sz w:val="22"/>
          <w:szCs w:val="22"/>
        </w:rPr>
      </w:pPr>
      <w:r>
        <w:rPr>
          <w:rFonts w:ascii="Verdana" w:eastAsia="Times New Roman" w:hAnsi="Verdana"/>
          <w:b/>
          <w:bCs/>
          <w:sz w:val="22"/>
          <w:szCs w:val="22"/>
        </w:rPr>
        <w:t xml:space="preserve">5. Date on which the threshold was crossed or reached </w:t>
      </w:r>
    </w:p>
    <w:p w14:paraId="10619099" w14:textId="77777777" w:rsidR="00000000" w:rsidRDefault="00000000">
      <w:pPr>
        <w:divId w:val="515461949"/>
        <w:rPr>
          <w:rFonts w:ascii="Verdana" w:eastAsia="Times New Roman" w:hAnsi="Verdana"/>
          <w:sz w:val="22"/>
          <w:szCs w:val="22"/>
        </w:rPr>
      </w:pPr>
      <w:r>
        <w:rPr>
          <w:rFonts w:ascii="Verdana" w:eastAsia="Times New Roman" w:hAnsi="Verdana"/>
          <w:sz w:val="22"/>
          <w:szCs w:val="22"/>
        </w:rPr>
        <w:t xml:space="preserve">18-Feb-2025 </w:t>
      </w:r>
    </w:p>
    <w:p w14:paraId="09F502BF" w14:textId="77777777" w:rsidR="00000000" w:rsidRDefault="00000000">
      <w:pPr>
        <w:shd w:val="clear" w:color="auto" w:fill="7C173A"/>
        <w:divId w:val="2033727538"/>
        <w:rPr>
          <w:rFonts w:ascii="Verdana" w:eastAsia="Times New Roman" w:hAnsi="Verdana"/>
          <w:b/>
          <w:bCs/>
          <w:sz w:val="22"/>
          <w:szCs w:val="22"/>
        </w:rPr>
      </w:pPr>
      <w:r>
        <w:rPr>
          <w:rFonts w:ascii="Verdana" w:eastAsia="Times New Roman" w:hAnsi="Verdana"/>
          <w:b/>
          <w:bCs/>
          <w:sz w:val="22"/>
          <w:szCs w:val="22"/>
        </w:rPr>
        <w:t xml:space="preserve">6. Date on which Issuer notified </w:t>
      </w:r>
    </w:p>
    <w:p w14:paraId="1777169B" w14:textId="77777777" w:rsidR="00000000" w:rsidRDefault="00000000">
      <w:pPr>
        <w:divId w:val="2056542169"/>
        <w:rPr>
          <w:rFonts w:ascii="Verdana" w:eastAsia="Times New Roman" w:hAnsi="Verdana"/>
          <w:sz w:val="22"/>
          <w:szCs w:val="22"/>
        </w:rPr>
      </w:pPr>
      <w:r>
        <w:rPr>
          <w:rFonts w:ascii="Verdana" w:eastAsia="Times New Roman" w:hAnsi="Verdana"/>
          <w:sz w:val="22"/>
          <w:szCs w:val="22"/>
        </w:rPr>
        <w:t xml:space="preserve">19-Feb-2025 </w:t>
      </w:r>
    </w:p>
    <w:p w14:paraId="4EAAFB25" w14:textId="77777777" w:rsidR="00000000" w:rsidRDefault="00000000">
      <w:pPr>
        <w:shd w:val="clear" w:color="auto" w:fill="7C173A"/>
        <w:divId w:val="1410154007"/>
        <w:rPr>
          <w:rFonts w:ascii="Verdana" w:eastAsia="Times New Roman" w:hAnsi="Verdana"/>
          <w:b/>
          <w:bCs/>
          <w:sz w:val="22"/>
          <w:szCs w:val="22"/>
        </w:rPr>
      </w:pPr>
      <w:r>
        <w:rPr>
          <w:rFonts w:ascii="Verdana" w:eastAsia="Times New Roman" w:hAnsi="Verdana"/>
          <w:b/>
          <w:bCs/>
          <w:sz w:val="22"/>
          <w:szCs w:val="22"/>
        </w:rPr>
        <w:t xml:space="preserve">7. Total positions of person(s) subject to the notification obligation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910"/>
        <w:gridCol w:w="1622"/>
        <w:gridCol w:w="1608"/>
        <w:gridCol w:w="1505"/>
        <w:gridCol w:w="1505"/>
      </w:tblGrid>
      <w:tr w:rsidR="00000000" w14:paraId="6368A86D" w14:textId="77777777">
        <w:trPr>
          <w:divId w:val="671185364"/>
        </w:trPr>
        <w:tc>
          <w:tcPr>
            <w:tcW w:w="0" w:type="auto"/>
            <w:vAlign w:val="center"/>
            <w:hideMark/>
          </w:tcPr>
          <w:p w14:paraId="1071952F" w14:textId="77777777" w:rsidR="00000000" w:rsidRDefault="00000000">
            <w:pPr>
              <w:jc w:val="center"/>
              <w:rPr>
                <w:rFonts w:eastAsia="Times New Roman"/>
                <w:b/>
                <w:bCs/>
              </w:rPr>
            </w:pPr>
            <w:r>
              <w:rPr>
                <w:rFonts w:eastAsia="Times New Roman"/>
                <w:b/>
                <w:bCs/>
                <w:color w:val="FFFFFF"/>
              </w:rPr>
              <w:lastRenderedPageBreak/>
              <w:t>.</w:t>
            </w:r>
            <w:r>
              <w:rPr>
                <w:rFonts w:eastAsia="Times New Roman"/>
                <w:b/>
                <w:bCs/>
              </w:rPr>
              <w:t xml:space="preserv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7074DE46"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 of voting rights attached to shares (total of 8.A)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4E801818"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(total of 8.B 1 + 8.B 2)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23292384"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Total of both in % (8.A + 8.B)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7C444DC6"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Total number of voting rights held in issuer </w:t>
            </w:r>
          </w:p>
        </w:tc>
      </w:tr>
      <w:tr w:rsidR="00000000" w14:paraId="281E7C29" w14:textId="77777777">
        <w:trPr>
          <w:divId w:val="671185364"/>
        </w:trPr>
        <w:tc>
          <w:tcPr>
            <w:tcW w:w="0" w:type="auto"/>
            <w:tcBorders>
              <w:top w:val="single" w:sz="6" w:space="0" w:color="666666"/>
              <w:left w:val="single" w:sz="6" w:space="0" w:color="666666"/>
              <w:bottom w:val="single" w:sz="6" w:space="0" w:color="666666"/>
              <w:right w:val="single" w:sz="6" w:space="0" w:color="666666"/>
            </w:tcBorders>
            <w:vAlign w:val="center"/>
            <w:hideMark/>
          </w:tcPr>
          <w:p w14:paraId="41125569"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Resulting situation on the date on which threshold was crossed or reached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76361A0"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15.005000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AA53814"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F6521F7"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15.005000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5D5049B"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36073481 </w:t>
            </w:r>
          </w:p>
        </w:tc>
      </w:tr>
      <w:tr w:rsidR="00000000" w14:paraId="7C331B3D" w14:textId="77777777">
        <w:trPr>
          <w:divId w:val="671185364"/>
        </w:trPr>
        <w:tc>
          <w:tcPr>
            <w:tcW w:w="0" w:type="auto"/>
            <w:tcBorders>
              <w:top w:val="single" w:sz="6" w:space="0" w:color="666666"/>
              <w:left w:val="single" w:sz="6" w:space="0" w:color="666666"/>
              <w:bottom w:val="single" w:sz="6" w:space="0" w:color="666666"/>
              <w:right w:val="single" w:sz="6" w:space="0" w:color="666666"/>
            </w:tcBorders>
            <w:vAlign w:val="center"/>
            <w:hideMark/>
          </w:tcPr>
          <w:p w14:paraId="348E002B"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Position of previous notification (if applicable)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6A95234"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29.280000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8C373E6"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D4224AF"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29.280000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D861727" w14:textId="77777777" w:rsidR="00000000" w:rsidRDefault="00000000">
            <w:pPr>
              <w:spacing w:before="75" w:after="150"/>
              <w:ind w:left="195"/>
              <w:rPr>
                <w:rFonts w:ascii="Verdana" w:eastAsia="Times New Roman" w:hAnsi="Verdana"/>
                <w:sz w:val="22"/>
                <w:szCs w:val="22"/>
              </w:rPr>
            </w:pPr>
          </w:p>
        </w:tc>
      </w:tr>
    </w:tbl>
    <w:p w14:paraId="4FA8FED3" w14:textId="77777777" w:rsidR="00000000" w:rsidRDefault="00000000">
      <w:pPr>
        <w:shd w:val="clear" w:color="auto" w:fill="7C173A"/>
        <w:divId w:val="870145496"/>
        <w:rPr>
          <w:rFonts w:ascii="Verdana" w:eastAsia="Times New Roman" w:hAnsi="Verdana"/>
          <w:b/>
          <w:bCs/>
          <w:sz w:val="22"/>
          <w:szCs w:val="22"/>
        </w:rPr>
      </w:pPr>
      <w:r>
        <w:rPr>
          <w:rFonts w:ascii="Verdana" w:eastAsia="Times New Roman" w:hAnsi="Verdana"/>
          <w:b/>
          <w:bCs/>
          <w:sz w:val="22"/>
          <w:szCs w:val="22"/>
        </w:rPr>
        <w:t xml:space="preserve">8. Notified details of the resulting situation on the date on which the threshold was crossed or reached </w:t>
      </w:r>
    </w:p>
    <w:p w14:paraId="2144D4AC" w14:textId="77777777" w:rsidR="00000000" w:rsidRDefault="00000000">
      <w:pPr>
        <w:shd w:val="clear" w:color="auto" w:fill="7C173A"/>
        <w:divId w:val="1163164137"/>
        <w:rPr>
          <w:rFonts w:ascii="Verdana" w:eastAsia="Times New Roman" w:hAnsi="Verdana"/>
          <w:b/>
          <w:bCs/>
          <w:sz w:val="22"/>
          <w:szCs w:val="22"/>
        </w:rPr>
      </w:pPr>
      <w:r>
        <w:rPr>
          <w:rFonts w:ascii="Verdana" w:eastAsia="Times New Roman" w:hAnsi="Verdana"/>
          <w:b/>
          <w:bCs/>
          <w:sz w:val="22"/>
          <w:szCs w:val="22"/>
        </w:rPr>
        <w:t xml:space="preserve">8A. Voting rights attached to shares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707"/>
        <w:gridCol w:w="1695"/>
        <w:gridCol w:w="1448"/>
        <w:gridCol w:w="1681"/>
        <w:gridCol w:w="1619"/>
      </w:tblGrid>
      <w:tr w:rsidR="00000000" w14:paraId="75C71036" w14:textId="77777777">
        <w:trPr>
          <w:divId w:val="975110566"/>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89F932A"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Class/Type of shares ISIN code(if possible)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CDD9370"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Number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B6E2014"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Number of indirect voting rights (DTR5.2.1)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AD18AC9"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3C63409"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 of indirect voting rights (DTR5.2.1) </w:t>
            </w:r>
          </w:p>
        </w:tc>
      </w:tr>
      <w:tr w:rsidR="00000000" w14:paraId="03F664C1" w14:textId="77777777">
        <w:trPr>
          <w:divId w:val="975110566"/>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70C5EABD" w14:textId="77777777" w:rsidR="00000000" w:rsidRDefault="00000000">
            <w:pPr>
              <w:spacing w:before="75" w:after="150"/>
              <w:ind w:left="45"/>
              <w:rPr>
                <w:rFonts w:ascii="Verdana" w:eastAsia="Times New Roman" w:hAnsi="Verdana"/>
                <w:sz w:val="20"/>
                <w:szCs w:val="20"/>
              </w:rPr>
            </w:pPr>
            <w:r>
              <w:rPr>
                <w:rFonts w:ascii="Verdana" w:eastAsia="Times New Roman" w:hAnsi="Verdana"/>
                <w:sz w:val="20"/>
                <w:szCs w:val="20"/>
              </w:rPr>
              <w:t xml:space="preserve">GB00BQQFX454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3CB5010"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36073481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9CB7C4F"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E6CBE56"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15.005000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CCEC8B3"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r>
      <w:tr w:rsidR="00000000" w14:paraId="5087442B" w14:textId="77777777">
        <w:trPr>
          <w:divId w:val="975110566"/>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1E83FEE8" w14:textId="77777777" w:rsidR="00000000" w:rsidRDefault="00000000">
            <w:pPr>
              <w:rPr>
                <w:rFonts w:ascii="Verdana" w:eastAsia="Times New Roman" w:hAnsi="Verdana"/>
                <w:sz w:val="15"/>
                <w:szCs w:val="15"/>
              </w:rPr>
            </w:pPr>
            <w:r>
              <w:rPr>
                <w:rFonts w:ascii="Verdana" w:eastAsia="Times New Roman" w:hAnsi="Verdana"/>
                <w:sz w:val="15"/>
                <w:szCs w:val="15"/>
              </w:rPr>
              <w:t xml:space="preserve">Sub Total 8.A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48D6C600"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36073481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7276BEEB"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15.005000% </w:t>
            </w:r>
          </w:p>
        </w:tc>
      </w:tr>
    </w:tbl>
    <w:p w14:paraId="704EF6C4" w14:textId="77777777" w:rsidR="00000000" w:rsidRDefault="00000000">
      <w:pPr>
        <w:shd w:val="clear" w:color="auto" w:fill="7C173A"/>
        <w:divId w:val="1132021374"/>
        <w:rPr>
          <w:rFonts w:ascii="Verdana" w:eastAsia="Times New Roman" w:hAnsi="Verdana"/>
          <w:b/>
          <w:bCs/>
          <w:sz w:val="22"/>
          <w:szCs w:val="22"/>
        </w:rPr>
      </w:pPr>
      <w:r>
        <w:rPr>
          <w:rFonts w:ascii="Verdana" w:eastAsia="Times New Roman" w:hAnsi="Verdana"/>
          <w:b/>
          <w:bCs/>
          <w:sz w:val="22"/>
          <w:szCs w:val="22"/>
        </w:rPr>
        <w:t xml:space="preserve">8B1. Financial Instruments according to (DTR5.3.1R.(1) (a))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9"/>
        <w:gridCol w:w="991"/>
        <w:gridCol w:w="1887"/>
        <w:gridCol w:w="2872"/>
        <w:gridCol w:w="771"/>
      </w:tblGrid>
      <w:tr w:rsidR="00000000" w14:paraId="5B427797" w14:textId="77777777">
        <w:trPr>
          <w:divId w:val="768623180"/>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05DB28B"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597435B"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6FFD120"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F069503"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Number of voting rights that may be acquired if the instrument is exercised/converted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A8F6C82"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000000" w14:paraId="1D76CE65" w14:textId="77777777">
        <w:trPr>
          <w:divId w:val="768623180"/>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1FF2B6D2" w14:textId="77777777" w:rsidR="00000000" w:rsidRDefault="00000000">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D5C5D66"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B77D3FF"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F0C8B1E"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F41E18D" w14:textId="77777777" w:rsidR="00000000" w:rsidRDefault="00000000">
            <w:pPr>
              <w:spacing w:before="75" w:after="150"/>
              <w:ind w:left="195"/>
              <w:rPr>
                <w:rFonts w:eastAsia="Times New Roman"/>
                <w:sz w:val="20"/>
                <w:szCs w:val="20"/>
              </w:rPr>
            </w:pPr>
          </w:p>
        </w:tc>
      </w:tr>
      <w:tr w:rsidR="00000000" w14:paraId="4BFAD54E" w14:textId="77777777">
        <w:trPr>
          <w:divId w:val="768623180"/>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71D8A904" w14:textId="77777777" w:rsidR="00000000" w:rsidRDefault="00000000">
            <w:pPr>
              <w:rPr>
                <w:rFonts w:ascii="Verdana" w:eastAsia="Times New Roman" w:hAnsi="Verdana"/>
                <w:sz w:val="15"/>
                <w:szCs w:val="15"/>
              </w:rPr>
            </w:pPr>
            <w:r>
              <w:rPr>
                <w:rFonts w:ascii="Verdana" w:eastAsia="Times New Roman" w:hAnsi="Verdana"/>
                <w:sz w:val="15"/>
                <w:szCs w:val="15"/>
              </w:rPr>
              <w:t xml:space="preserve">Sub Total 8.B1 </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1FD904BA" w14:textId="77777777" w:rsidR="00000000" w:rsidRDefault="00000000">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63971A3A" w14:textId="77777777" w:rsidR="00000000" w:rsidRDefault="00000000">
            <w:pPr>
              <w:spacing w:before="75" w:after="150"/>
              <w:ind w:left="195"/>
              <w:jc w:val="center"/>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36D607ED" w14:textId="77777777" w:rsidR="00000000" w:rsidRDefault="00000000">
            <w:pPr>
              <w:spacing w:before="75" w:after="150"/>
              <w:ind w:left="195"/>
              <w:rPr>
                <w:rFonts w:eastAsia="Times New Roman"/>
                <w:sz w:val="20"/>
                <w:szCs w:val="20"/>
              </w:rPr>
            </w:pPr>
          </w:p>
        </w:tc>
      </w:tr>
    </w:tbl>
    <w:p w14:paraId="70D5F2BD" w14:textId="77777777" w:rsidR="00000000" w:rsidRDefault="00000000">
      <w:pPr>
        <w:shd w:val="clear" w:color="auto" w:fill="7C173A"/>
        <w:divId w:val="132841841"/>
        <w:rPr>
          <w:rFonts w:ascii="Verdana" w:eastAsia="Times New Roman" w:hAnsi="Verdana"/>
          <w:b/>
          <w:bCs/>
          <w:sz w:val="22"/>
          <w:szCs w:val="22"/>
        </w:rPr>
      </w:pPr>
      <w:r>
        <w:rPr>
          <w:rFonts w:ascii="Verdana" w:eastAsia="Times New Roman" w:hAnsi="Verdana"/>
          <w:b/>
          <w:bCs/>
          <w:sz w:val="22"/>
          <w:szCs w:val="22"/>
        </w:rPr>
        <w:t xml:space="preserve">8B2. Financial Instruments with similar economic effect according to (DTR5.3.1R.(1) (b))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223"/>
        <w:gridCol w:w="1086"/>
        <w:gridCol w:w="2020"/>
        <w:gridCol w:w="1544"/>
        <w:gridCol w:w="1280"/>
        <w:gridCol w:w="997"/>
      </w:tblGrid>
      <w:tr w:rsidR="00000000" w14:paraId="5024D73D" w14:textId="77777777">
        <w:trPr>
          <w:divId w:val="1663772570"/>
        </w:trPr>
        <w:tc>
          <w:tcPr>
            <w:tcW w:w="75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ACE41F5"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5C5333D"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94B7FD4"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073CB99"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Physical or cash settlement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5566F6B"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Number of voting rights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FFD369D"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000000" w14:paraId="0C3BE176" w14:textId="77777777">
        <w:trPr>
          <w:divId w:val="1663772570"/>
        </w:trPr>
        <w:tc>
          <w:tcPr>
            <w:tcW w:w="750" w:type="pct"/>
            <w:tcBorders>
              <w:top w:val="single" w:sz="6" w:space="0" w:color="666666"/>
              <w:left w:val="single" w:sz="6" w:space="0" w:color="666666"/>
              <w:bottom w:val="single" w:sz="6" w:space="0" w:color="666666"/>
              <w:right w:val="single" w:sz="6" w:space="0" w:color="666666"/>
            </w:tcBorders>
            <w:vAlign w:val="center"/>
            <w:hideMark/>
          </w:tcPr>
          <w:p w14:paraId="30620D76" w14:textId="77777777" w:rsidR="00000000" w:rsidRDefault="00000000">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CAB3A97"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FF37AB7"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AB77961"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BB828E0"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304DA6A" w14:textId="77777777" w:rsidR="00000000" w:rsidRDefault="00000000">
            <w:pPr>
              <w:spacing w:before="75" w:after="150"/>
              <w:ind w:left="195"/>
              <w:rPr>
                <w:rFonts w:eastAsia="Times New Roman"/>
                <w:sz w:val="20"/>
                <w:szCs w:val="20"/>
              </w:rPr>
            </w:pPr>
          </w:p>
        </w:tc>
      </w:tr>
      <w:tr w:rsidR="00000000" w14:paraId="16F06F63" w14:textId="77777777">
        <w:trPr>
          <w:divId w:val="1663772570"/>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7045343F" w14:textId="77777777" w:rsidR="00000000" w:rsidRDefault="00000000">
            <w:pPr>
              <w:rPr>
                <w:rFonts w:ascii="Verdana" w:eastAsia="Times New Roman" w:hAnsi="Verdana"/>
                <w:sz w:val="15"/>
                <w:szCs w:val="15"/>
              </w:rPr>
            </w:pPr>
            <w:r>
              <w:rPr>
                <w:rFonts w:ascii="Verdana" w:eastAsia="Times New Roman" w:hAnsi="Verdana"/>
                <w:sz w:val="15"/>
                <w:szCs w:val="15"/>
              </w:rPr>
              <w:t xml:space="preserve">Sub Total 8.B2 </w:t>
            </w:r>
          </w:p>
        </w:tc>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29F2408F" w14:textId="77777777" w:rsidR="00000000" w:rsidRDefault="00000000">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4DA38889"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15B9E0C4" w14:textId="77777777" w:rsidR="00000000" w:rsidRDefault="00000000">
            <w:pPr>
              <w:spacing w:before="75" w:after="150"/>
              <w:ind w:left="195"/>
              <w:rPr>
                <w:rFonts w:eastAsia="Times New Roman"/>
                <w:sz w:val="20"/>
                <w:szCs w:val="20"/>
              </w:rPr>
            </w:pPr>
          </w:p>
        </w:tc>
      </w:tr>
    </w:tbl>
    <w:p w14:paraId="20EDD493" w14:textId="77777777" w:rsidR="00000000" w:rsidRDefault="00000000">
      <w:pPr>
        <w:shd w:val="clear" w:color="auto" w:fill="7C173A"/>
        <w:divId w:val="1248271315"/>
        <w:rPr>
          <w:rFonts w:ascii="Verdana" w:eastAsia="Times New Roman" w:hAnsi="Verdana"/>
          <w:b/>
          <w:bCs/>
          <w:sz w:val="22"/>
          <w:szCs w:val="22"/>
        </w:rPr>
      </w:pPr>
      <w:r>
        <w:rPr>
          <w:rFonts w:ascii="Verdana" w:eastAsia="Times New Roman" w:hAnsi="Verdana"/>
          <w:b/>
          <w:bCs/>
          <w:sz w:val="22"/>
          <w:szCs w:val="22"/>
        </w:rPr>
        <w:t xml:space="preserve">9. Information in relation to the person subject to the notification obligation </w:t>
      </w:r>
    </w:p>
    <w:p w14:paraId="5F00DA4D" w14:textId="77777777" w:rsidR="00000000" w:rsidRDefault="00000000">
      <w:pPr>
        <w:divId w:val="1910924185"/>
        <w:rPr>
          <w:rFonts w:ascii="Verdana" w:eastAsia="Times New Roman" w:hAnsi="Verdana"/>
          <w:sz w:val="22"/>
          <w:szCs w:val="22"/>
        </w:rPr>
      </w:pPr>
      <w:r>
        <w:rPr>
          <w:rFonts w:ascii="Verdana" w:eastAsia="Times New Roman" w:hAnsi="Verdana"/>
          <w:sz w:val="22"/>
          <w:szCs w:val="22"/>
        </w:rPr>
        <w:t xml:space="preserve">1. Person subject to the notification obligation is not controlled by any natural person or legal entity and does not control any other undertaking(s) holding directly or indirectly an interest in the (underlying) issuer.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30"/>
        <w:gridCol w:w="1304"/>
        <w:gridCol w:w="1578"/>
        <w:gridCol w:w="2125"/>
        <w:gridCol w:w="1513"/>
      </w:tblGrid>
      <w:tr w:rsidR="00000000" w14:paraId="59190888" w14:textId="77777777">
        <w:trPr>
          <w:divId w:val="444428646"/>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EC3A014"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Ultimate controlling person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1E0EC84"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Name of controlled undertaking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CDE6835"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 of voting rights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B509497"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D614ECE"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Total of both if it equals or is higher than the notifiable threshold </w:t>
            </w:r>
          </w:p>
        </w:tc>
      </w:tr>
      <w:tr w:rsidR="00000000" w14:paraId="4A6D7A79" w14:textId="77777777">
        <w:trPr>
          <w:divId w:val="444428646"/>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30691F20" w14:textId="77777777" w:rsidR="00000000" w:rsidRDefault="00000000">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BDBE0AC"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D46FC5A"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74BE8AE"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62A28D5" w14:textId="77777777" w:rsidR="00000000" w:rsidRDefault="00000000">
            <w:pPr>
              <w:spacing w:before="75" w:after="150"/>
              <w:ind w:left="195"/>
              <w:rPr>
                <w:rFonts w:eastAsia="Times New Roman"/>
                <w:sz w:val="20"/>
                <w:szCs w:val="20"/>
              </w:rPr>
            </w:pPr>
          </w:p>
        </w:tc>
      </w:tr>
    </w:tbl>
    <w:p w14:paraId="650060FA" w14:textId="77777777" w:rsidR="00000000" w:rsidRDefault="00000000">
      <w:pPr>
        <w:shd w:val="clear" w:color="auto" w:fill="7C173A"/>
        <w:divId w:val="260384042"/>
        <w:rPr>
          <w:rFonts w:ascii="Verdana" w:eastAsia="Times New Roman" w:hAnsi="Verdana"/>
          <w:b/>
          <w:bCs/>
          <w:sz w:val="22"/>
          <w:szCs w:val="22"/>
        </w:rPr>
      </w:pPr>
      <w:r>
        <w:rPr>
          <w:rFonts w:ascii="Verdana" w:eastAsia="Times New Roman" w:hAnsi="Verdana"/>
          <w:b/>
          <w:bCs/>
          <w:sz w:val="22"/>
          <w:szCs w:val="22"/>
        </w:rPr>
        <w:lastRenderedPageBreak/>
        <w:t xml:space="preserve">10. In case of proxy voting </w:t>
      </w:r>
    </w:p>
    <w:p w14:paraId="5A953BAC" w14:textId="77777777" w:rsidR="00000000" w:rsidRDefault="00000000">
      <w:pPr>
        <w:divId w:val="1498766332"/>
        <w:rPr>
          <w:rFonts w:ascii="Verdana" w:eastAsia="Times New Roman" w:hAnsi="Verdana"/>
          <w:b/>
          <w:bCs/>
          <w:sz w:val="22"/>
          <w:szCs w:val="22"/>
        </w:rPr>
      </w:pPr>
      <w:r>
        <w:rPr>
          <w:rFonts w:ascii="Verdana" w:eastAsia="Times New Roman" w:hAnsi="Verdana"/>
          <w:b/>
          <w:bCs/>
          <w:sz w:val="22"/>
          <w:szCs w:val="22"/>
        </w:rPr>
        <w:t xml:space="preserve">Name of the proxy holder </w:t>
      </w:r>
    </w:p>
    <w:p w14:paraId="2A1F220F" w14:textId="77777777" w:rsidR="00000000" w:rsidRDefault="00000000">
      <w:pPr>
        <w:divId w:val="1874296352"/>
        <w:rPr>
          <w:rFonts w:ascii="Verdana" w:eastAsia="Times New Roman" w:hAnsi="Verdana"/>
          <w:sz w:val="22"/>
          <w:szCs w:val="22"/>
        </w:rPr>
      </w:pPr>
    </w:p>
    <w:p w14:paraId="076A547F" w14:textId="77777777" w:rsidR="00000000" w:rsidRDefault="00000000">
      <w:pPr>
        <w:divId w:val="1326743303"/>
        <w:rPr>
          <w:rFonts w:ascii="Verdana" w:eastAsia="Times New Roman" w:hAnsi="Verdana"/>
          <w:b/>
          <w:bCs/>
          <w:sz w:val="22"/>
          <w:szCs w:val="22"/>
        </w:rPr>
      </w:pPr>
      <w:r>
        <w:rPr>
          <w:rFonts w:ascii="Verdana" w:eastAsia="Times New Roman" w:hAnsi="Verdana"/>
          <w:b/>
          <w:bCs/>
          <w:sz w:val="22"/>
          <w:szCs w:val="22"/>
        </w:rPr>
        <w:t xml:space="preserve">The number and % of voting rights held </w:t>
      </w:r>
    </w:p>
    <w:p w14:paraId="153844B6" w14:textId="77777777" w:rsidR="00000000" w:rsidRDefault="00000000">
      <w:pPr>
        <w:divId w:val="1596282481"/>
        <w:rPr>
          <w:rFonts w:ascii="Verdana" w:eastAsia="Times New Roman" w:hAnsi="Verdana"/>
          <w:sz w:val="22"/>
          <w:szCs w:val="22"/>
        </w:rPr>
      </w:pPr>
    </w:p>
    <w:p w14:paraId="2AB0B2EA" w14:textId="77777777" w:rsidR="00000000" w:rsidRDefault="00000000">
      <w:pPr>
        <w:divId w:val="1373576958"/>
        <w:rPr>
          <w:rFonts w:ascii="Verdana" w:eastAsia="Times New Roman" w:hAnsi="Verdana"/>
          <w:b/>
          <w:bCs/>
          <w:sz w:val="22"/>
          <w:szCs w:val="22"/>
        </w:rPr>
      </w:pPr>
      <w:r>
        <w:rPr>
          <w:rFonts w:ascii="Verdana" w:eastAsia="Times New Roman" w:hAnsi="Verdana"/>
          <w:b/>
          <w:bCs/>
          <w:sz w:val="22"/>
          <w:szCs w:val="22"/>
        </w:rPr>
        <w:t xml:space="preserve">The date until which the voting rights will be held </w:t>
      </w:r>
    </w:p>
    <w:p w14:paraId="57CC88B5" w14:textId="77777777" w:rsidR="00000000" w:rsidRDefault="00000000">
      <w:pPr>
        <w:divId w:val="2146657727"/>
        <w:rPr>
          <w:rFonts w:ascii="Verdana" w:eastAsia="Times New Roman" w:hAnsi="Verdana"/>
          <w:sz w:val="22"/>
          <w:szCs w:val="22"/>
        </w:rPr>
      </w:pPr>
    </w:p>
    <w:p w14:paraId="5CA56F74" w14:textId="77777777" w:rsidR="00000000" w:rsidRDefault="00000000">
      <w:pPr>
        <w:shd w:val="clear" w:color="auto" w:fill="7C173A"/>
        <w:divId w:val="1467428147"/>
        <w:rPr>
          <w:rFonts w:ascii="Verdana" w:eastAsia="Times New Roman" w:hAnsi="Verdana"/>
          <w:b/>
          <w:bCs/>
          <w:sz w:val="22"/>
          <w:szCs w:val="22"/>
        </w:rPr>
      </w:pPr>
      <w:r>
        <w:rPr>
          <w:rFonts w:ascii="Verdana" w:eastAsia="Times New Roman" w:hAnsi="Verdana"/>
          <w:b/>
          <w:bCs/>
          <w:sz w:val="22"/>
          <w:szCs w:val="22"/>
        </w:rPr>
        <w:t xml:space="preserve">11. Additional Information </w:t>
      </w:r>
    </w:p>
    <w:p w14:paraId="51B19DF7" w14:textId="77777777" w:rsidR="00000000" w:rsidRDefault="00000000">
      <w:pPr>
        <w:divId w:val="40986433"/>
        <w:rPr>
          <w:rFonts w:ascii="Verdana" w:eastAsia="Times New Roman" w:hAnsi="Verdana"/>
          <w:sz w:val="22"/>
          <w:szCs w:val="22"/>
        </w:rPr>
      </w:pPr>
      <w:r>
        <w:rPr>
          <w:rFonts w:ascii="Verdana" w:eastAsia="Times New Roman" w:hAnsi="Verdana"/>
          <w:sz w:val="22"/>
          <w:szCs w:val="22"/>
        </w:rPr>
        <w:t xml:space="preserve">Teslin Participaties has added information in section 2 to clarify it still has a relationship agreement with the company. </w:t>
      </w:r>
    </w:p>
    <w:p w14:paraId="2605EAFE" w14:textId="77777777" w:rsidR="00000000" w:rsidRDefault="00000000">
      <w:pPr>
        <w:shd w:val="clear" w:color="auto" w:fill="7C173A"/>
        <w:divId w:val="1454865200"/>
        <w:rPr>
          <w:rFonts w:ascii="Verdana" w:eastAsia="Times New Roman" w:hAnsi="Verdana"/>
          <w:b/>
          <w:bCs/>
          <w:sz w:val="22"/>
          <w:szCs w:val="22"/>
        </w:rPr>
      </w:pPr>
      <w:r>
        <w:rPr>
          <w:rFonts w:ascii="Verdana" w:eastAsia="Times New Roman" w:hAnsi="Verdana"/>
          <w:b/>
          <w:bCs/>
          <w:sz w:val="22"/>
          <w:szCs w:val="22"/>
        </w:rPr>
        <w:t xml:space="preserve">12. Date of Completion </w:t>
      </w:r>
    </w:p>
    <w:p w14:paraId="4C14D915" w14:textId="77777777" w:rsidR="00000000" w:rsidRDefault="00000000">
      <w:pPr>
        <w:divId w:val="316571235"/>
        <w:rPr>
          <w:rFonts w:ascii="Verdana" w:eastAsia="Times New Roman" w:hAnsi="Verdana"/>
          <w:sz w:val="22"/>
          <w:szCs w:val="22"/>
        </w:rPr>
      </w:pPr>
      <w:r>
        <w:rPr>
          <w:rFonts w:ascii="Verdana" w:eastAsia="Times New Roman" w:hAnsi="Verdana"/>
          <w:sz w:val="22"/>
          <w:szCs w:val="22"/>
        </w:rPr>
        <w:t xml:space="preserve">21-Feb-2025 </w:t>
      </w:r>
    </w:p>
    <w:p w14:paraId="56D8C70E" w14:textId="77777777" w:rsidR="00000000" w:rsidRDefault="00000000">
      <w:pPr>
        <w:shd w:val="clear" w:color="auto" w:fill="7C173A"/>
        <w:divId w:val="1228760978"/>
        <w:rPr>
          <w:rFonts w:ascii="Verdana" w:eastAsia="Times New Roman" w:hAnsi="Verdana"/>
          <w:b/>
          <w:bCs/>
          <w:sz w:val="22"/>
          <w:szCs w:val="22"/>
        </w:rPr>
      </w:pPr>
      <w:r>
        <w:rPr>
          <w:rFonts w:ascii="Verdana" w:eastAsia="Times New Roman" w:hAnsi="Verdana"/>
          <w:b/>
          <w:bCs/>
          <w:sz w:val="22"/>
          <w:szCs w:val="22"/>
        </w:rPr>
        <w:t xml:space="preserve">13. Place Of Completion </w:t>
      </w:r>
    </w:p>
    <w:p w14:paraId="5559486A" w14:textId="77777777" w:rsidR="00545C70" w:rsidRDefault="00000000">
      <w:pPr>
        <w:divId w:val="1651909051"/>
        <w:rPr>
          <w:rFonts w:ascii="Verdana" w:eastAsia="Times New Roman" w:hAnsi="Verdana"/>
          <w:sz w:val="22"/>
          <w:szCs w:val="22"/>
        </w:rPr>
      </w:pPr>
      <w:r>
        <w:rPr>
          <w:rFonts w:ascii="Verdana" w:eastAsia="Times New Roman" w:hAnsi="Verdana"/>
          <w:sz w:val="22"/>
          <w:szCs w:val="22"/>
        </w:rPr>
        <w:t xml:space="preserve">Amsterdam </w:t>
      </w:r>
    </w:p>
    <w:sectPr w:rsidR="00545C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D5B47"/>
    <w:rsid w:val="001D5B47"/>
    <w:rsid w:val="00545C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F759E"/>
  <w15:chartTrackingRefBased/>
  <w15:docId w15:val="{D4CB404B-7909-492A-A92B-61AE3AF5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85364">
      <w:bodyDiv w:val="1"/>
      <w:marLeft w:val="450"/>
      <w:marRight w:val="450"/>
      <w:marTop w:val="0"/>
      <w:marBottom w:val="0"/>
      <w:divBdr>
        <w:top w:val="none" w:sz="0" w:space="0" w:color="auto"/>
        <w:left w:val="none" w:sz="0" w:space="0" w:color="auto"/>
        <w:bottom w:val="none" w:sz="0" w:space="0" w:color="auto"/>
        <w:right w:val="none" w:sz="0" w:space="0" w:color="auto"/>
      </w:divBdr>
      <w:divsChild>
        <w:div w:id="1671789955">
          <w:marLeft w:val="0"/>
          <w:marRight w:val="0"/>
          <w:marTop w:val="150"/>
          <w:marBottom w:val="150"/>
          <w:divBdr>
            <w:top w:val="none" w:sz="0" w:space="0" w:color="auto"/>
            <w:left w:val="none" w:sz="0" w:space="0" w:color="auto"/>
            <w:bottom w:val="none" w:sz="0" w:space="0" w:color="auto"/>
            <w:right w:val="none" w:sz="0" w:space="0" w:color="auto"/>
          </w:divBdr>
        </w:div>
        <w:div w:id="2107387306">
          <w:marLeft w:val="0"/>
          <w:marRight w:val="0"/>
          <w:marTop w:val="0"/>
          <w:marBottom w:val="0"/>
          <w:divBdr>
            <w:top w:val="none" w:sz="0" w:space="0" w:color="auto"/>
            <w:left w:val="none" w:sz="0" w:space="0" w:color="auto"/>
            <w:bottom w:val="none" w:sz="0" w:space="0" w:color="auto"/>
            <w:right w:val="none" w:sz="0" w:space="0" w:color="auto"/>
          </w:divBdr>
          <w:divsChild>
            <w:div w:id="1007706481">
              <w:marLeft w:val="150"/>
              <w:marRight w:val="0"/>
              <w:marTop w:val="0"/>
              <w:marBottom w:val="0"/>
              <w:divBdr>
                <w:top w:val="none" w:sz="0" w:space="0" w:color="auto"/>
                <w:left w:val="none" w:sz="0" w:space="0" w:color="auto"/>
                <w:bottom w:val="none" w:sz="0" w:space="0" w:color="auto"/>
                <w:right w:val="none" w:sz="0" w:space="0" w:color="auto"/>
              </w:divBdr>
            </w:div>
            <w:div w:id="1176266229">
              <w:marLeft w:val="195"/>
              <w:marRight w:val="0"/>
              <w:marTop w:val="75"/>
              <w:marBottom w:val="150"/>
              <w:divBdr>
                <w:top w:val="single" w:sz="6" w:space="0" w:color="666666"/>
                <w:left w:val="single" w:sz="6" w:space="0" w:color="666666"/>
                <w:bottom w:val="single" w:sz="6" w:space="0" w:color="666666"/>
                <w:right w:val="single" w:sz="6" w:space="0" w:color="666666"/>
              </w:divBdr>
            </w:div>
            <w:div w:id="513303671">
              <w:marLeft w:val="150"/>
              <w:marRight w:val="0"/>
              <w:marTop w:val="0"/>
              <w:marBottom w:val="0"/>
              <w:divBdr>
                <w:top w:val="none" w:sz="0" w:space="0" w:color="auto"/>
                <w:left w:val="none" w:sz="0" w:space="0" w:color="auto"/>
                <w:bottom w:val="none" w:sz="0" w:space="0" w:color="auto"/>
                <w:right w:val="none" w:sz="0" w:space="0" w:color="auto"/>
              </w:divBdr>
            </w:div>
            <w:div w:id="1436632746">
              <w:marLeft w:val="195"/>
              <w:marRight w:val="0"/>
              <w:marTop w:val="75"/>
              <w:marBottom w:val="150"/>
              <w:divBdr>
                <w:top w:val="single" w:sz="6" w:space="0" w:color="666666"/>
                <w:left w:val="single" w:sz="6" w:space="0" w:color="666666"/>
                <w:bottom w:val="single" w:sz="6" w:space="0" w:color="666666"/>
                <w:right w:val="single" w:sz="6" w:space="0" w:color="666666"/>
              </w:divBdr>
            </w:div>
            <w:div w:id="1999841943">
              <w:marLeft w:val="150"/>
              <w:marRight w:val="0"/>
              <w:marTop w:val="0"/>
              <w:marBottom w:val="0"/>
              <w:divBdr>
                <w:top w:val="none" w:sz="0" w:space="0" w:color="auto"/>
                <w:left w:val="none" w:sz="0" w:space="0" w:color="auto"/>
                <w:bottom w:val="none" w:sz="0" w:space="0" w:color="auto"/>
                <w:right w:val="none" w:sz="0" w:space="0" w:color="auto"/>
              </w:divBdr>
            </w:div>
            <w:div w:id="2103182413">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434470928">
          <w:marLeft w:val="0"/>
          <w:marRight w:val="0"/>
          <w:marTop w:val="150"/>
          <w:marBottom w:val="150"/>
          <w:divBdr>
            <w:top w:val="none" w:sz="0" w:space="0" w:color="auto"/>
            <w:left w:val="none" w:sz="0" w:space="0" w:color="auto"/>
            <w:bottom w:val="none" w:sz="0" w:space="0" w:color="auto"/>
            <w:right w:val="none" w:sz="0" w:space="0" w:color="auto"/>
          </w:divBdr>
        </w:div>
        <w:div w:id="266423267">
          <w:marLeft w:val="0"/>
          <w:marRight w:val="0"/>
          <w:marTop w:val="0"/>
          <w:marBottom w:val="0"/>
          <w:divBdr>
            <w:top w:val="none" w:sz="0" w:space="0" w:color="auto"/>
            <w:left w:val="none" w:sz="0" w:space="0" w:color="auto"/>
            <w:bottom w:val="none" w:sz="0" w:space="0" w:color="auto"/>
            <w:right w:val="none" w:sz="0" w:space="0" w:color="auto"/>
          </w:divBdr>
          <w:divsChild>
            <w:div w:id="2021540183">
              <w:marLeft w:val="195"/>
              <w:marRight w:val="0"/>
              <w:marTop w:val="75"/>
              <w:marBottom w:val="150"/>
              <w:divBdr>
                <w:top w:val="single" w:sz="6" w:space="0" w:color="666666"/>
                <w:left w:val="single" w:sz="6" w:space="0" w:color="666666"/>
                <w:bottom w:val="single" w:sz="6" w:space="0" w:color="666666"/>
                <w:right w:val="single" w:sz="6" w:space="0" w:color="666666"/>
              </w:divBdr>
            </w:div>
            <w:div w:id="1116947190">
              <w:marLeft w:val="150"/>
              <w:marRight w:val="0"/>
              <w:marTop w:val="0"/>
              <w:marBottom w:val="0"/>
              <w:divBdr>
                <w:top w:val="none" w:sz="0" w:space="0" w:color="auto"/>
                <w:left w:val="none" w:sz="0" w:space="0" w:color="auto"/>
                <w:bottom w:val="none" w:sz="0" w:space="0" w:color="auto"/>
                <w:right w:val="none" w:sz="0" w:space="0" w:color="auto"/>
              </w:divBdr>
            </w:div>
            <w:div w:id="2094206690">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459177507">
          <w:marLeft w:val="0"/>
          <w:marRight w:val="0"/>
          <w:marTop w:val="150"/>
          <w:marBottom w:val="150"/>
          <w:divBdr>
            <w:top w:val="none" w:sz="0" w:space="0" w:color="auto"/>
            <w:left w:val="none" w:sz="0" w:space="0" w:color="auto"/>
            <w:bottom w:val="none" w:sz="0" w:space="0" w:color="auto"/>
            <w:right w:val="none" w:sz="0" w:space="0" w:color="auto"/>
          </w:divBdr>
        </w:div>
        <w:div w:id="2058895517">
          <w:marLeft w:val="0"/>
          <w:marRight w:val="0"/>
          <w:marTop w:val="0"/>
          <w:marBottom w:val="0"/>
          <w:divBdr>
            <w:top w:val="none" w:sz="0" w:space="0" w:color="auto"/>
            <w:left w:val="none" w:sz="0" w:space="0" w:color="auto"/>
            <w:bottom w:val="none" w:sz="0" w:space="0" w:color="auto"/>
            <w:right w:val="none" w:sz="0" w:space="0" w:color="auto"/>
          </w:divBdr>
          <w:divsChild>
            <w:div w:id="275329713">
              <w:marLeft w:val="150"/>
              <w:marRight w:val="0"/>
              <w:marTop w:val="0"/>
              <w:marBottom w:val="0"/>
              <w:divBdr>
                <w:top w:val="none" w:sz="0" w:space="0" w:color="auto"/>
                <w:left w:val="none" w:sz="0" w:space="0" w:color="auto"/>
                <w:bottom w:val="none" w:sz="0" w:space="0" w:color="auto"/>
                <w:right w:val="none" w:sz="0" w:space="0" w:color="auto"/>
              </w:divBdr>
            </w:div>
            <w:div w:id="1482425520">
              <w:marLeft w:val="195"/>
              <w:marRight w:val="0"/>
              <w:marTop w:val="75"/>
              <w:marBottom w:val="150"/>
              <w:divBdr>
                <w:top w:val="single" w:sz="6" w:space="0" w:color="666666"/>
                <w:left w:val="single" w:sz="6" w:space="0" w:color="666666"/>
                <w:bottom w:val="single" w:sz="6" w:space="0" w:color="666666"/>
                <w:right w:val="single" w:sz="6" w:space="0" w:color="666666"/>
              </w:divBdr>
            </w:div>
            <w:div w:id="1855067145">
              <w:marLeft w:val="150"/>
              <w:marRight w:val="0"/>
              <w:marTop w:val="0"/>
              <w:marBottom w:val="0"/>
              <w:divBdr>
                <w:top w:val="none" w:sz="0" w:space="0" w:color="auto"/>
                <w:left w:val="none" w:sz="0" w:space="0" w:color="auto"/>
                <w:bottom w:val="none" w:sz="0" w:space="0" w:color="auto"/>
                <w:right w:val="none" w:sz="0" w:space="0" w:color="auto"/>
              </w:divBdr>
            </w:div>
            <w:div w:id="473260710">
              <w:marLeft w:val="195"/>
              <w:marRight w:val="0"/>
              <w:marTop w:val="75"/>
              <w:marBottom w:val="150"/>
              <w:divBdr>
                <w:top w:val="single" w:sz="6" w:space="0" w:color="666666"/>
                <w:left w:val="single" w:sz="6" w:space="0" w:color="666666"/>
                <w:bottom w:val="single" w:sz="6" w:space="0" w:color="666666"/>
                <w:right w:val="single" w:sz="6" w:space="0" w:color="666666"/>
              </w:divBdr>
            </w:div>
            <w:div w:id="806170017">
              <w:marLeft w:val="150"/>
              <w:marRight w:val="0"/>
              <w:marTop w:val="0"/>
              <w:marBottom w:val="0"/>
              <w:divBdr>
                <w:top w:val="none" w:sz="0" w:space="0" w:color="auto"/>
                <w:left w:val="none" w:sz="0" w:space="0" w:color="auto"/>
                <w:bottom w:val="none" w:sz="0" w:space="0" w:color="auto"/>
                <w:right w:val="none" w:sz="0" w:space="0" w:color="auto"/>
              </w:divBdr>
            </w:div>
            <w:div w:id="188758630">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356420405">
          <w:marLeft w:val="0"/>
          <w:marRight w:val="0"/>
          <w:marTop w:val="150"/>
          <w:marBottom w:val="150"/>
          <w:divBdr>
            <w:top w:val="none" w:sz="0" w:space="0" w:color="auto"/>
            <w:left w:val="none" w:sz="0" w:space="0" w:color="auto"/>
            <w:bottom w:val="none" w:sz="0" w:space="0" w:color="auto"/>
            <w:right w:val="none" w:sz="0" w:space="0" w:color="auto"/>
          </w:divBdr>
        </w:div>
        <w:div w:id="1809515963">
          <w:marLeft w:val="0"/>
          <w:marRight w:val="0"/>
          <w:marTop w:val="0"/>
          <w:marBottom w:val="0"/>
          <w:divBdr>
            <w:top w:val="none" w:sz="0" w:space="0" w:color="auto"/>
            <w:left w:val="none" w:sz="0" w:space="0" w:color="auto"/>
            <w:bottom w:val="none" w:sz="0" w:space="0" w:color="auto"/>
            <w:right w:val="none" w:sz="0" w:space="0" w:color="auto"/>
          </w:divBdr>
          <w:divsChild>
            <w:div w:id="284819642">
              <w:marLeft w:val="150"/>
              <w:marRight w:val="0"/>
              <w:marTop w:val="0"/>
              <w:marBottom w:val="0"/>
              <w:divBdr>
                <w:top w:val="none" w:sz="0" w:space="0" w:color="auto"/>
                <w:left w:val="none" w:sz="0" w:space="0" w:color="auto"/>
                <w:bottom w:val="none" w:sz="0" w:space="0" w:color="auto"/>
                <w:right w:val="none" w:sz="0" w:space="0" w:color="auto"/>
              </w:divBdr>
              <w:divsChild>
                <w:div w:id="1673557456">
                  <w:marLeft w:val="30"/>
                  <w:marRight w:val="0"/>
                  <w:marTop w:val="0"/>
                  <w:marBottom w:val="0"/>
                  <w:divBdr>
                    <w:top w:val="none" w:sz="0" w:space="0" w:color="auto"/>
                    <w:left w:val="none" w:sz="0" w:space="0" w:color="auto"/>
                    <w:bottom w:val="none" w:sz="0" w:space="0" w:color="auto"/>
                    <w:right w:val="none" w:sz="0" w:space="0" w:color="auto"/>
                  </w:divBdr>
                </w:div>
                <w:div w:id="1714387149">
                  <w:marLeft w:val="30"/>
                  <w:marRight w:val="0"/>
                  <w:marTop w:val="75"/>
                  <w:marBottom w:val="150"/>
                  <w:divBdr>
                    <w:top w:val="single" w:sz="6" w:space="0" w:color="666666"/>
                    <w:left w:val="single" w:sz="6" w:space="0" w:color="666666"/>
                    <w:bottom w:val="single" w:sz="6" w:space="0" w:color="666666"/>
                    <w:right w:val="single" w:sz="6" w:space="0" w:color="666666"/>
                  </w:divBdr>
                </w:div>
                <w:div w:id="2051027802">
                  <w:marLeft w:val="30"/>
                  <w:marRight w:val="0"/>
                  <w:marTop w:val="0"/>
                  <w:marBottom w:val="0"/>
                  <w:divBdr>
                    <w:top w:val="none" w:sz="0" w:space="0" w:color="auto"/>
                    <w:left w:val="none" w:sz="0" w:space="0" w:color="auto"/>
                    <w:bottom w:val="none" w:sz="0" w:space="0" w:color="auto"/>
                    <w:right w:val="none" w:sz="0" w:space="0" w:color="auto"/>
                  </w:divBdr>
                </w:div>
                <w:div w:id="592586524">
                  <w:marLeft w:val="30"/>
                  <w:marRight w:val="0"/>
                  <w:marTop w:val="75"/>
                  <w:marBottom w:val="150"/>
                  <w:divBdr>
                    <w:top w:val="single" w:sz="6" w:space="0" w:color="666666"/>
                    <w:left w:val="single" w:sz="6" w:space="0" w:color="666666"/>
                    <w:bottom w:val="single" w:sz="6" w:space="0" w:color="666666"/>
                    <w:right w:val="single" w:sz="6" w:space="0" w:color="666666"/>
                  </w:divBdr>
                </w:div>
                <w:div w:id="1994605214">
                  <w:marLeft w:val="30"/>
                  <w:marRight w:val="0"/>
                  <w:marTop w:val="0"/>
                  <w:marBottom w:val="0"/>
                  <w:divBdr>
                    <w:top w:val="none" w:sz="0" w:space="0" w:color="auto"/>
                    <w:left w:val="none" w:sz="0" w:space="0" w:color="auto"/>
                    <w:bottom w:val="none" w:sz="0" w:space="0" w:color="auto"/>
                    <w:right w:val="none" w:sz="0" w:space="0" w:color="auto"/>
                  </w:divBdr>
                </w:div>
                <w:div w:id="821581907">
                  <w:marLeft w:val="30"/>
                  <w:marRight w:val="0"/>
                  <w:marTop w:val="75"/>
                  <w:marBottom w:val="150"/>
                  <w:divBdr>
                    <w:top w:val="single" w:sz="6" w:space="0" w:color="666666"/>
                    <w:left w:val="single" w:sz="6" w:space="0" w:color="666666"/>
                    <w:bottom w:val="single" w:sz="6" w:space="0" w:color="666666"/>
                    <w:right w:val="single" w:sz="6" w:space="0" w:color="666666"/>
                  </w:divBdr>
                </w:div>
              </w:divsChild>
            </w:div>
          </w:divsChild>
        </w:div>
        <w:div w:id="1436249844">
          <w:marLeft w:val="0"/>
          <w:marRight w:val="0"/>
          <w:marTop w:val="150"/>
          <w:marBottom w:val="150"/>
          <w:divBdr>
            <w:top w:val="none" w:sz="0" w:space="0" w:color="auto"/>
            <w:left w:val="none" w:sz="0" w:space="0" w:color="auto"/>
            <w:bottom w:val="none" w:sz="0" w:space="0" w:color="auto"/>
            <w:right w:val="none" w:sz="0" w:space="0" w:color="auto"/>
          </w:divBdr>
        </w:div>
        <w:div w:id="515461949">
          <w:marLeft w:val="195"/>
          <w:marRight w:val="0"/>
          <w:marTop w:val="75"/>
          <w:marBottom w:val="150"/>
          <w:divBdr>
            <w:top w:val="single" w:sz="6" w:space="0" w:color="666666"/>
            <w:left w:val="single" w:sz="6" w:space="0" w:color="666666"/>
            <w:bottom w:val="single" w:sz="6" w:space="0" w:color="666666"/>
            <w:right w:val="single" w:sz="6" w:space="0" w:color="666666"/>
          </w:divBdr>
        </w:div>
        <w:div w:id="2033727538">
          <w:marLeft w:val="0"/>
          <w:marRight w:val="0"/>
          <w:marTop w:val="150"/>
          <w:marBottom w:val="150"/>
          <w:divBdr>
            <w:top w:val="none" w:sz="0" w:space="0" w:color="auto"/>
            <w:left w:val="none" w:sz="0" w:space="0" w:color="auto"/>
            <w:bottom w:val="none" w:sz="0" w:space="0" w:color="auto"/>
            <w:right w:val="none" w:sz="0" w:space="0" w:color="auto"/>
          </w:divBdr>
        </w:div>
        <w:div w:id="2056542169">
          <w:marLeft w:val="195"/>
          <w:marRight w:val="0"/>
          <w:marTop w:val="75"/>
          <w:marBottom w:val="150"/>
          <w:divBdr>
            <w:top w:val="single" w:sz="6" w:space="0" w:color="666666"/>
            <w:left w:val="single" w:sz="6" w:space="0" w:color="666666"/>
            <w:bottom w:val="single" w:sz="6" w:space="0" w:color="666666"/>
            <w:right w:val="single" w:sz="6" w:space="0" w:color="666666"/>
          </w:divBdr>
        </w:div>
        <w:div w:id="1410154007">
          <w:marLeft w:val="0"/>
          <w:marRight w:val="0"/>
          <w:marTop w:val="150"/>
          <w:marBottom w:val="150"/>
          <w:divBdr>
            <w:top w:val="none" w:sz="0" w:space="0" w:color="auto"/>
            <w:left w:val="none" w:sz="0" w:space="0" w:color="auto"/>
            <w:bottom w:val="none" w:sz="0" w:space="0" w:color="auto"/>
            <w:right w:val="none" w:sz="0" w:space="0" w:color="auto"/>
          </w:divBdr>
        </w:div>
        <w:div w:id="870145496">
          <w:marLeft w:val="0"/>
          <w:marRight w:val="0"/>
          <w:marTop w:val="150"/>
          <w:marBottom w:val="150"/>
          <w:divBdr>
            <w:top w:val="none" w:sz="0" w:space="0" w:color="auto"/>
            <w:left w:val="none" w:sz="0" w:space="0" w:color="auto"/>
            <w:bottom w:val="none" w:sz="0" w:space="0" w:color="auto"/>
            <w:right w:val="none" w:sz="0" w:space="0" w:color="auto"/>
          </w:divBdr>
        </w:div>
        <w:div w:id="1163164137">
          <w:marLeft w:val="0"/>
          <w:marRight w:val="0"/>
          <w:marTop w:val="150"/>
          <w:marBottom w:val="150"/>
          <w:divBdr>
            <w:top w:val="none" w:sz="0" w:space="0" w:color="auto"/>
            <w:left w:val="none" w:sz="0" w:space="0" w:color="auto"/>
            <w:bottom w:val="none" w:sz="0" w:space="0" w:color="auto"/>
            <w:right w:val="none" w:sz="0" w:space="0" w:color="auto"/>
          </w:divBdr>
        </w:div>
        <w:div w:id="975110566">
          <w:marLeft w:val="0"/>
          <w:marRight w:val="0"/>
          <w:marTop w:val="0"/>
          <w:marBottom w:val="0"/>
          <w:divBdr>
            <w:top w:val="none" w:sz="0" w:space="0" w:color="auto"/>
            <w:left w:val="none" w:sz="0" w:space="0" w:color="auto"/>
            <w:bottom w:val="none" w:sz="0" w:space="0" w:color="auto"/>
            <w:right w:val="none" w:sz="0" w:space="0" w:color="auto"/>
          </w:divBdr>
        </w:div>
        <w:div w:id="1132021374">
          <w:marLeft w:val="0"/>
          <w:marRight w:val="0"/>
          <w:marTop w:val="150"/>
          <w:marBottom w:val="150"/>
          <w:divBdr>
            <w:top w:val="none" w:sz="0" w:space="0" w:color="auto"/>
            <w:left w:val="none" w:sz="0" w:space="0" w:color="auto"/>
            <w:bottom w:val="none" w:sz="0" w:space="0" w:color="auto"/>
            <w:right w:val="none" w:sz="0" w:space="0" w:color="auto"/>
          </w:divBdr>
        </w:div>
        <w:div w:id="768623180">
          <w:marLeft w:val="0"/>
          <w:marRight w:val="0"/>
          <w:marTop w:val="0"/>
          <w:marBottom w:val="0"/>
          <w:divBdr>
            <w:top w:val="none" w:sz="0" w:space="0" w:color="auto"/>
            <w:left w:val="none" w:sz="0" w:space="0" w:color="auto"/>
            <w:bottom w:val="none" w:sz="0" w:space="0" w:color="auto"/>
            <w:right w:val="none" w:sz="0" w:space="0" w:color="auto"/>
          </w:divBdr>
        </w:div>
        <w:div w:id="132841841">
          <w:marLeft w:val="0"/>
          <w:marRight w:val="0"/>
          <w:marTop w:val="150"/>
          <w:marBottom w:val="150"/>
          <w:divBdr>
            <w:top w:val="none" w:sz="0" w:space="0" w:color="auto"/>
            <w:left w:val="none" w:sz="0" w:space="0" w:color="auto"/>
            <w:bottom w:val="none" w:sz="0" w:space="0" w:color="auto"/>
            <w:right w:val="none" w:sz="0" w:space="0" w:color="auto"/>
          </w:divBdr>
        </w:div>
        <w:div w:id="1663772570">
          <w:marLeft w:val="0"/>
          <w:marRight w:val="0"/>
          <w:marTop w:val="0"/>
          <w:marBottom w:val="0"/>
          <w:divBdr>
            <w:top w:val="none" w:sz="0" w:space="0" w:color="auto"/>
            <w:left w:val="none" w:sz="0" w:space="0" w:color="auto"/>
            <w:bottom w:val="none" w:sz="0" w:space="0" w:color="auto"/>
            <w:right w:val="none" w:sz="0" w:space="0" w:color="auto"/>
          </w:divBdr>
        </w:div>
        <w:div w:id="1248271315">
          <w:marLeft w:val="0"/>
          <w:marRight w:val="0"/>
          <w:marTop w:val="150"/>
          <w:marBottom w:val="150"/>
          <w:divBdr>
            <w:top w:val="none" w:sz="0" w:space="0" w:color="auto"/>
            <w:left w:val="none" w:sz="0" w:space="0" w:color="auto"/>
            <w:bottom w:val="none" w:sz="0" w:space="0" w:color="auto"/>
            <w:right w:val="none" w:sz="0" w:space="0" w:color="auto"/>
          </w:divBdr>
        </w:div>
        <w:div w:id="1910924185">
          <w:marLeft w:val="30"/>
          <w:marRight w:val="0"/>
          <w:marTop w:val="75"/>
          <w:marBottom w:val="150"/>
          <w:divBdr>
            <w:top w:val="single" w:sz="6" w:space="0" w:color="666666"/>
            <w:left w:val="single" w:sz="6" w:space="0" w:color="666666"/>
            <w:bottom w:val="single" w:sz="6" w:space="0" w:color="666666"/>
            <w:right w:val="single" w:sz="6" w:space="0" w:color="666666"/>
          </w:divBdr>
        </w:div>
        <w:div w:id="444428646">
          <w:marLeft w:val="0"/>
          <w:marRight w:val="0"/>
          <w:marTop w:val="0"/>
          <w:marBottom w:val="0"/>
          <w:divBdr>
            <w:top w:val="none" w:sz="0" w:space="0" w:color="auto"/>
            <w:left w:val="none" w:sz="0" w:space="0" w:color="auto"/>
            <w:bottom w:val="none" w:sz="0" w:space="0" w:color="auto"/>
            <w:right w:val="none" w:sz="0" w:space="0" w:color="auto"/>
          </w:divBdr>
        </w:div>
        <w:div w:id="260384042">
          <w:marLeft w:val="0"/>
          <w:marRight w:val="0"/>
          <w:marTop w:val="150"/>
          <w:marBottom w:val="150"/>
          <w:divBdr>
            <w:top w:val="none" w:sz="0" w:space="0" w:color="auto"/>
            <w:left w:val="none" w:sz="0" w:space="0" w:color="auto"/>
            <w:bottom w:val="none" w:sz="0" w:space="0" w:color="auto"/>
            <w:right w:val="none" w:sz="0" w:space="0" w:color="auto"/>
          </w:divBdr>
        </w:div>
        <w:div w:id="2093160906">
          <w:marLeft w:val="0"/>
          <w:marRight w:val="0"/>
          <w:marTop w:val="0"/>
          <w:marBottom w:val="0"/>
          <w:divBdr>
            <w:top w:val="none" w:sz="0" w:space="0" w:color="auto"/>
            <w:left w:val="none" w:sz="0" w:space="0" w:color="auto"/>
            <w:bottom w:val="none" w:sz="0" w:space="0" w:color="auto"/>
            <w:right w:val="none" w:sz="0" w:space="0" w:color="auto"/>
          </w:divBdr>
          <w:divsChild>
            <w:div w:id="1498766332">
              <w:marLeft w:val="150"/>
              <w:marRight w:val="0"/>
              <w:marTop w:val="0"/>
              <w:marBottom w:val="0"/>
              <w:divBdr>
                <w:top w:val="none" w:sz="0" w:space="0" w:color="auto"/>
                <w:left w:val="none" w:sz="0" w:space="0" w:color="auto"/>
                <w:bottom w:val="none" w:sz="0" w:space="0" w:color="auto"/>
                <w:right w:val="none" w:sz="0" w:space="0" w:color="auto"/>
              </w:divBdr>
            </w:div>
            <w:div w:id="1874296352">
              <w:marLeft w:val="195"/>
              <w:marRight w:val="0"/>
              <w:marTop w:val="75"/>
              <w:marBottom w:val="150"/>
              <w:divBdr>
                <w:top w:val="single" w:sz="6" w:space="0" w:color="666666"/>
                <w:left w:val="single" w:sz="6" w:space="0" w:color="666666"/>
                <w:bottom w:val="single" w:sz="6" w:space="0" w:color="666666"/>
                <w:right w:val="single" w:sz="6" w:space="0" w:color="666666"/>
              </w:divBdr>
            </w:div>
            <w:div w:id="1326743303">
              <w:marLeft w:val="150"/>
              <w:marRight w:val="0"/>
              <w:marTop w:val="0"/>
              <w:marBottom w:val="0"/>
              <w:divBdr>
                <w:top w:val="none" w:sz="0" w:space="0" w:color="auto"/>
                <w:left w:val="none" w:sz="0" w:space="0" w:color="auto"/>
                <w:bottom w:val="none" w:sz="0" w:space="0" w:color="auto"/>
                <w:right w:val="none" w:sz="0" w:space="0" w:color="auto"/>
              </w:divBdr>
            </w:div>
            <w:div w:id="1596282481">
              <w:marLeft w:val="195"/>
              <w:marRight w:val="0"/>
              <w:marTop w:val="75"/>
              <w:marBottom w:val="150"/>
              <w:divBdr>
                <w:top w:val="single" w:sz="6" w:space="0" w:color="666666"/>
                <w:left w:val="single" w:sz="6" w:space="0" w:color="666666"/>
                <w:bottom w:val="single" w:sz="6" w:space="0" w:color="666666"/>
                <w:right w:val="single" w:sz="6" w:space="0" w:color="666666"/>
              </w:divBdr>
            </w:div>
            <w:div w:id="1373576958">
              <w:marLeft w:val="150"/>
              <w:marRight w:val="0"/>
              <w:marTop w:val="0"/>
              <w:marBottom w:val="0"/>
              <w:divBdr>
                <w:top w:val="none" w:sz="0" w:space="0" w:color="auto"/>
                <w:left w:val="none" w:sz="0" w:space="0" w:color="auto"/>
                <w:bottom w:val="none" w:sz="0" w:space="0" w:color="auto"/>
                <w:right w:val="none" w:sz="0" w:space="0" w:color="auto"/>
              </w:divBdr>
            </w:div>
            <w:div w:id="2146657727">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467428147">
          <w:marLeft w:val="0"/>
          <w:marRight w:val="0"/>
          <w:marTop w:val="150"/>
          <w:marBottom w:val="150"/>
          <w:divBdr>
            <w:top w:val="none" w:sz="0" w:space="0" w:color="auto"/>
            <w:left w:val="none" w:sz="0" w:space="0" w:color="auto"/>
            <w:bottom w:val="none" w:sz="0" w:space="0" w:color="auto"/>
            <w:right w:val="none" w:sz="0" w:space="0" w:color="auto"/>
          </w:divBdr>
        </w:div>
        <w:div w:id="40986433">
          <w:marLeft w:val="195"/>
          <w:marRight w:val="0"/>
          <w:marTop w:val="75"/>
          <w:marBottom w:val="150"/>
          <w:divBdr>
            <w:top w:val="single" w:sz="6" w:space="0" w:color="666666"/>
            <w:left w:val="single" w:sz="6" w:space="0" w:color="666666"/>
            <w:bottom w:val="single" w:sz="6" w:space="0" w:color="666666"/>
            <w:right w:val="single" w:sz="6" w:space="0" w:color="666666"/>
          </w:divBdr>
        </w:div>
        <w:div w:id="1454865200">
          <w:marLeft w:val="0"/>
          <w:marRight w:val="0"/>
          <w:marTop w:val="150"/>
          <w:marBottom w:val="150"/>
          <w:divBdr>
            <w:top w:val="none" w:sz="0" w:space="0" w:color="auto"/>
            <w:left w:val="none" w:sz="0" w:space="0" w:color="auto"/>
            <w:bottom w:val="none" w:sz="0" w:space="0" w:color="auto"/>
            <w:right w:val="none" w:sz="0" w:space="0" w:color="auto"/>
          </w:divBdr>
        </w:div>
        <w:div w:id="316571235">
          <w:marLeft w:val="195"/>
          <w:marRight w:val="0"/>
          <w:marTop w:val="75"/>
          <w:marBottom w:val="150"/>
          <w:divBdr>
            <w:top w:val="single" w:sz="6" w:space="0" w:color="666666"/>
            <w:left w:val="single" w:sz="6" w:space="0" w:color="666666"/>
            <w:bottom w:val="single" w:sz="6" w:space="0" w:color="666666"/>
            <w:right w:val="single" w:sz="6" w:space="0" w:color="666666"/>
          </w:divBdr>
        </w:div>
        <w:div w:id="1228760978">
          <w:marLeft w:val="0"/>
          <w:marRight w:val="0"/>
          <w:marTop w:val="150"/>
          <w:marBottom w:val="150"/>
          <w:divBdr>
            <w:top w:val="none" w:sz="0" w:space="0" w:color="auto"/>
            <w:left w:val="none" w:sz="0" w:space="0" w:color="auto"/>
            <w:bottom w:val="none" w:sz="0" w:space="0" w:color="auto"/>
            <w:right w:val="none" w:sz="0" w:space="0" w:color="auto"/>
          </w:divBdr>
        </w:div>
        <w:div w:id="1651909051">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2987</Characters>
  <Application>Microsoft Office Word</Application>
  <DocSecurity>0</DocSecurity>
  <Lines>24</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van Dijk</dc:creator>
  <cp:keywords/>
  <dc:description/>
  <cp:lastModifiedBy>Jelle van Dijk</cp:lastModifiedBy>
  <cp:revision>2</cp:revision>
  <dcterms:created xsi:type="dcterms:W3CDTF">2025-02-21T13:42:00Z</dcterms:created>
  <dcterms:modified xsi:type="dcterms:W3CDTF">2025-02-21T13:42:00Z</dcterms:modified>
</cp:coreProperties>
</file>