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4133A" w:rsidRPr="00A20BB1" w14:paraId="06CE76A5" w14:textId="77777777" w:rsidTr="00BD479D">
        <w:trPr>
          <w:tblCellSpacing w:w="15" w:type="dxa"/>
        </w:trPr>
        <w:tc>
          <w:tcPr>
            <w:tcW w:w="0" w:type="auto"/>
            <w:vAlign w:val="center"/>
          </w:tcPr>
          <w:tbl>
            <w:tblPr>
              <w:tblW w:w="8842" w:type="dxa"/>
              <w:tblCellSpacing w:w="15" w:type="dxa"/>
              <w:tblCellMar>
                <w:top w:w="15" w:type="dxa"/>
                <w:left w:w="15" w:type="dxa"/>
                <w:bottom w:w="15" w:type="dxa"/>
                <w:right w:w="15" w:type="dxa"/>
              </w:tblCellMar>
              <w:tblLook w:val="04A0" w:firstRow="1" w:lastRow="0" w:firstColumn="1" w:lastColumn="0" w:noHBand="0" w:noVBand="1"/>
            </w:tblPr>
            <w:tblGrid>
              <w:gridCol w:w="1428"/>
              <w:gridCol w:w="3772"/>
              <w:gridCol w:w="3642"/>
            </w:tblGrid>
            <w:tr w:rsidR="0004133A" w:rsidRPr="00A20BB1" w14:paraId="6A917CD7" w14:textId="77777777" w:rsidTr="00BD479D">
              <w:trPr>
                <w:trHeight w:val="220"/>
                <w:tblCellSpacing w:w="15" w:type="dxa"/>
              </w:trPr>
              <w:tc>
                <w:tcPr>
                  <w:tcW w:w="1383" w:type="dxa"/>
                  <w:vAlign w:val="center"/>
                </w:tcPr>
                <w:p w14:paraId="531546A3" w14:textId="77777777" w:rsidR="0004133A" w:rsidRPr="00A20BB1" w:rsidRDefault="0004133A" w:rsidP="00BD479D">
                  <w:pPr>
                    <w:spacing w:after="0" w:line="240" w:lineRule="auto"/>
                    <w:rPr>
                      <w:rFonts w:eastAsia="Times New Roman" w:cs="Arial"/>
                      <w:color w:val="000000"/>
                      <w:kern w:val="0"/>
                      <w:sz w:val="17"/>
                      <w:szCs w:val="17"/>
                    </w:rPr>
                  </w:pPr>
                </w:p>
              </w:tc>
              <w:tc>
                <w:tcPr>
                  <w:tcW w:w="3742" w:type="dxa"/>
                  <w:vAlign w:val="center"/>
                </w:tcPr>
                <w:p w14:paraId="7243C6E2" w14:textId="77777777" w:rsidR="0004133A" w:rsidRPr="00A20BB1" w:rsidRDefault="0004133A" w:rsidP="00BD479D">
                  <w:pPr>
                    <w:spacing w:after="0" w:line="240" w:lineRule="auto"/>
                    <w:rPr>
                      <w:rFonts w:eastAsia="Times New Roman" w:cs="Arial"/>
                      <w:color w:val="000000"/>
                      <w:kern w:val="0"/>
                      <w:sz w:val="17"/>
                      <w:szCs w:val="17"/>
                    </w:rPr>
                  </w:pPr>
                </w:p>
              </w:tc>
              <w:tc>
                <w:tcPr>
                  <w:tcW w:w="3597" w:type="dxa"/>
                  <w:vMerge w:val="restart"/>
                  <w:vAlign w:val="center"/>
                </w:tcPr>
                <w:p w14:paraId="2D31CCFB" w14:textId="77777777" w:rsidR="0004133A" w:rsidRPr="00A20BB1" w:rsidRDefault="0004133A" w:rsidP="00BD479D">
                  <w:pPr>
                    <w:spacing w:after="0" w:line="240" w:lineRule="auto"/>
                    <w:jc w:val="right"/>
                    <w:rPr>
                      <w:rFonts w:eastAsia="Times New Roman" w:cs="Arial"/>
                      <w:noProof/>
                      <w:color w:val="000000"/>
                      <w:kern w:val="0"/>
                      <w:sz w:val="17"/>
                      <w:szCs w:val="17"/>
                    </w:rPr>
                  </w:pPr>
                  <w:r w:rsidRPr="00A20BB1">
                    <w:rPr>
                      <w:rFonts w:eastAsia="Times New Roman" w:cs="Arial"/>
                      <w:noProof/>
                    </w:rPr>
                    <w:drawing>
                      <wp:inline distT="0" distB="0" distL="0" distR="0" wp14:anchorId="4598140C" wp14:editId="7645E879">
                        <wp:extent cx="1591727" cy="3714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ose\AppData\Local\Microsoft\Windows\Temporary Internet Files\Content.Outlook\WKQD5O54\accsys plc logo tab CMYK.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591727" cy="371402"/>
                                </a:xfrm>
                                <a:prstGeom prst="rect">
                                  <a:avLst/>
                                </a:prstGeom>
                                <a:noFill/>
                                <a:ln>
                                  <a:noFill/>
                                </a:ln>
                              </pic:spPr>
                            </pic:pic>
                          </a:graphicData>
                        </a:graphic>
                      </wp:inline>
                    </w:drawing>
                  </w:r>
                </w:p>
              </w:tc>
            </w:tr>
            <w:tr w:rsidR="0004133A" w:rsidRPr="00A20BB1" w14:paraId="7D1BBB5F" w14:textId="77777777" w:rsidTr="00BD479D">
              <w:trPr>
                <w:trHeight w:val="220"/>
                <w:tblCellSpacing w:w="15" w:type="dxa"/>
              </w:trPr>
              <w:tc>
                <w:tcPr>
                  <w:tcW w:w="0" w:type="auto"/>
                  <w:vAlign w:val="center"/>
                </w:tcPr>
                <w:p w14:paraId="6A6F4521" w14:textId="77777777" w:rsidR="0004133A" w:rsidRPr="00A20BB1" w:rsidRDefault="0004133A" w:rsidP="00BD479D">
                  <w:pPr>
                    <w:spacing w:after="0" w:line="240" w:lineRule="auto"/>
                    <w:rPr>
                      <w:rFonts w:eastAsia="Times New Roman" w:cs="Arial"/>
                      <w:color w:val="000000"/>
                      <w:kern w:val="0"/>
                      <w:sz w:val="17"/>
                      <w:szCs w:val="17"/>
                    </w:rPr>
                  </w:pPr>
                </w:p>
              </w:tc>
              <w:tc>
                <w:tcPr>
                  <w:tcW w:w="3742" w:type="dxa"/>
                  <w:vAlign w:val="center"/>
                </w:tcPr>
                <w:p w14:paraId="49BBFAF3" w14:textId="77777777" w:rsidR="0004133A" w:rsidRPr="00A20BB1" w:rsidRDefault="0004133A" w:rsidP="00BD479D">
                  <w:pPr>
                    <w:spacing w:after="0" w:line="240" w:lineRule="auto"/>
                    <w:rPr>
                      <w:rFonts w:eastAsia="Times New Roman" w:cs="Arial"/>
                      <w:color w:val="000000"/>
                      <w:kern w:val="0"/>
                      <w:sz w:val="17"/>
                      <w:szCs w:val="17"/>
                    </w:rPr>
                  </w:pPr>
                </w:p>
              </w:tc>
              <w:tc>
                <w:tcPr>
                  <w:tcW w:w="3597" w:type="dxa"/>
                  <w:vMerge/>
                  <w:vAlign w:val="center"/>
                </w:tcPr>
                <w:p w14:paraId="4B970EB3" w14:textId="77777777" w:rsidR="0004133A" w:rsidRPr="00A20BB1" w:rsidRDefault="0004133A" w:rsidP="00BD479D">
                  <w:pPr>
                    <w:spacing w:after="0" w:line="240" w:lineRule="auto"/>
                    <w:rPr>
                      <w:rFonts w:eastAsia="Times New Roman" w:cs="Arial"/>
                      <w:color w:val="000000"/>
                      <w:kern w:val="0"/>
                      <w:sz w:val="17"/>
                      <w:szCs w:val="17"/>
                    </w:rPr>
                  </w:pPr>
                </w:p>
              </w:tc>
            </w:tr>
            <w:tr w:rsidR="0004133A" w:rsidRPr="00A20BB1" w14:paraId="4FDE6AD2" w14:textId="77777777" w:rsidTr="00BD479D">
              <w:trPr>
                <w:trHeight w:val="220"/>
                <w:tblCellSpacing w:w="15" w:type="dxa"/>
              </w:trPr>
              <w:tc>
                <w:tcPr>
                  <w:tcW w:w="0" w:type="auto"/>
                  <w:vAlign w:val="center"/>
                </w:tcPr>
                <w:p w14:paraId="2BF01D41" w14:textId="77777777" w:rsidR="0004133A" w:rsidRPr="00A20BB1" w:rsidRDefault="0004133A" w:rsidP="00BD479D">
                  <w:pPr>
                    <w:spacing w:after="0" w:line="240" w:lineRule="auto"/>
                    <w:rPr>
                      <w:rFonts w:eastAsia="Times New Roman" w:cs="Arial"/>
                      <w:color w:val="000000"/>
                      <w:kern w:val="0"/>
                      <w:sz w:val="17"/>
                      <w:szCs w:val="17"/>
                    </w:rPr>
                  </w:pPr>
                </w:p>
              </w:tc>
              <w:tc>
                <w:tcPr>
                  <w:tcW w:w="3742" w:type="dxa"/>
                  <w:vAlign w:val="center"/>
                </w:tcPr>
                <w:p w14:paraId="359F1643" w14:textId="77777777" w:rsidR="0004133A" w:rsidRPr="00A20BB1" w:rsidRDefault="0004133A" w:rsidP="00BD479D">
                  <w:pPr>
                    <w:spacing w:after="0" w:line="240" w:lineRule="auto"/>
                    <w:rPr>
                      <w:rFonts w:eastAsia="Times New Roman" w:cs="Arial"/>
                      <w:color w:val="000000"/>
                      <w:kern w:val="0"/>
                      <w:sz w:val="17"/>
                      <w:szCs w:val="17"/>
                    </w:rPr>
                  </w:pPr>
                </w:p>
              </w:tc>
              <w:tc>
                <w:tcPr>
                  <w:tcW w:w="3597" w:type="dxa"/>
                  <w:vMerge/>
                  <w:vAlign w:val="center"/>
                </w:tcPr>
                <w:p w14:paraId="3325E567" w14:textId="77777777" w:rsidR="0004133A" w:rsidRPr="00A20BB1" w:rsidRDefault="0004133A" w:rsidP="00BD479D">
                  <w:pPr>
                    <w:spacing w:after="0" w:line="240" w:lineRule="auto"/>
                    <w:rPr>
                      <w:rFonts w:eastAsia="Times New Roman" w:cs="Arial"/>
                      <w:color w:val="000000"/>
                      <w:kern w:val="0"/>
                      <w:sz w:val="17"/>
                      <w:szCs w:val="17"/>
                    </w:rPr>
                  </w:pPr>
                </w:p>
              </w:tc>
            </w:tr>
            <w:tr w:rsidR="0004133A" w:rsidRPr="00A20BB1" w14:paraId="1BF95E92" w14:textId="77777777" w:rsidTr="00BD479D">
              <w:trPr>
                <w:trHeight w:val="220"/>
                <w:tblCellSpacing w:w="15" w:type="dxa"/>
              </w:trPr>
              <w:tc>
                <w:tcPr>
                  <w:tcW w:w="0" w:type="auto"/>
                  <w:vAlign w:val="center"/>
                </w:tcPr>
                <w:p w14:paraId="22B4E24B" w14:textId="77777777" w:rsidR="0004133A" w:rsidRPr="00A20BB1" w:rsidRDefault="0004133A" w:rsidP="00BD479D">
                  <w:pPr>
                    <w:spacing w:after="0" w:line="240" w:lineRule="auto"/>
                    <w:rPr>
                      <w:rFonts w:eastAsia="Times New Roman" w:cs="Arial"/>
                      <w:color w:val="000000"/>
                      <w:kern w:val="0"/>
                      <w:sz w:val="17"/>
                      <w:szCs w:val="17"/>
                    </w:rPr>
                  </w:pPr>
                </w:p>
              </w:tc>
              <w:tc>
                <w:tcPr>
                  <w:tcW w:w="3742" w:type="dxa"/>
                  <w:vAlign w:val="center"/>
                </w:tcPr>
                <w:p w14:paraId="105A0F39" w14:textId="77777777" w:rsidR="0004133A" w:rsidRPr="004219C9" w:rsidRDefault="0004133A" w:rsidP="00BD479D">
                  <w:pPr>
                    <w:spacing w:after="0" w:line="240" w:lineRule="auto"/>
                    <w:jc w:val="both"/>
                    <w:rPr>
                      <w:rFonts w:eastAsia="Times New Roman" w:cs="Arial"/>
                      <w:color w:val="000000"/>
                      <w:kern w:val="0"/>
                      <w:sz w:val="17"/>
                      <w:szCs w:val="17"/>
                      <w:highlight w:val="yellow"/>
                    </w:rPr>
                  </w:pPr>
                </w:p>
              </w:tc>
              <w:tc>
                <w:tcPr>
                  <w:tcW w:w="3597" w:type="dxa"/>
                  <w:vMerge/>
                  <w:vAlign w:val="center"/>
                </w:tcPr>
                <w:p w14:paraId="6A06A51E" w14:textId="77777777" w:rsidR="0004133A" w:rsidRPr="00A20BB1" w:rsidRDefault="0004133A" w:rsidP="00BD479D">
                  <w:pPr>
                    <w:spacing w:after="0" w:line="240" w:lineRule="auto"/>
                    <w:rPr>
                      <w:rFonts w:eastAsia="Times New Roman" w:cs="Arial"/>
                      <w:color w:val="000000"/>
                      <w:kern w:val="0"/>
                      <w:sz w:val="17"/>
                      <w:szCs w:val="17"/>
                    </w:rPr>
                  </w:pPr>
                </w:p>
              </w:tc>
            </w:tr>
            <w:tr w:rsidR="0004133A" w:rsidRPr="00A20BB1" w14:paraId="444E6D94" w14:textId="77777777" w:rsidTr="00BD479D">
              <w:trPr>
                <w:trHeight w:val="149"/>
                <w:tblCellSpacing w:w="15" w:type="dxa"/>
              </w:trPr>
              <w:tc>
                <w:tcPr>
                  <w:tcW w:w="0" w:type="auto"/>
                  <w:vAlign w:val="center"/>
                </w:tcPr>
                <w:p w14:paraId="48ADC561" w14:textId="77777777" w:rsidR="0004133A" w:rsidRPr="00A20BB1" w:rsidRDefault="0004133A" w:rsidP="00BD479D">
                  <w:pPr>
                    <w:spacing w:after="0" w:line="240" w:lineRule="auto"/>
                    <w:rPr>
                      <w:rFonts w:eastAsia="Times New Roman" w:cs="Arial"/>
                      <w:color w:val="000000"/>
                      <w:kern w:val="0"/>
                      <w:sz w:val="17"/>
                      <w:szCs w:val="17"/>
                    </w:rPr>
                  </w:pPr>
                </w:p>
              </w:tc>
              <w:tc>
                <w:tcPr>
                  <w:tcW w:w="3742" w:type="dxa"/>
                  <w:vAlign w:val="center"/>
                </w:tcPr>
                <w:p w14:paraId="4D79F8DF" w14:textId="77777777" w:rsidR="0004133A" w:rsidRPr="00A20BB1" w:rsidRDefault="0004133A" w:rsidP="00BD479D">
                  <w:pPr>
                    <w:spacing w:after="0" w:line="240" w:lineRule="auto"/>
                    <w:rPr>
                      <w:rFonts w:eastAsia="Times New Roman" w:cs="Arial"/>
                      <w:color w:val="000000"/>
                      <w:kern w:val="0"/>
                      <w:sz w:val="17"/>
                      <w:szCs w:val="17"/>
                    </w:rPr>
                  </w:pPr>
                </w:p>
              </w:tc>
              <w:tc>
                <w:tcPr>
                  <w:tcW w:w="3597" w:type="dxa"/>
                  <w:vMerge/>
                  <w:vAlign w:val="center"/>
                </w:tcPr>
                <w:p w14:paraId="5B4D6CA9" w14:textId="77777777" w:rsidR="0004133A" w:rsidRPr="00A20BB1" w:rsidRDefault="0004133A" w:rsidP="00BD479D">
                  <w:pPr>
                    <w:spacing w:after="0" w:line="240" w:lineRule="auto"/>
                    <w:rPr>
                      <w:rFonts w:eastAsia="Times New Roman" w:cs="Arial"/>
                      <w:kern w:val="0"/>
                      <w:sz w:val="22"/>
                      <w:szCs w:val="20"/>
                      <w:lang w:eastAsia="en-US"/>
                    </w:rPr>
                  </w:pPr>
                </w:p>
              </w:tc>
            </w:tr>
          </w:tbl>
          <w:p w14:paraId="0FCEACF9" w14:textId="77777777" w:rsidR="0004133A" w:rsidRPr="00A20BB1" w:rsidRDefault="0004133A" w:rsidP="00BD479D">
            <w:pPr>
              <w:spacing w:after="0" w:line="240" w:lineRule="auto"/>
              <w:rPr>
                <w:rFonts w:eastAsia="Times New Roman" w:cs="Times New Roman"/>
                <w:color w:val="000000"/>
                <w:kern w:val="0"/>
                <w:sz w:val="17"/>
                <w:szCs w:val="20"/>
                <w:lang w:eastAsia="en-US"/>
              </w:rPr>
            </w:pPr>
          </w:p>
        </w:tc>
      </w:tr>
    </w:tbl>
    <w:p w14:paraId="39AA5588" w14:textId="77777777" w:rsidR="0004133A" w:rsidRPr="009A3355" w:rsidRDefault="0004133A" w:rsidP="0004133A">
      <w:pPr>
        <w:spacing w:after="0" w:line="240" w:lineRule="auto"/>
        <w:ind w:right="142"/>
        <w:jc w:val="right"/>
        <w:rPr>
          <w:rFonts w:eastAsia="Times New Roman" w:cs="Arial"/>
          <w:kern w:val="0"/>
          <w:sz w:val="18"/>
          <w:szCs w:val="18"/>
          <w:lang w:eastAsia="en-US"/>
        </w:rPr>
      </w:pPr>
      <w:smartTag w:uri="urn:schemas-microsoft-com:office:smarttags" w:element="stockticker">
        <w:r w:rsidRPr="009A3355">
          <w:rPr>
            <w:rFonts w:eastAsia="Times New Roman" w:cs="Arial"/>
            <w:b/>
            <w:kern w:val="0"/>
            <w:sz w:val="18"/>
            <w:szCs w:val="18"/>
            <w:lang w:eastAsia="en-US"/>
          </w:rPr>
          <w:t>AIM</w:t>
        </w:r>
      </w:smartTag>
      <w:r w:rsidRPr="009A3355">
        <w:rPr>
          <w:rFonts w:eastAsia="Times New Roman" w:cs="Arial"/>
          <w:b/>
          <w:kern w:val="0"/>
          <w:sz w:val="18"/>
          <w:szCs w:val="18"/>
          <w:lang w:eastAsia="en-US"/>
        </w:rPr>
        <w:t>: AXS</w:t>
      </w:r>
    </w:p>
    <w:p w14:paraId="56A02815" w14:textId="77777777" w:rsidR="0004133A" w:rsidRPr="009A3355" w:rsidRDefault="0004133A" w:rsidP="0004133A">
      <w:pPr>
        <w:spacing w:after="0" w:line="240" w:lineRule="auto"/>
        <w:ind w:right="142"/>
        <w:jc w:val="right"/>
        <w:rPr>
          <w:rFonts w:eastAsia="Times New Roman" w:cs="Arial"/>
          <w:kern w:val="0"/>
          <w:sz w:val="18"/>
          <w:szCs w:val="18"/>
          <w:lang w:eastAsia="en-US"/>
        </w:rPr>
      </w:pPr>
      <w:r w:rsidRPr="009A3355">
        <w:rPr>
          <w:rFonts w:eastAsia="Times New Roman" w:cs="Arial"/>
          <w:b/>
          <w:kern w:val="0"/>
          <w:sz w:val="18"/>
          <w:szCs w:val="18"/>
          <w:lang w:eastAsia="en-US"/>
        </w:rPr>
        <w:t>Euronext Amsterdam: AXS</w:t>
      </w:r>
    </w:p>
    <w:p w14:paraId="592E9A20" w14:textId="77777777" w:rsidR="0004133A" w:rsidRPr="009A3355" w:rsidRDefault="0004133A" w:rsidP="0004133A">
      <w:pPr>
        <w:autoSpaceDE w:val="0"/>
        <w:autoSpaceDN w:val="0"/>
        <w:adjustRightInd w:val="0"/>
        <w:spacing w:after="0" w:line="240" w:lineRule="auto"/>
        <w:rPr>
          <w:rFonts w:eastAsia="Times New Roman" w:cs="Arial"/>
          <w:b/>
          <w:kern w:val="0"/>
          <w:sz w:val="18"/>
          <w:szCs w:val="18"/>
          <w:lang w:eastAsia="en-US"/>
        </w:rPr>
      </w:pPr>
    </w:p>
    <w:p w14:paraId="6BDB9810" w14:textId="77777777" w:rsidR="0004133A" w:rsidRPr="009A3355" w:rsidRDefault="0004133A" w:rsidP="0004133A">
      <w:pPr>
        <w:autoSpaceDE w:val="0"/>
        <w:autoSpaceDN w:val="0"/>
        <w:adjustRightInd w:val="0"/>
        <w:spacing w:after="0" w:line="240" w:lineRule="auto"/>
        <w:rPr>
          <w:rFonts w:eastAsia="Times New Roman" w:cs="Arial"/>
          <w:b/>
          <w:bCs/>
          <w:kern w:val="0"/>
          <w:sz w:val="18"/>
          <w:szCs w:val="18"/>
          <w:lang w:eastAsia="en-US"/>
        </w:rPr>
      </w:pPr>
      <w:r w:rsidRPr="7A7014BD">
        <w:rPr>
          <w:rFonts w:eastAsia="Times New Roman" w:cs="Arial"/>
          <w:b/>
          <w:bCs/>
          <w:kern w:val="0"/>
          <w:sz w:val="18"/>
          <w:szCs w:val="18"/>
          <w:lang w:eastAsia="en-US"/>
        </w:rPr>
        <w:t>30 January 2025</w:t>
      </w:r>
    </w:p>
    <w:p w14:paraId="626580DE" w14:textId="77777777" w:rsidR="0004133A" w:rsidRPr="009A3355" w:rsidRDefault="0004133A" w:rsidP="0004133A">
      <w:pPr>
        <w:pStyle w:val="NoSpacing"/>
        <w:jc w:val="center"/>
        <w:rPr>
          <w:rFonts w:cs="Arial"/>
          <w:b/>
          <w:sz w:val="18"/>
          <w:szCs w:val="18"/>
        </w:rPr>
      </w:pPr>
    </w:p>
    <w:p w14:paraId="6B0DA395" w14:textId="77777777" w:rsidR="0004133A" w:rsidRPr="009A3355" w:rsidRDefault="0004133A" w:rsidP="0004133A">
      <w:pPr>
        <w:pStyle w:val="NoSpacing"/>
        <w:jc w:val="center"/>
        <w:rPr>
          <w:rFonts w:cs="Arial"/>
          <w:b/>
          <w:sz w:val="18"/>
          <w:szCs w:val="18"/>
        </w:rPr>
      </w:pPr>
      <w:r w:rsidRPr="009A3355">
        <w:rPr>
          <w:rFonts w:cs="Arial"/>
          <w:b/>
          <w:sz w:val="18"/>
          <w:szCs w:val="18"/>
        </w:rPr>
        <w:t>Accsys Technologies PLC</w:t>
      </w:r>
    </w:p>
    <w:p w14:paraId="05496A4B" w14:textId="77777777" w:rsidR="0004133A" w:rsidRPr="009A3355" w:rsidRDefault="0004133A" w:rsidP="0004133A">
      <w:pPr>
        <w:pStyle w:val="NoSpacing"/>
        <w:jc w:val="center"/>
        <w:rPr>
          <w:rFonts w:cs="Arial"/>
          <w:sz w:val="18"/>
          <w:szCs w:val="18"/>
        </w:rPr>
      </w:pPr>
      <w:r w:rsidRPr="009A3355">
        <w:rPr>
          <w:rFonts w:cs="Arial"/>
          <w:sz w:val="18"/>
          <w:szCs w:val="18"/>
        </w:rPr>
        <w:t>(“Accsys”, the “Group” or the “Company”)</w:t>
      </w:r>
    </w:p>
    <w:p w14:paraId="6C7F66BB" w14:textId="77777777" w:rsidR="0004133A" w:rsidRPr="00AB5CED" w:rsidRDefault="0004133A" w:rsidP="0004133A">
      <w:pPr>
        <w:pStyle w:val="NoSpacing"/>
        <w:jc w:val="center"/>
        <w:rPr>
          <w:rFonts w:cs="Arial"/>
        </w:rPr>
      </w:pPr>
    </w:p>
    <w:p w14:paraId="6E950992" w14:textId="77777777" w:rsidR="0004133A" w:rsidRDefault="0004133A" w:rsidP="0004133A">
      <w:pPr>
        <w:pStyle w:val="Default"/>
        <w:jc w:val="center"/>
        <w:rPr>
          <w:b/>
          <w:bCs/>
          <w:sz w:val="22"/>
          <w:szCs w:val="22"/>
        </w:rPr>
      </w:pPr>
      <w:r w:rsidRPr="7A7014BD">
        <w:rPr>
          <w:b/>
          <w:bCs/>
          <w:sz w:val="22"/>
          <w:szCs w:val="22"/>
        </w:rPr>
        <w:t>Investor Strategy Day</w:t>
      </w:r>
    </w:p>
    <w:p w14:paraId="669D06C5" w14:textId="77777777" w:rsidR="0004133A" w:rsidRPr="00A94C79" w:rsidRDefault="0004133A" w:rsidP="0004133A">
      <w:pPr>
        <w:pStyle w:val="Default"/>
        <w:jc w:val="center"/>
        <w:rPr>
          <w:b/>
          <w:bCs/>
          <w:sz w:val="22"/>
          <w:szCs w:val="22"/>
        </w:rPr>
      </w:pPr>
      <w:r w:rsidRPr="7A7014BD">
        <w:rPr>
          <w:b/>
          <w:bCs/>
          <w:sz w:val="22"/>
          <w:szCs w:val="22"/>
        </w:rPr>
        <w:t xml:space="preserve">FOCUS strategy sets out vision for </w:t>
      </w:r>
      <w:proofErr w:type="gramStart"/>
      <w:r w:rsidRPr="7A7014BD">
        <w:rPr>
          <w:b/>
          <w:bCs/>
          <w:sz w:val="22"/>
          <w:szCs w:val="22"/>
        </w:rPr>
        <w:t>growth</w:t>
      </w:r>
      <w:proofErr w:type="gramEnd"/>
    </w:p>
    <w:p w14:paraId="3119A097" w14:textId="77777777" w:rsidR="0004133A" w:rsidRPr="00C05845" w:rsidRDefault="0004133A" w:rsidP="0004133A">
      <w:pPr>
        <w:pStyle w:val="Default"/>
        <w:jc w:val="center"/>
        <w:rPr>
          <w:b/>
          <w:bCs/>
        </w:rPr>
      </w:pPr>
    </w:p>
    <w:p w14:paraId="3F327F59" w14:textId="77777777" w:rsidR="0004133A" w:rsidRDefault="0004133A" w:rsidP="0004133A">
      <w:pPr>
        <w:spacing w:after="0"/>
        <w:rPr>
          <w:szCs w:val="20"/>
        </w:rPr>
      </w:pPr>
      <w:r w:rsidRPr="1194A8F3">
        <w:rPr>
          <w:szCs w:val="20"/>
        </w:rPr>
        <w:t xml:space="preserve">Accsys, </w:t>
      </w:r>
      <w:r>
        <w:rPr>
          <w:szCs w:val="20"/>
        </w:rPr>
        <w:t>the</w:t>
      </w:r>
      <w:r w:rsidRPr="1194A8F3">
        <w:rPr>
          <w:rFonts w:ascii="Aptos" w:eastAsia="Aptos" w:hAnsi="Aptos" w:cs="Aptos"/>
          <w:sz w:val="22"/>
        </w:rPr>
        <w:t xml:space="preserve"> world’s leading supplier of premium, high </w:t>
      </w:r>
      <w:proofErr w:type="gramStart"/>
      <w:r w:rsidRPr="1194A8F3">
        <w:rPr>
          <w:rFonts w:ascii="Aptos" w:eastAsia="Aptos" w:hAnsi="Aptos" w:cs="Aptos"/>
          <w:sz w:val="22"/>
        </w:rPr>
        <w:t>performance</w:t>
      </w:r>
      <w:proofErr w:type="gramEnd"/>
      <w:r w:rsidRPr="1194A8F3">
        <w:rPr>
          <w:rFonts w:ascii="Aptos" w:eastAsia="Aptos" w:hAnsi="Aptos" w:cs="Aptos"/>
          <w:sz w:val="22"/>
        </w:rPr>
        <w:t xml:space="preserve"> and sustainable wood building materials</w:t>
      </w:r>
      <w:r w:rsidRPr="1194A8F3">
        <w:rPr>
          <w:szCs w:val="20"/>
        </w:rPr>
        <w:t xml:space="preserve">, </w:t>
      </w:r>
      <w:r>
        <w:rPr>
          <w:szCs w:val="20"/>
        </w:rPr>
        <w:t xml:space="preserve">is </w:t>
      </w:r>
      <w:r w:rsidRPr="1194A8F3">
        <w:rPr>
          <w:szCs w:val="20"/>
        </w:rPr>
        <w:t xml:space="preserve">today </w:t>
      </w:r>
      <w:r>
        <w:rPr>
          <w:szCs w:val="20"/>
        </w:rPr>
        <w:t>holding its Investor Strategy Day at its site in Arnhem, NL</w:t>
      </w:r>
    </w:p>
    <w:p w14:paraId="0F4C3F8B" w14:textId="77777777" w:rsidR="0004133A" w:rsidRDefault="0004133A" w:rsidP="0004133A">
      <w:pPr>
        <w:spacing w:after="0"/>
        <w:rPr>
          <w:szCs w:val="20"/>
        </w:rPr>
      </w:pPr>
    </w:p>
    <w:p w14:paraId="7B2E7289" w14:textId="77777777" w:rsidR="0004133A" w:rsidRDefault="0004133A" w:rsidP="0004133A">
      <w:pPr>
        <w:spacing w:after="0"/>
        <w:jc w:val="both"/>
      </w:pPr>
      <w:r>
        <w:t xml:space="preserve">The Senior Leadership Team, led by Dr Jelena </w:t>
      </w:r>
      <w:proofErr w:type="spellStart"/>
      <w:r>
        <w:t>Arsic</w:t>
      </w:r>
      <w:proofErr w:type="spellEnd"/>
      <w:r>
        <w:t xml:space="preserve"> van </w:t>
      </w:r>
      <w:proofErr w:type="spellStart"/>
      <w:r>
        <w:t>Os</w:t>
      </w:r>
      <w:proofErr w:type="spellEnd"/>
      <w:r>
        <w:t xml:space="preserve">, Chief Executive Officer and Sameet Vohra, Chief Financial Officer, will set out the Group’s FOCUS strategy together with operational and financial performance targets. </w:t>
      </w:r>
    </w:p>
    <w:p w14:paraId="3FECF711" w14:textId="77777777" w:rsidR="0004133A" w:rsidRDefault="0004133A" w:rsidP="0004133A">
      <w:pPr>
        <w:spacing w:after="0"/>
        <w:rPr>
          <w:szCs w:val="20"/>
        </w:rPr>
      </w:pPr>
    </w:p>
    <w:p w14:paraId="00CF266A" w14:textId="77777777" w:rsidR="0004133A" w:rsidRDefault="0004133A" w:rsidP="0004133A">
      <w:pPr>
        <w:spacing w:after="0"/>
        <w:rPr>
          <w:szCs w:val="20"/>
        </w:rPr>
      </w:pPr>
      <w:r>
        <w:rPr>
          <w:szCs w:val="20"/>
        </w:rPr>
        <w:t>FOCUS</w:t>
      </w:r>
    </w:p>
    <w:p w14:paraId="26015ED1" w14:textId="77777777" w:rsidR="0004133A" w:rsidRDefault="0004133A" w:rsidP="0004133A">
      <w:pPr>
        <w:spacing w:after="0"/>
        <w:rPr>
          <w:szCs w:val="20"/>
        </w:rPr>
      </w:pPr>
    </w:p>
    <w:p w14:paraId="1D9F3525" w14:textId="77777777" w:rsidR="0004133A" w:rsidRDefault="0004133A" w:rsidP="0004133A">
      <w:pPr>
        <w:spacing w:after="0"/>
        <w:jc w:val="both"/>
      </w:pPr>
      <w:r>
        <w:t>The FOCUS strategy is designed to build on the Company’s global manufacturing footprint in Arnhem and Kingsport to deliver strong financial and operational performance. The strategy is structured across three phases, each with clear operational and financial performance targets aimed at maximising shareholder value:</w:t>
      </w:r>
    </w:p>
    <w:p w14:paraId="7FC69AC6" w14:textId="77777777" w:rsidR="0004133A" w:rsidRDefault="0004133A" w:rsidP="0004133A">
      <w:pPr>
        <w:spacing w:after="0"/>
        <w:jc w:val="both"/>
      </w:pPr>
    </w:p>
    <w:p w14:paraId="012CADAF" w14:textId="77777777" w:rsidR="0004133A" w:rsidRDefault="0004133A" w:rsidP="0004133A">
      <w:pPr>
        <w:pStyle w:val="ListParagraph"/>
        <w:numPr>
          <w:ilvl w:val="0"/>
          <w:numId w:val="1"/>
        </w:numPr>
        <w:spacing w:after="0"/>
        <w:jc w:val="both"/>
      </w:pPr>
      <w:r>
        <w:t>Phase One “Transform and improve” (up to end of FY27). This phase will focus on sustainable, profitable growth from existing assets, maintaining a lean and efficient cost structure and debt reduction. The Company is targeting a run rate sales volume of 100,000m³ by the end of the period and expects the Kingsport production facility to be profitable in FY26.</w:t>
      </w:r>
    </w:p>
    <w:p w14:paraId="2A0FC54D" w14:textId="77777777" w:rsidR="0004133A" w:rsidRDefault="0004133A" w:rsidP="0004133A">
      <w:pPr>
        <w:pStyle w:val="ListParagraph"/>
        <w:numPr>
          <w:ilvl w:val="0"/>
          <w:numId w:val="1"/>
        </w:numPr>
        <w:spacing w:after="0"/>
        <w:jc w:val="both"/>
      </w:pPr>
      <w:r>
        <w:t xml:space="preserve">Phase Two “Optimise” (FY28-FY30). The focus during this phase will be on implementing operational efficiencies to deliver the full capacity of the two plants, with a continuous focus on debt reduction driven by strong free cash flow generation. The Company is targeting a run rate sales volume of 120,000m³ by the end of FY30 and will also optimise the </w:t>
      </w:r>
      <w:proofErr w:type="spellStart"/>
      <w:r>
        <w:t>Accoya</w:t>
      </w:r>
      <w:proofErr w:type="spellEnd"/>
      <w:r>
        <w:t xml:space="preserve"> </w:t>
      </w:r>
      <w:proofErr w:type="spellStart"/>
      <w:r>
        <w:t>Color</w:t>
      </w:r>
      <w:proofErr w:type="spellEnd"/>
      <w:r>
        <w:t xml:space="preserve"> production footprint.</w:t>
      </w:r>
    </w:p>
    <w:p w14:paraId="3A10F3B1" w14:textId="77777777" w:rsidR="0004133A" w:rsidRDefault="0004133A" w:rsidP="0004133A">
      <w:pPr>
        <w:pStyle w:val="ListParagraph"/>
        <w:numPr>
          <w:ilvl w:val="0"/>
          <w:numId w:val="1"/>
        </w:numPr>
        <w:spacing w:after="0"/>
        <w:jc w:val="both"/>
      </w:pPr>
      <w:r>
        <w:t>Phase Three “Grow” (post FY30). The Company plans to pursue growth opportunities with further capital investment, leveraging at that time, the proven US expansion model.</w:t>
      </w:r>
    </w:p>
    <w:p w14:paraId="37618EAD" w14:textId="77777777" w:rsidR="0004133A" w:rsidRDefault="0004133A" w:rsidP="0004133A">
      <w:pPr>
        <w:spacing w:after="0"/>
        <w:jc w:val="both"/>
      </w:pPr>
    </w:p>
    <w:p w14:paraId="34AB5C03" w14:textId="77777777" w:rsidR="0004133A" w:rsidRDefault="0004133A" w:rsidP="0004133A">
      <w:pPr>
        <w:spacing w:after="0"/>
        <w:jc w:val="both"/>
      </w:pPr>
      <w:r>
        <w:t xml:space="preserve">The Group will target to maintain its gross margin of 30% throughout Phases 1 and 2 and will target an Adjusted Group EBITDA Margin* of 12% by the end of Phase 1, increasing to 15% by the end of Phase 2. The Company has also set a target of at least 75% operating cashflow conversion. </w:t>
      </w:r>
    </w:p>
    <w:p w14:paraId="2CF5BEC6" w14:textId="77777777" w:rsidR="0004133A" w:rsidRDefault="0004133A" w:rsidP="0004133A">
      <w:pPr>
        <w:spacing w:after="0"/>
        <w:rPr>
          <w:szCs w:val="20"/>
        </w:rPr>
      </w:pPr>
    </w:p>
    <w:p w14:paraId="6AA48A0B" w14:textId="77777777" w:rsidR="0004133A" w:rsidRDefault="0004133A" w:rsidP="0004133A">
      <w:pPr>
        <w:spacing w:after="0"/>
        <w:jc w:val="both"/>
      </w:pPr>
      <w:r>
        <w:t xml:space="preserve">As part of the strategy, the Company will outline the operational, product innovation and commercial plans to achieve the FOCUS strategy. </w:t>
      </w:r>
    </w:p>
    <w:p w14:paraId="4550B936" w14:textId="77777777" w:rsidR="0004133A" w:rsidRDefault="0004133A" w:rsidP="0004133A">
      <w:pPr>
        <w:spacing w:after="0"/>
        <w:rPr>
          <w:szCs w:val="20"/>
        </w:rPr>
      </w:pPr>
    </w:p>
    <w:p w14:paraId="44DE3810" w14:textId="77777777" w:rsidR="0004133A" w:rsidRPr="00DA485E" w:rsidRDefault="0004133A" w:rsidP="0004133A">
      <w:pPr>
        <w:jc w:val="both"/>
        <w:rPr>
          <w:lang w:eastAsia="en-US"/>
        </w:rPr>
      </w:pPr>
      <w:r w:rsidRPr="7A7014BD">
        <w:rPr>
          <w:rFonts w:cs="Arial"/>
          <w:b/>
          <w:bCs/>
          <w:sz w:val="18"/>
          <w:szCs w:val="18"/>
        </w:rPr>
        <w:t xml:space="preserve">Jelena </w:t>
      </w:r>
      <w:proofErr w:type="spellStart"/>
      <w:r w:rsidRPr="7A7014BD">
        <w:rPr>
          <w:rFonts w:cs="Arial"/>
          <w:b/>
          <w:bCs/>
          <w:sz w:val="18"/>
          <w:szCs w:val="18"/>
        </w:rPr>
        <w:t>Arsic</w:t>
      </w:r>
      <w:proofErr w:type="spellEnd"/>
      <w:r w:rsidRPr="7A7014BD">
        <w:rPr>
          <w:rFonts w:cs="Arial"/>
          <w:b/>
          <w:bCs/>
          <w:sz w:val="18"/>
          <w:szCs w:val="18"/>
        </w:rPr>
        <w:t xml:space="preserve"> van </w:t>
      </w:r>
      <w:proofErr w:type="spellStart"/>
      <w:r w:rsidRPr="7A7014BD">
        <w:rPr>
          <w:rFonts w:cs="Arial"/>
          <w:b/>
          <w:bCs/>
          <w:sz w:val="18"/>
          <w:szCs w:val="18"/>
        </w:rPr>
        <w:t>Os</w:t>
      </w:r>
      <w:proofErr w:type="spellEnd"/>
      <w:r w:rsidRPr="7A7014BD">
        <w:rPr>
          <w:rFonts w:cs="Arial"/>
          <w:b/>
          <w:bCs/>
          <w:sz w:val="18"/>
          <w:szCs w:val="18"/>
        </w:rPr>
        <w:t xml:space="preserve">, CEO Accsys Technologies commented: </w:t>
      </w:r>
      <w:r w:rsidRPr="7A7014BD">
        <w:rPr>
          <w:rFonts w:cs="Arial"/>
          <w:sz w:val="18"/>
          <w:szCs w:val="18"/>
        </w:rPr>
        <w:t>“</w:t>
      </w:r>
      <w:r w:rsidRPr="7A7014BD">
        <w:rPr>
          <w:lang w:eastAsia="en-US"/>
        </w:rPr>
        <w:t xml:space="preserve">We are excited to unveil the details of our FOCUS strategy, which will deliver a fundamentally strong, cash generative and profitable business. </w:t>
      </w:r>
      <w:r w:rsidRPr="7A7014BD">
        <w:rPr>
          <w:lang w:eastAsia="en-US"/>
        </w:rPr>
        <w:lastRenderedPageBreak/>
        <w:t xml:space="preserve">Accsys is at an inflection point having established a global manufacturing footprint and is now moving into a new and exciting phase of growth. At the core of our strategy is unwavering focus on our customers, ensuring that we continue to innovate and enhance further their experience with Accsys. </w:t>
      </w:r>
    </w:p>
    <w:p w14:paraId="1C19A9C9" w14:textId="77777777" w:rsidR="0004133A" w:rsidRPr="00DA485E" w:rsidRDefault="0004133A" w:rsidP="0004133A">
      <w:pPr>
        <w:rPr>
          <w:lang w:eastAsia="en-US"/>
        </w:rPr>
      </w:pPr>
      <w:r w:rsidRPr="3DE51CC9">
        <w:rPr>
          <w:lang w:eastAsia="en-US"/>
        </w:rPr>
        <w:t>Our strategy has the potential to drive significant and sustainable shareholder value. This is a pivotal time for the Company, and we are looking forward to sharing our vision for the future.”</w:t>
      </w:r>
    </w:p>
    <w:p w14:paraId="1F93540C" w14:textId="77777777" w:rsidR="0004133A" w:rsidRDefault="0004133A" w:rsidP="0004133A">
      <w:pPr>
        <w:rPr>
          <w:rFonts w:cs="Arial"/>
          <w:sz w:val="18"/>
          <w:szCs w:val="18"/>
        </w:rPr>
      </w:pPr>
      <w:r w:rsidRPr="00DA485E">
        <w:rPr>
          <w:rFonts w:eastAsiaTheme="minorHAnsi"/>
          <w:lang w:eastAsia="en-US"/>
        </w:rPr>
        <w:t>A recording of the presentation will be made available on the website (www.accsysplc.com) following the event</w:t>
      </w:r>
      <w:r>
        <w:rPr>
          <w:rFonts w:cs="Arial"/>
          <w:sz w:val="18"/>
          <w:szCs w:val="18"/>
        </w:rPr>
        <w:t>.</w:t>
      </w:r>
    </w:p>
    <w:p w14:paraId="720C0388" w14:textId="77777777" w:rsidR="0004133A" w:rsidRDefault="0004133A" w:rsidP="0004133A">
      <w:pPr>
        <w:rPr>
          <w:rFonts w:eastAsia="Arial" w:cs="Arial"/>
          <w:sz w:val="18"/>
          <w:szCs w:val="18"/>
        </w:rPr>
      </w:pPr>
      <w:r w:rsidRPr="2F3DFEB4">
        <w:rPr>
          <w:rFonts w:cs="Arial"/>
          <w:sz w:val="18"/>
          <w:szCs w:val="18"/>
        </w:rPr>
        <w:t>*</w:t>
      </w:r>
      <w:r w:rsidRPr="2F3DFEB4">
        <w:rPr>
          <w:rFonts w:eastAsia="Arial" w:cs="Arial"/>
          <w:sz w:val="17"/>
          <w:szCs w:val="17"/>
        </w:rPr>
        <w:t xml:space="preserve"> Adjusted EBITDA is defined as operating profit/(loss) before exceptional items and other adjustments, </w:t>
      </w:r>
      <w:proofErr w:type="gramStart"/>
      <w:r w:rsidRPr="2F3DFEB4">
        <w:rPr>
          <w:rFonts w:eastAsia="Arial" w:cs="Arial"/>
          <w:sz w:val="17"/>
          <w:szCs w:val="17"/>
        </w:rPr>
        <w:t>depreciation</w:t>
      </w:r>
      <w:proofErr w:type="gramEnd"/>
      <w:r w:rsidRPr="2F3DFEB4">
        <w:rPr>
          <w:rFonts w:eastAsia="Arial" w:cs="Arial"/>
          <w:sz w:val="17"/>
          <w:szCs w:val="17"/>
        </w:rPr>
        <w:t xml:space="preserve"> and amortisation, and includes the Group’s 60% share of the JV’s EBITDA</w:t>
      </w:r>
    </w:p>
    <w:p w14:paraId="51F07AEE" w14:textId="77777777" w:rsidR="0004133A" w:rsidRDefault="0004133A" w:rsidP="0004133A">
      <w:pPr>
        <w:jc w:val="center"/>
        <w:rPr>
          <w:rFonts w:cs="Arial"/>
          <w:b/>
          <w:bCs/>
          <w:sz w:val="18"/>
          <w:szCs w:val="18"/>
        </w:rPr>
      </w:pPr>
      <w:r w:rsidRPr="0060061B">
        <w:rPr>
          <w:rFonts w:cs="Arial"/>
          <w:b/>
          <w:bCs/>
          <w:sz w:val="18"/>
          <w:szCs w:val="18"/>
        </w:rPr>
        <w:t>Ends</w:t>
      </w:r>
    </w:p>
    <w:p w14:paraId="11A8E67D" w14:textId="77777777" w:rsidR="0004133A" w:rsidRPr="009A3355" w:rsidRDefault="0004133A" w:rsidP="0004133A">
      <w:pPr>
        <w:rPr>
          <w:rFonts w:cs="Arial"/>
          <w:b/>
          <w:bCs/>
          <w:color w:val="000000"/>
          <w:sz w:val="18"/>
          <w:szCs w:val="18"/>
          <w:u w:val="single"/>
        </w:rPr>
      </w:pPr>
      <w:r w:rsidRPr="009A3355">
        <w:rPr>
          <w:rFonts w:cs="Arial"/>
          <w:b/>
          <w:bCs/>
          <w:color w:val="000000"/>
          <w:sz w:val="18"/>
          <w:szCs w:val="18"/>
          <w:u w:val="single"/>
        </w:rPr>
        <w:t xml:space="preserve">Enquiries: </w:t>
      </w:r>
    </w:p>
    <w:p w14:paraId="179EFDB7" w14:textId="77777777" w:rsidR="0004133A" w:rsidRPr="009A3355" w:rsidRDefault="0004133A" w:rsidP="0004133A">
      <w:pPr>
        <w:spacing w:after="0" w:line="240" w:lineRule="auto"/>
        <w:rPr>
          <w:rFonts w:cs="Arial"/>
          <w:color w:val="000000"/>
          <w:sz w:val="18"/>
          <w:szCs w:val="18"/>
        </w:rPr>
      </w:pPr>
      <w:r w:rsidRPr="009A3355">
        <w:rPr>
          <w:rFonts w:cs="Arial"/>
          <w:b/>
          <w:bCs/>
          <w:color w:val="000000"/>
          <w:sz w:val="18"/>
          <w:szCs w:val="18"/>
        </w:rPr>
        <w:t>Investor Relations / Analysts</w:t>
      </w:r>
      <w:r w:rsidRPr="009A3355">
        <w:rPr>
          <w:rFonts w:cs="Arial"/>
          <w:color w:val="000000"/>
          <w:sz w:val="18"/>
          <w:szCs w:val="18"/>
        </w:rPr>
        <w:t>:</w:t>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Pr>
          <w:rFonts w:cs="Arial"/>
          <w:color w:val="000000"/>
          <w:sz w:val="18"/>
          <w:szCs w:val="18"/>
        </w:rPr>
        <w:tab/>
      </w:r>
      <w:r w:rsidRPr="009A3355">
        <w:rPr>
          <w:rFonts w:cs="Arial"/>
          <w:color w:val="000000"/>
          <w:sz w:val="18"/>
          <w:szCs w:val="18"/>
        </w:rPr>
        <w:tab/>
      </w:r>
      <w:r w:rsidRPr="009A3355">
        <w:rPr>
          <w:rFonts w:cs="Arial"/>
          <w:color w:val="000000"/>
          <w:sz w:val="18"/>
          <w:szCs w:val="18"/>
        </w:rPr>
        <w:tab/>
      </w:r>
      <w:hyperlink r:id="rId6" w:history="1">
        <w:r w:rsidRPr="009A3355">
          <w:rPr>
            <w:rStyle w:val="Hyperlink"/>
            <w:rFonts w:cs="Arial"/>
            <w:sz w:val="18"/>
            <w:szCs w:val="18"/>
          </w:rPr>
          <w:t>ir@accsysplc.com</w:t>
        </w:r>
      </w:hyperlink>
    </w:p>
    <w:p w14:paraId="497800B7" w14:textId="77777777" w:rsidR="0004133A" w:rsidRPr="009A3355" w:rsidRDefault="0004133A" w:rsidP="0004133A">
      <w:pPr>
        <w:spacing w:after="0" w:line="240" w:lineRule="auto"/>
        <w:ind w:right="142"/>
        <w:rPr>
          <w:rFonts w:cs="Arial"/>
          <w:b/>
          <w:bCs/>
          <w:color w:val="000000"/>
          <w:sz w:val="18"/>
          <w:szCs w:val="18"/>
        </w:rPr>
      </w:pPr>
    </w:p>
    <w:p w14:paraId="1BC03EE7" w14:textId="77777777" w:rsidR="0004133A" w:rsidRPr="009A3355" w:rsidRDefault="0004133A" w:rsidP="0004133A">
      <w:pPr>
        <w:spacing w:after="0" w:line="240" w:lineRule="auto"/>
        <w:ind w:right="142"/>
        <w:rPr>
          <w:rFonts w:cs="Arial"/>
          <w:color w:val="000000"/>
          <w:sz w:val="18"/>
          <w:szCs w:val="18"/>
          <w:lang w:val="nl-NL"/>
        </w:rPr>
      </w:pPr>
      <w:proofErr w:type="gramStart"/>
      <w:r w:rsidRPr="009A3355">
        <w:rPr>
          <w:rFonts w:cs="Arial"/>
          <w:b/>
          <w:bCs/>
          <w:color w:val="000000"/>
          <w:sz w:val="18"/>
          <w:szCs w:val="18"/>
          <w:lang w:val="fr-FR"/>
        </w:rPr>
        <w:t>Media:</w:t>
      </w:r>
      <w:proofErr w:type="gramEnd"/>
      <w:r w:rsidRPr="009A3355">
        <w:rPr>
          <w:rFonts w:cs="Arial"/>
          <w:b/>
          <w:bCs/>
          <w:color w:val="000000"/>
          <w:sz w:val="18"/>
          <w:szCs w:val="18"/>
          <w:lang w:val="fr-FR"/>
        </w:rPr>
        <w:t xml:space="preserve">  </w:t>
      </w:r>
      <w:r w:rsidRPr="009A3355">
        <w:rPr>
          <w:rFonts w:cs="Arial"/>
          <w:color w:val="000000"/>
          <w:sz w:val="18"/>
          <w:szCs w:val="18"/>
          <w:lang w:val="fr-FR"/>
        </w:rPr>
        <w:t xml:space="preserve">Clemens Sassen, Tessa </w:t>
      </w:r>
      <w:proofErr w:type="spellStart"/>
      <w:r w:rsidRPr="009A3355">
        <w:rPr>
          <w:rFonts w:cs="Arial"/>
          <w:color w:val="000000"/>
          <w:sz w:val="18"/>
          <w:szCs w:val="18"/>
          <w:lang w:val="fr-FR"/>
        </w:rPr>
        <w:t>Nelissen</w:t>
      </w:r>
      <w:proofErr w:type="spellEnd"/>
      <w:r w:rsidRPr="009A3355">
        <w:rPr>
          <w:rFonts w:cs="Arial"/>
          <w:color w:val="000000"/>
          <w:sz w:val="18"/>
          <w:szCs w:val="18"/>
          <w:lang w:val="fr-FR"/>
        </w:rPr>
        <w:t xml:space="preserve">, </w:t>
      </w:r>
      <w:proofErr w:type="spellStart"/>
      <w:r w:rsidRPr="009A3355">
        <w:rPr>
          <w:rFonts w:cs="Arial"/>
          <w:color w:val="000000"/>
          <w:sz w:val="18"/>
          <w:szCs w:val="18"/>
          <w:lang w:val="fr-FR"/>
        </w:rPr>
        <w:t>Huijskens</w:t>
      </w:r>
      <w:proofErr w:type="spellEnd"/>
      <w:r w:rsidRPr="009A3355">
        <w:rPr>
          <w:rFonts w:cs="Arial"/>
          <w:color w:val="000000"/>
          <w:sz w:val="18"/>
          <w:szCs w:val="18"/>
          <w:lang w:val="fr-FR"/>
        </w:rPr>
        <w:t xml:space="preserve"> Sassen Communications (NL)</w:t>
      </w:r>
      <w:r w:rsidRPr="009A3355">
        <w:rPr>
          <w:rFonts w:cs="Arial"/>
          <w:color w:val="000000"/>
          <w:sz w:val="18"/>
          <w:szCs w:val="18"/>
          <w:lang w:val="fr-FR"/>
        </w:rPr>
        <w:tab/>
      </w:r>
      <w:r w:rsidRPr="009A3355">
        <w:rPr>
          <w:rFonts w:cs="Arial"/>
          <w:color w:val="000000"/>
          <w:sz w:val="18"/>
          <w:szCs w:val="18"/>
          <w:lang w:val="nl-NL"/>
        </w:rPr>
        <w:t>+31 (0) 20 68 55 955</w:t>
      </w:r>
    </w:p>
    <w:p w14:paraId="3939F644" w14:textId="77777777" w:rsidR="0004133A" w:rsidRPr="0097595B" w:rsidRDefault="0004133A" w:rsidP="0004133A">
      <w:pPr>
        <w:spacing w:after="0" w:line="240" w:lineRule="auto"/>
        <w:rPr>
          <w:rFonts w:cs="Arial"/>
          <w:b/>
          <w:bCs/>
          <w:color w:val="000000"/>
          <w:sz w:val="18"/>
          <w:szCs w:val="18"/>
          <w:lang w:val="nl-NL"/>
        </w:rPr>
      </w:pPr>
    </w:p>
    <w:p w14:paraId="7FA95A14" w14:textId="77777777" w:rsidR="0004133A" w:rsidRPr="009A3355" w:rsidRDefault="0004133A" w:rsidP="0004133A">
      <w:pPr>
        <w:spacing w:after="0" w:line="240" w:lineRule="auto"/>
        <w:rPr>
          <w:rFonts w:eastAsia="SimSun" w:cs="Arial"/>
          <w:color w:val="000000"/>
          <w:sz w:val="18"/>
          <w:szCs w:val="18"/>
        </w:rPr>
      </w:pPr>
      <w:r w:rsidRPr="009A3355">
        <w:rPr>
          <w:rFonts w:cs="Arial"/>
          <w:b/>
          <w:bCs/>
          <w:color w:val="000000"/>
          <w:sz w:val="18"/>
          <w:szCs w:val="18"/>
        </w:rPr>
        <w:t xml:space="preserve">Deutsche </w:t>
      </w:r>
      <w:proofErr w:type="spellStart"/>
      <w:r w:rsidRPr="009A3355">
        <w:rPr>
          <w:rFonts w:cs="Arial"/>
          <w:b/>
          <w:bCs/>
          <w:color w:val="000000"/>
          <w:sz w:val="18"/>
          <w:szCs w:val="18"/>
        </w:rPr>
        <w:t>Numis</w:t>
      </w:r>
      <w:proofErr w:type="spellEnd"/>
      <w:r w:rsidRPr="009A3355">
        <w:rPr>
          <w:rFonts w:cs="Arial"/>
          <w:b/>
          <w:bCs/>
          <w:color w:val="000000"/>
          <w:sz w:val="18"/>
          <w:szCs w:val="18"/>
        </w:rPr>
        <w:t xml:space="preserve"> (London):</w:t>
      </w:r>
      <w:r w:rsidRPr="009A3355">
        <w:rPr>
          <w:rFonts w:cs="Arial"/>
          <w:color w:val="000000"/>
          <w:sz w:val="18"/>
          <w:szCs w:val="18"/>
        </w:rPr>
        <w:t xml:space="preserve">  </w:t>
      </w:r>
      <w:r w:rsidRPr="009A3355">
        <w:rPr>
          <w:rFonts w:eastAsia="SimSun" w:cs="Arial"/>
          <w:color w:val="000000"/>
          <w:sz w:val="18"/>
          <w:szCs w:val="18"/>
        </w:rPr>
        <w:t>Oliver Hardy (NOMAD), Ben Stoop</w:t>
      </w:r>
      <w:r w:rsidRPr="009A3355">
        <w:rPr>
          <w:rFonts w:eastAsia="SimSun" w:cs="Arial"/>
          <w:color w:val="000000"/>
          <w:sz w:val="18"/>
          <w:szCs w:val="18"/>
        </w:rPr>
        <w:tab/>
      </w:r>
      <w:r w:rsidRPr="009A3355">
        <w:rPr>
          <w:rFonts w:eastAsia="SimSun" w:cs="Arial"/>
          <w:color w:val="000000"/>
          <w:sz w:val="18"/>
          <w:szCs w:val="18"/>
        </w:rPr>
        <w:tab/>
      </w:r>
      <w:r w:rsidRPr="009A3355">
        <w:rPr>
          <w:rFonts w:eastAsia="SimSun" w:cs="Arial"/>
          <w:color w:val="000000"/>
          <w:sz w:val="18"/>
          <w:szCs w:val="18"/>
        </w:rPr>
        <w:tab/>
      </w:r>
      <w:r w:rsidRPr="009A3355">
        <w:rPr>
          <w:rFonts w:cs="Arial"/>
          <w:color w:val="000000"/>
          <w:sz w:val="18"/>
          <w:szCs w:val="18"/>
        </w:rPr>
        <w:t>+44 (0) 20 7260 1000</w:t>
      </w:r>
    </w:p>
    <w:p w14:paraId="1EF1A721" w14:textId="77777777" w:rsidR="0004133A" w:rsidRPr="009A3355" w:rsidRDefault="0004133A" w:rsidP="0004133A">
      <w:pPr>
        <w:spacing w:after="0" w:line="240" w:lineRule="auto"/>
        <w:ind w:right="142"/>
        <w:rPr>
          <w:rFonts w:eastAsia="SimSun" w:cs="Arial"/>
          <w:b/>
          <w:bCs/>
          <w:color w:val="000000"/>
          <w:sz w:val="18"/>
          <w:szCs w:val="18"/>
        </w:rPr>
      </w:pPr>
    </w:p>
    <w:p w14:paraId="37A56C30" w14:textId="77777777" w:rsidR="0004133A" w:rsidRPr="009A3355" w:rsidRDefault="0004133A" w:rsidP="0004133A">
      <w:pPr>
        <w:spacing w:after="0" w:line="240" w:lineRule="auto"/>
        <w:rPr>
          <w:rFonts w:eastAsia="SimSun" w:cs="Arial"/>
          <w:color w:val="000000"/>
          <w:sz w:val="18"/>
          <w:szCs w:val="18"/>
          <w:lang w:val="nl-NL"/>
        </w:rPr>
      </w:pPr>
      <w:r w:rsidRPr="009A3355">
        <w:rPr>
          <w:rFonts w:eastAsia="SimSun" w:cs="Arial"/>
          <w:b/>
          <w:color w:val="000000"/>
          <w:sz w:val="18"/>
          <w:szCs w:val="18"/>
          <w:lang w:val="nl-NL"/>
        </w:rPr>
        <w:t>ABN Amro (Amsterdam</w:t>
      </w:r>
      <w:r w:rsidRPr="009A3355">
        <w:rPr>
          <w:rFonts w:eastAsia="SimSun" w:cs="Arial"/>
          <w:bCs/>
          <w:color w:val="000000"/>
          <w:sz w:val="18"/>
          <w:szCs w:val="18"/>
          <w:lang w:val="nl-NL"/>
        </w:rPr>
        <w:t>):  Richard van Etten, Dennis van Helmond</w:t>
      </w:r>
      <w:r w:rsidRPr="009A3355">
        <w:rPr>
          <w:rFonts w:eastAsia="SimSun" w:cs="Arial"/>
          <w:bCs/>
          <w:color w:val="000000"/>
          <w:sz w:val="18"/>
          <w:szCs w:val="18"/>
          <w:lang w:val="nl-NL"/>
        </w:rPr>
        <w:tab/>
      </w:r>
      <w:r w:rsidRPr="009A3355">
        <w:rPr>
          <w:rFonts w:eastAsia="SimSun" w:cs="Arial"/>
          <w:bCs/>
          <w:color w:val="000000"/>
          <w:sz w:val="18"/>
          <w:szCs w:val="18"/>
          <w:lang w:val="nl-NL"/>
        </w:rPr>
        <w:tab/>
      </w:r>
      <w:r w:rsidRPr="009A3355">
        <w:rPr>
          <w:rFonts w:eastAsia="SimSun" w:cs="Arial"/>
          <w:bCs/>
          <w:color w:val="000000"/>
          <w:sz w:val="18"/>
          <w:szCs w:val="18"/>
          <w:lang w:val="nl-NL"/>
        </w:rPr>
        <w:tab/>
      </w:r>
      <w:r w:rsidRPr="009A3355">
        <w:rPr>
          <w:rFonts w:cs="Arial"/>
          <w:color w:val="000000"/>
          <w:sz w:val="18"/>
          <w:szCs w:val="18"/>
          <w:lang w:val="nl-NL"/>
        </w:rPr>
        <w:t>+31 20 344 2000</w:t>
      </w:r>
    </w:p>
    <w:tbl>
      <w:tblPr>
        <w:tblW w:w="8790" w:type="dxa"/>
        <w:tblLayout w:type="fixed"/>
        <w:tblCellMar>
          <w:left w:w="0" w:type="dxa"/>
          <w:right w:w="0" w:type="dxa"/>
        </w:tblCellMar>
        <w:tblLook w:val="04A0" w:firstRow="1" w:lastRow="0" w:firstColumn="1" w:lastColumn="0" w:noHBand="0" w:noVBand="1"/>
      </w:tblPr>
      <w:tblGrid>
        <w:gridCol w:w="5671"/>
        <w:gridCol w:w="3119"/>
      </w:tblGrid>
      <w:tr w:rsidR="0004133A" w:rsidRPr="007838A7" w14:paraId="3DA5B0F3" w14:textId="77777777" w:rsidTr="00BD479D">
        <w:trPr>
          <w:trHeight w:val="634"/>
        </w:trPr>
        <w:tc>
          <w:tcPr>
            <w:tcW w:w="5671" w:type="dxa"/>
            <w:tcMar>
              <w:top w:w="0" w:type="dxa"/>
              <w:left w:w="108" w:type="dxa"/>
              <w:bottom w:w="0" w:type="dxa"/>
              <w:right w:w="108" w:type="dxa"/>
            </w:tcMar>
            <w:vAlign w:val="center"/>
          </w:tcPr>
          <w:p w14:paraId="6034470D" w14:textId="77777777" w:rsidR="0004133A" w:rsidRPr="009A3355" w:rsidRDefault="0004133A" w:rsidP="00BD479D">
            <w:pPr>
              <w:spacing w:after="160" w:line="259" w:lineRule="auto"/>
              <w:rPr>
                <w:rFonts w:eastAsia="SimSun" w:cs="Arial"/>
                <w:color w:val="000000"/>
                <w:sz w:val="18"/>
                <w:szCs w:val="18"/>
                <w:lang w:val="nl-NL"/>
              </w:rPr>
            </w:pPr>
          </w:p>
        </w:tc>
        <w:tc>
          <w:tcPr>
            <w:tcW w:w="3119" w:type="dxa"/>
            <w:tcMar>
              <w:top w:w="0" w:type="dxa"/>
              <w:left w:w="108" w:type="dxa"/>
              <w:bottom w:w="0" w:type="dxa"/>
              <w:right w:w="108" w:type="dxa"/>
            </w:tcMar>
            <w:vAlign w:val="center"/>
          </w:tcPr>
          <w:p w14:paraId="5096A0DA" w14:textId="77777777" w:rsidR="0004133A" w:rsidRPr="009A3355" w:rsidRDefault="0004133A" w:rsidP="00BD479D">
            <w:pPr>
              <w:spacing w:before="60" w:after="60" w:line="264" w:lineRule="auto"/>
              <w:ind w:right="142"/>
              <w:rPr>
                <w:rFonts w:eastAsia="SimSun" w:cs="Arial"/>
                <w:color w:val="000000"/>
                <w:sz w:val="18"/>
                <w:szCs w:val="18"/>
                <w:lang w:val="nl-NL"/>
              </w:rPr>
            </w:pPr>
          </w:p>
        </w:tc>
      </w:tr>
    </w:tbl>
    <w:p w14:paraId="18822762" w14:textId="77777777" w:rsidR="0004133A" w:rsidRPr="009A3355" w:rsidRDefault="0004133A" w:rsidP="0004133A">
      <w:pPr>
        <w:spacing w:after="0" w:line="240" w:lineRule="auto"/>
        <w:rPr>
          <w:rFonts w:eastAsia="Times New Roman" w:cs="Arial"/>
          <w:b/>
          <w:bCs/>
          <w:kern w:val="0"/>
          <w:sz w:val="18"/>
          <w:szCs w:val="18"/>
          <w:lang w:val="nl-NL" w:eastAsia="en-US"/>
        </w:rPr>
      </w:pPr>
    </w:p>
    <w:p w14:paraId="542D8A8E" w14:textId="77777777" w:rsidR="0004133A" w:rsidRPr="009A3355" w:rsidRDefault="0004133A" w:rsidP="0004133A">
      <w:pPr>
        <w:spacing w:after="0" w:line="240" w:lineRule="auto"/>
        <w:rPr>
          <w:rFonts w:eastAsia="Times New Roman" w:cs="Arial"/>
          <w:b/>
          <w:bCs/>
          <w:kern w:val="0"/>
          <w:sz w:val="18"/>
          <w:szCs w:val="18"/>
          <w:lang w:val="en-US" w:eastAsia="en-US"/>
        </w:rPr>
      </w:pPr>
      <w:r w:rsidRPr="009A3355">
        <w:rPr>
          <w:rFonts w:eastAsia="Times New Roman" w:cs="Arial"/>
          <w:b/>
          <w:bCs/>
          <w:kern w:val="0"/>
          <w:sz w:val="18"/>
          <w:szCs w:val="18"/>
          <w:lang w:val="en-US" w:eastAsia="en-US"/>
        </w:rPr>
        <w:t>Notes to editors:</w:t>
      </w:r>
    </w:p>
    <w:p w14:paraId="72294D03" w14:textId="77777777" w:rsidR="0004133A" w:rsidRPr="009A3355" w:rsidRDefault="0004133A" w:rsidP="0004133A">
      <w:pPr>
        <w:spacing w:after="0" w:line="240" w:lineRule="auto"/>
        <w:rPr>
          <w:rFonts w:eastAsia="Times New Roman" w:cs="Arial"/>
          <w:kern w:val="0"/>
          <w:sz w:val="18"/>
          <w:szCs w:val="18"/>
          <w:lang w:val="en-US" w:eastAsia="en-US"/>
        </w:rPr>
      </w:pPr>
    </w:p>
    <w:p w14:paraId="357C6DB7" w14:textId="77777777" w:rsidR="0004133A" w:rsidRPr="009A3355" w:rsidRDefault="0004133A" w:rsidP="0004133A">
      <w:pPr>
        <w:spacing w:after="120" w:line="240" w:lineRule="auto"/>
        <w:rPr>
          <w:rFonts w:eastAsia="Times New Roman" w:cs="Arial"/>
          <w:kern w:val="0"/>
          <w:sz w:val="18"/>
          <w:szCs w:val="18"/>
          <w:lang w:val="en-US" w:eastAsia="en-US"/>
        </w:rPr>
      </w:pPr>
      <w:r w:rsidRPr="009A3355">
        <w:rPr>
          <w:rFonts w:eastAsia="Times New Roman" w:cs="Arial"/>
          <w:b/>
          <w:bCs/>
          <w:kern w:val="0"/>
          <w:sz w:val="18"/>
          <w:szCs w:val="18"/>
          <w:lang w:val="en-US" w:eastAsia="en-US"/>
        </w:rPr>
        <w:t xml:space="preserve">Accsys </w:t>
      </w:r>
      <w:r w:rsidRPr="009A3355">
        <w:rPr>
          <w:rFonts w:eastAsia="Times New Roman" w:cs="Arial"/>
          <w:kern w:val="0"/>
          <w:sz w:val="18"/>
          <w:szCs w:val="18"/>
          <w:lang w:val="en-US" w:eastAsia="en-US"/>
        </w:rPr>
        <w:t xml:space="preserve">(Accsys Technologies PLC) is a fast-growing business with a purpose: changing wood to change the world. The company combines chemistry, </w:t>
      </w:r>
      <w:proofErr w:type="gramStart"/>
      <w:r w:rsidRPr="009A3355">
        <w:rPr>
          <w:rFonts w:eastAsia="Times New Roman" w:cs="Arial"/>
          <w:kern w:val="0"/>
          <w:sz w:val="18"/>
          <w:szCs w:val="18"/>
          <w:lang w:val="en-US" w:eastAsia="en-US"/>
        </w:rPr>
        <w:t>technology</w:t>
      </w:r>
      <w:proofErr w:type="gramEnd"/>
      <w:r w:rsidRPr="009A3355">
        <w:rPr>
          <w:rFonts w:eastAsia="Times New Roman" w:cs="Arial"/>
          <w:kern w:val="0"/>
          <w:sz w:val="18"/>
          <w:szCs w:val="18"/>
          <w:lang w:val="en-US" w:eastAsia="en-US"/>
        </w:rPr>
        <w:t xml:space="preserve"> and ingenuity to make </w:t>
      </w:r>
      <w:proofErr w:type="spellStart"/>
      <w:r w:rsidRPr="009A3355">
        <w:rPr>
          <w:rFonts w:eastAsia="Times New Roman" w:cs="Arial"/>
          <w:kern w:val="0"/>
          <w:sz w:val="18"/>
          <w:szCs w:val="18"/>
          <w:lang w:val="en-US" w:eastAsia="en-US"/>
        </w:rPr>
        <w:t>Accoya</w:t>
      </w:r>
      <w:proofErr w:type="spellEnd"/>
      <w:r w:rsidRPr="009A3355">
        <w:rPr>
          <w:rFonts w:eastAsia="Times New Roman" w:cs="Arial"/>
          <w:kern w:val="0"/>
          <w:sz w:val="18"/>
          <w:szCs w:val="18"/>
          <w:vertAlign w:val="superscript"/>
          <w:lang w:val="en-US" w:eastAsia="en-US"/>
        </w:rPr>
        <w:t>®</w:t>
      </w:r>
      <w:r w:rsidRPr="009A3355">
        <w:rPr>
          <w:rFonts w:eastAsia="Times New Roman" w:cs="Arial"/>
          <w:kern w:val="0"/>
          <w:sz w:val="18"/>
          <w:szCs w:val="18"/>
          <w:lang w:val="en-US" w:eastAsia="en-US"/>
        </w:rPr>
        <w:t xml:space="preserve"> wood and </w:t>
      </w:r>
      <w:proofErr w:type="spellStart"/>
      <w:r w:rsidRPr="009A3355">
        <w:rPr>
          <w:rFonts w:eastAsia="Times New Roman" w:cs="Arial"/>
          <w:kern w:val="0"/>
          <w:sz w:val="18"/>
          <w:szCs w:val="18"/>
          <w:lang w:val="en-US" w:eastAsia="en-US"/>
        </w:rPr>
        <w:t>Tricoya</w:t>
      </w:r>
      <w:proofErr w:type="spellEnd"/>
      <w:r w:rsidRPr="009A3355">
        <w:rPr>
          <w:rFonts w:eastAsia="Times New Roman" w:cs="Arial"/>
          <w:kern w:val="0"/>
          <w:sz w:val="18"/>
          <w:szCs w:val="18"/>
          <w:vertAlign w:val="superscript"/>
          <w:lang w:val="en-US" w:eastAsia="en-US"/>
        </w:rPr>
        <w:t>®</w:t>
      </w:r>
      <w:r w:rsidRPr="009A3355">
        <w:rPr>
          <w:rFonts w:eastAsia="Times New Roman" w:cs="Arial"/>
          <w:kern w:val="0"/>
          <w:sz w:val="18"/>
          <w:szCs w:val="18"/>
          <w:lang w:val="en-US" w:eastAsia="en-US"/>
        </w:rPr>
        <w:t xml:space="preserve"> wood </w:t>
      </w:r>
      <w:r>
        <w:rPr>
          <w:rFonts w:eastAsia="Times New Roman" w:cs="Arial"/>
          <w:kern w:val="0"/>
          <w:sz w:val="18"/>
          <w:szCs w:val="18"/>
          <w:lang w:val="en-US" w:eastAsia="en-US"/>
        </w:rPr>
        <w:t>chips</w:t>
      </w:r>
      <w:r w:rsidRPr="009A3355">
        <w:rPr>
          <w:rFonts w:eastAsia="Times New Roman" w:cs="Arial"/>
          <w:kern w:val="0"/>
          <w:sz w:val="18"/>
          <w:szCs w:val="18"/>
          <w:lang w:val="en-US" w:eastAsia="en-US"/>
        </w:rPr>
        <w:t>:  high performance wood products that are extremely durable and stable, opening new opportunities for the built environment and giving the world a choice to build sustainably. Accsys transforms fast-growing, certified sustainable wood into building materials with an up to 50-year warranty, locking carbon stored in the wood into useful products for decades, with performance characteristics that match or better those of non-renewable, resource-</w:t>
      </w:r>
      <w:proofErr w:type="gramStart"/>
      <w:r w:rsidRPr="009A3355">
        <w:rPr>
          <w:rFonts w:eastAsia="Times New Roman" w:cs="Arial"/>
          <w:kern w:val="0"/>
          <w:sz w:val="18"/>
          <w:szCs w:val="18"/>
          <w:lang w:val="en-US" w:eastAsia="en-US"/>
        </w:rPr>
        <w:t>depleting</w:t>
      </w:r>
      <w:proofErr w:type="gramEnd"/>
      <w:r w:rsidRPr="009A3355">
        <w:rPr>
          <w:rFonts w:eastAsia="Times New Roman" w:cs="Arial"/>
          <w:kern w:val="0"/>
          <w:sz w:val="18"/>
          <w:szCs w:val="18"/>
          <w:lang w:val="en-US" w:eastAsia="en-US"/>
        </w:rPr>
        <w:t xml:space="preserve"> and polluting alternatives.  Accsys is listed on the London Stock Exchange AIM market and on Euronext Amsterdam, under the symbols 'AXS'.</w:t>
      </w:r>
    </w:p>
    <w:p w14:paraId="0189E89D" w14:textId="77777777" w:rsidR="0004133A" w:rsidRPr="009A3355" w:rsidRDefault="0004133A" w:rsidP="0004133A">
      <w:pPr>
        <w:spacing w:after="120" w:line="240" w:lineRule="auto"/>
        <w:rPr>
          <w:rFonts w:eastAsia="Times New Roman" w:cs="Arial"/>
          <w:kern w:val="0"/>
          <w:sz w:val="18"/>
          <w:szCs w:val="18"/>
          <w:lang w:val="en-US" w:eastAsia="en-US"/>
        </w:rPr>
      </w:pPr>
      <w:r w:rsidRPr="009A3355">
        <w:rPr>
          <w:rFonts w:eastAsia="Times New Roman" w:cs="Arial"/>
          <w:kern w:val="0"/>
          <w:sz w:val="18"/>
          <w:szCs w:val="18"/>
          <w:lang w:val="en-US" w:eastAsia="en-US"/>
        </w:rPr>
        <w:t>Accsys is a Participant of the United Nations Global Compact and adheres to its principles-based approach to responsible business.</w:t>
      </w:r>
    </w:p>
    <w:p w14:paraId="22AD8E6D" w14:textId="77777777" w:rsidR="0004133A" w:rsidRPr="009A3355" w:rsidRDefault="0004133A" w:rsidP="0004133A">
      <w:pPr>
        <w:spacing w:after="120" w:line="240" w:lineRule="auto"/>
        <w:rPr>
          <w:rFonts w:eastAsia="Times New Roman" w:cs="Arial"/>
          <w:kern w:val="0"/>
          <w:sz w:val="18"/>
          <w:szCs w:val="18"/>
          <w:lang w:val="en-US" w:eastAsia="en-US"/>
        </w:rPr>
      </w:pPr>
      <w:r w:rsidRPr="009A3355">
        <w:rPr>
          <w:rFonts w:eastAsia="Times New Roman" w:cs="Arial"/>
          <w:kern w:val="0"/>
          <w:sz w:val="18"/>
          <w:szCs w:val="18"/>
          <w:lang w:val="en-US" w:eastAsia="en-US"/>
        </w:rPr>
        <w:t xml:space="preserve">Visit </w:t>
      </w:r>
      <w:hyperlink r:id="rId7" w:history="1">
        <w:r w:rsidRPr="009A3355">
          <w:rPr>
            <w:rFonts w:eastAsia="SimSun" w:cs="Arial"/>
            <w:color w:val="0563C1"/>
            <w:kern w:val="0"/>
            <w:sz w:val="18"/>
            <w:szCs w:val="18"/>
            <w:u w:val="single"/>
            <w:lang w:val="en-US" w:eastAsia="en-US"/>
          </w:rPr>
          <w:t>www.accsysplc.com</w:t>
        </w:r>
      </w:hyperlink>
      <w:r w:rsidRPr="009A3355">
        <w:rPr>
          <w:rFonts w:eastAsia="Times New Roman" w:cs="Arial"/>
          <w:kern w:val="0"/>
          <w:sz w:val="18"/>
          <w:szCs w:val="18"/>
          <w:lang w:val="en-US" w:eastAsia="en-US"/>
        </w:rPr>
        <w:t xml:space="preserve">  </w:t>
      </w:r>
    </w:p>
    <w:p w14:paraId="773DB8B2" w14:textId="77777777" w:rsidR="0004133A" w:rsidRPr="009A3355" w:rsidRDefault="0004133A" w:rsidP="0004133A">
      <w:pPr>
        <w:spacing w:after="120" w:line="240" w:lineRule="auto"/>
        <w:rPr>
          <w:rFonts w:eastAsia="Times New Roman" w:cs="Arial"/>
          <w:kern w:val="0"/>
          <w:sz w:val="18"/>
          <w:szCs w:val="18"/>
          <w:lang w:val="en-US" w:eastAsia="en-US"/>
        </w:rPr>
      </w:pPr>
      <w:proofErr w:type="spellStart"/>
      <w:r w:rsidRPr="009A3355">
        <w:rPr>
          <w:rFonts w:eastAsia="Times New Roman" w:cs="Arial"/>
          <w:b/>
          <w:bCs/>
          <w:kern w:val="0"/>
          <w:sz w:val="18"/>
          <w:szCs w:val="18"/>
          <w:lang w:val="en-US" w:eastAsia="en-US"/>
        </w:rPr>
        <w:t>Accoya</w:t>
      </w:r>
      <w:proofErr w:type="spellEnd"/>
      <w:r w:rsidRPr="009A3355">
        <w:rPr>
          <w:rFonts w:eastAsia="Times New Roman" w:cs="Arial"/>
          <w:b/>
          <w:bCs/>
          <w:kern w:val="0"/>
          <w:sz w:val="18"/>
          <w:szCs w:val="18"/>
          <w:vertAlign w:val="superscript"/>
          <w:lang w:val="en-US" w:eastAsia="en-US"/>
        </w:rPr>
        <w:t>®</w:t>
      </w:r>
      <w:r w:rsidRPr="009A3355">
        <w:rPr>
          <w:rFonts w:eastAsia="Times New Roman" w:cs="Arial"/>
          <w:kern w:val="0"/>
          <w:sz w:val="18"/>
          <w:szCs w:val="18"/>
          <w:lang w:val="en-US" w:eastAsia="en-US"/>
        </w:rPr>
        <w:t xml:space="preserve"> solid wood is sustainable, durable, and stable with exceptional performance, </w:t>
      </w:r>
      <w:proofErr w:type="gramStart"/>
      <w:r w:rsidRPr="009A3355">
        <w:rPr>
          <w:rFonts w:eastAsia="Times New Roman" w:cs="Arial"/>
          <w:kern w:val="0"/>
          <w:sz w:val="18"/>
          <w:szCs w:val="18"/>
          <w:lang w:val="en-US" w:eastAsia="en-US"/>
        </w:rPr>
        <w:t>finish</w:t>
      </w:r>
      <w:proofErr w:type="gramEnd"/>
      <w:r w:rsidRPr="009A3355">
        <w:rPr>
          <w:rFonts w:eastAsia="Times New Roman" w:cs="Arial"/>
          <w:kern w:val="0"/>
          <w:sz w:val="18"/>
          <w:szCs w:val="18"/>
          <w:lang w:val="en-US" w:eastAsia="en-US"/>
        </w:rPr>
        <w:t xml:space="preserve"> and sustainability. Accsys’ proprietary acetylation process makes the wood more dimensionally stable and because it is no longer easily digestible, extremely durable. It is one of very few building materials to be Cradle to Cradle Certified™ at the </w:t>
      </w:r>
      <w:proofErr w:type="gramStart"/>
      <w:r w:rsidRPr="009A3355">
        <w:rPr>
          <w:rFonts w:eastAsia="Times New Roman" w:cs="Arial"/>
          <w:kern w:val="0"/>
          <w:sz w:val="18"/>
          <w:szCs w:val="18"/>
          <w:lang w:val="en-US" w:eastAsia="en-US"/>
        </w:rPr>
        <w:t>Gold</w:t>
      </w:r>
      <w:proofErr w:type="gramEnd"/>
      <w:r w:rsidRPr="009A3355">
        <w:rPr>
          <w:rFonts w:eastAsia="Times New Roman" w:cs="Arial"/>
          <w:kern w:val="0"/>
          <w:sz w:val="18"/>
          <w:szCs w:val="18"/>
          <w:lang w:val="en-US" w:eastAsia="en-US"/>
        </w:rPr>
        <w:t xml:space="preserve"> level, with a Platinum rating for Material Health, confirming that no harmful or toxic additives or chemicals are present to leach out into the environment. Primary applications for </w:t>
      </w:r>
      <w:proofErr w:type="spellStart"/>
      <w:r w:rsidRPr="009A3355">
        <w:rPr>
          <w:rFonts w:eastAsia="Times New Roman" w:cs="Arial"/>
          <w:kern w:val="0"/>
          <w:sz w:val="18"/>
          <w:szCs w:val="18"/>
          <w:lang w:val="en-US" w:eastAsia="en-US"/>
        </w:rPr>
        <w:t>Accoya</w:t>
      </w:r>
      <w:proofErr w:type="spellEnd"/>
      <w:r w:rsidRPr="009A3355">
        <w:rPr>
          <w:rFonts w:eastAsia="Times New Roman" w:cs="Arial"/>
          <w:kern w:val="0"/>
          <w:sz w:val="18"/>
          <w:szCs w:val="18"/>
          <w:vertAlign w:val="superscript"/>
          <w:lang w:val="en-US" w:eastAsia="en-US"/>
        </w:rPr>
        <w:t>®</w:t>
      </w:r>
      <w:r w:rsidRPr="009A3355">
        <w:rPr>
          <w:rFonts w:eastAsia="Times New Roman" w:cs="Arial"/>
          <w:kern w:val="0"/>
          <w:sz w:val="18"/>
          <w:szCs w:val="18"/>
          <w:lang w:val="en-US" w:eastAsia="en-US"/>
        </w:rPr>
        <w:t xml:space="preserve"> wood include windows, doors, cladding and decking, where the combination of performance and sustainability benefits compete favorably against hardwoods, plastics, </w:t>
      </w:r>
      <w:proofErr w:type="gramStart"/>
      <w:r w:rsidRPr="009A3355">
        <w:rPr>
          <w:rFonts w:eastAsia="Times New Roman" w:cs="Arial"/>
          <w:kern w:val="0"/>
          <w:sz w:val="18"/>
          <w:szCs w:val="18"/>
          <w:lang w:val="en-US" w:eastAsia="en-US"/>
        </w:rPr>
        <w:t>metals</w:t>
      </w:r>
      <w:proofErr w:type="gramEnd"/>
      <w:r w:rsidRPr="009A3355">
        <w:rPr>
          <w:rFonts w:eastAsia="Times New Roman" w:cs="Arial"/>
          <w:kern w:val="0"/>
          <w:sz w:val="18"/>
          <w:szCs w:val="18"/>
          <w:lang w:val="en-US" w:eastAsia="en-US"/>
        </w:rPr>
        <w:t xml:space="preserve"> and concrete. Visit </w:t>
      </w:r>
      <w:hyperlink r:id="rId8" w:history="1">
        <w:r w:rsidRPr="009A3355">
          <w:rPr>
            <w:rFonts w:eastAsia="Times New Roman" w:cs="Arial"/>
            <w:color w:val="0563C1"/>
            <w:kern w:val="0"/>
            <w:sz w:val="18"/>
            <w:szCs w:val="18"/>
            <w:u w:val="single"/>
            <w:lang w:eastAsia="en-US"/>
          </w:rPr>
          <w:t>www.accoya.com</w:t>
        </w:r>
      </w:hyperlink>
      <w:r w:rsidRPr="009A3355">
        <w:rPr>
          <w:rFonts w:eastAsia="Times New Roman" w:cs="Arial"/>
          <w:kern w:val="0"/>
          <w:sz w:val="18"/>
          <w:szCs w:val="18"/>
          <w:lang w:val="en-US" w:eastAsia="en-US"/>
        </w:rPr>
        <w:t xml:space="preserve"> </w:t>
      </w:r>
    </w:p>
    <w:p w14:paraId="15E38CD9" w14:textId="77777777" w:rsidR="0004133A" w:rsidRPr="009A3355" w:rsidRDefault="0004133A" w:rsidP="0004133A">
      <w:pPr>
        <w:spacing w:after="120" w:line="240" w:lineRule="auto"/>
        <w:rPr>
          <w:rFonts w:eastAsia="Times New Roman" w:cs="Arial"/>
          <w:kern w:val="0"/>
          <w:sz w:val="18"/>
          <w:szCs w:val="18"/>
          <w:lang w:val="en-US" w:eastAsia="en-US"/>
        </w:rPr>
      </w:pPr>
      <w:proofErr w:type="spellStart"/>
      <w:r w:rsidRPr="009A3355">
        <w:rPr>
          <w:rFonts w:eastAsia="Times New Roman" w:cs="Arial"/>
          <w:b/>
          <w:bCs/>
          <w:kern w:val="0"/>
          <w:sz w:val="18"/>
          <w:szCs w:val="18"/>
          <w:lang w:val="en-US" w:eastAsia="en-US"/>
        </w:rPr>
        <w:t>Tricoya</w:t>
      </w:r>
      <w:proofErr w:type="spellEnd"/>
      <w:r w:rsidRPr="009A3355">
        <w:rPr>
          <w:rFonts w:eastAsia="Times New Roman" w:cs="Arial"/>
          <w:b/>
          <w:bCs/>
          <w:kern w:val="0"/>
          <w:sz w:val="18"/>
          <w:szCs w:val="18"/>
          <w:vertAlign w:val="superscript"/>
          <w:lang w:val="en-US" w:eastAsia="en-US"/>
        </w:rPr>
        <w:t>®</w:t>
      </w:r>
      <w:r w:rsidRPr="009A3355">
        <w:rPr>
          <w:rFonts w:eastAsia="Times New Roman" w:cs="Arial"/>
          <w:kern w:val="0"/>
          <w:sz w:val="18"/>
          <w:szCs w:val="18"/>
          <w:lang w:val="en-US" w:eastAsia="en-US"/>
        </w:rPr>
        <w:t xml:space="preserve"> acetylated wood elements are produced for use in the fabrication of panel products such as medium density </w:t>
      </w:r>
      <w:proofErr w:type="spellStart"/>
      <w:r w:rsidRPr="009A3355">
        <w:rPr>
          <w:rFonts w:eastAsia="Times New Roman" w:cs="Arial"/>
          <w:kern w:val="0"/>
          <w:sz w:val="18"/>
          <w:szCs w:val="18"/>
          <w:lang w:val="en-US" w:eastAsia="en-US"/>
        </w:rPr>
        <w:t>fibreboard</w:t>
      </w:r>
      <w:proofErr w:type="spellEnd"/>
      <w:r w:rsidRPr="009A3355">
        <w:rPr>
          <w:rFonts w:eastAsia="Times New Roman" w:cs="Arial"/>
          <w:kern w:val="0"/>
          <w:sz w:val="18"/>
          <w:szCs w:val="18"/>
          <w:lang w:val="en-US" w:eastAsia="en-US"/>
        </w:rPr>
        <w:t xml:space="preserve"> (MDF). Panel products made with </w:t>
      </w:r>
      <w:proofErr w:type="spellStart"/>
      <w:r w:rsidRPr="009A3355">
        <w:rPr>
          <w:rFonts w:eastAsia="Times New Roman" w:cs="Arial"/>
          <w:kern w:val="0"/>
          <w:sz w:val="18"/>
          <w:szCs w:val="18"/>
          <w:lang w:val="en-US" w:eastAsia="en-US"/>
        </w:rPr>
        <w:t>Tricoya</w:t>
      </w:r>
      <w:proofErr w:type="spellEnd"/>
      <w:r w:rsidRPr="009A3355">
        <w:rPr>
          <w:rFonts w:eastAsia="Times New Roman" w:cs="Arial"/>
          <w:kern w:val="0"/>
          <w:sz w:val="18"/>
          <w:szCs w:val="18"/>
          <w:vertAlign w:val="superscript"/>
          <w:lang w:val="en-US" w:eastAsia="en-US"/>
        </w:rPr>
        <w:t>®</w:t>
      </w:r>
      <w:r w:rsidRPr="009A3355">
        <w:rPr>
          <w:rFonts w:eastAsia="Times New Roman" w:cs="Arial"/>
          <w:kern w:val="0"/>
          <w:sz w:val="18"/>
          <w:szCs w:val="18"/>
          <w:lang w:val="en-US" w:eastAsia="en-US"/>
        </w:rPr>
        <w:t xml:space="preserve"> wood elements are truly durable and stable enough for use outdoors and in wet environments, unlocking new possibilities for design and construction. They have been lauded as the first major innovation in the wood composites industry in more than 30 years and bring the flexibility of traditional panel products and sustainability benefits of wood to a whole new range of applications. Visit </w:t>
      </w:r>
      <w:hyperlink r:id="rId9" w:history="1">
        <w:r w:rsidRPr="009A3355">
          <w:rPr>
            <w:rFonts w:eastAsia="Times New Roman" w:cs="Arial"/>
            <w:color w:val="0563C1"/>
            <w:kern w:val="0"/>
            <w:sz w:val="18"/>
            <w:szCs w:val="18"/>
            <w:u w:val="single"/>
            <w:lang w:eastAsia="en-US"/>
          </w:rPr>
          <w:t>www.tricoya.com</w:t>
        </w:r>
      </w:hyperlink>
      <w:r w:rsidRPr="009A3355">
        <w:rPr>
          <w:rFonts w:eastAsia="Times New Roman" w:cs="Arial"/>
          <w:kern w:val="0"/>
          <w:sz w:val="18"/>
          <w:szCs w:val="18"/>
          <w:lang w:val="en-US" w:eastAsia="en-US"/>
        </w:rPr>
        <w:t xml:space="preserve"> </w:t>
      </w:r>
    </w:p>
    <w:p w14:paraId="559F2C95" w14:textId="77777777" w:rsidR="0004133A" w:rsidRPr="009A3355" w:rsidRDefault="0004133A" w:rsidP="0004133A">
      <w:pPr>
        <w:spacing w:before="120" w:after="120" w:line="240" w:lineRule="auto"/>
        <w:rPr>
          <w:rFonts w:eastAsia="SimSun" w:cs="Arial"/>
          <w:b/>
          <w:bCs/>
          <w:sz w:val="18"/>
          <w:szCs w:val="18"/>
        </w:rPr>
      </w:pPr>
      <w:r w:rsidRPr="009A3355">
        <w:rPr>
          <w:rFonts w:eastAsia="Times New Roman" w:cs="Arial"/>
          <w:kern w:val="0"/>
          <w:sz w:val="18"/>
          <w:szCs w:val="18"/>
          <w:lang w:val="en-US" w:eastAsia="en-US"/>
        </w:rPr>
        <w:t xml:space="preserve">Any references in this announcement to agreements with Accsys shall mean agreements with either Accsys or its subsidiary entities unless otherwise specified. ‘Accsys’ and ‘Accsys Technologies’ are trading names of Titan Wood Limited (“TWL”), a wholly-owned subsidiary of Accsys Technologies PLC. </w:t>
      </w:r>
      <w:proofErr w:type="spellStart"/>
      <w:r w:rsidRPr="009A3355">
        <w:rPr>
          <w:rFonts w:eastAsia="Times New Roman" w:cs="Arial"/>
          <w:kern w:val="0"/>
          <w:sz w:val="18"/>
          <w:szCs w:val="18"/>
          <w:lang w:val="en-US" w:eastAsia="en-US"/>
        </w:rPr>
        <w:t>Accoya</w:t>
      </w:r>
      <w:proofErr w:type="spellEnd"/>
      <w:r w:rsidRPr="009A3355">
        <w:rPr>
          <w:rFonts w:eastAsia="Times New Roman" w:cs="Arial"/>
          <w:kern w:val="0"/>
          <w:szCs w:val="18"/>
          <w:vertAlign w:val="superscript"/>
          <w:lang w:val="en-US" w:eastAsia="en-US"/>
        </w:rPr>
        <w:t>®</w:t>
      </w:r>
      <w:r w:rsidRPr="009A3355">
        <w:rPr>
          <w:rFonts w:eastAsia="Times New Roman" w:cs="Arial"/>
          <w:kern w:val="0"/>
          <w:sz w:val="18"/>
          <w:szCs w:val="18"/>
          <w:lang w:val="en-US" w:eastAsia="en-US"/>
        </w:rPr>
        <w:t xml:space="preserve">, </w:t>
      </w:r>
      <w:proofErr w:type="spellStart"/>
      <w:r w:rsidRPr="009A3355">
        <w:rPr>
          <w:rFonts w:eastAsia="Times New Roman" w:cs="Arial"/>
          <w:kern w:val="0"/>
          <w:sz w:val="18"/>
          <w:szCs w:val="18"/>
          <w:lang w:val="en-US" w:eastAsia="en-US"/>
        </w:rPr>
        <w:t>Tricoya</w:t>
      </w:r>
      <w:proofErr w:type="spellEnd"/>
      <w:r w:rsidRPr="009A3355">
        <w:rPr>
          <w:rFonts w:eastAsia="Times New Roman" w:cs="Arial"/>
          <w:kern w:val="0"/>
          <w:szCs w:val="18"/>
          <w:vertAlign w:val="superscript"/>
          <w:lang w:val="en-US" w:eastAsia="en-US"/>
        </w:rPr>
        <w:t>®</w:t>
      </w:r>
      <w:r w:rsidRPr="009A3355">
        <w:rPr>
          <w:rFonts w:eastAsia="Times New Roman" w:cs="Arial"/>
          <w:kern w:val="0"/>
          <w:sz w:val="18"/>
          <w:szCs w:val="18"/>
          <w:lang w:val="en-US" w:eastAsia="en-US"/>
        </w:rPr>
        <w:t xml:space="preserve"> and the </w:t>
      </w:r>
      <w:proofErr w:type="spellStart"/>
      <w:r w:rsidRPr="009A3355">
        <w:rPr>
          <w:rFonts w:eastAsia="Times New Roman" w:cs="Arial"/>
          <w:kern w:val="0"/>
          <w:sz w:val="18"/>
          <w:szCs w:val="18"/>
          <w:lang w:val="en-US" w:eastAsia="en-US"/>
        </w:rPr>
        <w:t>Trimarque</w:t>
      </w:r>
      <w:proofErr w:type="spellEnd"/>
      <w:r w:rsidRPr="009A3355">
        <w:rPr>
          <w:rFonts w:eastAsia="Times New Roman" w:cs="Arial"/>
          <w:kern w:val="0"/>
          <w:sz w:val="18"/>
          <w:szCs w:val="18"/>
          <w:lang w:val="en-US" w:eastAsia="en-US"/>
        </w:rPr>
        <w:t xml:space="preserve"> Device are registered trademarks owned by TWL, and may not be used or reproduced without written </w:t>
      </w:r>
      <w:r w:rsidRPr="009A3355">
        <w:rPr>
          <w:rFonts w:eastAsia="Times New Roman" w:cs="Arial"/>
          <w:kern w:val="0"/>
          <w:sz w:val="18"/>
          <w:szCs w:val="18"/>
          <w:lang w:val="en-US" w:eastAsia="en-US"/>
        </w:rPr>
        <w:lastRenderedPageBreak/>
        <w:t xml:space="preserve">permission from TWL, or in the case of the </w:t>
      </w:r>
      <w:proofErr w:type="spellStart"/>
      <w:r w:rsidRPr="009A3355">
        <w:rPr>
          <w:rFonts w:eastAsia="Times New Roman" w:cs="Arial"/>
          <w:kern w:val="0"/>
          <w:sz w:val="18"/>
          <w:szCs w:val="18"/>
          <w:lang w:val="en-US" w:eastAsia="en-US"/>
        </w:rPr>
        <w:t>Tricoya</w:t>
      </w:r>
      <w:proofErr w:type="spellEnd"/>
      <w:r w:rsidRPr="009A3355">
        <w:rPr>
          <w:rFonts w:eastAsia="Times New Roman" w:cs="Arial"/>
          <w:kern w:val="0"/>
          <w:szCs w:val="18"/>
          <w:vertAlign w:val="superscript"/>
          <w:lang w:val="en-US" w:eastAsia="en-US"/>
        </w:rPr>
        <w:t>®</w:t>
      </w:r>
      <w:r w:rsidRPr="009A3355">
        <w:rPr>
          <w:rFonts w:eastAsia="Times New Roman" w:cs="Arial"/>
          <w:kern w:val="0"/>
          <w:sz w:val="18"/>
          <w:szCs w:val="18"/>
          <w:lang w:val="en-US" w:eastAsia="en-US"/>
        </w:rPr>
        <w:t xml:space="preserve"> registered brand trademark, from </w:t>
      </w:r>
      <w:proofErr w:type="spellStart"/>
      <w:r w:rsidRPr="009A3355">
        <w:rPr>
          <w:rFonts w:eastAsia="Times New Roman" w:cs="Arial"/>
          <w:kern w:val="0"/>
          <w:sz w:val="18"/>
          <w:szCs w:val="18"/>
          <w:lang w:val="en-US" w:eastAsia="en-US"/>
        </w:rPr>
        <w:t>Tricoya</w:t>
      </w:r>
      <w:proofErr w:type="spellEnd"/>
      <w:r w:rsidRPr="009A3355">
        <w:rPr>
          <w:rFonts w:eastAsia="Times New Roman" w:cs="Arial"/>
          <w:kern w:val="0"/>
          <w:sz w:val="18"/>
          <w:szCs w:val="18"/>
          <w:lang w:val="en-US" w:eastAsia="en-US"/>
        </w:rPr>
        <w:t xml:space="preserve"> Technologies Limited, a subsidiary of TWL with exclusive rights to exploit the </w:t>
      </w:r>
      <w:proofErr w:type="spellStart"/>
      <w:r w:rsidRPr="009A3355">
        <w:rPr>
          <w:rFonts w:eastAsia="Times New Roman" w:cs="Arial"/>
          <w:kern w:val="0"/>
          <w:sz w:val="18"/>
          <w:szCs w:val="18"/>
          <w:lang w:val="en-US" w:eastAsia="en-US"/>
        </w:rPr>
        <w:t>Tricoya</w:t>
      </w:r>
      <w:proofErr w:type="spellEnd"/>
      <w:r w:rsidRPr="009A3355">
        <w:rPr>
          <w:rFonts w:eastAsia="Times New Roman" w:cs="Arial"/>
          <w:kern w:val="0"/>
          <w:sz w:val="18"/>
          <w:szCs w:val="18"/>
          <w:vertAlign w:val="superscript"/>
          <w:lang w:val="en-US" w:eastAsia="en-US"/>
        </w:rPr>
        <w:t>®</w:t>
      </w:r>
      <w:r w:rsidRPr="009A3355">
        <w:rPr>
          <w:rFonts w:eastAsia="Times New Roman" w:cs="Arial"/>
          <w:kern w:val="0"/>
          <w:sz w:val="18"/>
          <w:szCs w:val="18"/>
          <w:lang w:val="en-US" w:eastAsia="en-US"/>
        </w:rPr>
        <w:t xml:space="preserve"> brand.</w:t>
      </w:r>
    </w:p>
    <w:tbl>
      <w:tblPr>
        <w:tblW w:w="5000" w:type="pct"/>
        <w:tblLook w:val="04A0" w:firstRow="1" w:lastRow="0" w:firstColumn="1" w:lastColumn="0" w:noHBand="0" w:noVBand="1"/>
      </w:tblPr>
      <w:tblGrid>
        <w:gridCol w:w="5291"/>
        <w:gridCol w:w="1262"/>
        <w:gridCol w:w="1253"/>
        <w:gridCol w:w="1220"/>
      </w:tblGrid>
      <w:tr w:rsidR="0004133A" w:rsidRPr="009A3355" w14:paraId="72AA73D3" w14:textId="77777777" w:rsidTr="00BD479D">
        <w:trPr>
          <w:trHeight w:val="45"/>
        </w:trPr>
        <w:tc>
          <w:tcPr>
            <w:tcW w:w="2931" w:type="pct"/>
            <w:shd w:val="clear" w:color="auto" w:fill="FFFFFF"/>
            <w:noWrap/>
            <w:vAlign w:val="bottom"/>
          </w:tcPr>
          <w:p w14:paraId="567E4278" w14:textId="77777777" w:rsidR="0004133A" w:rsidRPr="009A3355" w:rsidRDefault="0004133A" w:rsidP="00BD479D">
            <w:pPr>
              <w:spacing w:after="0" w:line="240" w:lineRule="auto"/>
              <w:rPr>
                <w:rFonts w:eastAsia="Times New Roman" w:cs="Arial"/>
                <w:kern w:val="0"/>
                <w:sz w:val="15"/>
                <w:szCs w:val="15"/>
                <w:lang w:eastAsia="en-US"/>
              </w:rPr>
            </w:pPr>
          </w:p>
        </w:tc>
        <w:tc>
          <w:tcPr>
            <w:tcW w:w="699" w:type="pct"/>
            <w:shd w:val="clear" w:color="auto" w:fill="FFFFFF"/>
            <w:noWrap/>
            <w:vAlign w:val="center"/>
          </w:tcPr>
          <w:p w14:paraId="44C8D67A" w14:textId="77777777" w:rsidR="0004133A" w:rsidRPr="009A3355" w:rsidRDefault="0004133A" w:rsidP="00BD479D">
            <w:pPr>
              <w:spacing w:after="0" w:line="240" w:lineRule="auto"/>
              <w:jc w:val="right"/>
              <w:rPr>
                <w:rFonts w:eastAsia="Times New Roman" w:cs="Arial"/>
                <w:kern w:val="0"/>
                <w:sz w:val="15"/>
                <w:szCs w:val="15"/>
                <w:lang w:eastAsia="en-US"/>
              </w:rPr>
            </w:pPr>
          </w:p>
        </w:tc>
        <w:tc>
          <w:tcPr>
            <w:tcW w:w="694" w:type="pct"/>
            <w:noWrap/>
            <w:vAlign w:val="center"/>
          </w:tcPr>
          <w:p w14:paraId="67D8DAD6" w14:textId="77777777" w:rsidR="0004133A" w:rsidRPr="009A3355" w:rsidRDefault="0004133A" w:rsidP="00BD479D">
            <w:pPr>
              <w:spacing w:after="0" w:line="240" w:lineRule="auto"/>
              <w:jc w:val="right"/>
              <w:rPr>
                <w:rFonts w:eastAsia="Times New Roman" w:cs="Arial"/>
                <w:kern w:val="0"/>
                <w:sz w:val="15"/>
                <w:szCs w:val="15"/>
                <w:lang w:eastAsia="en-US"/>
              </w:rPr>
            </w:pPr>
          </w:p>
        </w:tc>
        <w:tc>
          <w:tcPr>
            <w:tcW w:w="676" w:type="pct"/>
            <w:shd w:val="clear" w:color="auto" w:fill="FFFFFF"/>
            <w:noWrap/>
            <w:vAlign w:val="center"/>
          </w:tcPr>
          <w:p w14:paraId="05503FC1" w14:textId="77777777" w:rsidR="0004133A" w:rsidRPr="009A3355" w:rsidRDefault="0004133A" w:rsidP="00BD479D">
            <w:pPr>
              <w:spacing w:after="0" w:line="240" w:lineRule="auto"/>
              <w:jc w:val="right"/>
              <w:rPr>
                <w:rFonts w:eastAsia="Times New Roman" w:cs="Arial"/>
                <w:kern w:val="0"/>
                <w:sz w:val="15"/>
                <w:szCs w:val="15"/>
                <w:lang w:eastAsia="en-US"/>
              </w:rPr>
            </w:pPr>
          </w:p>
        </w:tc>
      </w:tr>
    </w:tbl>
    <w:p w14:paraId="102A6602" w14:textId="77777777" w:rsidR="0004133A" w:rsidRPr="009A3355" w:rsidRDefault="0004133A" w:rsidP="0004133A">
      <w:pPr>
        <w:outlineLvl w:val="0"/>
        <w:rPr>
          <w:rFonts w:cs="Arial"/>
          <w:b/>
          <w:bCs/>
        </w:rPr>
      </w:pPr>
    </w:p>
    <w:p w14:paraId="056137B5" w14:textId="77777777" w:rsidR="00F7314B" w:rsidRDefault="00F7314B"/>
    <w:sectPr w:rsidR="00F7314B" w:rsidSect="0004133A">
      <w:headerReference w:type="default" r:id="rId10"/>
      <w:footerReference w:type="even" r:id="rId11"/>
      <w:footerReference w:type="default" r:id="rId12"/>
      <w:footerReference w:type="first" r:id="rId13"/>
      <w:pgSz w:w="11906" w:h="16838" w:code="9"/>
      <w:pgMar w:top="1440" w:right="1440" w:bottom="1276" w:left="1440" w:header="720" w:footer="709" w:gutter="0"/>
      <w:paperSrc w:first="15" w:other="15"/>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51E0" w14:textId="77777777" w:rsidR="0004133A" w:rsidRDefault="0004133A">
    <w:pPr>
      <w:pStyle w:val="Footer"/>
    </w:pPr>
    <w:r>
      <w:fldChar w:fldCharType="begin"/>
    </w:r>
    <w:r>
      <w:instrText xml:space="preserve"> DOCVARIABLE #DNDocID \* MERGEFORMAT </w:instrText>
    </w:r>
    <w:r>
      <w:fldChar w:fldCharType="separate"/>
    </w:r>
    <w:r>
      <w:rPr>
        <w:b/>
        <w:bCs/>
        <w:lang w:val="en-US"/>
      </w:rPr>
      <w:t>Error! No document variable supplied.</w:t>
    </w:r>
    <w:r>
      <w:rPr>
        <w:rFonts w:ascii="Times New Roman" w:hAnsi="Times New Roman" w:cs="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F177" w14:textId="77777777" w:rsidR="0004133A" w:rsidRDefault="0004133A">
    <w:pPr>
      <w:pStyle w:val="Footer"/>
      <w:spacing w:after="0"/>
    </w:pPr>
  </w:p>
  <w:p w14:paraId="527F3B3F" w14:textId="77777777" w:rsidR="0004133A" w:rsidRDefault="0004133A" w:rsidP="00DB4D3E">
    <w:pPr>
      <w:pStyle w:val="Foote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7435" w14:textId="77777777" w:rsidR="0004133A" w:rsidRDefault="0004133A">
    <w:pPr>
      <w:pStyle w:val="Footer"/>
      <w:spacing w:after="0"/>
    </w:pPr>
  </w:p>
  <w:p w14:paraId="102605E0" w14:textId="77777777" w:rsidR="0004133A" w:rsidRDefault="0004133A" w:rsidP="00DB4D3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5B2C" w14:textId="77777777" w:rsidR="0004133A" w:rsidRDefault="000413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6CFE"/>
    <w:multiLevelType w:val="hybridMultilevel"/>
    <w:tmpl w:val="2E0ABFDE"/>
    <w:lvl w:ilvl="0" w:tplc="4AAC1B80">
      <w:start w:val="1"/>
      <w:numFmt w:val="bullet"/>
      <w:lvlText w:val=""/>
      <w:lvlJc w:val="left"/>
      <w:pPr>
        <w:ind w:left="720" w:hanging="360"/>
      </w:pPr>
      <w:rPr>
        <w:rFonts w:ascii="Symbol" w:hAnsi="Symbol" w:hint="default"/>
      </w:rPr>
    </w:lvl>
    <w:lvl w:ilvl="1" w:tplc="5380D34E">
      <w:start w:val="1"/>
      <w:numFmt w:val="bullet"/>
      <w:lvlText w:val="o"/>
      <w:lvlJc w:val="left"/>
      <w:pPr>
        <w:ind w:left="1440" w:hanging="360"/>
      </w:pPr>
      <w:rPr>
        <w:rFonts w:ascii="Courier New" w:hAnsi="Courier New" w:hint="default"/>
      </w:rPr>
    </w:lvl>
    <w:lvl w:ilvl="2" w:tplc="015A1EC8">
      <w:start w:val="1"/>
      <w:numFmt w:val="bullet"/>
      <w:lvlText w:val=""/>
      <w:lvlJc w:val="left"/>
      <w:pPr>
        <w:ind w:left="2160" w:hanging="360"/>
      </w:pPr>
      <w:rPr>
        <w:rFonts w:ascii="Wingdings" w:hAnsi="Wingdings" w:hint="default"/>
      </w:rPr>
    </w:lvl>
    <w:lvl w:ilvl="3" w:tplc="22D00584">
      <w:start w:val="1"/>
      <w:numFmt w:val="bullet"/>
      <w:lvlText w:val=""/>
      <w:lvlJc w:val="left"/>
      <w:pPr>
        <w:ind w:left="2880" w:hanging="360"/>
      </w:pPr>
      <w:rPr>
        <w:rFonts w:ascii="Symbol" w:hAnsi="Symbol" w:hint="default"/>
      </w:rPr>
    </w:lvl>
    <w:lvl w:ilvl="4" w:tplc="DCECFEC4">
      <w:start w:val="1"/>
      <w:numFmt w:val="bullet"/>
      <w:lvlText w:val="o"/>
      <w:lvlJc w:val="left"/>
      <w:pPr>
        <w:ind w:left="3600" w:hanging="360"/>
      </w:pPr>
      <w:rPr>
        <w:rFonts w:ascii="Courier New" w:hAnsi="Courier New" w:hint="default"/>
      </w:rPr>
    </w:lvl>
    <w:lvl w:ilvl="5" w:tplc="35B265D8">
      <w:start w:val="1"/>
      <w:numFmt w:val="bullet"/>
      <w:lvlText w:val=""/>
      <w:lvlJc w:val="left"/>
      <w:pPr>
        <w:ind w:left="4320" w:hanging="360"/>
      </w:pPr>
      <w:rPr>
        <w:rFonts w:ascii="Wingdings" w:hAnsi="Wingdings" w:hint="default"/>
      </w:rPr>
    </w:lvl>
    <w:lvl w:ilvl="6" w:tplc="746E1686">
      <w:start w:val="1"/>
      <w:numFmt w:val="bullet"/>
      <w:lvlText w:val=""/>
      <w:lvlJc w:val="left"/>
      <w:pPr>
        <w:ind w:left="5040" w:hanging="360"/>
      </w:pPr>
      <w:rPr>
        <w:rFonts w:ascii="Symbol" w:hAnsi="Symbol" w:hint="default"/>
      </w:rPr>
    </w:lvl>
    <w:lvl w:ilvl="7" w:tplc="96DC05B6">
      <w:start w:val="1"/>
      <w:numFmt w:val="bullet"/>
      <w:lvlText w:val="o"/>
      <w:lvlJc w:val="left"/>
      <w:pPr>
        <w:ind w:left="5760" w:hanging="360"/>
      </w:pPr>
      <w:rPr>
        <w:rFonts w:ascii="Courier New" w:hAnsi="Courier New" w:hint="default"/>
      </w:rPr>
    </w:lvl>
    <w:lvl w:ilvl="8" w:tplc="56A8FF0C">
      <w:start w:val="1"/>
      <w:numFmt w:val="bullet"/>
      <w:lvlText w:val=""/>
      <w:lvlJc w:val="left"/>
      <w:pPr>
        <w:ind w:left="6480" w:hanging="360"/>
      </w:pPr>
      <w:rPr>
        <w:rFonts w:ascii="Wingdings" w:hAnsi="Wingdings" w:hint="default"/>
      </w:rPr>
    </w:lvl>
  </w:abstractNum>
  <w:num w:numId="1" w16cid:durableId="58446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3A"/>
    <w:rsid w:val="0004133A"/>
    <w:rsid w:val="00F73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9B78023"/>
  <w15:chartTrackingRefBased/>
  <w15:docId w15:val="{920C0E3D-6E34-4335-9F75-C7AC134C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7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33A"/>
    <w:pPr>
      <w:spacing w:after="280" w:line="280" w:lineRule="atLeast"/>
    </w:pPr>
    <w:rPr>
      <w:rFonts w:ascii="Arial" w:eastAsiaTheme="minorEastAsia" w:hAnsi="Arial"/>
      <w:kern w:val="16"/>
      <w:sz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33A"/>
    <w:pPr>
      <w:spacing w:after="0" w:line="240" w:lineRule="auto"/>
    </w:pPr>
    <w:rPr>
      <w:rFonts w:ascii="Arial" w:eastAsiaTheme="minorEastAsia" w:hAnsi="Arial"/>
      <w:kern w:val="0"/>
      <w:lang w:eastAsia="en-GB"/>
      <w14:ligatures w14:val="none"/>
    </w:rPr>
  </w:style>
  <w:style w:type="paragraph" w:styleId="ListParagraph">
    <w:name w:val="List Paragraph"/>
    <w:basedOn w:val="Normal"/>
    <w:uiPriority w:val="34"/>
    <w:qFormat/>
    <w:rsid w:val="0004133A"/>
    <w:pPr>
      <w:tabs>
        <w:tab w:val="left" w:pos="709"/>
        <w:tab w:val="left" w:pos="1418"/>
        <w:tab w:val="left" w:pos="2126"/>
        <w:tab w:val="left" w:pos="2835"/>
        <w:tab w:val="left" w:pos="3544"/>
        <w:tab w:val="left" w:pos="4253"/>
        <w:tab w:val="left" w:pos="4961"/>
        <w:tab w:val="left" w:pos="5670"/>
        <w:tab w:val="right" w:pos="8363"/>
      </w:tabs>
      <w:ind w:left="720"/>
    </w:pPr>
    <w:rPr>
      <w:rFonts w:eastAsiaTheme="minorHAnsi"/>
      <w:lang w:eastAsia="en-US"/>
    </w:rPr>
  </w:style>
  <w:style w:type="paragraph" w:styleId="Header">
    <w:name w:val="header"/>
    <w:basedOn w:val="Normal"/>
    <w:link w:val="HeaderChar"/>
    <w:uiPriority w:val="79"/>
    <w:semiHidden/>
    <w:rsid w:val="0004133A"/>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79"/>
    <w:semiHidden/>
    <w:rsid w:val="0004133A"/>
    <w:rPr>
      <w:rFonts w:ascii="Arial" w:hAnsi="Arial"/>
      <w:kern w:val="16"/>
      <w:sz w:val="20"/>
      <w14:ligatures w14:val="none"/>
    </w:rPr>
  </w:style>
  <w:style w:type="paragraph" w:styleId="Footer">
    <w:name w:val="footer"/>
    <w:basedOn w:val="Normal"/>
    <w:link w:val="FooterChar"/>
    <w:uiPriority w:val="79"/>
    <w:rsid w:val="0004133A"/>
    <w:pPr>
      <w:tabs>
        <w:tab w:val="center" w:pos="4253"/>
        <w:tab w:val="right" w:pos="8363"/>
      </w:tabs>
      <w:spacing w:before="120" w:after="120" w:line="120" w:lineRule="atLeast"/>
    </w:pPr>
    <w:rPr>
      <w:rFonts w:eastAsiaTheme="minorHAnsi"/>
      <w:sz w:val="12"/>
      <w:lang w:eastAsia="en-US"/>
    </w:rPr>
  </w:style>
  <w:style w:type="character" w:customStyle="1" w:styleId="FooterChar">
    <w:name w:val="Footer Char"/>
    <w:basedOn w:val="DefaultParagraphFont"/>
    <w:link w:val="Footer"/>
    <w:uiPriority w:val="79"/>
    <w:rsid w:val="0004133A"/>
    <w:rPr>
      <w:rFonts w:ascii="Arial" w:hAnsi="Arial"/>
      <w:kern w:val="16"/>
      <w:sz w:val="12"/>
      <w14:ligatures w14:val="none"/>
    </w:rPr>
  </w:style>
  <w:style w:type="character" w:styleId="Hyperlink">
    <w:name w:val="Hyperlink"/>
    <w:basedOn w:val="DefaultParagraphFont"/>
    <w:uiPriority w:val="99"/>
    <w:unhideWhenUsed/>
    <w:rsid w:val="0004133A"/>
    <w:rPr>
      <w:color w:val="0563C1" w:themeColor="hyperlink"/>
      <w:u w:val="single"/>
    </w:rPr>
  </w:style>
  <w:style w:type="paragraph" w:customStyle="1" w:styleId="Default">
    <w:name w:val="Default"/>
    <w:rsid w:val="0004133A"/>
    <w:pPr>
      <w:autoSpaceDE w:val="0"/>
      <w:autoSpaceDN w:val="0"/>
      <w:adjustRightInd w:val="0"/>
      <w:spacing w:after="0" w:line="240" w:lineRule="auto"/>
    </w:pPr>
    <w:rPr>
      <w:rFonts w:ascii="Arial" w:eastAsiaTheme="minorEastAsia"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ya.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csysplc.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accsysplc.com" TargetMode="External"/><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icoy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5692</Characters>
  <Application>Microsoft Office Word</Application>
  <DocSecurity>0</DocSecurity>
  <Lines>47</Lines>
  <Paragraphs>13</Paragraphs>
  <ScaleCrop>false</ScaleCrop>
  <Company>Equiniti</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Prism CoSec</dc:creator>
  <cp:keywords/>
  <dc:description/>
  <cp:lastModifiedBy>Prism CoSec</cp:lastModifiedBy>
  <cp:revision>1</cp:revision>
  <dcterms:created xsi:type="dcterms:W3CDTF">2025-01-29T19:24:00Z</dcterms:created>
  <dcterms:modified xsi:type="dcterms:W3CDTF">2025-01-29T19:25:00Z</dcterms:modified>
</cp:coreProperties>
</file>