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165E" w14:textId="77777777" w:rsidR="005E503D" w:rsidRDefault="00E92FAE">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E92FAE">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E92FAE">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E92FAE">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E92FAE">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E92FAE">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0BE31664" w14:textId="77777777" w:rsidR="005E503D" w:rsidRDefault="00E92FAE">
      <w:pPr>
        <w:pStyle w:val="AODocTxt"/>
        <w:rPr>
          <w:rFonts w:ascii="Verdana" w:hAnsi="Verdana"/>
          <w:sz w:val="20"/>
          <w:szCs w:val="20"/>
        </w:rPr>
      </w:pPr>
      <w:r>
        <w:rPr>
          <w:rFonts w:ascii="Verdana" w:hAnsi="Verdana"/>
          <w:sz w:val="20"/>
          <w:szCs w:val="20"/>
        </w:rPr>
        <w:t xml:space="preserve">Prosus today announces an update to </w:t>
      </w:r>
      <w:bookmarkStart w:id="0" w:name="_Hlk107580913"/>
      <w:r>
        <w:rPr>
          <w:rFonts w:ascii="Verdana" w:hAnsi="Verdana"/>
          <w:sz w:val="20"/>
          <w:szCs w:val="20"/>
        </w:rPr>
        <w:t xml:space="preserve">the open-ended, repurchase </w:t>
      </w:r>
      <w:r>
        <w:rPr>
          <w:rFonts w:ascii="Verdana" w:hAnsi="Verdana"/>
          <w:sz w:val="20"/>
          <w:szCs w:val="20"/>
        </w:rPr>
        <w:t>programme in respect of the ordinary shares N in the capital of Prosus ("</w:t>
      </w:r>
      <w:r>
        <w:rPr>
          <w:rFonts w:ascii="Verdana" w:hAnsi="Verdana"/>
          <w:b/>
          <w:bCs/>
          <w:sz w:val="20"/>
          <w:szCs w:val="20"/>
        </w:rPr>
        <w:t>Prosus Shares</w:t>
      </w:r>
      <w:r>
        <w:rPr>
          <w:rFonts w:ascii="Verdana" w:hAnsi="Verdana"/>
          <w:sz w:val="20"/>
          <w:szCs w:val="20"/>
        </w:rPr>
        <w:t>") and N ordinary shares in the share capital of Naspers ("</w:t>
      </w:r>
      <w:r>
        <w:rPr>
          <w:rFonts w:ascii="Verdana" w:hAnsi="Verdana"/>
          <w:b/>
          <w:bCs/>
          <w:sz w:val="20"/>
          <w:szCs w:val="20"/>
        </w:rPr>
        <w:t>Naspers Shares</w:t>
      </w:r>
      <w:r>
        <w:rPr>
          <w:rFonts w:ascii="Verdana" w:hAnsi="Verdana"/>
          <w:sz w:val="20"/>
          <w:szCs w:val="20"/>
        </w:rPr>
        <w:t>"), from the respective Prosus and Naspers (together the “</w:t>
      </w:r>
      <w:r>
        <w:rPr>
          <w:rFonts w:ascii="Verdana" w:hAnsi="Verdana"/>
          <w:b/>
          <w:bCs/>
          <w:sz w:val="20"/>
          <w:szCs w:val="20"/>
        </w:rPr>
        <w:t>Group</w:t>
      </w:r>
      <w:r>
        <w:rPr>
          <w:rFonts w:ascii="Verdana" w:hAnsi="Verdana"/>
          <w:sz w:val="20"/>
          <w:szCs w:val="20"/>
        </w:rPr>
        <w:t>”) free-float shareholders</w:t>
      </w:r>
      <w:bookmarkEnd w:id="0"/>
      <w:r>
        <w:rPr>
          <w:rFonts w:ascii="Verdana" w:hAnsi="Verdana"/>
          <w:sz w:val="20"/>
          <w:szCs w:val="20"/>
        </w:rPr>
        <w:t xml:space="preserve"> </w:t>
      </w:r>
      <w:bookmarkStart w:id="1" w:name="_Hlk107580931"/>
      <w:r>
        <w:rPr>
          <w:rFonts w:ascii="Verdana" w:hAnsi="Verdana"/>
          <w:sz w:val="20"/>
          <w:szCs w:val="20"/>
        </w:rPr>
        <w:t>(together the “</w:t>
      </w:r>
      <w:r>
        <w:rPr>
          <w:rFonts w:ascii="Verdana" w:hAnsi="Verdana"/>
          <w:b/>
          <w:bCs/>
          <w:sz w:val="20"/>
          <w:szCs w:val="20"/>
        </w:rPr>
        <w:t>Repurchase Programme</w:t>
      </w:r>
      <w:r>
        <w:rPr>
          <w:rFonts w:ascii="Verdana" w:hAnsi="Verdana"/>
          <w:sz w:val="20"/>
          <w:szCs w:val="20"/>
        </w:rPr>
        <w:t xml:space="preserve">”) </w:t>
      </w:r>
      <w:bookmarkEnd w:id="1"/>
      <w:r>
        <w:rPr>
          <w:rFonts w:ascii="Verdana" w:hAnsi="Verdana"/>
          <w:sz w:val="20"/>
          <w:szCs w:val="20"/>
        </w:rPr>
        <w:t>announced on 27 June 2022.</w:t>
      </w:r>
    </w:p>
    <w:p w14:paraId="0BE31666" w14:textId="77777777" w:rsidR="005E503D" w:rsidRDefault="00E92FAE" w:rsidP="00773E7E">
      <w:pPr>
        <w:pStyle w:val="AODocTxt"/>
        <w:rPr>
          <w:rFonts w:ascii="Verdana" w:hAnsi="Verdana"/>
          <w:sz w:val="20"/>
          <w:szCs w:val="20"/>
        </w:rPr>
      </w:pPr>
      <w:r>
        <w:rPr>
          <w:rFonts w:ascii="Verdana" w:hAnsi="Verdana"/>
          <w:sz w:val="20"/>
          <w:szCs w:val="20"/>
        </w:rPr>
        <w:t xml:space="preserve">As part of the Repurchase Programme, for the period between </w:t>
      </w:r>
      <w:sdt>
        <w:sdtPr>
          <w:rPr>
            <w:rFonts w:ascii="Verdana" w:hAnsi="Verdana"/>
            <w:sz w:val="20"/>
            <w:szCs w:val="20"/>
          </w:rPr>
          <w:alias w:val="Contract Express"/>
          <w:tag w:val="d=AnnouncementPeriodStartDate&amp;r="/>
          <w:id w:val="1905499235"/>
        </w:sdtPr>
        <w:sdtEndPr/>
        <w:sdtContent>
          <w:r>
            <w:rPr>
              <w:rFonts w:ascii="Verdana" w:hAnsi="Verdana"/>
              <w:sz w:val="20"/>
              <w:szCs w:val="20"/>
            </w:rPr>
            <w:t>20 January 2025</w:t>
          </w:r>
        </w:sdtContent>
      </w:sdt>
      <w:r>
        <w:rPr>
          <w:rFonts w:ascii="Verdana" w:hAnsi="Verdana"/>
          <w:sz w:val="20"/>
          <w:szCs w:val="20"/>
        </w:rPr>
        <w:t xml:space="preserve"> and </w:t>
      </w:r>
      <w:sdt>
        <w:sdtPr>
          <w:rPr>
            <w:rFonts w:ascii="Verdana" w:hAnsi="Verdana"/>
            <w:sz w:val="20"/>
            <w:szCs w:val="20"/>
          </w:rPr>
          <w:alias w:val="Contract Express"/>
          <w:tag w:val="d=AnnouncementPeriodEndDate&amp;r="/>
          <w:id w:val="256122342"/>
        </w:sdtPr>
        <w:sdtEndPr/>
        <w:sdtContent>
          <w:r>
            <w:rPr>
              <w:rFonts w:ascii="Verdana" w:hAnsi="Verdana"/>
              <w:sz w:val="20"/>
              <w:szCs w:val="20"/>
            </w:rPr>
            <w:t>24 January 2025</w:t>
          </w:r>
        </w:sdtContent>
      </w:sdt>
      <w:r>
        <w:rPr>
          <w:rFonts w:ascii="Verdana" w:hAnsi="Verdana"/>
          <w:sz w:val="20"/>
          <w:szCs w:val="20"/>
        </w:rPr>
        <w:t xml:space="preserve">, Prosus repurchased </w:t>
      </w:r>
      <w:sdt>
        <w:sdtPr>
          <w:rPr>
            <w:rFonts w:ascii="Verdana" w:hAnsi="Verdana"/>
            <w:sz w:val="20"/>
            <w:szCs w:val="20"/>
          </w:rPr>
          <w:alias w:val="Contract Express"/>
          <w:tag w:val="d=ProsusSharesRepurchaseNumber%20Format%20%22thousands%22&amp;r="/>
          <w:id w:val="1009860065"/>
        </w:sdtPr>
        <w:sdtEndPr/>
        <w:sdtContent>
          <w:r>
            <w:rPr>
              <w:rFonts w:ascii="Verdana" w:hAnsi="Verdana"/>
              <w:sz w:val="20"/>
              <w:szCs w:val="20"/>
            </w:rPr>
            <w:t>4,398,821</w:t>
          </w:r>
        </w:sdtContent>
      </w:sdt>
      <w:r>
        <w:rPr>
          <w:rFonts w:ascii="Verdana" w:hAnsi="Verdana"/>
          <w:sz w:val="20"/>
          <w:szCs w:val="20"/>
        </w:rPr>
        <w:t xml:space="preserve"> Prosus Shares at an average price of €</w:t>
      </w:r>
      <w:sdt>
        <w:sdtPr>
          <w:rPr>
            <w:rFonts w:ascii="Verdana" w:hAnsi="Verdana"/>
            <w:sz w:val="20"/>
            <w:szCs w:val="20"/>
          </w:rPr>
          <w:alias w:val="Contract Express"/>
          <w:tag w:val="d=ProsusAverageSharePrice%20Format%20%22thousands%22&amp;r="/>
          <w:id w:val="774316761"/>
        </w:sdtPr>
        <w:sdtEndPr/>
        <w:sdtContent>
          <w:r>
            <w:rPr>
              <w:rFonts w:ascii="Verdana" w:hAnsi="Verdana"/>
              <w:sz w:val="20"/>
              <w:szCs w:val="20"/>
            </w:rPr>
            <w:t>35.1949</w:t>
          </w:r>
        </w:sdtContent>
      </w:sdt>
      <w:r>
        <w:rPr>
          <w:rFonts w:ascii="Verdana" w:hAnsi="Verdana"/>
          <w:sz w:val="20"/>
          <w:szCs w:val="20"/>
        </w:rPr>
        <w:t xml:space="preserve"> per share for a total consideration of €</w:t>
      </w:r>
      <w:sdt>
        <w:sdtPr>
          <w:rPr>
            <w:rFonts w:ascii="Verdana" w:hAnsi="Verdana"/>
            <w:sz w:val="20"/>
            <w:szCs w:val="20"/>
          </w:rPr>
          <w:alias w:val="Contract Express"/>
          <w:tag w:val="d=int%28ProsusSharesTotalConsiderationEuros%29%20Format%20%22thousands%22&amp;r="/>
          <w:id w:val="1803495974"/>
        </w:sdtPr>
        <w:sdtEndPr/>
        <w:sdtContent>
          <w:r>
            <w:rPr>
              <w:rFonts w:ascii="Verdana" w:hAnsi="Verdana"/>
              <w:sz w:val="20"/>
              <w:szCs w:val="20"/>
            </w:rPr>
            <w:t>154,815,861</w:t>
          </w:r>
        </w:sdtContent>
      </w:sdt>
      <w:r>
        <w:rPr>
          <w:rFonts w:ascii="Verdana" w:hAnsi="Verdana"/>
          <w:sz w:val="20"/>
          <w:szCs w:val="20"/>
        </w:rPr>
        <w:t xml:space="preserve"> (US$</w:t>
      </w:r>
      <w:sdt>
        <w:sdtPr>
          <w:rPr>
            <w:rFonts w:ascii="Verdana" w:hAnsi="Verdana"/>
            <w:sz w:val="20"/>
            <w:szCs w:val="20"/>
          </w:rPr>
          <w:alias w:val="Contract Express"/>
          <w:tag w:val="d=int%28ProsusSharesTotalConsiderationDollar%29%20Format%20%22thousands%22&amp;r="/>
          <w:id w:val="2046952338"/>
        </w:sdtPr>
        <w:sdtEndPr/>
        <w:sdtContent>
          <w:r>
            <w:rPr>
              <w:rFonts w:ascii="Verdana" w:hAnsi="Verdana"/>
              <w:sz w:val="20"/>
              <w:szCs w:val="20"/>
            </w:rPr>
            <w:t>161,436,495</w:t>
          </w:r>
        </w:sdtContent>
      </w:sdt>
      <w:r>
        <w:rPr>
          <w:rFonts w:ascii="Verdana" w:hAnsi="Verdana"/>
          <w:sz w:val="20"/>
          <w:szCs w:val="20"/>
        </w:rPr>
        <w:t xml:space="preserve">). </w:t>
      </w:r>
    </w:p>
    <w:p w14:paraId="0BE3166B" w14:textId="77777777" w:rsidR="005E503D" w:rsidRDefault="00E92FAE" w:rsidP="00E92FAE">
      <w:pPr>
        <w:pStyle w:val="AODocTxt"/>
        <w:jc w:val="left"/>
        <w:rPr>
          <w:rFonts w:ascii="Verdana" w:hAnsi="Verdana"/>
          <w:sz w:val="20"/>
          <w:szCs w:val="20"/>
        </w:rPr>
      </w:pPr>
      <w:r>
        <w:rPr>
          <w:rFonts w:ascii="Verdana" w:hAnsi="Verdana"/>
          <w:sz w:val="20"/>
          <w:szCs w:val="20"/>
        </w:rPr>
        <w:t>Mo</w:t>
      </w:r>
      <w:r>
        <w:rPr>
          <w:rFonts w:ascii="Verdana" w:hAnsi="Verdana"/>
          <w:sz w:val="20"/>
          <w:szCs w:val="20"/>
        </w:rPr>
        <w:t>r</w:t>
      </w:r>
      <w:r>
        <w:rPr>
          <w:rFonts w:ascii="Verdana" w:hAnsi="Verdana"/>
          <w:sz w:val="20"/>
          <w:szCs w:val="20"/>
        </w:rPr>
        <w:t>e information on the Repurchase Programme is available on www.prosus.com/news/investors-shareholder-information/.</w:t>
      </w:r>
    </w:p>
    <w:p w14:paraId="0BE3166C" w14:textId="77777777" w:rsidR="005E503D" w:rsidRDefault="00E92FAE">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919774249"/>
      </w:sdtPr>
      <w:sdtEndPr/>
      <w:sdtContent>
        <w:p w14:paraId="0BE3166D" w14:textId="77777777" w:rsidR="005E503D" w:rsidRDefault="00E92FAE">
          <w:pPr>
            <w:pStyle w:val="AODocTxt"/>
            <w:spacing w:before="0"/>
            <w:rPr>
              <w:rFonts w:ascii="Verdana" w:hAnsi="Verdana"/>
              <w:sz w:val="20"/>
              <w:szCs w:val="20"/>
            </w:rPr>
          </w:pPr>
          <w:r>
            <w:rPr>
              <w:rFonts w:ascii="Verdana" w:hAnsi="Verdana"/>
              <w:sz w:val="20"/>
              <w:szCs w:val="20"/>
            </w:rPr>
            <w:t>28 January 2025</w:t>
          </w:r>
        </w:p>
      </w:sdtContent>
    </w:sdt>
    <w:p w14:paraId="1BC1AF98" w14:textId="77777777" w:rsidR="00E92FAE" w:rsidRDefault="00E92FAE" w:rsidP="00E92FAE">
      <w:pPr>
        <w:pStyle w:val="AODocTxt"/>
        <w:rPr>
          <w:rFonts w:ascii="Verdana" w:hAnsi="Verdana"/>
          <w:sz w:val="20"/>
          <w:szCs w:val="20"/>
        </w:rPr>
      </w:pPr>
      <w:r>
        <w:rPr>
          <w:rFonts w:ascii="Verdana" w:hAnsi="Verdana"/>
          <w:sz w:val="20"/>
          <w:szCs w:val="20"/>
        </w:rPr>
        <w:t>JSE sponsor to Prosus</w:t>
      </w:r>
    </w:p>
    <w:p w14:paraId="707A0A3F" w14:textId="77777777" w:rsidR="00E92FAE" w:rsidRDefault="00E92FAE" w:rsidP="00E92FAE">
      <w:pPr>
        <w:pStyle w:val="AODocTxt"/>
        <w:spacing w:before="0"/>
        <w:rPr>
          <w:rFonts w:ascii="Verdana" w:hAnsi="Verdana"/>
          <w:sz w:val="20"/>
          <w:szCs w:val="20"/>
        </w:rPr>
      </w:pPr>
      <w:r>
        <w:rPr>
          <w:rFonts w:ascii="Verdana" w:hAnsi="Verdana"/>
          <w:sz w:val="20"/>
          <w:szCs w:val="20"/>
        </w:rPr>
        <w:t>Investec Bank Limited</w:t>
      </w:r>
    </w:p>
    <w:p w14:paraId="14E7FD4A" w14:textId="77777777" w:rsidR="00E92FAE" w:rsidRDefault="00E92FAE" w:rsidP="00E92FAE">
      <w:pPr>
        <w:suppressAutoHyphens/>
        <w:jc w:val="both"/>
        <w:rPr>
          <w:rFonts w:ascii="Calibri" w:eastAsia="Arial" w:hAnsi="Calibri" w:cs="Calibri"/>
          <w:lang w:eastAsia="en-GB"/>
        </w:rPr>
      </w:pPr>
    </w:p>
    <w:p w14:paraId="22ECB0AA" w14:textId="77777777" w:rsidR="00E92FAE" w:rsidRDefault="00E92FAE" w:rsidP="00E92FAE">
      <w:pPr>
        <w:spacing w:after="160" w:line="256" w:lineRule="auto"/>
        <w:jc w:val="both"/>
        <w:textAlignment w:val="baseline"/>
        <w:rPr>
          <w:rFonts w:ascii="Verdana" w:eastAsia="Calibri" w:hAnsi="Verdana" w:cs="Segoe UI"/>
          <w:sz w:val="20"/>
          <w:szCs w:val="20"/>
          <w:lang w:val="en-US"/>
        </w:rPr>
      </w:pPr>
      <w:bookmarkStart w:id="2"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E92FAE" w14:paraId="2AA15765" w14:textId="77777777" w:rsidTr="00B17DFC">
        <w:tc>
          <w:tcPr>
            <w:tcW w:w="4815" w:type="dxa"/>
            <w:tcBorders>
              <w:top w:val="nil"/>
              <w:left w:val="nil"/>
              <w:bottom w:val="nil"/>
              <w:right w:val="nil"/>
            </w:tcBorders>
            <w:shd w:val="clear" w:color="auto" w:fill="auto"/>
            <w:hideMark/>
          </w:tcPr>
          <w:p w14:paraId="6D4226BF" w14:textId="77777777" w:rsidR="00E92FAE" w:rsidRPr="005431FA" w:rsidRDefault="00E92FAE" w:rsidP="00B17DFC">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1DD5680C" w14:textId="77777777" w:rsidR="00E92FAE" w:rsidRDefault="00E92FAE" w:rsidP="00B17DFC">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shd w:val="clear" w:color="auto" w:fill="auto"/>
            <w:hideMark/>
          </w:tcPr>
          <w:p w14:paraId="1F05552D" w14:textId="77777777" w:rsidR="00E92FAE" w:rsidRDefault="00E92FAE" w:rsidP="00B17DFC">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E92FAE" w14:paraId="768F2377" w14:textId="77777777" w:rsidTr="00B17DFC">
        <w:trPr>
          <w:trHeight w:val="110"/>
        </w:trPr>
        <w:tc>
          <w:tcPr>
            <w:tcW w:w="4815" w:type="dxa"/>
            <w:tcBorders>
              <w:top w:val="nil"/>
              <w:left w:val="nil"/>
              <w:bottom w:val="nil"/>
              <w:right w:val="nil"/>
            </w:tcBorders>
            <w:shd w:val="clear" w:color="auto" w:fill="auto"/>
            <w:hideMark/>
          </w:tcPr>
          <w:p w14:paraId="0AA29270" w14:textId="77777777" w:rsidR="00E92FAE" w:rsidRPr="00B60C2F" w:rsidRDefault="00E92FAE" w:rsidP="00B17DFC">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19D896E0" w14:textId="77777777" w:rsidR="00E92FAE" w:rsidRPr="00C6670E" w:rsidRDefault="00E92FAE" w:rsidP="00B17DFC">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 xml:space="preserve">Charlie Pemberton, Communications </w:t>
            </w:r>
            <w:proofErr w:type="spellStart"/>
            <w:r w:rsidRPr="00B60C2F">
              <w:rPr>
                <w:rFonts w:ascii="Verdana" w:eastAsia="Calibri" w:hAnsi="Verdana"/>
                <w:sz w:val="20"/>
                <w:szCs w:val="20"/>
                <w:lang w:val="fr-FR"/>
              </w:rPr>
              <w:t>Director</w:t>
            </w:r>
            <w:proofErr w:type="spellEnd"/>
          </w:p>
        </w:tc>
        <w:tc>
          <w:tcPr>
            <w:tcW w:w="4380" w:type="dxa"/>
            <w:tcBorders>
              <w:top w:val="nil"/>
              <w:left w:val="nil"/>
              <w:bottom w:val="nil"/>
              <w:right w:val="nil"/>
            </w:tcBorders>
            <w:shd w:val="clear" w:color="auto" w:fill="auto"/>
            <w:hideMark/>
          </w:tcPr>
          <w:p w14:paraId="2520CE18" w14:textId="77777777" w:rsidR="00E92FAE" w:rsidRDefault="00E92FAE" w:rsidP="00B17DFC">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bookmarkEnd w:id="2"/>
    </w:tbl>
    <w:p w14:paraId="6C5087A3" w14:textId="77777777" w:rsidR="00E92FAE" w:rsidRDefault="00E92FAE" w:rsidP="00E92FAE">
      <w:pPr>
        <w:suppressAutoHyphens/>
        <w:rPr>
          <w:rFonts w:ascii="Verdana" w:eastAsia="Verdana" w:hAnsi="Verdana" w:cs="Verdana"/>
          <w:b/>
          <w:color w:val="000000"/>
          <w:sz w:val="20"/>
          <w:szCs w:val="20"/>
          <w:lang w:eastAsia="en-GB"/>
        </w:rPr>
      </w:pPr>
    </w:p>
    <w:p w14:paraId="68705859" w14:textId="77777777" w:rsidR="00E92FAE" w:rsidRDefault="00E92FAE" w:rsidP="00E92FAE">
      <w:pPr>
        <w:keepNext/>
        <w:spacing w:after="160" w:line="256" w:lineRule="auto"/>
        <w:jc w:val="both"/>
        <w:rPr>
          <w:rFonts w:ascii="Calibri" w:eastAsia="Calibri" w:hAnsi="Calibri" w:cs="Arial"/>
          <w:b/>
          <w:bCs/>
          <w:i/>
          <w:iCs/>
          <w:color w:val="000000"/>
          <w:sz w:val="16"/>
          <w:szCs w:val="16"/>
          <w:lang w:val="en-US"/>
        </w:rPr>
      </w:pPr>
      <w:bookmarkStart w:id="3" w:name="_Hlk179556295"/>
      <w:bookmarkStart w:id="4" w:name="_Hlk107580844"/>
      <w:r>
        <w:rPr>
          <w:rFonts w:ascii="Calibri" w:eastAsia="Calibri" w:hAnsi="Calibri" w:cs="Arial"/>
          <w:b/>
          <w:bCs/>
          <w:i/>
          <w:iCs/>
          <w:color w:val="000000"/>
          <w:sz w:val="16"/>
          <w:szCs w:val="16"/>
          <w:lang w:val="en-US"/>
        </w:rPr>
        <w:t>About Prosus</w:t>
      </w:r>
    </w:p>
    <w:bookmarkEnd w:id="3"/>
    <w:p w14:paraId="38FA29F8" w14:textId="77777777" w:rsidR="00E92FAE" w:rsidRPr="00FD75AB" w:rsidRDefault="00E92FAE" w:rsidP="00E92FAE">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Prosus is a global technology company, unlocking an AI-first world for our 2 billion customers.  With investments in more than 100 companies across the world, we are building local ecommerce champions in growth markets.</w:t>
      </w:r>
    </w:p>
    <w:p w14:paraId="7028EE8D" w14:textId="77777777" w:rsidR="00E92FAE" w:rsidRPr="00FD75AB" w:rsidRDefault="00E92FAE" w:rsidP="00E92FAE">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With leading positions in Food Delivery, Classifieds and Fintech, Prosus has created its own unique technology ecosystem, driving innovation, knowledge sharing and growth across our portfolio.</w:t>
      </w:r>
    </w:p>
    <w:p w14:paraId="6D5480CB" w14:textId="77777777" w:rsidR="00E92FAE" w:rsidRPr="00FD75AB" w:rsidRDefault="00E92FAE" w:rsidP="00E92FAE">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Through the Prosus Ventures team, the group invests in new technology growth opportunities within AI, social and ecommerce platforms, fintech, B2B software, logistics, health, blockchain, agriculture and more. </w:t>
      </w:r>
    </w:p>
    <w:p w14:paraId="5DDDE966" w14:textId="77777777" w:rsidR="00E92FAE" w:rsidRPr="00FD75AB" w:rsidRDefault="00E92FAE" w:rsidP="00E92FAE">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The team actively backs exceptional entrepreneurs who are using technology to improve people’s everyday lives. </w:t>
      </w:r>
    </w:p>
    <w:p w14:paraId="254FDF6C" w14:textId="77777777" w:rsidR="00E92FAE" w:rsidRPr="00FD75AB" w:rsidRDefault="00E92FAE" w:rsidP="00E92FAE">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To find out more, please visit www.prosus.com.</w:t>
      </w:r>
    </w:p>
    <w:p w14:paraId="043B0542" w14:textId="77777777" w:rsidR="00E92FAE" w:rsidRDefault="00E92FAE" w:rsidP="00E92FAE">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67457257" w14:textId="77777777" w:rsidR="00E92FAE" w:rsidRDefault="00E92FAE" w:rsidP="00E92FAE">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Repurchase </w:t>
      </w:r>
      <w:proofErr w:type="spellStart"/>
      <w:r>
        <w:rPr>
          <w:rFonts w:ascii="Calibri" w:eastAsia="Calibri" w:hAnsi="Calibri" w:cs="Arial"/>
          <w:color w:val="000000"/>
          <w:sz w:val="16"/>
          <w:szCs w:val="16"/>
          <w:lang w:val="en-US"/>
        </w:rPr>
        <w:t>Programme</w:t>
      </w:r>
      <w:proofErr w:type="spellEnd"/>
      <w:r>
        <w:rPr>
          <w:rFonts w:ascii="Calibri" w:eastAsia="Calibri" w:hAnsi="Calibri" w:cs="Arial"/>
          <w:color w:val="000000"/>
          <w:sz w:val="16"/>
          <w:szCs w:val="16"/>
          <w:lang w:val="en-US"/>
        </w:rPr>
        <w:t xml:space="preserv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w:t>
      </w:r>
      <w:proofErr w:type="spellStart"/>
      <w:r>
        <w:rPr>
          <w:rFonts w:ascii="Calibri" w:eastAsia="Calibri" w:hAnsi="Calibri" w:cs="Arial"/>
          <w:color w:val="000000"/>
          <w:sz w:val="16"/>
          <w:szCs w:val="16"/>
          <w:lang w:val="en-US"/>
        </w:rPr>
        <w:t>programmes</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stabilisation</w:t>
      </w:r>
      <w:proofErr w:type="spellEnd"/>
      <w:r>
        <w:rPr>
          <w:rFonts w:ascii="Calibri" w:eastAsia="Calibri" w:hAnsi="Calibri" w:cs="Arial"/>
          <w:color w:val="000000"/>
          <w:sz w:val="16"/>
          <w:szCs w:val="16"/>
          <w:lang w:val="en-US"/>
        </w:rPr>
        <w:t xml:space="preserve"> measures (the “Delegated Regulation”). This document is issued in connection with the disclosure and reporting obligation set out in Article 2(1) of the Delegated Regulation.</w:t>
      </w:r>
    </w:p>
    <w:p w14:paraId="6E406ABD" w14:textId="77777777" w:rsidR="00E92FAE" w:rsidRDefault="00E92FAE" w:rsidP="00E92FAE">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384BCD85" w14:textId="77777777" w:rsidR="00E92FAE" w:rsidRDefault="00E92FAE" w:rsidP="00E92FAE">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announcement does not constitute, or form part of, an offer or any solicitation of an offer for securities in any jurisdiction.</w:t>
      </w:r>
    </w:p>
    <w:p w14:paraId="4F1840B5" w14:textId="77777777" w:rsidR="00E92FAE" w:rsidRDefault="00E92FAE" w:rsidP="00E92FAE">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The information contained in this announcement may contain forward-looking statements, estimates and projections.  Forward-looking statements involve all matters that are not historical and may be identified by the words “anticipate”, ”believe”, ”estimate”, ”expect”, ”intend”, ”may”, ”should”, ”will”, ”would” and similar expressions or their negatives, but the absence of these words does not necessarily mean that a statement is not forward-looking. These statements reflect Prosus’s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14:paraId="70772DFA" w14:textId="77777777" w:rsidR="00E92FAE" w:rsidRDefault="00E92FAE" w:rsidP="00E92FAE">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4"/>
    </w:p>
    <w:p w14:paraId="272BC1F0" w14:textId="77777777" w:rsidR="00E92FAE" w:rsidRDefault="00E92FAE" w:rsidP="00E92FAE">
      <w:pPr>
        <w:pStyle w:val="AODocTxt"/>
        <w:rPr>
          <w:rFonts w:ascii="Calibri" w:eastAsia="Calibri" w:hAnsi="Calibri" w:cs="Arial"/>
          <w:color w:val="000000"/>
          <w:sz w:val="16"/>
          <w:szCs w:val="16"/>
          <w:lang w:val="en-US"/>
        </w:rPr>
      </w:pPr>
    </w:p>
    <w:p w14:paraId="54BBE03D" w14:textId="77777777" w:rsidR="00E92FAE" w:rsidRDefault="00E92FAE" w:rsidP="00E92FAE">
      <w:pPr>
        <w:pStyle w:val="AODocTxt"/>
        <w:rPr>
          <w:rFonts w:ascii="Calibri" w:eastAsia="Calibri" w:hAnsi="Calibri" w:cs="Arial"/>
          <w:color w:val="000000"/>
          <w:sz w:val="16"/>
          <w:szCs w:val="16"/>
          <w:lang w:val="en-US"/>
        </w:rPr>
      </w:pPr>
    </w:p>
    <w:p w14:paraId="46966C03" w14:textId="77777777" w:rsidR="00E92FAE" w:rsidRDefault="00E92FAE" w:rsidP="00E92FAE">
      <w:pPr>
        <w:pStyle w:val="AODocTxt"/>
        <w:rPr>
          <w:rFonts w:ascii="Calibri" w:eastAsia="Calibri" w:hAnsi="Calibri" w:cs="Arial"/>
          <w:color w:val="000000"/>
          <w:sz w:val="16"/>
          <w:szCs w:val="16"/>
          <w:lang w:val="en-US"/>
        </w:rPr>
      </w:pPr>
    </w:p>
    <w:p w14:paraId="13BA7F7E" w14:textId="77777777" w:rsidR="00E92FAE" w:rsidRDefault="00E92FAE" w:rsidP="00E92FAE">
      <w:pPr>
        <w:pStyle w:val="AODocTxt"/>
        <w:rPr>
          <w:rFonts w:ascii="Calibri" w:eastAsia="Calibri" w:hAnsi="Calibri" w:cs="Arial"/>
          <w:color w:val="000000"/>
          <w:sz w:val="16"/>
          <w:szCs w:val="16"/>
          <w:lang w:val="en-US"/>
        </w:rPr>
      </w:pPr>
    </w:p>
    <w:p w14:paraId="74B9B46D" w14:textId="77777777" w:rsidR="00E92FAE" w:rsidRDefault="00E92FAE" w:rsidP="00E92FAE">
      <w:pPr>
        <w:pStyle w:val="AODocTxt"/>
        <w:rPr>
          <w:rFonts w:ascii="Calibri" w:eastAsia="Calibri" w:hAnsi="Calibri" w:cs="Arial"/>
          <w:color w:val="000000"/>
          <w:sz w:val="16"/>
          <w:szCs w:val="16"/>
          <w:lang w:val="en-US"/>
        </w:rPr>
      </w:pPr>
    </w:p>
    <w:p w14:paraId="0BE31688" w14:textId="0EA99B91" w:rsidR="005E503D" w:rsidRDefault="005E503D" w:rsidP="00E92FAE">
      <w:pPr>
        <w:pStyle w:val="AODocTxt"/>
        <w:rPr>
          <w:rFonts w:ascii="Calibri" w:eastAsia="Calibri" w:hAnsi="Calibri" w:cs="Arial"/>
          <w:color w:val="000000"/>
          <w:sz w:val="16"/>
          <w:szCs w:val="16"/>
          <w:lang w:val="en-US"/>
        </w:rPr>
      </w:pPr>
    </w:p>
    <w:sectPr w:rsidR="005E503D">
      <w:footerReference w:type="first" r:id="rId13"/>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D2181" w14:textId="77777777" w:rsidR="00E92FAE" w:rsidRDefault="00E92FAE">
      <w:r>
        <w:separator/>
      </w:r>
    </w:p>
  </w:endnote>
  <w:endnote w:type="continuationSeparator" w:id="0">
    <w:p w14:paraId="4A21AD23" w14:textId="77777777" w:rsidR="00E92FAE" w:rsidRDefault="00E92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44761"/>
      <w:docPartObj>
        <w:docPartGallery w:val="Page Numbers (Bottom of Page)"/>
        <w:docPartUnique/>
      </w:docPartObj>
    </w:sdtPr>
    <w:sdtEndPr>
      <w:rPr>
        <w:noProof/>
      </w:rPr>
    </w:sdtEndPr>
    <w:sdtContent>
      <w:p w14:paraId="0BE3168D" w14:textId="77777777" w:rsidR="005E503D" w:rsidRDefault="00E92FAE">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4D4AE" w14:textId="77777777" w:rsidR="00E92FAE" w:rsidRDefault="00E92FAE">
      <w:r>
        <w:separator/>
      </w:r>
    </w:p>
  </w:footnote>
  <w:footnote w:type="continuationSeparator" w:id="0">
    <w:p w14:paraId="7D62F745" w14:textId="77777777" w:rsidR="00E92FAE" w:rsidRDefault="00E92F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A9280C32">
      <w:start w:val="1"/>
      <w:numFmt w:val="bullet"/>
      <w:lvlText w:val=""/>
      <w:lvlJc w:val="left"/>
      <w:pPr>
        <w:ind w:left="720" w:hanging="360"/>
      </w:pPr>
      <w:rPr>
        <w:rFonts w:ascii="Symbol" w:hAnsi="Symbol" w:hint="default"/>
      </w:rPr>
    </w:lvl>
    <w:lvl w:ilvl="1" w:tplc="29EE155C" w:tentative="1">
      <w:start w:val="1"/>
      <w:numFmt w:val="bullet"/>
      <w:lvlText w:val="o"/>
      <w:lvlJc w:val="left"/>
      <w:pPr>
        <w:ind w:left="1440" w:hanging="360"/>
      </w:pPr>
      <w:rPr>
        <w:rFonts w:ascii="Courier New" w:hAnsi="Courier New" w:cs="Courier New" w:hint="default"/>
      </w:rPr>
    </w:lvl>
    <w:lvl w:ilvl="2" w:tplc="CA92CD94" w:tentative="1">
      <w:start w:val="1"/>
      <w:numFmt w:val="bullet"/>
      <w:lvlText w:val=""/>
      <w:lvlJc w:val="left"/>
      <w:pPr>
        <w:ind w:left="2160" w:hanging="360"/>
      </w:pPr>
      <w:rPr>
        <w:rFonts w:ascii="Wingdings" w:hAnsi="Wingdings" w:hint="default"/>
      </w:rPr>
    </w:lvl>
    <w:lvl w:ilvl="3" w:tplc="658ABA20" w:tentative="1">
      <w:start w:val="1"/>
      <w:numFmt w:val="bullet"/>
      <w:lvlText w:val=""/>
      <w:lvlJc w:val="left"/>
      <w:pPr>
        <w:ind w:left="2880" w:hanging="360"/>
      </w:pPr>
      <w:rPr>
        <w:rFonts w:ascii="Symbol" w:hAnsi="Symbol" w:hint="default"/>
      </w:rPr>
    </w:lvl>
    <w:lvl w:ilvl="4" w:tplc="FAF89CDC" w:tentative="1">
      <w:start w:val="1"/>
      <w:numFmt w:val="bullet"/>
      <w:lvlText w:val="o"/>
      <w:lvlJc w:val="left"/>
      <w:pPr>
        <w:ind w:left="3600" w:hanging="360"/>
      </w:pPr>
      <w:rPr>
        <w:rFonts w:ascii="Courier New" w:hAnsi="Courier New" w:cs="Courier New" w:hint="default"/>
      </w:rPr>
    </w:lvl>
    <w:lvl w:ilvl="5" w:tplc="2B5CD98A" w:tentative="1">
      <w:start w:val="1"/>
      <w:numFmt w:val="bullet"/>
      <w:lvlText w:val=""/>
      <w:lvlJc w:val="left"/>
      <w:pPr>
        <w:ind w:left="4320" w:hanging="360"/>
      </w:pPr>
      <w:rPr>
        <w:rFonts w:ascii="Wingdings" w:hAnsi="Wingdings" w:hint="default"/>
      </w:rPr>
    </w:lvl>
    <w:lvl w:ilvl="6" w:tplc="28500D48" w:tentative="1">
      <w:start w:val="1"/>
      <w:numFmt w:val="bullet"/>
      <w:lvlText w:val=""/>
      <w:lvlJc w:val="left"/>
      <w:pPr>
        <w:ind w:left="5040" w:hanging="360"/>
      </w:pPr>
      <w:rPr>
        <w:rFonts w:ascii="Symbol" w:hAnsi="Symbol" w:hint="default"/>
      </w:rPr>
    </w:lvl>
    <w:lvl w:ilvl="7" w:tplc="F7BC6BB2" w:tentative="1">
      <w:start w:val="1"/>
      <w:numFmt w:val="bullet"/>
      <w:lvlText w:val="o"/>
      <w:lvlJc w:val="left"/>
      <w:pPr>
        <w:ind w:left="5760" w:hanging="360"/>
      </w:pPr>
      <w:rPr>
        <w:rFonts w:ascii="Courier New" w:hAnsi="Courier New" w:cs="Courier New" w:hint="default"/>
      </w:rPr>
    </w:lvl>
    <w:lvl w:ilvl="8" w:tplc="E3AA9436"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097"/>
    <w:rsid w:val="00480097"/>
    <w:rsid w:val="005E503D"/>
    <w:rsid w:val="00773E7E"/>
    <w:rsid w:val="00CF52ED"/>
    <w:rsid w:val="00E92F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tcPr>
      <w:shd w:val="clear" w:color="auto" w:fill="auto"/>
    </w:tc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8" ma:contentTypeDescription="Create a new document." ma:contentTypeScope="" ma:versionID="f8eba08e65c1af08ff6fd2a00ec301f3">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5788e88d84ec87d80c325ae1bea30ef1"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ession xmlns="http://schemas.business-integrity.com/dealbuilder/2006/answers"/>
</file>

<file path=customXml/item5.xml><?xml version="1.0" encoding="utf-8"?>
<Dictionary xmlns="http://schemas.business-integrity.com/dealbuilder/2006/dictionary" SavedByVersion="9.8.37389.0" MinimumVersion="7.2.0.0"/>
</file>

<file path=customXml/itemProps1.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2.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3.xml><?xml version="1.0" encoding="utf-8"?>
<ds:datastoreItem xmlns:ds="http://schemas.openxmlformats.org/officeDocument/2006/customXml" ds:itemID="{0F477376-4A52-490C-B1F7-F1DA122A3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5.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3769</Characters>
  <Application>Microsoft Office Word</Application>
  <DocSecurity>0</DocSecurity>
  <Lines>31</Lines>
  <Paragraphs>8</Paragraphs>
  <ScaleCrop>false</ScaleCrop>
  <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- 20 January 2025 - 24 January 2025</dc:title>
  <cp:lastModifiedBy>Pieter Carnelley</cp:lastModifiedBy>
  <cp:revision>2</cp:revision>
  <dcterms:created xsi:type="dcterms:W3CDTF">2025-01-28T09:36:00Z</dcterms:created>
  <dcterms:modified xsi:type="dcterms:W3CDTF">2025-01-28T09:37:00Z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AAAAAAAZuv4=</vt:lpwstr>
  </property>
  <property fmtid="{D5CDD505-2E9C-101B-9397-08002B2CF9AE}" pid="4" name="db_document_id">
    <vt:lpwstr>13258</vt:lpwstr>
  </property>
  <property fmtid="{D5CDD505-2E9C-101B-9397-08002B2CF9AE}" pid="5" name="MediaServiceImageTags">
    <vt:lpwstr/>
  </property>
</Properties>
</file>