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BD580A">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D580A">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D580A">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4563A42" w14:textId="2218B5F3" w:rsidR="006F0F39" w:rsidRDefault="0042670E" w:rsidP="006F0F39">
      <w:pPr>
        <w:pStyle w:val="AOHead1"/>
        <w:ind w:left="720" w:hanging="720"/>
        <w:jc w:val="center"/>
        <w:rPr>
          <w:rFonts w:ascii="Verdana" w:hAnsi="Verdana"/>
          <w:b w:val="0"/>
          <w:caps w:val="0"/>
          <w:sz w:val="20"/>
          <w:szCs w:val="20"/>
        </w:rPr>
      </w:pPr>
      <w:r w:rsidRPr="005C55DC">
        <w:rPr>
          <w:rFonts w:ascii="Verdana" w:hAnsi="Verdana"/>
          <w:caps w:val="0"/>
          <w:sz w:val="20"/>
          <w:szCs w:val="20"/>
        </w:rPr>
        <w:t>DEALINGS IN SECURITIES</w:t>
      </w:r>
    </w:p>
    <w:p w14:paraId="04647F16" w14:textId="45A2F6DC" w:rsidR="007D4A16" w:rsidRPr="007D4A16" w:rsidRDefault="007D4A16" w:rsidP="007D4A16">
      <w:pPr>
        <w:pStyle w:val="AODocTxt"/>
        <w:rPr>
          <w:rFonts w:ascii="Verdana" w:hAnsi="Verdana"/>
          <w:sz w:val="20"/>
          <w:szCs w:val="20"/>
        </w:rPr>
      </w:pPr>
      <w:r w:rsidRPr="007D4A16">
        <w:rPr>
          <w:rFonts w:ascii="Verdana" w:hAnsi="Verdana"/>
          <w:sz w:val="20"/>
          <w:szCs w:val="20"/>
        </w:rPr>
        <w:t xml:space="preserve">Today, </w:t>
      </w:r>
      <w:r w:rsidR="00734872">
        <w:rPr>
          <w:rFonts w:ascii="Verdana" w:hAnsi="Verdana"/>
          <w:sz w:val="20"/>
          <w:szCs w:val="20"/>
        </w:rPr>
        <w:t>Fabricio Bloisi</w:t>
      </w:r>
      <w:r w:rsidRPr="007D4A16">
        <w:rPr>
          <w:rFonts w:ascii="Verdana" w:hAnsi="Verdana"/>
          <w:sz w:val="20"/>
          <w:szCs w:val="20"/>
        </w:rPr>
        <w:t xml:space="preserve"> will notify the </w:t>
      </w:r>
      <w:proofErr w:type="spellStart"/>
      <w:r w:rsidRPr="007D4A16">
        <w:rPr>
          <w:rFonts w:ascii="Verdana" w:hAnsi="Verdana"/>
          <w:sz w:val="20"/>
          <w:szCs w:val="20"/>
        </w:rPr>
        <w:t>Stichting</w:t>
      </w:r>
      <w:proofErr w:type="spellEnd"/>
      <w:r w:rsidRPr="007D4A16">
        <w:rPr>
          <w:rFonts w:ascii="Verdana" w:hAnsi="Verdana"/>
          <w:sz w:val="20"/>
          <w:szCs w:val="20"/>
        </w:rPr>
        <w:t xml:space="preserve"> </w:t>
      </w:r>
      <w:proofErr w:type="spellStart"/>
      <w:r w:rsidRPr="007D4A16">
        <w:rPr>
          <w:rFonts w:ascii="Verdana" w:hAnsi="Verdana"/>
          <w:sz w:val="20"/>
          <w:szCs w:val="20"/>
        </w:rPr>
        <w:t>Autoriteit</w:t>
      </w:r>
      <w:proofErr w:type="spellEnd"/>
      <w:r w:rsidRPr="007D4A16">
        <w:rPr>
          <w:rFonts w:ascii="Verdana" w:hAnsi="Verdana"/>
          <w:sz w:val="20"/>
          <w:szCs w:val="20"/>
        </w:rPr>
        <w:t xml:space="preserve"> </w:t>
      </w:r>
      <w:proofErr w:type="spellStart"/>
      <w:r w:rsidRPr="007D4A16">
        <w:rPr>
          <w:rFonts w:ascii="Verdana" w:hAnsi="Verdana"/>
          <w:sz w:val="20"/>
          <w:szCs w:val="20"/>
        </w:rPr>
        <w:t>Financiële</w:t>
      </w:r>
      <w:proofErr w:type="spellEnd"/>
      <w:r>
        <w:rPr>
          <w:rFonts w:ascii="Verdana" w:hAnsi="Verdana"/>
          <w:sz w:val="20"/>
          <w:szCs w:val="20"/>
        </w:rPr>
        <w:t xml:space="preserve"> </w:t>
      </w:r>
      <w:proofErr w:type="spellStart"/>
      <w:r w:rsidRPr="007D4A16">
        <w:rPr>
          <w:rFonts w:ascii="Verdana" w:hAnsi="Verdana"/>
          <w:sz w:val="20"/>
          <w:szCs w:val="20"/>
        </w:rPr>
        <w:t>Markten</w:t>
      </w:r>
      <w:proofErr w:type="spellEnd"/>
      <w:r w:rsidRPr="007D4A16">
        <w:rPr>
          <w:rFonts w:ascii="Verdana" w:hAnsi="Verdana"/>
          <w:sz w:val="20"/>
          <w:szCs w:val="20"/>
        </w:rPr>
        <w:t xml:space="preserve"> (</w:t>
      </w:r>
      <w:r w:rsidRPr="00CB5F89">
        <w:rPr>
          <w:rFonts w:ascii="Verdana" w:hAnsi="Verdana"/>
          <w:sz w:val="20"/>
          <w:szCs w:val="20"/>
        </w:rPr>
        <w:t>AFM</w:t>
      </w:r>
      <w:r w:rsidRPr="007D4A16">
        <w:rPr>
          <w:rFonts w:ascii="Verdana" w:hAnsi="Verdana"/>
          <w:sz w:val="20"/>
          <w:szCs w:val="20"/>
        </w:rPr>
        <w:t xml:space="preserve">) about the offers of performance share units </w:t>
      </w:r>
      <w:r w:rsidR="00E81569">
        <w:rPr>
          <w:rFonts w:ascii="Verdana" w:hAnsi="Verdana"/>
          <w:sz w:val="20"/>
          <w:szCs w:val="20"/>
        </w:rPr>
        <w:t xml:space="preserve">(PSUs) </w:t>
      </w:r>
      <w:r w:rsidRPr="007D4A16">
        <w:rPr>
          <w:rFonts w:ascii="Verdana" w:hAnsi="Verdana"/>
          <w:sz w:val="20"/>
          <w:szCs w:val="20"/>
        </w:rPr>
        <w:t>by the Prosus N.V. Share Award</w:t>
      </w:r>
      <w:r>
        <w:rPr>
          <w:rFonts w:ascii="Verdana" w:hAnsi="Verdana"/>
          <w:sz w:val="20"/>
          <w:szCs w:val="20"/>
        </w:rPr>
        <w:t xml:space="preserve"> </w:t>
      </w:r>
      <w:r w:rsidRPr="007D4A16">
        <w:rPr>
          <w:rFonts w:ascii="Verdana" w:hAnsi="Verdana"/>
          <w:sz w:val="20"/>
          <w:szCs w:val="20"/>
        </w:rPr>
        <w:t>Plan.</w:t>
      </w:r>
    </w:p>
    <w:p w14:paraId="0BE3166B" w14:textId="2ACDFD0D" w:rsidR="005E503D" w:rsidRDefault="007D4A16" w:rsidP="007D4A16">
      <w:pPr>
        <w:pStyle w:val="AODocTxt"/>
        <w:rPr>
          <w:rFonts w:ascii="Verdana" w:hAnsi="Verdana"/>
          <w:sz w:val="20"/>
          <w:szCs w:val="20"/>
        </w:rPr>
      </w:pPr>
      <w:r w:rsidRPr="007D4A16">
        <w:rPr>
          <w:rFonts w:ascii="Verdana" w:hAnsi="Verdana"/>
          <w:sz w:val="20"/>
          <w:szCs w:val="20"/>
        </w:rPr>
        <w:t xml:space="preserve">The offers of </w:t>
      </w:r>
      <w:r w:rsidR="00E81569">
        <w:rPr>
          <w:rFonts w:ascii="Verdana" w:hAnsi="Verdana"/>
          <w:sz w:val="20"/>
          <w:szCs w:val="20"/>
        </w:rPr>
        <w:t>PSUs</w:t>
      </w:r>
      <w:r w:rsidRPr="007D4A16">
        <w:rPr>
          <w:rFonts w:ascii="Verdana" w:hAnsi="Verdana"/>
          <w:sz w:val="20"/>
          <w:szCs w:val="20"/>
        </w:rPr>
        <w:t xml:space="preserve"> by the Prosus N.V. Share Award Plan to </w:t>
      </w:r>
      <w:r w:rsidR="00734872">
        <w:rPr>
          <w:rFonts w:ascii="Verdana" w:hAnsi="Verdana"/>
          <w:sz w:val="20"/>
          <w:szCs w:val="20"/>
        </w:rPr>
        <w:t>Fabricio</w:t>
      </w:r>
      <w:r w:rsidRPr="007D4A16">
        <w:rPr>
          <w:rFonts w:ascii="Verdana" w:hAnsi="Verdana"/>
          <w:sz w:val="20"/>
          <w:szCs w:val="20"/>
        </w:rPr>
        <w:t xml:space="preserve"> were accepted on </w:t>
      </w:r>
      <w:r w:rsidR="00734872">
        <w:rPr>
          <w:rFonts w:ascii="Verdana" w:hAnsi="Verdana"/>
          <w:sz w:val="20"/>
          <w:szCs w:val="20"/>
        </w:rPr>
        <w:t xml:space="preserve">17 </w:t>
      </w:r>
      <w:r w:rsidRPr="007D4A16">
        <w:rPr>
          <w:rFonts w:ascii="Verdana" w:hAnsi="Verdana"/>
          <w:sz w:val="20"/>
          <w:szCs w:val="20"/>
        </w:rPr>
        <w:t>July 202</w:t>
      </w:r>
      <w:r w:rsidR="00734872">
        <w:rPr>
          <w:rFonts w:ascii="Verdana" w:hAnsi="Verdana"/>
          <w:sz w:val="20"/>
          <w:szCs w:val="20"/>
        </w:rPr>
        <w:t>4</w:t>
      </w:r>
      <w:r w:rsidRPr="007D4A16">
        <w:rPr>
          <w:rFonts w:ascii="Verdana" w:hAnsi="Verdana"/>
          <w:sz w:val="20"/>
          <w:szCs w:val="20"/>
        </w:rPr>
        <w:t xml:space="preserve">. Vesting of PSUs, and the exact quantum thereof, is subject to the achievement of performance conditions set out in the </w:t>
      </w:r>
      <w:r w:rsidR="00734872" w:rsidRPr="005C55DC">
        <w:rPr>
          <w:rFonts w:ascii="Verdana" w:eastAsia="Times New Roman" w:hAnsi="Verdana" w:cstheme="minorHAnsi"/>
          <w:sz w:val="20"/>
          <w:szCs w:val="20"/>
          <w:lang w:val="en-ZA" w:eastAsia="en-GB"/>
        </w:rPr>
        <w:t xml:space="preserve">the </w:t>
      </w:r>
      <w:r w:rsidR="00734872">
        <w:rPr>
          <w:rFonts w:ascii="Verdana" w:eastAsia="Times New Roman" w:hAnsi="Verdana" w:cstheme="minorHAnsi"/>
          <w:sz w:val="20"/>
          <w:szCs w:val="20"/>
          <w:lang w:val="en-ZA" w:eastAsia="en-GB"/>
        </w:rPr>
        <w:t>additional disclosure for the chief executive issued together with the Naspers notice of annual general meeting 2024 on 19 July 2024 (the Disclosure)</w:t>
      </w:r>
      <w:r w:rsidRPr="007D4A16">
        <w:rPr>
          <w:rFonts w:ascii="Verdana" w:hAnsi="Verdana"/>
          <w:sz w:val="20"/>
          <w:szCs w:val="20"/>
        </w:rPr>
        <w:t xml:space="preserve">. </w:t>
      </w:r>
    </w:p>
    <w:p w14:paraId="30740E57" w14:textId="3B234C3C" w:rsidR="000D3DB6" w:rsidRDefault="000D3DB6" w:rsidP="007D4A16">
      <w:pPr>
        <w:pStyle w:val="AODocTxt"/>
        <w:rPr>
          <w:rFonts w:ascii="Verdana" w:eastAsia="Times New Roman" w:hAnsi="Verdana" w:cstheme="minorHAnsi"/>
          <w:sz w:val="20"/>
          <w:szCs w:val="20"/>
          <w:lang w:val="en-ZA" w:eastAsia="en-GB"/>
        </w:rPr>
      </w:pPr>
      <w:r>
        <w:rPr>
          <w:rFonts w:ascii="Verdana" w:eastAsia="Times New Roman" w:hAnsi="Verdana" w:cstheme="minorHAnsi"/>
          <w:sz w:val="20"/>
          <w:szCs w:val="20"/>
          <w:lang w:val="en-ZA" w:eastAsia="en-GB"/>
        </w:rPr>
        <w:t>Further, an additional o</w:t>
      </w:r>
      <w:r w:rsidRPr="005C55DC">
        <w:rPr>
          <w:rFonts w:ascii="Verdana" w:eastAsia="Times New Roman" w:hAnsi="Verdana" w:cstheme="minorHAnsi"/>
          <w:sz w:val="20"/>
          <w:szCs w:val="20"/>
          <w:lang w:val="en-ZA" w:eastAsia="en-GB"/>
        </w:rPr>
        <w:t xml:space="preserve">ffer of PSUs </w:t>
      </w:r>
      <w:r>
        <w:rPr>
          <w:rFonts w:ascii="Verdana" w:eastAsia="Times New Roman" w:hAnsi="Verdana" w:cstheme="minorHAnsi"/>
          <w:sz w:val="20"/>
          <w:szCs w:val="20"/>
          <w:lang w:val="en-ZA" w:eastAsia="en-GB"/>
        </w:rPr>
        <w:t xml:space="preserve">was made </w:t>
      </w:r>
      <w:r w:rsidRPr="005C55DC">
        <w:rPr>
          <w:rFonts w:ascii="Verdana" w:eastAsia="Times New Roman" w:hAnsi="Verdana" w:cstheme="minorHAnsi"/>
          <w:sz w:val="20"/>
          <w:szCs w:val="20"/>
          <w:lang w:val="en-ZA" w:eastAsia="en-GB"/>
        </w:rPr>
        <w:t>to</w:t>
      </w:r>
      <w:r>
        <w:rPr>
          <w:rFonts w:ascii="Verdana" w:eastAsia="Times New Roman" w:hAnsi="Verdana" w:cstheme="minorHAnsi"/>
          <w:sz w:val="20"/>
          <w:szCs w:val="20"/>
          <w:lang w:val="en-ZA" w:eastAsia="en-GB"/>
        </w:rPr>
        <w:t xml:space="preserve"> Fabricio Bloisi as a</w:t>
      </w:r>
      <w:r w:rsidRPr="00CD7DBD">
        <w:t xml:space="preserve"> </w:t>
      </w:r>
      <w:r>
        <w:rPr>
          <w:rFonts w:ascii="Verdana" w:eastAsia="Times New Roman" w:hAnsi="Verdana" w:cstheme="minorHAnsi"/>
          <w:sz w:val="20"/>
          <w:szCs w:val="20"/>
          <w:lang w:val="en-ZA" w:eastAsia="en-GB"/>
        </w:rPr>
        <w:t>s</w:t>
      </w:r>
      <w:r w:rsidRPr="00CD7DBD">
        <w:rPr>
          <w:rFonts w:ascii="Verdana" w:eastAsia="Times New Roman" w:hAnsi="Verdana" w:cstheme="minorHAnsi"/>
          <w:sz w:val="20"/>
          <w:szCs w:val="20"/>
          <w:lang w:val="en-ZA" w:eastAsia="en-GB"/>
        </w:rPr>
        <w:t>pecial once-off</w:t>
      </w:r>
      <w:r>
        <w:rPr>
          <w:rFonts w:ascii="Verdana" w:eastAsia="Times New Roman" w:hAnsi="Verdana" w:cstheme="minorHAnsi"/>
          <w:sz w:val="20"/>
          <w:szCs w:val="20"/>
          <w:lang w:val="en-ZA" w:eastAsia="en-GB"/>
        </w:rPr>
        <w:t xml:space="preserve"> ‘</w:t>
      </w:r>
      <w:r w:rsidR="00E0334C">
        <w:rPr>
          <w:rFonts w:ascii="Verdana" w:eastAsia="Times New Roman" w:hAnsi="Verdana" w:cstheme="minorHAnsi"/>
          <w:sz w:val="20"/>
          <w:szCs w:val="20"/>
          <w:lang w:val="en-ZA" w:eastAsia="en-GB"/>
        </w:rPr>
        <w:t>m</w:t>
      </w:r>
      <w:r>
        <w:rPr>
          <w:rFonts w:ascii="Verdana" w:eastAsia="Times New Roman" w:hAnsi="Verdana" w:cstheme="minorHAnsi"/>
          <w:sz w:val="20"/>
          <w:szCs w:val="20"/>
          <w:lang w:val="en-ZA" w:eastAsia="en-GB"/>
        </w:rPr>
        <w:t>oonshot’</w:t>
      </w:r>
      <w:r w:rsidRPr="005C55DC">
        <w:rPr>
          <w:rFonts w:ascii="Verdana" w:eastAsia="Times New Roman" w:hAnsi="Verdana" w:cstheme="minorHAnsi"/>
          <w:sz w:val="20"/>
          <w:szCs w:val="20"/>
          <w:lang w:val="en-ZA" w:eastAsia="en-GB"/>
        </w:rPr>
        <w:t xml:space="preserve">. </w:t>
      </w:r>
      <w:r>
        <w:rPr>
          <w:rFonts w:ascii="Verdana" w:eastAsia="Times New Roman" w:hAnsi="Verdana" w:cstheme="minorHAnsi"/>
          <w:sz w:val="20"/>
          <w:szCs w:val="20"/>
          <w:lang w:val="en-ZA" w:eastAsia="en-GB"/>
        </w:rPr>
        <w:t xml:space="preserve">The </w:t>
      </w:r>
      <w:r w:rsidRPr="00A00D73">
        <w:rPr>
          <w:rFonts w:ascii="Verdana" w:eastAsia="Times New Roman" w:hAnsi="Verdana" w:cstheme="minorHAnsi"/>
          <w:sz w:val="20"/>
          <w:szCs w:val="20"/>
          <w:lang w:val="en-ZA" w:eastAsia="en-GB"/>
        </w:rPr>
        <w:t xml:space="preserve">award will only vest if </w:t>
      </w:r>
      <w:r>
        <w:rPr>
          <w:rFonts w:ascii="Verdana" w:eastAsia="Times New Roman" w:hAnsi="Verdana" w:cstheme="minorHAnsi"/>
          <w:sz w:val="20"/>
          <w:szCs w:val="20"/>
          <w:lang w:val="en-ZA" w:eastAsia="en-GB"/>
        </w:rPr>
        <w:t>Fabricio Bloisi</w:t>
      </w:r>
      <w:r w:rsidRPr="00A00D73" w:rsidDel="003C5D42">
        <w:rPr>
          <w:rFonts w:ascii="Verdana" w:eastAsia="Times New Roman" w:hAnsi="Verdana" w:cstheme="minorHAnsi"/>
          <w:sz w:val="20"/>
          <w:szCs w:val="20"/>
          <w:lang w:val="en-ZA" w:eastAsia="en-GB"/>
        </w:rPr>
        <w:t xml:space="preserve"> </w:t>
      </w:r>
      <w:r w:rsidRPr="00A00D73">
        <w:rPr>
          <w:rFonts w:ascii="Verdana" w:eastAsia="Times New Roman" w:hAnsi="Verdana" w:cstheme="minorHAnsi"/>
          <w:sz w:val="20"/>
          <w:szCs w:val="20"/>
          <w:lang w:val="en-ZA" w:eastAsia="en-GB"/>
        </w:rPr>
        <w:t>ha</w:t>
      </w:r>
      <w:r>
        <w:rPr>
          <w:rFonts w:ascii="Verdana" w:eastAsia="Times New Roman" w:hAnsi="Verdana" w:cstheme="minorHAnsi"/>
          <w:sz w:val="20"/>
          <w:szCs w:val="20"/>
          <w:lang w:val="en-ZA" w:eastAsia="en-GB"/>
        </w:rPr>
        <w:t>s</w:t>
      </w:r>
      <w:r w:rsidRPr="00A00D73">
        <w:rPr>
          <w:rFonts w:ascii="Verdana" w:eastAsia="Times New Roman" w:hAnsi="Verdana" w:cstheme="minorHAnsi"/>
          <w:sz w:val="20"/>
          <w:szCs w:val="20"/>
          <w:lang w:val="en-ZA" w:eastAsia="en-GB"/>
        </w:rPr>
        <w:t xml:space="preserve"> remained employed within the Naspers </w:t>
      </w:r>
      <w:r w:rsidR="000C2173">
        <w:rPr>
          <w:rFonts w:ascii="Verdana" w:eastAsia="Times New Roman" w:hAnsi="Verdana" w:cstheme="minorHAnsi"/>
          <w:sz w:val="20"/>
          <w:szCs w:val="20"/>
          <w:lang w:val="en-ZA" w:eastAsia="en-GB"/>
        </w:rPr>
        <w:t xml:space="preserve">and Prosus </w:t>
      </w:r>
      <w:r w:rsidRPr="00A00D73">
        <w:rPr>
          <w:rFonts w:ascii="Verdana" w:eastAsia="Times New Roman" w:hAnsi="Verdana" w:cstheme="minorHAnsi"/>
          <w:sz w:val="20"/>
          <w:szCs w:val="20"/>
          <w:lang w:val="en-ZA" w:eastAsia="en-GB"/>
        </w:rPr>
        <w:t xml:space="preserve">Group until 30 June 2028 and if the Committee determines that all elements of the </w:t>
      </w:r>
      <w:r>
        <w:rPr>
          <w:rFonts w:ascii="Verdana" w:eastAsia="Times New Roman" w:hAnsi="Verdana" w:cstheme="minorHAnsi"/>
          <w:sz w:val="20"/>
          <w:szCs w:val="20"/>
          <w:lang w:val="en-ZA" w:eastAsia="en-GB"/>
        </w:rPr>
        <w:t>p</w:t>
      </w:r>
      <w:r w:rsidRPr="00A00D73">
        <w:rPr>
          <w:rFonts w:ascii="Verdana" w:eastAsia="Times New Roman" w:hAnsi="Verdana" w:cstheme="minorHAnsi"/>
          <w:sz w:val="20"/>
          <w:szCs w:val="20"/>
          <w:lang w:val="en-ZA" w:eastAsia="en-GB"/>
        </w:rPr>
        <w:t xml:space="preserve">erformance </w:t>
      </w:r>
      <w:r>
        <w:rPr>
          <w:rFonts w:ascii="Verdana" w:eastAsia="Times New Roman" w:hAnsi="Verdana" w:cstheme="minorHAnsi"/>
          <w:sz w:val="20"/>
          <w:szCs w:val="20"/>
          <w:lang w:val="en-ZA" w:eastAsia="en-GB"/>
        </w:rPr>
        <w:t>c</w:t>
      </w:r>
      <w:r w:rsidRPr="00A00D73">
        <w:rPr>
          <w:rFonts w:ascii="Verdana" w:eastAsia="Times New Roman" w:hAnsi="Verdana" w:cstheme="minorHAnsi"/>
          <w:sz w:val="20"/>
          <w:szCs w:val="20"/>
          <w:lang w:val="en-ZA" w:eastAsia="en-GB"/>
        </w:rPr>
        <w:t>ondition</w:t>
      </w:r>
      <w:r w:rsidR="00E81569">
        <w:rPr>
          <w:rFonts w:ascii="Verdana" w:eastAsia="Times New Roman" w:hAnsi="Verdana" w:cstheme="minorHAnsi"/>
          <w:sz w:val="20"/>
          <w:szCs w:val="20"/>
          <w:lang w:val="en-ZA" w:eastAsia="en-GB"/>
        </w:rPr>
        <w:t>s</w:t>
      </w:r>
      <w:r w:rsidRPr="00A00D73">
        <w:rPr>
          <w:rFonts w:ascii="Verdana" w:eastAsia="Times New Roman" w:hAnsi="Verdana" w:cstheme="minorHAnsi"/>
          <w:sz w:val="20"/>
          <w:szCs w:val="20"/>
          <w:lang w:val="en-ZA" w:eastAsia="en-GB"/>
        </w:rPr>
        <w:t xml:space="preserve"> have been satisfied</w:t>
      </w:r>
      <w:r w:rsidRPr="005C55DC">
        <w:rPr>
          <w:rFonts w:ascii="Verdana" w:eastAsia="Times New Roman" w:hAnsi="Verdana" w:cstheme="minorHAnsi"/>
          <w:sz w:val="20"/>
          <w:szCs w:val="20"/>
          <w:lang w:val="en-ZA" w:eastAsia="en-GB"/>
        </w:rPr>
        <w:t>.</w:t>
      </w:r>
    </w:p>
    <w:p w14:paraId="14D0FF69" w14:textId="0FD01CDC" w:rsidR="000D3DB6" w:rsidRPr="000D3DB6" w:rsidRDefault="000D3DB6" w:rsidP="000D3DB6">
      <w:pPr>
        <w:pStyle w:val="AODocTxt"/>
        <w:rPr>
          <w:rFonts w:ascii="Verdana" w:eastAsia="Times New Roman" w:hAnsi="Verdana" w:cstheme="minorHAnsi"/>
          <w:sz w:val="20"/>
          <w:szCs w:val="20"/>
          <w:lang w:val="en-ZA" w:eastAsia="en-GB"/>
        </w:rPr>
      </w:pPr>
      <w:r w:rsidRPr="000D3DB6">
        <w:rPr>
          <w:rFonts w:ascii="Verdana" w:eastAsia="Times New Roman" w:hAnsi="Verdana" w:cstheme="minorHAnsi"/>
          <w:sz w:val="20"/>
          <w:szCs w:val="20"/>
          <w:lang w:val="en-ZA" w:eastAsia="en-GB"/>
        </w:rPr>
        <w:t>This once-off ‘moonshot’ award will be triggered only when two conditions are met simultaneously:</w:t>
      </w:r>
    </w:p>
    <w:p w14:paraId="30E3122C" w14:textId="77777777" w:rsidR="000D3DB6" w:rsidRPr="000D3DB6" w:rsidRDefault="000D3DB6" w:rsidP="000D3DB6">
      <w:pPr>
        <w:pStyle w:val="AODocTxt"/>
        <w:numPr>
          <w:ilvl w:val="0"/>
          <w:numId w:val="25"/>
        </w:numPr>
        <w:rPr>
          <w:rFonts w:ascii="Verdana" w:eastAsia="Times New Roman" w:hAnsi="Verdana" w:cstheme="minorHAnsi"/>
          <w:sz w:val="20"/>
          <w:szCs w:val="20"/>
          <w:lang w:val="en-ZA" w:eastAsia="en-GB"/>
        </w:rPr>
      </w:pPr>
      <w:r w:rsidRPr="000D3DB6">
        <w:rPr>
          <w:rFonts w:ascii="Verdana" w:eastAsia="Times New Roman" w:hAnsi="Verdana" w:cstheme="minorHAnsi"/>
          <w:sz w:val="20"/>
          <w:szCs w:val="20"/>
          <w:lang w:val="en-ZA" w:eastAsia="en-GB"/>
        </w:rPr>
        <w:t>the group’s aggregate market capitalisation (being the combined Prosus N.V. and Naspers market capitalisations) is doubled or better between 1 July 2024 and 30 June 2028 - and that value is maintained for at least one year following this period (being 30 June 2029); and</w:t>
      </w:r>
    </w:p>
    <w:p w14:paraId="123CF036" w14:textId="77777777" w:rsidR="000D3DB6" w:rsidRPr="000D3DB6" w:rsidRDefault="000D3DB6" w:rsidP="000D3DB6">
      <w:pPr>
        <w:pStyle w:val="AODocTxt"/>
        <w:numPr>
          <w:ilvl w:val="0"/>
          <w:numId w:val="25"/>
        </w:numPr>
        <w:rPr>
          <w:rFonts w:ascii="Verdana" w:eastAsia="Times New Roman" w:hAnsi="Verdana" w:cstheme="minorHAnsi"/>
          <w:sz w:val="20"/>
          <w:szCs w:val="20"/>
          <w:lang w:val="en-ZA" w:eastAsia="en-GB"/>
        </w:rPr>
      </w:pPr>
      <w:r w:rsidRPr="000D3DB6">
        <w:rPr>
          <w:rFonts w:ascii="Verdana" w:eastAsia="Times New Roman" w:hAnsi="Verdana" w:cstheme="minorHAnsi"/>
          <w:sz w:val="20"/>
          <w:szCs w:val="20"/>
          <w:lang w:val="en-ZA" w:eastAsia="en-GB"/>
        </w:rPr>
        <w:t>the group’s net value creation in terms of total shareholder returns compared to the TSR peer group (defined in the Disclosure) beats the 50th percentile between 1 July 2024 and 30 June 2028.</w:t>
      </w:r>
    </w:p>
    <w:p w14:paraId="2F717021" w14:textId="493E6D15" w:rsidR="004F4F15" w:rsidRPr="000D3DB6" w:rsidRDefault="004F4F15" w:rsidP="004F4F15">
      <w:pPr>
        <w:pStyle w:val="AODocTxt"/>
        <w:rPr>
          <w:rFonts w:ascii="Verdana" w:eastAsia="Times New Roman" w:hAnsi="Verdana" w:cstheme="minorHAnsi"/>
          <w:sz w:val="20"/>
          <w:szCs w:val="20"/>
          <w:lang w:val="en-ZA" w:eastAsia="en-GB"/>
        </w:rPr>
      </w:pPr>
      <w:r w:rsidRPr="000D3DB6">
        <w:rPr>
          <w:rFonts w:ascii="Verdana" w:eastAsia="Times New Roman" w:hAnsi="Verdana" w:cstheme="minorHAnsi"/>
          <w:sz w:val="20"/>
          <w:szCs w:val="20"/>
          <w:lang w:val="en-ZA" w:eastAsia="en-GB"/>
        </w:rPr>
        <w:t xml:space="preserve">The determination of </w:t>
      </w:r>
      <w:r>
        <w:rPr>
          <w:rFonts w:ascii="Verdana" w:eastAsia="Times New Roman" w:hAnsi="Verdana" w:cstheme="minorHAnsi"/>
          <w:sz w:val="20"/>
          <w:szCs w:val="20"/>
          <w:lang w:val="en-ZA" w:eastAsia="en-GB"/>
        </w:rPr>
        <w:t xml:space="preserve">1 (first part) </w:t>
      </w:r>
      <w:r w:rsidRPr="000D3DB6">
        <w:rPr>
          <w:rFonts w:ascii="Verdana" w:eastAsia="Times New Roman" w:hAnsi="Verdana" w:cstheme="minorHAnsi"/>
          <w:sz w:val="20"/>
          <w:szCs w:val="20"/>
          <w:lang w:val="en-ZA" w:eastAsia="en-GB"/>
        </w:rPr>
        <w:t xml:space="preserve">and </w:t>
      </w:r>
      <w:r>
        <w:rPr>
          <w:rFonts w:ascii="Verdana" w:eastAsia="Times New Roman" w:hAnsi="Verdana" w:cstheme="minorHAnsi"/>
          <w:sz w:val="20"/>
          <w:szCs w:val="20"/>
          <w:lang w:val="en-ZA" w:eastAsia="en-GB"/>
        </w:rPr>
        <w:t>2</w:t>
      </w:r>
      <w:r w:rsidRPr="000D3DB6">
        <w:rPr>
          <w:rFonts w:ascii="Verdana" w:eastAsia="Times New Roman" w:hAnsi="Verdana" w:cstheme="minorHAnsi"/>
          <w:sz w:val="20"/>
          <w:szCs w:val="20"/>
          <w:lang w:val="en-ZA" w:eastAsia="en-GB"/>
        </w:rPr>
        <w:t xml:space="preserve"> will be made by the Committee as soon as is reasonably possible after 30 June 2028. The Committee will determine whether the market capitalisation has been maintained as soon as is reasonably possible after 30 June 2029.</w:t>
      </w:r>
    </w:p>
    <w:p w14:paraId="34EF4AB8" w14:textId="77777777" w:rsidR="007D4A16" w:rsidRDefault="007D4A16" w:rsidP="007D4A16">
      <w:pPr>
        <w:pStyle w:val="AODocTxt"/>
        <w:rPr>
          <w:rFonts w:ascii="Verdana" w:hAnsi="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635"/>
        <w:gridCol w:w="1770"/>
        <w:gridCol w:w="1668"/>
        <w:gridCol w:w="1668"/>
        <w:gridCol w:w="1668"/>
      </w:tblGrid>
      <w:tr w:rsidR="00126EAE" w:rsidRPr="00FE05E6" w14:paraId="42D9077D" w14:textId="792022E5" w:rsidTr="004F4F15">
        <w:tc>
          <w:tcPr>
            <w:tcW w:w="1219" w:type="dxa"/>
            <w:shd w:val="clear" w:color="auto" w:fill="BFBFBF" w:themeFill="background1" w:themeFillShade="BF"/>
          </w:tcPr>
          <w:p w14:paraId="7B4B1D79" w14:textId="59201B12" w:rsidR="00126EAE" w:rsidRPr="00FE05E6" w:rsidRDefault="00126EAE" w:rsidP="007D4A16">
            <w:pPr>
              <w:pStyle w:val="AODocTxt"/>
              <w:spacing w:before="60" w:after="60"/>
              <w:ind w:left="113" w:right="113"/>
              <w:rPr>
                <w:rFonts w:ascii="Verdana" w:hAnsi="Verdana"/>
                <w:b/>
                <w:bCs/>
                <w:sz w:val="18"/>
                <w:szCs w:val="18"/>
              </w:rPr>
            </w:pPr>
            <w:r w:rsidRPr="00FE05E6">
              <w:rPr>
                <w:rFonts w:ascii="Verdana" w:hAnsi="Verdana"/>
                <w:b/>
                <w:bCs/>
                <w:sz w:val="18"/>
                <w:szCs w:val="18"/>
              </w:rPr>
              <w:t>Date</w:t>
            </w:r>
          </w:p>
        </w:tc>
        <w:tc>
          <w:tcPr>
            <w:tcW w:w="1635" w:type="dxa"/>
            <w:shd w:val="clear" w:color="auto" w:fill="BFBFBF" w:themeFill="background1" w:themeFillShade="BF"/>
          </w:tcPr>
          <w:p w14:paraId="0BB6B31B" w14:textId="557F1BFB" w:rsidR="00126EAE" w:rsidRPr="00FE05E6" w:rsidRDefault="00126EAE" w:rsidP="007D4A16">
            <w:pPr>
              <w:pStyle w:val="AODocTxt"/>
              <w:spacing w:before="60" w:after="60"/>
              <w:ind w:left="113" w:right="113"/>
              <w:rPr>
                <w:rFonts w:ascii="Verdana" w:hAnsi="Verdana"/>
                <w:b/>
                <w:bCs/>
                <w:sz w:val="18"/>
                <w:szCs w:val="18"/>
              </w:rPr>
            </w:pPr>
            <w:r w:rsidRPr="00FE05E6">
              <w:rPr>
                <w:rFonts w:ascii="Verdana" w:hAnsi="Verdana"/>
                <w:b/>
                <w:bCs/>
                <w:sz w:val="18"/>
                <w:szCs w:val="18"/>
              </w:rPr>
              <w:t>Director</w:t>
            </w:r>
          </w:p>
        </w:tc>
        <w:tc>
          <w:tcPr>
            <w:tcW w:w="1770" w:type="dxa"/>
            <w:shd w:val="clear" w:color="auto" w:fill="BFBFBF" w:themeFill="background1" w:themeFillShade="BF"/>
          </w:tcPr>
          <w:p w14:paraId="7B01C7EE" w14:textId="44688674" w:rsidR="00126EAE" w:rsidRPr="00FE05E6" w:rsidRDefault="00126EAE" w:rsidP="007D4A16">
            <w:pPr>
              <w:pStyle w:val="AODocTxt"/>
              <w:spacing w:before="60" w:after="60"/>
              <w:ind w:left="113" w:right="113"/>
              <w:rPr>
                <w:rFonts w:ascii="Verdana" w:hAnsi="Verdana"/>
                <w:b/>
                <w:bCs/>
                <w:sz w:val="18"/>
                <w:szCs w:val="18"/>
              </w:rPr>
            </w:pPr>
            <w:r w:rsidRPr="00FE05E6">
              <w:rPr>
                <w:rFonts w:ascii="Verdana" w:hAnsi="Verdana"/>
                <w:b/>
                <w:bCs/>
                <w:sz w:val="18"/>
                <w:szCs w:val="18"/>
              </w:rPr>
              <w:t>Plan</w:t>
            </w:r>
          </w:p>
        </w:tc>
        <w:tc>
          <w:tcPr>
            <w:tcW w:w="1668" w:type="dxa"/>
            <w:shd w:val="clear" w:color="auto" w:fill="BFBFBF" w:themeFill="background1" w:themeFillShade="BF"/>
          </w:tcPr>
          <w:p w14:paraId="0E5FED59" w14:textId="32D3BEC1" w:rsidR="00126EAE" w:rsidRPr="00FE05E6" w:rsidRDefault="00126EAE" w:rsidP="007D4A16">
            <w:pPr>
              <w:pStyle w:val="AODocTxt"/>
              <w:spacing w:before="60" w:after="60"/>
              <w:ind w:left="113" w:right="113"/>
              <w:rPr>
                <w:rFonts w:ascii="Verdana" w:hAnsi="Verdana"/>
                <w:b/>
                <w:bCs/>
                <w:sz w:val="18"/>
                <w:szCs w:val="18"/>
              </w:rPr>
            </w:pPr>
            <w:r w:rsidRPr="00FE05E6">
              <w:rPr>
                <w:rFonts w:ascii="Verdana" w:hAnsi="Verdana"/>
                <w:b/>
                <w:bCs/>
                <w:sz w:val="18"/>
                <w:szCs w:val="18"/>
              </w:rPr>
              <w:t>Number of units offered</w:t>
            </w:r>
          </w:p>
        </w:tc>
        <w:tc>
          <w:tcPr>
            <w:tcW w:w="1668" w:type="dxa"/>
            <w:shd w:val="clear" w:color="auto" w:fill="BFBFBF" w:themeFill="background1" w:themeFillShade="BF"/>
          </w:tcPr>
          <w:p w14:paraId="11213ACA" w14:textId="7FD66FC2" w:rsidR="00126EAE" w:rsidRPr="00FE05E6" w:rsidRDefault="00126EAE" w:rsidP="007D4A16">
            <w:pPr>
              <w:pStyle w:val="AODocTxt"/>
              <w:spacing w:before="60" w:after="60"/>
              <w:ind w:left="113" w:right="113"/>
              <w:rPr>
                <w:rFonts w:ascii="Verdana" w:hAnsi="Verdana"/>
                <w:b/>
                <w:bCs/>
                <w:sz w:val="18"/>
                <w:szCs w:val="18"/>
              </w:rPr>
            </w:pPr>
            <w:r w:rsidRPr="00FE05E6">
              <w:rPr>
                <w:rFonts w:ascii="Verdana" w:hAnsi="Verdana"/>
                <w:b/>
                <w:bCs/>
                <w:sz w:val="18"/>
                <w:szCs w:val="18"/>
              </w:rPr>
              <w:t>Offer price of units</w:t>
            </w:r>
          </w:p>
        </w:tc>
        <w:tc>
          <w:tcPr>
            <w:tcW w:w="1668" w:type="dxa"/>
            <w:shd w:val="clear" w:color="auto" w:fill="BFBFBF" w:themeFill="background1" w:themeFillShade="BF"/>
          </w:tcPr>
          <w:p w14:paraId="60E7AADE" w14:textId="07CC0FAF" w:rsidR="00126EAE" w:rsidRPr="00FE05E6" w:rsidRDefault="00126EAE" w:rsidP="007D4A16">
            <w:pPr>
              <w:pStyle w:val="AODocTxt"/>
              <w:spacing w:before="60" w:after="60"/>
              <w:ind w:left="113" w:right="113"/>
              <w:rPr>
                <w:rFonts w:ascii="Verdana" w:hAnsi="Verdana"/>
                <w:b/>
                <w:bCs/>
                <w:sz w:val="18"/>
                <w:szCs w:val="18"/>
              </w:rPr>
            </w:pPr>
            <w:r>
              <w:rPr>
                <w:rFonts w:ascii="Verdana" w:hAnsi="Verdana"/>
                <w:b/>
                <w:bCs/>
                <w:sz w:val="18"/>
                <w:szCs w:val="18"/>
              </w:rPr>
              <w:t>Fair value</w:t>
            </w:r>
          </w:p>
        </w:tc>
      </w:tr>
      <w:tr w:rsidR="00734872" w:rsidRPr="00FE05E6" w14:paraId="0326D7C9" w14:textId="6A115C4A" w:rsidTr="00126EAE">
        <w:tc>
          <w:tcPr>
            <w:tcW w:w="1219" w:type="dxa"/>
          </w:tcPr>
          <w:p w14:paraId="48568FEA" w14:textId="16247A76" w:rsidR="00734872" w:rsidRPr="00FE05E6" w:rsidRDefault="00734872" w:rsidP="00734872">
            <w:pPr>
              <w:pStyle w:val="AODocTxt"/>
              <w:spacing w:before="60" w:after="60"/>
              <w:ind w:left="113" w:right="113"/>
              <w:rPr>
                <w:rFonts w:ascii="Verdana" w:hAnsi="Verdana"/>
                <w:sz w:val="18"/>
                <w:szCs w:val="18"/>
              </w:rPr>
            </w:pPr>
            <w:r>
              <w:rPr>
                <w:rFonts w:ascii="Verdana" w:hAnsi="Verdana"/>
                <w:sz w:val="18"/>
                <w:szCs w:val="18"/>
              </w:rPr>
              <w:t>1</w:t>
            </w:r>
            <w:r w:rsidR="00854215">
              <w:rPr>
                <w:rFonts w:ascii="Verdana" w:hAnsi="Verdana"/>
                <w:sz w:val="18"/>
                <w:szCs w:val="18"/>
              </w:rPr>
              <w:t>7</w:t>
            </w:r>
            <w:r>
              <w:rPr>
                <w:rFonts w:ascii="Verdana" w:hAnsi="Verdana"/>
                <w:sz w:val="18"/>
                <w:szCs w:val="18"/>
              </w:rPr>
              <w:t xml:space="preserve"> July 2024</w:t>
            </w:r>
          </w:p>
        </w:tc>
        <w:tc>
          <w:tcPr>
            <w:tcW w:w="1635" w:type="dxa"/>
          </w:tcPr>
          <w:p w14:paraId="3BDBD3E2" w14:textId="61A21EB4" w:rsidR="00734872" w:rsidRPr="00FE05E6" w:rsidRDefault="00734872" w:rsidP="00734872">
            <w:pPr>
              <w:pStyle w:val="AODocTxt"/>
              <w:spacing w:before="60" w:after="60"/>
              <w:ind w:left="113" w:right="113"/>
              <w:rPr>
                <w:rFonts w:ascii="Verdana" w:hAnsi="Verdana"/>
                <w:sz w:val="18"/>
                <w:szCs w:val="18"/>
              </w:rPr>
            </w:pPr>
            <w:r>
              <w:rPr>
                <w:rFonts w:ascii="Verdana" w:hAnsi="Verdana"/>
                <w:sz w:val="18"/>
                <w:szCs w:val="18"/>
              </w:rPr>
              <w:t>Fabricio Bloisi</w:t>
            </w:r>
          </w:p>
        </w:tc>
        <w:tc>
          <w:tcPr>
            <w:tcW w:w="1770" w:type="dxa"/>
          </w:tcPr>
          <w:p w14:paraId="7B5C50B3" w14:textId="042CB2BC" w:rsidR="00734872" w:rsidRPr="00FE05E6" w:rsidRDefault="00734872" w:rsidP="004F4F15">
            <w:pPr>
              <w:pStyle w:val="AODocTxt"/>
              <w:spacing w:before="60" w:after="60"/>
              <w:ind w:left="113" w:right="113"/>
              <w:jc w:val="left"/>
              <w:rPr>
                <w:rFonts w:ascii="Verdana" w:hAnsi="Verdana"/>
                <w:sz w:val="18"/>
                <w:szCs w:val="18"/>
              </w:rPr>
            </w:pPr>
            <w:r w:rsidRPr="00FE05E6">
              <w:rPr>
                <w:rFonts w:ascii="Verdana" w:hAnsi="Verdana"/>
                <w:sz w:val="18"/>
                <w:szCs w:val="18"/>
              </w:rPr>
              <w:t>Prosus N.V. Share Award Plan</w:t>
            </w:r>
          </w:p>
        </w:tc>
        <w:tc>
          <w:tcPr>
            <w:tcW w:w="1668" w:type="dxa"/>
          </w:tcPr>
          <w:p w14:paraId="1F90EDCC" w14:textId="68F6660A" w:rsidR="00734872" w:rsidRPr="00FE05E6" w:rsidRDefault="000C2173" w:rsidP="00734872">
            <w:pPr>
              <w:pStyle w:val="AODocTxt"/>
              <w:spacing w:before="60" w:after="60"/>
              <w:ind w:left="113" w:right="113"/>
              <w:jc w:val="right"/>
              <w:rPr>
                <w:rFonts w:ascii="Verdana" w:hAnsi="Verdana"/>
                <w:sz w:val="18"/>
                <w:szCs w:val="18"/>
              </w:rPr>
            </w:pPr>
            <w:r>
              <w:rPr>
                <w:rFonts w:ascii="Verdana" w:hAnsi="Verdana"/>
                <w:sz w:val="18"/>
                <w:szCs w:val="18"/>
              </w:rPr>
              <w:t>430 295</w:t>
            </w:r>
          </w:p>
        </w:tc>
        <w:tc>
          <w:tcPr>
            <w:tcW w:w="1668" w:type="dxa"/>
          </w:tcPr>
          <w:p w14:paraId="15FF6DE0" w14:textId="00955BD9" w:rsidR="00734872" w:rsidRPr="00FE05E6" w:rsidRDefault="00734872" w:rsidP="00734872">
            <w:pPr>
              <w:pStyle w:val="AODocTxt"/>
              <w:spacing w:before="60" w:after="60"/>
              <w:ind w:left="113" w:right="113"/>
              <w:jc w:val="right"/>
              <w:rPr>
                <w:rFonts w:ascii="Verdana" w:hAnsi="Verdana"/>
                <w:sz w:val="18"/>
                <w:szCs w:val="18"/>
              </w:rPr>
            </w:pPr>
            <w:r w:rsidRPr="00FE05E6">
              <w:rPr>
                <w:rFonts w:ascii="Verdana" w:hAnsi="Verdana"/>
                <w:sz w:val="18"/>
                <w:szCs w:val="18"/>
              </w:rPr>
              <w:t>0</w:t>
            </w:r>
          </w:p>
        </w:tc>
        <w:tc>
          <w:tcPr>
            <w:tcW w:w="1668" w:type="dxa"/>
          </w:tcPr>
          <w:p w14:paraId="370E8004" w14:textId="7F639EE1" w:rsidR="00734872" w:rsidRPr="00FE05E6" w:rsidRDefault="00734872" w:rsidP="00734872">
            <w:pPr>
              <w:pStyle w:val="AODocTxt"/>
              <w:spacing w:before="60" w:after="60"/>
              <w:ind w:left="113" w:right="113"/>
              <w:jc w:val="right"/>
              <w:rPr>
                <w:rFonts w:ascii="Verdana" w:hAnsi="Verdana"/>
                <w:sz w:val="18"/>
                <w:szCs w:val="18"/>
              </w:rPr>
            </w:pPr>
            <w:r>
              <w:rPr>
                <w:rFonts w:ascii="Verdana" w:hAnsi="Verdana"/>
                <w:sz w:val="18"/>
                <w:szCs w:val="18"/>
              </w:rPr>
              <w:t>US$18,900,000</w:t>
            </w:r>
          </w:p>
        </w:tc>
      </w:tr>
      <w:tr w:rsidR="00126EAE" w:rsidRPr="00FE05E6" w14:paraId="47950AB1" w14:textId="6412065D" w:rsidTr="00126EAE">
        <w:tc>
          <w:tcPr>
            <w:tcW w:w="1219" w:type="dxa"/>
          </w:tcPr>
          <w:p w14:paraId="27032B1D" w14:textId="107AC19C" w:rsidR="00126EAE" w:rsidRPr="00FE05E6" w:rsidRDefault="00E9558A" w:rsidP="007D4A16">
            <w:pPr>
              <w:pStyle w:val="AODocTxt"/>
              <w:spacing w:before="60" w:after="60"/>
              <w:ind w:left="113" w:right="113"/>
              <w:rPr>
                <w:rFonts w:ascii="Verdana" w:hAnsi="Verdana"/>
                <w:sz w:val="18"/>
                <w:szCs w:val="18"/>
              </w:rPr>
            </w:pPr>
            <w:r>
              <w:rPr>
                <w:rFonts w:ascii="Verdana" w:hAnsi="Verdana"/>
                <w:sz w:val="18"/>
                <w:szCs w:val="18"/>
              </w:rPr>
              <w:t>1</w:t>
            </w:r>
            <w:r w:rsidR="00854215">
              <w:rPr>
                <w:rFonts w:ascii="Verdana" w:hAnsi="Verdana"/>
                <w:sz w:val="18"/>
                <w:szCs w:val="18"/>
              </w:rPr>
              <w:t>7</w:t>
            </w:r>
            <w:r w:rsidR="00126EAE" w:rsidRPr="00FE05E6">
              <w:rPr>
                <w:rFonts w:ascii="Verdana" w:hAnsi="Verdana"/>
                <w:sz w:val="18"/>
                <w:szCs w:val="18"/>
              </w:rPr>
              <w:t xml:space="preserve"> July 202</w:t>
            </w:r>
            <w:r>
              <w:rPr>
                <w:rFonts w:ascii="Verdana" w:hAnsi="Verdana"/>
                <w:sz w:val="18"/>
                <w:szCs w:val="18"/>
              </w:rPr>
              <w:t>4</w:t>
            </w:r>
          </w:p>
        </w:tc>
        <w:tc>
          <w:tcPr>
            <w:tcW w:w="1635" w:type="dxa"/>
          </w:tcPr>
          <w:p w14:paraId="3F99CFE0" w14:textId="14E0FBD2" w:rsidR="00126EAE" w:rsidRPr="00FE05E6" w:rsidRDefault="00E9558A" w:rsidP="007D4A16">
            <w:pPr>
              <w:pStyle w:val="AODocTxt"/>
              <w:spacing w:before="60" w:after="60"/>
              <w:ind w:left="113" w:right="113"/>
              <w:rPr>
                <w:rFonts w:ascii="Verdana" w:hAnsi="Verdana"/>
                <w:sz w:val="18"/>
                <w:szCs w:val="18"/>
              </w:rPr>
            </w:pPr>
            <w:r>
              <w:rPr>
                <w:rFonts w:ascii="Verdana" w:hAnsi="Verdana"/>
                <w:sz w:val="18"/>
                <w:szCs w:val="18"/>
              </w:rPr>
              <w:t>Fabricio Bloisi</w:t>
            </w:r>
          </w:p>
        </w:tc>
        <w:tc>
          <w:tcPr>
            <w:tcW w:w="1770" w:type="dxa"/>
          </w:tcPr>
          <w:p w14:paraId="0AC8A423" w14:textId="5C3DF5AA" w:rsidR="00126EAE" w:rsidRPr="00FE05E6" w:rsidRDefault="00126EAE" w:rsidP="004F4F15">
            <w:pPr>
              <w:pStyle w:val="AODocTxt"/>
              <w:spacing w:before="60" w:after="60"/>
              <w:ind w:left="113" w:right="113"/>
              <w:jc w:val="left"/>
              <w:rPr>
                <w:rFonts w:ascii="Verdana" w:hAnsi="Verdana"/>
                <w:sz w:val="18"/>
                <w:szCs w:val="18"/>
              </w:rPr>
            </w:pPr>
            <w:r w:rsidRPr="00FE05E6">
              <w:rPr>
                <w:rFonts w:ascii="Verdana" w:hAnsi="Verdana"/>
                <w:sz w:val="18"/>
                <w:szCs w:val="18"/>
              </w:rPr>
              <w:t>Prosus N.V. Share Award Plan</w:t>
            </w:r>
            <w:r w:rsidR="000D3DB6">
              <w:rPr>
                <w:rFonts w:ascii="Verdana" w:hAnsi="Verdana"/>
                <w:sz w:val="18"/>
                <w:szCs w:val="18"/>
              </w:rPr>
              <w:t xml:space="preserve"> (</w:t>
            </w:r>
            <w:r w:rsidR="00AA1363">
              <w:rPr>
                <w:rFonts w:ascii="Verdana" w:hAnsi="Verdana"/>
                <w:sz w:val="18"/>
                <w:szCs w:val="18"/>
              </w:rPr>
              <w:t>‘Moonshot award’)</w:t>
            </w:r>
          </w:p>
        </w:tc>
        <w:tc>
          <w:tcPr>
            <w:tcW w:w="1668" w:type="dxa"/>
          </w:tcPr>
          <w:p w14:paraId="4E4D8B6F" w14:textId="5006733E" w:rsidR="00126EAE" w:rsidRPr="00FE05E6" w:rsidRDefault="00734872" w:rsidP="00CB5F89">
            <w:pPr>
              <w:pStyle w:val="AODocTxt"/>
              <w:spacing w:before="60" w:after="60"/>
              <w:ind w:left="113" w:right="113"/>
              <w:jc w:val="left"/>
              <w:rPr>
                <w:rFonts w:ascii="Verdana" w:hAnsi="Verdana"/>
                <w:sz w:val="18"/>
                <w:szCs w:val="18"/>
              </w:rPr>
            </w:pPr>
            <w:r w:rsidRPr="00CB5F89">
              <w:rPr>
                <w:rFonts w:ascii="Verdana" w:hAnsi="Verdana"/>
                <w:sz w:val="18"/>
                <w:szCs w:val="18"/>
              </w:rPr>
              <w:t>Right to receive listed Class ordinary shares N in Prosus</w:t>
            </w:r>
            <w:r>
              <w:rPr>
                <w:rFonts w:ascii="Verdana" w:eastAsia="Times New Roman" w:hAnsi="Verdana" w:cstheme="minorHAnsi"/>
                <w:sz w:val="20"/>
                <w:szCs w:val="20"/>
                <w:lang w:val="en-ZA" w:eastAsia="en-GB"/>
              </w:rPr>
              <w:t xml:space="preserve"> </w:t>
            </w:r>
          </w:p>
        </w:tc>
        <w:tc>
          <w:tcPr>
            <w:tcW w:w="1668" w:type="dxa"/>
          </w:tcPr>
          <w:p w14:paraId="0FEB0E6C" w14:textId="7CF149DA" w:rsidR="00126EAE" w:rsidRPr="00FE05E6" w:rsidRDefault="00126EAE" w:rsidP="007D4A16">
            <w:pPr>
              <w:pStyle w:val="AODocTxt"/>
              <w:spacing w:before="60" w:after="60"/>
              <w:ind w:left="113" w:right="113"/>
              <w:jc w:val="right"/>
              <w:rPr>
                <w:rFonts w:ascii="Verdana" w:hAnsi="Verdana"/>
                <w:sz w:val="18"/>
                <w:szCs w:val="18"/>
              </w:rPr>
            </w:pPr>
            <w:r w:rsidRPr="00FE05E6">
              <w:rPr>
                <w:rFonts w:ascii="Verdana" w:hAnsi="Verdana"/>
                <w:sz w:val="18"/>
                <w:szCs w:val="18"/>
              </w:rPr>
              <w:t>0</w:t>
            </w:r>
          </w:p>
        </w:tc>
        <w:tc>
          <w:tcPr>
            <w:tcW w:w="1668" w:type="dxa"/>
          </w:tcPr>
          <w:p w14:paraId="228AF78D" w14:textId="12C1A7AD" w:rsidR="00126EAE" w:rsidRPr="00FE05E6" w:rsidRDefault="00ED7299" w:rsidP="007D4A16">
            <w:pPr>
              <w:pStyle w:val="AODocTxt"/>
              <w:spacing w:before="60" w:after="60"/>
              <w:ind w:left="113" w:right="113"/>
              <w:jc w:val="right"/>
              <w:rPr>
                <w:rFonts w:ascii="Verdana" w:hAnsi="Verdana"/>
                <w:sz w:val="18"/>
                <w:szCs w:val="18"/>
              </w:rPr>
            </w:pPr>
            <w:r>
              <w:rPr>
                <w:rFonts w:ascii="Verdana" w:hAnsi="Verdana"/>
                <w:sz w:val="18"/>
                <w:szCs w:val="18"/>
              </w:rPr>
              <w:t>US$</w:t>
            </w:r>
            <w:r w:rsidR="00734872">
              <w:rPr>
                <w:rFonts w:ascii="Verdana" w:hAnsi="Verdana"/>
                <w:sz w:val="18"/>
                <w:szCs w:val="18"/>
              </w:rPr>
              <w:t>70,000,000</w:t>
            </w:r>
          </w:p>
        </w:tc>
      </w:tr>
    </w:tbl>
    <w:p w14:paraId="7BDA5A04" w14:textId="2ED6ED2B" w:rsidR="00AC3712" w:rsidRDefault="00734872" w:rsidP="00AC3712">
      <w:pPr>
        <w:pStyle w:val="AODocTxt"/>
        <w:spacing w:line="240" w:lineRule="atLeast"/>
        <w:jc w:val="left"/>
        <w:rPr>
          <w:rStyle w:val="Hyperlink"/>
          <w:rFonts w:ascii="Verdana" w:eastAsia="Times New Roman" w:hAnsi="Verdana" w:cstheme="minorHAnsi"/>
          <w:sz w:val="20"/>
          <w:szCs w:val="20"/>
          <w:lang w:val="en-ZA" w:eastAsia="en-GB"/>
        </w:rPr>
      </w:pPr>
      <w:r w:rsidRPr="00F92464">
        <w:rPr>
          <w:rFonts w:ascii="Verdana" w:hAnsi="Verdana" w:cstheme="minorHAnsi"/>
          <w:sz w:val="20"/>
          <w:szCs w:val="20"/>
          <w:lang w:val="en-ZA"/>
        </w:rPr>
        <w:t>The Disclosure published on 19 July 2024 can be found here:</w:t>
      </w:r>
      <w:r>
        <w:rPr>
          <w:rFonts w:ascii="Verdana" w:hAnsi="Verdana" w:cstheme="minorHAnsi"/>
          <w:sz w:val="20"/>
          <w:szCs w:val="20"/>
          <w:lang w:val="en-ZA"/>
        </w:rPr>
        <w:t xml:space="preserve"> </w:t>
      </w:r>
      <w:hyperlink r:id="rId13" w:history="1">
        <w:r w:rsidRPr="00BC407D">
          <w:rPr>
            <w:rStyle w:val="Hyperlink"/>
            <w:rFonts w:ascii="Verdana" w:eastAsia="Times New Roman" w:hAnsi="Verdana" w:cstheme="minorHAnsi"/>
            <w:sz w:val="20"/>
            <w:szCs w:val="20"/>
            <w:lang w:val="en-ZA" w:eastAsia="en-GB"/>
          </w:rPr>
          <w:t>www.prosus.com/investors/shareholder-centre/shareholder-meetings</w:t>
        </w:r>
      </w:hyperlink>
    </w:p>
    <w:p w14:paraId="13B9E307" w14:textId="77777777" w:rsidR="00AC3712" w:rsidRPr="00AC3712" w:rsidRDefault="00AC3712" w:rsidP="00AC3712">
      <w:pPr>
        <w:pStyle w:val="AODocTxt"/>
        <w:spacing w:line="240" w:lineRule="atLeast"/>
        <w:jc w:val="left"/>
        <w:rPr>
          <w:rFonts w:ascii="Verdana" w:eastAsia="Times New Roman" w:hAnsi="Verdana" w:cstheme="minorHAnsi"/>
          <w:color w:val="5C6F7B" w:themeColor="hyperlink"/>
          <w:sz w:val="20"/>
          <w:szCs w:val="20"/>
          <w:u w:val="single"/>
          <w:lang w:val="en-ZA" w:eastAsia="en-GB"/>
        </w:rPr>
      </w:pPr>
    </w:p>
    <w:p w14:paraId="7F5342B8" w14:textId="29DF700D" w:rsidR="00AC3712" w:rsidRDefault="00AC3712" w:rsidP="00AC3712">
      <w:pPr>
        <w:pStyle w:val="AODocTxt"/>
        <w:spacing w:before="0" w:line="240" w:lineRule="auto"/>
        <w:rPr>
          <w:rFonts w:ascii="Verdana" w:eastAsia="Times New Roman" w:hAnsi="Verdana" w:cstheme="minorHAnsi"/>
          <w:sz w:val="20"/>
          <w:szCs w:val="20"/>
          <w:lang w:val="en-ZA" w:eastAsia="en-GB"/>
        </w:rPr>
      </w:pPr>
      <w:r>
        <w:rPr>
          <w:rFonts w:ascii="Verdana" w:eastAsia="Times New Roman" w:hAnsi="Verdana" w:cstheme="minorHAnsi"/>
          <w:sz w:val="20"/>
          <w:szCs w:val="20"/>
          <w:lang w:val="en-ZA" w:eastAsia="en-GB"/>
        </w:rPr>
        <w:t>For ease of reference the remuneration report can be found here:</w:t>
      </w:r>
    </w:p>
    <w:p w14:paraId="38338A93" w14:textId="04E404C9" w:rsidR="00AC3712" w:rsidRDefault="0042670E" w:rsidP="00AC3712">
      <w:pPr>
        <w:pStyle w:val="AODocTxt"/>
        <w:spacing w:before="0" w:line="240" w:lineRule="auto"/>
        <w:rPr>
          <w:rFonts w:ascii="Verdana" w:eastAsia="Times New Roman" w:hAnsi="Verdana" w:cstheme="minorHAnsi"/>
          <w:sz w:val="20"/>
          <w:szCs w:val="20"/>
          <w:lang w:val="en-ZA" w:eastAsia="en-GB"/>
        </w:rPr>
      </w:pPr>
      <w:hyperlink r:id="rId14" w:history="1">
        <w:r w:rsidR="00AC3712" w:rsidRPr="00E72C2D">
          <w:rPr>
            <w:rStyle w:val="Hyperlink"/>
            <w:rFonts w:ascii="Verdana" w:eastAsia="Times New Roman" w:hAnsi="Verdana" w:cstheme="minorHAnsi"/>
            <w:sz w:val="20"/>
            <w:szCs w:val="20"/>
            <w:lang w:val="en-ZA" w:eastAsia="en-GB"/>
          </w:rPr>
          <w:t>www.</w:t>
        </w:r>
        <w:r w:rsidR="00AC3712">
          <w:rPr>
            <w:rStyle w:val="Hyperlink"/>
            <w:rFonts w:ascii="Verdana" w:eastAsia="Times New Roman" w:hAnsi="Verdana" w:cstheme="minorHAnsi"/>
            <w:sz w:val="20"/>
            <w:szCs w:val="20"/>
            <w:lang w:val="en-ZA" w:eastAsia="en-GB"/>
          </w:rPr>
          <w:t>prosus</w:t>
        </w:r>
        <w:r w:rsidR="00AC3712" w:rsidRPr="00E72C2D">
          <w:rPr>
            <w:rStyle w:val="Hyperlink"/>
            <w:rFonts w:ascii="Verdana" w:eastAsia="Times New Roman" w:hAnsi="Verdana" w:cstheme="minorHAnsi"/>
            <w:sz w:val="20"/>
            <w:szCs w:val="20"/>
            <w:lang w:val="en-ZA" w:eastAsia="en-GB"/>
          </w:rPr>
          <w:t>.com/investors/results-reports-events/latest-financial-results</w:t>
        </w:r>
      </w:hyperlink>
    </w:p>
    <w:p w14:paraId="2503013D" w14:textId="77777777" w:rsidR="00AC3712" w:rsidRPr="00734872" w:rsidRDefault="00AC3712" w:rsidP="00734872">
      <w:pPr>
        <w:pStyle w:val="AODocTxt"/>
        <w:spacing w:line="240" w:lineRule="atLeast"/>
        <w:jc w:val="left"/>
        <w:rPr>
          <w:rFonts w:ascii="Verdana" w:hAnsi="Verdana" w:cstheme="minorHAnsi"/>
          <w:sz w:val="20"/>
          <w:szCs w:val="20"/>
          <w:lang w:val="en-ZA"/>
        </w:rPr>
      </w:pPr>
    </w:p>
    <w:p w14:paraId="5E77BC76" w14:textId="56E147AF" w:rsidR="007D4A16" w:rsidRDefault="00320365" w:rsidP="00320365">
      <w:pPr>
        <w:pStyle w:val="AODocTxt"/>
        <w:jc w:val="left"/>
        <w:rPr>
          <w:rFonts w:ascii="Verdana" w:hAnsi="Verdana"/>
          <w:sz w:val="20"/>
          <w:szCs w:val="20"/>
        </w:rPr>
      </w:pPr>
      <w:r w:rsidRPr="00320365">
        <w:rPr>
          <w:rFonts w:ascii="Verdana" w:hAnsi="Verdana"/>
          <w:sz w:val="20"/>
          <w:szCs w:val="20"/>
        </w:rPr>
        <w:t>For additional information in relation to the AFM disclosures, please see the AFM's registers</w:t>
      </w:r>
      <w:r>
        <w:rPr>
          <w:rFonts w:ascii="Verdana" w:hAnsi="Verdana"/>
          <w:sz w:val="20"/>
          <w:szCs w:val="20"/>
        </w:rPr>
        <w:t xml:space="preserve"> </w:t>
      </w:r>
      <w:r w:rsidRPr="00320365">
        <w:rPr>
          <w:rFonts w:ascii="Verdana" w:hAnsi="Verdana"/>
          <w:sz w:val="20"/>
          <w:szCs w:val="20"/>
        </w:rPr>
        <w:t>on the AFM's website</w:t>
      </w:r>
      <w:r>
        <w:rPr>
          <w:rFonts w:ascii="Verdana" w:hAnsi="Verdana"/>
          <w:sz w:val="20"/>
          <w:szCs w:val="20"/>
        </w:rPr>
        <w:t>:</w:t>
      </w:r>
      <w:r>
        <w:rPr>
          <w:rFonts w:ascii="Verdana" w:hAnsi="Verdana"/>
          <w:sz w:val="20"/>
          <w:szCs w:val="20"/>
        </w:rPr>
        <w:br/>
      </w:r>
      <w:r w:rsidR="00F024CA" w:rsidRPr="00F024CA">
        <w:rPr>
          <w:rFonts w:ascii="Verdana" w:hAnsi="Verdana"/>
          <w:sz w:val="20"/>
          <w:szCs w:val="20"/>
        </w:rPr>
        <w:t>https://www.afm.nl/en/sector/registers/meldingenregisters</w:t>
      </w:r>
      <w:r w:rsidRPr="00320365">
        <w:rPr>
          <w:rFonts w:ascii="Verdana" w:hAnsi="Verdana"/>
          <w:sz w:val="20"/>
          <w:szCs w:val="20"/>
        </w:rPr>
        <w:t>.</w:t>
      </w:r>
    </w:p>
    <w:p w14:paraId="3519D2BD" w14:textId="322EE576" w:rsidR="00734872" w:rsidRDefault="00734872">
      <w:pPr>
        <w:spacing w:line="260" w:lineRule="atLeast"/>
        <w:rPr>
          <w:rFonts w:ascii="Verdana" w:hAnsi="Verdana"/>
          <w:sz w:val="20"/>
          <w:szCs w:val="20"/>
        </w:rPr>
      </w:pPr>
    </w:p>
    <w:p w14:paraId="0BE3166C" w14:textId="105F5A59" w:rsidR="005E503D" w:rsidRDefault="00BD580A">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490694"/>
      </w:sdtPr>
      <w:sdtEndPr/>
      <w:sdtContent>
        <w:p w14:paraId="0BE3166D" w14:textId="722084F2" w:rsidR="005E503D" w:rsidRDefault="00734872">
          <w:pPr>
            <w:pStyle w:val="AODocTxt"/>
            <w:spacing w:before="0"/>
            <w:rPr>
              <w:rFonts w:ascii="Verdana" w:hAnsi="Verdana"/>
              <w:sz w:val="20"/>
              <w:szCs w:val="20"/>
            </w:rPr>
          </w:pPr>
          <w:r w:rsidRPr="00CB5F89">
            <w:rPr>
              <w:rFonts w:ascii="Verdana" w:hAnsi="Verdana"/>
              <w:sz w:val="20"/>
              <w:szCs w:val="20"/>
            </w:rPr>
            <w:t>19</w:t>
          </w:r>
          <w:r w:rsidR="00BD580A">
            <w:rPr>
              <w:rFonts w:ascii="Verdana" w:hAnsi="Verdana"/>
              <w:sz w:val="20"/>
              <w:szCs w:val="20"/>
            </w:rPr>
            <w:t xml:space="preserve"> July 202</w:t>
          </w:r>
          <w:r>
            <w:rPr>
              <w:rFonts w:ascii="Verdana" w:hAnsi="Verdana"/>
              <w:sz w:val="20"/>
              <w:szCs w:val="20"/>
            </w:rPr>
            <w:t>4</w:t>
          </w:r>
        </w:p>
      </w:sdtContent>
    </w:sdt>
    <w:p w14:paraId="0BE3166E" w14:textId="77777777" w:rsidR="005E503D" w:rsidRDefault="00BD580A">
      <w:pPr>
        <w:pStyle w:val="AODocTxt"/>
        <w:rPr>
          <w:rFonts w:ascii="Verdana" w:hAnsi="Verdana"/>
          <w:sz w:val="20"/>
          <w:szCs w:val="20"/>
        </w:rPr>
      </w:pPr>
      <w:r>
        <w:rPr>
          <w:rFonts w:ascii="Verdana" w:hAnsi="Verdana"/>
          <w:sz w:val="20"/>
          <w:szCs w:val="20"/>
        </w:rPr>
        <w:t>JSE sponsor to Prosus</w:t>
      </w:r>
    </w:p>
    <w:p w14:paraId="0BE3166F" w14:textId="77777777" w:rsidR="005E503D" w:rsidRDefault="00BD580A">
      <w:pPr>
        <w:pStyle w:val="AODocTxt"/>
        <w:spacing w:before="0"/>
        <w:rPr>
          <w:rFonts w:ascii="Verdana" w:hAnsi="Verdana"/>
          <w:sz w:val="20"/>
          <w:szCs w:val="20"/>
        </w:rPr>
      </w:pPr>
      <w:r>
        <w:rPr>
          <w:rFonts w:ascii="Verdana" w:hAnsi="Verdana"/>
          <w:sz w:val="20"/>
          <w:szCs w:val="20"/>
        </w:rPr>
        <w:t>Investec Bank Limited</w:t>
      </w:r>
    </w:p>
    <w:p w14:paraId="0BE31670" w14:textId="77777777" w:rsidR="005E503D" w:rsidRDefault="005E503D">
      <w:pPr>
        <w:suppressAutoHyphens/>
        <w:jc w:val="both"/>
        <w:rPr>
          <w:rFonts w:ascii="Calibri" w:eastAsia="Arial" w:hAnsi="Calibri" w:cs="Calibri"/>
          <w:lang w:eastAsia="en-GB"/>
        </w:rPr>
      </w:pPr>
    </w:p>
    <w:p w14:paraId="68529BF7" w14:textId="77777777" w:rsidR="00734872" w:rsidRDefault="00734872" w:rsidP="00734872">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734872" w:rsidRPr="005431FA" w14:paraId="27180A3C" w14:textId="77777777" w:rsidTr="00A658CD">
        <w:tc>
          <w:tcPr>
            <w:tcW w:w="4815" w:type="dxa"/>
            <w:tcBorders>
              <w:top w:val="nil"/>
              <w:left w:val="nil"/>
              <w:bottom w:val="nil"/>
              <w:right w:val="nil"/>
            </w:tcBorders>
            <w:shd w:val="clear" w:color="auto" w:fill="auto"/>
            <w:hideMark/>
          </w:tcPr>
          <w:p w14:paraId="44364FF0" w14:textId="77777777" w:rsidR="00734872" w:rsidRPr="005431FA" w:rsidRDefault="00734872" w:rsidP="00A658CD">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72A571AB" w14:textId="77777777" w:rsidR="00734872" w:rsidRPr="005431FA" w:rsidRDefault="00734872" w:rsidP="00A658C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500691E6" w14:textId="77777777" w:rsidR="00734872" w:rsidRPr="005431FA" w:rsidRDefault="00734872" w:rsidP="00A658C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734872" w:rsidRPr="005431FA" w14:paraId="40AA8E75" w14:textId="77777777" w:rsidTr="00A658CD">
        <w:trPr>
          <w:trHeight w:val="110"/>
        </w:trPr>
        <w:tc>
          <w:tcPr>
            <w:tcW w:w="4815" w:type="dxa"/>
            <w:tcBorders>
              <w:top w:val="nil"/>
              <w:left w:val="nil"/>
              <w:bottom w:val="nil"/>
              <w:right w:val="nil"/>
            </w:tcBorders>
            <w:shd w:val="clear" w:color="auto" w:fill="auto"/>
            <w:hideMark/>
          </w:tcPr>
          <w:p w14:paraId="604D65EE" w14:textId="77777777" w:rsidR="00734872" w:rsidRPr="00B60C2F" w:rsidRDefault="00734872" w:rsidP="00A658CD">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144C35E7" w14:textId="77777777" w:rsidR="00734872" w:rsidRPr="00B60C2F" w:rsidRDefault="00734872" w:rsidP="00A658CD">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ABC9B9C" w14:textId="77777777" w:rsidR="00734872" w:rsidRPr="005431FA" w:rsidRDefault="00734872" w:rsidP="00A658C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6A27EFB9" w14:textId="77777777" w:rsidR="00734872" w:rsidRDefault="00734872" w:rsidP="00734872">
      <w:pPr>
        <w:rPr>
          <w:rFonts w:ascii="Verdana" w:eastAsia="Verdana" w:hAnsi="Verdana" w:cs="Verdana"/>
          <w:b/>
          <w:color w:val="000000"/>
          <w:sz w:val="20"/>
          <w:szCs w:val="20"/>
          <w:lang w:eastAsia="en-GB"/>
        </w:rPr>
      </w:pPr>
    </w:p>
    <w:p w14:paraId="19248884" w14:textId="77777777" w:rsidR="00734872" w:rsidRDefault="00734872" w:rsidP="00734872">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2995F08B"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7839CDFF"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5CA0B71B"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Foodics,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1C9D703C"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5EE77713"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70D00677"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7794F904" w14:textId="77777777" w:rsidR="00734872" w:rsidRDefault="00734872" w:rsidP="0073487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5"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34CFCDE1" w14:textId="77777777" w:rsidR="00734872" w:rsidRPr="00734872" w:rsidRDefault="00734872" w:rsidP="00734872">
      <w:pPr>
        <w:pStyle w:val="AONormal"/>
        <w:rPr>
          <w:lang w:val="en-US" w:eastAsia="en-GB"/>
        </w:rPr>
      </w:pPr>
    </w:p>
    <w:sectPr w:rsidR="00734872" w:rsidRPr="00734872">
      <w:footerReference w:type="first" r:id="rId16"/>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68B5F" w14:textId="77777777" w:rsidR="00AC2063" w:rsidRDefault="00AC2063">
      <w:r>
        <w:separator/>
      </w:r>
    </w:p>
  </w:endnote>
  <w:endnote w:type="continuationSeparator" w:id="0">
    <w:p w14:paraId="089BE3A9" w14:textId="77777777" w:rsidR="00AC2063" w:rsidRDefault="00AC2063">
      <w:r>
        <w:continuationSeparator/>
      </w:r>
    </w:p>
  </w:endnote>
  <w:endnote w:type="continuationNotice" w:id="1">
    <w:p w14:paraId="54237712" w14:textId="77777777" w:rsidR="00AC2063" w:rsidRDefault="00AC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BD58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05FB" w14:textId="77777777" w:rsidR="00AC2063" w:rsidRDefault="00AC2063">
      <w:r>
        <w:separator/>
      </w:r>
    </w:p>
  </w:footnote>
  <w:footnote w:type="continuationSeparator" w:id="0">
    <w:p w14:paraId="2BEA87AF" w14:textId="77777777" w:rsidR="00AC2063" w:rsidRDefault="00AC2063">
      <w:r>
        <w:continuationSeparator/>
      </w:r>
    </w:p>
  </w:footnote>
  <w:footnote w:type="continuationNotice" w:id="1">
    <w:p w14:paraId="1F5CD545" w14:textId="77777777" w:rsidR="00AC2063" w:rsidRDefault="00AC2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8483A42"/>
    <w:multiLevelType w:val="hybridMultilevel"/>
    <w:tmpl w:val="465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2A00069E"/>
    <w:multiLevelType w:val="hybridMultilevel"/>
    <w:tmpl w:val="FE64D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6" w15:restartNumberingAfterBreak="0">
    <w:nsid w:val="36397557"/>
    <w:multiLevelType w:val="hybridMultilevel"/>
    <w:tmpl w:val="AE322056"/>
    <w:lvl w:ilvl="0" w:tplc="A77A85FE">
      <w:start w:val="1"/>
      <w:numFmt w:val="bullet"/>
      <w:lvlText w:val=""/>
      <w:lvlJc w:val="left"/>
      <w:pPr>
        <w:ind w:left="720" w:hanging="360"/>
      </w:pPr>
      <w:rPr>
        <w:rFonts w:ascii="Symbol" w:hAnsi="Symbol" w:hint="default"/>
      </w:rPr>
    </w:lvl>
    <w:lvl w:ilvl="1" w:tplc="CEBA3C28" w:tentative="1">
      <w:start w:val="1"/>
      <w:numFmt w:val="bullet"/>
      <w:lvlText w:val="o"/>
      <w:lvlJc w:val="left"/>
      <w:pPr>
        <w:ind w:left="1440" w:hanging="360"/>
      </w:pPr>
      <w:rPr>
        <w:rFonts w:ascii="Courier New" w:hAnsi="Courier New" w:cs="Courier New" w:hint="default"/>
      </w:rPr>
    </w:lvl>
    <w:lvl w:ilvl="2" w:tplc="3A345546" w:tentative="1">
      <w:start w:val="1"/>
      <w:numFmt w:val="bullet"/>
      <w:lvlText w:val=""/>
      <w:lvlJc w:val="left"/>
      <w:pPr>
        <w:ind w:left="2160" w:hanging="360"/>
      </w:pPr>
      <w:rPr>
        <w:rFonts w:ascii="Wingdings" w:hAnsi="Wingdings" w:hint="default"/>
      </w:rPr>
    </w:lvl>
    <w:lvl w:ilvl="3" w:tplc="C56A29A4" w:tentative="1">
      <w:start w:val="1"/>
      <w:numFmt w:val="bullet"/>
      <w:lvlText w:val=""/>
      <w:lvlJc w:val="left"/>
      <w:pPr>
        <w:ind w:left="2880" w:hanging="360"/>
      </w:pPr>
      <w:rPr>
        <w:rFonts w:ascii="Symbol" w:hAnsi="Symbol" w:hint="default"/>
      </w:rPr>
    </w:lvl>
    <w:lvl w:ilvl="4" w:tplc="C6125B00" w:tentative="1">
      <w:start w:val="1"/>
      <w:numFmt w:val="bullet"/>
      <w:lvlText w:val="o"/>
      <w:lvlJc w:val="left"/>
      <w:pPr>
        <w:ind w:left="3600" w:hanging="360"/>
      </w:pPr>
      <w:rPr>
        <w:rFonts w:ascii="Courier New" w:hAnsi="Courier New" w:cs="Courier New" w:hint="default"/>
      </w:rPr>
    </w:lvl>
    <w:lvl w:ilvl="5" w:tplc="88A2473A" w:tentative="1">
      <w:start w:val="1"/>
      <w:numFmt w:val="bullet"/>
      <w:lvlText w:val=""/>
      <w:lvlJc w:val="left"/>
      <w:pPr>
        <w:ind w:left="4320" w:hanging="360"/>
      </w:pPr>
      <w:rPr>
        <w:rFonts w:ascii="Wingdings" w:hAnsi="Wingdings" w:hint="default"/>
      </w:rPr>
    </w:lvl>
    <w:lvl w:ilvl="6" w:tplc="DA56A4A6" w:tentative="1">
      <w:start w:val="1"/>
      <w:numFmt w:val="bullet"/>
      <w:lvlText w:val=""/>
      <w:lvlJc w:val="left"/>
      <w:pPr>
        <w:ind w:left="5040" w:hanging="360"/>
      </w:pPr>
      <w:rPr>
        <w:rFonts w:ascii="Symbol" w:hAnsi="Symbol" w:hint="default"/>
      </w:rPr>
    </w:lvl>
    <w:lvl w:ilvl="7" w:tplc="27FC4612" w:tentative="1">
      <w:start w:val="1"/>
      <w:numFmt w:val="bullet"/>
      <w:lvlText w:val="o"/>
      <w:lvlJc w:val="left"/>
      <w:pPr>
        <w:ind w:left="5760" w:hanging="360"/>
      </w:pPr>
      <w:rPr>
        <w:rFonts w:ascii="Courier New" w:hAnsi="Courier New" w:cs="Courier New" w:hint="default"/>
      </w:rPr>
    </w:lvl>
    <w:lvl w:ilvl="8" w:tplc="B3A2EA96" w:tentative="1">
      <w:start w:val="1"/>
      <w:numFmt w:val="bullet"/>
      <w:lvlText w:val=""/>
      <w:lvlJc w:val="left"/>
      <w:pPr>
        <w:ind w:left="6480" w:hanging="360"/>
      </w:pPr>
      <w:rPr>
        <w:rFonts w:ascii="Wingdings" w:hAnsi="Wingdings" w:hint="default"/>
      </w:rPr>
    </w:lvl>
  </w:abstractNum>
  <w:abstractNum w:abstractNumId="7"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4E4B4E3E"/>
    <w:multiLevelType w:val="multilevel"/>
    <w:tmpl w:val="A468C28C"/>
    <w:name w:val="AOHeadX"/>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7" w15:restartNumberingAfterBreak="0">
    <w:nsid w:val="651E0F50"/>
    <w:multiLevelType w:val="hybridMultilevel"/>
    <w:tmpl w:val="D2F48790"/>
    <w:lvl w:ilvl="0" w:tplc="1C09000F">
      <w:start w:val="1"/>
      <w:numFmt w:val="decimal"/>
      <w:lvlText w:val="%1."/>
      <w:lvlJc w:val="left"/>
      <w:pPr>
        <w:ind w:left="3960" w:hanging="360"/>
      </w:pPr>
      <w:rPr>
        <w:rFonts w:hint="default"/>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8"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BDD580A"/>
    <w:multiLevelType w:val="hybridMultilevel"/>
    <w:tmpl w:val="3C74AA7C"/>
    <w:lvl w:ilvl="0" w:tplc="CD26B160">
      <w:start w:val="1"/>
      <w:numFmt w:val="decimal"/>
      <w:pStyle w:val="Numberedlist"/>
      <w:lvlText w:val="%1."/>
      <w:lvlJc w:val="left"/>
      <w:pPr>
        <w:ind w:left="-695" w:hanging="360"/>
      </w:pPr>
      <w:rPr>
        <w:rFonts w:hint="default"/>
        <w:color w:val="1136A8"/>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20"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1"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292052186">
    <w:abstractNumId w:val="14"/>
  </w:num>
  <w:num w:numId="2" w16cid:durableId="222522879">
    <w:abstractNumId w:val="13"/>
  </w:num>
  <w:num w:numId="3" w16cid:durableId="594097974">
    <w:abstractNumId w:val="16"/>
  </w:num>
  <w:num w:numId="4" w16cid:durableId="390345066">
    <w:abstractNumId w:val="22"/>
  </w:num>
  <w:num w:numId="5" w16cid:durableId="1498882019">
    <w:abstractNumId w:val="9"/>
  </w:num>
  <w:num w:numId="6" w16cid:durableId="1129662004">
    <w:abstractNumId w:val="11"/>
  </w:num>
  <w:num w:numId="7" w16cid:durableId="379289016">
    <w:abstractNumId w:val="20"/>
  </w:num>
  <w:num w:numId="8" w16cid:durableId="1905337763">
    <w:abstractNumId w:val="0"/>
  </w:num>
  <w:num w:numId="9" w16cid:durableId="121045101">
    <w:abstractNumId w:val="12"/>
  </w:num>
  <w:num w:numId="10" w16cid:durableId="932662747">
    <w:abstractNumId w:val="8"/>
  </w:num>
  <w:num w:numId="11" w16cid:durableId="1405642137">
    <w:abstractNumId w:val="5"/>
  </w:num>
  <w:num w:numId="12" w16cid:durableId="1375697781">
    <w:abstractNumId w:val="3"/>
  </w:num>
  <w:num w:numId="13" w16cid:durableId="386953233">
    <w:abstractNumId w:val="21"/>
  </w:num>
  <w:num w:numId="14" w16cid:durableId="2128967689">
    <w:abstractNumId w:val="10"/>
  </w:num>
  <w:num w:numId="15" w16cid:durableId="1699041452">
    <w:abstractNumId w:val="15"/>
  </w:num>
  <w:num w:numId="16" w16cid:durableId="1189366284">
    <w:abstractNumId w:val="7"/>
  </w:num>
  <w:num w:numId="17" w16cid:durableId="53434770">
    <w:abstractNumId w:val="18"/>
  </w:num>
  <w:num w:numId="18" w16cid:durableId="1412002936">
    <w:abstractNumId w:val="1"/>
  </w:num>
  <w:num w:numId="19" w16cid:durableId="188761350">
    <w:abstractNumId w:val="5"/>
  </w:num>
  <w:num w:numId="20" w16cid:durableId="2123498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1119361">
    <w:abstractNumId w:val="6"/>
  </w:num>
  <w:num w:numId="22" w16cid:durableId="1103264506">
    <w:abstractNumId w:val="2"/>
  </w:num>
  <w:num w:numId="23" w16cid:durableId="1410926562">
    <w:abstractNumId w:val="19"/>
  </w:num>
  <w:num w:numId="24" w16cid:durableId="789209487">
    <w:abstractNumId w:val="17"/>
  </w:num>
  <w:num w:numId="25" w16cid:durableId="136231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FE"/>
    <w:rsid w:val="000C2173"/>
    <w:rsid w:val="000D3DB6"/>
    <w:rsid w:val="001066B8"/>
    <w:rsid w:val="00122A8B"/>
    <w:rsid w:val="00126EAE"/>
    <w:rsid w:val="001920DE"/>
    <w:rsid w:val="001B2C35"/>
    <w:rsid w:val="001B4864"/>
    <w:rsid w:val="001D64E6"/>
    <w:rsid w:val="002628C3"/>
    <w:rsid w:val="00320365"/>
    <w:rsid w:val="00322AA5"/>
    <w:rsid w:val="003A1C2F"/>
    <w:rsid w:val="003A6202"/>
    <w:rsid w:val="00411ABE"/>
    <w:rsid w:val="0042670E"/>
    <w:rsid w:val="004E697F"/>
    <w:rsid w:val="004F4F15"/>
    <w:rsid w:val="00530B73"/>
    <w:rsid w:val="00570AC2"/>
    <w:rsid w:val="005E503D"/>
    <w:rsid w:val="005F165C"/>
    <w:rsid w:val="00675248"/>
    <w:rsid w:val="006B32A5"/>
    <w:rsid w:val="006C59FE"/>
    <w:rsid w:val="006F0F39"/>
    <w:rsid w:val="00734872"/>
    <w:rsid w:val="007876B8"/>
    <w:rsid w:val="007C3C69"/>
    <w:rsid w:val="007D4A16"/>
    <w:rsid w:val="007E3135"/>
    <w:rsid w:val="007E62DB"/>
    <w:rsid w:val="00854215"/>
    <w:rsid w:val="00981ACD"/>
    <w:rsid w:val="009A4554"/>
    <w:rsid w:val="009C395B"/>
    <w:rsid w:val="009F39FA"/>
    <w:rsid w:val="00AA1363"/>
    <w:rsid w:val="00AB5DC3"/>
    <w:rsid w:val="00AC2063"/>
    <w:rsid w:val="00AC3712"/>
    <w:rsid w:val="00B82F8B"/>
    <w:rsid w:val="00BB294B"/>
    <w:rsid w:val="00BD580A"/>
    <w:rsid w:val="00C06E47"/>
    <w:rsid w:val="00CA4D4A"/>
    <w:rsid w:val="00CB137F"/>
    <w:rsid w:val="00CB1FFD"/>
    <w:rsid w:val="00CB5F89"/>
    <w:rsid w:val="00D5274E"/>
    <w:rsid w:val="00D717F8"/>
    <w:rsid w:val="00D74DF7"/>
    <w:rsid w:val="00DB0D6F"/>
    <w:rsid w:val="00E0334C"/>
    <w:rsid w:val="00E76332"/>
    <w:rsid w:val="00E81569"/>
    <w:rsid w:val="00E879BF"/>
    <w:rsid w:val="00E9558A"/>
    <w:rsid w:val="00E964F2"/>
    <w:rsid w:val="00ED7299"/>
    <w:rsid w:val="00F024CA"/>
    <w:rsid w:val="00F745F8"/>
    <w:rsid w:val="00FE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outlineLvl w:val="0"/>
    </w:pPr>
    <w:rPr>
      <w:b/>
      <w:caps/>
      <w:kern w:val="28"/>
    </w:rPr>
  </w:style>
  <w:style w:type="paragraph" w:customStyle="1" w:styleId="AOHead2">
    <w:name w:val="AOHead2"/>
    <w:basedOn w:val="AOHeadings"/>
    <w:next w:val="AODocTxtL1"/>
    <w:pPr>
      <w:keepNext/>
      <w:outlineLvl w:val="1"/>
    </w:pPr>
    <w:rPr>
      <w:b/>
    </w:rPr>
  </w:style>
  <w:style w:type="paragraph" w:customStyle="1" w:styleId="AOHead3">
    <w:name w:val="AOHead3"/>
    <w:basedOn w:val="AOHeadings"/>
    <w:next w:val="AODocTxtL2"/>
    <w:pPr>
      <w:outlineLvl w:val="2"/>
    </w:pPr>
  </w:style>
  <w:style w:type="paragraph" w:customStyle="1" w:styleId="AOHead4">
    <w:name w:val="AOHead4"/>
    <w:basedOn w:val="AOHeadings"/>
    <w:next w:val="AODocTxtL3"/>
    <w:pPr>
      <w:outlineLvl w:val="3"/>
    </w:pPr>
  </w:style>
  <w:style w:type="paragraph" w:customStyle="1" w:styleId="AOHead5">
    <w:name w:val="AOHead5"/>
    <w:basedOn w:val="AOHeadings"/>
    <w:next w:val="AODocTxtL4"/>
    <w:pPr>
      <w:outlineLvl w:val="4"/>
    </w:pPr>
  </w:style>
  <w:style w:type="paragraph" w:customStyle="1" w:styleId="AOHead6">
    <w:name w:val="AOHead6"/>
    <w:basedOn w:val="AOHeadings"/>
    <w:next w:val="AODocTxtL5"/>
    <w:pPr>
      <w:outlineLvl w:val="5"/>
    </w:pPr>
  </w:style>
  <w:style w:type="paragraph" w:customStyle="1" w:styleId="AOAltHead1">
    <w:name w:val="AOAltHead1"/>
    <w:basedOn w:val="AOHead1"/>
    <w:next w:val="AODocTxtL1"/>
    <w:pPr>
      <w:keepNext w:val="0"/>
    </w:pPr>
    <w:rPr>
      <w:b w:val="0"/>
      <w:caps w:val="0"/>
    </w:rPr>
  </w:style>
  <w:style w:type="paragraph" w:customStyle="1" w:styleId="AOAltHead2">
    <w:name w:val="AOAltHead2"/>
    <w:basedOn w:val="AOHead2"/>
    <w:next w:val="AODocTxtL1"/>
    <w:pPr>
      <w:keepNext w:val="0"/>
    </w:pPr>
    <w:rPr>
      <w:b w:val="0"/>
    </w:rPr>
  </w:style>
  <w:style w:type="paragraph" w:customStyle="1" w:styleId="AOAltHead3">
    <w:name w:val="AOAltHead3"/>
    <w:basedOn w:val="AOHead3"/>
    <w:next w:val="AODocTxtL1"/>
    <w:pPr>
      <w:ind w:left="720"/>
    </w:pPr>
  </w:style>
  <w:style w:type="paragraph" w:customStyle="1" w:styleId="AOAltHead4">
    <w:name w:val="AOAltHead4"/>
    <w:basedOn w:val="AOHead4"/>
    <w:next w:val="AODocTxtL2"/>
    <w:pPr>
      <w:ind w:left="1440"/>
    </w:pPr>
  </w:style>
  <w:style w:type="paragraph" w:customStyle="1" w:styleId="AOAltHead5">
    <w:name w:val="AOAltHead5"/>
    <w:basedOn w:val="AOHead5"/>
    <w:next w:val="AODocTxtL3"/>
    <w:pPr>
      <w:ind w:left="2160"/>
    </w:pPr>
  </w:style>
  <w:style w:type="paragraph" w:customStyle="1" w:styleId="AOAltHead6">
    <w:name w:val="AOAltHead6"/>
    <w:basedOn w:val="AOHead6"/>
    <w:next w:val="AODocTxtL4"/>
    <w:pPr>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customStyle="1" w:styleId="WWBodyText3">
    <w:name w:val="WW_BodyText3"/>
    <w:basedOn w:val="WWBodyText"/>
    <w:rsid w:val="00734872"/>
    <w:pPr>
      <w:tabs>
        <w:tab w:val="left" w:pos="3969"/>
        <w:tab w:val="left" w:pos="4536"/>
      </w:tabs>
      <w:ind w:left="1701"/>
    </w:pPr>
  </w:style>
  <w:style w:type="paragraph" w:customStyle="1" w:styleId="Numberedlist">
    <w:name w:val="Numbered list"/>
    <w:basedOn w:val="Normal"/>
    <w:rsid w:val="00734872"/>
    <w:pPr>
      <w:numPr>
        <w:numId w:val="23"/>
      </w:numPr>
      <w:snapToGrid w:val="0"/>
      <w:spacing w:before="240" w:after="120"/>
      <w:ind w:right="-675"/>
    </w:pPr>
    <w:rPr>
      <w:rFonts w:ascii="Verdana" w:eastAsiaTheme="minorEastAsia" w:hAnsi="Verdana" w:cstheme="minorBidi"/>
      <w:color w:val="B23427" w:themeColor="text2"/>
      <w:sz w:val="20"/>
      <w:szCs w:val="20"/>
      <w:lang w:val="en-Z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investors/shareholder-centre/shareholder-meeting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prosus.co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naspers.com/investors/results-reports-events/latest-financial-results"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Dictionary xmlns="http://schemas.business-integrity.com/dealbuilder/2006/dictionary" SavedByVersion="8.10.34622.1" MinimumVersion="7.2.0.0"/>
</file>

<file path=customXml/itemProps1.xml><?xml version="1.0" encoding="utf-8"?>
<ds:datastoreItem xmlns:ds="http://schemas.openxmlformats.org/officeDocument/2006/customXml" ds:itemID="{C9D4C65A-A721-4C40-BF96-40BFD51A16FD}">
  <ds:schemaRefs>
    <ds:schemaRef ds:uri="http://schemas.business-integrity.com/dealbuilder/2006/answers"/>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125D7484-311C-4649-98CC-DED3DB31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Prosus - Buyback announcement - 26 June 2023 - 30 June 2023</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- 26 June 2023 - 30 June 2023</dc:title>
  <dc:creator>Daleen Lowe</dc:creator>
  <cp:lastModifiedBy>Pieter Carnelley</cp:lastModifiedBy>
  <cp:revision>5</cp:revision>
  <dcterms:created xsi:type="dcterms:W3CDTF">2024-07-17T07:39:00Z</dcterms:created>
  <dcterms:modified xsi:type="dcterms:W3CDTF">2024-07-18T15:15:00Z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AAAAAAAJjZE=</vt:lpwstr>
  </property>
  <property fmtid="{D5CDD505-2E9C-101B-9397-08002B2CF9AE}" pid="4" name="db_document_id">
    <vt:lpwstr>10217</vt:lpwstr>
  </property>
  <property fmtid="{D5CDD505-2E9C-101B-9397-08002B2CF9AE}" pid="5" name="MediaServiceImageTags">
    <vt:lpwstr/>
  </property>
</Properties>
</file>