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47B43" w14:textId="77777777" w:rsidR="008D1D2D" w:rsidRDefault="008D1D2D" w:rsidP="008D1D2D">
      <w:pPr>
        <w:pStyle w:val="WWBodyText"/>
        <w:spacing w:after="0" w:line="240" w:lineRule="auto"/>
        <w:jc w:val="center"/>
        <w:rPr>
          <w:rFonts w:ascii="Verdana" w:hAnsi="Verdana"/>
          <w:b/>
          <w:sz w:val="20"/>
          <w:szCs w:val="20"/>
        </w:rPr>
      </w:pPr>
      <w:bookmarkStart w:id="0" w:name="_Hlk144993174"/>
      <w:r>
        <w:rPr>
          <w:rFonts w:ascii="Verdana" w:hAnsi="Verdana"/>
          <w:b/>
          <w:sz w:val="20"/>
          <w:szCs w:val="20"/>
        </w:rPr>
        <w:t>Prosus N.V.</w:t>
      </w:r>
    </w:p>
    <w:p w14:paraId="4E599F2B" w14:textId="77777777" w:rsidR="008D1D2D" w:rsidRDefault="008D1D2D" w:rsidP="008D1D2D">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5F3C08C4" w14:textId="77777777" w:rsidR="008D1D2D" w:rsidRDefault="008D1D2D" w:rsidP="008D1D2D">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1D29205F" w14:textId="77777777" w:rsidR="008D1D2D" w:rsidRDefault="008D1D2D" w:rsidP="008D1D2D">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4DCB95D5" w14:textId="77777777" w:rsidR="008D1D2D" w:rsidRDefault="008D1D2D" w:rsidP="008D1D2D">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6E17CEBB" w14:textId="06803523" w:rsidR="008D1D2D" w:rsidRPr="008D1D2D" w:rsidRDefault="00394F0E" w:rsidP="008D1D2D">
      <w:pPr>
        <w:pStyle w:val="AOHead1"/>
        <w:numPr>
          <w:ilvl w:val="0"/>
          <w:numId w:val="0"/>
        </w:numPr>
        <w:ind w:left="720" w:hanging="720"/>
        <w:jc w:val="center"/>
        <w:rPr>
          <w:rFonts w:ascii="Verdana" w:hAnsi="Verdana"/>
          <w:sz w:val="20"/>
          <w:szCs w:val="20"/>
        </w:rPr>
      </w:pPr>
      <w:r>
        <w:rPr>
          <w:rFonts w:ascii="Verdana" w:hAnsi="Verdana"/>
          <w:sz w:val="20"/>
          <w:szCs w:val="20"/>
        </w:rPr>
        <w:t xml:space="preserve">IMPLEMENTATION OF </w:t>
      </w:r>
      <w:r w:rsidR="002B4422">
        <w:rPr>
          <w:rFonts w:ascii="Verdana" w:hAnsi="Verdana"/>
          <w:sz w:val="20"/>
          <w:szCs w:val="20"/>
        </w:rPr>
        <w:t xml:space="preserve">THE </w:t>
      </w:r>
      <w:r>
        <w:rPr>
          <w:rFonts w:ascii="Verdana" w:hAnsi="Verdana"/>
          <w:sz w:val="20"/>
          <w:szCs w:val="20"/>
        </w:rPr>
        <w:t>PROSUS CAPITALISATION ISSUE</w:t>
      </w:r>
    </w:p>
    <w:p w14:paraId="08C55B9E" w14:textId="24B67FDF" w:rsidR="00B32951" w:rsidRDefault="00394F0E" w:rsidP="006B5F9C">
      <w:pPr>
        <w:pStyle w:val="AODocTxt"/>
        <w:spacing w:after="240"/>
        <w:rPr>
          <w:rFonts w:ascii="Verdana" w:hAnsi="Verdana"/>
          <w:i/>
          <w:iCs/>
          <w:sz w:val="20"/>
          <w:szCs w:val="20"/>
        </w:rPr>
      </w:pPr>
      <w:r w:rsidRPr="00394F0E">
        <w:rPr>
          <w:rFonts w:ascii="Verdana" w:hAnsi="Verdana"/>
          <w:i/>
          <w:iCs/>
          <w:sz w:val="20"/>
          <w:szCs w:val="20"/>
        </w:rPr>
        <w:t>Capitalised terms not defined in this announcement shall have the meaning given to such terms in the circular posted to shareholders of Prosus (</w:t>
      </w:r>
      <w:r w:rsidRPr="00394F0E">
        <w:rPr>
          <w:rFonts w:ascii="Verdana" w:hAnsi="Verdana"/>
          <w:b/>
          <w:bCs/>
          <w:i/>
          <w:iCs/>
          <w:sz w:val="20"/>
          <w:szCs w:val="20"/>
        </w:rPr>
        <w:t>Shareholders</w:t>
      </w:r>
      <w:r w:rsidRPr="00394F0E">
        <w:rPr>
          <w:rFonts w:ascii="Verdana" w:hAnsi="Verdana"/>
          <w:i/>
          <w:iCs/>
          <w:sz w:val="20"/>
          <w:szCs w:val="20"/>
        </w:rPr>
        <w:t>) together with the notice convening the 2023 annual general meeting of Shareholders on Wednesday, 12</w:t>
      </w:r>
      <w:r>
        <w:rPr>
          <w:rFonts w:ascii="Verdana" w:hAnsi="Verdana"/>
          <w:i/>
          <w:iCs/>
          <w:sz w:val="20"/>
          <w:szCs w:val="20"/>
        </w:rPr>
        <w:t> </w:t>
      </w:r>
      <w:r w:rsidRPr="00394F0E">
        <w:rPr>
          <w:rFonts w:ascii="Verdana" w:hAnsi="Verdana"/>
          <w:i/>
          <w:iCs/>
          <w:sz w:val="20"/>
          <w:szCs w:val="20"/>
        </w:rPr>
        <w:t xml:space="preserve">July 2023 (the </w:t>
      </w:r>
      <w:r w:rsidRPr="00394F0E">
        <w:rPr>
          <w:rFonts w:ascii="Verdana" w:hAnsi="Verdana"/>
          <w:b/>
          <w:bCs/>
          <w:i/>
          <w:iCs/>
          <w:sz w:val="20"/>
          <w:szCs w:val="20"/>
        </w:rPr>
        <w:t>Circular</w:t>
      </w:r>
      <w:r w:rsidRPr="00394F0E">
        <w:rPr>
          <w:rFonts w:ascii="Verdana" w:hAnsi="Verdana"/>
          <w:i/>
          <w:iCs/>
          <w:sz w:val="20"/>
          <w:szCs w:val="20"/>
        </w:rPr>
        <w:t>).</w:t>
      </w:r>
      <w:bookmarkStart w:id="1" w:name="_Hlk145250499"/>
    </w:p>
    <w:p w14:paraId="654A47C0" w14:textId="2D3B41E6" w:rsidR="002B4422" w:rsidRDefault="002B4422" w:rsidP="002B4422">
      <w:pPr>
        <w:pStyle w:val="Default"/>
        <w:numPr>
          <w:ilvl w:val="0"/>
          <w:numId w:val="4"/>
        </w:numPr>
        <w:spacing w:after="240"/>
        <w:ind w:hanging="720"/>
        <w:jc w:val="both"/>
        <w:rPr>
          <w:b/>
          <w:bCs/>
          <w:sz w:val="20"/>
          <w:szCs w:val="20"/>
        </w:rPr>
      </w:pPr>
      <w:r w:rsidRPr="00E43FAB">
        <w:rPr>
          <w:b/>
          <w:bCs/>
          <w:sz w:val="20"/>
          <w:szCs w:val="20"/>
        </w:rPr>
        <w:t>INTRODUCTION</w:t>
      </w:r>
    </w:p>
    <w:p w14:paraId="03A26A6B" w14:textId="32C7E20A" w:rsidR="002B4422" w:rsidRDefault="002B4422" w:rsidP="002B4422">
      <w:pPr>
        <w:pStyle w:val="Default"/>
        <w:spacing w:before="240" w:after="240" w:line="260" w:lineRule="auto"/>
        <w:ind w:left="720"/>
        <w:jc w:val="both"/>
        <w:rPr>
          <w:sz w:val="20"/>
          <w:szCs w:val="20"/>
        </w:rPr>
      </w:pPr>
      <w:r>
        <w:rPr>
          <w:sz w:val="20"/>
          <w:szCs w:val="20"/>
        </w:rPr>
        <w:t>Shareholders are referred to the declaration announcement published by Prosus on Friday, 25 August 2023 (</w:t>
      </w:r>
      <w:r w:rsidRPr="00910B2B">
        <w:rPr>
          <w:b/>
          <w:bCs/>
          <w:sz w:val="20"/>
          <w:szCs w:val="20"/>
        </w:rPr>
        <w:t>Declaration Announcement</w:t>
      </w:r>
      <w:r>
        <w:rPr>
          <w:sz w:val="20"/>
          <w:szCs w:val="20"/>
        </w:rPr>
        <w:t>), and the finalisation announcement published by Prosus on Monday, 4 September 2023</w:t>
      </w:r>
      <w:r>
        <w:t xml:space="preserve"> </w:t>
      </w:r>
      <w:r>
        <w:rPr>
          <w:sz w:val="20"/>
          <w:szCs w:val="20"/>
        </w:rPr>
        <w:t>(</w:t>
      </w:r>
      <w:r w:rsidRPr="00D477D3">
        <w:rPr>
          <w:b/>
          <w:bCs/>
          <w:sz w:val="20"/>
          <w:szCs w:val="20"/>
        </w:rPr>
        <w:t>Finalisation Announcement</w:t>
      </w:r>
      <w:r w:rsidRPr="00604D6B">
        <w:rPr>
          <w:sz w:val="20"/>
          <w:szCs w:val="20"/>
        </w:rPr>
        <w:t>)</w:t>
      </w:r>
      <w:r>
        <w:rPr>
          <w:sz w:val="20"/>
          <w:szCs w:val="20"/>
        </w:rPr>
        <w:t xml:space="preserve">, regarding the Prosus Capitalisation Issue in connection with the removal of the Cross-Holding Structure pursuant to the Proposed Transaction. Shareholders are advised to read the Circular (available on Prosus’ website </w:t>
      </w:r>
      <w:hyperlink r:id="rId11" w:history="1">
        <w:r w:rsidRPr="00E740D3">
          <w:rPr>
            <w:rStyle w:val="Hyperlink"/>
            <w:sz w:val="20"/>
            <w:szCs w:val="20"/>
          </w:rPr>
          <w:t>www.prosus.com</w:t>
        </w:r>
      </w:hyperlink>
      <w:r>
        <w:rPr>
          <w:sz w:val="20"/>
          <w:szCs w:val="20"/>
        </w:rPr>
        <w:t>), in conjunction with the Declaration Announcement and the Finalisation Announcement, which contains the terms and conditions of the Proposed Transaction, with care and in full.</w:t>
      </w:r>
    </w:p>
    <w:p w14:paraId="3BBEE57C" w14:textId="6C6DE80B" w:rsidR="002B4422" w:rsidRPr="00E32707" w:rsidRDefault="002B4422" w:rsidP="002B4422">
      <w:pPr>
        <w:pStyle w:val="Default"/>
        <w:numPr>
          <w:ilvl w:val="0"/>
          <w:numId w:val="4"/>
        </w:numPr>
        <w:spacing w:after="240"/>
        <w:ind w:hanging="720"/>
        <w:jc w:val="both"/>
        <w:rPr>
          <w:b/>
          <w:bCs/>
          <w:sz w:val="20"/>
          <w:szCs w:val="20"/>
        </w:rPr>
      </w:pPr>
      <w:r w:rsidRPr="002B4422">
        <w:rPr>
          <w:b/>
          <w:bCs/>
          <w:sz w:val="20"/>
          <w:szCs w:val="20"/>
        </w:rPr>
        <w:t>LISTING AND TRADING IN NEW PROSUS ORDINARY SHARES N</w:t>
      </w:r>
    </w:p>
    <w:bookmarkEnd w:id="1"/>
    <w:p w14:paraId="2D371804" w14:textId="5D9C7730" w:rsidR="00E4633C" w:rsidRPr="002B4422" w:rsidRDefault="003A181A" w:rsidP="002B4422">
      <w:pPr>
        <w:pStyle w:val="AODocTxt"/>
        <w:spacing w:after="240"/>
        <w:ind w:left="720"/>
        <w:rPr>
          <w:rFonts w:ascii="Verdana" w:hAnsi="Verdana" w:cs="Verdana"/>
          <w:color w:val="000000"/>
          <w:sz w:val="20"/>
          <w:szCs w:val="20"/>
        </w:rPr>
      </w:pPr>
      <w:r w:rsidRPr="002B4422">
        <w:rPr>
          <w:rFonts w:ascii="Verdana" w:hAnsi="Verdana" w:cs="Verdana"/>
          <w:color w:val="000000"/>
          <w:sz w:val="20"/>
          <w:szCs w:val="20"/>
        </w:rPr>
        <w:t xml:space="preserve">With effect from </w:t>
      </w:r>
      <w:r w:rsidR="00E4633C" w:rsidRPr="002B4422">
        <w:rPr>
          <w:rFonts w:ascii="Verdana" w:hAnsi="Verdana" w:cs="Verdana"/>
          <w:color w:val="000000"/>
          <w:sz w:val="20"/>
          <w:szCs w:val="20"/>
        </w:rPr>
        <w:t xml:space="preserve">today, Monday, 18 September 2023, the new Prosus Ordinary Shares N were admitted to listing and trading on Euronext Amsterdam, and on the </w:t>
      </w:r>
      <w:r w:rsidRPr="002B4422">
        <w:rPr>
          <w:rFonts w:ascii="Verdana" w:hAnsi="Verdana" w:cs="Verdana"/>
          <w:color w:val="000000"/>
          <w:sz w:val="20"/>
          <w:szCs w:val="20"/>
        </w:rPr>
        <w:t xml:space="preserve">Main Board of the </w:t>
      </w:r>
      <w:r w:rsidR="00E4633C" w:rsidRPr="002B4422">
        <w:rPr>
          <w:rFonts w:ascii="Verdana" w:hAnsi="Verdana" w:cs="Verdana"/>
          <w:color w:val="000000"/>
          <w:sz w:val="20"/>
          <w:szCs w:val="20"/>
        </w:rPr>
        <w:t xml:space="preserve">JSE and </w:t>
      </w:r>
      <w:r w:rsidRPr="002B4422">
        <w:rPr>
          <w:rFonts w:ascii="Verdana" w:hAnsi="Verdana" w:cs="Verdana"/>
          <w:color w:val="000000"/>
          <w:sz w:val="20"/>
          <w:szCs w:val="20"/>
        </w:rPr>
        <w:t xml:space="preserve">on </w:t>
      </w:r>
      <w:r w:rsidR="00E4633C" w:rsidRPr="002B4422">
        <w:rPr>
          <w:rFonts w:ascii="Verdana" w:hAnsi="Verdana" w:cs="Verdana"/>
          <w:color w:val="000000"/>
          <w:sz w:val="20"/>
          <w:szCs w:val="20"/>
        </w:rPr>
        <w:t>A2X, as secondary listing</w:t>
      </w:r>
      <w:r w:rsidRPr="002B4422">
        <w:rPr>
          <w:rFonts w:ascii="Verdana" w:hAnsi="Verdana" w:cs="Verdana"/>
          <w:color w:val="000000"/>
          <w:sz w:val="20"/>
          <w:szCs w:val="20"/>
        </w:rPr>
        <w:t>s</w:t>
      </w:r>
      <w:r w:rsidR="00E4633C" w:rsidRPr="002B4422">
        <w:rPr>
          <w:rFonts w:ascii="Verdana" w:hAnsi="Verdana" w:cs="Verdana"/>
          <w:color w:val="000000"/>
          <w:sz w:val="20"/>
          <w:szCs w:val="20"/>
        </w:rPr>
        <w:t xml:space="preserve">. </w:t>
      </w:r>
    </w:p>
    <w:p w14:paraId="3A2CDDC5" w14:textId="727B6CE0" w:rsidR="003A181A" w:rsidRPr="002B4422" w:rsidRDefault="003A181A" w:rsidP="002B4422">
      <w:pPr>
        <w:pStyle w:val="AODocTxt"/>
        <w:spacing w:after="240"/>
        <w:ind w:left="720"/>
        <w:rPr>
          <w:rFonts w:ascii="Verdana" w:hAnsi="Verdana" w:cs="Verdana"/>
          <w:color w:val="000000"/>
          <w:sz w:val="20"/>
          <w:szCs w:val="20"/>
        </w:rPr>
      </w:pPr>
      <w:r w:rsidRPr="002B4422">
        <w:rPr>
          <w:rFonts w:ascii="Verdana" w:hAnsi="Verdana" w:cs="Verdana"/>
          <w:color w:val="000000"/>
          <w:sz w:val="20"/>
          <w:szCs w:val="20"/>
        </w:rPr>
        <w:t>Prosus Ordinary Shares N will continue trading on Euronext Amsterdam and, as secondary listings, on the Main Board of the JSE and A2X, with ISIN NL0013654783 under the abbreviated name “Prosus” and the symbol / share code “PRX”.</w:t>
      </w:r>
    </w:p>
    <w:p w14:paraId="0BC94146" w14:textId="35950865" w:rsidR="003A181A" w:rsidRPr="00285E1B" w:rsidRDefault="002B4422" w:rsidP="002B4422">
      <w:pPr>
        <w:pStyle w:val="Default"/>
        <w:numPr>
          <w:ilvl w:val="0"/>
          <w:numId w:val="4"/>
        </w:numPr>
        <w:spacing w:after="240"/>
        <w:ind w:hanging="720"/>
        <w:jc w:val="both"/>
        <w:rPr>
          <w:b/>
          <w:bCs/>
          <w:sz w:val="20"/>
          <w:szCs w:val="20"/>
        </w:rPr>
      </w:pPr>
      <w:r>
        <w:rPr>
          <w:b/>
          <w:bCs/>
          <w:sz w:val="20"/>
          <w:szCs w:val="20"/>
        </w:rPr>
        <w:t xml:space="preserve">IMPLEMENTATION OF </w:t>
      </w:r>
      <w:r w:rsidR="00947BFD">
        <w:rPr>
          <w:b/>
          <w:bCs/>
          <w:sz w:val="20"/>
          <w:szCs w:val="20"/>
        </w:rPr>
        <w:t xml:space="preserve">THE </w:t>
      </w:r>
      <w:r>
        <w:rPr>
          <w:b/>
          <w:bCs/>
          <w:sz w:val="20"/>
          <w:szCs w:val="20"/>
        </w:rPr>
        <w:t xml:space="preserve">PROSUS CAPITALISATION ISSUE </w:t>
      </w:r>
    </w:p>
    <w:p w14:paraId="6D1BF553" w14:textId="306B676F" w:rsidR="00E4633C" w:rsidRDefault="003A181A" w:rsidP="002B4422">
      <w:pPr>
        <w:pStyle w:val="AODocTxt"/>
        <w:spacing w:after="240"/>
        <w:ind w:left="720"/>
        <w:rPr>
          <w:rFonts w:ascii="Verdana" w:hAnsi="Verdana"/>
          <w:sz w:val="20"/>
          <w:szCs w:val="20"/>
        </w:rPr>
      </w:pPr>
      <w:r>
        <w:rPr>
          <w:rFonts w:ascii="Verdana" w:hAnsi="Verdana"/>
          <w:sz w:val="20"/>
          <w:szCs w:val="20"/>
        </w:rPr>
        <w:t xml:space="preserve">The Prosus Board is pleased to announce </w:t>
      </w:r>
      <w:r w:rsidRPr="008D1D2D">
        <w:rPr>
          <w:rFonts w:ascii="Verdana" w:hAnsi="Verdana"/>
          <w:sz w:val="20"/>
          <w:szCs w:val="20"/>
        </w:rPr>
        <w:t>that</w:t>
      </w:r>
      <w:r>
        <w:rPr>
          <w:rFonts w:ascii="Verdana" w:hAnsi="Verdana"/>
          <w:sz w:val="20"/>
          <w:szCs w:val="20"/>
        </w:rPr>
        <w:t>,</w:t>
      </w:r>
      <w:r w:rsidRPr="008D1D2D">
        <w:rPr>
          <w:rFonts w:ascii="Verdana" w:hAnsi="Verdana"/>
          <w:sz w:val="20"/>
          <w:szCs w:val="20"/>
        </w:rPr>
        <w:t xml:space="preserve"> </w:t>
      </w:r>
      <w:r>
        <w:rPr>
          <w:rFonts w:ascii="Verdana" w:hAnsi="Verdana"/>
          <w:sz w:val="20"/>
          <w:szCs w:val="20"/>
        </w:rPr>
        <w:t>following the admission to listing and trading of the new Prosus Ordinary Shares N</w:t>
      </w:r>
      <w:r w:rsidR="00E4633C">
        <w:rPr>
          <w:rFonts w:ascii="Verdana" w:hAnsi="Verdana"/>
          <w:sz w:val="20"/>
          <w:szCs w:val="20"/>
        </w:rPr>
        <w:t xml:space="preserve">, </w:t>
      </w:r>
      <w:r w:rsidR="008D1D2D" w:rsidRPr="008D1D2D">
        <w:rPr>
          <w:rFonts w:ascii="Verdana" w:hAnsi="Verdana"/>
          <w:sz w:val="20"/>
          <w:szCs w:val="20"/>
        </w:rPr>
        <w:t xml:space="preserve">the </w:t>
      </w:r>
      <w:r w:rsidR="00394F0E">
        <w:rPr>
          <w:rFonts w:ascii="Verdana" w:hAnsi="Verdana"/>
          <w:sz w:val="20"/>
          <w:szCs w:val="20"/>
        </w:rPr>
        <w:t>Prosus Capitalisation Issue</w:t>
      </w:r>
      <w:r w:rsidR="002B4422">
        <w:rPr>
          <w:rFonts w:ascii="Verdana" w:hAnsi="Verdana"/>
          <w:sz w:val="20"/>
          <w:szCs w:val="20"/>
        </w:rPr>
        <w:t xml:space="preserve"> was</w:t>
      </w:r>
      <w:r w:rsidR="00CD3F70">
        <w:rPr>
          <w:rFonts w:ascii="Verdana" w:hAnsi="Verdana"/>
          <w:sz w:val="20"/>
          <w:szCs w:val="20"/>
        </w:rPr>
        <w:t xml:space="preserve"> successfully</w:t>
      </w:r>
      <w:r w:rsidR="008D1D2D" w:rsidRPr="008D1D2D">
        <w:rPr>
          <w:rFonts w:ascii="Verdana" w:hAnsi="Verdana"/>
          <w:sz w:val="20"/>
          <w:szCs w:val="20"/>
        </w:rPr>
        <w:t xml:space="preserve"> implemented today, </w:t>
      </w:r>
      <w:r w:rsidR="00CD3F70">
        <w:rPr>
          <w:rFonts w:ascii="Verdana" w:hAnsi="Verdana"/>
          <w:sz w:val="20"/>
          <w:szCs w:val="20"/>
        </w:rPr>
        <w:t xml:space="preserve">Monday, </w:t>
      </w:r>
      <w:r w:rsidR="00394F0E">
        <w:rPr>
          <w:rFonts w:ascii="Verdana" w:hAnsi="Verdana"/>
          <w:sz w:val="20"/>
          <w:szCs w:val="20"/>
        </w:rPr>
        <w:t>18 September 2023</w:t>
      </w:r>
      <w:r w:rsidR="002B4422">
        <w:rPr>
          <w:rFonts w:ascii="Verdana" w:hAnsi="Verdana"/>
          <w:sz w:val="20"/>
          <w:szCs w:val="20"/>
        </w:rPr>
        <w:t xml:space="preserve">, resulting in the issuance of Prosus Shares in accordance with the </w:t>
      </w:r>
      <w:r w:rsidR="0033420A">
        <w:rPr>
          <w:rFonts w:ascii="Verdana" w:hAnsi="Verdana"/>
          <w:sz w:val="20"/>
          <w:szCs w:val="20"/>
        </w:rPr>
        <w:t>e</w:t>
      </w:r>
      <w:r w:rsidR="002B4422">
        <w:rPr>
          <w:rFonts w:ascii="Verdana" w:hAnsi="Verdana"/>
          <w:sz w:val="20"/>
          <w:szCs w:val="20"/>
        </w:rPr>
        <w:t xml:space="preserve">ntitlement </w:t>
      </w:r>
      <w:r w:rsidR="0033420A">
        <w:rPr>
          <w:rFonts w:ascii="Verdana" w:hAnsi="Verdana"/>
          <w:sz w:val="20"/>
          <w:szCs w:val="20"/>
        </w:rPr>
        <w:t>r</w:t>
      </w:r>
      <w:r w:rsidR="002B4422">
        <w:rPr>
          <w:rFonts w:ascii="Verdana" w:hAnsi="Verdana"/>
          <w:sz w:val="20"/>
          <w:szCs w:val="20"/>
        </w:rPr>
        <w:t xml:space="preserve">atios as </w:t>
      </w:r>
      <w:r w:rsidR="00827C59">
        <w:rPr>
          <w:rFonts w:ascii="Verdana" w:hAnsi="Verdana"/>
          <w:sz w:val="20"/>
          <w:szCs w:val="20"/>
        </w:rPr>
        <w:t>outlined</w:t>
      </w:r>
      <w:r w:rsidR="00DD1622">
        <w:rPr>
          <w:rFonts w:ascii="Verdana" w:hAnsi="Verdana"/>
          <w:sz w:val="20"/>
          <w:szCs w:val="20"/>
        </w:rPr>
        <w:t xml:space="preserve"> in the Finalisation Announcement.</w:t>
      </w:r>
    </w:p>
    <w:p w14:paraId="0E861C2C" w14:textId="51AA995D" w:rsidR="0033420A" w:rsidRPr="00285E1B" w:rsidRDefault="00947BFD" w:rsidP="0033420A">
      <w:pPr>
        <w:pStyle w:val="Default"/>
        <w:numPr>
          <w:ilvl w:val="0"/>
          <w:numId w:val="4"/>
        </w:numPr>
        <w:spacing w:after="240"/>
        <w:ind w:hanging="720"/>
        <w:jc w:val="both"/>
        <w:rPr>
          <w:b/>
          <w:bCs/>
          <w:sz w:val="20"/>
          <w:szCs w:val="20"/>
        </w:rPr>
      </w:pPr>
      <w:r>
        <w:rPr>
          <w:b/>
          <w:bCs/>
          <w:sz w:val="20"/>
          <w:szCs w:val="20"/>
        </w:rPr>
        <w:t xml:space="preserve">SETTLEMENT OF THE </w:t>
      </w:r>
      <w:r w:rsidR="0033420A">
        <w:rPr>
          <w:b/>
          <w:bCs/>
          <w:sz w:val="20"/>
          <w:szCs w:val="20"/>
        </w:rPr>
        <w:t xml:space="preserve">FRACTIONAL ENTITLEMENTS </w:t>
      </w:r>
    </w:p>
    <w:p w14:paraId="6FD15C10" w14:textId="60192D18" w:rsidR="00F749B2" w:rsidRDefault="0033420A" w:rsidP="002B4422">
      <w:pPr>
        <w:pStyle w:val="AODocTxt"/>
        <w:spacing w:after="240"/>
        <w:ind w:left="720"/>
        <w:rPr>
          <w:rFonts w:ascii="Verdana" w:hAnsi="Verdana"/>
          <w:sz w:val="20"/>
          <w:szCs w:val="20"/>
        </w:rPr>
      </w:pPr>
      <w:r>
        <w:rPr>
          <w:rFonts w:ascii="Verdana" w:hAnsi="Verdana"/>
          <w:sz w:val="20"/>
          <w:szCs w:val="20"/>
        </w:rPr>
        <w:t xml:space="preserve">As outlined in the Finalisation Announcement, where </w:t>
      </w:r>
      <w:r w:rsidRPr="0033420A">
        <w:rPr>
          <w:rFonts w:ascii="Verdana" w:hAnsi="Verdana"/>
          <w:sz w:val="20"/>
          <w:szCs w:val="20"/>
        </w:rPr>
        <w:t>fractional entitlements to Prosus Ordinary Shares N ar</w:t>
      </w:r>
      <w:r>
        <w:rPr>
          <w:rFonts w:ascii="Verdana" w:hAnsi="Verdana"/>
          <w:sz w:val="20"/>
          <w:szCs w:val="20"/>
        </w:rPr>
        <w:t>ose</w:t>
      </w:r>
      <w:r w:rsidRPr="0033420A">
        <w:rPr>
          <w:rFonts w:ascii="Verdana" w:hAnsi="Verdana"/>
          <w:sz w:val="20"/>
          <w:szCs w:val="20"/>
        </w:rPr>
        <w:t xml:space="preserve"> pursuant to the Prosus Capitalisation Issue, such fractions </w:t>
      </w:r>
      <w:r>
        <w:rPr>
          <w:rFonts w:ascii="Verdana" w:hAnsi="Verdana"/>
          <w:sz w:val="20"/>
          <w:szCs w:val="20"/>
        </w:rPr>
        <w:t>were</w:t>
      </w:r>
      <w:r w:rsidRPr="0033420A">
        <w:rPr>
          <w:rFonts w:ascii="Verdana" w:hAnsi="Verdana"/>
          <w:sz w:val="20"/>
          <w:szCs w:val="20"/>
        </w:rPr>
        <w:t xml:space="preserve"> rounded down to the nearest whole number </w:t>
      </w:r>
      <w:r>
        <w:rPr>
          <w:rFonts w:ascii="Verdana" w:hAnsi="Verdana"/>
          <w:sz w:val="20"/>
          <w:szCs w:val="20"/>
        </w:rPr>
        <w:t>and</w:t>
      </w:r>
      <w:r w:rsidRPr="0033420A">
        <w:rPr>
          <w:rFonts w:ascii="Verdana" w:hAnsi="Verdana"/>
          <w:sz w:val="20"/>
          <w:szCs w:val="20"/>
        </w:rPr>
        <w:t xml:space="preserve"> any remaining fractional entitlements to Prosus Ordinary Shares N </w:t>
      </w:r>
      <w:r>
        <w:rPr>
          <w:rFonts w:ascii="Verdana" w:hAnsi="Verdana"/>
          <w:sz w:val="20"/>
          <w:szCs w:val="20"/>
        </w:rPr>
        <w:t>were</w:t>
      </w:r>
      <w:r w:rsidRPr="0033420A">
        <w:rPr>
          <w:rFonts w:ascii="Verdana" w:hAnsi="Verdana"/>
          <w:sz w:val="20"/>
          <w:szCs w:val="20"/>
        </w:rPr>
        <w:t xml:space="preserve"> </w:t>
      </w:r>
      <w:r w:rsidR="00DD571E">
        <w:rPr>
          <w:rFonts w:ascii="Verdana" w:hAnsi="Verdana"/>
          <w:sz w:val="20"/>
          <w:szCs w:val="20"/>
        </w:rPr>
        <w:t>settled in cash for</w:t>
      </w:r>
      <w:r w:rsidR="00536C92">
        <w:rPr>
          <w:rFonts w:ascii="Verdana" w:hAnsi="Verdana"/>
          <w:sz w:val="20"/>
          <w:szCs w:val="20"/>
        </w:rPr>
        <w:t xml:space="preserve"> the </w:t>
      </w:r>
      <w:r w:rsidR="00F749B2">
        <w:rPr>
          <w:rFonts w:ascii="Verdana" w:hAnsi="Verdana"/>
          <w:sz w:val="20"/>
          <w:szCs w:val="20"/>
        </w:rPr>
        <w:t xml:space="preserve">Prosus Free-Float </w:t>
      </w:r>
      <w:r w:rsidR="00536C92">
        <w:rPr>
          <w:rFonts w:ascii="Verdana" w:hAnsi="Verdana"/>
          <w:sz w:val="20"/>
          <w:szCs w:val="20"/>
        </w:rPr>
        <w:t>Shareholders</w:t>
      </w:r>
      <w:r w:rsidR="00F749B2">
        <w:rPr>
          <w:rFonts w:ascii="Verdana" w:hAnsi="Verdana"/>
          <w:sz w:val="20"/>
          <w:szCs w:val="20"/>
        </w:rPr>
        <w:t xml:space="preserve"> who held Prosus Ordinary Shares N on Euronext Amsterdam on the Transaction Record Date (</w:t>
      </w:r>
      <w:r w:rsidR="00F749B2">
        <w:rPr>
          <w:rFonts w:ascii="Verdana" w:hAnsi="Verdana"/>
          <w:b/>
          <w:bCs/>
          <w:sz w:val="20"/>
          <w:szCs w:val="20"/>
        </w:rPr>
        <w:t>Euronext Free-Float Shareholders</w:t>
      </w:r>
      <w:r w:rsidR="00F749B2">
        <w:rPr>
          <w:rFonts w:ascii="Verdana" w:hAnsi="Verdana"/>
          <w:sz w:val="20"/>
          <w:szCs w:val="20"/>
        </w:rPr>
        <w:t xml:space="preserve">) and the Shareholders </w:t>
      </w:r>
      <w:r w:rsidR="00F749B2">
        <w:rPr>
          <w:rFonts w:ascii="Verdana" w:hAnsi="Verdana"/>
          <w:sz w:val="20"/>
          <w:szCs w:val="20"/>
        </w:rPr>
        <w:lastRenderedPageBreak/>
        <w:t xml:space="preserve">who held </w:t>
      </w:r>
      <w:r w:rsidR="00F749B2" w:rsidRPr="00F749B2">
        <w:rPr>
          <w:rFonts w:ascii="Verdana" w:hAnsi="Verdana"/>
          <w:sz w:val="20"/>
          <w:szCs w:val="20"/>
        </w:rPr>
        <w:t>Prosus Ordinary Shares N on the JSE and A2X on the Transaction Record Date (</w:t>
      </w:r>
      <w:r w:rsidR="00F749B2" w:rsidRPr="00F749B2">
        <w:rPr>
          <w:rFonts w:ascii="Verdana" w:hAnsi="Verdana"/>
          <w:b/>
          <w:bCs/>
          <w:sz w:val="20"/>
          <w:szCs w:val="20"/>
        </w:rPr>
        <w:t>JSE Free-Float Shareholders</w:t>
      </w:r>
      <w:r w:rsidR="00F749B2" w:rsidRPr="00F749B2">
        <w:rPr>
          <w:rFonts w:ascii="Verdana" w:hAnsi="Verdana"/>
          <w:sz w:val="20"/>
          <w:szCs w:val="20"/>
        </w:rPr>
        <w:t>)</w:t>
      </w:r>
      <w:r w:rsidRPr="0033420A">
        <w:rPr>
          <w:rFonts w:ascii="Verdana" w:hAnsi="Verdana"/>
          <w:sz w:val="20"/>
          <w:szCs w:val="20"/>
        </w:rPr>
        <w:t>.</w:t>
      </w:r>
      <w:r>
        <w:rPr>
          <w:rFonts w:ascii="Verdana" w:hAnsi="Verdana"/>
          <w:sz w:val="20"/>
          <w:szCs w:val="20"/>
        </w:rPr>
        <w:t xml:space="preserve"> </w:t>
      </w:r>
    </w:p>
    <w:p w14:paraId="4FB55C9E" w14:textId="534B36D8" w:rsidR="007C7909" w:rsidRDefault="007C7909" w:rsidP="002B4422">
      <w:pPr>
        <w:pStyle w:val="AODocTxt"/>
        <w:spacing w:after="240"/>
        <w:ind w:left="720"/>
        <w:rPr>
          <w:rFonts w:ascii="Verdana" w:hAnsi="Verdana"/>
          <w:sz w:val="20"/>
          <w:szCs w:val="20"/>
        </w:rPr>
      </w:pPr>
      <w:r>
        <w:rPr>
          <w:rFonts w:ascii="Verdana" w:hAnsi="Verdana"/>
          <w:sz w:val="20"/>
          <w:szCs w:val="20"/>
        </w:rPr>
        <w:t xml:space="preserve">As outlined in the Finalisation Announcement, the relevant Euronext Free-Float Shareholders were informed today, Monday, 18 September 2023, by their brokers or nominees that the cash value payable to the relevant Euronext Free-Float Shareholders in respect of any fractional entitlements is EUR </w:t>
      </w:r>
      <w:r w:rsidR="006B5F9C">
        <w:rPr>
          <w:rFonts w:ascii="Verdana" w:hAnsi="Verdana"/>
          <w:sz w:val="20"/>
          <w:szCs w:val="20"/>
        </w:rPr>
        <w:t xml:space="preserve">29.53 </w:t>
      </w:r>
      <w:r w:rsidR="00DD571E">
        <w:rPr>
          <w:rFonts w:ascii="Verdana" w:hAnsi="Verdana"/>
          <w:sz w:val="20"/>
          <w:szCs w:val="20"/>
        </w:rPr>
        <w:t>per Prosus Ordinary Share N</w:t>
      </w:r>
      <w:r>
        <w:rPr>
          <w:rFonts w:ascii="Verdana" w:hAnsi="Verdana"/>
          <w:sz w:val="20"/>
          <w:szCs w:val="20"/>
        </w:rPr>
        <w:t xml:space="preserve">. </w:t>
      </w:r>
      <w:r w:rsidR="00DD571E">
        <w:rPr>
          <w:rFonts w:ascii="Verdana" w:hAnsi="Verdana"/>
          <w:sz w:val="20"/>
          <w:szCs w:val="20"/>
        </w:rPr>
        <w:t xml:space="preserve">Any such cash entitlement was </w:t>
      </w:r>
      <w:r>
        <w:rPr>
          <w:rFonts w:ascii="Verdana" w:hAnsi="Verdana"/>
          <w:sz w:val="20"/>
          <w:szCs w:val="20"/>
        </w:rPr>
        <w:t xml:space="preserve">paid today, Monday, 18 September 2023, to the relevant Euronext Free-Float Shareholders </w:t>
      </w:r>
      <w:r w:rsidRPr="007C7909">
        <w:rPr>
          <w:rFonts w:ascii="Verdana" w:hAnsi="Verdana"/>
          <w:sz w:val="20"/>
          <w:szCs w:val="20"/>
        </w:rPr>
        <w:t>in</w:t>
      </w:r>
      <w:r>
        <w:rPr>
          <w:rFonts w:ascii="Verdana" w:hAnsi="Verdana"/>
          <w:sz w:val="20"/>
          <w:szCs w:val="20"/>
        </w:rPr>
        <w:t>to</w:t>
      </w:r>
      <w:r w:rsidRPr="007C7909">
        <w:rPr>
          <w:rFonts w:ascii="Verdana" w:hAnsi="Verdana"/>
          <w:sz w:val="20"/>
          <w:szCs w:val="20"/>
        </w:rPr>
        <w:t xml:space="preserve"> their custodian / brokerage accounts or to a nominee account to be held on behalf and for the benefit of the relevant </w:t>
      </w:r>
      <w:r>
        <w:rPr>
          <w:rFonts w:ascii="Verdana" w:hAnsi="Verdana"/>
          <w:sz w:val="20"/>
          <w:szCs w:val="20"/>
        </w:rPr>
        <w:t>Euronext</w:t>
      </w:r>
      <w:r w:rsidRPr="007C7909">
        <w:rPr>
          <w:rFonts w:ascii="Verdana" w:hAnsi="Verdana"/>
          <w:sz w:val="20"/>
          <w:szCs w:val="20"/>
        </w:rPr>
        <w:t xml:space="preserve"> Free-Float Shareholders.</w:t>
      </w:r>
      <w:r>
        <w:rPr>
          <w:rFonts w:ascii="Verdana" w:hAnsi="Verdana"/>
          <w:sz w:val="20"/>
          <w:szCs w:val="20"/>
        </w:rPr>
        <w:t xml:space="preserve"> </w:t>
      </w:r>
    </w:p>
    <w:p w14:paraId="5A9C0EC7" w14:textId="607CFB98" w:rsidR="00F749B2" w:rsidRDefault="00F749B2" w:rsidP="002B4422">
      <w:pPr>
        <w:pStyle w:val="AODocTxt"/>
        <w:spacing w:after="240"/>
        <w:ind w:left="720"/>
        <w:rPr>
          <w:rFonts w:ascii="Verdana" w:hAnsi="Verdana"/>
          <w:sz w:val="20"/>
          <w:szCs w:val="20"/>
        </w:rPr>
      </w:pPr>
      <w:r>
        <w:rPr>
          <w:rFonts w:ascii="Verdana" w:hAnsi="Verdana"/>
          <w:sz w:val="20"/>
          <w:szCs w:val="20"/>
        </w:rPr>
        <w:t xml:space="preserve">As outlined in the fractional entitlement announcement published by Prosus on Thursday, 14 September 2023, the cash value </w:t>
      </w:r>
      <w:r w:rsidR="007C7909">
        <w:rPr>
          <w:rFonts w:ascii="Verdana" w:hAnsi="Verdana"/>
          <w:sz w:val="20"/>
          <w:szCs w:val="20"/>
        </w:rPr>
        <w:t xml:space="preserve">payable </w:t>
      </w:r>
      <w:r>
        <w:rPr>
          <w:rFonts w:ascii="Verdana" w:hAnsi="Verdana"/>
          <w:sz w:val="20"/>
          <w:szCs w:val="20"/>
        </w:rPr>
        <w:t xml:space="preserve">to the relevant </w:t>
      </w:r>
      <w:r w:rsidR="00DD571E">
        <w:rPr>
          <w:rFonts w:ascii="Verdana" w:hAnsi="Verdana"/>
          <w:sz w:val="20"/>
          <w:szCs w:val="20"/>
        </w:rPr>
        <w:t xml:space="preserve">JSE </w:t>
      </w:r>
      <w:r>
        <w:rPr>
          <w:rFonts w:ascii="Verdana" w:hAnsi="Verdana"/>
          <w:sz w:val="20"/>
          <w:szCs w:val="20"/>
        </w:rPr>
        <w:t xml:space="preserve">Free-Float Shareholders </w:t>
      </w:r>
      <w:r w:rsidR="007C7909">
        <w:rPr>
          <w:rFonts w:ascii="Verdana" w:hAnsi="Verdana"/>
          <w:sz w:val="20"/>
          <w:szCs w:val="20"/>
        </w:rPr>
        <w:t xml:space="preserve">in respect of any fractional entitlements is ZAR </w:t>
      </w:r>
      <w:r w:rsidR="006B5F9C" w:rsidRPr="006B5F9C">
        <w:rPr>
          <w:rFonts w:ascii="Verdana" w:hAnsi="Verdana"/>
          <w:sz w:val="20"/>
          <w:szCs w:val="20"/>
        </w:rPr>
        <w:t>cents 53,761.55355</w:t>
      </w:r>
      <w:r w:rsidR="00DD571E">
        <w:rPr>
          <w:rFonts w:ascii="Verdana" w:hAnsi="Verdana"/>
          <w:sz w:val="20"/>
          <w:szCs w:val="20"/>
        </w:rPr>
        <w:t xml:space="preserve"> per Prosus Ordinary Share N</w:t>
      </w:r>
      <w:r w:rsidR="007C7909">
        <w:rPr>
          <w:rFonts w:ascii="Verdana" w:hAnsi="Verdana"/>
          <w:sz w:val="20"/>
          <w:szCs w:val="20"/>
        </w:rPr>
        <w:t xml:space="preserve">. </w:t>
      </w:r>
      <w:r w:rsidR="00DD571E">
        <w:rPr>
          <w:rFonts w:ascii="Verdana" w:hAnsi="Verdana"/>
          <w:sz w:val="20"/>
          <w:szCs w:val="20"/>
        </w:rPr>
        <w:t>Any such cash entitlement was paid today</w:t>
      </w:r>
      <w:r w:rsidR="007C7909">
        <w:rPr>
          <w:rFonts w:ascii="Verdana" w:hAnsi="Verdana"/>
          <w:sz w:val="20"/>
          <w:szCs w:val="20"/>
        </w:rPr>
        <w:t xml:space="preserve">, Monday, 18 September 2023, to the relevant JSE Free-Float Shareholders </w:t>
      </w:r>
      <w:r w:rsidR="007C7909" w:rsidRPr="007C7909">
        <w:rPr>
          <w:rFonts w:ascii="Verdana" w:hAnsi="Verdana"/>
          <w:sz w:val="20"/>
          <w:szCs w:val="20"/>
        </w:rPr>
        <w:t>in</w:t>
      </w:r>
      <w:r w:rsidR="007C7909">
        <w:rPr>
          <w:rFonts w:ascii="Verdana" w:hAnsi="Verdana"/>
          <w:sz w:val="20"/>
          <w:szCs w:val="20"/>
        </w:rPr>
        <w:t>to</w:t>
      </w:r>
      <w:r w:rsidR="007C7909" w:rsidRPr="007C7909">
        <w:rPr>
          <w:rFonts w:ascii="Verdana" w:hAnsi="Verdana"/>
          <w:sz w:val="20"/>
          <w:szCs w:val="20"/>
        </w:rPr>
        <w:t xml:space="preserve"> their custodian / brokerage accounts or to a nominee account to be held on behalf and for the benefit of the relevant JSE Free-Float Shareholders.</w:t>
      </w:r>
    </w:p>
    <w:p w14:paraId="7881CAE9" w14:textId="62CC5504" w:rsidR="00DD571E" w:rsidRDefault="00DD571E" w:rsidP="002B4422">
      <w:pPr>
        <w:pStyle w:val="AODocTxt"/>
        <w:spacing w:after="240"/>
        <w:ind w:left="720"/>
        <w:rPr>
          <w:rFonts w:ascii="Verdana" w:hAnsi="Verdana"/>
          <w:sz w:val="20"/>
          <w:szCs w:val="20"/>
        </w:rPr>
      </w:pPr>
      <w:r>
        <w:rPr>
          <w:rFonts w:ascii="Verdana" w:hAnsi="Verdana"/>
          <w:sz w:val="20"/>
          <w:szCs w:val="20"/>
        </w:rPr>
        <w:t xml:space="preserve">Prosus funded the cash payments as outlined above by selling the Prosus Ordinary Shares N representing the aggregate fractional entitlements </w:t>
      </w:r>
      <w:r w:rsidRPr="0033420A">
        <w:rPr>
          <w:rFonts w:ascii="Verdana" w:hAnsi="Verdana"/>
          <w:sz w:val="20"/>
          <w:szCs w:val="20"/>
        </w:rPr>
        <w:t>to Prosus Ordinary Shares N</w:t>
      </w:r>
      <w:r>
        <w:rPr>
          <w:rFonts w:ascii="Verdana" w:hAnsi="Verdana"/>
          <w:sz w:val="20"/>
          <w:szCs w:val="20"/>
        </w:rPr>
        <w:t xml:space="preserve"> in the market today, Monday, 18 September 2023</w:t>
      </w:r>
      <w:r w:rsidR="00A27FE0">
        <w:rPr>
          <w:rFonts w:ascii="Verdana" w:hAnsi="Verdana"/>
          <w:sz w:val="20"/>
          <w:szCs w:val="20"/>
        </w:rPr>
        <w:t>, on behalf of the relevant Prosus Free-Float Shareholders</w:t>
      </w:r>
      <w:r>
        <w:rPr>
          <w:rFonts w:ascii="Verdana" w:hAnsi="Verdana"/>
          <w:sz w:val="20"/>
          <w:szCs w:val="20"/>
        </w:rPr>
        <w:t xml:space="preserve">. </w:t>
      </w:r>
    </w:p>
    <w:p w14:paraId="0F893421" w14:textId="15D3079C" w:rsidR="00DD1622" w:rsidRDefault="00947BFD" w:rsidP="00DD1622">
      <w:pPr>
        <w:pStyle w:val="Default"/>
        <w:numPr>
          <w:ilvl w:val="0"/>
          <w:numId w:val="4"/>
        </w:numPr>
        <w:spacing w:after="240"/>
        <w:ind w:hanging="720"/>
        <w:jc w:val="both"/>
        <w:rPr>
          <w:b/>
          <w:bCs/>
          <w:sz w:val="20"/>
          <w:szCs w:val="20"/>
        </w:rPr>
      </w:pPr>
      <w:r>
        <w:rPr>
          <w:b/>
          <w:bCs/>
          <w:sz w:val="20"/>
          <w:szCs w:val="20"/>
        </w:rPr>
        <w:t xml:space="preserve">THE </w:t>
      </w:r>
      <w:r w:rsidR="00DD1622">
        <w:rPr>
          <w:b/>
          <w:bCs/>
          <w:sz w:val="20"/>
          <w:szCs w:val="20"/>
        </w:rPr>
        <w:t>PROSUS DISPOSAL</w:t>
      </w:r>
    </w:p>
    <w:p w14:paraId="08382E17" w14:textId="1FC55AE7" w:rsidR="00636DB3" w:rsidRDefault="00DD1622" w:rsidP="009C19DF">
      <w:pPr>
        <w:pStyle w:val="AODocTxt"/>
        <w:spacing w:after="240"/>
        <w:ind w:left="720"/>
        <w:rPr>
          <w:rFonts w:ascii="Verdana" w:hAnsi="Verdana"/>
          <w:sz w:val="20"/>
          <w:szCs w:val="20"/>
        </w:rPr>
      </w:pPr>
      <w:r>
        <w:rPr>
          <w:rFonts w:ascii="Verdana" w:hAnsi="Verdana"/>
          <w:sz w:val="20"/>
          <w:szCs w:val="20"/>
        </w:rPr>
        <w:t>As a result of the implementation of the Prosus Capitalisation Issue,</w:t>
      </w:r>
      <w:r w:rsidRPr="008D1D2D">
        <w:rPr>
          <w:rFonts w:ascii="Verdana" w:hAnsi="Verdana"/>
          <w:sz w:val="20"/>
          <w:szCs w:val="20"/>
        </w:rPr>
        <w:t xml:space="preserve"> </w:t>
      </w:r>
      <w:r>
        <w:rPr>
          <w:rFonts w:ascii="Verdana" w:hAnsi="Verdana"/>
          <w:sz w:val="20"/>
          <w:szCs w:val="20"/>
        </w:rPr>
        <w:t xml:space="preserve">the Naspers Capitalisation Issue and the Naspers Share Consolidation, Prosus’ shareholding in Naspers </w:t>
      </w:r>
      <w:r w:rsidR="00804DE4" w:rsidRPr="00A27FE0">
        <w:rPr>
          <w:rFonts w:ascii="Verdana" w:hAnsi="Verdana"/>
          <w:sz w:val="20"/>
          <w:szCs w:val="20"/>
        </w:rPr>
        <w:t>was</w:t>
      </w:r>
      <w:r w:rsidRPr="00A27FE0">
        <w:rPr>
          <w:rFonts w:ascii="Verdana" w:hAnsi="Verdana"/>
          <w:sz w:val="20"/>
          <w:szCs w:val="20"/>
        </w:rPr>
        <w:t xml:space="preserve"> diluted to a minimal level. </w:t>
      </w:r>
      <w:r w:rsidR="009C19DF" w:rsidRPr="00A27FE0">
        <w:rPr>
          <w:rFonts w:ascii="Verdana" w:hAnsi="Verdana"/>
          <w:sz w:val="20"/>
          <w:szCs w:val="20"/>
        </w:rPr>
        <w:t xml:space="preserve">Subsequently, </w:t>
      </w:r>
      <w:r w:rsidR="001727E2" w:rsidRPr="00A27FE0">
        <w:rPr>
          <w:rFonts w:ascii="Verdana" w:hAnsi="Verdana"/>
          <w:sz w:val="20"/>
          <w:szCs w:val="20"/>
        </w:rPr>
        <w:t xml:space="preserve">Prosus </w:t>
      </w:r>
      <w:r w:rsidR="00711301" w:rsidRPr="00A27FE0">
        <w:rPr>
          <w:rFonts w:ascii="Verdana" w:hAnsi="Verdana"/>
          <w:sz w:val="20"/>
          <w:szCs w:val="20"/>
        </w:rPr>
        <w:t>sold</w:t>
      </w:r>
      <w:r w:rsidR="001727E2" w:rsidRPr="00A27FE0">
        <w:rPr>
          <w:rFonts w:ascii="Verdana" w:hAnsi="Verdana"/>
          <w:sz w:val="20"/>
          <w:szCs w:val="20"/>
        </w:rPr>
        <w:t xml:space="preserve"> </w:t>
      </w:r>
      <w:proofErr w:type="gramStart"/>
      <w:r w:rsidR="00804DE4" w:rsidRPr="00A27FE0">
        <w:rPr>
          <w:rFonts w:ascii="Verdana" w:hAnsi="Verdana"/>
          <w:sz w:val="20"/>
          <w:szCs w:val="20"/>
        </w:rPr>
        <w:t xml:space="preserve">all </w:t>
      </w:r>
      <w:r w:rsidR="000F7944" w:rsidRPr="00A27FE0">
        <w:rPr>
          <w:rFonts w:ascii="Verdana" w:hAnsi="Verdana"/>
          <w:sz w:val="20"/>
          <w:szCs w:val="20"/>
        </w:rPr>
        <w:t>of</w:t>
      </w:r>
      <w:proofErr w:type="gramEnd"/>
      <w:r w:rsidR="000F7944" w:rsidRPr="00A27FE0">
        <w:rPr>
          <w:rFonts w:ascii="Verdana" w:hAnsi="Verdana"/>
          <w:sz w:val="20"/>
          <w:szCs w:val="20"/>
        </w:rPr>
        <w:t xml:space="preserve"> these remaining </w:t>
      </w:r>
      <w:r w:rsidR="00DB230E" w:rsidRPr="00A27FE0">
        <w:rPr>
          <w:rFonts w:ascii="Verdana" w:hAnsi="Verdana"/>
          <w:sz w:val="20"/>
          <w:szCs w:val="20"/>
        </w:rPr>
        <w:t>43</w:t>
      </w:r>
      <w:r w:rsidR="00A27FE0" w:rsidRPr="00A27FE0">
        <w:rPr>
          <w:rFonts w:ascii="Verdana" w:hAnsi="Verdana"/>
          <w:sz w:val="20"/>
          <w:szCs w:val="20"/>
        </w:rPr>
        <w:t>,</w:t>
      </w:r>
      <w:r w:rsidR="00DB230E" w:rsidRPr="00A27FE0">
        <w:rPr>
          <w:rFonts w:ascii="Verdana" w:hAnsi="Verdana"/>
          <w:sz w:val="20"/>
          <w:szCs w:val="20"/>
        </w:rPr>
        <w:t xml:space="preserve">510 </w:t>
      </w:r>
      <w:r w:rsidRPr="00A27FE0">
        <w:rPr>
          <w:rFonts w:ascii="Verdana" w:hAnsi="Verdana"/>
          <w:sz w:val="20"/>
          <w:szCs w:val="20"/>
        </w:rPr>
        <w:t>Naspers N Ordinary Shares</w:t>
      </w:r>
      <w:r w:rsidR="009C19DF" w:rsidRPr="00A27FE0">
        <w:rPr>
          <w:rFonts w:ascii="Verdana" w:hAnsi="Verdana"/>
          <w:sz w:val="20"/>
          <w:szCs w:val="20"/>
        </w:rPr>
        <w:t xml:space="preserve"> </w:t>
      </w:r>
      <w:r w:rsidR="00A90BA2" w:rsidRPr="00A27FE0">
        <w:rPr>
          <w:rFonts w:ascii="Verdana" w:hAnsi="Verdana"/>
          <w:sz w:val="20"/>
          <w:szCs w:val="20"/>
        </w:rPr>
        <w:t xml:space="preserve">in the market </w:t>
      </w:r>
      <w:r w:rsidR="00711301" w:rsidRPr="00A27FE0">
        <w:rPr>
          <w:rFonts w:ascii="Verdana" w:hAnsi="Verdana"/>
          <w:sz w:val="20"/>
          <w:szCs w:val="20"/>
        </w:rPr>
        <w:t>today, Monday, 18 September 2023</w:t>
      </w:r>
      <w:r w:rsidR="00EC61BD" w:rsidRPr="00A27FE0">
        <w:rPr>
          <w:rFonts w:ascii="Verdana" w:hAnsi="Verdana"/>
          <w:sz w:val="20"/>
          <w:szCs w:val="20"/>
        </w:rPr>
        <w:t xml:space="preserve">. </w:t>
      </w:r>
      <w:r w:rsidR="004819FE" w:rsidRPr="00A27FE0">
        <w:rPr>
          <w:rFonts w:ascii="Verdana" w:hAnsi="Verdana"/>
          <w:sz w:val="20"/>
          <w:szCs w:val="20"/>
        </w:rPr>
        <w:t xml:space="preserve">When these </w:t>
      </w:r>
      <w:r w:rsidR="00BC187E" w:rsidRPr="00A27FE0">
        <w:rPr>
          <w:rFonts w:ascii="Verdana" w:hAnsi="Verdana"/>
          <w:sz w:val="20"/>
          <w:szCs w:val="20"/>
        </w:rPr>
        <w:t>sale</w:t>
      </w:r>
      <w:r w:rsidR="004819FE" w:rsidRPr="00A27FE0">
        <w:rPr>
          <w:rFonts w:ascii="Verdana" w:hAnsi="Verdana"/>
          <w:sz w:val="20"/>
          <w:szCs w:val="20"/>
        </w:rPr>
        <w:t>s</w:t>
      </w:r>
      <w:r w:rsidR="00BC187E">
        <w:rPr>
          <w:rFonts w:ascii="Verdana" w:hAnsi="Verdana"/>
          <w:sz w:val="20"/>
          <w:szCs w:val="20"/>
        </w:rPr>
        <w:t xml:space="preserve"> </w:t>
      </w:r>
      <w:r w:rsidR="004819FE">
        <w:rPr>
          <w:rFonts w:ascii="Verdana" w:hAnsi="Verdana"/>
          <w:sz w:val="20"/>
          <w:szCs w:val="20"/>
        </w:rPr>
        <w:t xml:space="preserve">settle </w:t>
      </w:r>
      <w:r w:rsidR="00BC187E">
        <w:rPr>
          <w:rFonts w:ascii="Verdana" w:hAnsi="Verdana"/>
          <w:sz w:val="20"/>
          <w:szCs w:val="20"/>
        </w:rPr>
        <w:t>in accordance with the cu</w:t>
      </w:r>
      <w:r w:rsidR="00696BC9">
        <w:rPr>
          <w:rFonts w:ascii="Verdana" w:hAnsi="Verdana"/>
          <w:sz w:val="20"/>
          <w:szCs w:val="20"/>
        </w:rPr>
        <w:t xml:space="preserve">stomary JSE settlement cycle, </w:t>
      </w:r>
      <w:r w:rsidR="00711301">
        <w:rPr>
          <w:rFonts w:ascii="Verdana" w:hAnsi="Verdana"/>
          <w:sz w:val="20"/>
          <w:szCs w:val="20"/>
        </w:rPr>
        <w:t xml:space="preserve">which is </w:t>
      </w:r>
      <w:r w:rsidR="00696BC9">
        <w:rPr>
          <w:rFonts w:ascii="Verdana" w:hAnsi="Verdana"/>
          <w:sz w:val="20"/>
          <w:szCs w:val="20"/>
        </w:rPr>
        <w:t xml:space="preserve">expected to </w:t>
      </w:r>
      <w:r w:rsidR="00711301">
        <w:rPr>
          <w:rFonts w:ascii="Verdana" w:hAnsi="Verdana"/>
          <w:sz w:val="20"/>
          <w:szCs w:val="20"/>
        </w:rPr>
        <w:t>take place</w:t>
      </w:r>
      <w:r w:rsidR="00696BC9">
        <w:rPr>
          <w:rFonts w:ascii="Verdana" w:hAnsi="Verdana"/>
          <w:sz w:val="20"/>
          <w:szCs w:val="20"/>
        </w:rPr>
        <w:t xml:space="preserve"> on </w:t>
      </w:r>
      <w:r>
        <w:rPr>
          <w:rFonts w:ascii="Verdana" w:hAnsi="Verdana"/>
          <w:sz w:val="20"/>
          <w:szCs w:val="20"/>
        </w:rPr>
        <w:t xml:space="preserve">Thursday, 21 September 2023, </w:t>
      </w:r>
      <w:r w:rsidR="00D903FA">
        <w:rPr>
          <w:rFonts w:ascii="Verdana" w:hAnsi="Verdana"/>
          <w:sz w:val="20"/>
          <w:szCs w:val="20"/>
        </w:rPr>
        <w:t>Prosus will no</w:t>
      </w:r>
      <w:r w:rsidR="00711301">
        <w:rPr>
          <w:rFonts w:ascii="Verdana" w:hAnsi="Verdana"/>
          <w:sz w:val="20"/>
          <w:szCs w:val="20"/>
        </w:rPr>
        <w:t xml:space="preserve"> longer</w:t>
      </w:r>
      <w:r w:rsidR="00D903FA">
        <w:rPr>
          <w:rFonts w:ascii="Verdana" w:hAnsi="Verdana"/>
          <w:sz w:val="20"/>
          <w:szCs w:val="20"/>
        </w:rPr>
        <w:t xml:space="preserve"> hold </w:t>
      </w:r>
      <w:r w:rsidR="003012B4">
        <w:rPr>
          <w:rFonts w:ascii="Verdana" w:hAnsi="Verdana"/>
          <w:sz w:val="20"/>
          <w:szCs w:val="20"/>
        </w:rPr>
        <w:t>any Naspers N Ordinary Shares</w:t>
      </w:r>
      <w:r>
        <w:rPr>
          <w:rFonts w:ascii="Verdana" w:hAnsi="Verdana"/>
          <w:sz w:val="20"/>
          <w:szCs w:val="20"/>
        </w:rPr>
        <w:t>.</w:t>
      </w:r>
    </w:p>
    <w:p w14:paraId="5D19A297" w14:textId="202A8F9B" w:rsidR="00DD1622" w:rsidRDefault="00DD1622" w:rsidP="00DD1622">
      <w:pPr>
        <w:pStyle w:val="Default"/>
        <w:numPr>
          <w:ilvl w:val="0"/>
          <w:numId w:val="4"/>
        </w:numPr>
        <w:spacing w:after="240"/>
        <w:ind w:hanging="720"/>
        <w:jc w:val="both"/>
        <w:rPr>
          <w:b/>
          <w:bCs/>
          <w:sz w:val="20"/>
          <w:szCs w:val="20"/>
        </w:rPr>
      </w:pPr>
      <w:r>
        <w:rPr>
          <w:b/>
          <w:bCs/>
          <w:sz w:val="20"/>
          <w:szCs w:val="20"/>
        </w:rPr>
        <w:t xml:space="preserve">TERMINATION OF </w:t>
      </w:r>
      <w:r w:rsidR="00947BFD">
        <w:rPr>
          <w:b/>
          <w:bCs/>
          <w:sz w:val="20"/>
          <w:szCs w:val="20"/>
        </w:rPr>
        <w:t xml:space="preserve">THE </w:t>
      </w:r>
      <w:r>
        <w:rPr>
          <w:b/>
          <w:bCs/>
          <w:sz w:val="20"/>
          <w:szCs w:val="20"/>
        </w:rPr>
        <w:t>CROSS-HOLDING AGREEMENT</w:t>
      </w:r>
    </w:p>
    <w:p w14:paraId="0AB27F23" w14:textId="7EB653DC" w:rsidR="00DD1622" w:rsidRPr="00DD1622" w:rsidRDefault="00DD1622" w:rsidP="00DD1622">
      <w:pPr>
        <w:pStyle w:val="Default"/>
        <w:spacing w:after="240"/>
        <w:ind w:left="720"/>
        <w:jc w:val="both"/>
        <w:rPr>
          <w:b/>
          <w:bCs/>
          <w:sz w:val="20"/>
          <w:szCs w:val="20"/>
        </w:rPr>
      </w:pPr>
      <w:r w:rsidRPr="00DD1622">
        <w:rPr>
          <w:sz w:val="20"/>
          <w:szCs w:val="20"/>
        </w:rPr>
        <w:t xml:space="preserve">Effective upon </w:t>
      </w:r>
      <w:r w:rsidR="009C19DF">
        <w:rPr>
          <w:sz w:val="20"/>
          <w:szCs w:val="20"/>
        </w:rPr>
        <w:t>settlement</w:t>
      </w:r>
      <w:r w:rsidRPr="00DD1622">
        <w:rPr>
          <w:sz w:val="20"/>
          <w:szCs w:val="20"/>
        </w:rPr>
        <w:t xml:space="preserve"> of the Prosus Disposal</w:t>
      </w:r>
      <w:r w:rsidR="00641700">
        <w:rPr>
          <w:sz w:val="20"/>
          <w:szCs w:val="20"/>
        </w:rPr>
        <w:t xml:space="preserve"> as outlined above</w:t>
      </w:r>
      <w:r w:rsidRPr="00DD1622">
        <w:rPr>
          <w:sz w:val="20"/>
          <w:szCs w:val="20"/>
        </w:rPr>
        <w:t>, the Cross-Holding Agreement will be terminated in accordance with its existing terms</w:t>
      </w:r>
      <w:r w:rsidR="009C19DF">
        <w:rPr>
          <w:sz w:val="20"/>
          <w:szCs w:val="20"/>
        </w:rPr>
        <w:t xml:space="preserve">, </w:t>
      </w:r>
      <w:proofErr w:type="gramStart"/>
      <w:r w:rsidR="009C19DF">
        <w:rPr>
          <w:sz w:val="20"/>
          <w:szCs w:val="20"/>
        </w:rPr>
        <w:t>as a result of</w:t>
      </w:r>
      <w:proofErr w:type="gramEnd"/>
      <w:r w:rsidR="009C19DF">
        <w:rPr>
          <w:sz w:val="20"/>
          <w:szCs w:val="20"/>
        </w:rPr>
        <w:t xml:space="preserve"> which the Cross-Holding Structure will have been fully removed</w:t>
      </w:r>
      <w:r w:rsidR="009C19DF" w:rsidRPr="00DD1622">
        <w:rPr>
          <w:sz w:val="20"/>
          <w:szCs w:val="20"/>
        </w:rPr>
        <w:t>.</w:t>
      </w:r>
    </w:p>
    <w:p w14:paraId="52DB0CAB" w14:textId="6A745D13" w:rsidR="00E4633C" w:rsidRPr="00E4633C" w:rsidRDefault="00DD1622" w:rsidP="00DD1622">
      <w:pPr>
        <w:pStyle w:val="Default"/>
        <w:numPr>
          <w:ilvl w:val="0"/>
          <w:numId w:val="4"/>
        </w:numPr>
        <w:spacing w:after="240"/>
        <w:ind w:hanging="720"/>
        <w:jc w:val="both"/>
        <w:rPr>
          <w:b/>
          <w:bCs/>
          <w:sz w:val="20"/>
          <w:szCs w:val="20"/>
        </w:rPr>
      </w:pPr>
      <w:r>
        <w:rPr>
          <w:b/>
          <w:bCs/>
          <w:sz w:val="20"/>
          <w:szCs w:val="20"/>
        </w:rPr>
        <w:t>AFM NOTIFICATIONS</w:t>
      </w:r>
    </w:p>
    <w:p w14:paraId="5BD27C55" w14:textId="31E81C0B" w:rsidR="00CF7332" w:rsidRPr="00CF7332" w:rsidRDefault="00CF7332" w:rsidP="00DD1622">
      <w:pPr>
        <w:pStyle w:val="AODocTxt"/>
        <w:spacing w:after="240"/>
        <w:ind w:firstLine="720"/>
        <w:rPr>
          <w:rFonts w:ascii="Verdana" w:hAnsi="Verdana"/>
          <w:i/>
          <w:iCs/>
          <w:sz w:val="20"/>
          <w:szCs w:val="20"/>
        </w:rPr>
      </w:pPr>
      <w:r>
        <w:rPr>
          <w:rFonts w:ascii="Verdana" w:hAnsi="Verdana"/>
          <w:i/>
          <w:iCs/>
          <w:sz w:val="20"/>
          <w:szCs w:val="20"/>
        </w:rPr>
        <w:t xml:space="preserve">Change in Prosus issued share </w:t>
      </w:r>
      <w:proofErr w:type="gramStart"/>
      <w:r>
        <w:rPr>
          <w:rFonts w:ascii="Verdana" w:hAnsi="Verdana"/>
          <w:i/>
          <w:iCs/>
          <w:sz w:val="20"/>
          <w:szCs w:val="20"/>
        </w:rPr>
        <w:t>capital</w:t>
      </w:r>
      <w:proofErr w:type="gramEnd"/>
    </w:p>
    <w:p w14:paraId="2262C416" w14:textId="04CE5E07" w:rsidR="008D1D2D" w:rsidRPr="008D1D2D" w:rsidRDefault="008D1D2D" w:rsidP="00DD1622">
      <w:pPr>
        <w:pStyle w:val="AODocTxt"/>
        <w:spacing w:after="240"/>
        <w:ind w:left="720"/>
        <w:rPr>
          <w:rFonts w:ascii="Verdana" w:hAnsi="Verdana"/>
          <w:sz w:val="20"/>
          <w:szCs w:val="20"/>
        </w:rPr>
      </w:pPr>
      <w:r w:rsidRPr="008D1D2D">
        <w:rPr>
          <w:rFonts w:ascii="Verdana" w:hAnsi="Verdana"/>
          <w:sz w:val="20"/>
          <w:szCs w:val="20"/>
        </w:rPr>
        <w:t>As a result</w:t>
      </w:r>
      <w:r w:rsidR="00E4633C">
        <w:rPr>
          <w:rFonts w:ascii="Verdana" w:hAnsi="Verdana"/>
          <w:sz w:val="20"/>
          <w:szCs w:val="20"/>
        </w:rPr>
        <w:t xml:space="preserve"> of the implementation of the Prosus Capitalisation Issue</w:t>
      </w:r>
      <w:r w:rsidRPr="008D1D2D">
        <w:rPr>
          <w:rFonts w:ascii="Verdana" w:hAnsi="Verdana"/>
          <w:sz w:val="20"/>
          <w:szCs w:val="20"/>
        </w:rPr>
        <w:t xml:space="preserve">, the issued share capital of Prosus is </w:t>
      </w:r>
      <w:r w:rsidR="0033420A">
        <w:rPr>
          <w:rFonts w:ascii="Verdana" w:hAnsi="Verdana"/>
          <w:sz w:val="20"/>
          <w:szCs w:val="20"/>
        </w:rPr>
        <w:t xml:space="preserve">today, Monday, 18 September 2023, </w:t>
      </w:r>
      <w:r w:rsidRPr="008D1D2D">
        <w:rPr>
          <w:rFonts w:ascii="Verdana" w:hAnsi="Verdana"/>
          <w:sz w:val="20"/>
          <w:szCs w:val="20"/>
        </w:rPr>
        <w:t>as set out below:</w:t>
      </w:r>
    </w:p>
    <w:tbl>
      <w:tblPr>
        <w:tblStyle w:val="TableGrid"/>
        <w:tblW w:w="8647" w:type="dxa"/>
        <w:tblInd w:w="704" w:type="dxa"/>
        <w:tblLook w:val="04A0" w:firstRow="1" w:lastRow="0" w:firstColumn="1" w:lastColumn="0" w:noHBand="0" w:noVBand="1"/>
      </w:tblPr>
      <w:tblGrid>
        <w:gridCol w:w="4961"/>
        <w:gridCol w:w="3686"/>
      </w:tblGrid>
      <w:tr w:rsidR="008D1D2D" w14:paraId="78D13431" w14:textId="77777777" w:rsidTr="00DD1622">
        <w:tc>
          <w:tcPr>
            <w:tcW w:w="8647" w:type="dxa"/>
            <w:gridSpan w:val="2"/>
            <w:shd w:val="clear" w:color="auto" w:fill="D9D9D9" w:themeFill="background1" w:themeFillShade="D9"/>
          </w:tcPr>
          <w:p w14:paraId="4209460D" w14:textId="77777777" w:rsidR="008D1D2D" w:rsidRPr="008D1D2D" w:rsidRDefault="008D1D2D" w:rsidP="00F24BB8">
            <w:pPr>
              <w:pStyle w:val="AODocTxt"/>
              <w:keepNext/>
              <w:spacing w:before="120" w:after="120"/>
              <w:rPr>
                <w:rFonts w:ascii="Verdana" w:hAnsi="Verdana"/>
                <w:sz w:val="20"/>
                <w:szCs w:val="20"/>
              </w:rPr>
            </w:pPr>
            <w:r w:rsidRPr="008D1D2D">
              <w:rPr>
                <w:rFonts w:ascii="Verdana" w:hAnsi="Verdana"/>
                <w:sz w:val="20"/>
                <w:szCs w:val="20"/>
              </w:rPr>
              <w:lastRenderedPageBreak/>
              <w:t>Issued share capital</w:t>
            </w:r>
          </w:p>
        </w:tc>
      </w:tr>
      <w:tr w:rsidR="008D1D2D" w14:paraId="14601F0D" w14:textId="77777777" w:rsidTr="00DD1622">
        <w:tc>
          <w:tcPr>
            <w:tcW w:w="4961" w:type="dxa"/>
          </w:tcPr>
          <w:p w14:paraId="0CCC22FB" w14:textId="7DC2AD2F" w:rsidR="008D1D2D" w:rsidRPr="008D1D2D" w:rsidRDefault="008D1D2D" w:rsidP="008D1D2D">
            <w:pPr>
              <w:pStyle w:val="AODocTxt"/>
              <w:spacing w:before="120" w:after="120"/>
              <w:rPr>
                <w:rFonts w:ascii="Verdana" w:hAnsi="Verdana"/>
                <w:sz w:val="20"/>
                <w:szCs w:val="20"/>
              </w:rPr>
            </w:pPr>
            <w:r w:rsidRPr="008D1D2D">
              <w:rPr>
                <w:rFonts w:ascii="Verdana" w:hAnsi="Verdana"/>
                <w:sz w:val="20"/>
                <w:szCs w:val="20"/>
              </w:rPr>
              <w:t xml:space="preserve">Prosus Ordinary Shares </w:t>
            </w:r>
            <w:r w:rsidR="00394F0E">
              <w:rPr>
                <w:rFonts w:ascii="Verdana" w:hAnsi="Verdana"/>
                <w:sz w:val="20"/>
                <w:szCs w:val="20"/>
              </w:rPr>
              <w:t>N</w:t>
            </w:r>
            <w:r w:rsidRPr="008D1D2D">
              <w:rPr>
                <w:rFonts w:ascii="Verdana" w:hAnsi="Verdana"/>
                <w:sz w:val="20"/>
                <w:szCs w:val="20"/>
              </w:rPr>
              <w:t xml:space="preserve"> </w:t>
            </w:r>
          </w:p>
        </w:tc>
        <w:tc>
          <w:tcPr>
            <w:tcW w:w="3686" w:type="dxa"/>
          </w:tcPr>
          <w:p w14:paraId="0E66AF4F" w14:textId="5515BBE7" w:rsidR="008D1D2D" w:rsidRPr="008D1D2D" w:rsidRDefault="00394F0E" w:rsidP="008D1D2D">
            <w:pPr>
              <w:pStyle w:val="AODocTxt"/>
              <w:spacing w:before="120" w:after="120"/>
              <w:rPr>
                <w:rFonts w:ascii="Verdana" w:hAnsi="Verdana"/>
                <w:sz w:val="20"/>
                <w:szCs w:val="20"/>
              </w:rPr>
            </w:pPr>
            <w:r w:rsidRPr="00394F0E">
              <w:rPr>
                <w:rFonts w:ascii="Verdana" w:hAnsi="Verdana"/>
                <w:sz w:val="20"/>
                <w:szCs w:val="20"/>
              </w:rPr>
              <w:t>2</w:t>
            </w:r>
            <w:r w:rsidR="00CD3F70">
              <w:rPr>
                <w:rFonts w:ascii="Verdana" w:hAnsi="Verdana"/>
                <w:sz w:val="20"/>
                <w:szCs w:val="20"/>
              </w:rPr>
              <w:t>,</w:t>
            </w:r>
            <w:r w:rsidRPr="00394F0E">
              <w:rPr>
                <w:rFonts w:ascii="Verdana" w:hAnsi="Verdana"/>
                <w:sz w:val="20"/>
                <w:szCs w:val="20"/>
              </w:rPr>
              <w:t>659</w:t>
            </w:r>
            <w:r w:rsidR="00CD3F70">
              <w:rPr>
                <w:rFonts w:ascii="Verdana" w:hAnsi="Verdana"/>
                <w:sz w:val="20"/>
                <w:szCs w:val="20"/>
              </w:rPr>
              <w:t>,</w:t>
            </w:r>
            <w:r w:rsidRPr="00394F0E">
              <w:rPr>
                <w:rFonts w:ascii="Verdana" w:hAnsi="Verdana"/>
                <w:sz w:val="20"/>
                <w:szCs w:val="20"/>
              </w:rPr>
              <w:t>554</w:t>
            </w:r>
            <w:r w:rsidR="00CD3F70">
              <w:rPr>
                <w:rFonts w:ascii="Verdana" w:hAnsi="Verdana"/>
                <w:sz w:val="20"/>
                <w:szCs w:val="20"/>
              </w:rPr>
              <w:t>,</w:t>
            </w:r>
            <w:r w:rsidRPr="00394F0E">
              <w:rPr>
                <w:rFonts w:ascii="Verdana" w:hAnsi="Verdana"/>
                <w:sz w:val="20"/>
                <w:szCs w:val="20"/>
              </w:rPr>
              <w:t xml:space="preserve">005 </w:t>
            </w:r>
            <w:r w:rsidR="008D1D2D" w:rsidRPr="008D1D2D">
              <w:rPr>
                <w:rFonts w:ascii="Verdana" w:hAnsi="Verdana"/>
                <w:sz w:val="20"/>
                <w:szCs w:val="20"/>
              </w:rPr>
              <w:t>shares</w:t>
            </w:r>
          </w:p>
        </w:tc>
      </w:tr>
      <w:tr w:rsidR="008D1D2D" w14:paraId="4D63CA8C" w14:textId="77777777" w:rsidTr="00DD1622">
        <w:tc>
          <w:tcPr>
            <w:tcW w:w="4961" w:type="dxa"/>
          </w:tcPr>
          <w:p w14:paraId="4693F5C9" w14:textId="77777777" w:rsidR="008D1D2D" w:rsidRPr="008D1D2D" w:rsidRDefault="008D1D2D" w:rsidP="008D1D2D">
            <w:pPr>
              <w:pStyle w:val="AODocTxt"/>
              <w:spacing w:before="120" w:after="120"/>
              <w:rPr>
                <w:rFonts w:ascii="Verdana" w:hAnsi="Verdana"/>
                <w:sz w:val="20"/>
                <w:szCs w:val="20"/>
              </w:rPr>
            </w:pPr>
            <w:r w:rsidRPr="008D1D2D">
              <w:rPr>
                <w:rFonts w:ascii="Verdana" w:hAnsi="Verdana"/>
                <w:sz w:val="20"/>
                <w:szCs w:val="20"/>
              </w:rPr>
              <w:t>Prosus Ordinary Shares A1</w:t>
            </w:r>
          </w:p>
        </w:tc>
        <w:tc>
          <w:tcPr>
            <w:tcW w:w="3686" w:type="dxa"/>
          </w:tcPr>
          <w:p w14:paraId="35490579" w14:textId="676A188A" w:rsidR="008D1D2D" w:rsidRPr="008D1D2D" w:rsidRDefault="00394F0E" w:rsidP="008D1D2D">
            <w:pPr>
              <w:pStyle w:val="AODocTxt"/>
              <w:spacing w:before="120" w:after="120"/>
              <w:rPr>
                <w:rFonts w:ascii="Verdana" w:hAnsi="Verdana"/>
                <w:sz w:val="20"/>
                <w:szCs w:val="20"/>
              </w:rPr>
            </w:pPr>
            <w:r w:rsidRPr="00394F0E">
              <w:rPr>
                <w:rFonts w:ascii="Verdana" w:hAnsi="Verdana"/>
                <w:sz w:val="20"/>
                <w:szCs w:val="20"/>
              </w:rPr>
              <w:t>6</w:t>
            </w:r>
            <w:r w:rsidR="00CD3F70">
              <w:rPr>
                <w:rFonts w:ascii="Verdana" w:hAnsi="Verdana"/>
                <w:sz w:val="20"/>
                <w:szCs w:val="20"/>
              </w:rPr>
              <w:t>,</w:t>
            </w:r>
            <w:r w:rsidRPr="00394F0E">
              <w:rPr>
                <w:rFonts w:ascii="Verdana" w:hAnsi="Verdana"/>
                <w:sz w:val="20"/>
                <w:szCs w:val="20"/>
              </w:rPr>
              <w:t>446</w:t>
            </w:r>
            <w:r w:rsidR="00CD3F70">
              <w:rPr>
                <w:rFonts w:ascii="Verdana" w:hAnsi="Verdana"/>
                <w:sz w:val="20"/>
                <w:szCs w:val="20"/>
              </w:rPr>
              <w:t>,</w:t>
            </w:r>
            <w:r w:rsidRPr="00394F0E">
              <w:rPr>
                <w:rFonts w:ascii="Verdana" w:hAnsi="Verdana"/>
                <w:sz w:val="20"/>
                <w:szCs w:val="20"/>
              </w:rPr>
              <w:t xml:space="preserve">739 </w:t>
            </w:r>
            <w:r w:rsidR="008D1D2D" w:rsidRPr="008D1D2D">
              <w:rPr>
                <w:rFonts w:ascii="Verdana" w:hAnsi="Verdana"/>
                <w:sz w:val="20"/>
                <w:szCs w:val="20"/>
              </w:rPr>
              <w:t>shares</w:t>
            </w:r>
          </w:p>
        </w:tc>
      </w:tr>
      <w:tr w:rsidR="008D1D2D" w14:paraId="4A523580" w14:textId="77777777" w:rsidTr="00DD1622">
        <w:tc>
          <w:tcPr>
            <w:tcW w:w="4961" w:type="dxa"/>
          </w:tcPr>
          <w:p w14:paraId="085E43AA" w14:textId="77859317" w:rsidR="008D1D2D" w:rsidRPr="008D1D2D" w:rsidRDefault="008D1D2D" w:rsidP="008D1D2D">
            <w:pPr>
              <w:pStyle w:val="AODocTxt"/>
              <w:spacing w:before="120" w:after="120"/>
              <w:rPr>
                <w:rFonts w:ascii="Verdana" w:hAnsi="Verdana"/>
                <w:sz w:val="20"/>
                <w:szCs w:val="20"/>
              </w:rPr>
            </w:pPr>
            <w:r w:rsidRPr="008D1D2D">
              <w:rPr>
                <w:rFonts w:ascii="Verdana" w:hAnsi="Verdana"/>
                <w:sz w:val="20"/>
                <w:szCs w:val="20"/>
              </w:rPr>
              <w:t xml:space="preserve">Prosus Ordinary Shares </w:t>
            </w:r>
            <w:r w:rsidR="00394F0E">
              <w:rPr>
                <w:rFonts w:ascii="Verdana" w:hAnsi="Verdana"/>
                <w:sz w:val="20"/>
                <w:szCs w:val="20"/>
              </w:rPr>
              <w:t>B</w:t>
            </w:r>
          </w:p>
        </w:tc>
        <w:tc>
          <w:tcPr>
            <w:tcW w:w="3686" w:type="dxa"/>
          </w:tcPr>
          <w:p w14:paraId="23568C54" w14:textId="695CD44A" w:rsidR="008D1D2D" w:rsidRPr="008D1D2D" w:rsidRDefault="00394F0E" w:rsidP="008D1D2D">
            <w:pPr>
              <w:pStyle w:val="AODocTxt"/>
              <w:spacing w:before="120" w:after="120"/>
              <w:rPr>
                <w:rFonts w:ascii="Verdana" w:hAnsi="Verdana"/>
                <w:sz w:val="20"/>
                <w:szCs w:val="20"/>
              </w:rPr>
            </w:pPr>
            <w:r w:rsidRPr="00394F0E">
              <w:rPr>
                <w:rFonts w:ascii="Verdana" w:hAnsi="Verdana"/>
                <w:sz w:val="20"/>
                <w:szCs w:val="20"/>
              </w:rPr>
              <w:t>2</w:t>
            </w:r>
            <w:r w:rsidR="00CD3F70">
              <w:rPr>
                <w:rFonts w:ascii="Verdana" w:hAnsi="Verdana"/>
                <w:sz w:val="20"/>
                <w:szCs w:val="20"/>
              </w:rPr>
              <w:t>,</w:t>
            </w:r>
            <w:r w:rsidRPr="00394F0E">
              <w:rPr>
                <w:rFonts w:ascii="Verdana" w:hAnsi="Verdana"/>
                <w:sz w:val="20"/>
                <w:szCs w:val="20"/>
              </w:rPr>
              <w:t>869</w:t>
            </w:r>
            <w:r w:rsidR="00CD3F70">
              <w:rPr>
                <w:rFonts w:ascii="Verdana" w:hAnsi="Verdana"/>
                <w:sz w:val="20"/>
                <w:szCs w:val="20"/>
              </w:rPr>
              <w:t>,</w:t>
            </w:r>
            <w:r w:rsidRPr="00394F0E">
              <w:rPr>
                <w:rFonts w:ascii="Verdana" w:hAnsi="Verdana"/>
                <w:sz w:val="20"/>
                <w:szCs w:val="20"/>
              </w:rPr>
              <w:t>537</w:t>
            </w:r>
            <w:r w:rsidR="00CD3F70">
              <w:rPr>
                <w:rFonts w:ascii="Verdana" w:hAnsi="Verdana"/>
                <w:sz w:val="20"/>
                <w:szCs w:val="20"/>
              </w:rPr>
              <w:t>,</w:t>
            </w:r>
            <w:r w:rsidRPr="00394F0E">
              <w:rPr>
                <w:rFonts w:ascii="Verdana" w:hAnsi="Verdana"/>
                <w:sz w:val="20"/>
                <w:szCs w:val="20"/>
              </w:rPr>
              <w:t xml:space="preserve">584 </w:t>
            </w:r>
            <w:r w:rsidR="008D1D2D" w:rsidRPr="008D1D2D">
              <w:rPr>
                <w:rFonts w:ascii="Verdana" w:hAnsi="Verdana"/>
                <w:sz w:val="20"/>
                <w:szCs w:val="20"/>
              </w:rPr>
              <w:t>shares</w:t>
            </w:r>
          </w:p>
        </w:tc>
      </w:tr>
      <w:tr w:rsidR="008D1D2D" w14:paraId="4FD286AC" w14:textId="77777777" w:rsidTr="00DD1622">
        <w:tc>
          <w:tcPr>
            <w:tcW w:w="8647" w:type="dxa"/>
            <w:gridSpan w:val="2"/>
            <w:shd w:val="clear" w:color="auto" w:fill="D9D9D9" w:themeFill="background1" w:themeFillShade="D9"/>
          </w:tcPr>
          <w:p w14:paraId="4EDB582D" w14:textId="77777777" w:rsidR="008D1D2D" w:rsidRPr="008D1D2D" w:rsidRDefault="008D1D2D" w:rsidP="008D1D2D">
            <w:pPr>
              <w:pStyle w:val="AODocTxt"/>
              <w:spacing w:before="120" w:after="120"/>
              <w:rPr>
                <w:rFonts w:ascii="Verdana" w:hAnsi="Verdana"/>
                <w:sz w:val="20"/>
                <w:szCs w:val="20"/>
              </w:rPr>
            </w:pPr>
            <w:r w:rsidRPr="008D1D2D">
              <w:rPr>
                <w:rFonts w:ascii="Verdana" w:hAnsi="Verdana"/>
                <w:sz w:val="20"/>
                <w:szCs w:val="20"/>
              </w:rPr>
              <w:t>Treasury shares</w:t>
            </w:r>
          </w:p>
        </w:tc>
      </w:tr>
      <w:tr w:rsidR="008D1D2D" w14:paraId="5AA3C2C9" w14:textId="77777777" w:rsidTr="00DD1622">
        <w:tc>
          <w:tcPr>
            <w:tcW w:w="4961" w:type="dxa"/>
          </w:tcPr>
          <w:p w14:paraId="5A854388" w14:textId="29490DD3" w:rsidR="008D1D2D" w:rsidRPr="008D1D2D" w:rsidRDefault="008D1D2D" w:rsidP="008D1D2D">
            <w:pPr>
              <w:pStyle w:val="AODocTxt"/>
              <w:spacing w:before="120" w:after="120"/>
              <w:rPr>
                <w:rFonts w:ascii="Verdana" w:hAnsi="Verdana"/>
                <w:sz w:val="20"/>
                <w:szCs w:val="20"/>
              </w:rPr>
            </w:pPr>
            <w:r w:rsidRPr="008D1D2D">
              <w:rPr>
                <w:rFonts w:ascii="Verdana" w:hAnsi="Verdana"/>
                <w:sz w:val="20"/>
                <w:szCs w:val="20"/>
              </w:rPr>
              <w:t xml:space="preserve">Number of Prosus Ordinary Shares N held in treasury by </w:t>
            </w:r>
            <w:r w:rsidR="00CD3F70">
              <w:rPr>
                <w:rFonts w:ascii="Verdana" w:hAnsi="Verdana"/>
                <w:sz w:val="20"/>
                <w:szCs w:val="20"/>
              </w:rPr>
              <w:t>Prosus</w:t>
            </w:r>
          </w:p>
        </w:tc>
        <w:tc>
          <w:tcPr>
            <w:tcW w:w="3686" w:type="dxa"/>
          </w:tcPr>
          <w:p w14:paraId="457CAA72" w14:textId="1DF4D881" w:rsidR="008D1D2D" w:rsidRPr="008D1D2D" w:rsidRDefault="00394F0E" w:rsidP="008D1D2D">
            <w:pPr>
              <w:pStyle w:val="AODocTxt"/>
              <w:spacing w:before="120" w:after="120"/>
              <w:rPr>
                <w:rFonts w:ascii="Verdana" w:hAnsi="Verdana"/>
                <w:sz w:val="20"/>
                <w:szCs w:val="20"/>
              </w:rPr>
            </w:pPr>
            <w:r w:rsidRPr="00394F0E">
              <w:rPr>
                <w:rFonts w:ascii="Verdana" w:hAnsi="Verdana"/>
                <w:sz w:val="20"/>
                <w:szCs w:val="20"/>
              </w:rPr>
              <w:t>49</w:t>
            </w:r>
            <w:r w:rsidR="00285E1B">
              <w:rPr>
                <w:rFonts w:ascii="Verdana" w:hAnsi="Verdana"/>
                <w:sz w:val="20"/>
                <w:szCs w:val="20"/>
              </w:rPr>
              <w:t>,</w:t>
            </w:r>
            <w:r w:rsidRPr="00394F0E">
              <w:rPr>
                <w:rFonts w:ascii="Verdana" w:hAnsi="Verdana"/>
                <w:sz w:val="20"/>
                <w:szCs w:val="20"/>
              </w:rPr>
              <w:t>540</w:t>
            </w:r>
            <w:r w:rsidR="00285E1B">
              <w:rPr>
                <w:rFonts w:ascii="Verdana" w:hAnsi="Verdana"/>
                <w:sz w:val="20"/>
                <w:szCs w:val="20"/>
              </w:rPr>
              <w:t>,</w:t>
            </w:r>
            <w:r w:rsidRPr="00394F0E">
              <w:rPr>
                <w:rFonts w:ascii="Verdana" w:hAnsi="Verdana"/>
                <w:sz w:val="20"/>
                <w:szCs w:val="20"/>
              </w:rPr>
              <w:t xml:space="preserve">490 </w:t>
            </w:r>
            <w:r w:rsidR="008D1D2D" w:rsidRPr="008D1D2D">
              <w:rPr>
                <w:rFonts w:ascii="Verdana" w:hAnsi="Verdana"/>
                <w:sz w:val="20"/>
                <w:szCs w:val="20"/>
              </w:rPr>
              <w:t>shares</w:t>
            </w:r>
          </w:p>
        </w:tc>
      </w:tr>
    </w:tbl>
    <w:p w14:paraId="57747E06" w14:textId="368ABD67" w:rsidR="008D1D2D" w:rsidRDefault="00E4633C" w:rsidP="00DD1622">
      <w:pPr>
        <w:pStyle w:val="AODocTxt"/>
        <w:ind w:left="720"/>
        <w:rPr>
          <w:rFonts w:ascii="Verdana" w:hAnsi="Verdana"/>
          <w:sz w:val="20"/>
          <w:szCs w:val="20"/>
        </w:rPr>
      </w:pPr>
      <w:r>
        <w:rPr>
          <w:rFonts w:ascii="Verdana" w:hAnsi="Verdana"/>
          <w:sz w:val="20"/>
          <w:szCs w:val="20"/>
        </w:rPr>
        <w:t xml:space="preserve">In accordance with applicable Dutch </w:t>
      </w:r>
      <w:r w:rsidR="00CF7332">
        <w:rPr>
          <w:rFonts w:ascii="Verdana" w:hAnsi="Verdana"/>
          <w:sz w:val="20"/>
          <w:szCs w:val="20"/>
        </w:rPr>
        <w:t>law</w:t>
      </w:r>
      <w:r>
        <w:rPr>
          <w:rFonts w:ascii="Verdana" w:hAnsi="Verdana"/>
          <w:sz w:val="20"/>
          <w:szCs w:val="20"/>
        </w:rPr>
        <w:t xml:space="preserve">, </w:t>
      </w:r>
      <w:r w:rsidR="008D1D2D" w:rsidRPr="008D1D2D">
        <w:rPr>
          <w:rFonts w:ascii="Verdana" w:hAnsi="Verdana"/>
          <w:sz w:val="20"/>
          <w:szCs w:val="20"/>
        </w:rPr>
        <w:t xml:space="preserve">Prosus will notify the </w:t>
      </w:r>
      <w:r w:rsidR="00174B30" w:rsidRPr="00174B30">
        <w:rPr>
          <w:rFonts w:ascii="Verdana" w:hAnsi="Verdana"/>
          <w:sz w:val="20"/>
          <w:szCs w:val="20"/>
        </w:rPr>
        <w:t>Dutch Authority for the Financial Markets</w:t>
      </w:r>
      <w:r w:rsidR="00174B30">
        <w:rPr>
          <w:rFonts w:ascii="Verdana" w:hAnsi="Verdana"/>
          <w:sz w:val="20"/>
          <w:szCs w:val="20"/>
        </w:rPr>
        <w:t xml:space="preserve"> (</w:t>
      </w:r>
      <w:r w:rsidR="00285E1B">
        <w:rPr>
          <w:rFonts w:ascii="Verdana" w:hAnsi="Verdana"/>
          <w:i/>
          <w:iCs/>
          <w:sz w:val="20"/>
          <w:szCs w:val="20"/>
        </w:rPr>
        <w:t xml:space="preserve">Stichting </w:t>
      </w:r>
      <w:r w:rsidR="00174B30" w:rsidRPr="00174B30">
        <w:rPr>
          <w:rFonts w:ascii="Verdana" w:hAnsi="Verdana"/>
          <w:i/>
          <w:iCs/>
          <w:sz w:val="20"/>
          <w:szCs w:val="20"/>
        </w:rPr>
        <w:t>Autoriteit Financiële Markten</w:t>
      </w:r>
      <w:r w:rsidR="00174B30">
        <w:rPr>
          <w:rFonts w:ascii="Verdana" w:hAnsi="Verdana"/>
          <w:i/>
          <w:iCs/>
          <w:sz w:val="20"/>
          <w:szCs w:val="20"/>
        </w:rPr>
        <w:t xml:space="preserve"> </w:t>
      </w:r>
      <w:r w:rsidR="00174B30">
        <w:rPr>
          <w:rFonts w:ascii="Verdana" w:hAnsi="Verdana"/>
          <w:sz w:val="20"/>
          <w:szCs w:val="20"/>
        </w:rPr>
        <w:t>(</w:t>
      </w:r>
      <w:r w:rsidR="008D1D2D" w:rsidRPr="00174B30">
        <w:rPr>
          <w:rFonts w:ascii="Verdana" w:hAnsi="Verdana"/>
          <w:b/>
          <w:bCs/>
          <w:sz w:val="20"/>
          <w:szCs w:val="20"/>
        </w:rPr>
        <w:t>AFM</w:t>
      </w:r>
      <w:r w:rsidR="00174B30" w:rsidRPr="00174B30">
        <w:rPr>
          <w:rFonts w:ascii="Verdana" w:hAnsi="Verdana"/>
          <w:sz w:val="20"/>
          <w:szCs w:val="20"/>
        </w:rPr>
        <w:t>))</w:t>
      </w:r>
      <w:r w:rsidR="008D1D2D" w:rsidRPr="008D1D2D">
        <w:rPr>
          <w:rFonts w:ascii="Verdana" w:hAnsi="Verdana"/>
          <w:sz w:val="20"/>
          <w:szCs w:val="20"/>
        </w:rPr>
        <w:t xml:space="preserve"> </w:t>
      </w:r>
      <w:r w:rsidR="0033420A">
        <w:rPr>
          <w:rFonts w:ascii="Verdana" w:hAnsi="Verdana"/>
          <w:sz w:val="20"/>
          <w:szCs w:val="20"/>
        </w:rPr>
        <w:t xml:space="preserve">without delay </w:t>
      </w:r>
      <w:r w:rsidR="00174B30">
        <w:rPr>
          <w:rFonts w:ascii="Verdana" w:hAnsi="Verdana"/>
          <w:sz w:val="20"/>
          <w:szCs w:val="20"/>
        </w:rPr>
        <w:t>of the change in its</w:t>
      </w:r>
      <w:r w:rsidR="008D1D2D" w:rsidRPr="008D1D2D">
        <w:rPr>
          <w:rFonts w:ascii="Verdana" w:hAnsi="Verdana"/>
          <w:sz w:val="20"/>
          <w:szCs w:val="20"/>
        </w:rPr>
        <w:t xml:space="preserve"> issued share capital</w:t>
      </w:r>
      <w:r w:rsidR="00174B30">
        <w:rPr>
          <w:rFonts w:ascii="Verdana" w:hAnsi="Verdana"/>
          <w:sz w:val="20"/>
          <w:szCs w:val="20"/>
        </w:rPr>
        <w:t xml:space="preserve"> in accordance with the table</w:t>
      </w:r>
      <w:r w:rsidR="008D1D2D" w:rsidRPr="008D1D2D">
        <w:rPr>
          <w:rFonts w:ascii="Verdana" w:hAnsi="Verdana"/>
          <w:sz w:val="20"/>
          <w:szCs w:val="20"/>
        </w:rPr>
        <w:t xml:space="preserve"> above. </w:t>
      </w:r>
    </w:p>
    <w:p w14:paraId="69C1CA1F" w14:textId="63616211" w:rsidR="006A4F52" w:rsidRPr="006A4F52" w:rsidRDefault="006A4F52" w:rsidP="00DD1622">
      <w:pPr>
        <w:pStyle w:val="AODocTxt"/>
        <w:ind w:left="720"/>
        <w:rPr>
          <w:rFonts w:ascii="Verdana" w:hAnsi="Verdana"/>
          <w:sz w:val="20"/>
          <w:szCs w:val="20"/>
        </w:rPr>
      </w:pPr>
      <w:r>
        <w:rPr>
          <w:rFonts w:ascii="Verdana" w:hAnsi="Verdana"/>
          <w:sz w:val="20"/>
          <w:szCs w:val="20"/>
        </w:rPr>
        <w:t xml:space="preserve">For additional information in relation to the AFM disclosures on issued share capital, please see the register on the AFM website: </w:t>
      </w:r>
      <w:hyperlink r:id="rId12" w:history="1">
        <w:r w:rsidRPr="003F187F">
          <w:rPr>
            <w:rStyle w:val="Hyperlink"/>
            <w:rFonts w:ascii="Verdana" w:hAnsi="Verdana"/>
            <w:sz w:val="20"/>
            <w:szCs w:val="20"/>
          </w:rPr>
          <w:t>https://www.afm.nl/en/sector/registers/meldingenregisters/geplaatst-kapitaal</w:t>
        </w:r>
      </w:hyperlink>
      <w:r>
        <w:rPr>
          <w:rFonts w:ascii="Verdana" w:hAnsi="Verdana"/>
          <w:sz w:val="20"/>
          <w:szCs w:val="20"/>
        </w:rPr>
        <w:t>.</w:t>
      </w:r>
    </w:p>
    <w:p w14:paraId="02890CB5" w14:textId="016ED1A2" w:rsidR="00CF7332" w:rsidRPr="00CF7332" w:rsidRDefault="00CF7332" w:rsidP="00DD1622">
      <w:pPr>
        <w:pStyle w:val="AODocTxt"/>
        <w:ind w:firstLine="720"/>
        <w:jc w:val="left"/>
        <w:rPr>
          <w:rFonts w:ascii="Verdana" w:hAnsi="Verdana"/>
          <w:i/>
          <w:iCs/>
          <w:sz w:val="20"/>
          <w:szCs w:val="20"/>
        </w:rPr>
      </w:pPr>
      <w:r>
        <w:rPr>
          <w:rFonts w:ascii="Verdana" w:hAnsi="Verdana"/>
          <w:i/>
          <w:iCs/>
          <w:sz w:val="20"/>
          <w:szCs w:val="20"/>
        </w:rPr>
        <w:t xml:space="preserve">Change in Directors’ </w:t>
      </w:r>
      <w:proofErr w:type="gramStart"/>
      <w:r>
        <w:rPr>
          <w:rFonts w:ascii="Verdana" w:hAnsi="Verdana"/>
          <w:i/>
          <w:iCs/>
          <w:sz w:val="20"/>
          <w:szCs w:val="20"/>
        </w:rPr>
        <w:t>shareholdings</w:t>
      </w:r>
      <w:proofErr w:type="gramEnd"/>
    </w:p>
    <w:p w14:paraId="6FFCE394" w14:textId="26E14B56" w:rsidR="00285E1B" w:rsidRDefault="00CF7332" w:rsidP="006A4F52">
      <w:pPr>
        <w:pStyle w:val="AODocTxt"/>
        <w:spacing w:after="240"/>
        <w:ind w:left="720"/>
        <w:rPr>
          <w:rFonts w:ascii="Verdana" w:hAnsi="Verdana"/>
          <w:sz w:val="20"/>
          <w:szCs w:val="20"/>
        </w:rPr>
      </w:pPr>
      <w:r>
        <w:rPr>
          <w:rFonts w:ascii="Verdana" w:hAnsi="Verdana"/>
          <w:sz w:val="20"/>
          <w:szCs w:val="20"/>
        </w:rPr>
        <w:t>In accordance with applicable Dutch law, t</w:t>
      </w:r>
      <w:r w:rsidR="00285E1B">
        <w:rPr>
          <w:rFonts w:ascii="Verdana" w:hAnsi="Verdana"/>
          <w:sz w:val="20"/>
          <w:szCs w:val="20"/>
        </w:rPr>
        <w:t xml:space="preserve">he Directors will notify the AFM </w:t>
      </w:r>
      <w:r w:rsidR="0033420A">
        <w:rPr>
          <w:rFonts w:ascii="Verdana" w:hAnsi="Verdana"/>
          <w:sz w:val="20"/>
          <w:szCs w:val="20"/>
        </w:rPr>
        <w:t xml:space="preserve">without delay </w:t>
      </w:r>
      <w:r w:rsidR="00285E1B">
        <w:rPr>
          <w:rFonts w:ascii="Verdana" w:hAnsi="Verdana"/>
          <w:sz w:val="20"/>
          <w:szCs w:val="20"/>
        </w:rPr>
        <w:t xml:space="preserve">of the changes in the Prosus Ordinary Shares N and the voting rights held by them </w:t>
      </w:r>
      <w:proofErr w:type="gramStart"/>
      <w:r w:rsidR="00285E1B">
        <w:rPr>
          <w:rFonts w:ascii="Verdana" w:hAnsi="Verdana"/>
          <w:sz w:val="20"/>
          <w:szCs w:val="20"/>
        </w:rPr>
        <w:t>as a result of</w:t>
      </w:r>
      <w:proofErr w:type="gramEnd"/>
      <w:r w:rsidR="00285E1B">
        <w:rPr>
          <w:rFonts w:ascii="Verdana" w:hAnsi="Verdana"/>
          <w:sz w:val="20"/>
          <w:szCs w:val="20"/>
        </w:rPr>
        <w:t xml:space="preserve"> the implementation of the Prosus Capitalisation Issue. These notifications are as follows:</w:t>
      </w:r>
    </w:p>
    <w:tbl>
      <w:tblPr>
        <w:tblStyle w:val="TableGrid"/>
        <w:tblW w:w="0" w:type="auto"/>
        <w:tblInd w:w="704" w:type="dxa"/>
        <w:tblLook w:val="04A0" w:firstRow="1" w:lastRow="0" w:firstColumn="1" w:lastColumn="0" w:noHBand="0" w:noVBand="1"/>
      </w:tblPr>
      <w:tblGrid>
        <w:gridCol w:w="1729"/>
        <w:gridCol w:w="1729"/>
        <w:gridCol w:w="1729"/>
        <w:gridCol w:w="1729"/>
        <w:gridCol w:w="1730"/>
      </w:tblGrid>
      <w:tr w:rsidR="00285E1B" w:rsidRPr="008524A0" w14:paraId="173FF36B" w14:textId="77777777" w:rsidTr="00DD1622">
        <w:trPr>
          <w:tblHeader/>
        </w:trPr>
        <w:tc>
          <w:tcPr>
            <w:tcW w:w="1729" w:type="dxa"/>
            <w:tcBorders>
              <w:bottom w:val="single" w:sz="4" w:space="0" w:color="auto"/>
            </w:tcBorders>
            <w:shd w:val="clear" w:color="auto" w:fill="D9D9D9" w:themeFill="background1" w:themeFillShade="D9"/>
          </w:tcPr>
          <w:p w14:paraId="05E1213D" w14:textId="77777777"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Director</w:t>
            </w:r>
          </w:p>
        </w:tc>
        <w:tc>
          <w:tcPr>
            <w:tcW w:w="1729" w:type="dxa"/>
            <w:shd w:val="clear" w:color="auto" w:fill="D9D9D9" w:themeFill="background1" w:themeFillShade="D9"/>
          </w:tcPr>
          <w:p w14:paraId="28C4E3FF" w14:textId="77777777"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Number of Prosus Ordinary Shares N received</w:t>
            </w:r>
          </w:p>
        </w:tc>
        <w:tc>
          <w:tcPr>
            <w:tcW w:w="1729" w:type="dxa"/>
            <w:shd w:val="clear" w:color="auto" w:fill="D9D9D9" w:themeFill="background1" w:themeFillShade="D9"/>
          </w:tcPr>
          <w:p w14:paraId="246B8860" w14:textId="77777777"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Number of votes</w:t>
            </w:r>
          </w:p>
        </w:tc>
        <w:tc>
          <w:tcPr>
            <w:tcW w:w="1729" w:type="dxa"/>
            <w:shd w:val="clear" w:color="auto" w:fill="D9D9D9" w:themeFill="background1" w:themeFillShade="D9"/>
          </w:tcPr>
          <w:p w14:paraId="4C5BA371"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Nature of interest</w:t>
            </w:r>
          </w:p>
        </w:tc>
        <w:tc>
          <w:tcPr>
            <w:tcW w:w="1730" w:type="dxa"/>
            <w:shd w:val="clear" w:color="auto" w:fill="D9D9D9" w:themeFill="background1" w:themeFillShade="D9"/>
          </w:tcPr>
          <w:p w14:paraId="7299F459" w14:textId="3EBC9E3D" w:rsidR="00285E1B" w:rsidRPr="008524A0" w:rsidRDefault="006B5F9C" w:rsidP="00787F69">
            <w:pPr>
              <w:pStyle w:val="AODocTxt"/>
              <w:spacing w:before="120" w:after="120"/>
              <w:rPr>
                <w:rFonts w:ascii="Verdana" w:hAnsi="Verdana"/>
                <w:sz w:val="18"/>
                <w:szCs w:val="18"/>
              </w:rPr>
            </w:pPr>
            <w:r w:rsidRPr="008524A0">
              <w:rPr>
                <w:rFonts w:ascii="Verdana" w:hAnsi="Verdana"/>
                <w:sz w:val="18"/>
                <w:szCs w:val="18"/>
              </w:rPr>
              <w:t xml:space="preserve">Total </w:t>
            </w:r>
            <w:r>
              <w:rPr>
                <w:rFonts w:ascii="Verdana" w:hAnsi="Verdana"/>
                <w:sz w:val="18"/>
                <w:szCs w:val="18"/>
              </w:rPr>
              <w:t>number of Prosus Ordinary Shares N (and votes)</w:t>
            </w:r>
            <w:r w:rsidRPr="008524A0">
              <w:rPr>
                <w:rFonts w:ascii="Verdana" w:hAnsi="Verdana"/>
                <w:sz w:val="18"/>
                <w:szCs w:val="18"/>
              </w:rPr>
              <w:t xml:space="preserve"> </w:t>
            </w:r>
            <w:r>
              <w:rPr>
                <w:rFonts w:ascii="Verdana" w:hAnsi="Verdana"/>
                <w:sz w:val="18"/>
                <w:szCs w:val="18"/>
              </w:rPr>
              <w:t xml:space="preserve">held </w:t>
            </w:r>
            <w:r w:rsidRPr="008524A0">
              <w:rPr>
                <w:rFonts w:ascii="Verdana" w:hAnsi="Verdana"/>
                <w:sz w:val="18"/>
                <w:szCs w:val="18"/>
              </w:rPr>
              <w:t xml:space="preserve">following </w:t>
            </w:r>
            <w:r>
              <w:rPr>
                <w:rFonts w:ascii="Verdana" w:hAnsi="Verdana"/>
                <w:sz w:val="18"/>
                <w:szCs w:val="18"/>
              </w:rPr>
              <w:t>Prosus Capitalisation Issue</w:t>
            </w:r>
          </w:p>
        </w:tc>
      </w:tr>
      <w:tr w:rsidR="00285E1B" w:rsidRPr="008524A0" w14:paraId="17436820"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0B6A17BB"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 xml:space="preserve">Koos </w:t>
            </w:r>
            <w:r w:rsidRPr="00BC5B7A">
              <w:rPr>
                <w:rFonts w:ascii="Verdana" w:hAnsi="Verdana"/>
                <w:sz w:val="18"/>
                <w:szCs w:val="18"/>
              </w:rPr>
              <w:t>Bekker</w:t>
            </w:r>
          </w:p>
        </w:tc>
        <w:tc>
          <w:tcPr>
            <w:tcW w:w="1729" w:type="dxa"/>
          </w:tcPr>
          <w:p w14:paraId="001D1BD5" w14:textId="33C432B8" w:rsidR="00285E1B" w:rsidRPr="008524A0" w:rsidRDefault="00285E1B" w:rsidP="00787F69">
            <w:pPr>
              <w:pStyle w:val="AODocTxt"/>
              <w:spacing w:before="120" w:after="120"/>
              <w:rPr>
                <w:rFonts w:ascii="Verdana" w:hAnsi="Verdana"/>
                <w:sz w:val="18"/>
                <w:szCs w:val="18"/>
              </w:rPr>
            </w:pPr>
            <w:r w:rsidRPr="00BC5B7A">
              <w:rPr>
                <w:rFonts w:ascii="Verdana" w:hAnsi="Verdana"/>
                <w:sz w:val="18"/>
                <w:szCs w:val="18"/>
              </w:rPr>
              <w:t>10</w:t>
            </w:r>
            <w:r>
              <w:rPr>
                <w:rFonts w:ascii="Verdana" w:hAnsi="Verdana"/>
                <w:sz w:val="18"/>
                <w:szCs w:val="18"/>
              </w:rPr>
              <w:t>,</w:t>
            </w:r>
            <w:r w:rsidRPr="00BC5B7A">
              <w:rPr>
                <w:rFonts w:ascii="Verdana" w:hAnsi="Verdana"/>
                <w:sz w:val="18"/>
                <w:szCs w:val="18"/>
              </w:rPr>
              <w:t>632</w:t>
            </w:r>
            <w:r>
              <w:rPr>
                <w:rFonts w:ascii="Verdana" w:hAnsi="Verdana"/>
                <w:sz w:val="18"/>
                <w:szCs w:val="18"/>
              </w:rPr>
              <w:t>,</w:t>
            </w:r>
            <w:r w:rsidRPr="00BC5B7A">
              <w:rPr>
                <w:rFonts w:ascii="Verdana" w:hAnsi="Verdana"/>
                <w:sz w:val="18"/>
                <w:szCs w:val="18"/>
              </w:rPr>
              <w:t>689</w:t>
            </w:r>
          </w:p>
        </w:tc>
        <w:tc>
          <w:tcPr>
            <w:tcW w:w="1729" w:type="dxa"/>
          </w:tcPr>
          <w:p w14:paraId="77C16503" w14:textId="1ADE95B4" w:rsidR="00285E1B" w:rsidRPr="008524A0" w:rsidRDefault="00285E1B" w:rsidP="00787F69">
            <w:pPr>
              <w:pStyle w:val="AODocTxt"/>
              <w:spacing w:before="120" w:after="120"/>
              <w:rPr>
                <w:rFonts w:ascii="Verdana" w:hAnsi="Verdana"/>
                <w:sz w:val="18"/>
                <w:szCs w:val="18"/>
              </w:rPr>
            </w:pPr>
            <w:r w:rsidRPr="00BC5B7A">
              <w:rPr>
                <w:rFonts w:ascii="Verdana" w:hAnsi="Verdana"/>
                <w:sz w:val="18"/>
                <w:szCs w:val="18"/>
              </w:rPr>
              <w:t>10</w:t>
            </w:r>
            <w:r>
              <w:rPr>
                <w:rFonts w:ascii="Verdana" w:hAnsi="Verdana"/>
                <w:sz w:val="18"/>
                <w:szCs w:val="18"/>
              </w:rPr>
              <w:t>,</w:t>
            </w:r>
            <w:r w:rsidRPr="00BC5B7A">
              <w:rPr>
                <w:rFonts w:ascii="Verdana" w:hAnsi="Verdana"/>
                <w:sz w:val="18"/>
                <w:szCs w:val="18"/>
              </w:rPr>
              <w:t>632</w:t>
            </w:r>
            <w:r>
              <w:rPr>
                <w:rFonts w:ascii="Verdana" w:hAnsi="Verdana"/>
                <w:sz w:val="18"/>
                <w:szCs w:val="18"/>
              </w:rPr>
              <w:t>,</w:t>
            </w:r>
            <w:r w:rsidRPr="00BC5B7A">
              <w:rPr>
                <w:rFonts w:ascii="Verdana" w:hAnsi="Verdana"/>
                <w:sz w:val="18"/>
                <w:szCs w:val="18"/>
              </w:rPr>
              <w:t>689</w:t>
            </w:r>
          </w:p>
        </w:tc>
        <w:tc>
          <w:tcPr>
            <w:tcW w:w="1729" w:type="dxa"/>
          </w:tcPr>
          <w:p w14:paraId="514D0B7E"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Indirect</w:t>
            </w:r>
          </w:p>
        </w:tc>
        <w:tc>
          <w:tcPr>
            <w:tcW w:w="1730" w:type="dxa"/>
          </w:tcPr>
          <w:p w14:paraId="13BEBC1D" w14:textId="67AFC67F" w:rsidR="00285E1B" w:rsidRPr="008524A0" w:rsidRDefault="00285E1B" w:rsidP="00787F69">
            <w:pPr>
              <w:pStyle w:val="AODocTxt"/>
              <w:spacing w:before="120" w:after="120"/>
              <w:rPr>
                <w:rFonts w:ascii="Verdana" w:hAnsi="Verdana"/>
                <w:sz w:val="18"/>
                <w:szCs w:val="18"/>
              </w:rPr>
            </w:pPr>
            <w:r w:rsidRPr="00BC5B7A">
              <w:rPr>
                <w:rFonts w:ascii="Verdana" w:hAnsi="Verdana"/>
                <w:sz w:val="18"/>
                <w:szCs w:val="18"/>
              </w:rPr>
              <w:t>19</w:t>
            </w:r>
            <w:r>
              <w:rPr>
                <w:rFonts w:ascii="Verdana" w:hAnsi="Verdana"/>
                <w:sz w:val="18"/>
                <w:szCs w:val="18"/>
              </w:rPr>
              <w:t>,</w:t>
            </w:r>
            <w:r w:rsidRPr="00BC5B7A">
              <w:rPr>
                <w:rFonts w:ascii="Verdana" w:hAnsi="Verdana"/>
                <w:sz w:val="18"/>
                <w:szCs w:val="18"/>
              </w:rPr>
              <w:t>646</w:t>
            </w:r>
            <w:r>
              <w:rPr>
                <w:rFonts w:ascii="Verdana" w:hAnsi="Verdana"/>
                <w:sz w:val="18"/>
                <w:szCs w:val="18"/>
              </w:rPr>
              <w:t>,</w:t>
            </w:r>
            <w:r w:rsidRPr="00BC5B7A">
              <w:rPr>
                <w:rFonts w:ascii="Verdana" w:hAnsi="Verdana"/>
                <w:sz w:val="18"/>
                <w:szCs w:val="18"/>
              </w:rPr>
              <w:t>498</w:t>
            </w:r>
          </w:p>
        </w:tc>
      </w:tr>
      <w:tr w:rsidR="00285E1B" w:rsidRPr="008524A0" w14:paraId="24E571C0"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0FFE40F6"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 xml:space="preserve">Hendrik </w:t>
            </w:r>
            <w:r w:rsidRPr="00BC5B7A">
              <w:rPr>
                <w:rFonts w:ascii="Verdana" w:hAnsi="Verdana"/>
                <w:sz w:val="18"/>
                <w:szCs w:val="18"/>
              </w:rPr>
              <w:t>Du Toit</w:t>
            </w:r>
          </w:p>
        </w:tc>
        <w:tc>
          <w:tcPr>
            <w:tcW w:w="1729" w:type="dxa"/>
          </w:tcPr>
          <w:p w14:paraId="280ECCB9" w14:textId="56702ADD" w:rsidR="00285E1B" w:rsidRPr="008524A0" w:rsidRDefault="00285E1B" w:rsidP="00787F69">
            <w:pPr>
              <w:pStyle w:val="AODocTxt"/>
              <w:spacing w:before="120" w:after="120"/>
              <w:rPr>
                <w:rFonts w:ascii="Verdana" w:hAnsi="Verdana"/>
                <w:sz w:val="18"/>
                <w:szCs w:val="18"/>
              </w:rPr>
            </w:pPr>
            <w:r w:rsidRPr="00BC5B7A">
              <w:rPr>
                <w:rFonts w:ascii="Verdana" w:hAnsi="Verdana"/>
                <w:sz w:val="18"/>
                <w:szCs w:val="18"/>
              </w:rPr>
              <w:t>6</w:t>
            </w:r>
            <w:r>
              <w:rPr>
                <w:rFonts w:ascii="Verdana" w:hAnsi="Verdana"/>
                <w:sz w:val="18"/>
                <w:szCs w:val="18"/>
              </w:rPr>
              <w:t>,</w:t>
            </w:r>
            <w:r w:rsidRPr="00BC5B7A">
              <w:rPr>
                <w:rFonts w:ascii="Verdana" w:hAnsi="Verdana"/>
                <w:sz w:val="18"/>
                <w:szCs w:val="18"/>
              </w:rPr>
              <w:t>028</w:t>
            </w:r>
          </w:p>
        </w:tc>
        <w:tc>
          <w:tcPr>
            <w:tcW w:w="1729" w:type="dxa"/>
          </w:tcPr>
          <w:p w14:paraId="5AD0A741" w14:textId="413AA866" w:rsidR="00285E1B" w:rsidRPr="008524A0" w:rsidRDefault="00285E1B" w:rsidP="00787F69">
            <w:pPr>
              <w:pStyle w:val="AODocTxt"/>
              <w:spacing w:before="120" w:after="120"/>
              <w:rPr>
                <w:rFonts w:ascii="Verdana" w:hAnsi="Verdana"/>
                <w:sz w:val="18"/>
                <w:szCs w:val="18"/>
              </w:rPr>
            </w:pPr>
            <w:r w:rsidRPr="00BC5B7A">
              <w:rPr>
                <w:rFonts w:ascii="Verdana" w:hAnsi="Verdana"/>
                <w:sz w:val="18"/>
                <w:szCs w:val="18"/>
              </w:rPr>
              <w:t>6</w:t>
            </w:r>
            <w:r>
              <w:rPr>
                <w:rFonts w:ascii="Verdana" w:hAnsi="Verdana"/>
                <w:sz w:val="18"/>
                <w:szCs w:val="18"/>
              </w:rPr>
              <w:t>,</w:t>
            </w:r>
            <w:r w:rsidRPr="00BC5B7A">
              <w:rPr>
                <w:rFonts w:ascii="Verdana" w:hAnsi="Verdana"/>
                <w:sz w:val="18"/>
                <w:szCs w:val="18"/>
              </w:rPr>
              <w:t>028</w:t>
            </w:r>
          </w:p>
        </w:tc>
        <w:tc>
          <w:tcPr>
            <w:tcW w:w="1729" w:type="dxa"/>
          </w:tcPr>
          <w:p w14:paraId="11AD3E7C"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Direct</w:t>
            </w:r>
          </w:p>
        </w:tc>
        <w:tc>
          <w:tcPr>
            <w:tcW w:w="1730" w:type="dxa"/>
          </w:tcPr>
          <w:p w14:paraId="3E42D4AB" w14:textId="22A0EABF" w:rsidR="00285E1B" w:rsidRPr="008524A0" w:rsidRDefault="00285E1B" w:rsidP="00787F69">
            <w:pPr>
              <w:pStyle w:val="AODocTxt"/>
              <w:spacing w:before="120" w:after="120"/>
              <w:rPr>
                <w:rFonts w:ascii="Verdana" w:hAnsi="Verdana"/>
                <w:sz w:val="18"/>
                <w:szCs w:val="18"/>
              </w:rPr>
            </w:pPr>
            <w:r w:rsidRPr="00BC5B7A">
              <w:rPr>
                <w:rFonts w:ascii="Verdana" w:hAnsi="Verdana"/>
                <w:sz w:val="18"/>
                <w:szCs w:val="18"/>
              </w:rPr>
              <w:t>11</w:t>
            </w:r>
            <w:r>
              <w:rPr>
                <w:rFonts w:ascii="Verdana" w:hAnsi="Verdana"/>
                <w:sz w:val="18"/>
                <w:szCs w:val="18"/>
              </w:rPr>
              <w:t>,</w:t>
            </w:r>
            <w:r w:rsidRPr="00BC5B7A">
              <w:rPr>
                <w:rFonts w:ascii="Verdana" w:hAnsi="Verdana"/>
                <w:sz w:val="18"/>
                <w:szCs w:val="18"/>
              </w:rPr>
              <w:t>139</w:t>
            </w:r>
          </w:p>
        </w:tc>
      </w:tr>
      <w:tr w:rsidR="00285E1B" w:rsidRPr="008524A0" w14:paraId="572BDC17"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11498D1F"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 xml:space="preserve">Craig </w:t>
            </w:r>
            <w:r w:rsidRPr="00BC5B7A">
              <w:rPr>
                <w:rFonts w:ascii="Verdana" w:hAnsi="Verdana"/>
                <w:sz w:val="18"/>
                <w:szCs w:val="18"/>
              </w:rPr>
              <w:t>Enenstein</w:t>
            </w:r>
          </w:p>
        </w:tc>
        <w:tc>
          <w:tcPr>
            <w:tcW w:w="1729" w:type="dxa"/>
          </w:tcPr>
          <w:p w14:paraId="4DB7A4D8" w14:textId="77777777" w:rsidR="00285E1B" w:rsidRPr="008524A0" w:rsidRDefault="00285E1B" w:rsidP="00787F69">
            <w:pPr>
              <w:pStyle w:val="AODocTxt"/>
              <w:spacing w:before="120" w:after="120"/>
              <w:rPr>
                <w:rFonts w:ascii="Verdana" w:hAnsi="Verdana"/>
                <w:sz w:val="18"/>
                <w:szCs w:val="18"/>
              </w:rPr>
            </w:pPr>
            <w:r w:rsidRPr="00BC5B7A">
              <w:rPr>
                <w:rFonts w:ascii="Verdana" w:hAnsi="Verdana"/>
                <w:sz w:val="18"/>
                <w:szCs w:val="18"/>
              </w:rPr>
              <w:t>489</w:t>
            </w:r>
          </w:p>
        </w:tc>
        <w:tc>
          <w:tcPr>
            <w:tcW w:w="1729" w:type="dxa"/>
          </w:tcPr>
          <w:p w14:paraId="193BD05B" w14:textId="77777777" w:rsidR="00285E1B" w:rsidRPr="008524A0" w:rsidRDefault="00285E1B" w:rsidP="00787F69">
            <w:pPr>
              <w:pStyle w:val="AODocTxt"/>
              <w:spacing w:before="120" w:after="120"/>
              <w:rPr>
                <w:rFonts w:ascii="Verdana" w:hAnsi="Verdana"/>
                <w:sz w:val="18"/>
                <w:szCs w:val="18"/>
              </w:rPr>
            </w:pPr>
            <w:r w:rsidRPr="00BC5B7A">
              <w:rPr>
                <w:rFonts w:ascii="Verdana" w:hAnsi="Verdana"/>
                <w:sz w:val="18"/>
                <w:szCs w:val="18"/>
              </w:rPr>
              <w:t>489</w:t>
            </w:r>
          </w:p>
        </w:tc>
        <w:tc>
          <w:tcPr>
            <w:tcW w:w="1729" w:type="dxa"/>
          </w:tcPr>
          <w:p w14:paraId="26B4FD64"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Indirect</w:t>
            </w:r>
          </w:p>
        </w:tc>
        <w:tc>
          <w:tcPr>
            <w:tcW w:w="1730" w:type="dxa"/>
          </w:tcPr>
          <w:p w14:paraId="0869A000" w14:textId="77777777" w:rsidR="00285E1B" w:rsidRPr="008524A0" w:rsidRDefault="00285E1B" w:rsidP="00787F69">
            <w:pPr>
              <w:pStyle w:val="AODocTxt"/>
              <w:spacing w:before="120" w:after="120"/>
              <w:rPr>
                <w:rFonts w:ascii="Verdana" w:hAnsi="Verdana"/>
                <w:sz w:val="18"/>
                <w:szCs w:val="18"/>
              </w:rPr>
            </w:pPr>
            <w:r w:rsidRPr="00BC5B7A">
              <w:rPr>
                <w:rFonts w:ascii="Verdana" w:hAnsi="Verdana"/>
                <w:sz w:val="18"/>
                <w:szCs w:val="18"/>
              </w:rPr>
              <w:t>904</w:t>
            </w:r>
          </w:p>
        </w:tc>
      </w:tr>
      <w:tr w:rsidR="00285E1B" w:rsidRPr="008524A0" w14:paraId="2BA220EC"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48A7521F"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 xml:space="preserve">Nolo </w:t>
            </w:r>
            <w:r w:rsidRPr="00BC5B7A">
              <w:rPr>
                <w:rFonts w:ascii="Verdana" w:hAnsi="Verdana"/>
                <w:sz w:val="18"/>
                <w:szCs w:val="18"/>
              </w:rPr>
              <w:t>Letele</w:t>
            </w:r>
          </w:p>
        </w:tc>
        <w:tc>
          <w:tcPr>
            <w:tcW w:w="1729" w:type="dxa"/>
          </w:tcPr>
          <w:p w14:paraId="56063B17" w14:textId="69DD33D9"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3</w:t>
            </w:r>
            <w:r>
              <w:rPr>
                <w:rFonts w:ascii="Verdana" w:hAnsi="Verdana"/>
                <w:sz w:val="18"/>
                <w:szCs w:val="18"/>
              </w:rPr>
              <w:t>,</w:t>
            </w:r>
            <w:r w:rsidRPr="0090065B">
              <w:rPr>
                <w:rFonts w:ascii="Verdana" w:hAnsi="Verdana"/>
                <w:sz w:val="18"/>
                <w:szCs w:val="18"/>
              </w:rPr>
              <w:t>071</w:t>
            </w:r>
          </w:p>
        </w:tc>
        <w:tc>
          <w:tcPr>
            <w:tcW w:w="1729" w:type="dxa"/>
          </w:tcPr>
          <w:p w14:paraId="4815B44D" w14:textId="4D8D70AD"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3</w:t>
            </w:r>
            <w:r>
              <w:rPr>
                <w:rFonts w:ascii="Verdana" w:hAnsi="Verdana"/>
                <w:sz w:val="18"/>
                <w:szCs w:val="18"/>
              </w:rPr>
              <w:t>,</w:t>
            </w:r>
            <w:r w:rsidRPr="0090065B">
              <w:rPr>
                <w:rFonts w:ascii="Verdana" w:hAnsi="Verdana"/>
                <w:sz w:val="18"/>
                <w:szCs w:val="18"/>
              </w:rPr>
              <w:t>071</w:t>
            </w:r>
          </w:p>
        </w:tc>
        <w:tc>
          <w:tcPr>
            <w:tcW w:w="1729" w:type="dxa"/>
          </w:tcPr>
          <w:p w14:paraId="03B2CABD"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Direct</w:t>
            </w:r>
          </w:p>
        </w:tc>
        <w:tc>
          <w:tcPr>
            <w:tcW w:w="1730" w:type="dxa"/>
          </w:tcPr>
          <w:p w14:paraId="7D186330" w14:textId="4D6F3AB0"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5</w:t>
            </w:r>
            <w:r>
              <w:rPr>
                <w:rFonts w:ascii="Verdana" w:hAnsi="Verdana"/>
                <w:sz w:val="18"/>
                <w:szCs w:val="18"/>
              </w:rPr>
              <w:t>,</w:t>
            </w:r>
            <w:r w:rsidRPr="0090065B">
              <w:rPr>
                <w:rFonts w:ascii="Verdana" w:hAnsi="Verdana"/>
                <w:sz w:val="18"/>
                <w:szCs w:val="18"/>
              </w:rPr>
              <w:t>675</w:t>
            </w:r>
          </w:p>
        </w:tc>
      </w:tr>
      <w:tr w:rsidR="00285E1B" w:rsidRPr="008524A0" w14:paraId="65CF5A3E"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05D5DA93"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 xml:space="preserve">Steve </w:t>
            </w:r>
            <w:r w:rsidRPr="00BC5B7A">
              <w:rPr>
                <w:rFonts w:ascii="Verdana" w:hAnsi="Verdana"/>
                <w:sz w:val="18"/>
                <w:szCs w:val="18"/>
              </w:rPr>
              <w:t>Pacak</w:t>
            </w:r>
          </w:p>
        </w:tc>
        <w:tc>
          <w:tcPr>
            <w:tcW w:w="1729" w:type="dxa"/>
          </w:tcPr>
          <w:p w14:paraId="782EEEE6" w14:textId="2646F9BF"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543</w:t>
            </w:r>
            <w:r>
              <w:rPr>
                <w:rFonts w:ascii="Verdana" w:hAnsi="Verdana"/>
                <w:sz w:val="18"/>
                <w:szCs w:val="18"/>
              </w:rPr>
              <w:t>,</w:t>
            </w:r>
            <w:r w:rsidRPr="0090065B">
              <w:rPr>
                <w:rFonts w:ascii="Verdana" w:hAnsi="Verdana"/>
                <w:sz w:val="18"/>
                <w:szCs w:val="18"/>
              </w:rPr>
              <w:t>690</w:t>
            </w:r>
          </w:p>
        </w:tc>
        <w:tc>
          <w:tcPr>
            <w:tcW w:w="1729" w:type="dxa"/>
          </w:tcPr>
          <w:p w14:paraId="3B8FE1EB" w14:textId="4367D23E"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543</w:t>
            </w:r>
            <w:r>
              <w:rPr>
                <w:rFonts w:ascii="Verdana" w:hAnsi="Verdana"/>
                <w:sz w:val="18"/>
                <w:szCs w:val="18"/>
              </w:rPr>
              <w:t>,</w:t>
            </w:r>
            <w:r w:rsidRPr="0090065B">
              <w:rPr>
                <w:rFonts w:ascii="Verdana" w:hAnsi="Verdana"/>
                <w:sz w:val="18"/>
                <w:szCs w:val="18"/>
              </w:rPr>
              <w:t>690</w:t>
            </w:r>
          </w:p>
        </w:tc>
        <w:tc>
          <w:tcPr>
            <w:tcW w:w="1729" w:type="dxa"/>
          </w:tcPr>
          <w:p w14:paraId="19DAD1A9"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Direct</w:t>
            </w:r>
          </w:p>
        </w:tc>
        <w:tc>
          <w:tcPr>
            <w:tcW w:w="1730" w:type="dxa"/>
          </w:tcPr>
          <w:p w14:paraId="7AA9F956" w14:textId="7D2027E4"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1</w:t>
            </w:r>
            <w:r>
              <w:rPr>
                <w:rFonts w:ascii="Verdana" w:hAnsi="Verdana"/>
                <w:sz w:val="18"/>
                <w:szCs w:val="18"/>
              </w:rPr>
              <w:t>,</w:t>
            </w:r>
            <w:r w:rsidRPr="0090065B">
              <w:rPr>
                <w:rFonts w:ascii="Verdana" w:hAnsi="Verdana"/>
                <w:sz w:val="18"/>
                <w:szCs w:val="18"/>
              </w:rPr>
              <w:t>004</w:t>
            </w:r>
            <w:r>
              <w:rPr>
                <w:rFonts w:ascii="Verdana" w:hAnsi="Verdana"/>
                <w:sz w:val="18"/>
                <w:szCs w:val="18"/>
              </w:rPr>
              <w:t>,</w:t>
            </w:r>
            <w:r w:rsidRPr="0090065B">
              <w:rPr>
                <w:rFonts w:ascii="Verdana" w:hAnsi="Verdana"/>
                <w:sz w:val="18"/>
                <w:szCs w:val="18"/>
              </w:rPr>
              <w:t>601</w:t>
            </w:r>
          </w:p>
        </w:tc>
      </w:tr>
      <w:tr w:rsidR="00285E1B" w:rsidRPr="008524A0" w14:paraId="328191FE"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5EC5DC0E" w14:textId="77777777" w:rsidR="00285E1B" w:rsidRPr="00BC5B7A" w:rsidRDefault="00285E1B" w:rsidP="00787F69">
            <w:pPr>
              <w:pStyle w:val="AODocTxt"/>
              <w:spacing w:before="120" w:after="120"/>
              <w:rPr>
                <w:rFonts w:ascii="Verdana" w:hAnsi="Verdana"/>
                <w:sz w:val="18"/>
                <w:szCs w:val="18"/>
              </w:rPr>
            </w:pPr>
            <w:r>
              <w:rPr>
                <w:rFonts w:ascii="Verdana" w:hAnsi="Verdana"/>
                <w:sz w:val="18"/>
                <w:szCs w:val="18"/>
              </w:rPr>
              <w:t>Steve Pacak</w:t>
            </w:r>
          </w:p>
        </w:tc>
        <w:tc>
          <w:tcPr>
            <w:tcW w:w="1729" w:type="dxa"/>
          </w:tcPr>
          <w:p w14:paraId="6797F5A0" w14:textId="68A00773" w:rsidR="00285E1B" w:rsidRPr="0090065B" w:rsidRDefault="00285E1B" w:rsidP="00787F69">
            <w:pPr>
              <w:pStyle w:val="AODocTxt"/>
              <w:spacing w:before="120" w:after="120"/>
              <w:rPr>
                <w:rFonts w:ascii="Verdana" w:hAnsi="Verdana"/>
                <w:sz w:val="18"/>
                <w:szCs w:val="18"/>
              </w:rPr>
            </w:pPr>
            <w:r w:rsidRPr="0090065B">
              <w:rPr>
                <w:rFonts w:ascii="Verdana" w:hAnsi="Verdana"/>
                <w:sz w:val="18"/>
                <w:szCs w:val="18"/>
              </w:rPr>
              <w:t>817</w:t>
            </w:r>
            <w:r>
              <w:rPr>
                <w:rFonts w:ascii="Verdana" w:hAnsi="Verdana"/>
                <w:sz w:val="18"/>
                <w:szCs w:val="18"/>
              </w:rPr>
              <w:t>,</w:t>
            </w:r>
            <w:r w:rsidRPr="0090065B">
              <w:rPr>
                <w:rFonts w:ascii="Verdana" w:hAnsi="Verdana"/>
                <w:sz w:val="18"/>
                <w:szCs w:val="18"/>
              </w:rPr>
              <w:t>564</w:t>
            </w:r>
          </w:p>
        </w:tc>
        <w:tc>
          <w:tcPr>
            <w:tcW w:w="1729" w:type="dxa"/>
          </w:tcPr>
          <w:p w14:paraId="4BB6F495" w14:textId="513B9BF3"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817</w:t>
            </w:r>
            <w:r>
              <w:rPr>
                <w:rFonts w:ascii="Verdana" w:hAnsi="Verdana"/>
                <w:sz w:val="18"/>
                <w:szCs w:val="18"/>
              </w:rPr>
              <w:t>,</w:t>
            </w:r>
            <w:r w:rsidRPr="0090065B">
              <w:rPr>
                <w:rFonts w:ascii="Verdana" w:hAnsi="Verdana"/>
                <w:sz w:val="18"/>
                <w:szCs w:val="18"/>
              </w:rPr>
              <w:t>564</w:t>
            </w:r>
          </w:p>
        </w:tc>
        <w:tc>
          <w:tcPr>
            <w:tcW w:w="1729" w:type="dxa"/>
          </w:tcPr>
          <w:p w14:paraId="44D1E2D4"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Indirect</w:t>
            </w:r>
          </w:p>
        </w:tc>
        <w:tc>
          <w:tcPr>
            <w:tcW w:w="1730" w:type="dxa"/>
          </w:tcPr>
          <w:p w14:paraId="42F7ABAB" w14:textId="2E623016"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1</w:t>
            </w:r>
            <w:r>
              <w:rPr>
                <w:rFonts w:ascii="Verdana" w:hAnsi="Verdana"/>
                <w:sz w:val="18"/>
                <w:szCs w:val="18"/>
              </w:rPr>
              <w:t>,</w:t>
            </w:r>
            <w:r w:rsidRPr="0090065B">
              <w:rPr>
                <w:rFonts w:ascii="Verdana" w:hAnsi="Verdana"/>
                <w:sz w:val="18"/>
                <w:szCs w:val="18"/>
              </w:rPr>
              <w:t>510</w:t>
            </w:r>
            <w:r>
              <w:rPr>
                <w:rFonts w:ascii="Verdana" w:hAnsi="Verdana"/>
                <w:sz w:val="18"/>
                <w:szCs w:val="18"/>
              </w:rPr>
              <w:t>,</w:t>
            </w:r>
            <w:r w:rsidRPr="0090065B">
              <w:rPr>
                <w:rFonts w:ascii="Verdana" w:hAnsi="Verdana"/>
                <w:sz w:val="18"/>
                <w:szCs w:val="18"/>
              </w:rPr>
              <w:t>650</w:t>
            </w:r>
          </w:p>
        </w:tc>
      </w:tr>
      <w:tr w:rsidR="00285E1B" w:rsidRPr="008524A0" w14:paraId="300CC9A6"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2FCA9311" w14:textId="435C8BD2" w:rsidR="00285E1B" w:rsidRPr="008524A0" w:rsidRDefault="00CF7332" w:rsidP="00787F69">
            <w:pPr>
              <w:pStyle w:val="AODocTxt"/>
              <w:spacing w:before="120" w:after="120"/>
              <w:rPr>
                <w:rFonts w:ascii="Verdana" w:hAnsi="Verdana"/>
                <w:sz w:val="18"/>
                <w:szCs w:val="18"/>
              </w:rPr>
            </w:pPr>
            <w:r>
              <w:rPr>
                <w:rFonts w:ascii="Verdana" w:hAnsi="Verdana"/>
                <w:sz w:val="18"/>
                <w:szCs w:val="18"/>
              </w:rPr>
              <w:lastRenderedPageBreak/>
              <w:t xml:space="preserve">Basil </w:t>
            </w:r>
            <w:r w:rsidR="00285E1B" w:rsidRPr="00BC5B7A">
              <w:rPr>
                <w:rFonts w:ascii="Verdana" w:hAnsi="Verdana"/>
                <w:sz w:val="18"/>
                <w:szCs w:val="18"/>
              </w:rPr>
              <w:t>Sgourdos</w:t>
            </w:r>
          </w:p>
        </w:tc>
        <w:tc>
          <w:tcPr>
            <w:tcW w:w="1729" w:type="dxa"/>
          </w:tcPr>
          <w:p w14:paraId="0978CC32" w14:textId="0A132DD3"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286</w:t>
            </w:r>
            <w:r>
              <w:rPr>
                <w:rFonts w:ascii="Verdana" w:hAnsi="Verdana"/>
                <w:sz w:val="18"/>
                <w:szCs w:val="18"/>
              </w:rPr>
              <w:t>,</w:t>
            </w:r>
            <w:r w:rsidRPr="0090065B">
              <w:rPr>
                <w:rFonts w:ascii="Verdana" w:hAnsi="Verdana"/>
                <w:sz w:val="18"/>
                <w:szCs w:val="18"/>
              </w:rPr>
              <w:t>798</w:t>
            </w:r>
          </w:p>
        </w:tc>
        <w:tc>
          <w:tcPr>
            <w:tcW w:w="1729" w:type="dxa"/>
          </w:tcPr>
          <w:p w14:paraId="7A3E458B" w14:textId="69C7F7C3"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286</w:t>
            </w:r>
            <w:r>
              <w:rPr>
                <w:rFonts w:ascii="Verdana" w:hAnsi="Verdana"/>
                <w:sz w:val="18"/>
                <w:szCs w:val="18"/>
              </w:rPr>
              <w:t>,</w:t>
            </w:r>
            <w:r w:rsidRPr="0090065B">
              <w:rPr>
                <w:rFonts w:ascii="Verdana" w:hAnsi="Verdana"/>
                <w:sz w:val="18"/>
                <w:szCs w:val="18"/>
              </w:rPr>
              <w:t>798</w:t>
            </w:r>
          </w:p>
        </w:tc>
        <w:tc>
          <w:tcPr>
            <w:tcW w:w="1729" w:type="dxa"/>
          </w:tcPr>
          <w:p w14:paraId="41FEEC38"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Indirect*</w:t>
            </w:r>
          </w:p>
        </w:tc>
        <w:tc>
          <w:tcPr>
            <w:tcW w:w="1730" w:type="dxa"/>
          </w:tcPr>
          <w:p w14:paraId="6BB8EA98" w14:textId="6D44B275"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529</w:t>
            </w:r>
            <w:r>
              <w:rPr>
                <w:rFonts w:ascii="Verdana" w:hAnsi="Verdana"/>
                <w:sz w:val="18"/>
                <w:szCs w:val="18"/>
              </w:rPr>
              <w:t>,</w:t>
            </w:r>
            <w:r w:rsidRPr="0090065B">
              <w:rPr>
                <w:rFonts w:ascii="Verdana" w:hAnsi="Verdana"/>
                <w:sz w:val="18"/>
                <w:szCs w:val="18"/>
              </w:rPr>
              <w:t>930</w:t>
            </w:r>
          </w:p>
        </w:tc>
      </w:tr>
      <w:tr w:rsidR="00285E1B" w:rsidRPr="008524A0" w14:paraId="7E79DA79"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75A0A5AA" w14:textId="75B43B67" w:rsidR="00285E1B" w:rsidRPr="008524A0" w:rsidRDefault="00CF7332" w:rsidP="00787F69">
            <w:pPr>
              <w:pStyle w:val="AODocTxt"/>
              <w:spacing w:before="120" w:after="120"/>
              <w:rPr>
                <w:rFonts w:ascii="Verdana" w:hAnsi="Verdana"/>
                <w:sz w:val="18"/>
                <w:szCs w:val="18"/>
              </w:rPr>
            </w:pPr>
            <w:r>
              <w:rPr>
                <w:rFonts w:ascii="Verdana" w:hAnsi="Verdana"/>
                <w:sz w:val="18"/>
                <w:szCs w:val="18"/>
              </w:rPr>
              <w:t xml:space="preserve">Mark </w:t>
            </w:r>
            <w:r w:rsidR="00285E1B" w:rsidRPr="00BC5B7A">
              <w:rPr>
                <w:rFonts w:ascii="Verdana" w:hAnsi="Verdana"/>
                <w:sz w:val="18"/>
                <w:szCs w:val="18"/>
              </w:rPr>
              <w:t>Sorour</w:t>
            </w:r>
          </w:p>
        </w:tc>
        <w:tc>
          <w:tcPr>
            <w:tcW w:w="1729" w:type="dxa"/>
          </w:tcPr>
          <w:p w14:paraId="2F006C16" w14:textId="0EBFE382"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4</w:t>
            </w:r>
            <w:r>
              <w:rPr>
                <w:rFonts w:ascii="Verdana" w:hAnsi="Verdana"/>
                <w:sz w:val="18"/>
                <w:szCs w:val="18"/>
              </w:rPr>
              <w:t>,</w:t>
            </w:r>
            <w:r w:rsidRPr="0090065B">
              <w:rPr>
                <w:rFonts w:ascii="Verdana" w:hAnsi="Verdana"/>
                <w:sz w:val="18"/>
                <w:szCs w:val="18"/>
              </w:rPr>
              <w:t>665</w:t>
            </w:r>
          </w:p>
        </w:tc>
        <w:tc>
          <w:tcPr>
            <w:tcW w:w="1729" w:type="dxa"/>
          </w:tcPr>
          <w:p w14:paraId="3E3F4F40" w14:textId="4F649DF2"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4</w:t>
            </w:r>
            <w:r>
              <w:rPr>
                <w:rFonts w:ascii="Verdana" w:hAnsi="Verdana"/>
                <w:sz w:val="18"/>
                <w:szCs w:val="18"/>
              </w:rPr>
              <w:t>,</w:t>
            </w:r>
            <w:r w:rsidRPr="0090065B">
              <w:rPr>
                <w:rFonts w:ascii="Verdana" w:hAnsi="Verdana"/>
                <w:sz w:val="18"/>
                <w:szCs w:val="18"/>
              </w:rPr>
              <w:t>665</w:t>
            </w:r>
          </w:p>
        </w:tc>
        <w:tc>
          <w:tcPr>
            <w:tcW w:w="1729" w:type="dxa"/>
          </w:tcPr>
          <w:p w14:paraId="1DD01A20"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Direct</w:t>
            </w:r>
          </w:p>
        </w:tc>
        <w:tc>
          <w:tcPr>
            <w:tcW w:w="1730" w:type="dxa"/>
          </w:tcPr>
          <w:p w14:paraId="5387093A" w14:textId="5B2E91EA"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8</w:t>
            </w:r>
            <w:r>
              <w:rPr>
                <w:rFonts w:ascii="Verdana" w:hAnsi="Verdana"/>
                <w:sz w:val="18"/>
                <w:szCs w:val="18"/>
              </w:rPr>
              <w:t>,</w:t>
            </w:r>
            <w:r w:rsidRPr="0090065B">
              <w:rPr>
                <w:rFonts w:ascii="Verdana" w:hAnsi="Verdana"/>
                <w:sz w:val="18"/>
                <w:szCs w:val="18"/>
              </w:rPr>
              <w:t>620</w:t>
            </w:r>
          </w:p>
        </w:tc>
      </w:tr>
      <w:tr w:rsidR="00285E1B" w:rsidRPr="008524A0" w14:paraId="5C4E26ED"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23BF3D15" w14:textId="63D9699B" w:rsidR="00285E1B" w:rsidRPr="00BC5B7A" w:rsidRDefault="00CF7332" w:rsidP="00787F69">
            <w:pPr>
              <w:pStyle w:val="AODocTxt"/>
              <w:spacing w:before="120" w:after="120"/>
              <w:rPr>
                <w:rFonts w:ascii="Verdana" w:hAnsi="Verdana"/>
                <w:sz w:val="18"/>
                <w:szCs w:val="18"/>
              </w:rPr>
            </w:pPr>
            <w:r>
              <w:rPr>
                <w:rFonts w:ascii="Verdana" w:hAnsi="Verdana"/>
                <w:sz w:val="18"/>
                <w:szCs w:val="18"/>
              </w:rPr>
              <w:t xml:space="preserve">Mark </w:t>
            </w:r>
            <w:r w:rsidR="00285E1B" w:rsidRPr="00BC5B7A">
              <w:rPr>
                <w:rFonts w:ascii="Verdana" w:hAnsi="Verdana"/>
                <w:sz w:val="18"/>
                <w:szCs w:val="18"/>
              </w:rPr>
              <w:t>Sorour</w:t>
            </w:r>
          </w:p>
        </w:tc>
        <w:tc>
          <w:tcPr>
            <w:tcW w:w="1729" w:type="dxa"/>
          </w:tcPr>
          <w:p w14:paraId="7A972278" w14:textId="77777777"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521</w:t>
            </w:r>
          </w:p>
        </w:tc>
        <w:tc>
          <w:tcPr>
            <w:tcW w:w="1729" w:type="dxa"/>
          </w:tcPr>
          <w:p w14:paraId="13125F9D" w14:textId="77777777"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521</w:t>
            </w:r>
          </w:p>
        </w:tc>
        <w:tc>
          <w:tcPr>
            <w:tcW w:w="1729" w:type="dxa"/>
          </w:tcPr>
          <w:p w14:paraId="42EAD3FD"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Indirect</w:t>
            </w:r>
          </w:p>
        </w:tc>
        <w:tc>
          <w:tcPr>
            <w:tcW w:w="1730" w:type="dxa"/>
          </w:tcPr>
          <w:p w14:paraId="45D37577" w14:textId="77777777" w:rsidR="00285E1B" w:rsidRPr="008524A0" w:rsidRDefault="00285E1B" w:rsidP="00787F69">
            <w:pPr>
              <w:pStyle w:val="AODocTxt"/>
              <w:spacing w:before="120" w:after="120"/>
              <w:rPr>
                <w:rFonts w:ascii="Verdana" w:hAnsi="Verdana"/>
                <w:sz w:val="18"/>
                <w:szCs w:val="18"/>
              </w:rPr>
            </w:pPr>
            <w:r w:rsidRPr="0090065B">
              <w:rPr>
                <w:rFonts w:ascii="Verdana" w:hAnsi="Verdana"/>
                <w:sz w:val="18"/>
                <w:szCs w:val="18"/>
              </w:rPr>
              <w:t>963</w:t>
            </w:r>
          </w:p>
        </w:tc>
      </w:tr>
      <w:tr w:rsidR="00285E1B" w:rsidRPr="008524A0" w14:paraId="5FFAC728"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3D3843FD" w14:textId="4527CA6D" w:rsidR="00285E1B" w:rsidRPr="008524A0" w:rsidRDefault="00CF7332" w:rsidP="00787F69">
            <w:pPr>
              <w:pStyle w:val="AODocTxt"/>
              <w:spacing w:before="120" w:after="120"/>
              <w:rPr>
                <w:rFonts w:ascii="Verdana" w:hAnsi="Verdana"/>
                <w:sz w:val="18"/>
                <w:szCs w:val="18"/>
              </w:rPr>
            </w:pPr>
            <w:r>
              <w:rPr>
                <w:rFonts w:ascii="Verdana" w:hAnsi="Verdana"/>
                <w:sz w:val="18"/>
                <w:szCs w:val="18"/>
              </w:rPr>
              <w:t xml:space="preserve">Cobus </w:t>
            </w:r>
            <w:r w:rsidR="00285E1B" w:rsidRPr="00BC5B7A">
              <w:rPr>
                <w:rFonts w:ascii="Verdana" w:hAnsi="Verdana"/>
                <w:sz w:val="18"/>
                <w:szCs w:val="18"/>
              </w:rPr>
              <w:t>Stofberg</w:t>
            </w:r>
          </w:p>
        </w:tc>
        <w:tc>
          <w:tcPr>
            <w:tcW w:w="1729" w:type="dxa"/>
          </w:tcPr>
          <w:p w14:paraId="32951E59" w14:textId="1EE00620"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490</w:t>
            </w:r>
            <w:r>
              <w:rPr>
                <w:rFonts w:ascii="Verdana" w:hAnsi="Verdana"/>
                <w:sz w:val="18"/>
                <w:szCs w:val="18"/>
              </w:rPr>
              <w:t>,</w:t>
            </w:r>
            <w:r w:rsidRPr="00A57E25">
              <w:rPr>
                <w:rFonts w:ascii="Verdana" w:hAnsi="Verdana"/>
                <w:sz w:val="18"/>
                <w:szCs w:val="18"/>
              </w:rPr>
              <w:t>673</w:t>
            </w:r>
          </w:p>
        </w:tc>
        <w:tc>
          <w:tcPr>
            <w:tcW w:w="1729" w:type="dxa"/>
          </w:tcPr>
          <w:p w14:paraId="1DBA0337" w14:textId="5E1EAF37"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490</w:t>
            </w:r>
            <w:r>
              <w:rPr>
                <w:rFonts w:ascii="Verdana" w:hAnsi="Verdana"/>
                <w:sz w:val="18"/>
                <w:szCs w:val="18"/>
              </w:rPr>
              <w:t>,</w:t>
            </w:r>
            <w:r w:rsidRPr="00A57E25">
              <w:rPr>
                <w:rFonts w:ascii="Verdana" w:hAnsi="Verdana"/>
                <w:sz w:val="18"/>
                <w:szCs w:val="18"/>
              </w:rPr>
              <w:t>673</w:t>
            </w:r>
          </w:p>
        </w:tc>
        <w:tc>
          <w:tcPr>
            <w:tcW w:w="1729" w:type="dxa"/>
          </w:tcPr>
          <w:p w14:paraId="041A2861"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Direct</w:t>
            </w:r>
          </w:p>
        </w:tc>
        <w:tc>
          <w:tcPr>
            <w:tcW w:w="1730" w:type="dxa"/>
          </w:tcPr>
          <w:p w14:paraId="7A8BCB14" w14:textId="2771E71D"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906</w:t>
            </w:r>
            <w:r>
              <w:rPr>
                <w:rFonts w:ascii="Verdana" w:hAnsi="Verdana"/>
                <w:sz w:val="18"/>
                <w:szCs w:val="18"/>
              </w:rPr>
              <w:t>,</w:t>
            </w:r>
            <w:r w:rsidRPr="00A57E25">
              <w:rPr>
                <w:rFonts w:ascii="Verdana" w:hAnsi="Verdana"/>
                <w:sz w:val="18"/>
                <w:szCs w:val="18"/>
              </w:rPr>
              <w:t>639</w:t>
            </w:r>
          </w:p>
        </w:tc>
      </w:tr>
      <w:tr w:rsidR="00285E1B" w:rsidRPr="008524A0" w14:paraId="683676C9"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32B74457" w14:textId="7E80D975" w:rsidR="00285E1B" w:rsidRPr="008524A0" w:rsidRDefault="00CF7332" w:rsidP="00787F69">
            <w:pPr>
              <w:pStyle w:val="AODocTxt"/>
              <w:spacing w:before="120" w:after="120"/>
              <w:rPr>
                <w:rFonts w:ascii="Verdana" w:hAnsi="Verdana"/>
                <w:sz w:val="18"/>
                <w:szCs w:val="18"/>
              </w:rPr>
            </w:pPr>
            <w:r>
              <w:rPr>
                <w:rFonts w:ascii="Verdana" w:hAnsi="Verdana"/>
                <w:sz w:val="18"/>
                <w:szCs w:val="18"/>
              </w:rPr>
              <w:t xml:space="preserve">Cobus </w:t>
            </w:r>
            <w:r w:rsidR="00285E1B" w:rsidRPr="00BC5B7A">
              <w:rPr>
                <w:rFonts w:ascii="Verdana" w:hAnsi="Verdana"/>
                <w:sz w:val="18"/>
                <w:szCs w:val="18"/>
              </w:rPr>
              <w:t>Stofberg</w:t>
            </w:r>
          </w:p>
        </w:tc>
        <w:tc>
          <w:tcPr>
            <w:tcW w:w="1729" w:type="dxa"/>
          </w:tcPr>
          <w:p w14:paraId="3BC58C48" w14:textId="000D7B8E"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167</w:t>
            </w:r>
            <w:r>
              <w:rPr>
                <w:rFonts w:ascii="Verdana" w:hAnsi="Verdana"/>
                <w:sz w:val="18"/>
                <w:szCs w:val="18"/>
              </w:rPr>
              <w:t>,</w:t>
            </w:r>
            <w:r w:rsidRPr="00A57E25">
              <w:rPr>
                <w:rFonts w:ascii="Verdana" w:hAnsi="Verdana"/>
                <w:sz w:val="18"/>
                <w:szCs w:val="18"/>
              </w:rPr>
              <w:t xml:space="preserve">371 </w:t>
            </w:r>
          </w:p>
        </w:tc>
        <w:tc>
          <w:tcPr>
            <w:tcW w:w="1729" w:type="dxa"/>
          </w:tcPr>
          <w:p w14:paraId="24A3755C" w14:textId="0EBDAC55"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167</w:t>
            </w:r>
            <w:r>
              <w:rPr>
                <w:rFonts w:ascii="Verdana" w:hAnsi="Verdana"/>
                <w:sz w:val="18"/>
                <w:szCs w:val="18"/>
              </w:rPr>
              <w:t>,</w:t>
            </w:r>
            <w:r w:rsidRPr="00A57E25">
              <w:rPr>
                <w:rFonts w:ascii="Verdana" w:hAnsi="Verdana"/>
                <w:sz w:val="18"/>
                <w:szCs w:val="18"/>
              </w:rPr>
              <w:t xml:space="preserve">371 </w:t>
            </w:r>
          </w:p>
        </w:tc>
        <w:tc>
          <w:tcPr>
            <w:tcW w:w="1729" w:type="dxa"/>
          </w:tcPr>
          <w:p w14:paraId="2DD9FDAD"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Indirect</w:t>
            </w:r>
          </w:p>
        </w:tc>
        <w:tc>
          <w:tcPr>
            <w:tcW w:w="1730" w:type="dxa"/>
          </w:tcPr>
          <w:p w14:paraId="1EE5929E" w14:textId="51F66CDE"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309</w:t>
            </w:r>
            <w:r>
              <w:rPr>
                <w:rFonts w:ascii="Verdana" w:hAnsi="Verdana"/>
                <w:sz w:val="18"/>
                <w:szCs w:val="18"/>
              </w:rPr>
              <w:t>,</w:t>
            </w:r>
            <w:r w:rsidRPr="00A57E25">
              <w:rPr>
                <w:rFonts w:ascii="Verdana" w:hAnsi="Verdana"/>
                <w:sz w:val="18"/>
                <w:szCs w:val="18"/>
              </w:rPr>
              <w:t>259</w:t>
            </w:r>
          </w:p>
        </w:tc>
      </w:tr>
      <w:tr w:rsidR="00285E1B" w:rsidRPr="008524A0" w14:paraId="76833A91"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0C77F07D" w14:textId="0E589805" w:rsidR="00285E1B" w:rsidRPr="00BC5B7A" w:rsidRDefault="00CF7332" w:rsidP="00787F69">
            <w:pPr>
              <w:pStyle w:val="AODocTxt"/>
              <w:spacing w:before="120" w:after="120"/>
              <w:rPr>
                <w:rFonts w:ascii="Verdana" w:hAnsi="Verdana"/>
                <w:sz w:val="18"/>
                <w:szCs w:val="18"/>
              </w:rPr>
            </w:pPr>
            <w:r>
              <w:rPr>
                <w:rFonts w:ascii="Verdana" w:hAnsi="Verdana"/>
                <w:sz w:val="18"/>
                <w:szCs w:val="18"/>
              </w:rPr>
              <w:t xml:space="preserve">Bob </w:t>
            </w:r>
            <w:r w:rsidR="00285E1B">
              <w:rPr>
                <w:rFonts w:ascii="Verdana" w:hAnsi="Verdana"/>
                <w:sz w:val="18"/>
                <w:szCs w:val="18"/>
              </w:rPr>
              <w:t>van Dijk</w:t>
            </w:r>
          </w:p>
        </w:tc>
        <w:tc>
          <w:tcPr>
            <w:tcW w:w="1729" w:type="dxa"/>
          </w:tcPr>
          <w:p w14:paraId="70519B5D" w14:textId="688B56F9" w:rsidR="00285E1B" w:rsidRPr="008524A0" w:rsidRDefault="00A27FE0" w:rsidP="00787F69">
            <w:pPr>
              <w:pStyle w:val="AODocTxt"/>
              <w:spacing w:before="120" w:after="120"/>
              <w:rPr>
                <w:rFonts w:ascii="Verdana" w:hAnsi="Verdana"/>
                <w:sz w:val="18"/>
                <w:szCs w:val="18"/>
              </w:rPr>
            </w:pPr>
            <w:r>
              <w:rPr>
                <w:rFonts w:ascii="Verdana" w:hAnsi="Verdana"/>
                <w:sz w:val="18"/>
                <w:szCs w:val="18"/>
              </w:rPr>
              <w:t>619,430</w:t>
            </w:r>
          </w:p>
        </w:tc>
        <w:tc>
          <w:tcPr>
            <w:tcW w:w="1729" w:type="dxa"/>
          </w:tcPr>
          <w:p w14:paraId="05C22238" w14:textId="2D0BB54F" w:rsidR="00285E1B" w:rsidRPr="008524A0" w:rsidRDefault="00A27FE0" w:rsidP="00787F69">
            <w:pPr>
              <w:pStyle w:val="AODocTxt"/>
              <w:spacing w:before="120" w:after="120"/>
              <w:rPr>
                <w:rFonts w:ascii="Verdana" w:hAnsi="Verdana"/>
                <w:sz w:val="18"/>
                <w:szCs w:val="18"/>
              </w:rPr>
            </w:pPr>
            <w:r>
              <w:rPr>
                <w:rFonts w:ascii="Verdana" w:hAnsi="Verdana"/>
                <w:sz w:val="18"/>
                <w:szCs w:val="18"/>
              </w:rPr>
              <w:t>619,430</w:t>
            </w:r>
          </w:p>
        </w:tc>
        <w:tc>
          <w:tcPr>
            <w:tcW w:w="1729" w:type="dxa"/>
          </w:tcPr>
          <w:p w14:paraId="03A77352"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Direct</w:t>
            </w:r>
          </w:p>
        </w:tc>
        <w:tc>
          <w:tcPr>
            <w:tcW w:w="1730" w:type="dxa"/>
          </w:tcPr>
          <w:p w14:paraId="49FFD460" w14:textId="18AA8DDE"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1</w:t>
            </w:r>
            <w:r>
              <w:rPr>
                <w:rFonts w:ascii="Verdana" w:hAnsi="Verdana"/>
                <w:sz w:val="18"/>
                <w:szCs w:val="18"/>
              </w:rPr>
              <w:t>,</w:t>
            </w:r>
            <w:r w:rsidRPr="00A57E25">
              <w:rPr>
                <w:rFonts w:ascii="Verdana" w:hAnsi="Verdana"/>
                <w:sz w:val="18"/>
                <w:szCs w:val="18"/>
              </w:rPr>
              <w:t>144</w:t>
            </w:r>
            <w:r>
              <w:rPr>
                <w:rFonts w:ascii="Verdana" w:hAnsi="Verdana"/>
                <w:sz w:val="18"/>
                <w:szCs w:val="18"/>
              </w:rPr>
              <w:t>,</w:t>
            </w:r>
            <w:r w:rsidRPr="00A57E25">
              <w:rPr>
                <w:rFonts w:ascii="Verdana" w:hAnsi="Verdana"/>
                <w:sz w:val="18"/>
                <w:szCs w:val="18"/>
              </w:rPr>
              <w:t>549</w:t>
            </w:r>
          </w:p>
        </w:tc>
      </w:tr>
      <w:tr w:rsidR="00285E1B" w:rsidRPr="008524A0" w14:paraId="69A67D73" w14:textId="77777777" w:rsidTr="00DD1622">
        <w:tc>
          <w:tcPr>
            <w:tcW w:w="1729" w:type="dxa"/>
            <w:tcBorders>
              <w:top w:val="single" w:sz="4" w:space="0" w:color="auto"/>
              <w:left w:val="single" w:sz="4" w:space="0" w:color="auto"/>
              <w:bottom w:val="single" w:sz="4" w:space="0" w:color="auto"/>
              <w:right w:val="nil"/>
            </w:tcBorders>
            <w:shd w:val="clear" w:color="auto" w:fill="auto"/>
          </w:tcPr>
          <w:p w14:paraId="236AC8C2" w14:textId="731025D7" w:rsidR="00285E1B" w:rsidRPr="00BC5B7A" w:rsidRDefault="00CF7332" w:rsidP="00787F69">
            <w:pPr>
              <w:pStyle w:val="AODocTxt"/>
              <w:spacing w:before="120" w:after="120"/>
              <w:rPr>
                <w:rFonts w:ascii="Verdana" w:hAnsi="Verdana"/>
                <w:sz w:val="18"/>
                <w:szCs w:val="18"/>
              </w:rPr>
            </w:pPr>
            <w:r>
              <w:rPr>
                <w:rFonts w:ascii="Verdana" w:hAnsi="Verdana"/>
                <w:sz w:val="18"/>
                <w:szCs w:val="18"/>
              </w:rPr>
              <w:t xml:space="preserve">Bob </w:t>
            </w:r>
            <w:r w:rsidR="00285E1B">
              <w:rPr>
                <w:rFonts w:ascii="Verdana" w:hAnsi="Verdana"/>
                <w:sz w:val="18"/>
                <w:szCs w:val="18"/>
              </w:rPr>
              <w:t>van Dijk*</w:t>
            </w:r>
            <w:r w:rsidR="00DA3B35">
              <w:rPr>
                <w:rFonts w:ascii="Verdana" w:hAnsi="Verdana"/>
                <w:sz w:val="18"/>
                <w:szCs w:val="18"/>
              </w:rPr>
              <w:t>*</w:t>
            </w:r>
          </w:p>
        </w:tc>
        <w:tc>
          <w:tcPr>
            <w:tcW w:w="1729" w:type="dxa"/>
          </w:tcPr>
          <w:p w14:paraId="52A48C86" w14:textId="6F0F1FF3" w:rsidR="00285E1B" w:rsidRPr="008524A0" w:rsidRDefault="00285E1B" w:rsidP="00787F69">
            <w:pPr>
              <w:pStyle w:val="AODocTxt"/>
              <w:spacing w:before="120" w:after="120"/>
              <w:rPr>
                <w:rFonts w:ascii="Verdana" w:hAnsi="Verdana"/>
                <w:sz w:val="18"/>
                <w:szCs w:val="18"/>
              </w:rPr>
            </w:pPr>
            <w:r w:rsidRPr="007D3C1D">
              <w:rPr>
                <w:rFonts w:ascii="Verdana" w:hAnsi="Verdana"/>
                <w:sz w:val="18"/>
                <w:szCs w:val="18"/>
              </w:rPr>
              <w:t>331</w:t>
            </w:r>
            <w:r>
              <w:rPr>
                <w:rFonts w:ascii="Verdana" w:hAnsi="Verdana"/>
                <w:sz w:val="18"/>
                <w:szCs w:val="18"/>
              </w:rPr>
              <w:t>,</w:t>
            </w:r>
            <w:r w:rsidRPr="007D3C1D">
              <w:rPr>
                <w:rFonts w:ascii="Verdana" w:hAnsi="Verdana"/>
                <w:sz w:val="18"/>
                <w:szCs w:val="18"/>
              </w:rPr>
              <w:t>704</w:t>
            </w:r>
          </w:p>
        </w:tc>
        <w:tc>
          <w:tcPr>
            <w:tcW w:w="1729" w:type="dxa"/>
          </w:tcPr>
          <w:p w14:paraId="0DAFC68D" w14:textId="0079E54D" w:rsidR="00285E1B" w:rsidRPr="008524A0" w:rsidRDefault="00285E1B" w:rsidP="00787F69">
            <w:pPr>
              <w:pStyle w:val="AODocTxt"/>
              <w:spacing w:before="120" w:after="120"/>
              <w:rPr>
                <w:rFonts w:ascii="Verdana" w:hAnsi="Verdana"/>
                <w:sz w:val="18"/>
                <w:szCs w:val="18"/>
              </w:rPr>
            </w:pPr>
            <w:r w:rsidRPr="007D3C1D">
              <w:rPr>
                <w:rFonts w:ascii="Verdana" w:hAnsi="Verdana"/>
                <w:sz w:val="18"/>
                <w:szCs w:val="18"/>
              </w:rPr>
              <w:t>331</w:t>
            </w:r>
            <w:r>
              <w:rPr>
                <w:rFonts w:ascii="Verdana" w:hAnsi="Verdana"/>
                <w:sz w:val="18"/>
                <w:szCs w:val="18"/>
              </w:rPr>
              <w:t>,</w:t>
            </w:r>
            <w:r w:rsidRPr="007D3C1D">
              <w:rPr>
                <w:rFonts w:ascii="Verdana" w:hAnsi="Verdana"/>
                <w:sz w:val="18"/>
                <w:szCs w:val="18"/>
              </w:rPr>
              <w:t>704</w:t>
            </w:r>
          </w:p>
        </w:tc>
        <w:tc>
          <w:tcPr>
            <w:tcW w:w="1729" w:type="dxa"/>
          </w:tcPr>
          <w:p w14:paraId="2B60C8D8"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Indirect*</w:t>
            </w:r>
          </w:p>
        </w:tc>
        <w:tc>
          <w:tcPr>
            <w:tcW w:w="1730" w:type="dxa"/>
          </w:tcPr>
          <w:p w14:paraId="3B05D418" w14:textId="7A4F1A9C" w:rsidR="00285E1B" w:rsidRPr="008524A0" w:rsidRDefault="00285E1B" w:rsidP="00787F69">
            <w:pPr>
              <w:pStyle w:val="AODocTxt"/>
              <w:spacing w:before="120" w:after="120"/>
              <w:rPr>
                <w:rFonts w:ascii="Verdana" w:hAnsi="Verdana"/>
                <w:sz w:val="18"/>
                <w:szCs w:val="18"/>
              </w:rPr>
            </w:pPr>
            <w:r w:rsidRPr="00647550">
              <w:rPr>
                <w:rFonts w:ascii="Verdana" w:hAnsi="Verdana"/>
                <w:sz w:val="18"/>
                <w:szCs w:val="18"/>
              </w:rPr>
              <w:t>612</w:t>
            </w:r>
            <w:r>
              <w:rPr>
                <w:rFonts w:ascii="Verdana" w:hAnsi="Verdana"/>
                <w:sz w:val="18"/>
                <w:szCs w:val="18"/>
              </w:rPr>
              <w:t>,</w:t>
            </w:r>
            <w:r w:rsidRPr="00647550">
              <w:rPr>
                <w:rFonts w:ascii="Verdana" w:hAnsi="Verdana"/>
                <w:sz w:val="18"/>
                <w:szCs w:val="18"/>
              </w:rPr>
              <w:t>905</w:t>
            </w:r>
          </w:p>
        </w:tc>
      </w:tr>
    </w:tbl>
    <w:p w14:paraId="332791B9" w14:textId="569D4D9F" w:rsidR="00285E1B" w:rsidRDefault="00285E1B" w:rsidP="00DD1622">
      <w:pPr>
        <w:pStyle w:val="AODocTxt"/>
        <w:spacing w:after="240"/>
        <w:ind w:left="720"/>
        <w:rPr>
          <w:rFonts w:ascii="Verdana" w:hAnsi="Verdana"/>
          <w:sz w:val="20"/>
          <w:szCs w:val="20"/>
        </w:rPr>
      </w:pPr>
      <w:r w:rsidRPr="00BE36A3">
        <w:rPr>
          <w:rFonts w:ascii="Verdana" w:hAnsi="Verdana"/>
          <w:sz w:val="20"/>
          <w:szCs w:val="20"/>
        </w:rPr>
        <w:t xml:space="preserve">* Prosus </w:t>
      </w:r>
      <w:r w:rsidR="00DD1622">
        <w:rPr>
          <w:rFonts w:ascii="Verdana" w:hAnsi="Verdana"/>
          <w:sz w:val="20"/>
          <w:szCs w:val="20"/>
        </w:rPr>
        <w:t>share options (SOs)</w:t>
      </w:r>
      <w:r w:rsidRPr="00BE36A3">
        <w:rPr>
          <w:rFonts w:ascii="Verdana" w:hAnsi="Verdana"/>
          <w:sz w:val="20"/>
          <w:szCs w:val="20"/>
        </w:rPr>
        <w:t xml:space="preserve"> that have been released (vested), but </w:t>
      </w:r>
      <w:r w:rsidR="00DD1622">
        <w:rPr>
          <w:rFonts w:ascii="Verdana" w:hAnsi="Verdana"/>
          <w:sz w:val="20"/>
          <w:szCs w:val="20"/>
        </w:rPr>
        <w:t xml:space="preserve">have </w:t>
      </w:r>
      <w:r w:rsidRPr="00BE36A3">
        <w:rPr>
          <w:rFonts w:ascii="Verdana" w:hAnsi="Verdana"/>
          <w:sz w:val="20"/>
          <w:szCs w:val="20"/>
        </w:rPr>
        <w:t xml:space="preserve">not yet been exercised, are included </w:t>
      </w:r>
      <w:r>
        <w:rPr>
          <w:rFonts w:ascii="Verdana" w:hAnsi="Verdana"/>
          <w:sz w:val="20"/>
          <w:szCs w:val="20"/>
        </w:rPr>
        <w:t>in this row</w:t>
      </w:r>
      <w:r w:rsidRPr="00BE36A3">
        <w:rPr>
          <w:rFonts w:ascii="Verdana" w:hAnsi="Verdana"/>
          <w:sz w:val="20"/>
          <w:szCs w:val="20"/>
        </w:rPr>
        <w:t>: Bob van Dijk: 331</w:t>
      </w:r>
      <w:r>
        <w:rPr>
          <w:rFonts w:ascii="Verdana" w:hAnsi="Verdana"/>
          <w:sz w:val="20"/>
          <w:szCs w:val="20"/>
        </w:rPr>
        <w:t>,</w:t>
      </w:r>
      <w:r w:rsidRPr="00BE36A3">
        <w:rPr>
          <w:rFonts w:ascii="Verdana" w:hAnsi="Verdana"/>
          <w:sz w:val="20"/>
          <w:szCs w:val="20"/>
        </w:rPr>
        <w:t>704</w:t>
      </w:r>
      <w:r w:rsidR="00DD1622">
        <w:rPr>
          <w:rFonts w:ascii="Verdana" w:hAnsi="Verdana"/>
          <w:sz w:val="20"/>
          <w:szCs w:val="20"/>
        </w:rPr>
        <w:t>;</w:t>
      </w:r>
      <w:r>
        <w:rPr>
          <w:rFonts w:ascii="Verdana" w:hAnsi="Verdana"/>
          <w:sz w:val="20"/>
          <w:szCs w:val="20"/>
        </w:rPr>
        <w:t xml:space="preserve"> </w:t>
      </w:r>
      <w:r w:rsidRPr="00BE36A3">
        <w:rPr>
          <w:rFonts w:ascii="Verdana" w:hAnsi="Verdana"/>
          <w:sz w:val="20"/>
          <w:szCs w:val="20"/>
        </w:rPr>
        <w:t>Basil Sgourdos: 44</w:t>
      </w:r>
      <w:r>
        <w:rPr>
          <w:rFonts w:ascii="Verdana" w:hAnsi="Verdana"/>
          <w:sz w:val="20"/>
          <w:szCs w:val="20"/>
        </w:rPr>
        <w:t>,</w:t>
      </w:r>
      <w:r w:rsidRPr="00BE36A3">
        <w:rPr>
          <w:rFonts w:ascii="Verdana" w:hAnsi="Verdana"/>
          <w:sz w:val="20"/>
          <w:szCs w:val="20"/>
        </w:rPr>
        <w:t>039.</w:t>
      </w:r>
    </w:p>
    <w:p w14:paraId="58E4EA31" w14:textId="295EC711" w:rsidR="00DA3B35" w:rsidRPr="00BE36A3" w:rsidRDefault="00DA3B35" w:rsidP="00DD1622">
      <w:pPr>
        <w:pStyle w:val="AODocTxt"/>
        <w:spacing w:after="240"/>
        <w:ind w:left="720"/>
        <w:rPr>
          <w:rFonts w:ascii="Verdana" w:hAnsi="Verdana"/>
          <w:sz w:val="20"/>
          <w:szCs w:val="20"/>
        </w:rPr>
      </w:pPr>
      <w:r>
        <w:rPr>
          <w:rFonts w:ascii="Verdana" w:hAnsi="Verdana"/>
          <w:sz w:val="20"/>
          <w:szCs w:val="20"/>
        </w:rPr>
        <w:t xml:space="preserve">** Bob van Dijk resigned as a director </w:t>
      </w:r>
      <w:r w:rsidR="001871E3">
        <w:rPr>
          <w:rFonts w:ascii="Verdana" w:hAnsi="Verdana"/>
          <w:sz w:val="20"/>
          <w:szCs w:val="20"/>
        </w:rPr>
        <w:t>of</w:t>
      </w:r>
      <w:r>
        <w:rPr>
          <w:rFonts w:ascii="Verdana" w:hAnsi="Verdana"/>
          <w:sz w:val="20"/>
          <w:szCs w:val="20"/>
        </w:rPr>
        <w:t xml:space="preserve"> Prosus with effect from 18 September 2023. </w:t>
      </w:r>
    </w:p>
    <w:tbl>
      <w:tblPr>
        <w:tblStyle w:val="TableGrid"/>
        <w:tblW w:w="0" w:type="auto"/>
        <w:tblInd w:w="704" w:type="dxa"/>
        <w:tblLook w:val="04A0" w:firstRow="1" w:lastRow="0" w:firstColumn="1" w:lastColumn="0" w:noHBand="0" w:noVBand="1"/>
      </w:tblPr>
      <w:tblGrid>
        <w:gridCol w:w="1729"/>
        <w:gridCol w:w="1729"/>
        <w:gridCol w:w="1729"/>
        <w:gridCol w:w="1729"/>
        <w:gridCol w:w="1730"/>
      </w:tblGrid>
      <w:tr w:rsidR="00285E1B" w:rsidRPr="008524A0" w14:paraId="0B502D11" w14:textId="77777777" w:rsidTr="00DD1622">
        <w:tc>
          <w:tcPr>
            <w:tcW w:w="1729" w:type="dxa"/>
            <w:tcBorders>
              <w:bottom w:val="single" w:sz="4" w:space="0" w:color="auto"/>
            </w:tcBorders>
            <w:shd w:val="clear" w:color="auto" w:fill="D9D9D9" w:themeFill="background1" w:themeFillShade="D9"/>
          </w:tcPr>
          <w:p w14:paraId="100E4418" w14:textId="77777777"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Director</w:t>
            </w:r>
          </w:p>
        </w:tc>
        <w:tc>
          <w:tcPr>
            <w:tcW w:w="1729" w:type="dxa"/>
            <w:shd w:val="clear" w:color="auto" w:fill="D9D9D9" w:themeFill="background1" w:themeFillShade="D9"/>
          </w:tcPr>
          <w:p w14:paraId="0E57170D" w14:textId="77777777"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Number of Prosus Ordinary Shares A1</w:t>
            </w:r>
            <w:r>
              <w:rPr>
                <w:rFonts w:ascii="Verdana" w:hAnsi="Verdana"/>
                <w:sz w:val="18"/>
                <w:szCs w:val="18"/>
              </w:rPr>
              <w:t xml:space="preserve"> </w:t>
            </w:r>
            <w:r w:rsidRPr="008524A0">
              <w:rPr>
                <w:rFonts w:ascii="Verdana" w:hAnsi="Verdana"/>
                <w:sz w:val="18"/>
                <w:szCs w:val="18"/>
              </w:rPr>
              <w:t>received</w:t>
            </w:r>
          </w:p>
        </w:tc>
        <w:tc>
          <w:tcPr>
            <w:tcW w:w="1729" w:type="dxa"/>
            <w:shd w:val="clear" w:color="auto" w:fill="D9D9D9" w:themeFill="background1" w:themeFillShade="D9"/>
          </w:tcPr>
          <w:p w14:paraId="3E1C0864" w14:textId="77777777"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Number of votes</w:t>
            </w:r>
          </w:p>
        </w:tc>
        <w:tc>
          <w:tcPr>
            <w:tcW w:w="1729" w:type="dxa"/>
            <w:shd w:val="clear" w:color="auto" w:fill="D9D9D9" w:themeFill="background1" w:themeFillShade="D9"/>
          </w:tcPr>
          <w:p w14:paraId="547AC6C8" w14:textId="77777777" w:rsidR="00285E1B" w:rsidRPr="008524A0" w:rsidRDefault="00285E1B" w:rsidP="00787F69">
            <w:pPr>
              <w:pStyle w:val="AODocTxt"/>
              <w:spacing w:before="120" w:after="120"/>
              <w:rPr>
                <w:rFonts w:ascii="Verdana" w:hAnsi="Verdana"/>
                <w:sz w:val="18"/>
                <w:szCs w:val="18"/>
              </w:rPr>
            </w:pPr>
            <w:r>
              <w:rPr>
                <w:rFonts w:ascii="Verdana" w:hAnsi="Verdana"/>
                <w:sz w:val="18"/>
                <w:szCs w:val="18"/>
              </w:rPr>
              <w:t>Nature of interest</w:t>
            </w:r>
          </w:p>
        </w:tc>
        <w:tc>
          <w:tcPr>
            <w:tcW w:w="1730" w:type="dxa"/>
            <w:shd w:val="clear" w:color="auto" w:fill="D9D9D9" w:themeFill="background1" w:themeFillShade="D9"/>
          </w:tcPr>
          <w:p w14:paraId="0528DA6D" w14:textId="244A43B7"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 xml:space="preserve">Total </w:t>
            </w:r>
            <w:r w:rsidR="006B5F9C">
              <w:rPr>
                <w:rFonts w:ascii="Verdana" w:hAnsi="Verdana"/>
                <w:sz w:val="18"/>
                <w:szCs w:val="18"/>
              </w:rPr>
              <w:t>number of Prosus Ordinary Shares N (and votes)</w:t>
            </w:r>
            <w:r w:rsidRPr="008524A0">
              <w:rPr>
                <w:rFonts w:ascii="Verdana" w:hAnsi="Verdana"/>
                <w:sz w:val="18"/>
                <w:szCs w:val="18"/>
              </w:rPr>
              <w:t xml:space="preserve"> </w:t>
            </w:r>
            <w:r w:rsidR="006B5F9C">
              <w:rPr>
                <w:rFonts w:ascii="Verdana" w:hAnsi="Verdana"/>
                <w:sz w:val="18"/>
                <w:szCs w:val="18"/>
              </w:rPr>
              <w:t xml:space="preserve">held </w:t>
            </w:r>
            <w:r w:rsidRPr="008524A0">
              <w:rPr>
                <w:rFonts w:ascii="Verdana" w:hAnsi="Verdana"/>
                <w:sz w:val="18"/>
                <w:szCs w:val="18"/>
              </w:rPr>
              <w:t xml:space="preserve">following </w:t>
            </w:r>
            <w:r w:rsidR="000263C6">
              <w:rPr>
                <w:rFonts w:ascii="Verdana" w:hAnsi="Verdana"/>
                <w:sz w:val="18"/>
                <w:szCs w:val="18"/>
              </w:rPr>
              <w:t>Prosus Capitalisation Issue</w:t>
            </w:r>
          </w:p>
        </w:tc>
      </w:tr>
      <w:tr w:rsidR="00285E1B" w:rsidRPr="008524A0" w14:paraId="635EE038" w14:textId="77777777" w:rsidTr="00DD1622">
        <w:tc>
          <w:tcPr>
            <w:tcW w:w="1729" w:type="dxa"/>
            <w:tcBorders>
              <w:top w:val="single" w:sz="4" w:space="0" w:color="auto"/>
              <w:left w:val="single" w:sz="4" w:space="0" w:color="auto"/>
              <w:bottom w:val="single" w:sz="4" w:space="0" w:color="auto"/>
              <w:right w:val="nil"/>
            </w:tcBorders>
            <w:shd w:val="clear" w:color="auto" w:fill="auto"/>
            <w:vAlign w:val="bottom"/>
          </w:tcPr>
          <w:p w14:paraId="1DDD91C3" w14:textId="77777777"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Cobus Stofberg</w:t>
            </w:r>
          </w:p>
        </w:tc>
        <w:tc>
          <w:tcPr>
            <w:tcW w:w="1729" w:type="dxa"/>
          </w:tcPr>
          <w:p w14:paraId="582D9C3D" w14:textId="77777777"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361</w:t>
            </w:r>
          </w:p>
        </w:tc>
        <w:tc>
          <w:tcPr>
            <w:tcW w:w="1729" w:type="dxa"/>
          </w:tcPr>
          <w:p w14:paraId="68CFA50D" w14:textId="77777777"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361</w:t>
            </w:r>
          </w:p>
        </w:tc>
        <w:tc>
          <w:tcPr>
            <w:tcW w:w="1729" w:type="dxa"/>
          </w:tcPr>
          <w:p w14:paraId="00FBDC36" w14:textId="77777777"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Indirect</w:t>
            </w:r>
          </w:p>
        </w:tc>
        <w:tc>
          <w:tcPr>
            <w:tcW w:w="1730" w:type="dxa"/>
          </w:tcPr>
          <w:p w14:paraId="593BBA17" w14:textId="0FCB89B7" w:rsidR="00285E1B" w:rsidRPr="008524A0" w:rsidRDefault="00285E1B" w:rsidP="00787F69">
            <w:pPr>
              <w:pStyle w:val="AODocTxt"/>
              <w:spacing w:before="120" w:after="120"/>
              <w:rPr>
                <w:rFonts w:ascii="Verdana" w:hAnsi="Verdana"/>
                <w:sz w:val="18"/>
                <w:szCs w:val="18"/>
              </w:rPr>
            </w:pPr>
            <w:r w:rsidRPr="00A57E25">
              <w:rPr>
                <w:rFonts w:ascii="Verdana" w:hAnsi="Verdana"/>
                <w:sz w:val="18"/>
                <w:szCs w:val="18"/>
              </w:rPr>
              <w:t>1</w:t>
            </w:r>
            <w:r>
              <w:rPr>
                <w:rFonts w:ascii="Verdana" w:hAnsi="Verdana"/>
                <w:sz w:val="18"/>
                <w:szCs w:val="18"/>
              </w:rPr>
              <w:t>,</w:t>
            </w:r>
            <w:r w:rsidRPr="00A57E25">
              <w:rPr>
                <w:rFonts w:ascii="Verdana" w:hAnsi="Verdana"/>
                <w:sz w:val="18"/>
                <w:szCs w:val="18"/>
              </w:rPr>
              <w:t>171</w:t>
            </w:r>
          </w:p>
        </w:tc>
      </w:tr>
      <w:tr w:rsidR="00285E1B" w:rsidRPr="008524A0" w14:paraId="7CE79BFB" w14:textId="77777777" w:rsidTr="00DD1622">
        <w:tc>
          <w:tcPr>
            <w:tcW w:w="1729" w:type="dxa"/>
            <w:tcBorders>
              <w:top w:val="single" w:sz="4" w:space="0" w:color="auto"/>
              <w:left w:val="single" w:sz="4" w:space="0" w:color="auto"/>
              <w:bottom w:val="single" w:sz="4" w:space="0" w:color="auto"/>
              <w:right w:val="nil"/>
            </w:tcBorders>
            <w:shd w:val="clear" w:color="auto" w:fill="auto"/>
            <w:vAlign w:val="bottom"/>
          </w:tcPr>
          <w:p w14:paraId="49CC9DCF" w14:textId="34C04820"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Steve Pacak</w:t>
            </w:r>
            <w:r w:rsidR="000263C6">
              <w:rPr>
                <w:rFonts w:ascii="Verdana" w:hAnsi="Verdana"/>
                <w:sz w:val="18"/>
                <w:szCs w:val="18"/>
              </w:rPr>
              <w:t>**</w:t>
            </w:r>
            <w:r w:rsidR="00DA3B35">
              <w:rPr>
                <w:rFonts w:ascii="Verdana" w:hAnsi="Verdana"/>
                <w:sz w:val="18"/>
                <w:szCs w:val="18"/>
              </w:rPr>
              <w:t>*</w:t>
            </w:r>
          </w:p>
        </w:tc>
        <w:tc>
          <w:tcPr>
            <w:tcW w:w="1729" w:type="dxa"/>
          </w:tcPr>
          <w:p w14:paraId="49CEE364" w14:textId="4BA335EC" w:rsidR="00285E1B" w:rsidRPr="008524A0" w:rsidRDefault="000263C6" w:rsidP="00787F69">
            <w:pPr>
              <w:pStyle w:val="AODocTxt"/>
              <w:spacing w:before="120" w:after="120"/>
              <w:rPr>
                <w:rFonts w:ascii="Verdana" w:hAnsi="Verdana"/>
                <w:sz w:val="18"/>
                <w:szCs w:val="18"/>
              </w:rPr>
            </w:pPr>
            <w:r>
              <w:rPr>
                <w:rFonts w:ascii="Verdana" w:hAnsi="Verdana"/>
                <w:sz w:val="18"/>
                <w:szCs w:val="18"/>
              </w:rPr>
              <w:t>1,</w:t>
            </w:r>
            <w:r w:rsidR="00A27FE0">
              <w:rPr>
                <w:rFonts w:ascii="Verdana" w:hAnsi="Verdana"/>
                <w:sz w:val="18"/>
                <w:szCs w:val="18"/>
              </w:rPr>
              <w:t>518</w:t>
            </w:r>
          </w:p>
        </w:tc>
        <w:tc>
          <w:tcPr>
            <w:tcW w:w="1729" w:type="dxa"/>
          </w:tcPr>
          <w:p w14:paraId="20F66153" w14:textId="12E98BF2" w:rsidR="00285E1B" w:rsidRPr="008524A0" w:rsidRDefault="00A27FE0" w:rsidP="00787F69">
            <w:pPr>
              <w:pStyle w:val="AODocTxt"/>
              <w:spacing w:before="120" w:after="120"/>
              <w:rPr>
                <w:rFonts w:ascii="Verdana" w:hAnsi="Verdana"/>
                <w:sz w:val="18"/>
                <w:szCs w:val="18"/>
              </w:rPr>
            </w:pPr>
            <w:r>
              <w:rPr>
                <w:rFonts w:ascii="Verdana" w:hAnsi="Verdana"/>
                <w:sz w:val="18"/>
                <w:szCs w:val="18"/>
              </w:rPr>
              <w:t>1,518</w:t>
            </w:r>
          </w:p>
        </w:tc>
        <w:tc>
          <w:tcPr>
            <w:tcW w:w="1729" w:type="dxa"/>
          </w:tcPr>
          <w:p w14:paraId="27007982" w14:textId="029A1856" w:rsidR="00285E1B" w:rsidRPr="008524A0" w:rsidRDefault="00285E1B" w:rsidP="00787F69">
            <w:pPr>
              <w:pStyle w:val="AODocTxt"/>
              <w:spacing w:before="120" w:after="120"/>
              <w:rPr>
                <w:rFonts w:ascii="Verdana" w:hAnsi="Verdana"/>
                <w:sz w:val="18"/>
                <w:szCs w:val="18"/>
              </w:rPr>
            </w:pPr>
            <w:r w:rsidRPr="008524A0">
              <w:rPr>
                <w:rFonts w:ascii="Verdana" w:hAnsi="Verdana"/>
                <w:sz w:val="18"/>
                <w:szCs w:val="18"/>
              </w:rPr>
              <w:t>Indirect</w:t>
            </w:r>
            <w:r w:rsidR="00A27FE0">
              <w:rPr>
                <w:rFonts w:ascii="Verdana" w:hAnsi="Verdana"/>
                <w:sz w:val="18"/>
                <w:szCs w:val="18"/>
              </w:rPr>
              <w:t>**</w:t>
            </w:r>
          </w:p>
        </w:tc>
        <w:tc>
          <w:tcPr>
            <w:tcW w:w="1730" w:type="dxa"/>
          </w:tcPr>
          <w:p w14:paraId="58422739" w14:textId="40CC07E5" w:rsidR="00285E1B" w:rsidRPr="008524A0" w:rsidRDefault="00A27FE0" w:rsidP="00787F69">
            <w:pPr>
              <w:pStyle w:val="AODocTxt"/>
              <w:spacing w:before="120" w:after="120"/>
              <w:rPr>
                <w:rFonts w:ascii="Verdana" w:hAnsi="Verdana"/>
                <w:sz w:val="18"/>
                <w:szCs w:val="18"/>
              </w:rPr>
            </w:pPr>
            <w:r>
              <w:rPr>
                <w:rFonts w:ascii="Verdana" w:hAnsi="Verdana"/>
                <w:sz w:val="18"/>
                <w:szCs w:val="18"/>
              </w:rPr>
              <w:t>2,004</w:t>
            </w:r>
          </w:p>
        </w:tc>
      </w:tr>
    </w:tbl>
    <w:p w14:paraId="35AC47EB" w14:textId="38C7B3DC" w:rsidR="000263C6" w:rsidRDefault="000263C6" w:rsidP="006A4F52">
      <w:pPr>
        <w:pStyle w:val="AODocTxt"/>
        <w:spacing w:after="240"/>
        <w:ind w:left="720"/>
        <w:rPr>
          <w:rFonts w:ascii="Verdana" w:hAnsi="Verdana"/>
          <w:sz w:val="20"/>
          <w:szCs w:val="20"/>
        </w:rPr>
      </w:pPr>
      <w:r>
        <w:rPr>
          <w:rFonts w:ascii="Verdana" w:hAnsi="Verdana"/>
          <w:sz w:val="20"/>
          <w:szCs w:val="20"/>
        </w:rPr>
        <w:t>**</w:t>
      </w:r>
      <w:r w:rsidR="00DA3B35">
        <w:rPr>
          <w:rFonts w:ascii="Verdana" w:hAnsi="Verdana"/>
          <w:sz w:val="20"/>
          <w:szCs w:val="20"/>
        </w:rPr>
        <w:t>*</w:t>
      </w:r>
      <w:r>
        <w:rPr>
          <w:rFonts w:ascii="Verdana" w:hAnsi="Verdana"/>
          <w:sz w:val="20"/>
          <w:szCs w:val="20"/>
        </w:rPr>
        <w:t xml:space="preserve"> This row includes </w:t>
      </w:r>
      <w:r w:rsidR="00A27FE0">
        <w:rPr>
          <w:rFonts w:ascii="Verdana" w:hAnsi="Verdana"/>
          <w:sz w:val="20"/>
          <w:szCs w:val="20"/>
        </w:rPr>
        <w:t>1,301</w:t>
      </w:r>
      <w:r>
        <w:rPr>
          <w:rFonts w:ascii="Verdana" w:hAnsi="Verdana"/>
          <w:sz w:val="20"/>
          <w:szCs w:val="20"/>
        </w:rPr>
        <w:t xml:space="preserve"> Prosus Ordinary Shares A1 acquired by Steve Pacak’s family trust (indirect) on Monday, 18 September 2023, outside of the Prosus Capitalisation Issue.</w:t>
      </w:r>
    </w:p>
    <w:p w14:paraId="767B0637" w14:textId="47791E82" w:rsidR="00394F0E" w:rsidRPr="00176FD1" w:rsidRDefault="00394F0E" w:rsidP="006A4F52">
      <w:pPr>
        <w:pStyle w:val="AODocTxt"/>
        <w:spacing w:after="240"/>
        <w:ind w:left="720"/>
        <w:rPr>
          <w:rFonts w:ascii="Verdana" w:eastAsia="Calibri" w:hAnsi="Verdana"/>
          <w:bCs/>
          <w:sz w:val="20"/>
          <w:szCs w:val="20"/>
        </w:rPr>
      </w:pPr>
      <w:r w:rsidRPr="00AC0674">
        <w:rPr>
          <w:rFonts w:ascii="Verdana" w:hAnsi="Verdana"/>
          <w:sz w:val="20"/>
          <w:szCs w:val="20"/>
        </w:rPr>
        <w:t>For additional information in relation to the AFM disclosures</w:t>
      </w:r>
      <w:r w:rsidR="006A4F52">
        <w:rPr>
          <w:rFonts w:ascii="Verdana" w:hAnsi="Verdana"/>
          <w:sz w:val="20"/>
          <w:szCs w:val="20"/>
        </w:rPr>
        <w:t xml:space="preserve"> on directors’ shareholdings</w:t>
      </w:r>
      <w:r w:rsidRPr="00AC0674">
        <w:rPr>
          <w:rFonts w:ascii="Verdana" w:hAnsi="Verdana"/>
          <w:sz w:val="20"/>
          <w:szCs w:val="20"/>
        </w:rPr>
        <w:t>, please see the register</w:t>
      </w:r>
      <w:r w:rsidR="00A7500C">
        <w:rPr>
          <w:rFonts w:ascii="Verdana" w:hAnsi="Verdana"/>
          <w:sz w:val="20"/>
          <w:szCs w:val="20"/>
        </w:rPr>
        <w:t>s</w:t>
      </w:r>
      <w:r w:rsidRPr="00AC0674">
        <w:rPr>
          <w:rFonts w:ascii="Verdana" w:hAnsi="Verdana"/>
          <w:sz w:val="20"/>
          <w:szCs w:val="20"/>
        </w:rPr>
        <w:t xml:space="preserve"> on the AFM website:</w:t>
      </w:r>
      <w:r w:rsidR="00DD1622">
        <w:rPr>
          <w:rFonts w:ascii="Verdana" w:hAnsi="Verdana"/>
          <w:sz w:val="20"/>
          <w:szCs w:val="20"/>
        </w:rPr>
        <w:t xml:space="preserve"> </w:t>
      </w:r>
      <w:hyperlink r:id="rId13" w:history="1">
        <w:r w:rsidR="006A4F52" w:rsidRPr="003F187F">
          <w:rPr>
            <w:rStyle w:val="Hyperlink"/>
            <w:rFonts w:ascii="Verdana" w:hAnsi="Verdana"/>
            <w:sz w:val="20"/>
            <w:szCs w:val="20"/>
          </w:rPr>
          <w:t>https://www.afm.nl/en/sector/registers/meldingenregisters/bestuurders-commissarissen</w:t>
        </w:r>
      </w:hyperlink>
      <w:r w:rsidR="006A4F52">
        <w:rPr>
          <w:rFonts w:ascii="Verdana" w:hAnsi="Verdana"/>
          <w:sz w:val="20"/>
          <w:szCs w:val="20"/>
        </w:rPr>
        <w:t>.</w:t>
      </w:r>
    </w:p>
    <w:p w14:paraId="0213AE82" w14:textId="0CE4FCEC" w:rsidR="00285E1B" w:rsidRPr="00285E1B" w:rsidRDefault="00827C59" w:rsidP="00F24BB8">
      <w:pPr>
        <w:pStyle w:val="Default"/>
        <w:keepNext/>
        <w:numPr>
          <w:ilvl w:val="0"/>
          <w:numId w:val="4"/>
        </w:numPr>
        <w:spacing w:after="240"/>
        <w:ind w:hanging="720"/>
        <w:jc w:val="both"/>
        <w:rPr>
          <w:b/>
          <w:bCs/>
          <w:sz w:val="20"/>
          <w:szCs w:val="20"/>
        </w:rPr>
      </w:pPr>
      <w:r>
        <w:rPr>
          <w:b/>
          <w:bCs/>
          <w:sz w:val="20"/>
          <w:szCs w:val="20"/>
        </w:rPr>
        <w:lastRenderedPageBreak/>
        <w:t>CONTINUATION OF THE REPURCHASE PROGRAMME</w:t>
      </w:r>
    </w:p>
    <w:p w14:paraId="10E53A96" w14:textId="119AA52F" w:rsidR="00ED092B" w:rsidRDefault="00ED092B" w:rsidP="00DD1622">
      <w:pPr>
        <w:pStyle w:val="AODocTxt"/>
        <w:ind w:left="720"/>
        <w:rPr>
          <w:rFonts w:ascii="Verdana" w:hAnsi="Verdana"/>
          <w:sz w:val="20"/>
          <w:szCs w:val="20"/>
        </w:rPr>
      </w:pPr>
      <w:r>
        <w:rPr>
          <w:rFonts w:ascii="Verdana" w:hAnsi="Verdana"/>
          <w:sz w:val="20"/>
          <w:szCs w:val="20"/>
        </w:rPr>
        <w:t xml:space="preserve">Shareholders are hereby advised that the repurchase of Prosus Ordinary Shares N under the Repurchase Programme </w:t>
      </w:r>
      <w:r w:rsidR="00711301">
        <w:rPr>
          <w:rFonts w:ascii="Verdana" w:hAnsi="Verdana"/>
          <w:sz w:val="20"/>
          <w:szCs w:val="20"/>
        </w:rPr>
        <w:t>was</w:t>
      </w:r>
      <w:r>
        <w:rPr>
          <w:rFonts w:ascii="Verdana" w:hAnsi="Verdana"/>
          <w:sz w:val="20"/>
          <w:szCs w:val="20"/>
        </w:rPr>
        <w:t xml:space="preserve"> resumed from today, Monday, 18 September 2023, after the successful implementation of the Prosus Capitalisation Issue,</w:t>
      </w:r>
      <w:r w:rsidRPr="008D1D2D">
        <w:rPr>
          <w:rFonts w:ascii="Verdana" w:hAnsi="Verdana"/>
          <w:sz w:val="20"/>
          <w:szCs w:val="20"/>
        </w:rPr>
        <w:t xml:space="preserve"> </w:t>
      </w:r>
      <w:r>
        <w:rPr>
          <w:rFonts w:ascii="Verdana" w:hAnsi="Verdana"/>
          <w:sz w:val="20"/>
          <w:szCs w:val="20"/>
        </w:rPr>
        <w:t xml:space="preserve">the Naspers Capitalisation </w:t>
      </w:r>
      <w:proofErr w:type="gramStart"/>
      <w:r>
        <w:rPr>
          <w:rFonts w:ascii="Verdana" w:hAnsi="Verdana"/>
          <w:sz w:val="20"/>
          <w:szCs w:val="20"/>
        </w:rPr>
        <w:t>Issue</w:t>
      </w:r>
      <w:proofErr w:type="gramEnd"/>
      <w:r>
        <w:rPr>
          <w:rFonts w:ascii="Verdana" w:hAnsi="Verdana"/>
          <w:sz w:val="20"/>
          <w:szCs w:val="20"/>
        </w:rPr>
        <w:t xml:space="preserve"> and the Naspers Share Consolidation</w:t>
      </w:r>
      <w:r w:rsidR="00827C59">
        <w:rPr>
          <w:rFonts w:ascii="Verdana" w:hAnsi="Verdana"/>
          <w:sz w:val="20"/>
          <w:szCs w:val="20"/>
        </w:rPr>
        <w:t xml:space="preserve">, in accordance with the </w:t>
      </w:r>
      <w:r w:rsidR="00827C59" w:rsidRPr="00827C59">
        <w:rPr>
          <w:rFonts w:ascii="Verdana" w:hAnsi="Verdana"/>
          <w:sz w:val="20"/>
          <w:szCs w:val="20"/>
        </w:rPr>
        <w:t>general repurchase authority approved by Shareholders at the General Meeting</w:t>
      </w:r>
      <w:r>
        <w:rPr>
          <w:rFonts w:ascii="Verdana" w:hAnsi="Verdana"/>
          <w:sz w:val="20"/>
          <w:szCs w:val="20"/>
        </w:rPr>
        <w:t>.</w:t>
      </w:r>
    </w:p>
    <w:p w14:paraId="47DF3C90" w14:textId="6A9CE7A2" w:rsidR="00285E1B" w:rsidRDefault="00ED092B" w:rsidP="00DD1622">
      <w:pPr>
        <w:pStyle w:val="AODocTxt"/>
        <w:ind w:left="720"/>
        <w:rPr>
          <w:rFonts w:ascii="Verdana" w:hAnsi="Verdana"/>
          <w:sz w:val="20"/>
          <w:szCs w:val="20"/>
        </w:rPr>
      </w:pPr>
      <w:r w:rsidRPr="00ED092B">
        <w:rPr>
          <w:rFonts w:ascii="Verdana" w:hAnsi="Verdana"/>
          <w:sz w:val="20"/>
          <w:szCs w:val="20"/>
        </w:rPr>
        <w:t>Shareholders will continue to be provided weekly updates on the Repurchase Programme by means of press releases and announcements on SENS and on the Prosus website (www.prosus.com).</w:t>
      </w:r>
      <w:r>
        <w:rPr>
          <w:rFonts w:ascii="Verdana" w:hAnsi="Verdana"/>
          <w:sz w:val="20"/>
          <w:szCs w:val="20"/>
        </w:rPr>
        <w:t xml:space="preserve"> </w:t>
      </w:r>
    </w:p>
    <w:p w14:paraId="02FCFEC3" w14:textId="77777777" w:rsidR="00DD1622" w:rsidRPr="00285E1B" w:rsidRDefault="00DD1622" w:rsidP="008D1D2D">
      <w:pPr>
        <w:pStyle w:val="AODocTxt"/>
        <w:rPr>
          <w:rFonts w:ascii="Verdana" w:hAnsi="Verdana"/>
          <w:b/>
          <w:bCs/>
          <w:sz w:val="20"/>
          <w:szCs w:val="20"/>
        </w:rPr>
      </w:pPr>
    </w:p>
    <w:p w14:paraId="262EC952" w14:textId="5B49D709" w:rsidR="008D1D2D" w:rsidRPr="008D1D2D" w:rsidRDefault="008D1D2D" w:rsidP="008D1D2D">
      <w:pPr>
        <w:pStyle w:val="AODocTxt"/>
        <w:rPr>
          <w:rFonts w:ascii="Verdana" w:hAnsi="Verdana"/>
          <w:sz w:val="20"/>
          <w:szCs w:val="20"/>
        </w:rPr>
      </w:pPr>
      <w:r w:rsidRPr="008D1D2D">
        <w:rPr>
          <w:rFonts w:ascii="Verdana" w:hAnsi="Verdana"/>
          <w:sz w:val="20"/>
          <w:szCs w:val="20"/>
        </w:rPr>
        <w:t>Amsterdam, the Netherlands</w:t>
      </w:r>
    </w:p>
    <w:sdt>
      <w:sdtPr>
        <w:alias w:val="Contract Express"/>
        <w:tag w:val="d=BuyBackDateOfAnnouncement&amp;r="/>
        <w:id w:val="679153059"/>
      </w:sdtPr>
      <w:sdtEndPr/>
      <w:sdtContent>
        <w:p w14:paraId="147813E0" w14:textId="19C22F71" w:rsidR="008D1D2D" w:rsidRDefault="00394F0E" w:rsidP="008D1D2D">
          <w:pPr>
            <w:pStyle w:val="AODocTxt"/>
            <w:spacing w:before="0"/>
            <w:rPr>
              <w:rFonts w:ascii="Verdana" w:hAnsi="Verdana"/>
              <w:sz w:val="20"/>
              <w:szCs w:val="20"/>
            </w:rPr>
          </w:pPr>
          <w:r>
            <w:rPr>
              <w:rFonts w:ascii="Verdana" w:hAnsi="Verdana"/>
              <w:sz w:val="20"/>
              <w:szCs w:val="20"/>
            </w:rPr>
            <w:t>18</w:t>
          </w:r>
          <w:r w:rsidR="008D1D2D">
            <w:rPr>
              <w:rFonts w:ascii="Verdana" w:hAnsi="Verdana"/>
              <w:sz w:val="20"/>
              <w:szCs w:val="20"/>
            </w:rPr>
            <w:t xml:space="preserve"> September 2023</w:t>
          </w:r>
        </w:p>
      </w:sdtContent>
    </w:sdt>
    <w:p w14:paraId="5D9F2A0D" w14:textId="77777777" w:rsidR="008D1D2D" w:rsidRDefault="008D1D2D" w:rsidP="008D1D2D">
      <w:pPr>
        <w:pStyle w:val="AODocTxt"/>
        <w:rPr>
          <w:rFonts w:ascii="Verdana" w:hAnsi="Verdana"/>
          <w:sz w:val="20"/>
          <w:szCs w:val="20"/>
        </w:rPr>
      </w:pPr>
      <w:r>
        <w:rPr>
          <w:rFonts w:ascii="Verdana" w:hAnsi="Verdana"/>
          <w:sz w:val="20"/>
          <w:szCs w:val="20"/>
        </w:rPr>
        <w:t>JSE sponsor to Prosus</w:t>
      </w:r>
    </w:p>
    <w:p w14:paraId="3E1D1EF9" w14:textId="77777777" w:rsidR="008D1D2D" w:rsidRDefault="008D1D2D" w:rsidP="008D1D2D">
      <w:pPr>
        <w:pStyle w:val="AODocTxt"/>
        <w:spacing w:before="0"/>
        <w:rPr>
          <w:rFonts w:ascii="Verdana" w:hAnsi="Verdana"/>
          <w:sz w:val="20"/>
          <w:szCs w:val="20"/>
        </w:rPr>
      </w:pPr>
      <w:r>
        <w:rPr>
          <w:rFonts w:ascii="Verdana" w:hAnsi="Verdana"/>
          <w:sz w:val="20"/>
          <w:szCs w:val="20"/>
        </w:rPr>
        <w:t>Investec Bank Limited</w:t>
      </w:r>
    </w:p>
    <w:p w14:paraId="46F4C8D3" w14:textId="5F4F43DB" w:rsidR="004044A1" w:rsidRDefault="00D102B6" w:rsidP="004044A1">
      <w:pPr>
        <w:pStyle w:val="AODocTxt"/>
        <w:rPr>
          <w:rFonts w:ascii="Verdana" w:hAnsi="Verdana"/>
          <w:sz w:val="20"/>
          <w:szCs w:val="20"/>
        </w:rPr>
      </w:pPr>
      <w:r>
        <w:rPr>
          <w:rFonts w:ascii="Verdana" w:hAnsi="Verdana"/>
          <w:sz w:val="20"/>
          <w:szCs w:val="20"/>
        </w:rPr>
        <w:t xml:space="preserve">International </w:t>
      </w:r>
      <w:r w:rsidR="00130488">
        <w:rPr>
          <w:rFonts w:ascii="Verdana" w:hAnsi="Verdana"/>
          <w:sz w:val="20"/>
          <w:szCs w:val="20"/>
        </w:rPr>
        <w:t>Legal Advisor</w:t>
      </w:r>
      <w:r w:rsidR="004044A1">
        <w:rPr>
          <w:rFonts w:ascii="Verdana" w:hAnsi="Verdana"/>
          <w:sz w:val="20"/>
          <w:szCs w:val="20"/>
        </w:rPr>
        <w:t xml:space="preserve"> to Prosus</w:t>
      </w:r>
    </w:p>
    <w:p w14:paraId="37C914CE" w14:textId="7CBDCF3D" w:rsidR="004044A1" w:rsidRDefault="00130488" w:rsidP="00130488">
      <w:pPr>
        <w:pStyle w:val="AODocTxt"/>
        <w:rPr>
          <w:rFonts w:ascii="Verdana" w:hAnsi="Verdana"/>
          <w:sz w:val="20"/>
          <w:szCs w:val="20"/>
        </w:rPr>
      </w:pPr>
      <w:r>
        <w:rPr>
          <w:rFonts w:ascii="Verdana" w:hAnsi="Verdana"/>
          <w:sz w:val="20"/>
          <w:szCs w:val="20"/>
        </w:rPr>
        <w:t>Allen &amp; Overy LLP</w:t>
      </w:r>
    </w:p>
    <w:p w14:paraId="4D6F8B5A" w14:textId="2A50714F" w:rsidR="004044A1" w:rsidRPr="00130488" w:rsidRDefault="00130488" w:rsidP="00130488">
      <w:pPr>
        <w:pStyle w:val="AODocTxt"/>
        <w:rPr>
          <w:rFonts w:ascii="Verdana" w:hAnsi="Verdana"/>
          <w:sz w:val="20"/>
          <w:szCs w:val="20"/>
        </w:rPr>
      </w:pPr>
      <w:r w:rsidRPr="00130488">
        <w:rPr>
          <w:rFonts w:ascii="Verdana" w:hAnsi="Verdana"/>
          <w:sz w:val="20"/>
          <w:szCs w:val="20"/>
        </w:rPr>
        <w:t>Legal Advisor to Prosus</w:t>
      </w:r>
    </w:p>
    <w:p w14:paraId="0036FA35" w14:textId="6F4FF150" w:rsidR="00130488" w:rsidRPr="00130488" w:rsidRDefault="00130488" w:rsidP="00130488">
      <w:pPr>
        <w:pStyle w:val="AODocTxt"/>
        <w:rPr>
          <w:rFonts w:ascii="Verdana" w:hAnsi="Verdana"/>
          <w:sz w:val="20"/>
          <w:szCs w:val="20"/>
        </w:rPr>
      </w:pPr>
      <w:r w:rsidRPr="00130488">
        <w:rPr>
          <w:rFonts w:ascii="Verdana" w:hAnsi="Verdana"/>
          <w:sz w:val="20"/>
          <w:szCs w:val="20"/>
        </w:rPr>
        <w:t>Webber Wentzel</w:t>
      </w:r>
    </w:p>
    <w:p w14:paraId="59BD28BD" w14:textId="77777777" w:rsidR="004044A1" w:rsidRDefault="004044A1" w:rsidP="008D1D2D">
      <w:pPr>
        <w:suppressAutoHyphens/>
        <w:jc w:val="both"/>
        <w:rPr>
          <w:rFonts w:ascii="Calibri" w:eastAsia="Arial" w:hAnsi="Calibri" w:cs="Calibri"/>
          <w:lang w:eastAsia="en-GB"/>
        </w:rPr>
      </w:pPr>
    </w:p>
    <w:p w14:paraId="1211E1FF" w14:textId="77777777" w:rsidR="008D1D2D" w:rsidRDefault="008D1D2D" w:rsidP="008D1D2D">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D1D2D" w:rsidRPr="005431FA" w14:paraId="740ED622" w14:textId="77777777" w:rsidTr="00836F89">
        <w:tc>
          <w:tcPr>
            <w:tcW w:w="4815" w:type="dxa"/>
            <w:tcBorders>
              <w:top w:val="nil"/>
              <w:left w:val="nil"/>
              <w:bottom w:val="nil"/>
              <w:right w:val="nil"/>
            </w:tcBorders>
            <w:shd w:val="clear" w:color="auto" w:fill="auto"/>
            <w:hideMark/>
          </w:tcPr>
          <w:bookmarkEnd w:id="2"/>
          <w:p w14:paraId="5317A0D1" w14:textId="77777777" w:rsidR="008D1D2D" w:rsidRPr="005431FA" w:rsidRDefault="008D1D2D" w:rsidP="00836F89">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4C816012" w14:textId="77777777" w:rsidR="008D1D2D" w:rsidRPr="005431FA" w:rsidRDefault="008D1D2D" w:rsidP="00836F8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1A4F6CD5" w14:textId="77777777" w:rsidR="008D1D2D" w:rsidRPr="005431FA" w:rsidRDefault="008D1D2D" w:rsidP="00836F8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D1D2D" w:rsidRPr="005431FA" w14:paraId="78176201" w14:textId="77777777" w:rsidTr="00836F89">
        <w:trPr>
          <w:trHeight w:val="110"/>
        </w:trPr>
        <w:tc>
          <w:tcPr>
            <w:tcW w:w="4815" w:type="dxa"/>
            <w:tcBorders>
              <w:top w:val="nil"/>
              <w:left w:val="nil"/>
              <w:bottom w:val="nil"/>
              <w:right w:val="nil"/>
            </w:tcBorders>
            <w:shd w:val="clear" w:color="auto" w:fill="auto"/>
            <w:hideMark/>
          </w:tcPr>
          <w:p w14:paraId="7839BD60" w14:textId="77777777" w:rsidR="008D1D2D" w:rsidRPr="005431FA" w:rsidRDefault="008D1D2D" w:rsidP="00942A56">
            <w:pPr>
              <w:keepNext/>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Media Enquiries</w:t>
            </w:r>
            <w:r w:rsidRPr="005431FA">
              <w:rPr>
                <w:rFonts w:ascii="Verdana" w:eastAsia="Calibri" w:hAnsi="Verdana"/>
                <w:sz w:val="20"/>
                <w:szCs w:val="20"/>
                <w:lang w:val="en-ZA"/>
              </w:rPr>
              <w:t> </w:t>
            </w:r>
          </w:p>
          <w:p w14:paraId="5A2302C9" w14:textId="77777777" w:rsidR="008D1D2D" w:rsidRPr="005431FA" w:rsidRDefault="008D1D2D" w:rsidP="00836F8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Charlie Pemberton, Communications Director</w:t>
            </w:r>
          </w:p>
        </w:tc>
        <w:tc>
          <w:tcPr>
            <w:tcW w:w="4380" w:type="dxa"/>
            <w:tcBorders>
              <w:top w:val="nil"/>
              <w:left w:val="nil"/>
              <w:bottom w:val="nil"/>
              <w:right w:val="nil"/>
            </w:tcBorders>
            <w:shd w:val="clear" w:color="auto" w:fill="auto"/>
            <w:hideMark/>
          </w:tcPr>
          <w:p w14:paraId="0C2EBD0D" w14:textId="77777777" w:rsidR="008D1D2D" w:rsidRPr="005431FA" w:rsidRDefault="008D1D2D" w:rsidP="00836F8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3417A8BD" w14:textId="77777777" w:rsidR="008D1D2D" w:rsidRDefault="008D1D2D" w:rsidP="008D1D2D">
      <w:pPr>
        <w:rPr>
          <w:rFonts w:ascii="Verdana" w:eastAsia="Verdana" w:hAnsi="Verdana" w:cs="Verdana"/>
          <w:b/>
          <w:color w:val="000000"/>
          <w:sz w:val="20"/>
          <w:szCs w:val="20"/>
          <w:lang w:eastAsia="en-GB"/>
        </w:rPr>
      </w:pPr>
    </w:p>
    <w:p w14:paraId="0AB1358D" w14:textId="77777777" w:rsidR="008D1D2D" w:rsidRDefault="008D1D2D" w:rsidP="00394F0E">
      <w:pPr>
        <w:keepNext/>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4B60225C" w14:textId="77777777" w:rsidR="008D1D2D" w:rsidRDefault="008D1D2D" w:rsidP="008D1D2D">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42130FD8" w14:textId="77777777" w:rsidR="008D1D2D" w:rsidRDefault="008D1D2D" w:rsidP="008D1D2D">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7053A4F0" w14:textId="17C74894" w:rsidR="008D1D2D" w:rsidRDefault="008D1D2D" w:rsidP="008D1D2D">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Swiggy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53EB725D" w14:textId="77777777" w:rsidR="008D1D2D" w:rsidRDefault="008D1D2D" w:rsidP="008D1D2D">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0A8F3846" w14:textId="77777777" w:rsidR="008D1D2D" w:rsidRDefault="008D1D2D" w:rsidP="008D1D2D">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336E8AC8" w14:textId="77777777" w:rsidR="008D1D2D" w:rsidRDefault="008D1D2D" w:rsidP="008D1D2D">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32CEDAB9" w14:textId="2D4071A2" w:rsidR="008D1D2D" w:rsidRDefault="008D1D2D" w:rsidP="008D1D2D">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For more information, please visit </w:t>
      </w:r>
      <w:hyperlink r:id="rId14"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bookmarkEnd w:id="0"/>
    <w:p w14:paraId="5AA34567" w14:textId="77777777" w:rsidR="00CA14DD" w:rsidRPr="00BF4DB4" w:rsidRDefault="00CA14DD" w:rsidP="00CA14DD">
      <w:pPr>
        <w:keepNext/>
        <w:spacing w:after="160" w:line="257" w:lineRule="auto"/>
        <w:jc w:val="both"/>
        <w:rPr>
          <w:rFonts w:ascii="Calibri" w:eastAsia="Calibri" w:hAnsi="Calibri" w:cs="Arial"/>
          <w:b/>
          <w:bCs/>
          <w:i/>
          <w:iCs/>
          <w:color w:val="000000"/>
          <w:sz w:val="18"/>
          <w:szCs w:val="18"/>
          <w:lang w:val="en-US"/>
        </w:rPr>
      </w:pPr>
      <w:r w:rsidRPr="00BF4DB4">
        <w:rPr>
          <w:rFonts w:ascii="Calibri" w:eastAsia="Calibri" w:hAnsi="Calibri" w:cs="Arial"/>
          <w:b/>
          <w:bCs/>
          <w:i/>
          <w:iCs/>
          <w:color w:val="000000"/>
          <w:sz w:val="18"/>
          <w:szCs w:val="18"/>
          <w:lang w:val="en-US"/>
        </w:rPr>
        <w:t>Disclaimer</w:t>
      </w:r>
    </w:p>
    <w:p w14:paraId="44AA5D41"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 xml:space="preserve">Shareholders should note that the Naspers Board and Prosus Board each reserve the right, in their sole discretion, to decide not to proceed with the Proposed Transaction and, as such, the Proposed Transaction may or may not proceed. </w:t>
      </w:r>
    </w:p>
    <w:p w14:paraId="56C86279"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 xml:space="preserve">This announcement is for information purposes only and is not intended to, and does not constitute or form part of, any offer to sell or otherwise dispose of, or the solicitation of an offer to buy, otherwise acquire or subscribe for, securities in or into any jurisdiction, including, but not limited to, the United States, and neither this document nor anything herein nor any copy thereof may be taken into or distributed, directly or indirectly, in or into any jurisdiction in which to do so would be prohibited by applicable law. </w:t>
      </w:r>
    </w:p>
    <w:p w14:paraId="6076B052"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The securities referred to in this announcement have not been and will not be registered under the U.S. Securities Act of 1933, as amended (the “</w:t>
      </w:r>
      <w:r w:rsidRPr="00BF4DB4">
        <w:rPr>
          <w:rFonts w:ascii="Verdana" w:hAnsi="Verdana"/>
          <w:b/>
          <w:bCs/>
          <w:i/>
          <w:iCs/>
          <w:sz w:val="18"/>
          <w:szCs w:val="18"/>
          <w:lang w:val="en-ZA"/>
        </w:rPr>
        <w:t>Securities Act</w:t>
      </w:r>
      <w:r w:rsidRPr="00BF4DB4">
        <w:rPr>
          <w:rFonts w:ascii="Verdana" w:hAnsi="Verdana"/>
          <w:i/>
          <w:iCs/>
          <w:sz w:val="18"/>
          <w:szCs w:val="18"/>
          <w:lang w:val="en-ZA"/>
        </w:rPr>
        <w:t>”), and may not be offered or sold, directly or indirectly, in or into the United States absent registration under the Securities Act or pursuant to an exemption from, or in a transaction not subject to, the registration requirements of the Securities Act. Naspers and Prosus have not been and will not be registered under the U.S. Investment Company Act of 1940, as amended (the "</w:t>
      </w:r>
      <w:r w:rsidRPr="00BF4DB4">
        <w:rPr>
          <w:rFonts w:ascii="Verdana" w:hAnsi="Verdana"/>
          <w:b/>
          <w:bCs/>
          <w:i/>
          <w:iCs/>
          <w:sz w:val="18"/>
          <w:szCs w:val="18"/>
          <w:lang w:val="en-ZA"/>
        </w:rPr>
        <w:t>Investment Company Act</w:t>
      </w:r>
      <w:r w:rsidRPr="00BF4DB4">
        <w:rPr>
          <w:rFonts w:ascii="Verdana" w:hAnsi="Verdana"/>
          <w:i/>
          <w:iCs/>
          <w:sz w:val="18"/>
          <w:szCs w:val="18"/>
          <w:lang w:val="en-ZA"/>
        </w:rPr>
        <w:t xml:space="preserve">"), and holders of any of the securities referred to herein will not be afforded the protections of the Investment Company Act. </w:t>
      </w:r>
    </w:p>
    <w:p w14:paraId="44571700"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The information contained in this announcement does not constitute or form a part of any offer to the public for the sale of, or subscription for, or an invitation, advertisement, or the solicitation of an offer to purchase and/or subscribe for, securities as defined in and/or contemplated by the South African Companies Act, No. 71 of 2008 ("</w:t>
      </w:r>
      <w:r w:rsidRPr="00BF4DB4">
        <w:rPr>
          <w:rFonts w:ascii="Verdana" w:hAnsi="Verdana"/>
          <w:b/>
          <w:bCs/>
          <w:i/>
          <w:iCs/>
          <w:sz w:val="18"/>
          <w:szCs w:val="18"/>
          <w:lang w:val="en-ZA"/>
        </w:rPr>
        <w:t>South African Companies Act</w:t>
      </w:r>
      <w:r w:rsidRPr="00BF4DB4">
        <w:rPr>
          <w:rFonts w:ascii="Verdana" w:hAnsi="Verdana"/>
          <w:i/>
          <w:iCs/>
          <w:sz w:val="18"/>
          <w:szCs w:val="18"/>
          <w:lang w:val="en-ZA"/>
        </w:rPr>
        <w:t xml:space="preserve">"). Accordingly, this announcement does not, nor does it intend to, constitute a “registered prospectus” or an advertisement relating to an offer to the public, as contemplated by the South African Companies Act and no prospectus has been, or will be, filed with the South African Companies and Intellectual Property Commission in respect of this announcement. </w:t>
      </w:r>
    </w:p>
    <w:p w14:paraId="5C1A3357"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The information contained in this announcement constitutes factual information as contemplated in Section 1(3)(a) of the South African Financial Advisory and Intermediary Services Act, 37 of 2002, as amended ("</w:t>
      </w:r>
      <w:r w:rsidRPr="00BF4DB4">
        <w:rPr>
          <w:rFonts w:ascii="Verdana" w:hAnsi="Verdana"/>
          <w:b/>
          <w:bCs/>
          <w:i/>
          <w:iCs/>
          <w:sz w:val="18"/>
          <w:szCs w:val="18"/>
          <w:lang w:val="en-ZA"/>
        </w:rPr>
        <w:t>FAIS Act</w:t>
      </w:r>
      <w:r w:rsidRPr="00BF4DB4">
        <w:rPr>
          <w:rFonts w:ascii="Verdana" w:hAnsi="Verdana"/>
          <w:i/>
          <w:iCs/>
          <w:sz w:val="18"/>
          <w:szCs w:val="18"/>
          <w:lang w:val="en-ZA"/>
        </w:rPr>
        <w:t xml:space="preserve">") and should not be construed as an express or implied recommendation, guide or proposal that any particular transaction in respect of the Prosus Ordinary Shares N and/or Naspers N Ordinary Shares or in relation to the business or future investments of Prosus and/or Naspers, is appropriate to the particular investment objectives, financial situations or needs of a prospective investor, and nothing contained in this announcement should be construed as constituting the canvassing for, or marketing or advertising of, financial services in South Africa. Prosus is not a financial services provider licensed as such under the FAIS Act. </w:t>
      </w:r>
    </w:p>
    <w:p w14:paraId="7430705C" w14:textId="77777777" w:rsidR="00CA14DD" w:rsidRDefault="00CA14DD" w:rsidP="00CA14DD">
      <w:pPr>
        <w:spacing w:before="240"/>
        <w:jc w:val="both"/>
        <w:rPr>
          <w:rFonts w:ascii="Verdana" w:hAnsi="Verdana"/>
          <w:i/>
          <w:iCs/>
          <w:sz w:val="18"/>
          <w:szCs w:val="18"/>
          <w:lang w:val="en-ZA"/>
        </w:rPr>
      </w:pPr>
      <w:r>
        <w:rPr>
          <w:rFonts w:ascii="Verdana" w:hAnsi="Verdana"/>
          <w:i/>
          <w:iCs/>
          <w:sz w:val="18"/>
          <w:szCs w:val="18"/>
          <w:lang w:val="en-ZA"/>
        </w:rPr>
        <w:t>In member states of the European Economic Area (“</w:t>
      </w:r>
      <w:r>
        <w:rPr>
          <w:rFonts w:ascii="Verdana" w:hAnsi="Verdana"/>
          <w:b/>
          <w:bCs/>
          <w:i/>
          <w:iCs/>
          <w:sz w:val="18"/>
          <w:szCs w:val="18"/>
          <w:lang w:val="en-ZA"/>
        </w:rPr>
        <w:t>EEA</w:t>
      </w:r>
      <w:r>
        <w:rPr>
          <w:rFonts w:ascii="Verdana" w:hAnsi="Verdana"/>
          <w:i/>
          <w:iCs/>
          <w:sz w:val="18"/>
          <w:szCs w:val="18"/>
          <w:lang w:val="en-ZA"/>
        </w:rPr>
        <w:t>”) (each, a “</w:t>
      </w:r>
      <w:r>
        <w:rPr>
          <w:rFonts w:ascii="Verdana" w:hAnsi="Verdana"/>
          <w:b/>
          <w:bCs/>
          <w:i/>
          <w:iCs/>
          <w:sz w:val="18"/>
          <w:szCs w:val="18"/>
          <w:lang w:val="en-ZA"/>
        </w:rPr>
        <w:t>Relevant Member State</w:t>
      </w:r>
      <w:r>
        <w:rPr>
          <w:rFonts w:ascii="Verdana" w:hAnsi="Verdana"/>
          <w:i/>
          <w:iCs/>
          <w:sz w:val="18"/>
          <w:szCs w:val="18"/>
          <w:lang w:val="en-ZA"/>
        </w:rPr>
        <w:t xml:space="preserve">”) no action has been undertaken or will be undertaken to make an offer to the public of securities. </w:t>
      </w:r>
    </w:p>
    <w:p w14:paraId="01537EE0" w14:textId="77777777" w:rsidR="00CA14DD" w:rsidRDefault="00CA14DD" w:rsidP="00CA14DD">
      <w:pPr>
        <w:spacing w:before="240"/>
        <w:jc w:val="both"/>
        <w:rPr>
          <w:rFonts w:ascii="Verdana" w:hAnsi="Verdana"/>
          <w:i/>
          <w:sz w:val="18"/>
          <w:szCs w:val="18"/>
          <w:lang w:val="en-ZA"/>
        </w:rPr>
      </w:pPr>
      <w:r>
        <w:rPr>
          <w:rFonts w:ascii="Verdana" w:hAnsi="Verdana"/>
          <w:i/>
          <w:sz w:val="18"/>
          <w:szCs w:val="18"/>
          <w:lang w:val="en-ZA"/>
        </w:rPr>
        <w:t>This announcement does not constitute</w:t>
      </w:r>
      <w:r>
        <w:rPr>
          <w:rFonts w:ascii="Verdana" w:hAnsi="Verdana"/>
          <w:i/>
          <w:iCs/>
          <w:sz w:val="18"/>
          <w:szCs w:val="18"/>
          <w:lang w:val="en-ZA"/>
        </w:rPr>
        <w:t xml:space="preserve"> a prospectus within the meaning of the Prospectus Regulation and has not been approved by the Dutch Authority for the Financial Markets (Stichting Autoriteit Financiële Markten). For these purposes, the expression “Prospectus Regulation” means Regulation 2017/1129/EU (and amendments thereto) and includes any relevant implementing measure in the Relevant Member State.</w:t>
      </w:r>
    </w:p>
    <w:p w14:paraId="7B36F7D1"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lastRenderedPageBreak/>
        <w:t xml:space="preserve">The release, publication, or distribution of this announcement in jurisdictions other than South Africa may be restricted by law and therefore persons into whose possession this announcement comes should inform themselves about, and observe, any applicable restrictions or requirements. Any failure to comply with such restrictions may constitute a violation of the securities laws of any such jurisdiction. To the fullest extent permitted by applicable law, Prosus and Naspers disclaim any responsibility or liability for the violation of such requirements by any person. </w:t>
      </w:r>
    </w:p>
    <w:p w14:paraId="06CDFFB9"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 xml:space="preserve">It is the responsibility of each Shareholder (including, without limitation, nominees, </w:t>
      </w:r>
      <w:proofErr w:type="gramStart"/>
      <w:r w:rsidRPr="00BF4DB4">
        <w:rPr>
          <w:rFonts w:ascii="Verdana" w:hAnsi="Verdana"/>
          <w:i/>
          <w:iCs/>
          <w:sz w:val="18"/>
          <w:szCs w:val="18"/>
          <w:lang w:val="en-ZA"/>
        </w:rPr>
        <w:t>agents</w:t>
      </w:r>
      <w:proofErr w:type="gramEnd"/>
      <w:r w:rsidRPr="00BF4DB4">
        <w:rPr>
          <w:rFonts w:ascii="Verdana" w:hAnsi="Verdana"/>
          <w:i/>
          <w:iCs/>
          <w:sz w:val="18"/>
          <w:szCs w:val="18"/>
          <w:lang w:val="en-ZA"/>
        </w:rPr>
        <w:t xml:space="preserve"> and trustees for such persons) wishing to receive this announcement to satisfy themselves as to the full observance of the applicable laws of any relevant territory, including obtaining any requisite governmental or other consents, observing any other requirements or formalities and paying any issue, transfer or other taxes due in such territories. </w:t>
      </w:r>
    </w:p>
    <w:p w14:paraId="27D7FF5A" w14:textId="5A218C18"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 xml:space="preserve">Prosus shareholders are advised to read the Shareholder Circular and the </w:t>
      </w:r>
      <w:proofErr w:type="gramStart"/>
      <w:r w:rsidRPr="00BF4DB4">
        <w:rPr>
          <w:rFonts w:ascii="Verdana" w:hAnsi="Verdana"/>
          <w:i/>
          <w:iCs/>
          <w:sz w:val="18"/>
          <w:szCs w:val="18"/>
          <w:lang w:val="en-ZA"/>
        </w:rPr>
        <w:t>notice</w:t>
      </w:r>
      <w:proofErr w:type="gramEnd"/>
      <w:r w:rsidRPr="00BF4DB4">
        <w:rPr>
          <w:rFonts w:ascii="Verdana" w:hAnsi="Verdana"/>
          <w:i/>
          <w:iCs/>
          <w:sz w:val="18"/>
          <w:szCs w:val="18"/>
          <w:lang w:val="en-ZA"/>
        </w:rPr>
        <w:t xml:space="preserve"> of Annual General Meeting (available of Prosus' website www.prosus.com), which contains the terms and conditions of the Proposed Transaction, with care and in full. Any decision to approve the Proposed Transaction and/or other matters dealt with herein should be made only </w:t>
      </w:r>
      <w:proofErr w:type="gramStart"/>
      <w:r w:rsidRPr="00BF4DB4">
        <w:rPr>
          <w:rFonts w:ascii="Verdana" w:hAnsi="Verdana"/>
          <w:i/>
          <w:iCs/>
          <w:sz w:val="18"/>
          <w:szCs w:val="18"/>
          <w:lang w:val="en-ZA"/>
        </w:rPr>
        <w:t>on the basis of</w:t>
      </w:r>
      <w:proofErr w:type="gramEnd"/>
      <w:r w:rsidRPr="00BF4DB4">
        <w:rPr>
          <w:rFonts w:ascii="Verdana" w:hAnsi="Verdana"/>
          <w:i/>
          <w:iCs/>
          <w:sz w:val="18"/>
          <w:szCs w:val="18"/>
          <w:lang w:val="en-ZA"/>
        </w:rPr>
        <w:t xml:space="preserve"> the information in the notice of Annual General Meeting and the Shareholder Circular.</w:t>
      </w:r>
    </w:p>
    <w:p w14:paraId="246BDA71" w14:textId="5DBD7434"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 xml:space="preserve">Requisite documentation will be issued by Naspers in respect of the Proposed Transaction insofar as it relates to Naspers in due course, subject to applicable securities laws, on </w:t>
      </w:r>
      <w:hyperlink r:id="rId15" w:history="1">
        <w:r w:rsidRPr="00BF4DB4">
          <w:rPr>
            <w:rStyle w:val="Hyperlink"/>
            <w:rFonts w:ascii="Verdana" w:hAnsi="Verdana"/>
            <w:i/>
            <w:iCs/>
            <w:sz w:val="18"/>
            <w:szCs w:val="18"/>
            <w:lang w:val="en-ZA"/>
          </w:rPr>
          <w:t>www.naspers</w:t>
        </w:r>
      </w:hyperlink>
      <w:r w:rsidRPr="00BF4DB4">
        <w:rPr>
          <w:rFonts w:ascii="Verdana" w:hAnsi="Verdana"/>
          <w:i/>
          <w:iCs/>
          <w:sz w:val="18"/>
          <w:szCs w:val="18"/>
          <w:lang w:val="en-ZA"/>
        </w:rPr>
        <w:t xml:space="preserve">.com. Shareholders should have regard to such document in respect of the Proposed Transaction in relation to Naspers. </w:t>
      </w:r>
    </w:p>
    <w:p w14:paraId="58A7E41C"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Nothing contained in this announcement constitutes, or is intended to constitute, investment, tax, legal, accounting, or other professional advice.</w:t>
      </w:r>
    </w:p>
    <w:p w14:paraId="3BE6F5D1" w14:textId="77777777" w:rsidR="00CA14DD" w:rsidRPr="00BF4DB4" w:rsidRDefault="00CA14DD" w:rsidP="00CA14DD">
      <w:pPr>
        <w:pStyle w:val="Default"/>
        <w:spacing w:before="240"/>
        <w:rPr>
          <w:sz w:val="18"/>
          <w:szCs w:val="18"/>
        </w:rPr>
      </w:pPr>
      <w:r w:rsidRPr="00BF4DB4">
        <w:rPr>
          <w:b/>
          <w:bCs/>
          <w:i/>
          <w:iCs/>
          <w:sz w:val="18"/>
          <w:szCs w:val="18"/>
        </w:rPr>
        <w:t xml:space="preserve">Forward-looking statements </w:t>
      </w:r>
    </w:p>
    <w:p w14:paraId="26711F21"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 xml:space="preserve">This announcement contains statements about Prosus and/or Naspers that are, or may be, forward-looking statements. All statements (other than statements of historical fact) are, or may be deemed to be, forward-looking statements, including, without limitation, those concerning: strategy; the economic outlook for the industries in which Prosus and/or Naspers operates or invests as well as markets generally; production; cash costs and other operating results; growth prospects and outlook for operations and/or investments, individually or in the aggregate; liquidity, capital resources and expenditure, statements in relation to the approval by shareholders or implementation of the Proposed Transaction and/or the benefits of the Proposed Transaction. These forward-looking statements are not based on historical facts, but rather reflect current expectations concerning future results and events and generally may be identified </w:t>
      </w:r>
      <w:proofErr w:type="gramStart"/>
      <w:r w:rsidRPr="00BF4DB4">
        <w:rPr>
          <w:rFonts w:ascii="Verdana" w:hAnsi="Verdana"/>
          <w:i/>
          <w:iCs/>
          <w:sz w:val="18"/>
          <w:szCs w:val="18"/>
          <w:lang w:val="en-ZA"/>
        </w:rPr>
        <w:t>by the use of</w:t>
      </w:r>
      <w:proofErr w:type="gramEnd"/>
      <w:r w:rsidRPr="00BF4DB4">
        <w:rPr>
          <w:rFonts w:ascii="Verdana" w:hAnsi="Verdana"/>
          <w:i/>
          <w:iCs/>
          <w:sz w:val="18"/>
          <w:szCs w:val="18"/>
          <w:lang w:val="en-ZA"/>
        </w:rPr>
        <w:t xml:space="preserve"> forward-looking words or phrases such as "believe", "aim", "expect", "anticipate", "intend", "foresee", "forecast", "likely", "should", "planned", "may", "estimated", "potential" or similar words and phrases. Examples of forward-looking statements include statements regarding a future financial position or future profits, cash flows, corporate strategy, implementation of the Proposed Transaction and/or the benefits of the Proposed Transaction, anticipated levels of growth, estimates of capital expenditures, acquisition and investment strategy, expansion prospects or future capital expenditure levels and other economic factors, such as, among others, growth, and interest rates. </w:t>
      </w:r>
    </w:p>
    <w:p w14:paraId="5CC40469"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 xml:space="preserve">By their nature, forward-looking statements involve known and unknown risks and uncertainties because they relate to events and depend on circumstances that may or may not occur in the future. Prosus and Naspers caution that forward-looking statements are not guarantees of future performance. Actual results, financial and operating conditions, returns and the developments within the industries and markets in which Prosus and/or Naspers operates and/or invests may differ materially from those made in, or suggested by, the forward-looking statements contained in this announcement. All these forward-looking statements are based on estimates, predictions, and assumptions, as regards Prosus or Naspers, all of which estimates, predictions and assumptions, although Prosus and Naspers believe them to be reasonable, are inherently uncertain and may not eventuate or eventuate in the manner Prosus and Naspers expect. Factors which may cause the actual results, performance, or achievements to be materially different from any future results, performance or achievements expressed or implied in those </w:t>
      </w:r>
      <w:r w:rsidRPr="00BF4DB4">
        <w:rPr>
          <w:rFonts w:ascii="Verdana" w:hAnsi="Verdana"/>
          <w:i/>
          <w:iCs/>
          <w:sz w:val="18"/>
          <w:szCs w:val="18"/>
          <w:lang w:val="en-ZA"/>
        </w:rPr>
        <w:lastRenderedPageBreak/>
        <w:t xml:space="preserve">statements or assumptions include matters not yet known to Prosus and Naspers or not currently considered material by Prosus and Naspers. </w:t>
      </w:r>
    </w:p>
    <w:p w14:paraId="66EA1EA9" w14:textId="77777777" w:rsidR="00CA14DD" w:rsidRPr="00BF4DB4" w:rsidRDefault="00CA14DD" w:rsidP="00CA14DD">
      <w:pPr>
        <w:spacing w:before="240"/>
        <w:jc w:val="both"/>
        <w:rPr>
          <w:rFonts w:ascii="Verdana" w:hAnsi="Verdana"/>
          <w:i/>
          <w:iCs/>
          <w:sz w:val="18"/>
          <w:szCs w:val="18"/>
          <w:lang w:val="en-ZA"/>
        </w:rPr>
      </w:pPr>
      <w:r w:rsidRPr="00BF4DB4">
        <w:rPr>
          <w:rFonts w:ascii="Verdana" w:hAnsi="Verdana"/>
          <w:i/>
          <w:iCs/>
          <w:sz w:val="18"/>
          <w:szCs w:val="18"/>
          <w:lang w:val="en-ZA"/>
        </w:rPr>
        <w:t>Shareholders should keep in mind that any forward-looking statement made in this announcement or elsewhere is applicable only at the date on which such forward-looking statement is made. New factors that could cause the business of Prosus or Naspers not to develop as expected may emerge from time to time and it is not possible to predict all of them. Further, the extent to which any factor or combination of factors may cause actual results, performance, or achievement to differ materially from those contained in any forward-looking statement is not known. Prosus and Naspers have no duty to, and does not intend to, update, or revise the forward-looking statements contained in this announcement or any other information herein, except as may be required by law. Any forward-looking statement has not been.</w:t>
      </w:r>
    </w:p>
    <w:p w14:paraId="279DAF71" w14:textId="66C97BE7" w:rsidR="0099689C" w:rsidRPr="008D1D2D" w:rsidRDefault="0099689C">
      <w:pPr>
        <w:rPr>
          <w:lang w:val="en-US"/>
        </w:rPr>
      </w:pPr>
    </w:p>
    <w:sectPr w:rsidR="0099689C" w:rsidRPr="008D1D2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6F5D" w14:textId="77777777" w:rsidR="00634691" w:rsidRDefault="00634691" w:rsidP="0035280F">
      <w:r>
        <w:separator/>
      </w:r>
    </w:p>
  </w:endnote>
  <w:endnote w:type="continuationSeparator" w:id="0">
    <w:p w14:paraId="5EEBBFC2" w14:textId="77777777" w:rsidR="00634691" w:rsidRDefault="00634691" w:rsidP="0035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F090" w14:textId="77777777" w:rsidR="0035280F" w:rsidRDefault="00352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62A9" w14:textId="77777777" w:rsidR="0035280F" w:rsidRDefault="00352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4CE2" w14:textId="77777777" w:rsidR="0035280F" w:rsidRDefault="00352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8E87" w14:textId="77777777" w:rsidR="00634691" w:rsidRDefault="00634691" w:rsidP="0035280F">
      <w:r>
        <w:separator/>
      </w:r>
    </w:p>
  </w:footnote>
  <w:footnote w:type="continuationSeparator" w:id="0">
    <w:p w14:paraId="78523F05" w14:textId="77777777" w:rsidR="00634691" w:rsidRDefault="00634691" w:rsidP="0035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8F50" w14:textId="77777777" w:rsidR="0035280F" w:rsidRDefault="00352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DA44" w14:textId="77777777" w:rsidR="0035280F" w:rsidRDefault="00352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AAE" w14:textId="77777777" w:rsidR="0035280F" w:rsidRDefault="00352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1C96"/>
    <w:multiLevelType w:val="hybridMultilevel"/>
    <w:tmpl w:val="ABD457D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72D11C0"/>
    <w:multiLevelType w:val="multilevel"/>
    <w:tmpl w:val="61B4982C"/>
    <w:lvl w:ilvl="0">
      <w:start w:val="1"/>
      <w:numFmt w:val="decimal"/>
      <w:lvlText w:val="Action %1:"/>
      <w:lvlJc w:val="left"/>
      <w:pPr>
        <w:ind w:left="720" w:hanging="360"/>
      </w:pPr>
      <w:rPr>
        <w:rFonts w:hint="default"/>
        <w:b/>
        <w:bCs w:val="0"/>
      </w:rPr>
    </w:lvl>
    <w:lvl w:ilvl="1">
      <w:start w:val="1"/>
      <w:numFmt w:val="decimal"/>
      <w:lvlText w:val="Action %1.%2:"/>
      <w:lvlJc w:val="left"/>
      <w:pPr>
        <w:ind w:left="1440" w:hanging="360"/>
      </w:pPr>
      <w:rPr>
        <w:rFonts w:hint="default"/>
        <w:b/>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16cid:durableId="768888394">
    <w:abstractNumId w:val="2"/>
  </w:num>
  <w:num w:numId="2" w16cid:durableId="367072821">
    <w:abstractNumId w:val="1"/>
  </w:num>
  <w:num w:numId="3" w16cid:durableId="735856582">
    <w:abstractNumId w:val="2"/>
  </w:num>
  <w:num w:numId="4" w16cid:durableId="156698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2D"/>
    <w:rsid w:val="000263C6"/>
    <w:rsid w:val="0005239C"/>
    <w:rsid w:val="000F7944"/>
    <w:rsid w:val="00130488"/>
    <w:rsid w:val="001727E2"/>
    <w:rsid w:val="00174B30"/>
    <w:rsid w:val="00176FD1"/>
    <w:rsid w:val="001871E3"/>
    <w:rsid w:val="001A6874"/>
    <w:rsid w:val="002367C2"/>
    <w:rsid w:val="00285E1B"/>
    <w:rsid w:val="002B0002"/>
    <w:rsid w:val="002B4422"/>
    <w:rsid w:val="003012B4"/>
    <w:rsid w:val="003205FF"/>
    <w:rsid w:val="0033420A"/>
    <w:rsid w:val="0035280F"/>
    <w:rsid w:val="003602AB"/>
    <w:rsid w:val="00394F0E"/>
    <w:rsid w:val="003A181A"/>
    <w:rsid w:val="004044A1"/>
    <w:rsid w:val="00410A59"/>
    <w:rsid w:val="004243E2"/>
    <w:rsid w:val="00460B87"/>
    <w:rsid w:val="004819FE"/>
    <w:rsid w:val="004F1E02"/>
    <w:rsid w:val="00536C92"/>
    <w:rsid w:val="005C5D2F"/>
    <w:rsid w:val="005C67FB"/>
    <w:rsid w:val="005E030E"/>
    <w:rsid w:val="00603A22"/>
    <w:rsid w:val="00631226"/>
    <w:rsid w:val="00634691"/>
    <w:rsid w:val="00636DB3"/>
    <w:rsid w:val="00641700"/>
    <w:rsid w:val="00663F1C"/>
    <w:rsid w:val="00696BC9"/>
    <w:rsid w:val="006A4F52"/>
    <w:rsid w:val="006B5F9C"/>
    <w:rsid w:val="00711301"/>
    <w:rsid w:val="00766A55"/>
    <w:rsid w:val="007C7909"/>
    <w:rsid w:val="00804DE4"/>
    <w:rsid w:val="00827C59"/>
    <w:rsid w:val="008D1D2D"/>
    <w:rsid w:val="0093341D"/>
    <w:rsid w:val="00942A56"/>
    <w:rsid w:val="0094390A"/>
    <w:rsid w:val="00947BFD"/>
    <w:rsid w:val="0099689C"/>
    <w:rsid w:val="009B4033"/>
    <w:rsid w:val="009C19DF"/>
    <w:rsid w:val="00A27FE0"/>
    <w:rsid w:val="00A7500C"/>
    <w:rsid w:val="00A90BA2"/>
    <w:rsid w:val="00B32951"/>
    <w:rsid w:val="00BA2963"/>
    <w:rsid w:val="00BC187E"/>
    <w:rsid w:val="00C74BBA"/>
    <w:rsid w:val="00C74E95"/>
    <w:rsid w:val="00CA14DD"/>
    <w:rsid w:val="00CD3F70"/>
    <w:rsid w:val="00CE409B"/>
    <w:rsid w:val="00CE4DFA"/>
    <w:rsid w:val="00CF7332"/>
    <w:rsid w:val="00D102B6"/>
    <w:rsid w:val="00D903FA"/>
    <w:rsid w:val="00DA3B35"/>
    <w:rsid w:val="00DB230E"/>
    <w:rsid w:val="00DD07EB"/>
    <w:rsid w:val="00DD1622"/>
    <w:rsid w:val="00DD571E"/>
    <w:rsid w:val="00E4633C"/>
    <w:rsid w:val="00E645A7"/>
    <w:rsid w:val="00E93273"/>
    <w:rsid w:val="00EC61BD"/>
    <w:rsid w:val="00ED092B"/>
    <w:rsid w:val="00F24BB8"/>
    <w:rsid w:val="00F749B2"/>
    <w:rsid w:val="00FE1491"/>
    <w:rsid w:val="00FE714F"/>
    <w:rsid w:val="00FF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5BB8"/>
  <w15:chartTrackingRefBased/>
  <w15:docId w15:val="{09663701-3E8E-4E91-A45F-950A7DF7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ajorBidi"/>
        <w:bCs/>
        <w:kern w:val="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1D2D"/>
    <w:pPr>
      <w:spacing w:after="0" w:line="240" w:lineRule="auto"/>
    </w:pPr>
    <w:rPr>
      <w:rFonts w:ascii="Times New Roman" w:hAnsi="Times New Roman" w:cs="Times New Roman"/>
      <w:bCs w:val="0"/>
      <w:kern w:val="0"/>
      <w:sz w:val="22"/>
      <w:szCs w:val="22"/>
      <w:lang w:val="en-GB"/>
      <w14:ligatures w14:val="none"/>
    </w:rPr>
  </w:style>
  <w:style w:type="paragraph" w:styleId="Heading1">
    <w:name w:val="heading 1"/>
    <w:basedOn w:val="Normal"/>
    <w:next w:val="Normal"/>
    <w:link w:val="Heading1Char"/>
    <w:uiPriority w:val="9"/>
    <w:qFormat/>
    <w:rsid w:val="00DD07EB"/>
    <w:pPr>
      <w:keepNext/>
      <w:keepLines/>
      <w:spacing w:before="240" w:after="240"/>
      <w:outlineLvl w:val="0"/>
    </w:pPr>
    <w:rPr>
      <w:rFonts w:asciiTheme="majorHAnsi" w:eastAsiaTheme="majorEastAsia" w:hAnsiTheme="majorHAnsi"/>
      <w:color w:val="2F5496" w:themeColor="accent1" w:themeShade="BF"/>
      <w:sz w:val="32"/>
    </w:rPr>
  </w:style>
  <w:style w:type="paragraph" w:styleId="Heading2">
    <w:name w:val="heading 2"/>
    <w:basedOn w:val="Normal"/>
    <w:next w:val="Normal"/>
    <w:link w:val="Heading2Char"/>
    <w:uiPriority w:val="9"/>
    <w:semiHidden/>
    <w:unhideWhenUsed/>
    <w:qFormat/>
    <w:rsid w:val="00DD07EB"/>
    <w:pPr>
      <w:keepNext/>
      <w:keepLines/>
      <w:spacing w:before="40" w:after="120"/>
      <w:outlineLvl w:val="1"/>
    </w:pPr>
    <w:rPr>
      <w:rFonts w:asciiTheme="majorHAnsi" w:eastAsiaTheme="majorEastAsia" w:hAnsiTheme="majorHAns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EB"/>
    <w:rPr>
      <w:rFonts w:asciiTheme="majorHAnsi" w:eastAsiaTheme="majorEastAsia" w:hAnsiTheme="majorHAnsi"/>
      <w:color w:val="2F5496" w:themeColor="accent1" w:themeShade="BF"/>
      <w:sz w:val="32"/>
    </w:rPr>
  </w:style>
  <w:style w:type="character" w:customStyle="1" w:styleId="Heading2Char">
    <w:name w:val="Heading 2 Char"/>
    <w:basedOn w:val="DefaultParagraphFont"/>
    <w:link w:val="Heading2"/>
    <w:uiPriority w:val="9"/>
    <w:semiHidden/>
    <w:rsid w:val="00DD07EB"/>
    <w:rPr>
      <w:rFonts w:asciiTheme="majorHAnsi" w:eastAsiaTheme="majorEastAsia" w:hAnsiTheme="majorHAnsi"/>
      <w:color w:val="2F5496" w:themeColor="accent1" w:themeShade="BF"/>
      <w:sz w:val="26"/>
      <w:szCs w:val="26"/>
    </w:rPr>
  </w:style>
  <w:style w:type="paragraph" w:customStyle="1" w:styleId="AODocTxt">
    <w:name w:val="AODocTxt"/>
    <w:basedOn w:val="Normal"/>
    <w:qFormat/>
    <w:rsid w:val="008D1D2D"/>
    <w:pPr>
      <w:spacing w:before="240" w:line="260" w:lineRule="atLeast"/>
      <w:jc w:val="both"/>
    </w:pPr>
  </w:style>
  <w:style w:type="paragraph" w:customStyle="1" w:styleId="AOHead1">
    <w:name w:val="AOHead1"/>
    <w:basedOn w:val="Normal"/>
    <w:next w:val="Normal"/>
    <w:rsid w:val="008D1D2D"/>
    <w:pPr>
      <w:keepNext/>
      <w:numPr>
        <w:numId w:val="1"/>
      </w:numPr>
      <w:spacing w:before="240" w:line="260" w:lineRule="atLeast"/>
      <w:jc w:val="both"/>
      <w:outlineLvl w:val="0"/>
    </w:pPr>
    <w:rPr>
      <w:b/>
      <w:caps/>
      <w:kern w:val="28"/>
    </w:rPr>
  </w:style>
  <w:style w:type="paragraph" w:customStyle="1" w:styleId="AOHead2">
    <w:name w:val="AOHead2"/>
    <w:basedOn w:val="Normal"/>
    <w:next w:val="Normal"/>
    <w:rsid w:val="008D1D2D"/>
    <w:pPr>
      <w:keepNext/>
      <w:numPr>
        <w:ilvl w:val="1"/>
        <w:numId w:val="1"/>
      </w:numPr>
      <w:spacing w:before="240" w:line="260" w:lineRule="atLeast"/>
      <w:jc w:val="both"/>
      <w:outlineLvl w:val="1"/>
    </w:pPr>
    <w:rPr>
      <w:b/>
    </w:rPr>
  </w:style>
  <w:style w:type="paragraph" w:customStyle="1" w:styleId="AOHead3">
    <w:name w:val="AOHead3"/>
    <w:basedOn w:val="Normal"/>
    <w:next w:val="Normal"/>
    <w:rsid w:val="008D1D2D"/>
    <w:pPr>
      <w:numPr>
        <w:ilvl w:val="2"/>
        <w:numId w:val="1"/>
      </w:numPr>
      <w:spacing w:before="240" w:line="260" w:lineRule="atLeast"/>
      <w:jc w:val="both"/>
      <w:outlineLvl w:val="2"/>
    </w:pPr>
  </w:style>
  <w:style w:type="paragraph" w:customStyle="1" w:styleId="AOHead4">
    <w:name w:val="AOHead4"/>
    <w:basedOn w:val="Normal"/>
    <w:next w:val="Normal"/>
    <w:rsid w:val="008D1D2D"/>
    <w:pPr>
      <w:numPr>
        <w:ilvl w:val="3"/>
        <w:numId w:val="1"/>
      </w:numPr>
      <w:spacing w:before="240" w:line="260" w:lineRule="atLeast"/>
      <w:jc w:val="both"/>
      <w:outlineLvl w:val="3"/>
    </w:pPr>
  </w:style>
  <w:style w:type="paragraph" w:customStyle="1" w:styleId="AOHead5">
    <w:name w:val="AOHead5"/>
    <w:basedOn w:val="Normal"/>
    <w:next w:val="Normal"/>
    <w:rsid w:val="008D1D2D"/>
    <w:pPr>
      <w:numPr>
        <w:ilvl w:val="4"/>
        <w:numId w:val="1"/>
      </w:numPr>
      <w:spacing w:before="240" w:line="260" w:lineRule="atLeast"/>
      <w:jc w:val="both"/>
      <w:outlineLvl w:val="4"/>
    </w:pPr>
  </w:style>
  <w:style w:type="paragraph" w:customStyle="1" w:styleId="AOHead6">
    <w:name w:val="AOHead6"/>
    <w:basedOn w:val="Normal"/>
    <w:next w:val="Normal"/>
    <w:rsid w:val="008D1D2D"/>
    <w:pPr>
      <w:numPr>
        <w:ilvl w:val="5"/>
        <w:numId w:val="1"/>
      </w:numPr>
      <w:spacing w:before="240" w:line="260" w:lineRule="atLeast"/>
      <w:jc w:val="both"/>
      <w:outlineLvl w:val="5"/>
    </w:pPr>
  </w:style>
  <w:style w:type="paragraph" w:customStyle="1" w:styleId="WWBodyText">
    <w:name w:val="WW_BodyText"/>
    <w:basedOn w:val="Normal"/>
    <w:rsid w:val="008D1D2D"/>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sid w:val="008D1D2D"/>
    <w:rPr>
      <w:color w:val="0563C1" w:themeColor="hyperlink"/>
      <w:u w:val="single"/>
    </w:rPr>
  </w:style>
  <w:style w:type="table" w:styleId="TableGrid">
    <w:name w:val="Table Grid"/>
    <w:basedOn w:val="TableNormal"/>
    <w:uiPriority w:val="39"/>
    <w:rsid w:val="008D1D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4F0E"/>
    <w:pPr>
      <w:autoSpaceDE w:val="0"/>
      <w:autoSpaceDN w:val="0"/>
      <w:adjustRightInd w:val="0"/>
      <w:spacing w:after="0" w:line="240" w:lineRule="auto"/>
    </w:pPr>
    <w:rPr>
      <w:rFonts w:cs="Verdana"/>
      <w:bCs w:val="0"/>
      <w:color w:val="000000"/>
      <w:kern w:val="0"/>
      <w:sz w:val="24"/>
      <w:szCs w:val="24"/>
      <w:lang w:val="en-GB"/>
      <w14:ligatures w14:val="none"/>
    </w:rPr>
  </w:style>
  <w:style w:type="paragraph" w:styleId="Revision">
    <w:name w:val="Revision"/>
    <w:hidden/>
    <w:uiPriority w:val="99"/>
    <w:semiHidden/>
    <w:rsid w:val="00174B30"/>
    <w:pPr>
      <w:spacing w:after="0" w:line="240" w:lineRule="auto"/>
    </w:pPr>
    <w:rPr>
      <w:rFonts w:ascii="Times New Roman" w:hAnsi="Times New Roman" w:cs="Times New Roman"/>
      <w:bCs w:val="0"/>
      <w:kern w:val="0"/>
      <w:sz w:val="22"/>
      <w:szCs w:val="22"/>
      <w:lang w:val="en-GB"/>
      <w14:ligatures w14:val="none"/>
    </w:rPr>
  </w:style>
  <w:style w:type="character" w:styleId="UnresolvedMention">
    <w:name w:val="Unresolved Mention"/>
    <w:basedOn w:val="DefaultParagraphFont"/>
    <w:uiPriority w:val="99"/>
    <w:semiHidden/>
    <w:unhideWhenUsed/>
    <w:rsid w:val="00174B30"/>
    <w:rPr>
      <w:color w:val="605E5C"/>
      <w:shd w:val="clear" w:color="auto" w:fill="E1DFDD"/>
    </w:rPr>
  </w:style>
  <w:style w:type="paragraph" w:styleId="Header">
    <w:name w:val="header"/>
    <w:basedOn w:val="Normal"/>
    <w:link w:val="HeaderChar"/>
    <w:uiPriority w:val="99"/>
    <w:unhideWhenUsed/>
    <w:rsid w:val="0035280F"/>
    <w:pPr>
      <w:tabs>
        <w:tab w:val="center" w:pos="4680"/>
        <w:tab w:val="right" w:pos="9360"/>
      </w:tabs>
    </w:pPr>
  </w:style>
  <w:style w:type="character" w:customStyle="1" w:styleId="HeaderChar">
    <w:name w:val="Header Char"/>
    <w:basedOn w:val="DefaultParagraphFont"/>
    <w:link w:val="Header"/>
    <w:uiPriority w:val="99"/>
    <w:rsid w:val="0035280F"/>
    <w:rPr>
      <w:rFonts w:ascii="Times New Roman" w:hAnsi="Times New Roman" w:cs="Times New Roman"/>
      <w:bCs w:val="0"/>
      <w:kern w:val="0"/>
      <w:sz w:val="22"/>
      <w:szCs w:val="22"/>
      <w:lang w:val="en-GB"/>
      <w14:ligatures w14:val="none"/>
    </w:rPr>
  </w:style>
  <w:style w:type="paragraph" w:styleId="Footer">
    <w:name w:val="footer"/>
    <w:basedOn w:val="Normal"/>
    <w:link w:val="FooterChar"/>
    <w:uiPriority w:val="99"/>
    <w:unhideWhenUsed/>
    <w:rsid w:val="0035280F"/>
    <w:pPr>
      <w:tabs>
        <w:tab w:val="center" w:pos="4680"/>
        <w:tab w:val="right" w:pos="9360"/>
      </w:tabs>
    </w:pPr>
  </w:style>
  <w:style w:type="character" w:customStyle="1" w:styleId="FooterChar">
    <w:name w:val="Footer Char"/>
    <w:basedOn w:val="DefaultParagraphFont"/>
    <w:link w:val="Footer"/>
    <w:uiPriority w:val="99"/>
    <w:rsid w:val="0035280F"/>
    <w:rPr>
      <w:rFonts w:ascii="Times New Roman" w:hAnsi="Times New Roman" w:cs="Times New Roman"/>
      <w:bCs w:val="0"/>
      <w:kern w:val="0"/>
      <w:sz w:val="22"/>
      <w:szCs w:val="22"/>
      <w:lang w:val="en-GB"/>
      <w14:ligatures w14:val="none"/>
    </w:rPr>
  </w:style>
  <w:style w:type="character" w:styleId="CommentReference">
    <w:name w:val="annotation reference"/>
    <w:basedOn w:val="DefaultParagraphFont"/>
    <w:uiPriority w:val="99"/>
    <w:semiHidden/>
    <w:unhideWhenUsed/>
    <w:rsid w:val="002B0002"/>
    <w:rPr>
      <w:sz w:val="16"/>
      <w:szCs w:val="16"/>
    </w:rPr>
  </w:style>
  <w:style w:type="paragraph" w:styleId="CommentText">
    <w:name w:val="annotation text"/>
    <w:basedOn w:val="Normal"/>
    <w:link w:val="CommentTextChar"/>
    <w:uiPriority w:val="99"/>
    <w:unhideWhenUsed/>
    <w:rsid w:val="002B0002"/>
    <w:rPr>
      <w:sz w:val="20"/>
      <w:szCs w:val="20"/>
    </w:rPr>
  </w:style>
  <w:style w:type="character" w:customStyle="1" w:styleId="CommentTextChar">
    <w:name w:val="Comment Text Char"/>
    <w:basedOn w:val="DefaultParagraphFont"/>
    <w:link w:val="CommentText"/>
    <w:uiPriority w:val="99"/>
    <w:rsid w:val="002B0002"/>
    <w:rPr>
      <w:rFonts w:ascii="Times New Roman" w:hAnsi="Times New Roman" w:cs="Times New Roman"/>
      <w:bCs w:val="0"/>
      <w:kern w:val="0"/>
      <w:szCs w:val="20"/>
      <w:lang w:val="en-GB"/>
      <w14:ligatures w14:val="none"/>
    </w:rPr>
  </w:style>
  <w:style w:type="paragraph" w:styleId="CommentSubject">
    <w:name w:val="annotation subject"/>
    <w:basedOn w:val="CommentText"/>
    <w:next w:val="CommentText"/>
    <w:link w:val="CommentSubjectChar"/>
    <w:uiPriority w:val="99"/>
    <w:semiHidden/>
    <w:unhideWhenUsed/>
    <w:rsid w:val="002B0002"/>
    <w:rPr>
      <w:b/>
      <w:bCs/>
    </w:rPr>
  </w:style>
  <w:style w:type="character" w:customStyle="1" w:styleId="CommentSubjectChar">
    <w:name w:val="Comment Subject Char"/>
    <w:basedOn w:val="CommentTextChar"/>
    <w:link w:val="CommentSubject"/>
    <w:uiPriority w:val="99"/>
    <w:semiHidden/>
    <w:rsid w:val="002B0002"/>
    <w:rPr>
      <w:rFonts w:ascii="Times New Roman" w:hAnsi="Times New Roman" w:cs="Times New Roman"/>
      <w:b/>
      <w:bCs/>
      <w:kern w:val="0"/>
      <w:szCs w:val="20"/>
      <w:lang w:val="en-GB"/>
      <w14:ligatures w14:val="none"/>
    </w:rPr>
  </w:style>
  <w:style w:type="character" w:styleId="FollowedHyperlink">
    <w:name w:val="FollowedHyperlink"/>
    <w:basedOn w:val="DefaultParagraphFont"/>
    <w:uiPriority w:val="99"/>
    <w:semiHidden/>
    <w:unhideWhenUsed/>
    <w:rsid w:val="000263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fm.nl/en/sector/registers/meldingenregisters/bestuurders-commissariss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fm.nl/en/sector/registers/meldingenregisters/geplaatst-kapita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sus.com" TargetMode="External"/><Relationship Id="rId5" Type="http://schemas.openxmlformats.org/officeDocument/2006/relationships/numbering" Target="numbering.xml"/><Relationship Id="rId15" Type="http://schemas.openxmlformats.org/officeDocument/2006/relationships/hyperlink" Target="http://www.nasp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su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7" ma:contentTypeDescription="Create a new document." ma:contentTypeScope="" ma:versionID="745eff245d46dfb2c1cb13418f2e1ace">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6ffe71d398adfbf16a122906cd095fa"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4.xml>��< ? x m l   v e r s i o n = " 1 . 0 "   e n c o d i n g = " u t f - 1 6 " ? > < p r o p e r t i e s   x m l n s = " h t t p : / / w w w . i m a n a g e . c o m / w o r k / x m l s c h e m a " >  
     < d o c u m e n t i d > E U O 3 ! 2 0 1 3 2 8 4 6 6 9 . 3 < / d o c u m e n t i d >  
     < s e n d e r i d > A L L E B R A J < / s e n d e r i d >  
     < s e n d e r e m a i l > J E R O E N . A L L E B R A N D I @ A L L E N O V E R Y . C O M < / s e n d e r e m a i l >  
     < l a s t m o d i f i e d > 2 0 2 3 - 0 9 - 1 4 T 1 7 : 3 3 : 0 0 . 0 0 0 0 0 0 0 + 0 2 : 0 0 < / l a s t m o d i f i e d >  
     < d a t a b a s e > E U O 3 < / d a t a b a s e >  
 < / p r o p e r t i e s > 
</file>

<file path=customXml/itemProps1.xml><?xml version="1.0" encoding="utf-8"?>
<ds:datastoreItem xmlns:ds="http://schemas.openxmlformats.org/officeDocument/2006/customXml" ds:itemID="{3701B0D1-6A31-4032-8E43-8D457D534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2A277-9E4C-4EF9-B716-C0031A7F4951}">
  <ds:schemaRefs>
    <ds:schemaRef ds:uri="http://schemas.microsoft.com/sharepoint/v3/contenttype/forms"/>
  </ds:schemaRefs>
</ds:datastoreItem>
</file>

<file path=customXml/itemProps3.xml><?xml version="1.0" encoding="utf-8"?>
<ds:datastoreItem xmlns:ds="http://schemas.openxmlformats.org/officeDocument/2006/customXml" ds:itemID="{1430470B-4035-449C-8BAC-C85E255762D6}">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AE58D65C-B2E3-425D-AB63-F286E9CE9CF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3086</Words>
  <Characters>17592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Carnelley</dc:creator>
  <cp:keywords/>
  <dc:description/>
  <cp:lastModifiedBy>Pieter Carnelley</cp:lastModifiedBy>
  <cp:revision>8</cp:revision>
  <cp:lastPrinted>2023-09-12T14:26:00Z</cp:lastPrinted>
  <dcterms:created xsi:type="dcterms:W3CDTF">2023-09-14T15:30:00Z</dcterms:created>
  <dcterms:modified xsi:type="dcterms:W3CDTF">2023-09-18T14:15:00Z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MSIP_Label_42e67a54-274b-43d7-8098-b3ba5f50e576_Enabled">
    <vt:lpwstr>true</vt:lpwstr>
  </property>
  <property fmtid="{D5CDD505-2E9C-101B-9397-08002B2CF9AE}" pid="4" name="MSIP_Label_42e67a54-274b-43d7-8098-b3ba5f50e576_SetDate">
    <vt:lpwstr>2023-09-08T13:25:42Z</vt:lpwstr>
  </property>
  <property fmtid="{D5CDD505-2E9C-101B-9397-08002B2CF9AE}" pid="5" name="MSIP_Label_42e67a54-274b-43d7-8098-b3ba5f50e576_Method">
    <vt:lpwstr>Standard</vt:lpwstr>
  </property>
  <property fmtid="{D5CDD505-2E9C-101B-9397-08002B2CF9AE}" pid="6" name="MSIP_Label_42e67a54-274b-43d7-8098-b3ba5f50e576_Name">
    <vt:lpwstr>42e67a54-274b-43d7-8098-b3ba5f50e576</vt:lpwstr>
  </property>
  <property fmtid="{D5CDD505-2E9C-101B-9397-08002B2CF9AE}" pid="7" name="MSIP_Label_42e67a54-274b-43d7-8098-b3ba5f50e576_SiteId">
    <vt:lpwstr>7f0b44d2-04f8-4672-bf5d-4676796468a3</vt:lpwstr>
  </property>
  <property fmtid="{D5CDD505-2E9C-101B-9397-08002B2CF9AE}" pid="8" name="MSIP_Label_42e67a54-274b-43d7-8098-b3ba5f50e576_ActionId">
    <vt:lpwstr>b2763ec0-3aa9-4813-afa6-1397dbe185a4</vt:lpwstr>
  </property>
  <property fmtid="{D5CDD505-2E9C-101B-9397-08002B2CF9AE}" pid="9" name="MSIP_Label_42e67a54-274b-43d7-8098-b3ba5f50e576_ContentBits">
    <vt:lpwstr>0</vt:lpwstr>
  </property>
  <property fmtid="{D5CDD505-2E9C-101B-9397-08002B2CF9AE}" pid="10" name="Client">
    <vt:lpwstr>0097703</vt:lpwstr>
  </property>
  <property fmtid="{D5CDD505-2E9C-101B-9397-08002B2CF9AE}" pid="11" name="Matter">
    <vt:lpwstr>0000002</vt:lpwstr>
  </property>
  <property fmtid="{D5CDD505-2E9C-101B-9397-08002B2CF9AE}" pid="12" name="cpDocRef">
    <vt:lpwstr>EUO3: 2013284669.3</vt:lpwstr>
  </property>
  <property fmtid="{D5CDD505-2E9C-101B-9397-08002B2CF9AE}" pid="13" name="cpClientMatter">
    <vt:lpwstr>0097703-0000002</vt:lpwstr>
  </property>
  <property fmtid="{D5CDD505-2E9C-101B-9397-08002B2CF9AE}" pid="14" name="cpCombinedRef">
    <vt:lpwstr>0097703-0000002 EUO3: 2013284669.3</vt:lpwstr>
  </property>
  <property fmtid="{D5CDD505-2E9C-101B-9397-08002B2CF9AE}" pid="15" name="MediaServiceImageTags">
    <vt:lpwstr/>
  </property>
</Properties>
</file>