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DE0F59"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DE0F59"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DE0F59"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DE0F59"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DE0F59"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DE0F59"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4A41E07D" w:rsidR="001B56F9" w:rsidRDefault="00DE0F59" w:rsidP="00DE0F59">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0EB10636" w:rsidR="004C1607" w:rsidRPr="00DE0F59" w:rsidRDefault="00DE0F59" w:rsidP="00DE0F59">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436255295"/>
        </w:sdtPr>
        <w:sdtEndPr/>
        <w:sdtContent>
          <w:r>
            <w:rPr>
              <w:rFonts w:ascii="Verdana" w:hAnsi="Verdana"/>
              <w:sz w:val="20"/>
              <w:szCs w:val="20"/>
            </w:rPr>
            <w:t>21 November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826570030"/>
        </w:sdtPr>
        <w:sdtEndPr/>
        <w:sdtContent>
          <w:r>
            <w:rPr>
              <w:rFonts w:ascii="Verdana" w:hAnsi="Verdana"/>
              <w:sz w:val="20"/>
              <w:szCs w:val="20"/>
            </w:rPr>
            <w:t>25 November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210658138"/>
        </w:sdtPr>
        <w:sdtEndPr/>
        <w:sdtContent>
          <w:r>
            <w:rPr>
              <w:rFonts w:ascii="Verdana" w:hAnsi="Verdana"/>
              <w:sz w:val="20"/>
              <w:szCs w:val="20"/>
            </w:rPr>
            <w:t>3,693,220</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635713010"/>
        </w:sdtPr>
        <w:sdtEndPr/>
        <w:sdtContent>
          <w:r>
            <w:rPr>
              <w:rFonts w:ascii="Verdana" w:hAnsi="Verdana"/>
              <w:sz w:val="20"/>
              <w:szCs w:val="20"/>
            </w:rPr>
            <w:t>57.8243</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119777728"/>
        </w:sdtPr>
        <w:sdtEndPr/>
        <w:sdtContent>
          <w:r>
            <w:rPr>
              <w:rFonts w:ascii="Verdana" w:hAnsi="Verdana"/>
              <w:sz w:val="20"/>
              <w:szCs w:val="20"/>
            </w:rPr>
            <w:t>213,557,992</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246767661"/>
        </w:sdtPr>
        <w:sdtEndPr/>
        <w:sdtContent>
          <w:r>
            <w:rPr>
              <w:rFonts w:ascii="Verdana" w:hAnsi="Verdana"/>
              <w:sz w:val="20"/>
              <w:szCs w:val="20"/>
            </w:rPr>
            <w:t>220,859,584</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DE0F59" w:rsidP="00E37575">
      <w:pPr>
        <w:pStyle w:val="AODocTxt"/>
        <w:rPr>
          <w:rFonts w:ascii="Verdana" w:hAnsi="Verdana"/>
          <w:sz w:val="20"/>
          <w:szCs w:val="20"/>
        </w:rPr>
      </w:pPr>
      <w:r w:rsidRPr="009B5D7C">
        <w:rPr>
          <w:rFonts w:ascii="Verdana" w:hAnsi="Verdana"/>
          <w:sz w:val="20"/>
          <w:szCs w:val="20"/>
        </w:rPr>
        <w:t>M</w:t>
      </w:r>
      <w:r w:rsidRPr="009B5D7C">
        <w:rPr>
          <w:rFonts w:ascii="Verdana" w:hAnsi="Verdana"/>
          <w:sz w:val="20"/>
          <w:szCs w:val="20"/>
        </w:rPr>
        <w:t xml:space="preserve">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DE0F59"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007789864"/>
      </w:sdtPr>
      <w:sdtEndPr/>
      <w:sdtContent>
        <w:p w14:paraId="643A6621" w14:textId="0D4EB71D" w:rsidR="00FF1DB0" w:rsidRPr="001B56F9" w:rsidRDefault="00DE0F59" w:rsidP="00FF1DB0">
          <w:pPr>
            <w:pStyle w:val="AODocTxt"/>
            <w:spacing w:before="0"/>
            <w:rPr>
              <w:rFonts w:ascii="Verdana" w:hAnsi="Verdana"/>
              <w:sz w:val="20"/>
              <w:szCs w:val="20"/>
            </w:rPr>
          </w:pPr>
          <w:r>
            <w:rPr>
              <w:rFonts w:ascii="Verdana" w:hAnsi="Verdana"/>
              <w:sz w:val="20"/>
              <w:szCs w:val="20"/>
            </w:rPr>
            <w:t>29 November 2022</w:t>
          </w:r>
        </w:p>
      </w:sdtContent>
    </w:sdt>
    <w:p w14:paraId="2F6CE6F1" w14:textId="77777777" w:rsidR="00FF1DB0" w:rsidRPr="001B56F9" w:rsidRDefault="00DE0F59"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DE0F59"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DE0F59"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1238D8"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1238D8"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 xml:space="preserve">Media </w:t>
            </w:r>
            <w:r w:rsidRPr="005B6CB4">
              <w:rPr>
                <w:rFonts w:ascii="Verdana" w:eastAsia="Calibri" w:hAnsi="Verdana"/>
                <w:b/>
                <w:bCs/>
                <w:sz w:val="20"/>
                <w:szCs w:val="20"/>
                <w:lang w:val="en-ZA"/>
              </w:rPr>
              <w:t>Enquiries</w:t>
            </w:r>
            <w:r w:rsidRPr="005B6CB4">
              <w:rPr>
                <w:rFonts w:ascii="Verdana" w:eastAsia="Calibri" w:hAnsi="Verdana"/>
                <w:sz w:val="20"/>
                <w:szCs w:val="20"/>
                <w:lang w:val="en-ZA"/>
              </w:rPr>
              <w:t> </w:t>
            </w:r>
          </w:p>
          <w:p w14:paraId="48686646"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DE0F59"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DE0F59"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consumer internet group and one of the largest technology investors in the world. Operating and investing globally in markets with long-term </w:t>
      </w:r>
      <w:r w:rsidRPr="00AF73AD">
        <w:rPr>
          <w:rFonts w:ascii="Calibri" w:eastAsia="Calibri" w:hAnsi="Calibri" w:cs="Arial"/>
          <w:color w:val="000000"/>
          <w:sz w:val="16"/>
          <w:szCs w:val="16"/>
          <w:lang w:val="en-US"/>
        </w:rPr>
        <w:t>growth potential, Prosus builds leading consumer internet companies that empower people and enrich communities.</w:t>
      </w:r>
    </w:p>
    <w:p w14:paraId="1217141B"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The group is focused on building meaningful businesses in the online classifieds, food delivery, payments and fintech, and education technology </w:t>
      </w:r>
      <w:r w:rsidRPr="00AF73AD">
        <w:rPr>
          <w:rFonts w:ascii="Calibri" w:eastAsia="Calibri" w:hAnsi="Calibri" w:cs="Arial"/>
          <w:color w:val="000000"/>
          <w:sz w:val="16"/>
          <w:szCs w:val="16"/>
          <w:lang w:val="en-US"/>
        </w:rPr>
        <w:t>sectors in markets including India and Brazil. Through its ventures team, Prosus invests in areas including health, logistics, blockchain, and social commerce. Prosus actively seeks new opportunities to partner with exceptional entrepreneurs using technolo</w:t>
      </w:r>
      <w:r w:rsidRPr="00AF73AD">
        <w:rPr>
          <w:rFonts w:ascii="Calibri" w:eastAsia="Calibri" w:hAnsi="Calibri" w:cs="Arial"/>
          <w:color w:val="000000"/>
          <w:sz w:val="16"/>
          <w:szCs w:val="16"/>
          <w:lang w:val="en-US"/>
        </w:rPr>
        <w:t>gy to improve people’s everyday lives.</w:t>
      </w:r>
    </w:p>
    <w:p w14:paraId="1A6B0A2E" w14:textId="18329192"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w:t>
      </w:r>
      <w:r w:rsidRPr="00AF73AD">
        <w:rPr>
          <w:rFonts w:ascii="Calibri" w:eastAsia="Calibri" w:hAnsi="Calibri" w:cs="Arial"/>
          <w:color w:val="000000"/>
          <w:sz w:val="16"/>
          <w:szCs w:val="16"/>
          <w:lang w:val="en-US"/>
        </w:rPr>
        <w:t>, Biome Makers, Borneo, Brainly, BUX, BYJU'S, Bykea, Captain Fresh, Codecademy, Collective Benefits, Creditas, DappRadar, DeHaat, dott, EduMe, ElasticRun, eMAG, Endowus, Eruditus, EVERY, Facily, Flink, Foodics, Good Glamm Group, GoodHabitz, GoStudent, Hono</w:t>
      </w:r>
      <w:r w:rsidRPr="00AF73AD">
        <w:rPr>
          <w:rFonts w:ascii="Calibri" w:eastAsia="Calibri" w:hAnsi="Calibri" w:cs="Arial"/>
          <w:color w:val="000000"/>
          <w:sz w:val="16"/>
          <w:szCs w:val="16"/>
          <w:lang w:val="en-US"/>
        </w:rPr>
        <w:t>r, iFood, Imovirtual, Klar, Kovi, LazyPay, letgo, Luno, Mensa Brands, Meesho, merXu, Movile, Oda, OLX, Otodom, OTOMOTO, PaySense, PayU, Pharmeasy, Platzi, Property24, Quick Ride, Red Dot Payment, Republic, Shipper, ShopUp, SoloLearn, Stack Overflow, Standv</w:t>
      </w:r>
      <w:r w:rsidRPr="00AF73AD">
        <w:rPr>
          <w:rFonts w:ascii="Calibri" w:eastAsia="Calibri" w:hAnsi="Calibri" w:cs="Arial"/>
          <w:color w:val="000000"/>
          <w:sz w:val="16"/>
          <w:szCs w:val="16"/>
          <w:lang w:val="en-US"/>
        </w:rPr>
        <w:t>irtual, Superside, Swiggy, Thndr, Tonik, Ula, Urban Company</w:t>
      </w:r>
      <w:r w:rsidRPr="00AF73AD">
        <w:rPr>
          <w:rFonts w:ascii="Calibri" w:eastAsia="Calibri" w:hAnsi="Calibri" w:cs="Arial"/>
          <w:color w:val="000000"/>
          <w:sz w:val="16"/>
          <w:szCs w:val="16"/>
          <w:lang w:val="en-US"/>
        </w:rPr>
        <w:t xml:space="preserve"> </w:t>
      </w:r>
      <w:r>
        <w:rPr>
          <w:rFonts w:ascii="Calibri" w:eastAsia="Calibri" w:hAnsi="Calibri" w:cs="Arial"/>
          <w:color w:val="000000"/>
          <w:sz w:val="16"/>
          <w:szCs w:val="16"/>
          <w:lang w:val="en-US"/>
        </w:rPr>
        <w:t xml:space="preserve">and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w:t>
      </w:r>
    </w:p>
    <w:p w14:paraId="17724D4C"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w:t>
      </w:r>
      <w:r w:rsidRPr="00AF73AD">
        <w:rPr>
          <w:rFonts w:ascii="Calibri" w:eastAsia="Calibri" w:hAnsi="Calibri" w:cs="Arial"/>
          <w:color w:val="000000"/>
          <w:sz w:val="16"/>
          <w:szCs w:val="16"/>
          <w:lang w:val="en-US"/>
        </w:rPr>
        <w:t xml:space="preserve"> Delivery Hero, Remitly, Trip.com, Udemy, Skillsoft, Sinch, and SimilarWeb.</w:t>
      </w:r>
    </w:p>
    <w:p w14:paraId="170C1422"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w:t>
      </w:r>
      <w:r w:rsidRPr="00AF73AD">
        <w:rPr>
          <w:rFonts w:ascii="Calibri" w:eastAsia="Calibri" w:hAnsi="Calibri" w:cs="Arial"/>
          <w:color w:val="000000"/>
          <w:sz w:val="16"/>
          <w:szCs w:val="16"/>
          <w:lang w:val="en-US"/>
        </w:rPr>
        <w:t>ondary listings on the Johannesburg Stock Exchange (XJSE:PRX) and a2X Markets (PRX.AJ). Prosus is majority-owned by Naspers.</w:t>
      </w:r>
    </w:p>
    <w:p w14:paraId="0771C23F" w14:textId="77777777" w:rsidR="00AF73AD" w:rsidRPr="00AF73AD" w:rsidRDefault="00DE0F59"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DE0F59"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DE0F59"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w:t>
      </w:r>
      <w:r w:rsidRPr="00D17A1D">
        <w:rPr>
          <w:rFonts w:ascii="Calibri" w:eastAsia="Calibri" w:hAnsi="Calibri" w:cs="Arial"/>
          <w:color w:val="000000"/>
          <w:sz w:val="16"/>
          <w:szCs w:val="16"/>
          <w:lang w:val="en-US"/>
        </w:rPr>
        <w:t>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w:t>
      </w:r>
      <w:r w:rsidRPr="00D17A1D">
        <w:rPr>
          <w:rFonts w:ascii="Calibri" w:eastAsia="Calibri" w:hAnsi="Calibri" w:cs="Arial"/>
          <w:color w:val="000000"/>
          <w:sz w:val="16"/>
          <w:szCs w:val="16"/>
          <w:lang w:val="en-US"/>
        </w:rPr>
        <w:t>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“Delegated Regulation”). This document is issued in connection with the disclosure and reporting </w:t>
      </w:r>
      <w:r w:rsidRPr="00D17A1D">
        <w:rPr>
          <w:rFonts w:ascii="Calibri" w:eastAsia="Calibri" w:hAnsi="Calibri" w:cs="Arial"/>
          <w:color w:val="000000"/>
          <w:sz w:val="16"/>
          <w:szCs w:val="16"/>
          <w:lang w:val="en-US"/>
        </w:rPr>
        <w:t>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DE0F59"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DE0F59"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w:t>
      </w:r>
      <w:r w:rsidRPr="00D17A1D">
        <w:rPr>
          <w:rFonts w:ascii="Calibri" w:eastAsia="Calibri" w:hAnsi="Calibri" w:cs="Arial"/>
          <w:color w:val="000000"/>
          <w:sz w:val="16"/>
          <w:szCs w:val="16"/>
          <w:lang w:val="en-US"/>
        </w:rPr>
        <w:t>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DE0F59"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w:t>
      </w:r>
      <w:r w:rsidRPr="00D17A1D">
        <w:rPr>
          <w:rFonts w:ascii="Calibri" w:eastAsia="Calibri" w:hAnsi="Calibri" w:cs="Arial"/>
          <w:color w:val="000000"/>
          <w:sz w:val="16"/>
          <w:szCs w:val="16"/>
          <w:lang w:val="en-US"/>
        </w:rPr>
        <w:t xml:space="preserv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w:t>
      </w:r>
      <w:r w:rsidRPr="00D17A1D">
        <w:rPr>
          <w:rFonts w:ascii="Calibri" w:eastAsia="Calibri" w:hAnsi="Calibri" w:cs="Arial"/>
          <w:color w:val="000000"/>
          <w:sz w:val="16"/>
          <w:szCs w:val="16"/>
          <w:lang w:val="en-US"/>
        </w:rPr>
        <w:t>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w:t>
      </w:r>
      <w:r w:rsidRPr="00D17A1D">
        <w:rPr>
          <w:rFonts w:ascii="Calibri" w:eastAsia="Calibri" w:hAnsi="Calibri" w:cs="Arial"/>
          <w:color w:val="000000"/>
          <w:sz w:val="16"/>
          <w:szCs w:val="16"/>
          <w:lang w:val="en-US"/>
        </w:rPr>
        <w:t>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w:t>
      </w:r>
      <w:r w:rsidRPr="00D17A1D">
        <w:rPr>
          <w:rFonts w:ascii="Calibri" w:eastAsia="Calibri" w:hAnsi="Calibri" w:cs="Arial"/>
          <w:color w:val="000000"/>
          <w:sz w:val="16"/>
          <w:szCs w:val="16"/>
          <w:lang w:val="en-US"/>
        </w:rPr>
        <w:t>ual results.</w:t>
      </w:r>
    </w:p>
    <w:p w14:paraId="3235A6FB" w14:textId="14E1ECB0" w:rsidR="00AF73AD" w:rsidRPr="00AF73AD" w:rsidRDefault="00DE0F59"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circumstances </w:t>
      </w:r>
      <w:r w:rsidRPr="00D17A1D">
        <w:rPr>
          <w:rFonts w:ascii="Calibri" w:eastAsia="Calibri" w:hAnsi="Calibri" w:cs="Arial"/>
          <w:color w:val="000000"/>
          <w:sz w:val="16"/>
          <w:szCs w:val="16"/>
          <w:lang w:val="en-US"/>
        </w:rPr>
        <w:t>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w:t>
      </w:r>
      <w:r w:rsidRPr="00D17A1D">
        <w:rPr>
          <w:rFonts w:ascii="Calibri" w:eastAsia="Calibri" w:hAnsi="Calibri" w:cs="Arial"/>
          <w:color w:val="000000"/>
          <w:sz w:val="16"/>
          <w:szCs w:val="16"/>
          <w:lang w:val="en-US"/>
        </w:rPr>
        <w:t xml:space="preserve">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39E3" w14:textId="77777777" w:rsidR="00000000" w:rsidRDefault="00DE0F59">
      <w:r>
        <w:separator/>
      </w:r>
    </w:p>
  </w:endnote>
  <w:endnote w:type="continuationSeparator" w:id="0">
    <w:p w14:paraId="666C281B" w14:textId="77777777" w:rsidR="00000000" w:rsidRDefault="00DE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DE0F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2E87D" w14:textId="77777777" w:rsidR="00000000" w:rsidRDefault="00DE0F59">
      <w:r>
        <w:separator/>
      </w:r>
    </w:p>
  </w:footnote>
  <w:footnote w:type="continuationSeparator" w:id="0">
    <w:p w14:paraId="59D5179E" w14:textId="77777777" w:rsidR="00000000" w:rsidRDefault="00DE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851E32AE">
      <w:start w:val="1"/>
      <w:numFmt w:val="bullet"/>
      <w:lvlText w:val=""/>
      <w:lvlJc w:val="left"/>
      <w:pPr>
        <w:ind w:left="720" w:hanging="360"/>
      </w:pPr>
      <w:rPr>
        <w:rFonts w:ascii="Symbol" w:hAnsi="Symbol" w:hint="default"/>
      </w:rPr>
    </w:lvl>
    <w:lvl w:ilvl="1" w:tplc="8B6E7C18" w:tentative="1">
      <w:start w:val="1"/>
      <w:numFmt w:val="bullet"/>
      <w:lvlText w:val="o"/>
      <w:lvlJc w:val="left"/>
      <w:pPr>
        <w:ind w:left="1440" w:hanging="360"/>
      </w:pPr>
      <w:rPr>
        <w:rFonts w:ascii="Courier New" w:hAnsi="Courier New" w:cs="Courier New" w:hint="default"/>
      </w:rPr>
    </w:lvl>
    <w:lvl w:ilvl="2" w:tplc="16760482" w:tentative="1">
      <w:start w:val="1"/>
      <w:numFmt w:val="bullet"/>
      <w:lvlText w:val=""/>
      <w:lvlJc w:val="left"/>
      <w:pPr>
        <w:ind w:left="2160" w:hanging="360"/>
      </w:pPr>
      <w:rPr>
        <w:rFonts w:ascii="Wingdings" w:hAnsi="Wingdings" w:hint="default"/>
      </w:rPr>
    </w:lvl>
    <w:lvl w:ilvl="3" w:tplc="40F43A06" w:tentative="1">
      <w:start w:val="1"/>
      <w:numFmt w:val="bullet"/>
      <w:lvlText w:val=""/>
      <w:lvlJc w:val="left"/>
      <w:pPr>
        <w:ind w:left="2880" w:hanging="360"/>
      </w:pPr>
      <w:rPr>
        <w:rFonts w:ascii="Symbol" w:hAnsi="Symbol" w:hint="default"/>
      </w:rPr>
    </w:lvl>
    <w:lvl w:ilvl="4" w:tplc="6EB46E00" w:tentative="1">
      <w:start w:val="1"/>
      <w:numFmt w:val="bullet"/>
      <w:lvlText w:val="o"/>
      <w:lvlJc w:val="left"/>
      <w:pPr>
        <w:ind w:left="3600" w:hanging="360"/>
      </w:pPr>
      <w:rPr>
        <w:rFonts w:ascii="Courier New" w:hAnsi="Courier New" w:cs="Courier New" w:hint="default"/>
      </w:rPr>
    </w:lvl>
    <w:lvl w:ilvl="5" w:tplc="8FC6410E" w:tentative="1">
      <w:start w:val="1"/>
      <w:numFmt w:val="bullet"/>
      <w:lvlText w:val=""/>
      <w:lvlJc w:val="left"/>
      <w:pPr>
        <w:ind w:left="4320" w:hanging="360"/>
      </w:pPr>
      <w:rPr>
        <w:rFonts w:ascii="Wingdings" w:hAnsi="Wingdings" w:hint="default"/>
      </w:rPr>
    </w:lvl>
    <w:lvl w:ilvl="6" w:tplc="171C1498" w:tentative="1">
      <w:start w:val="1"/>
      <w:numFmt w:val="bullet"/>
      <w:lvlText w:val=""/>
      <w:lvlJc w:val="left"/>
      <w:pPr>
        <w:ind w:left="5040" w:hanging="360"/>
      </w:pPr>
      <w:rPr>
        <w:rFonts w:ascii="Symbol" w:hAnsi="Symbol" w:hint="default"/>
      </w:rPr>
    </w:lvl>
    <w:lvl w:ilvl="7" w:tplc="6AC22DF4" w:tentative="1">
      <w:start w:val="1"/>
      <w:numFmt w:val="bullet"/>
      <w:lvlText w:val="o"/>
      <w:lvlJc w:val="left"/>
      <w:pPr>
        <w:ind w:left="5760" w:hanging="360"/>
      </w:pPr>
      <w:rPr>
        <w:rFonts w:ascii="Courier New" w:hAnsi="Courier New" w:cs="Courier New" w:hint="default"/>
      </w:rPr>
    </w:lvl>
    <w:lvl w:ilvl="8" w:tplc="5EE4C2E8"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D8"/>
    <w:rsid w:val="00006C99"/>
    <w:rsid w:val="000524E4"/>
    <w:rsid w:val="000B09D1"/>
    <w:rsid w:val="001238D8"/>
    <w:rsid w:val="00191D80"/>
    <w:rsid w:val="001B56F9"/>
    <w:rsid w:val="002A7A4A"/>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E0F59"/>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10.32491.1" MinimumVersion="7.2.0.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Props1.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B3715FF1-D8EC-4044-88DA-D0AD8F65F4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- 21 November 2022 - 25 November 2022</dc:title>
  <cp:lastModifiedBy>Pieter Carnelley</cp:lastModifiedBy>
  <cp:revision>1</cp:revision>
  <dcterms:created xsi:type="dcterms:W3CDTF">2022-11-29T09:27:00Z</dcterms:created>
  <dcterms:modified xsi:type="dcterms:W3CDTF">2022-11-29T09:28:00Z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AAAAAAAM6Qw=</vt:lpwstr>
  </property>
  <property fmtid="{D5CDD505-2E9C-101B-9397-08002B2CF9AE}" pid="4" name="db_document_id">
    <vt:lpwstr>9162</vt:lpwstr>
  </property>
  <property fmtid="{D5CDD505-2E9C-101B-9397-08002B2CF9AE}" pid="5" name="MediaServiceImageTags">
    <vt:lpwstr/>
  </property>
</Properties>
</file>