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D761C" w14:textId="77777777" w:rsidR="00F518E2" w:rsidRPr="00090813" w:rsidRDefault="00F518E2" w:rsidP="00615190">
      <w:pPr>
        <w:spacing w:line="240" w:lineRule="atLeast"/>
        <w:rPr>
          <w:rFonts w:ascii="Tahoma" w:hAnsi="Tahoma"/>
          <w:b/>
          <w:bCs/>
          <w:color w:val="000000" w:themeColor="text1"/>
          <w:sz w:val="28"/>
          <w:szCs w:val="28"/>
        </w:rPr>
      </w:pPr>
      <w:r w:rsidRPr="00090813">
        <w:rPr>
          <w:rFonts w:ascii="Tahoma" w:hAnsi="Tahoma"/>
          <w:b/>
          <w:bCs/>
          <w:color w:val="000000" w:themeColor="text1"/>
          <w:sz w:val="28"/>
          <w:szCs w:val="28"/>
        </w:rPr>
        <w:t>PROSUS</w:t>
      </w:r>
    </w:p>
    <w:p w14:paraId="0C690583" w14:textId="77777777" w:rsidR="00D40B19" w:rsidRPr="00615190" w:rsidRDefault="00D40B19" w:rsidP="00615190">
      <w:pPr>
        <w:spacing w:line="240" w:lineRule="atLeast"/>
        <w:rPr>
          <w:rFonts w:ascii="Tahoma" w:hAnsi="Tahoma"/>
          <w:color w:val="000000" w:themeColor="text1"/>
          <w:sz w:val="16"/>
        </w:rPr>
      </w:pPr>
    </w:p>
    <w:p w14:paraId="34053773" w14:textId="77777777" w:rsidR="009D0FC4" w:rsidRDefault="009D0FC4" w:rsidP="00615190">
      <w:pPr>
        <w:spacing w:line="240" w:lineRule="atLeast"/>
        <w:rPr>
          <w:rFonts w:ascii="Tahoma" w:hAnsi="Tahoma"/>
          <w:b/>
          <w:bCs/>
          <w:color w:val="000000" w:themeColor="text1"/>
        </w:rPr>
      </w:pPr>
    </w:p>
    <w:p w14:paraId="472D0DD8" w14:textId="77777777" w:rsidR="00D40B19" w:rsidRPr="00090813" w:rsidRDefault="00D40B19" w:rsidP="00615190">
      <w:pPr>
        <w:spacing w:line="240" w:lineRule="atLeast"/>
        <w:rPr>
          <w:rFonts w:ascii="Tahoma" w:hAnsi="Tahoma"/>
          <w:b/>
          <w:bCs/>
          <w:color w:val="000000" w:themeColor="text1"/>
        </w:rPr>
      </w:pPr>
      <w:r w:rsidRPr="00090813">
        <w:rPr>
          <w:rFonts w:ascii="Tahoma" w:hAnsi="Tahoma"/>
          <w:b/>
          <w:bCs/>
          <w:color w:val="000000" w:themeColor="text1"/>
        </w:rPr>
        <w:t>Condensed consolidated interim financial statements</w:t>
      </w:r>
    </w:p>
    <w:p w14:paraId="2678F3DB" w14:textId="77777777" w:rsidR="000317D4"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for the six months ended 30 September 2022</w:t>
      </w:r>
    </w:p>
    <w:p w14:paraId="092FF0FA" w14:textId="77777777" w:rsidR="00D40B19" w:rsidRPr="00615190" w:rsidRDefault="00D40B19" w:rsidP="00615190">
      <w:pPr>
        <w:spacing w:line="240" w:lineRule="atLeast"/>
        <w:rPr>
          <w:rFonts w:ascii="Tahoma" w:hAnsi="Tahoma"/>
          <w:color w:val="000000" w:themeColor="text1"/>
          <w:sz w:val="16"/>
        </w:rPr>
      </w:pPr>
    </w:p>
    <w:p w14:paraId="0F3C6730" w14:textId="77777777" w:rsidR="00D40B19" w:rsidRPr="00615190" w:rsidRDefault="00D40B19" w:rsidP="00615190">
      <w:pPr>
        <w:spacing w:line="240" w:lineRule="atLeast"/>
        <w:rPr>
          <w:rFonts w:ascii="Tahoma" w:hAnsi="Tahoma"/>
          <w:color w:val="000000" w:themeColor="text1"/>
          <w:sz w:val="16"/>
        </w:rPr>
      </w:pPr>
    </w:p>
    <w:p w14:paraId="1B4F510A" w14:textId="77777777" w:rsidR="00A776C0" w:rsidRDefault="00A776C0" w:rsidP="00615190">
      <w:pPr>
        <w:spacing w:line="240" w:lineRule="atLeast"/>
        <w:rPr>
          <w:rFonts w:ascii="Tahoma" w:hAnsi="Tahoma"/>
          <w:b/>
          <w:bCs/>
          <w:color w:val="000000" w:themeColor="text1"/>
          <w:sz w:val="20"/>
          <w:szCs w:val="20"/>
        </w:rPr>
      </w:pPr>
    </w:p>
    <w:p w14:paraId="4CE4B3BD" w14:textId="77777777" w:rsidR="00D40B19" w:rsidRPr="00293FE6" w:rsidRDefault="00025811" w:rsidP="00615190">
      <w:pPr>
        <w:spacing w:line="240" w:lineRule="atLeast"/>
        <w:rPr>
          <w:rFonts w:ascii="Tahoma" w:hAnsi="Tahoma"/>
          <w:b/>
          <w:bCs/>
          <w:color w:val="000000" w:themeColor="text1"/>
          <w:sz w:val="20"/>
          <w:szCs w:val="20"/>
        </w:rPr>
      </w:pPr>
      <w:r w:rsidRPr="00293FE6">
        <w:rPr>
          <w:rFonts w:ascii="Tahoma" w:hAnsi="Tahoma"/>
          <w:b/>
          <w:bCs/>
          <w:color w:val="000000" w:themeColor="text1"/>
          <w:sz w:val="20"/>
          <w:szCs w:val="20"/>
        </w:rPr>
        <w:t>COMMENTARY</w:t>
      </w:r>
    </w:p>
    <w:p w14:paraId="7CD041F5" w14:textId="77777777" w:rsidR="00D40B19" w:rsidRPr="00293FE6" w:rsidRDefault="00D40B19" w:rsidP="00615190">
      <w:pPr>
        <w:spacing w:line="240" w:lineRule="atLeast"/>
        <w:rPr>
          <w:rFonts w:ascii="Tahoma" w:hAnsi="Tahoma"/>
          <w:b/>
          <w:bCs/>
          <w:color w:val="000000" w:themeColor="text1"/>
          <w:sz w:val="16"/>
        </w:rPr>
      </w:pPr>
      <w:r w:rsidRPr="00293FE6">
        <w:rPr>
          <w:rFonts w:ascii="Tahoma" w:hAnsi="Tahoma"/>
          <w:b/>
          <w:bCs/>
          <w:color w:val="000000" w:themeColor="text1"/>
          <w:sz w:val="16"/>
        </w:rPr>
        <w:t>Our businesses continued to deliver strong growth while navigating a challenging and fast-changing environment. Growth expectations and valuations came under pressure as consumers adapted to new realities of higher inflation and interest rates, plus the effect of these on their daily lives and spending power. We are reducing our cost base sharply to meet these challenges and will take further action to deliver long-term value to our shareholders.</w:t>
      </w:r>
    </w:p>
    <w:p w14:paraId="5C7F4E36" w14:textId="77777777" w:rsidR="00D40B19" w:rsidRPr="00615190" w:rsidRDefault="00D40B19" w:rsidP="00615190">
      <w:pPr>
        <w:spacing w:line="240" w:lineRule="atLeast"/>
        <w:rPr>
          <w:rFonts w:ascii="Tahoma" w:hAnsi="Tahoma"/>
          <w:color w:val="000000" w:themeColor="text1"/>
          <w:sz w:val="16"/>
        </w:rPr>
      </w:pPr>
    </w:p>
    <w:p w14:paraId="1AE85159" w14:textId="19ACC8D9"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 xml:space="preserve">On an economic-interest basis, group revenue from continuing operations grew 1% (9%) to US$16.5bn. This was driven by a healthy 35% (41%) increase in Ecommerce revenues. Trading profit declined to US$1.4bn, reflecting a lower share of profits from Tencent and investment in new Ecommerce extensions (new initiatives), including autos, credit, quick commerce and grocery delivery. For similar reasons, core headline earnings decreased </w:t>
      </w:r>
      <w:r w:rsidR="00C32588">
        <w:rPr>
          <w:rFonts w:ascii="Tahoma" w:hAnsi="Tahoma"/>
          <w:color w:val="000000" w:themeColor="text1"/>
          <w:sz w:val="16"/>
        </w:rPr>
        <w:t>by</w:t>
      </w:r>
      <w:r w:rsidRPr="00615190">
        <w:rPr>
          <w:rFonts w:ascii="Tahoma" w:hAnsi="Tahoma"/>
          <w:color w:val="000000" w:themeColor="text1"/>
          <w:sz w:val="16"/>
        </w:rPr>
        <w:t xml:space="preserve"> US$1.3bn. Percentages in brackets represent growth in local currency, excluding mergers and acquisitions (M&amp;A).</w:t>
      </w:r>
    </w:p>
    <w:p w14:paraId="5D85941A" w14:textId="77777777" w:rsidR="00D40B19" w:rsidRPr="00615190" w:rsidRDefault="00D40B19" w:rsidP="00615190">
      <w:pPr>
        <w:spacing w:line="240" w:lineRule="atLeast"/>
        <w:rPr>
          <w:rFonts w:ascii="Tahoma" w:hAnsi="Tahoma"/>
          <w:color w:val="000000" w:themeColor="text1"/>
          <w:sz w:val="16"/>
        </w:rPr>
      </w:pPr>
    </w:p>
    <w:p w14:paraId="688FA24D"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 xml:space="preserve">Our Ecommerce businesses maintained strong </w:t>
      </w:r>
      <w:proofErr w:type="spellStart"/>
      <w:r w:rsidRPr="00615190">
        <w:rPr>
          <w:rFonts w:ascii="Tahoma" w:hAnsi="Tahoma"/>
          <w:color w:val="000000" w:themeColor="text1"/>
          <w:sz w:val="16"/>
        </w:rPr>
        <w:t>topline</w:t>
      </w:r>
      <w:proofErr w:type="spellEnd"/>
      <w:r w:rsidRPr="00615190">
        <w:rPr>
          <w:rFonts w:ascii="Tahoma" w:hAnsi="Tahoma"/>
          <w:color w:val="000000" w:themeColor="text1"/>
          <w:sz w:val="16"/>
        </w:rPr>
        <w:t xml:space="preserve"> momentum. Growth came from core businesses and expansion into adjacent opportunities. Consolidated revenue from continuing operations grew 18% (33%) to US$3.2bn, with meaningful contributions from all main segments (Classifieds, Food Delivery, Payments and Fintech, and Edtech). Given a sharp rise in the cost of capital, M&amp;A investment of US$230m was considerably lower than in recent periods. We preserved capital and prioritised organic investment in high-potential units in our Ecommerce portfolio. Our businesses are scaling and the focus is to accelerate their path to aggregate profitability. While addressing cost, we still invested in growth, and consolidated trading losses increased by US$209m to US$449m, driven by earlier-stage Ecommerce extensions.</w:t>
      </w:r>
    </w:p>
    <w:p w14:paraId="695263A6" w14:textId="77777777" w:rsidR="00D40B19" w:rsidRPr="00615190" w:rsidRDefault="00D40B19" w:rsidP="00615190">
      <w:pPr>
        <w:spacing w:line="240" w:lineRule="atLeast"/>
        <w:rPr>
          <w:rFonts w:ascii="Tahoma" w:hAnsi="Tahoma"/>
          <w:color w:val="000000" w:themeColor="text1"/>
          <w:sz w:val="16"/>
        </w:rPr>
      </w:pPr>
    </w:p>
    <w:p w14:paraId="18C5C4ED"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 xml:space="preserve">We are cutting costs as we expect the operating environment to remain challenging for the foreseeable future. At the same time, however, we want to accelerate various paths to profitability. Direct incremental investment went into those areas where we identified the most opportunities to create future value, profitability and cash flow generation. New initiatives accounted for US$483m of the consolidated trading loss, increasing by US$190m in local currency, excluding M&amp;A. As we invest, we are also driving efficiencies in our core consolidated businesses. We closed operations where we believe profitable growth cannot be sustained. This will improve operating leverage and improve profitability for the group in the medium term while creating a more efficient operating structure in the long term. We also continued cost-saving initiatives, reducing our corporate footprint. Prudent management of our balance sheet remains a priority, ensuring a robust liquidity position to navigate the rough environment and maintain our investment-grade rating. We hold net cash of US$619m, which includes US$15.8bn in cash and cash equivalents which will be further bolstered by the conclusion of the sale of </w:t>
      </w:r>
      <w:proofErr w:type="spellStart"/>
      <w:r w:rsidRPr="00615190">
        <w:rPr>
          <w:rFonts w:ascii="Tahoma" w:hAnsi="Tahoma"/>
          <w:color w:val="000000" w:themeColor="text1"/>
          <w:sz w:val="16"/>
        </w:rPr>
        <w:t>Avito</w:t>
      </w:r>
      <w:proofErr w:type="spellEnd"/>
      <w:r w:rsidRPr="00615190">
        <w:rPr>
          <w:rFonts w:ascii="Tahoma" w:hAnsi="Tahoma"/>
          <w:color w:val="000000" w:themeColor="text1"/>
          <w:sz w:val="16"/>
        </w:rPr>
        <w:t>. The period under review represented the peak of investment. Moving into the second half of the year, we expect trading losses to reduce as we realise the benefits and cost reductions take hold.</w:t>
      </w:r>
    </w:p>
    <w:p w14:paraId="762087F8" w14:textId="77777777" w:rsidR="00D40B19" w:rsidRPr="00615190" w:rsidRDefault="00D40B19" w:rsidP="00615190">
      <w:pPr>
        <w:spacing w:line="240" w:lineRule="atLeast"/>
        <w:rPr>
          <w:rFonts w:ascii="Tahoma" w:hAnsi="Tahoma"/>
          <w:color w:val="000000" w:themeColor="text1"/>
          <w:sz w:val="16"/>
        </w:rPr>
      </w:pPr>
    </w:p>
    <w:p w14:paraId="590D270F"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Classifieds revenue grew strongly, despite the impacts of a tough global economy and Russia’s invasion of Ukraine, which significantly affected OLX Europe. Investment to expand our direct-to-consumer business contributed to growth in OLX Autos, which has achieved scale in a short period, while the core Classifieds’ margin improved.</w:t>
      </w:r>
    </w:p>
    <w:p w14:paraId="68A04EED" w14:textId="77777777" w:rsidR="00D40B19" w:rsidRPr="00615190" w:rsidRDefault="00D40B19" w:rsidP="00615190">
      <w:pPr>
        <w:spacing w:line="240" w:lineRule="atLeast"/>
        <w:rPr>
          <w:rFonts w:ascii="Tahoma" w:hAnsi="Tahoma"/>
          <w:color w:val="000000" w:themeColor="text1"/>
          <w:sz w:val="16"/>
        </w:rPr>
      </w:pPr>
    </w:p>
    <w:p w14:paraId="6900CA30"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 xml:space="preserve">Our Food Delivery performance remained robust, driven by growth in quick commerce which leverages the scale achieved in the restaurant delivery business. </w:t>
      </w:r>
      <w:proofErr w:type="spellStart"/>
      <w:r w:rsidRPr="00615190">
        <w:rPr>
          <w:rFonts w:ascii="Tahoma" w:hAnsi="Tahoma"/>
          <w:color w:val="000000" w:themeColor="text1"/>
          <w:sz w:val="16"/>
        </w:rPr>
        <w:t>iFood</w:t>
      </w:r>
      <w:proofErr w:type="spellEnd"/>
      <w:r w:rsidRPr="00615190">
        <w:rPr>
          <w:rFonts w:ascii="Tahoma" w:hAnsi="Tahoma"/>
          <w:color w:val="000000" w:themeColor="text1"/>
          <w:sz w:val="16"/>
        </w:rPr>
        <w:t xml:space="preserve"> grew in scale and improved its consolidated trading margins in both core food delivery and quick commerce. Given this strength, we committed €1.5bn, plus a contingent consideration of up to €300m to acquire the remaining 33.3% stake of </w:t>
      </w:r>
      <w:proofErr w:type="spellStart"/>
      <w:r w:rsidRPr="00615190">
        <w:rPr>
          <w:rFonts w:ascii="Tahoma" w:hAnsi="Tahoma"/>
          <w:color w:val="000000" w:themeColor="text1"/>
          <w:sz w:val="16"/>
        </w:rPr>
        <w:t>iFood</w:t>
      </w:r>
      <w:proofErr w:type="spellEnd"/>
      <w:r w:rsidRPr="00615190">
        <w:rPr>
          <w:rFonts w:ascii="Tahoma" w:hAnsi="Tahoma"/>
          <w:color w:val="000000" w:themeColor="text1"/>
          <w:sz w:val="16"/>
        </w:rPr>
        <w:t xml:space="preserve"> from Just Eat Takeaway. The transaction was approved by Just Eat Takeaway shareholders in November 2022.</w:t>
      </w:r>
    </w:p>
    <w:p w14:paraId="5E598973" w14:textId="77777777" w:rsidR="00D40B19" w:rsidRPr="00615190" w:rsidRDefault="00D40B19" w:rsidP="00615190">
      <w:pPr>
        <w:spacing w:line="240" w:lineRule="atLeast"/>
        <w:rPr>
          <w:rFonts w:ascii="Tahoma" w:hAnsi="Tahoma"/>
          <w:color w:val="000000" w:themeColor="text1"/>
          <w:sz w:val="16"/>
        </w:rPr>
      </w:pPr>
    </w:p>
    <w:p w14:paraId="2BFADDD7"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In Payments and Fintech, the core payments business made progress in growing volumes while pursuing additional opportunities in credit. In India, progress was strong as margins improved in our core payments business and in credit, where we experienced growth and financial improvement. A once-off provision in Brazil, as well as pressure on take rates and gross margins, drove a lower margin in Global Payments Organisation (GPO).</w:t>
      </w:r>
    </w:p>
    <w:p w14:paraId="521D4B82" w14:textId="77777777" w:rsidR="00D40B19" w:rsidRPr="00615190" w:rsidRDefault="00D40B19" w:rsidP="00615190">
      <w:pPr>
        <w:spacing w:line="240" w:lineRule="atLeast"/>
        <w:rPr>
          <w:rFonts w:ascii="Tahoma" w:hAnsi="Tahoma"/>
          <w:color w:val="000000" w:themeColor="text1"/>
          <w:sz w:val="16"/>
        </w:rPr>
      </w:pPr>
    </w:p>
    <w:p w14:paraId="48E6A23A"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 xml:space="preserve">In India, </w:t>
      </w:r>
      <w:proofErr w:type="spellStart"/>
      <w:r w:rsidRPr="00615190">
        <w:rPr>
          <w:rFonts w:ascii="Tahoma" w:hAnsi="Tahoma"/>
          <w:color w:val="000000" w:themeColor="text1"/>
          <w:sz w:val="16"/>
        </w:rPr>
        <w:t>PayU</w:t>
      </w:r>
      <w:proofErr w:type="spellEnd"/>
      <w:r w:rsidRPr="00615190">
        <w:rPr>
          <w:rFonts w:ascii="Tahoma" w:hAnsi="Tahoma"/>
          <w:color w:val="000000" w:themeColor="text1"/>
          <w:sz w:val="16"/>
        </w:rPr>
        <w:t xml:space="preserve"> eventually secured competition commission approval for the acquisition of </w:t>
      </w:r>
      <w:proofErr w:type="spellStart"/>
      <w:r w:rsidRPr="00615190">
        <w:rPr>
          <w:rFonts w:ascii="Tahoma" w:hAnsi="Tahoma"/>
          <w:color w:val="000000" w:themeColor="text1"/>
          <w:sz w:val="16"/>
        </w:rPr>
        <w:t>BillDesk</w:t>
      </w:r>
      <w:proofErr w:type="spellEnd"/>
      <w:r w:rsidRPr="00615190">
        <w:rPr>
          <w:rFonts w:ascii="Tahoma" w:hAnsi="Tahoma"/>
          <w:color w:val="000000" w:themeColor="text1"/>
          <w:sz w:val="16"/>
        </w:rPr>
        <w:t xml:space="preserve">. However, certain conditions precedent were not fulfilled by the 30 September 2022 long-stop date, and the agreement terminated automatically. Accordingly, the proposed transaction will not be implemented. </w:t>
      </w:r>
      <w:proofErr w:type="spellStart"/>
      <w:r w:rsidRPr="00615190">
        <w:rPr>
          <w:rFonts w:ascii="Tahoma" w:hAnsi="Tahoma"/>
          <w:color w:val="000000" w:themeColor="text1"/>
          <w:sz w:val="16"/>
        </w:rPr>
        <w:t>Prosus</w:t>
      </w:r>
      <w:proofErr w:type="spellEnd"/>
      <w:r w:rsidRPr="00615190">
        <w:rPr>
          <w:rFonts w:ascii="Tahoma" w:hAnsi="Tahoma"/>
          <w:color w:val="000000" w:themeColor="text1"/>
          <w:sz w:val="16"/>
        </w:rPr>
        <w:t xml:space="preserve"> remains committed to the Indian market and to growing its existing businesses in the region.</w:t>
      </w:r>
    </w:p>
    <w:p w14:paraId="52EA6967" w14:textId="77777777" w:rsidR="00D40B19" w:rsidRPr="00615190" w:rsidRDefault="00D40B19" w:rsidP="00615190">
      <w:pPr>
        <w:spacing w:line="240" w:lineRule="atLeast"/>
        <w:rPr>
          <w:rFonts w:ascii="Tahoma" w:hAnsi="Tahoma"/>
          <w:color w:val="000000" w:themeColor="text1"/>
          <w:sz w:val="16"/>
        </w:rPr>
      </w:pPr>
    </w:p>
    <w:p w14:paraId="05DA8890"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 xml:space="preserve">Edtech recorded strong revenue growth. Our enterprise platforms, Stack Overflow and </w:t>
      </w:r>
      <w:proofErr w:type="spellStart"/>
      <w:r w:rsidRPr="00615190">
        <w:rPr>
          <w:rFonts w:ascii="Tahoma" w:hAnsi="Tahoma"/>
          <w:color w:val="000000" w:themeColor="text1"/>
          <w:sz w:val="16"/>
        </w:rPr>
        <w:t>GoodHabitz</w:t>
      </w:r>
      <w:proofErr w:type="spellEnd"/>
      <w:r w:rsidRPr="00615190">
        <w:rPr>
          <w:rFonts w:ascii="Tahoma" w:hAnsi="Tahoma"/>
          <w:color w:val="000000" w:themeColor="text1"/>
          <w:sz w:val="16"/>
        </w:rPr>
        <w:t>, invested in product enhancement and footprint expansion, which drove a higher trading loss. Such investments were necessary to scale the platforms and improve product offerings as these businesses are poised to benefit from corporations upskilling and reskilling their workforce in the fast-changing technology-driven world.</w:t>
      </w:r>
    </w:p>
    <w:p w14:paraId="2BB59E42" w14:textId="77777777" w:rsidR="00D40B19" w:rsidRPr="00615190" w:rsidRDefault="00D40B19" w:rsidP="00615190">
      <w:pPr>
        <w:spacing w:line="240" w:lineRule="atLeast"/>
        <w:rPr>
          <w:rFonts w:ascii="Tahoma" w:hAnsi="Tahoma"/>
          <w:color w:val="000000" w:themeColor="text1"/>
          <w:sz w:val="16"/>
        </w:rPr>
      </w:pPr>
    </w:p>
    <w:p w14:paraId="71850850" w14:textId="77777777" w:rsidR="00BC3A30" w:rsidRDefault="00BC3A30">
      <w:pPr>
        <w:rPr>
          <w:rFonts w:ascii="Tahoma" w:hAnsi="Tahoma"/>
          <w:color w:val="000000" w:themeColor="text1"/>
          <w:sz w:val="16"/>
        </w:rPr>
      </w:pPr>
      <w:r>
        <w:rPr>
          <w:rFonts w:ascii="Tahoma" w:hAnsi="Tahoma"/>
          <w:color w:val="000000" w:themeColor="text1"/>
          <w:sz w:val="16"/>
        </w:rPr>
        <w:br w:type="page"/>
      </w:r>
    </w:p>
    <w:p w14:paraId="179CEA10"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lastRenderedPageBreak/>
        <w:t xml:space="preserve">In June 2022, the group launched an open-ended multi-year share repurchase programme funded by a limited, pre-set trim of Tencent shares. We are taking advantage of the group’s valuation discount to permanently enhance shareholders’ per share exposure to the net asset value (NAV) of our investments in Tencent and the Ecommerce portfolio. By 30 September 2022, </w:t>
      </w:r>
      <w:proofErr w:type="spellStart"/>
      <w:r w:rsidRPr="00615190">
        <w:rPr>
          <w:rFonts w:ascii="Tahoma" w:hAnsi="Tahoma"/>
          <w:color w:val="000000" w:themeColor="text1"/>
          <w:sz w:val="16"/>
        </w:rPr>
        <w:t>Prosus</w:t>
      </w:r>
      <w:proofErr w:type="spellEnd"/>
      <w:r w:rsidRPr="00615190">
        <w:rPr>
          <w:rFonts w:ascii="Tahoma" w:hAnsi="Tahoma"/>
          <w:color w:val="000000" w:themeColor="text1"/>
          <w:sz w:val="16"/>
        </w:rPr>
        <w:t xml:space="preserve"> had repurchased 53 991 368 </w:t>
      </w:r>
      <w:proofErr w:type="spellStart"/>
      <w:r w:rsidRPr="00615190">
        <w:rPr>
          <w:rFonts w:ascii="Tahoma" w:hAnsi="Tahoma"/>
          <w:color w:val="000000" w:themeColor="text1"/>
          <w:sz w:val="16"/>
        </w:rPr>
        <w:t>Prosus</w:t>
      </w:r>
      <w:proofErr w:type="spellEnd"/>
      <w:r w:rsidRPr="00615190">
        <w:rPr>
          <w:rFonts w:ascii="Tahoma" w:hAnsi="Tahoma"/>
          <w:color w:val="000000" w:themeColor="text1"/>
          <w:sz w:val="16"/>
        </w:rPr>
        <w:t xml:space="preserve"> shares and 4 152 285 Naspers shares, with a total value of US$4.1bn. This has already led to a 2% increase in the NAV exposure. We expect this to create value for shareholders as we execute the programme for as long as a discount to the value of the underlying portfolio of assets remains elevated.</w:t>
      </w:r>
    </w:p>
    <w:p w14:paraId="79CC2B2B" w14:textId="77777777" w:rsidR="00D40B19" w:rsidRPr="00615190" w:rsidRDefault="00D40B19" w:rsidP="00615190">
      <w:pPr>
        <w:spacing w:line="240" w:lineRule="atLeast"/>
        <w:rPr>
          <w:rFonts w:ascii="Tahoma" w:hAnsi="Tahoma"/>
          <w:color w:val="000000" w:themeColor="text1"/>
          <w:sz w:val="16"/>
        </w:rPr>
      </w:pPr>
    </w:p>
    <w:p w14:paraId="28A11C24"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 xml:space="preserve">As part of this programme, Naspers received approval from the South African Reserve Bank to continue funding its buyback with regular sales of </w:t>
      </w:r>
      <w:proofErr w:type="spellStart"/>
      <w:r w:rsidRPr="00615190">
        <w:rPr>
          <w:rFonts w:ascii="Tahoma" w:hAnsi="Tahoma"/>
          <w:color w:val="000000" w:themeColor="text1"/>
          <w:sz w:val="16"/>
        </w:rPr>
        <w:t>Prosus</w:t>
      </w:r>
      <w:proofErr w:type="spellEnd"/>
      <w:r w:rsidRPr="00615190">
        <w:rPr>
          <w:rFonts w:ascii="Tahoma" w:hAnsi="Tahoma"/>
          <w:color w:val="000000" w:themeColor="text1"/>
          <w:sz w:val="16"/>
        </w:rPr>
        <w:t xml:space="preserve"> shares. By 30 September 2022, Naspers had sold 3 610 774 </w:t>
      </w:r>
      <w:proofErr w:type="spellStart"/>
      <w:r w:rsidRPr="00615190">
        <w:rPr>
          <w:rFonts w:ascii="Tahoma" w:hAnsi="Tahoma"/>
          <w:color w:val="000000" w:themeColor="text1"/>
          <w:sz w:val="16"/>
        </w:rPr>
        <w:t>Prosus</w:t>
      </w:r>
      <w:proofErr w:type="spellEnd"/>
      <w:r w:rsidRPr="00615190">
        <w:rPr>
          <w:rFonts w:ascii="Tahoma" w:hAnsi="Tahoma"/>
          <w:color w:val="000000" w:themeColor="text1"/>
          <w:sz w:val="16"/>
        </w:rPr>
        <w:t xml:space="preserve"> shares and bought back 1 510 321 of its own shares to the value of US$210m. Over time, we intend to execute the programme in a manner that will keep the respective </w:t>
      </w:r>
      <w:proofErr w:type="spellStart"/>
      <w:r w:rsidRPr="00615190">
        <w:rPr>
          <w:rFonts w:ascii="Tahoma" w:hAnsi="Tahoma"/>
          <w:color w:val="000000" w:themeColor="text1"/>
          <w:sz w:val="16"/>
        </w:rPr>
        <w:t>Prosus</w:t>
      </w:r>
      <w:proofErr w:type="spellEnd"/>
      <w:r w:rsidRPr="00615190">
        <w:rPr>
          <w:rFonts w:ascii="Tahoma" w:hAnsi="Tahoma"/>
          <w:color w:val="000000" w:themeColor="text1"/>
          <w:sz w:val="16"/>
        </w:rPr>
        <w:t xml:space="preserve"> and Naspers free float shareholder groups’ relative economic interest in the underlying assets aligned with their position at the start of the programme.</w:t>
      </w:r>
    </w:p>
    <w:p w14:paraId="47C14CF2" w14:textId="77777777" w:rsidR="00D40B19" w:rsidRPr="00615190" w:rsidRDefault="00D40B19" w:rsidP="00615190">
      <w:pPr>
        <w:spacing w:line="240" w:lineRule="atLeast"/>
        <w:rPr>
          <w:rFonts w:ascii="Tahoma" w:hAnsi="Tahoma"/>
          <w:color w:val="000000" w:themeColor="text1"/>
          <w:sz w:val="16"/>
        </w:rPr>
      </w:pPr>
    </w:p>
    <w:p w14:paraId="5DB1BEC6"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 xml:space="preserve">In May 2022, the group announced an intention to exit its Russian classifieds business, </w:t>
      </w:r>
      <w:proofErr w:type="spellStart"/>
      <w:r w:rsidRPr="00615190">
        <w:rPr>
          <w:rFonts w:ascii="Tahoma" w:hAnsi="Tahoma"/>
          <w:color w:val="000000" w:themeColor="text1"/>
          <w:sz w:val="16"/>
        </w:rPr>
        <w:t>Avito</w:t>
      </w:r>
      <w:proofErr w:type="spellEnd"/>
      <w:r w:rsidRPr="00615190">
        <w:rPr>
          <w:rFonts w:ascii="Tahoma" w:hAnsi="Tahoma"/>
          <w:color w:val="000000" w:themeColor="text1"/>
          <w:sz w:val="16"/>
        </w:rPr>
        <w:t xml:space="preserve">. We have completed the disposal and received the proceeds of RUB151bn (US$2.4bn) in October 2022. </w:t>
      </w:r>
      <w:proofErr w:type="spellStart"/>
      <w:r w:rsidRPr="00615190">
        <w:rPr>
          <w:rFonts w:ascii="Tahoma" w:hAnsi="Tahoma"/>
          <w:color w:val="000000" w:themeColor="text1"/>
          <w:sz w:val="16"/>
        </w:rPr>
        <w:t>Avito</w:t>
      </w:r>
      <w:proofErr w:type="spellEnd"/>
      <w:r w:rsidRPr="00615190">
        <w:rPr>
          <w:rFonts w:ascii="Tahoma" w:hAnsi="Tahoma"/>
          <w:color w:val="000000" w:themeColor="text1"/>
          <w:sz w:val="16"/>
        </w:rPr>
        <w:t xml:space="preserve"> is now treated as a discontinued operation in the financial results and thus excluded from continuing operations.</w:t>
      </w:r>
    </w:p>
    <w:p w14:paraId="06F08A20" w14:textId="77777777" w:rsidR="00D40B19" w:rsidRPr="00615190" w:rsidRDefault="00D40B19" w:rsidP="00615190">
      <w:pPr>
        <w:spacing w:line="240" w:lineRule="atLeast"/>
        <w:rPr>
          <w:rFonts w:ascii="Tahoma" w:hAnsi="Tahoma"/>
          <w:color w:val="000000" w:themeColor="text1"/>
          <w:sz w:val="16"/>
        </w:rPr>
      </w:pPr>
    </w:p>
    <w:p w14:paraId="54EF9915"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Given the wide geographical span of our operations and significant M&amp;A activity in Ecommerce, reported earnings were materially impacted by foreign exchange movements and the effects of acquisitions and disposals. Where relevant in this report, we have adjusted for effects of foreign currency movements and impacts of acquisitions and disposals. These adjustments (alternative performance measures) are quoted in brackets after the equivalent metrics reported under International Financial Reporting Standards (IFRS). Growth rates represent a comparison between the period ended 30 September 2022 and the comparative period ended 30 September 2021, unless otherwise stated. Percentages in brackets represent growth in local currency, excluding M&amp;A.</w:t>
      </w:r>
    </w:p>
    <w:p w14:paraId="06D0A1F5" w14:textId="77777777" w:rsidR="00D40B19" w:rsidRPr="00615190" w:rsidRDefault="00D40B19" w:rsidP="00615190">
      <w:pPr>
        <w:spacing w:line="240" w:lineRule="atLeast"/>
        <w:rPr>
          <w:rFonts w:ascii="Tahoma" w:hAnsi="Tahoma"/>
          <w:color w:val="000000" w:themeColor="text1"/>
          <w:sz w:val="16"/>
        </w:rPr>
      </w:pPr>
    </w:p>
    <w:p w14:paraId="0CE1F9FE"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A reconciliation of the alternative performance measures to the equivalent IFRS metrics is provided in ‘Other information – Non-IFRS financial measures and alternative performance measures’ of these condensed consolidated interim financial statements.</w:t>
      </w:r>
    </w:p>
    <w:p w14:paraId="54402B69" w14:textId="77777777" w:rsidR="00D40B19" w:rsidRPr="00615190" w:rsidRDefault="00D40B19" w:rsidP="00615190">
      <w:pPr>
        <w:spacing w:line="240" w:lineRule="atLeast"/>
        <w:rPr>
          <w:rFonts w:ascii="Tahoma" w:hAnsi="Tahoma"/>
          <w:color w:val="000000" w:themeColor="text1"/>
          <w:sz w:val="16"/>
        </w:rPr>
      </w:pPr>
    </w:p>
    <w:p w14:paraId="3CCE4671" w14:textId="77777777" w:rsidR="00D40B19" w:rsidRPr="00A776C0" w:rsidRDefault="00233307" w:rsidP="00615190">
      <w:pPr>
        <w:spacing w:line="240" w:lineRule="atLeast"/>
        <w:rPr>
          <w:rFonts w:ascii="Tahoma" w:hAnsi="Tahoma"/>
          <w:b/>
          <w:bCs/>
          <w:color w:val="000000" w:themeColor="text1"/>
          <w:sz w:val="16"/>
        </w:rPr>
      </w:pPr>
      <w:r w:rsidRPr="00A776C0">
        <w:rPr>
          <w:rFonts w:ascii="Tahoma" w:hAnsi="Tahoma"/>
          <w:b/>
          <w:bCs/>
          <w:color w:val="000000" w:themeColor="text1"/>
          <w:sz w:val="16"/>
        </w:rPr>
        <w:t>FINANCIAL REVIEW</w:t>
      </w:r>
    </w:p>
    <w:p w14:paraId="50713B16"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Group revenue, measured on an economic-interest basis, grew 1% (9%) to US$16.5bn. Revenue, in nominal terms, was impacted by a broad devaluation of emerging-market and European currencies on translation to US dollars, representing a negative foreign currency translation impact of US$1.2bn. Ecommerce continued a lively growth trajectory, with revenue growing 35% (41%) in a challenging environment. Our economic-interest share in Tencent’s revenue declined by 8% (1%).</w:t>
      </w:r>
    </w:p>
    <w:p w14:paraId="22F49343" w14:textId="77777777" w:rsidR="00D40B19" w:rsidRPr="00615190" w:rsidRDefault="00D40B19" w:rsidP="00615190">
      <w:pPr>
        <w:spacing w:line="240" w:lineRule="atLeast"/>
        <w:rPr>
          <w:rFonts w:ascii="Tahoma" w:hAnsi="Tahoma"/>
          <w:color w:val="000000" w:themeColor="text1"/>
          <w:sz w:val="16"/>
        </w:rPr>
      </w:pPr>
    </w:p>
    <w:p w14:paraId="1BC223C5"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Group trading profit declined by 49% (37%) to US$1.4bn, reflecting Tencent’s 26% (21%) lower contribution to the group’s trading profit and losses in our consolidated ecommerce business of US$449m, plus our share of losses from ecommerce associates (US$549m).</w:t>
      </w:r>
    </w:p>
    <w:p w14:paraId="01E2F96A" w14:textId="77777777" w:rsidR="00D40B19" w:rsidRPr="00615190" w:rsidRDefault="00D40B19" w:rsidP="00615190">
      <w:pPr>
        <w:spacing w:line="240" w:lineRule="atLeast"/>
        <w:rPr>
          <w:rFonts w:ascii="Tahoma" w:hAnsi="Tahoma"/>
          <w:color w:val="000000" w:themeColor="text1"/>
          <w:sz w:val="16"/>
        </w:rPr>
      </w:pPr>
    </w:p>
    <w:p w14:paraId="7B86F780"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 xml:space="preserve">On a consolidated basis, total revenue increased by US$487m, or 18% (33%), from US$2.8bn in the prior period to US$3.2bn. This was primarily due to strong revenue growth in OLX Autos and </w:t>
      </w:r>
      <w:proofErr w:type="spellStart"/>
      <w:r w:rsidRPr="00615190">
        <w:rPr>
          <w:rFonts w:ascii="Tahoma" w:hAnsi="Tahoma"/>
          <w:color w:val="000000" w:themeColor="text1"/>
          <w:sz w:val="16"/>
        </w:rPr>
        <w:t>iFood</w:t>
      </w:r>
      <w:proofErr w:type="spellEnd"/>
      <w:r w:rsidRPr="00615190">
        <w:rPr>
          <w:rFonts w:ascii="Tahoma" w:hAnsi="Tahoma"/>
          <w:color w:val="000000" w:themeColor="text1"/>
          <w:sz w:val="16"/>
        </w:rPr>
        <w:t>. The operating loss increased by US$213m to US$531m, representing increased organic investments to scale Ecommerce extensions.</w:t>
      </w:r>
    </w:p>
    <w:p w14:paraId="03D1D8DA" w14:textId="77777777" w:rsidR="00D40B19" w:rsidRPr="00615190" w:rsidRDefault="00D40B19" w:rsidP="00615190">
      <w:pPr>
        <w:spacing w:line="240" w:lineRule="atLeast"/>
        <w:rPr>
          <w:rFonts w:ascii="Tahoma" w:hAnsi="Tahoma"/>
          <w:color w:val="000000" w:themeColor="text1"/>
          <w:sz w:val="16"/>
        </w:rPr>
      </w:pPr>
    </w:p>
    <w:p w14:paraId="2478C43E"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 xml:space="preserve">Our equity-accounted results decreased by US$3bn, or 74%, from US$4.1bn in the prior period to US$1.1bn. The decrease is driven primarily by our share of fair-value losses on financial instruments of US$371.5m compared to fair-value gains of US$1bn in the prior period and additional impairment losses of US$185.3m in Tencent. This was in addition to reduced profitability in Tencent of US$876m and lower profitability from Delivery Hero of US$530m due to a once-off gain in the prior year. These were offset by an increase in our share of gains on disposals (US$747.2m) in Tencent. The sale of Tencent shares to fund the buyback delivered a US$2.8bn gain in the current year. Our trim of our Tencent position resulted in a gain of US$12.4bn during the prior period. </w:t>
      </w:r>
    </w:p>
    <w:p w14:paraId="480D35F8" w14:textId="77777777" w:rsidR="00D40B19" w:rsidRPr="00615190" w:rsidRDefault="00D40B19" w:rsidP="00615190">
      <w:pPr>
        <w:spacing w:line="240" w:lineRule="atLeast"/>
        <w:rPr>
          <w:rFonts w:ascii="Tahoma" w:hAnsi="Tahoma"/>
          <w:color w:val="000000" w:themeColor="text1"/>
          <w:sz w:val="16"/>
        </w:rPr>
      </w:pPr>
    </w:p>
    <w:p w14:paraId="3DDC54D1"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 xml:space="preserve">As a result of challenging macroeconomic conditions and the decline in growth expectations and valuations, the group recognised impairment losses on equity-accounted investments of US$1.5bn. Impairments for our listed equity-accounted investments relate primarily to Delivery Hero (US$1bn) and Skillsoft (US$204m), given a decline in market capitalisation and the increase in discount rates and country risk premiums for these. Impairments for our unlisted equity-accounted investments relate primarily to </w:t>
      </w:r>
      <w:proofErr w:type="spellStart"/>
      <w:r w:rsidRPr="00615190">
        <w:rPr>
          <w:rFonts w:ascii="Tahoma" w:hAnsi="Tahoma"/>
          <w:color w:val="000000" w:themeColor="text1"/>
          <w:sz w:val="16"/>
        </w:rPr>
        <w:t>OfferUp</w:t>
      </w:r>
      <w:proofErr w:type="spellEnd"/>
      <w:r w:rsidRPr="00615190">
        <w:rPr>
          <w:rFonts w:ascii="Tahoma" w:hAnsi="Tahoma"/>
          <w:color w:val="000000" w:themeColor="text1"/>
          <w:sz w:val="16"/>
        </w:rPr>
        <w:t xml:space="preserve"> (US$190m) due to the increase in market interest rates and a revised business outlook. We remain confident in long-term potential and strategic value-add despite the short-term macroeconomic challenges that drove the impairment.</w:t>
      </w:r>
    </w:p>
    <w:p w14:paraId="48AEBB14" w14:textId="77777777" w:rsidR="00D40B19" w:rsidRPr="00615190" w:rsidRDefault="00D40B19" w:rsidP="00615190">
      <w:pPr>
        <w:spacing w:line="240" w:lineRule="atLeast"/>
        <w:rPr>
          <w:rFonts w:ascii="Tahoma" w:hAnsi="Tahoma"/>
          <w:color w:val="000000" w:themeColor="text1"/>
          <w:sz w:val="16"/>
        </w:rPr>
      </w:pPr>
    </w:p>
    <w:p w14:paraId="724BD058"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 xml:space="preserve">Headline earnings decreased by US$2.3bn to a loss of US$6m. This was due to lower profitability across our associates, including fair-value losses of US$371.5m in Tencent. This was partially offset by reduced share-based compensation expenses related to remeasurement of the group’s cash-settled scheme and no grants to executive directors, as well as lower net finance costs due to a revaluation gain on our euro bonds. </w:t>
      </w:r>
    </w:p>
    <w:p w14:paraId="6184B741" w14:textId="77777777" w:rsidR="00D40B19" w:rsidRPr="00615190" w:rsidRDefault="00D40B19" w:rsidP="00615190">
      <w:pPr>
        <w:spacing w:line="240" w:lineRule="atLeast"/>
        <w:rPr>
          <w:rFonts w:ascii="Tahoma" w:hAnsi="Tahoma"/>
          <w:color w:val="000000" w:themeColor="text1"/>
          <w:sz w:val="16"/>
        </w:rPr>
      </w:pPr>
    </w:p>
    <w:p w14:paraId="3B77190C"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Core headline earnings were US$897m – a decrease of 60% or US$1.3bn, primarily due to lower contributions from our associates (US$1.1bn); US$879m of this relates to Tencent.</w:t>
      </w:r>
    </w:p>
    <w:p w14:paraId="6308B26E" w14:textId="77777777" w:rsidR="00D40B19" w:rsidRPr="00615190" w:rsidRDefault="00D40B19" w:rsidP="00615190">
      <w:pPr>
        <w:spacing w:line="240" w:lineRule="atLeast"/>
        <w:rPr>
          <w:rFonts w:ascii="Tahoma" w:hAnsi="Tahoma"/>
          <w:color w:val="000000" w:themeColor="text1"/>
          <w:sz w:val="16"/>
        </w:rPr>
      </w:pPr>
    </w:p>
    <w:p w14:paraId="5FB21454"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lastRenderedPageBreak/>
        <w:t xml:space="preserve">Following the announcement in May 2022 of the group’s intention to exit its Russian classifieds businesses (the </w:t>
      </w:r>
      <w:proofErr w:type="spellStart"/>
      <w:r w:rsidRPr="00615190">
        <w:rPr>
          <w:rFonts w:ascii="Tahoma" w:hAnsi="Tahoma"/>
          <w:color w:val="000000" w:themeColor="text1"/>
          <w:sz w:val="16"/>
        </w:rPr>
        <w:t>Avito</w:t>
      </w:r>
      <w:proofErr w:type="spellEnd"/>
      <w:r w:rsidRPr="00615190">
        <w:rPr>
          <w:rFonts w:ascii="Tahoma" w:hAnsi="Tahoma"/>
          <w:color w:val="000000" w:themeColor="text1"/>
          <w:sz w:val="16"/>
        </w:rPr>
        <w:t xml:space="preserve"> group), this disposal was classified as held for sale. In addition, the </w:t>
      </w:r>
      <w:proofErr w:type="spellStart"/>
      <w:r w:rsidRPr="00615190">
        <w:rPr>
          <w:rFonts w:ascii="Tahoma" w:hAnsi="Tahoma"/>
          <w:color w:val="000000" w:themeColor="text1"/>
          <w:sz w:val="16"/>
        </w:rPr>
        <w:t>Avito</w:t>
      </w:r>
      <w:proofErr w:type="spellEnd"/>
      <w:r w:rsidRPr="00615190">
        <w:rPr>
          <w:rFonts w:ascii="Tahoma" w:hAnsi="Tahoma"/>
          <w:color w:val="000000" w:themeColor="text1"/>
          <w:sz w:val="16"/>
        </w:rPr>
        <w:t xml:space="preserve"> group represents a separate major operation in a geographical area and is reflected as a discontinued operation.</w:t>
      </w:r>
    </w:p>
    <w:p w14:paraId="4DC2C9B5" w14:textId="77777777" w:rsidR="00D40B19" w:rsidRPr="00615190" w:rsidRDefault="00D40B19" w:rsidP="00615190">
      <w:pPr>
        <w:spacing w:line="240" w:lineRule="atLeast"/>
        <w:rPr>
          <w:rFonts w:ascii="Tahoma" w:hAnsi="Tahoma"/>
          <w:color w:val="000000" w:themeColor="text1"/>
          <w:sz w:val="16"/>
        </w:rPr>
      </w:pPr>
    </w:p>
    <w:p w14:paraId="44C113DF"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We remain well positioned to navigate the difficult macro environment due to our liquid balance sheet. We hold net cash of US$619m, comprising US$15.8bn in cash and cash equivalents (including short-term cash investments), net of US$15.2bn in interest-bearing debt (excluding capitalised lease liabilities). In addition, we have an undrawn US$2.5bn revolving credit facility. During the period, we recorded a net interest expense of US$138m.</w:t>
      </w:r>
    </w:p>
    <w:p w14:paraId="3E243A2A" w14:textId="77777777" w:rsidR="00D40B19" w:rsidRPr="00615190" w:rsidRDefault="00D40B19" w:rsidP="00615190">
      <w:pPr>
        <w:spacing w:line="240" w:lineRule="atLeast"/>
        <w:rPr>
          <w:rFonts w:ascii="Tahoma" w:hAnsi="Tahoma"/>
          <w:color w:val="000000" w:themeColor="text1"/>
          <w:sz w:val="16"/>
        </w:rPr>
      </w:pPr>
    </w:p>
    <w:p w14:paraId="0ED8232B" w14:textId="21A5B616"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 xml:space="preserve">The group’s free cash outflow (excluding </w:t>
      </w:r>
      <w:proofErr w:type="spellStart"/>
      <w:r w:rsidRPr="00615190">
        <w:rPr>
          <w:rFonts w:ascii="Tahoma" w:hAnsi="Tahoma"/>
          <w:color w:val="000000" w:themeColor="text1"/>
          <w:sz w:val="16"/>
        </w:rPr>
        <w:t>Avito</w:t>
      </w:r>
      <w:proofErr w:type="spellEnd"/>
      <w:r w:rsidRPr="00615190">
        <w:rPr>
          <w:rFonts w:ascii="Tahoma" w:hAnsi="Tahoma"/>
          <w:color w:val="000000" w:themeColor="text1"/>
          <w:sz w:val="16"/>
        </w:rPr>
        <w:t xml:space="preserve">) was US$132m, a year-on-year decrease of US$129m. This was due to reduced profitability </w:t>
      </w:r>
      <w:r w:rsidR="002F078E">
        <w:rPr>
          <w:rFonts w:ascii="Tahoma" w:hAnsi="Tahoma"/>
          <w:color w:val="000000" w:themeColor="text1"/>
          <w:sz w:val="16"/>
        </w:rPr>
        <w:br/>
      </w:r>
      <w:r w:rsidRPr="00615190">
        <w:rPr>
          <w:rFonts w:ascii="Tahoma" w:hAnsi="Tahoma"/>
          <w:color w:val="000000" w:themeColor="text1"/>
          <w:sz w:val="16"/>
        </w:rPr>
        <w:t>(-US$126m) in our Ecommerce portfolio as we continue to invest in extensions across the portfolio. In addition, working capital requirements have risen due to increased investment in credit businesses. Tencent remains a meaningful contributor to our cash flow via a stable dividend of US$565m.</w:t>
      </w:r>
    </w:p>
    <w:p w14:paraId="14C9EE28" w14:textId="77777777" w:rsidR="00D40B19" w:rsidRPr="00615190" w:rsidRDefault="00D40B19" w:rsidP="00615190">
      <w:pPr>
        <w:spacing w:line="240" w:lineRule="atLeast"/>
        <w:rPr>
          <w:rFonts w:ascii="Tahoma" w:hAnsi="Tahoma"/>
          <w:color w:val="000000" w:themeColor="text1"/>
          <w:sz w:val="16"/>
        </w:rPr>
      </w:pPr>
    </w:p>
    <w:p w14:paraId="21C23D97"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There were no new or amended accounting pronouncements effective 1 April 2022 with a significant impact on the group’s condensed consolidated interim financial statements.</w:t>
      </w:r>
    </w:p>
    <w:p w14:paraId="33C18127" w14:textId="77777777" w:rsidR="00D40B19" w:rsidRPr="00615190" w:rsidRDefault="00D40B19" w:rsidP="00615190">
      <w:pPr>
        <w:spacing w:line="240" w:lineRule="atLeast"/>
        <w:rPr>
          <w:rFonts w:ascii="Tahoma" w:hAnsi="Tahoma"/>
          <w:color w:val="000000" w:themeColor="text1"/>
          <w:sz w:val="16"/>
        </w:rPr>
      </w:pPr>
    </w:p>
    <w:p w14:paraId="218490F5"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The company’s external auditor has not reviewed or reported on forecasts included in these condensed consolidated interim financial statements.</w:t>
      </w:r>
    </w:p>
    <w:p w14:paraId="75B9CE08" w14:textId="77777777" w:rsidR="00D40B19" w:rsidRPr="00615190" w:rsidRDefault="00D40B19" w:rsidP="00615190">
      <w:pPr>
        <w:spacing w:line="240" w:lineRule="atLeast"/>
        <w:rPr>
          <w:rFonts w:ascii="Tahoma" w:hAnsi="Tahoma"/>
          <w:color w:val="000000" w:themeColor="text1"/>
          <w:sz w:val="16"/>
        </w:rPr>
      </w:pPr>
    </w:p>
    <w:p w14:paraId="74221099" w14:textId="77777777" w:rsidR="00D40B19" w:rsidRPr="00904E22" w:rsidRDefault="007D4F7A" w:rsidP="00615190">
      <w:pPr>
        <w:spacing w:line="240" w:lineRule="atLeast"/>
        <w:rPr>
          <w:rFonts w:ascii="Tahoma" w:hAnsi="Tahoma"/>
          <w:b/>
          <w:bCs/>
          <w:color w:val="000000" w:themeColor="text1"/>
          <w:sz w:val="16"/>
        </w:rPr>
      </w:pPr>
      <w:r w:rsidRPr="00904E22">
        <w:rPr>
          <w:rFonts w:ascii="Tahoma" w:hAnsi="Tahoma"/>
          <w:b/>
          <w:bCs/>
          <w:color w:val="000000" w:themeColor="text1"/>
          <w:sz w:val="16"/>
        </w:rPr>
        <w:t>SEGMENTAL REVIEW</w:t>
      </w:r>
    </w:p>
    <w:p w14:paraId="59E3BBFC" w14:textId="77777777" w:rsidR="00D40B19" w:rsidRPr="007D4F7A" w:rsidRDefault="00D40B19" w:rsidP="00615190">
      <w:pPr>
        <w:spacing w:line="240" w:lineRule="atLeast"/>
        <w:rPr>
          <w:rFonts w:ascii="Tahoma" w:hAnsi="Tahoma"/>
          <w:b/>
          <w:bCs/>
          <w:color w:val="000000" w:themeColor="text1"/>
          <w:sz w:val="16"/>
        </w:rPr>
      </w:pPr>
      <w:r w:rsidRPr="007D4F7A">
        <w:rPr>
          <w:rFonts w:ascii="Tahoma" w:hAnsi="Tahoma"/>
          <w:b/>
          <w:bCs/>
          <w:color w:val="000000" w:themeColor="text1"/>
          <w:sz w:val="16"/>
        </w:rPr>
        <w:t>Ecommerce</w:t>
      </w:r>
    </w:p>
    <w:p w14:paraId="10AF9CE0"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Ecommerce revenue grew 35% (41%) to US$5.2bn in the period, led by growth across all four core segments. Contributions came both from our core consolidated businesses and extensions into adjacent opportunities. Aggregated trading losses in the Ecommerce portfolio rose to US$998m from US$522m in the comparative period.</w:t>
      </w:r>
    </w:p>
    <w:p w14:paraId="3C21E730" w14:textId="77777777" w:rsidR="00D40B19" w:rsidRPr="00615190" w:rsidRDefault="00D40B19" w:rsidP="00615190">
      <w:pPr>
        <w:spacing w:line="240" w:lineRule="atLeast"/>
        <w:rPr>
          <w:rFonts w:ascii="Tahoma" w:hAnsi="Tahoma"/>
          <w:color w:val="000000" w:themeColor="text1"/>
          <w:sz w:val="16"/>
        </w:rPr>
      </w:pPr>
    </w:p>
    <w:p w14:paraId="7BAEDD8C"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 xml:space="preserve">On a consolidated basis, Ecommerce revenue grew 18% (33%) to US$3.2bn. The trading loss widened by US$209m to US$449m as we expand into adjacent growth opportunities that we believe will contribute to long-term value. These enhancements include autos transactions in Classifieds, a broader on-demand grocery delivery ecosystem in </w:t>
      </w:r>
      <w:proofErr w:type="spellStart"/>
      <w:r w:rsidRPr="00615190">
        <w:rPr>
          <w:rFonts w:ascii="Tahoma" w:hAnsi="Tahoma"/>
          <w:color w:val="000000" w:themeColor="text1"/>
          <w:sz w:val="16"/>
        </w:rPr>
        <w:t>iFood</w:t>
      </w:r>
      <w:proofErr w:type="spellEnd"/>
      <w:r w:rsidRPr="00615190">
        <w:rPr>
          <w:rFonts w:ascii="Tahoma" w:hAnsi="Tahoma"/>
          <w:color w:val="000000" w:themeColor="text1"/>
          <w:sz w:val="16"/>
        </w:rPr>
        <w:t xml:space="preserve">, credit in Payments and Fintech, and the expansion of our Edtech segment. Profitability was maintained in our core Classifieds business and </w:t>
      </w:r>
      <w:proofErr w:type="spellStart"/>
      <w:r w:rsidRPr="00615190">
        <w:rPr>
          <w:rFonts w:ascii="Tahoma" w:hAnsi="Tahoma"/>
          <w:color w:val="000000" w:themeColor="text1"/>
          <w:sz w:val="16"/>
        </w:rPr>
        <w:t>iFood’s</w:t>
      </w:r>
      <w:proofErr w:type="spellEnd"/>
      <w:r w:rsidRPr="00615190">
        <w:rPr>
          <w:rFonts w:ascii="Tahoma" w:hAnsi="Tahoma"/>
          <w:color w:val="000000" w:themeColor="text1"/>
          <w:sz w:val="16"/>
        </w:rPr>
        <w:t xml:space="preserve"> restaurant-delivery business in Brazil. Payments and Fintech’s core payment service provider (PSP) business includes a once-off merchant loss provision of US$18m related to the Brazil business. Further cost-optimisation initiatives in the Ecommerce portfolio are the focus as we drive towards profitability.</w:t>
      </w:r>
    </w:p>
    <w:p w14:paraId="7E763E24" w14:textId="77777777" w:rsidR="00D40B19" w:rsidRPr="00615190" w:rsidRDefault="00D40B19" w:rsidP="00615190">
      <w:pPr>
        <w:spacing w:line="240" w:lineRule="atLeast"/>
        <w:rPr>
          <w:rFonts w:ascii="Tahoma" w:hAnsi="Tahoma"/>
          <w:color w:val="000000" w:themeColor="text1"/>
          <w:sz w:val="16"/>
        </w:rPr>
      </w:pPr>
    </w:p>
    <w:p w14:paraId="193AD5B4"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As benefits of our investment initiatives and cost reductions take hold as the year progresses, we expect that the first six months of FY23 will represent the high-water mark for trading profit losses and these should now improve materially.</w:t>
      </w:r>
    </w:p>
    <w:p w14:paraId="01252027" w14:textId="77777777" w:rsidR="00D40B19" w:rsidRPr="00615190" w:rsidRDefault="00D40B19" w:rsidP="00615190">
      <w:pPr>
        <w:spacing w:line="240" w:lineRule="atLeast"/>
        <w:rPr>
          <w:rFonts w:ascii="Tahoma" w:hAnsi="Tahoma"/>
          <w:color w:val="000000" w:themeColor="text1"/>
          <w:sz w:val="16"/>
        </w:rPr>
      </w:pPr>
    </w:p>
    <w:p w14:paraId="084F2FC5" w14:textId="77777777" w:rsidR="00D40B19" w:rsidRPr="00F078CC" w:rsidRDefault="00D40B19" w:rsidP="00615190">
      <w:pPr>
        <w:spacing w:line="240" w:lineRule="atLeast"/>
        <w:rPr>
          <w:rFonts w:ascii="Tahoma" w:hAnsi="Tahoma"/>
          <w:b/>
          <w:bCs/>
          <w:color w:val="000000" w:themeColor="text1"/>
          <w:sz w:val="16"/>
        </w:rPr>
      </w:pPr>
      <w:r w:rsidRPr="00F078CC">
        <w:rPr>
          <w:rFonts w:ascii="Tahoma" w:hAnsi="Tahoma"/>
          <w:b/>
          <w:bCs/>
          <w:color w:val="000000" w:themeColor="text1"/>
          <w:sz w:val="16"/>
        </w:rPr>
        <w:t>Classifieds</w:t>
      </w:r>
      <w:r w:rsidRPr="00F078CC">
        <w:rPr>
          <w:rFonts w:ascii="Tahoma" w:hAnsi="Tahoma"/>
          <w:b/>
          <w:bCs/>
          <w:color w:val="000000" w:themeColor="text1"/>
          <w:sz w:val="16"/>
          <w:vertAlign w:val="superscript"/>
        </w:rPr>
        <w:t>1</w:t>
      </w:r>
    </w:p>
    <w:p w14:paraId="60E84380"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Classifieds continued its performance in the first half of the financial year. On an economic-interest basis, revenue grew 36% (60%) to US$1.3bn with a trading loss of US$159m, reflecting significant investment to scale OLX Autos. Core Classifieds, excluding Ukraine, remained profitable in the period.</w:t>
      </w:r>
    </w:p>
    <w:p w14:paraId="49726DEA" w14:textId="77777777" w:rsidR="00D40B19" w:rsidRPr="00615190" w:rsidRDefault="00D40B19" w:rsidP="00615190">
      <w:pPr>
        <w:spacing w:line="240" w:lineRule="atLeast"/>
        <w:rPr>
          <w:rFonts w:ascii="Tahoma" w:hAnsi="Tahoma"/>
          <w:color w:val="000000" w:themeColor="text1"/>
          <w:sz w:val="16"/>
        </w:rPr>
      </w:pPr>
    </w:p>
    <w:p w14:paraId="45EF7516"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The consolidated business delivered revenue of US$1.2bn for the period, a growth of 37% (64%). The trading loss was US$154m (H1 FY22: US$40m).</w:t>
      </w:r>
    </w:p>
    <w:p w14:paraId="0E6BA6FC" w14:textId="77777777" w:rsidR="00D40B19" w:rsidRPr="00615190" w:rsidRDefault="00D40B19" w:rsidP="00615190">
      <w:pPr>
        <w:spacing w:line="240" w:lineRule="atLeast"/>
        <w:rPr>
          <w:rFonts w:ascii="Tahoma" w:hAnsi="Tahoma"/>
          <w:color w:val="000000" w:themeColor="text1"/>
          <w:sz w:val="16"/>
        </w:rPr>
      </w:pPr>
    </w:p>
    <w:p w14:paraId="52F1CACB"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Overall, OLX Group has increased initiatives to improve productivity and efficiency while cutting costs. This approach is balanced with investments needed to fund growth, notably in OLX Autos. These measures will help build a sustainable long-term business with short-term margin improvements in core Classifieds.</w:t>
      </w:r>
    </w:p>
    <w:p w14:paraId="20FD9EE5" w14:textId="77777777" w:rsidR="00D40B19" w:rsidRPr="00615190" w:rsidRDefault="00D40B19" w:rsidP="00615190">
      <w:pPr>
        <w:spacing w:line="240" w:lineRule="atLeast"/>
        <w:rPr>
          <w:rFonts w:ascii="Tahoma" w:hAnsi="Tahoma"/>
          <w:color w:val="000000" w:themeColor="text1"/>
          <w:sz w:val="16"/>
        </w:rPr>
      </w:pPr>
    </w:p>
    <w:p w14:paraId="3CC5862B"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Classifieds’ resilient business model held firm in an environment of rising global inflation and interest rates. Operational metrics across our core Classifieds remained stable, with 89 million active listings, 80 million monthly active app users and 2.1 million paying listers. The business gained traction in the autos and real estate categories from professional sellers. Given the counter-cyclical nature of the goods category, improved performance was driven by high consumer demand, supported by ‘pay-and-ship’. This neutralised a slowdown in advertising revenue due to smaller marketing budgets across most industries.</w:t>
      </w:r>
    </w:p>
    <w:p w14:paraId="00B8E456" w14:textId="77777777" w:rsidR="00D40B19" w:rsidRPr="00615190" w:rsidRDefault="00D40B19" w:rsidP="00615190">
      <w:pPr>
        <w:spacing w:line="240" w:lineRule="atLeast"/>
        <w:rPr>
          <w:rFonts w:ascii="Tahoma" w:hAnsi="Tahoma"/>
          <w:color w:val="000000" w:themeColor="text1"/>
          <w:sz w:val="16"/>
        </w:rPr>
      </w:pPr>
    </w:p>
    <w:p w14:paraId="501C5A02"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Core Classifieds revenue was impacted by currency translation. While it decreased in nominal terms, the business grew consolidated revenue 13% to US$232m in local currency, excluding M&amp;A. A trading profit margin of 22% was reported versus 19% in the prior period. The business in Ukraine was severely impacted by the war, with a substantial drop in revenue. However, OLX Ukraine continued to operate to serve the local community and support our employees. Excluding Ukraine, core Classifieds revenue grew at 20% in local currency, excluding M&amp;A, yielding a healthy trading profit of US$59m, a 9% margin improvement to 27%.</w:t>
      </w:r>
    </w:p>
    <w:p w14:paraId="6AB5E35B" w14:textId="77777777" w:rsidR="00D40B19" w:rsidRDefault="00D40B19" w:rsidP="00615190">
      <w:pPr>
        <w:spacing w:line="240" w:lineRule="atLeast"/>
        <w:rPr>
          <w:rFonts w:ascii="Tahoma" w:hAnsi="Tahoma"/>
          <w:color w:val="000000" w:themeColor="text1"/>
          <w:sz w:val="16"/>
        </w:rPr>
      </w:pPr>
    </w:p>
    <w:p w14:paraId="5EDFFD30" w14:textId="77777777" w:rsidR="001B4E8B" w:rsidRDefault="001B4E8B" w:rsidP="00615190">
      <w:pPr>
        <w:spacing w:line="240" w:lineRule="atLeast"/>
        <w:rPr>
          <w:rFonts w:ascii="Tahoma" w:hAnsi="Tahoma"/>
          <w:color w:val="000000" w:themeColor="text1"/>
          <w:sz w:val="16"/>
        </w:rPr>
      </w:pPr>
    </w:p>
    <w:p w14:paraId="52010030" w14:textId="77777777" w:rsidR="00EB67AF" w:rsidRDefault="00EB67AF" w:rsidP="00EB67AF">
      <w:pPr>
        <w:pStyle w:val="FootnotesProsus2022FrontStylesProsus2022"/>
      </w:pPr>
      <w:r>
        <w:t xml:space="preserve">1 </w:t>
      </w:r>
      <w:r w:rsidRPr="00615190">
        <w:t>Classifieds’ intra-segment corporate cost-allocation methodology was updated in this period. The prior period has been restated in line with the updated methodology.</w:t>
      </w:r>
    </w:p>
    <w:p w14:paraId="0B7124E8" w14:textId="77777777" w:rsidR="00D40B19" w:rsidRPr="00615190" w:rsidRDefault="00D40B19" w:rsidP="0078621A">
      <w:pPr>
        <w:rPr>
          <w:rFonts w:ascii="Tahoma" w:hAnsi="Tahoma"/>
          <w:color w:val="000000" w:themeColor="text1"/>
          <w:sz w:val="16"/>
        </w:rPr>
      </w:pPr>
      <w:r w:rsidRPr="00615190">
        <w:rPr>
          <w:rFonts w:ascii="Tahoma" w:hAnsi="Tahoma"/>
          <w:color w:val="000000" w:themeColor="text1"/>
          <w:sz w:val="16"/>
        </w:rPr>
        <w:lastRenderedPageBreak/>
        <w:t>OLX Europe generated 12 million successful transactions in the first half of the year, up 65% year on year. This translated to revenues of US$210m, up 14% in local currency, excluding M&amp;A. The business recorded progress in its pay-and-ship services across Poland, Ukraine and Romania. For example, Poland increased monetisation initiatives in pay-and-ship services through increased freight charges and higher take-rate commissions, and still had an average of 2 million monthly deliveries, similar to H2 FY22 when limited monetisation was in place. This boosted our horizontal platforms in Europe, offsetting a decline in advertising revenue amid a softer economic environment. Autos and real estate verticals delivered revenue growth of 19% and 29% respectively, benefiting from longer listing durations and higher average revenue per user due to slowing consumer demand in these categories.</w:t>
      </w:r>
    </w:p>
    <w:p w14:paraId="0EA1883D" w14:textId="77777777" w:rsidR="00D40B19" w:rsidRPr="00615190" w:rsidRDefault="00D40B19" w:rsidP="00615190">
      <w:pPr>
        <w:spacing w:line="240" w:lineRule="atLeast"/>
        <w:rPr>
          <w:rFonts w:ascii="Tahoma" w:hAnsi="Tahoma"/>
          <w:color w:val="000000" w:themeColor="text1"/>
          <w:sz w:val="16"/>
        </w:rPr>
      </w:pPr>
    </w:p>
    <w:p w14:paraId="65F4493A"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OLX Ukraine saw a steep rebound in both demand (monthly active app users are 90% of pre-conflict levels) and supply (active listings are 70% of pre-conflict levels). Despite the recovery in platform traffic, monetisation remains low as we continue to support customers through discounted pricing. The business recorded revenues of US$15m and a trading loss of US$7m, compared with revenue of US$30m and a trading profit of US$9m in the corresponding prior period.</w:t>
      </w:r>
    </w:p>
    <w:p w14:paraId="67AA1155" w14:textId="77777777" w:rsidR="00D40B19" w:rsidRPr="00615190" w:rsidRDefault="00D40B19" w:rsidP="00615190">
      <w:pPr>
        <w:spacing w:line="240" w:lineRule="atLeast"/>
        <w:rPr>
          <w:rFonts w:ascii="Tahoma" w:hAnsi="Tahoma"/>
          <w:color w:val="000000" w:themeColor="text1"/>
          <w:sz w:val="16"/>
        </w:rPr>
      </w:pPr>
    </w:p>
    <w:p w14:paraId="0267CCDD"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 xml:space="preserve">OLX Brazil, a 50% joint venture with </w:t>
      </w:r>
      <w:proofErr w:type="spellStart"/>
      <w:r w:rsidRPr="00615190">
        <w:rPr>
          <w:rFonts w:ascii="Tahoma" w:hAnsi="Tahoma"/>
          <w:color w:val="000000" w:themeColor="text1"/>
          <w:sz w:val="16"/>
        </w:rPr>
        <w:t>Adevinta</w:t>
      </w:r>
      <w:proofErr w:type="spellEnd"/>
      <w:r w:rsidRPr="00615190">
        <w:rPr>
          <w:rFonts w:ascii="Tahoma" w:hAnsi="Tahoma"/>
          <w:color w:val="000000" w:themeColor="text1"/>
          <w:sz w:val="16"/>
        </w:rPr>
        <w:t>, contributed revenue of US$43m (BRL221m) on an economic-interest basis, representing growth of 16% (14%), while it navigated rising interest rates which triggered a slight slowdown in demand for real estate and impacted advertising revenue. This was offset by growth in autos transactional revenue. Trading profit margin reduced to 12% from 22% as the business invested to enhance tech talent and its brand.</w:t>
      </w:r>
    </w:p>
    <w:p w14:paraId="632AEBBC" w14:textId="77777777" w:rsidR="00D40B19" w:rsidRPr="00615190" w:rsidRDefault="00D40B19" w:rsidP="00615190">
      <w:pPr>
        <w:spacing w:line="240" w:lineRule="atLeast"/>
        <w:rPr>
          <w:rFonts w:ascii="Tahoma" w:hAnsi="Tahoma"/>
          <w:color w:val="000000" w:themeColor="text1"/>
          <w:sz w:val="16"/>
        </w:rPr>
      </w:pPr>
    </w:p>
    <w:p w14:paraId="00A28703"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OLX Autos reported revenue of US$1bn, representing 60% (84%) growth as demand and prices for used cars remain high amid supply shortages for new cars across various markets. Trading losses increased to US$206m, driven by strategic investment to build a retail infrastructure (business-to-consumer or B2C), scale consumer financing, position the brand in key markets and build a scalable technology-enabled platform.</w:t>
      </w:r>
    </w:p>
    <w:p w14:paraId="76221DEE" w14:textId="77777777" w:rsidR="00CA3F6E" w:rsidRPr="00615190" w:rsidRDefault="00CA3F6E" w:rsidP="00615190">
      <w:pPr>
        <w:spacing w:line="240" w:lineRule="atLeast"/>
        <w:rPr>
          <w:rFonts w:ascii="Tahoma" w:hAnsi="Tahoma"/>
          <w:color w:val="000000" w:themeColor="text1"/>
          <w:sz w:val="16"/>
        </w:rPr>
      </w:pPr>
    </w:p>
    <w:p w14:paraId="15E33B3C"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OLX Autos supported 18 900 average monthly transactions which translated to around 114 000 cars sold, up 60%. Volumes increased across key markets, notably India, Indonesia, Mexico, Turkey and the US. The average selling price reduced to around US$8 700 per car as prices normalised after the elevated prices achieved during Covid-19. Gross profit per unit declined 36% to US$638, driven by volume growth in India and Indonesia, where industry margins are single digits compared with double digits in the US. The business disbursed 6 500 loans during the period (H1 FY22: 4 500) across Chile, Mexico and Colombia and had an outstanding loan book of US$115m at the end of the period. The uncertain economic environment meant tighter credit assessments were conducted.</w:t>
      </w:r>
    </w:p>
    <w:p w14:paraId="496430E8" w14:textId="77777777" w:rsidR="00D40B19" w:rsidRPr="00615190" w:rsidRDefault="00D40B19" w:rsidP="00615190">
      <w:pPr>
        <w:spacing w:line="240" w:lineRule="atLeast"/>
        <w:rPr>
          <w:rFonts w:ascii="Tahoma" w:hAnsi="Tahoma"/>
          <w:color w:val="000000" w:themeColor="text1"/>
          <w:sz w:val="16"/>
        </w:rPr>
      </w:pPr>
    </w:p>
    <w:p w14:paraId="23B51265" w14:textId="77777777" w:rsidR="00D40B19" w:rsidRPr="00E24F95" w:rsidRDefault="00D40B19" w:rsidP="00615190">
      <w:pPr>
        <w:spacing w:line="240" w:lineRule="atLeast"/>
        <w:rPr>
          <w:rFonts w:ascii="Tahoma" w:hAnsi="Tahoma"/>
          <w:b/>
          <w:bCs/>
          <w:color w:val="000000" w:themeColor="text1"/>
          <w:sz w:val="16"/>
        </w:rPr>
      </w:pPr>
      <w:r w:rsidRPr="00E24F95">
        <w:rPr>
          <w:rFonts w:ascii="Tahoma" w:hAnsi="Tahoma"/>
          <w:b/>
          <w:bCs/>
          <w:color w:val="000000" w:themeColor="text1"/>
          <w:sz w:val="16"/>
        </w:rPr>
        <w:t>Food Delivery</w:t>
      </w:r>
    </w:p>
    <w:p w14:paraId="748F658F"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The Food Delivery segment’s growth was robust. Focus was on improved profitability in the core restaurant food delivery businesses as well as controlled investment in growth extensions such as quick commerce and grocery initiatives. On an economic-interest basis, total gross merchandise value (GMV) grew 14% (26%) while revenue increased 52% (52%) to US$1.9bn. The investment in ecosystem-enhancing adjacencies contributed to a US$69m increase in trading losses to US$381m.</w:t>
      </w:r>
    </w:p>
    <w:p w14:paraId="3C3819FB" w14:textId="77777777" w:rsidR="00D40B19" w:rsidRPr="00615190" w:rsidRDefault="00D40B19" w:rsidP="00615190">
      <w:pPr>
        <w:spacing w:line="240" w:lineRule="atLeast"/>
        <w:rPr>
          <w:rFonts w:ascii="Tahoma" w:hAnsi="Tahoma"/>
          <w:color w:val="000000" w:themeColor="text1"/>
          <w:sz w:val="16"/>
        </w:rPr>
      </w:pPr>
    </w:p>
    <w:p w14:paraId="4F4995EA" w14:textId="77777777" w:rsidR="00D40B19" w:rsidRPr="00615190" w:rsidRDefault="00D40B19" w:rsidP="00615190">
      <w:pPr>
        <w:spacing w:line="240" w:lineRule="atLeast"/>
        <w:rPr>
          <w:rFonts w:ascii="Tahoma" w:hAnsi="Tahoma"/>
          <w:color w:val="000000" w:themeColor="text1"/>
          <w:sz w:val="16"/>
        </w:rPr>
      </w:pPr>
      <w:proofErr w:type="spellStart"/>
      <w:r w:rsidRPr="00615190">
        <w:rPr>
          <w:rFonts w:ascii="Tahoma" w:hAnsi="Tahoma"/>
          <w:color w:val="000000" w:themeColor="text1"/>
          <w:sz w:val="16"/>
        </w:rPr>
        <w:t>iFood</w:t>
      </w:r>
      <w:proofErr w:type="spellEnd"/>
      <w:r w:rsidRPr="00615190">
        <w:rPr>
          <w:rFonts w:ascii="Tahoma" w:hAnsi="Tahoma"/>
          <w:color w:val="000000" w:themeColor="text1"/>
          <w:sz w:val="16"/>
        </w:rPr>
        <w:t xml:space="preserve"> represents our consolidated food delivery business, and we have several associates, most notably Delivery Hero and </w:t>
      </w:r>
      <w:proofErr w:type="spellStart"/>
      <w:r w:rsidRPr="00615190">
        <w:rPr>
          <w:rFonts w:ascii="Tahoma" w:hAnsi="Tahoma"/>
          <w:color w:val="000000" w:themeColor="text1"/>
          <w:sz w:val="16"/>
        </w:rPr>
        <w:t>Swiggy</w:t>
      </w:r>
      <w:proofErr w:type="spellEnd"/>
      <w:r w:rsidRPr="00615190">
        <w:rPr>
          <w:rFonts w:ascii="Tahoma" w:hAnsi="Tahoma"/>
          <w:color w:val="000000" w:themeColor="text1"/>
          <w:sz w:val="16"/>
        </w:rPr>
        <w:t>.</w:t>
      </w:r>
    </w:p>
    <w:p w14:paraId="550902C8" w14:textId="77777777" w:rsidR="00D40B19" w:rsidRPr="00615190" w:rsidRDefault="00D40B19" w:rsidP="00615190">
      <w:pPr>
        <w:spacing w:line="240" w:lineRule="atLeast"/>
        <w:rPr>
          <w:rFonts w:ascii="Tahoma" w:hAnsi="Tahoma"/>
          <w:color w:val="000000" w:themeColor="text1"/>
          <w:sz w:val="16"/>
        </w:rPr>
      </w:pPr>
    </w:p>
    <w:p w14:paraId="55BC8527" w14:textId="77777777" w:rsidR="00D40B19" w:rsidRPr="00CB1E83" w:rsidRDefault="00D40B19" w:rsidP="00615190">
      <w:pPr>
        <w:spacing w:line="240" w:lineRule="atLeast"/>
        <w:rPr>
          <w:rFonts w:ascii="Tahoma" w:hAnsi="Tahoma"/>
          <w:b/>
          <w:bCs/>
          <w:color w:val="7F7F7F" w:themeColor="text1" w:themeTint="80"/>
          <w:sz w:val="16"/>
        </w:rPr>
      </w:pPr>
      <w:proofErr w:type="spellStart"/>
      <w:r w:rsidRPr="00CB1E83">
        <w:rPr>
          <w:rFonts w:ascii="Tahoma" w:hAnsi="Tahoma"/>
          <w:b/>
          <w:bCs/>
          <w:color w:val="7F7F7F" w:themeColor="text1" w:themeTint="80"/>
          <w:sz w:val="16"/>
        </w:rPr>
        <w:t>iFood</w:t>
      </w:r>
      <w:proofErr w:type="spellEnd"/>
    </w:p>
    <w:p w14:paraId="3C4D027C"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 xml:space="preserve">Overall, </w:t>
      </w:r>
      <w:proofErr w:type="spellStart"/>
      <w:r w:rsidRPr="00615190">
        <w:rPr>
          <w:rFonts w:ascii="Tahoma" w:hAnsi="Tahoma"/>
          <w:color w:val="000000" w:themeColor="text1"/>
          <w:sz w:val="16"/>
        </w:rPr>
        <w:t>iFood</w:t>
      </w:r>
      <w:proofErr w:type="spellEnd"/>
      <w:r w:rsidRPr="00615190">
        <w:rPr>
          <w:rFonts w:ascii="Tahoma" w:hAnsi="Tahoma"/>
          <w:color w:val="000000" w:themeColor="text1"/>
          <w:sz w:val="16"/>
        </w:rPr>
        <w:t xml:space="preserve"> continues to scale and grow, and is on a path to profitable growth. </w:t>
      </w:r>
      <w:proofErr w:type="spellStart"/>
      <w:r w:rsidRPr="00615190">
        <w:rPr>
          <w:rFonts w:ascii="Tahoma" w:hAnsi="Tahoma"/>
          <w:color w:val="000000" w:themeColor="text1"/>
          <w:sz w:val="16"/>
        </w:rPr>
        <w:t>iFood</w:t>
      </w:r>
      <w:proofErr w:type="spellEnd"/>
      <w:r w:rsidRPr="00615190">
        <w:rPr>
          <w:rFonts w:ascii="Tahoma" w:hAnsi="Tahoma"/>
          <w:color w:val="000000" w:themeColor="text1"/>
          <w:sz w:val="16"/>
        </w:rPr>
        <w:t xml:space="preserve"> is optimising its businesses by managing costs of the core restaurant business as well as expansion initiatives.</w:t>
      </w:r>
    </w:p>
    <w:p w14:paraId="7165164D" w14:textId="77777777" w:rsidR="00D40B19" w:rsidRPr="00615190" w:rsidRDefault="00D40B19" w:rsidP="00615190">
      <w:pPr>
        <w:spacing w:line="240" w:lineRule="atLeast"/>
        <w:rPr>
          <w:rFonts w:ascii="Tahoma" w:hAnsi="Tahoma"/>
          <w:color w:val="000000" w:themeColor="text1"/>
          <w:sz w:val="16"/>
        </w:rPr>
      </w:pPr>
    </w:p>
    <w:p w14:paraId="4E157E35" w14:textId="77777777" w:rsidR="00D40B19" w:rsidRPr="00615190" w:rsidRDefault="00D40B19" w:rsidP="00615190">
      <w:pPr>
        <w:spacing w:line="240" w:lineRule="atLeast"/>
        <w:rPr>
          <w:rFonts w:ascii="Tahoma" w:hAnsi="Tahoma"/>
          <w:color w:val="000000" w:themeColor="text1"/>
          <w:sz w:val="16"/>
        </w:rPr>
      </w:pPr>
      <w:proofErr w:type="spellStart"/>
      <w:r w:rsidRPr="00615190">
        <w:rPr>
          <w:rFonts w:ascii="Tahoma" w:hAnsi="Tahoma"/>
          <w:color w:val="000000" w:themeColor="text1"/>
          <w:sz w:val="16"/>
        </w:rPr>
        <w:t>iFood</w:t>
      </w:r>
      <w:proofErr w:type="spellEnd"/>
      <w:r w:rsidRPr="00615190">
        <w:rPr>
          <w:rFonts w:ascii="Tahoma" w:hAnsi="Tahoma"/>
          <w:color w:val="000000" w:themeColor="text1"/>
          <w:sz w:val="16"/>
        </w:rPr>
        <w:t xml:space="preserve"> delivered an outstanding performance with revenues growing 43% (39%) to BRL3.4bn (US$663m), driven mostly by an increase in monthly unique buyers, larger order sizes in the core food delivery business and the growth of the quick commerce delivery business. In Brazil, orders increased 14% (10%) to more than 400 million and GMV grew 29% (22%) to BRL23bn (US$4.5bn). </w:t>
      </w:r>
      <w:proofErr w:type="spellStart"/>
      <w:r w:rsidRPr="00615190">
        <w:rPr>
          <w:rFonts w:ascii="Tahoma" w:hAnsi="Tahoma"/>
          <w:color w:val="000000" w:themeColor="text1"/>
          <w:sz w:val="16"/>
        </w:rPr>
        <w:t>iFood</w:t>
      </w:r>
      <w:proofErr w:type="spellEnd"/>
      <w:r w:rsidRPr="00615190">
        <w:rPr>
          <w:rFonts w:ascii="Tahoma" w:hAnsi="Tahoma"/>
          <w:color w:val="000000" w:themeColor="text1"/>
          <w:sz w:val="16"/>
        </w:rPr>
        <w:t xml:space="preserve"> reported an improved trading loss of US$59m (H1 FY22: US$100m) as strong profit growth in the core restaurant food delivery business was offset by investment in the quick commerce delivery business and fintech initiatives. Overall, </w:t>
      </w:r>
      <w:proofErr w:type="spellStart"/>
      <w:r w:rsidRPr="00615190">
        <w:rPr>
          <w:rFonts w:ascii="Tahoma" w:hAnsi="Tahoma"/>
          <w:color w:val="000000" w:themeColor="text1"/>
          <w:sz w:val="16"/>
        </w:rPr>
        <w:t>iFood’s</w:t>
      </w:r>
      <w:proofErr w:type="spellEnd"/>
      <w:r w:rsidRPr="00615190">
        <w:rPr>
          <w:rFonts w:ascii="Tahoma" w:hAnsi="Tahoma"/>
          <w:color w:val="000000" w:themeColor="text1"/>
          <w:sz w:val="16"/>
        </w:rPr>
        <w:t xml:space="preserve"> trading loss margin improved by 13 percentage points in the period.</w:t>
      </w:r>
    </w:p>
    <w:p w14:paraId="2997A95F" w14:textId="77777777" w:rsidR="00D40B19" w:rsidRPr="00615190" w:rsidRDefault="00D40B19" w:rsidP="00615190">
      <w:pPr>
        <w:spacing w:line="240" w:lineRule="atLeast"/>
        <w:rPr>
          <w:rFonts w:ascii="Tahoma" w:hAnsi="Tahoma"/>
          <w:color w:val="000000" w:themeColor="text1"/>
          <w:sz w:val="16"/>
        </w:rPr>
      </w:pPr>
    </w:p>
    <w:p w14:paraId="3A496D7D"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 xml:space="preserve">In the core restaurant food delivery business in Brazil, </w:t>
      </w:r>
      <w:proofErr w:type="spellStart"/>
      <w:r w:rsidRPr="00615190">
        <w:rPr>
          <w:rFonts w:ascii="Tahoma" w:hAnsi="Tahoma"/>
          <w:color w:val="000000" w:themeColor="text1"/>
          <w:sz w:val="16"/>
        </w:rPr>
        <w:t>iFood</w:t>
      </w:r>
      <w:proofErr w:type="spellEnd"/>
      <w:r w:rsidRPr="00615190">
        <w:rPr>
          <w:rFonts w:ascii="Tahoma" w:hAnsi="Tahoma"/>
          <w:color w:val="000000" w:themeColor="text1"/>
          <w:sz w:val="16"/>
        </w:rPr>
        <w:t xml:space="preserve"> delivered trading profit of US$45m and a trading margin of 7%, an improvement of 8 percentage points from the prior period. This reflects reduced marketing investment, larger average basket sizes and the benefits of the introduction of new revenue streams. Orders grew 7% (2%), while GMV and revenue were up 21% (13%) and 32% (29%) respectively.</w:t>
      </w:r>
    </w:p>
    <w:p w14:paraId="2DFA354B" w14:textId="77777777" w:rsidR="00D40B19" w:rsidRPr="00615190" w:rsidRDefault="00D40B19" w:rsidP="00615190">
      <w:pPr>
        <w:spacing w:line="240" w:lineRule="atLeast"/>
        <w:rPr>
          <w:rFonts w:ascii="Tahoma" w:hAnsi="Tahoma"/>
          <w:color w:val="000000" w:themeColor="text1"/>
          <w:sz w:val="16"/>
        </w:rPr>
      </w:pPr>
    </w:p>
    <w:p w14:paraId="72DB52C3" w14:textId="77777777" w:rsidR="00D40B19" w:rsidRPr="00615190" w:rsidRDefault="00D40B19" w:rsidP="00615190">
      <w:pPr>
        <w:spacing w:line="240" w:lineRule="atLeast"/>
        <w:rPr>
          <w:rFonts w:ascii="Tahoma" w:hAnsi="Tahoma"/>
          <w:color w:val="000000" w:themeColor="text1"/>
          <w:sz w:val="16"/>
        </w:rPr>
      </w:pPr>
      <w:proofErr w:type="spellStart"/>
      <w:r w:rsidRPr="00615190">
        <w:rPr>
          <w:rFonts w:ascii="Tahoma" w:hAnsi="Tahoma"/>
          <w:color w:val="000000" w:themeColor="text1"/>
          <w:sz w:val="16"/>
        </w:rPr>
        <w:t>iFood</w:t>
      </w:r>
      <w:proofErr w:type="spellEnd"/>
      <w:r w:rsidRPr="00615190">
        <w:rPr>
          <w:rFonts w:ascii="Tahoma" w:hAnsi="Tahoma"/>
          <w:color w:val="000000" w:themeColor="text1"/>
          <w:sz w:val="16"/>
        </w:rPr>
        <w:t xml:space="preserve"> operates a hybrid model of grocery marketplace and quick commerce delivery. The marketplace offering operates through partnerships with grocery retailers while we are also investing in the dark-store model. </w:t>
      </w:r>
      <w:proofErr w:type="spellStart"/>
      <w:r w:rsidRPr="00615190">
        <w:rPr>
          <w:rFonts w:ascii="Tahoma" w:hAnsi="Tahoma"/>
          <w:color w:val="000000" w:themeColor="text1"/>
          <w:sz w:val="16"/>
        </w:rPr>
        <w:t>iFood’s</w:t>
      </w:r>
      <w:proofErr w:type="spellEnd"/>
      <w:r w:rsidRPr="00615190">
        <w:rPr>
          <w:rFonts w:ascii="Tahoma" w:hAnsi="Tahoma"/>
          <w:color w:val="000000" w:themeColor="text1"/>
          <w:sz w:val="16"/>
        </w:rPr>
        <w:t xml:space="preserve"> new initiatives grew orders 152% and GMV 106% (102%) to more than 46 million and BRL3.7bn (US$715m) respectively. Revenues grew by US$51m or 850% (833%) to account for 9% of total </w:t>
      </w:r>
      <w:proofErr w:type="spellStart"/>
      <w:r w:rsidRPr="00615190">
        <w:rPr>
          <w:rFonts w:ascii="Tahoma" w:hAnsi="Tahoma"/>
          <w:color w:val="000000" w:themeColor="text1"/>
          <w:sz w:val="16"/>
        </w:rPr>
        <w:t>iFood</w:t>
      </w:r>
      <w:proofErr w:type="spellEnd"/>
      <w:r w:rsidRPr="00615190">
        <w:rPr>
          <w:rFonts w:ascii="Tahoma" w:hAnsi="Tahoma"/>
          <w:color w:val="000000" w:themeColor="text1"/>
          <w:sz w:val="16"/>
        </w:rPr>
        <w:t xml:space="preserve"> revenues. In quick commerce, </w:t>
      </w:r>
      <w:proofErr w:type="spellStart"/>
      <w:r w:rsidRPr="00615190">
        <w:rPr>
          <w:rFonts w:ascii="Tahoma" w:hAnsi="Tahoma"/>
          <w:color w:val="000000" w:themeColor="text1"/>
          <w:sz w:val="16"/>
        </w:rPr>
        <w:t>iFood</w:t>
      </w:r>
      <w:proofErr w:type="spellEnd"/>
      <w:r w:rsidRPr="00615190">
        <w:rPr>
          <w:rFonts w:ascii="Tahoma" w:hAnsi="Tahoma"/>
          <w:color w:val="000000" w:themeColor="text1"/>
          <w:sz w:val="16"/>
        </w:rPr>
        <w:t xml:space="preserve"> increased coverage to 55 cities and delivered around 1.9 million orders during the period through dark-store express deliveries while the meal-voucher business increased its user base 10 times compared with the prior period. </w:t>
      </w:r>
      <w:proofErr w:type="spellStart"/>
      <w:r w:rsidRPr="00615190">
        <w:rPr>
          <w:rFonts w:ascii="Tahoma" w:hAnsi="Tahoma"/>
          <w:color w:val="000000" w:themeColor="text1"/>
          <w:sz w:val="16"/>
        </w:rPr>
        <w:t>iFood</w:t>
      </w:r>
      <w:proofErr w:type="spellEnd"/>
      <w:r w:rsidRPr="00615190">
        <w:rPr>
          <w:rFonts w:ascii="Tahoma" w:hAnsi="Tahoma"/>
          <w:color w:val="000000" w:themeColor="text1"/>
          <w:sz w:val="16"/>
        </w:rPr>
        <w:t xml:space="preserve"> will cease operations in Colombia at the end of November 2022.</w:t>
      </w:r>
    </w:p>
    <w:p w14:paraId="6302FED8" w14:textId="77777777" w:rsidR="00D40B19" w:rsidRPr="00615190" w:rsidRDefault="00D40B19" w:rsidP="00615190">
      <w:pPr>
        <w:spacing w:line="240" w:lineRule="atLeast"/>
        <w:rPr>
          <w:rFonts w:ascii="Tahoma" w:hAnsi="Tahoma"/>
          <w:color w:val="000000" w:themeColor="text1"/>
          <w:sz w:val="16"/>
        </w:rPr>
      </w:pPr>
    </w:p>
    <w:p w14:paraId="04F795FD" w14:textId="77777777" w:rsidR="000D4D00" w:rsidRDefault="000D4D00">
      <w:pPr>
        <w:rPr>
          <w:rFonts w:ascii="Tahoma" w:hAnsi="Tahoma"/>
          <w:color w:val="000000" w:themeColor="text1"/>
          <w:sz w:val="16"/>
        </w:rPr>
      </w:pPr>
      <w:r>
        <w:rPr>
          <w:rFonts w:ascii="Tahoma" w:hAnsi="Tahoma"/>
          <w:color w:val="000000" w:themeColor="text1"/>
          <w:sz w:val="16"/>
        </w:rPr>
        <w:br w:type="page"/>
      </w:r>
    </w:p>
    <w:p w14:paraId="2941C581" w14:textId="77777777" w:rsidR="00D40B19" w:rsidRPr="00156C1D" w:rsidRDefault="00D40B19" w:rsidP="00615190">
      <w:pPr>
        <w:spacing w:line="240" w:lineRule="atLeast"/>
        <w:rPr>
          <w:rFonts w:ascii="Tahoma" w:hAnsi="Tahoma"/>
          <w:b/>
          <w:bCs/>
          <w:color w:val="7F7F7F" w:themeColor="text1" w:themeTint="80"/>
          <w:sz w:val="16"/>
        </w:rPr>
      </w:pPr>
      <w:r w:rsidRPr="00156C1D">
        <w:rPr>
          <w:rFonts w:ascii="Tahoma" w:hAnsi="Tahoma"/>
          <w:b/>
          <w:bCs/>
          <w:color w:val="7F7F7F" w:themeColor="text1" w:themeTint="80"/>
          <w:sz w:val="16"/>
        </w:rPr>
        <w:lastRenderedPageBreak/>
        <w:t>Delivery Hero</w:t>
      </w:r>
    </w:p>
    <w:p w14:paraId="5B42C159"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The group’s share of Delivery Hero’s revenues and trading losses was US$1bn and US$152m respectively for the period.</w:t>
      </w:r>
    </w:p>
    <w:p w14:paraId="2B006B38" w14:textId="77777777" w:rsidR="00D40B19" w:rsidRPr="00615190" w:rsidRDefault="00D40B19" w:rsidP="00615190">
      <w:pPr>
        <w:spacing w:line="240" w:lineRule="atLeast"/>
        <w:rPr>
          <w:rFonts w:ascii="Tahoma" w:hAnsi="Tahoma"/>
          <w:color w:val="000000" w:themeColor="text1"/>
          <w:sz w:val="16"/>
        </w:rPr>
      </w:pPr>
    </w:p>
    <w:p w14:paraId="4A1E0ECC"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Delivery Hero is focused on profitability while delivering considerable growth in the period, driven by the core platform business and integrated verticals. For the six months ended 30 June 2022, Delivery Hero reported GMV growth of 50% to total GMV of €20bn and an improved adjusted EBITDA margin (as percentage of GMV) of -1.6% (prior period: -2.6%).</w:t>
      </w:r>
    </w:p>
    <w:p w14:paraId="7E2A7E93" w14:textId="77777777" w:rsidR="00D40B19" w:rsidRPr="00615190" w:rsidRDefault="00D40B19" w:rsidP="00615190">
      <w:pPr>
        <w:spacing w:line="240" w:lineRule="atLeast"/>
        <w:rPr>
          <w:rFonts w:ascii="Tahoma" w:hAnsi="Tahoma"/>
          <w:color w:val="000000" w:themeColor="text1"/>
          <w:sz w:val="16"/>
        </w:rPr>
      </w:pPr>
    </w:p>
    <w:p w14:paraId="3F46BEC5"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In July 2022, Delivery Hero completed the acquisition of 94.5% of Glovoapp23 S.A. (</w:t>
      </w:r>
      <w:proofErr w:type="spellStart"/>
      <w:r w:rsidRPr="00615190">
        <w:rPr>
          <w:rFonts w:ascii="Tahoma" w:hAnsi="Tahoma"/>
          <w:color w:val="000000" w:themeColor="text1"/>
          <w:sz w:val="16"/>
        </w:rPr>
        <w:t>Glovo</w:t>
      </w:r>
      <w:proofErr w:type="spellEnd"/>
      <w:r w:rsidRPr="00615190">
        <w:rPr>
          <w:rFonts w:ascii="Tahoma" w:hAnsi="Tahoma"/>
          <w:color w:val="000000" w:themeColor="text1"/>
          <w:sz w:val="16"/>
        </w:rPr>
        <w:t>), a multi-category delivery app operating in 25 countries across Europe, Central Asia and Africa. The business also successfully refinanced its debt financing.</w:t>
      </w:r>
    </w:p>
    <w:p w14:paraId="18115EAA" w14:textId="77777777" w:rsidR="00D40B19" w:rsidRPr="00615190" w:rsidRDefault="00D40B19" w:rsidP="00615190">
      <w:pPr>
        <w:spacing w:line="240" w:lineRule="atLeast"/>
        <w:rPr>
          <w:rFonts w:ascii="Tahoma" w:hAnsi="Tahoma"/>
          <w:color w:val="000000" w:themeColor="text1"/>
          <w:sz w:val="16"/>
        </w:rPr>
      </w:pPr>
    </w:p>
    <w:p w14:paraId="6D696417"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More information on Delivery Hero is available at https://ir.deliveryhero.com.</w:t>
      </w:r>
    </w:p>
    <w:p w14:paraId="7F31B95E" w14:textId="77777777" w:rsidR="00D40B19" w:rsidRPr="00615190" w:rsidRDefault="00D40B19" w:rsidP="00615190">
      <w:pPr>
        <w:spacing w:line="240" w:lineRule="atLeast"/>
        <w:rPr>
          <w:rFonts w:ascii="Tahoma" w:hAnsi="Tahoma"/>
          <w:color w:val="000000" w:themeColor="text1"/>
          <w:sz w:val="16"/>
        </w:rPr>
      </w:pPr>
    </w:p>
    <w:p w14:paraId="31A14475" w14:textId="77777777" w:rsidR="00D40B19" w:rsidRPr="00C202AA" w:rsidRDefault="00D40B19" w:rsidP="00615190">
      <w:pPr>
        <w:spacing w:line="240" w:lineRule="atLeast"/>
        <w:rPr>
          <w:rFonts w:ascii="Tahoma" w:hAnsi="Tahoma"/>
          <w:b/>
          <w:bCs/>
          <w:color w:val="7F7F7F" w:themeColor="text1" w:themeTint="80"/>
          <w:sz w:val="16"/>
        </w:rPr>
      </w:pPr>
      <w:proofErr w:type="spellStart"/>
      <w:r w:rsidRPr="00C202AA">
        <w:rPr>
          <w:rFonts w:ascii="Tahoma" w:hAnsi="Tahoma"/>
          <w:b/>
          <w:bCs/>
          <w:color w:val="7F7F7F" w:themeColor="text1" w:themeTint="80"/>
          <w:sz w:val="16"/>
        </w:rPr>
        <w:t>Swiggy</w:t>
      </w:r>
      <w:proofErr w:type="spellEnd"/>
    </w:p>
    <w:p w14:paraId="12CC1958" w14:textId="77777777" w:rsidR="00D40B19" w:rsidRPr="00615190" w:rsidRDefault="00D40B19" w:rsidP="00615190">
      <w:pPr>
        <w:spacing w:line="240" w:lineRule="atLeast"/>
        <w:rPr>
          <w:rFonts w:ascii="Tahoma" w:hAnsi="Tahoma"/>
          <w:color w:val="000000" w:themeColor="text1"/>
          <w:sz w:val="16"/>
        </w:rPr>
      </w:pPr>
      <w:proofErr w:type="spellStart"/>
      <w:r w:rsidRPr="00615190">
        <w:rPr>
          <w:rFonts w:ascii="Tahoma" w:hAnsi="Tahoma"/>
          <w:color w:val="000000" w:themeColor="text1"/>
          <w:sz w:val="16"/>
        </w:rPr>
        <w:t>Swiggy’s</w:t>
      </w:r>
      <w:proofErr w:type="spellEnd"/>
      <w:r w:rsidRPr="00615190">
        <w:rPr>
          <w:rFonts w:ascii="Tahoma" w:hAnsi="Tahoma"/>
          <w:color w:val="000000" w:themeColor="text1"/>
          <w:sz w:val="16"/>
        </w:rPr>
        <w:t xml:space="preserve"> core restaurant food delivery business delivered order growth and GMV</w:t>
      </w:r>
      <w:r w:rsidRPr="002F078E">
        <w:rPr>
          <w:rFonts w:ascii="Tahoma" w:hAnsi="Tahoma"/>
          <w:color w:val="000000" w:themeColor="text1"/>
          <w:sz w:val="16"/>
          <w:vertAlign w:val="superscript"/>
        </w:rPr>
        <w:t>1</w:t>
      </w:r>
      <w:r w:rsidRPr="00615190">
        <w:rPr>
          <w:rFonts w:ascii="Tahoma" w:hAnsi="Tahoma"/>
          <w:color w:val="000000" w:themeColor="text1"/>
          <w:sz w:val="16"/>
        </w:rPr>
        <w:t xml:space="preserve"> growth of 38% and 40% respectively for the first six months of the year. Total quick commerce</w:t>
      </w:r>
      <w:r w:rsidRPr="002F078E">
        <w:rPr>
          <w:rFonts w:ascii="Tahoma" w:hAnsi="Tahoma"/>
          <w:color w:val="000000" w:themeColor="text1"/>
          <w:sz w:val="16"/>
          <w:vertAlign w:val="superscript"/>
        </w:rPr>
        <w:t>2</w:t>
      </w:r>
      <w:r w:rsidRPr="00615190">
        <w:rPr>
          <w:rFonts w:ascii="Tahoma" w:hAnsi="Tahoma"/>
          <w:color w:val="000000" w:themeColor="text1"/>
          <w:sz w:val="16"/>
        </w:rPr>
        <w:t xml:space="preserve"> and GMV grew 20 times and 15 times respectively during the first six months of the year</w:t>
      </w:r>
      <w:r w:rsidRPr="002F078E">
        <w:rPr>
          <w:rFonts w:ascii="Tahoma" w:hAnsi="Tahoma"/>
          <w:color w:val="000000" w:themeColor="text1"/>
          <w:sz w:val="16"/>
          <w:vertAlign w:val="superscript"/>
        </w:rPr>
        <w:t>3</w:t>
      </w:r>
      <w:r w:rsidRPr="00615190">
        <w:rPr>
          <w:rFonts w:ascii="Tahoma" w:hAnsi="Tahoma"/>
          <w:color w:val="000000" w:themeColor="text1"/>
          <w:sz w:val="16"/>
        </w:rPr>
        <w:t xml:space="preserve">. Restaurant food delivery GMV was US$1.3bn, while quick commerce GMV was US$257m for the first six months of the year. Our share of </w:t>
      </w:r>
      <w:proofErr w:type="spellStart"/>
      <w:r w:rsidRPr="00615190">
        <w:rPr>
          <w:rFonts w:ascii="Tahoma" w:hAnsi="Tahoma"/>
          <w:color w:val="000000" w:themeColor="text1"/>
          <w:sz w:val="16"/>
        </w:rPr>
        <w:t>Swiggy’s</w:t>
      </w:r>
      <w:proofErr w:type="spellEnd"/>
      <w:r w:rsidRPr="00615190">
        <w:rPr>
          <w:rFonts w:ascii="Tahoma" w:hAnsi="Tahoma"/>
          <w:color w:val="000000" w:themeColor="text1"/>
          <w:sz w:val="16"/>
        </w:rPr>
        <w:t xml:space="preserve"> revenue grew faster at 72% (118%) to US$150m, reflecting higher average order values and increased revenue from delivery fees and advertising sales.</w:t>
      </w:r>
    </w:p>
    <w:p w14:paraId="3AF4FA78" w14:textId="77777777" w:rsidR="00D40B19" w:rsidRPr="00615190" w:rsidRDefault="00D40B19" w:rsidP="00615190">
      <w:pPr>
        <w:spacing w:line="240" w:lineRule="atLeast"/>
        <w:rPr>
          <w:rFonts w:ascii="Tahoma" w:hAnsi="Tahoma"/>
          <w:color w:val="000000" w:themeColor="text1"/>
          <w:sz w:val="16"/>
        </w:rPr>
      </w:pPr>
    </w:p>
    <w:p w14:paraId="63399B98"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 xml:space="preserve">Our share of </w:t>
      </w:r>
      <w:proofErr w:type="spellStart"/>
      <w:r w:rsidRPr="00615190">
        <w:rPr>
          <w:rFonts w:ascii="Tahoma" w:hAnsi="Tahoma"/>
          <w:color w:val="000000" w:themeColor="text1"/>
          <w:sz w:val="16"/>
        </w:rPr>
        <w:t>Swiggy’s</w:t>
      </w:r>
      <w:proofErr w:type="spellEnd"/>
      <w:r w:rsidRPr="00615190">
        <w:rPr>
          <w:rFonts w:ascii="Tahoma" w:hAnsi="Tahoma"/>
          <w:color w:val="000000" w:themeColor="text1"/>
          <w:sz w:val="16"/>
        </w:rPr>
        <w:t xml:space="preserve"> trading loss increased to US$105m (H1 FY22: US$34m), driven by investment in both the core restaurant food delivery business to increase growth and in </w:t>
      </w:r>
      <w:proofErr w:type="spellStart"/>
      <w:r w:rsidRPr="00615190">
        <w:rPr>
          <w:rFonts w:ascii="Tahoma" w:hAnsi="Tahoma"/>
          <w:color w:val="000000" w:themeColor="text1"/>
          <w:sz w:val="16"/>
        </w:rPr>
        <w:t>Instamart</w:t>
      </w:r>
      <w:proofErr w:type="spellEnd"/>
      <w:r w:rsidRPr="00615190">
        <w:rPr>
          <w:rFonts w:ascii="Tahoma" w:hAnsi="Tahoma"/>
          <w:color w:val="000000" w:themeColor="text1"/>
          <w:sz w:val="16"/>
        </w:rPr>
        <w:t xml:space="preserve"> to expand its footprint.</w:t>
      </w:r>
    </w:p>
    <w:p w14:paraId="3412F36E" w14:textId="77777777" w:rsidR="00D40B19" w:rsidRPr="00615190" w:rsidRDefault="00D40B19" w:rsidP="00615190">
      <w:pPr>
        <w:spacing w:line="240" w:lineRule="atLeast"/>
        <w:rPr>
          <w:rFonts w:ascii="Tahoma" w:hAnsi="Tahoma"/>
          <w:color w:val="000000" w:themeColor="text1"/>
          <w:sz w:val="16"/>
        </w:rPr>
      </w:pPr>
    </w:p>
    <w:p w14:paraId="56119B4D"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 xml:space="preserve">In May 2022, </w:t>
      </w:r>
      <w:proofErr w:type="spellStart"/>
      <w:r w:rsidRPr="00615190">
        <w:rPr>
          <w:rFonts w:ascii="Tahoma" w:hAnsi="Tahoma"/>
          <w:color w:val="000000" w:themeColor="text1"/>
          <w:sz w:val="16"/>
        </w:rPr>
        <w:t>Swiggy</w:t>
      </w:r>
      <w:proofErr w:type="spellEnd"/>
      <w:r w:rsidRPr="00615190">
        <w:rPr>
          <w:rFonts w:ascii="Tahoma" w:hAnsi="Tahoma"/>
          <w:color w:val="000000" w:themeColor="text1"/>
          <w:sz w:val="16"/>
        </w:rPr>
        <w:t xml:space="preserve"> announced the acquisition of </w:t>
      </w:r>
      <w:proofErr w:type="spellStart"/>
      <w:r w:rsidRPr="00615190">
        <w:rPr>
          <w:rFonts w:ascii="Tahoma" w:hAnsi="Tahoma"/>
          <w:color w:val="000000" w:themeColor="text1"/>
          <w:sz w:val="16"/>
        </w:rPr>
        <w:t>Dineout</w:t>
      </w:r>
      <w:proofErr w:type="spellEnd"/>
      <w:r w:rsidRPr="00615190">
        <w:rPr>
          <w:rFonts w:ascii="Tahoma" w:hAnsi="Tahoma"/>
          <w:color w:val="000000" w:themeColor="text1"/>
          <w:sz w:val="16"/>
        </w:rPr>
        <w:t xml:space="preserve">, a leading dining-out and restaurant tech solutions platform in India. </w:t>
      </w:r>
      <w:proofErr w:type="spellStart"/>
      <w:r w:rsidRPr="00615190">
        <w:rPr>
          <w:rFonts w:ascii="Tahoma" w:hAnsi="Tahoma"/>
          <w:color w:val="000000" w:themeColor="text1"/>
          <w:sz w:val="16"/>
        </w:rPr>
        <w:t>Swiggy</w:t>
      </w:r>
      <w:proofErr w:type="spellEnd"/>
      <w:r w:rsidRPr="00615190">
        <w:rPr>
          <w:rFonts w:ascii="Tahoma" w:hAnsi="Tahoma"/>
          <w:color w:val="000000" w:themeColor="text1"/>
          <w:sz w:val="16"/>
        </w:rPr>
        <w:t xml:space="preserve"> remains well funded to drive its business objectives.</w:t>
      </w:r>
    </w:p>
    <w:p w14:paraId="7C7FB8BA" w14:textId="77777777" w:rsidR="002D21D8" w:rsidRPr="00615190" w:rsidRDefault="002D21D8" w:rsidP="00615190">
      <w:pPr>
        <w:spacing w:line="240" w:lineRule="atLeast"/>
        <w:rPr>
          <w:rFonts w:ascii="Tahoma" w:hAnsi="Tahoma"/>
          <w:color w:val="000000" w:themeColor="text1"/>
          <w:sz w:val="16"/>
        </w:rPr>
      </w:pPr>
    </w:p>
    <w:p w14:paraId="4ADEBD04" w14:textId="77777777" w:rsidR="002D21D8" w:rsidRPr="002C2E3C" w:rsidRDefault="002D21D8" w:rsidP="002C2E3C">
      <w:pPr>
        <w:pStyle w:val="FootnotesProsus2022FrontStylesProsus2022"/>
      </w:pPr>
      <w:r w:rsidRPr="002C2E3C">
        <w:t>1</w:t>
      </w:r>
      <w:r w:rsidRPr="002C2E3C">
        <w:tab/>
        <w:t>GMV includes delivery fees.</w:t>
      </w:r>
    </w:p>
    <w:p w14:paraId="5E062F9F" w14:textId="77777777" w:rsidR="002D21D8" w:rsidRPr="002C2E3C" w:rsidRDefault="002D21D8" w:rsidP="002C2E3C">
      <w:pPr>
        <w:pStyle w:val="FootnotesProsus2022FrontStylesProsus2022"/>
      </w:pPr>
      <w:r w:rsidRPr="002C2E3C">
        <w:t>2</w:t>
      </w:r>
      <w:r w:rsidRPr="002C2E3C">
        <w:tab/>
        <w:t xml:space="preserve">Quick commerce includes </w:t>
      </w:r>
      <w:proofErr w:type="spellStart"/>
      <w:r w:rsidRPr="002C2E3C">
        <w:t>Swiggy’s</w:t>
      </w:r>
      <w:proofErr w:type="spellEnd"/>
      <w:r w:rsidRPr="002C2E3C">
        <w:t xml:space="preserve"> </w:t>
      </w:r>
      <w:proofErr w:type="spellStart"/>
      <w:r w:rsidRPr="002C2E3C">
        <w:t>Instamart</w:t>
      </w:r>
      <w:proofErr w:type="spellEnd"/>
      <w:r w:rsidRPr="002C2E3C">
        <w:t xml:space="preserve"> business.</w:t>
      </w:r>
    </w:p>
    <w:p w14:paraId="2E5DD98E" w14:textId="77777777" w:rsidR="002D21D8" w:rsidRPr="002C2E3C" w:rsidRDefault="002D21D8" w:rsidP="002C2E3C">
      <w:pPr>
        <w:pStyle w:val="FootnotesProsus2022FrontStylesProsus2022"/>
      </w:pPr>
      <w:r w:rsidRPr="002C2E3C">
        <w:t>3</w:t>
      </w:r>
      <w:r w:rsidRPr="002C2E3C">
        <w:tab/>
        <w:t xml:space="preserve">Year in </w:t>
      </w:r>
      <w:proofErr w:type="spellStart"/>
      <w:r w:rsidRPr="002C2E3C">
        <w:t>Swiggy’s</w:t>
      </w:r>
      <w:proofErr w:type="spellEnd"/>
      <w:r w:rsidRPr="002C2E3C">
        <w:t xml:space="preserve"> section refers to January 2022 to December 2022. Accordingly, the first six months pertain to January 2022 to June 2022.</w:t>
      </w:r>
    </w:p>
    <w:p w14:paraId="616FDA8D" w14:textId="77777777" w:rsidR="002D21D8" w:rsidRPr="00615190" w:rsidRDefault="002D21D8" w:rsidP="00615190">
      <w:pPr>
        <w:spacing w:line="240" w:lineRule="atLeast"/>
        <w:rPr>
          <w:rFonts w:ascii="Tahoma" w:hAnsi="Tahoma"/>
          <w:color w:val="000000" w:themeColor="text1"/>
          <w:sz w:val="16"/>
        </w:rPr>
      </w:pPr>
    </w:p>
    <w:p w14:paraId="1B203562" w14:textId="77777777" w:rsidR="00D40B19" w:rsidRPr="00615190" w:rsidRDefault="00D40B19" w:rsidP="00615190">
      <w:pPr>
        <w:spacing w:line="240" w:lineRule="atLeast"/>
        <w:rPr>
          <w:rFonts w:ascii="Tahoma" w:hAnsi="Tahoma"/>
          <w:color w:val="000000" w:themeColor="text1"/>
          <w:sz w:val="16"/>
        </w:rPr>
      </w:pPr>
    </w:p>
    <w:p w14:paraId="3DACA221" w14:textId="77777777" w:rsidR="00D40B19" w:rsidRPr="00010189" w:rsidRDefault="00D40B19" w:rsidP="00615190">
      <w:pPr>
        <w:spacing w:line="240" w:lineRule="atLeast"/>
        <w:rPr>
          <w:rFonts w:ascii="Tahoma" w:hAnsi="Tahoma"/>
          <w:b/>
          <w:bCs/>
          <w:color w:val="000000" w:themeColor="text1"/>
          <w:sz w:val="16"/>
        </w:rPr>
      </w:pPr>
      <w:r w:rsidRPr="00010189">
        <w:rPr>
          <w:rFonts w:ascii="Tahoma" w:hAnsi="Tahoma"/>
          <w:b/>
          <w:bCs/>
          <w:color w:val="000000" w:themeColor="text1"/>
          <w:sz w:val="16"/>
        </w:rPr>
        <w:t>Payments and Fintech</w:t>
      </w:r>
    </w:p>
    <w:p w14:paraId="22D4A84D"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Our Payments and Fintech segment reported economic-interest revenue growth of 34% (55%) to US$480m on a trading loss of US$97m.</w:t>
      </w:r>
    </w:p>
    <w:p w14:paraId="5349636B" w14:textId="77777777" w:rsidR="00D40B19" w:rsidRPr="00615190" w:rsidRDefault="00D40B19" w:rsidP="00615190">
      <w:pPr>
        <w:spacing w:line="240" w:lineRule="atLeast"/>
        <w:rPr>
          <w:rFonts w:ascii="Tahoma" w:hAnsi="Tahoma"/>
          <w:color w:val="000000" w:themeColor="text1"/>
          <w:sz w:val="16"/>
        </w:rPr>
      </w:pPr>
    </w:p>
    <w:p w14:paraId="4177EAB8"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 xml:space="preserve">The consolidated </w:t>
      </w:r>
      <w:proofErr w:type="spellStart"/>
      <w:r w:rsidRPr="00615190">
        <w:rPr>
          <w:rFonts w:ascii="Tahoma" w:hAnsi="Tahoma"/>
          <w:color w:val="000000" w:themeColor="text1"/>
          <w:sz w:val="16"/>
        </w:rPr>
        <w:t>PayU</w:t>
      </w:r>
      <w:proofErr w:type="spellEnd"/>
      <w:r w:rsidRPr="00615190">
        <w:rPr>
          <w:rFonts w:ascii="Tahoma" w:hAnsi="Tahoma"/>
          <w:color w:val="000000" w:themeColor="text1"/>
          <w:sz w:val="16"/>
        </w:rPr>
        <w:t xml:space="preserve"> businesses grew revenue 33% (57%) to US$412m, driven by growth in payments in India and Turkey, and a scaling credit business in India. Trading losses expanded to US$80m (H1 FY22: US$27m) as we invested in credit and new payment products. Trading losses were impacted by a once-off loss provision of US$18m related to a merchant in our core PSP business in Brazil.</w:t>
      </w:r>
    </w:p>
    <w:p w14:paraId="30746F6F" w14:textId="77777777" w:rsidR="00D40B19" w:rsidRPr="00615190" w:rsidRDefault="00D40B19" w:rsidP="00615190">
      <w:pPr>
        <w:spacing w:line="240" w:lineRule="atLeast"/>
        <w:rPr>
          <w:rFonts w:ascii="Tahoma" w:hAnsi="Tahoma"/>
          <w:color w:val="000000" w:themeColor="text1"/>
          <w:sz w:val="16"/>
        </w:rPr>
      </w:pPr>
    </w:p>
    <w:p w14:paraId="7DE3BFF3"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Total number of transactions grew by 17% year on year, increasing total payments value (TPV) by 32% (49%) due to larger transaction sizes processed.</w:t>
      </w:r>
    </w:p>
    <w:p w14:paraId="2547CA2F" w14:textId="77777777" w:rsidR="00D40B19" w:rsidRPr="00615190" w:rsidRDefault="00D40B19" w:rsidP="00615190">
      <w:pPr>
        <w:spacing w:line="240" w:lineRule="atLeast"/>
        <w:rPr>
          <w:rFonts w:ascii="Tahoma" w:hAnsi="Tahoma"/>
          <w:color w:val="000000" w:themeColor="text1"/>
          <w:sz w:val="16"/>
        </w:rPr>
      </w:pPr>
    </w:p>
    <w:p w14:paraId="4E243F1F"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The core PSP segment generated US$363m in revenues, an increase of 23% (47%). Excluding the once-off provision, the business reported a trading loss of US$7m compared with a trading profit of US$9m in the prior period, reflecting pressure on gross margin and investment in building new products. The business is diversifying revenue streams and improving the mix via new initiatives and cutting costs.</w:t>
      </w:r>
    </w:p>
    <w:p w14:paraId="5F965E21" w14:textId="77777777" w:rsidR="00D40B19" w:rsidRPr="00615190" w:rsidRDefault="00D40B19" w:rsidP="00615190">
      <w:pPr>
        <w:spacing w:line="240" w:lineRule="atLeast"/>
        <w:rPr>
          <w:rFonts w:ascii="Tahoma" w:hAnsi="Tahoma"/>
          <w:color w:val="000000" w:themeColor="text1"/>
          <w:sz w:val="16"/>
        </w:rPr>
      </w:pPr>
    </w:p>
    <w:p w14:paraId="26A5F7F9"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India, our largest payments market, reported TPV growth of 48% (59%) to US$28bn and now contributes 61% of total TPV, up from 54% in the prior period. Revenue grew 38% (48%) to US$183m. Such growth was driven by increased digitisation in retail through ecommerce, financial services and bill payments. The travel and hospitality segment also recovered to pre-pandemic levels, with its TPV close to doubling. During the period, we continued to scale our existing segments, including enterprise as well as small and medium businesses. We also expanded our focus to newer segments such as government, risk-based authentication services, omnichannel, data science and non-MDR (merchant discount rate) products. These initiatives are diversifying the revenue base and improving service to merchants, creating a more entrenched offering and valuable business.</w:t>
      </w:r>
    </w:p>
    <w:p w14:paraId="4826D915" w14:textId="77777777" w:rsidR="00D40B19" w:rsidRPr="00615190" w:rsidRDefault="00D40B19" w:rsidP="00615190">
      <w:pPr>
        <w:spacing w:line="240" w:lineRule="atLeast"/>
        <w:rPr>
          <w:rFonts w:ascii="Tahoma" w:hAnsi="Tahoma"/>
          <w:color w:val="000000" w:themeColor="text1"/>
          <w:sz w:val="16"/>
        </w:rPr>
      </w:pPr>
    </w:p>
    <w:p w14:paraId="1562DB5D"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Our GPO business grew TPV 12% (38%) to US$18bn and revenue by 11% (45%) to US$181m. Trading losses were impacted by higher merchant-acquisition costs and investment in new products. Turkey, a key market, contributed 19% of GPO’s total revenue and grew by 131% during the period in local currency, excluding M&amp;A.</w:t>
      </w:r>
    </w:p>
    <w:p w14:paraId="0C86455F" w14:textId="77777777" w:rsidR="00D40B19" w:rsidRPr="00615190" w:rsidRDefault="00D40B19" w:rsidP="00615190">
      <w:pPr>
        <w:spacing w:line="240" w:lineRule="atLeast"/>
        <w:rPr>
          <w:rFonts w:ascii="Tahoma" w:hAnsi="Tahoma"/>
          <w:color w:val="000000" w:themeColor="text1"/>
          <w:sz w:val="16"/>
        </w:rPr>
      </w:pPr>
    </w:p>
    <w:p w14:paraId="16200509"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We continued to scale our credit business, which reported revenue growth of more than five times and accounted for 10% of consolidated Payments and Fintech revenues, up from 3% in the prior period. Continued investment in the business resulted in trading losses of US$26m, representing a trading profit margin improvement of 125 percentage points to -63%.</w:t>
      </w:r>
    </w:p>
    <w:p w14:paraId="656DF499" w14:textId="77777777" w:rsidR="00D40B19" w:rsidRPr="00615190" w:rsidRDefault="00D40B19" w:rsidP="00615190">
      <w:pPr>
        <w:spacing w:line="240" w:lineRule="atLeast"/>
        <w:rPr>
          <w:rFonts w:ascii="Tahoma" w:hAnsi="Tahoma"/>
          <w:color w:val="000000" w:themeColor="text1"/>
          <w:sz w:val="16"/>
        </w:rPr>
      </w:pPr>
    </w:p>
    <w:p w14:paraId="464D729D" w14:textId="77777777" w:rsidR="00836C36" w:rsidRDefault="00836C36">
      <w:pPr>
        <w:rPr>
          <w:rFonts w:ascii="Tahoma" w:hAnsi="Tahoma"/>
          <w:color w:val="000000" w:themeColor="text1"/>
          <w:sz w:val="16"/>
        </w:rPr>
      </w:pPr>
      <w:r>
        <w:rPr>
          <w:rFonts w:ascii="Tahoma" w:hAnsi="Tahoma"/>
          <w:color w:val="000000" w:themeColor="text1"/>
          <w:sz w:val="16"/>
        </w:rPr>
        <w:br w:type="page"/>
      </w:r>
    </w:p>
    <w:p w14:paraId="2432D37E"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lastRenderedPageBreak/>
        <w:t>Loan issuances grew 288% to US$678m on the back of demand for our transactional credit and personal loan products. Personal loan origination grew by more than seven times in the period, compared to a relatively small base last year, as we launched new products to drive growth. We have expanded our preapproved base to 66 million users and 53 000 merchants, while the delinquency rate remains low at 3%. At 30 September 2022, the loan book totalled US$279m.</w:t>
      </w:r>
    </w:p>
    <w:p w14:paraId="4CE8562D" w14:textId="77777777" w:rsidR="00D40B19" w:rsidRPr="00615190" w:rsidRDefault="00D40B19" w:rsidP="00615190">
      <w:pPr>
        <w:spacing w:line="240" w:lineRule="atLeast"/>
        <w:rPr>
          <w:rFonts w:ascii="Tahoma" w:hAnsi="Tahoma"/>
          <w:color w:val="000000" w:themeColor="text1"/>
          <w:sz w:val="16"/>
        </w:rPr>
      </w:pPr>
    </w:p>
    <w:p w14:paraId="083EC82E"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 xml:space="preserve">Within Payments and Fintech’s investment portfolio, </w:t>
      </w:r>
      <w:proofErr w:type="spellStart"/>
      <w:r w:rsidRPr="00615190">
        <w:rPr>
          <w:rFonts w:ascii="Tahoma" w:hAnsi="Tahoma"/>
          <w:color w:val="000000" w:themeColor="text1"/>
          <w:sz w:val="16"/>
        </w:rPr>
        <w:t>Remitly</w:t>
      </w:r>
      <w:proofErr w:type="spellEnd"/>
      <w:r w:rsidRPr="00615190">
        <w:rPr>
          <w:rFonts w:ascii="Tahoma" w:hAnsi="Tahoma"/>
          <w:color w:val="000000" w:themeColor="text1"/>
          <w:sz w:val="16"/>
        </w:rPr>
        <w:t xml:space="preserve"> reported a send volume of US$13bn in the six months ended 30 September 2022, a growth of 41%. Our share of </w:t>
      </w:r>
      <w:proofErr w:type="spellStart"/>
      <w:r w:rsidRPr="00615190">
        <w:rPr>
          <w:rFonts w:ascii="Tahoma" w:hAnsi="Tahoma"/>
          <w:color w:val="000000" w:themeColor="text1"/>
          <w:sz w:val="16"/>
        </w:rPr>
        <w:t>Remitly’s</w:t>
      </w:r>
      <w:proofErr w:type="spellEnd"/>
      <w:r w:rsidRPr="00615190">
        <w:rPr>
          <w:rFonts w:ascii="Tahoma" w:hAnsi="Tahoma"/>
          <w:color w:val="000000" w:themeColor="text1"/>
          <w:sz w:val="16"/>
        </w:rPr>
        <w:t xml:space="preserve"> revenue grew 37% (46%) to US$67m, with trading losses at US$14m for the period.</w:t>
      </w:r>
    </w:p>
    <w:p w14:paraId="6B92394A" w14:textId="77777777" w:rsidR="00D40B19" w:rsidRPr="00615190" w:rsidRDefault="00D40B19" w:rsidP="00615190">
      <w:pPr>
        <w:spacing w:line="240" w:lineRule="atLeast"/>
        <w:rPr>
          <w:rFonts w:ascii="Tahoma" w:hAnsi="Tahoma"/>
          <w:color w:val="000000" w:themeColor="text1"/>
          <w:sz w:val="16"/>
        </w:rPr>
      </w:pPr>
    </w:p>
    <w:p w14:paraId="63ACCF01"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 xml:space="preserve">More information on </w:t>
      </w:r>
      <w:proofErr w:type="spellStart"/>
      <w:r w:rsidRPr="00615190">
        <w:rPr>
          <w:rFonts w:ascii="Tahoma" w:hAnsi="Tahoma"/>
          <w:color w:val="000000" w:themeColor="text1"/>
          <w:sz w:val="16"/>
        </w:rPr>
        <w:t>Remitly</w:t>
      </w:r>
      <w:proofErr w:type="spellEnd"/>
      <w:r w:rsidRPr="00615190">
        <w:rPr>
          <w:rFonts w:ascii="Tahoma" w:hAnsi="Tahoma"/>
          <w:color w:val="000000" w:themeColor="text1"/>
          <w:sz w:val="16"/>
        </w:rPr>
        <w:t xml:space="preserve"> is available at https://ir.remitly.com/.</w:t>
      </w:r>
    </w:p>
    <w:p w14:paraId="778E54C4" w14:textId="77777777" w:rsidR="00D40B19" w:rsidRPr="00615190" w:rsidRDefault="00D40B19" w:rsidP="00615190">
      <w:pPr>
        <w:spacing w:line="240" w:lineRule="atLeast"/>
        <w:rPr>
          <w:rFonts w:ascii="Tahoma" w:hAnsi="Tahoma"/>
          <w:color w:val="000000" w:themeColor="text1"/>
          <w:sz w:val="16"/>
        </w:rPr>
      </w:pPr>
    </w:p>
    <w:p w14:paraId="2A56E9A0" w14:textId="77777777" w:rsidR="00D40B19" w:rsidRPr="005C4325" w:rsidRDefault="00D40B19" w:rsidP="00615190">
      <w:pPr>
        <w:spacing w:line="240" w:lineRule="atLeast"/>
        <w:rPr>
          <w:rFonts w:ascii="Tahoma" w:hAnsi="Tahoma"/>
          <w:b/>
          <w:bCs/>
          <w:color w:val="000000" w:themeColor="text1"/>
          <w:sz w:val="16"/>
        </w:rPr>
      </w:pPr>
      <w:r w:rsidRPr="005C4325">
        <w:rPr>
          <w:rFonts w:ascii="Tahoma" w:hAnsi="Tahoma"/>
          <w:b/>
          <w:bCs/>
          <w:color w:val="000000" w:themeColor="text1"/>
          <w:sz w:val="16"/>
        </w:rPr>
        <w:t>Edtech</w:t>
      </w:r>
    </w:p>
    <w:p w14:paraId="634D73DE"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On an economic-interest basis, the Edtech segment revenues grew by 178% (38%) to US$334m and trading losses increased to US$178m. The economic-interest results include various once-off adjustments related to our associates BYJU’S, Udemy and Skillsoft. Excluding these once-off adjustments, revenue was US$290m and trading losses US$116m.</w:t>
      </w:r>
    </w:p>
    <w:p w14:paraId="2D62F633" w14:textId="77777777" w:rsidR="00D40B19" w:rsidRPr="00615190" w:rsidRDefault="00D40B19" w:rsidP="00615190">
      <w:pPr>
        <w:spacing w:line="240" w:lineRule="atLeast"/>
        <w:rPr>
          <w:rFonts w:ascii="Tahoma" w:hAnsi="Tahoma"/>
          <w:color w:val="000000" w:themeColor="text1"/>
          <w:sz w:val="16"/>
        </w:rPr>
      </w:pPr>
    </w:p>
    <w:p w14:paraId="488BC13E"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 xml:space="preserve">Our consolidated businesses, Stack Overflow and </w:t>
      </w:r>
      <w:proofErr w:type="spellStart"/>
      <w:r w:rsidRPr="00615190">
        <w:rPr>
          <w:rFonts w:ascii="Tahoma" w:hAnsi="Tahoma"/>
          <w:color w:val="000000" w:themeColor="text1"/>
          <w:sz w:val="16"/>
        </w:rPr>
        <w:t>GoodHabitz</w:t>
      </w:r>
      <w:proofErr w:type="spellEnd"/>
      <w:r w:rsidRPr="00615190">
        <w:rPr>
          <w:rFonts w:ascii="Tahoma" w:hAnsi="Tahoma"/>
          <w:color w:val="000000" w:themeColor="text1"/>
          <w:sz w:val="16"/>
        </w:rPr>
        <w:t>, reported solid progress. Stack Overflow, a leading knowledge-sharing platform, now serves around 100 million people worldwide every month. The community site continues to add an average 200 000 new registrations every month. Stack Overflow grew total bookings by 53% in the period. The business grew revenue in local currency, excluding M&amp;A, by 33% to US$45m, driven by growth in Stack Overflow for Teams, which enables organisations to build their own internal communities on top of the open platform. Stack Overflow for Teams contributed 49% of total revenues. By September 2022, Stack Overflow had 1 262 paying teams generating annual recurring revenue of US$50m, a growth of 66% over the prior period. Increased investment in engineering and product-development initiatives, sales headcount and marketing programme expenses, mainly in Stack Overflow for Teams, contributed to the trading loss of US$42m, a margin expansion of 18 percentage points to 93%.</w:t>
      </w:r>
    </w:p>
    <w:p w14:paraId="348142A3" w14:textId="77777777" w:rsidR="00D40B19" w:rsidRPr="00615190" w:rsidRDefault="00D40B19" w:rsidP="00615190">
      <w:pPr>
        <w:spacing w:line="240" w:lineRule="atLeast"/>
        <w:rPr>
          <w:rFonts w:ascii="Tahoma" w:hAnsi="Tahoma"/>
          <w:color w:val="000000" w:themeColor="text1"/>
          <w:sz w:val="16"/>
        </w:rPr>
      </w:pPr>
    </w:p>
    <w:p w14:paraId="5DE63C42" w14:textId="77777777" w:rsidR="00D40B19" w:rsidRPr="00615190" w:rsidRDefault="00D40B19" w:rsidP="00615190">
      <w:pPr>
        <w:spacing w:line="240" w:lineRule="atLeast"/>
        <w:rPr>
          <w:rFonts w:ascii="Tahoma" w:hAnsi="Tahoma"/>
          <w:color w:val="000000" w:themeColor="text1"/>
          <w:sz w:val="16"/>
        </w:rPr>
      </w:pPr>
      <w:proofErr w:type="spellStart"/>
      <w:r w:rsidRPr="00615190">
        <w:rPr>
          <w:rFonts w:ascii="Tahoma" w:hAnsi="Tahoma"/>
          <w:color w:val="000000" w:themeColor="text1"/>
          <w:sz w:val="16"/>
        </w:rPr>
        <w:t>GoodHabitz</w:t>
      </w:r>
      <w:proofErr w:type="spellEnd"/>
      <w:r w:rsidRPr="00615190">
        <w:rPr>
          <w:rFonts w:ascii="Tahoma" w:hAnsi="Tahoma"/>
          <w:color w:val="000000" w:themeColor="text1"/>
          <w:sz w:val="16"/>
        </w:rPr>
        <w:t xml:space="preserve">, an online interpersonal training platform for corporates and SMEs, now offers nearly 1 500 courses in 12 languages. This contributed to growth of 31% to 2 447 enterprise customers. </w:t>
      </w:r>
      <w:proofErr w:type="spellStart"/>
      <w:r w:rsidRPr="00615190">
        <w:rPr>
          <w:rFonts w:ascii="Tahoma" w:hAnsi="Tahoma"/>
          <w:color w:val="000000" w:themeColor="text1"/>
          <w:sz w:val="16"/>
        </w:rPr>
        <w:t>GoodHabitz</w:t>
      </w:r>
      <w:proofErr w:type="spellEnd"/>
      <w:r w:rsidRPr="00615190">
        <w:rPr>
          <w:rFonts w:ascii="Tahoma" w:hAnsi="Tahoma"/>
          <w:color w:val="000000" w:themeColor="text1"/>
          <w:sz w:val="16"/>
        </w:rPr>
        <w:t xml:space="preserve"> continued to grow its home market of the Netherlands and invested to expand its position in 12 other countries across Europe, Latin America, India and Australia. Revenue grew 27% in local currency, excluding M&amp;A, to US$18m while geographic expansion drove trading losses higher to US$11m. The business is now focusing on revenue growth and operational scalability to become profitable.</w:t>
      </w:r>
    </w:p>
    <w:p w14:paraId="64A29008" w14:textId="77777777" w:rsidR="00D40B19" w:rsidRPr="00615190" w:rsidRDefault="00D40B19" w:rsidP="00615190">
      <w:pPr>
        <w:spacing w:line="240" w:lineRule="atLeast"/>
        <w:rPr>
          <w:rFonts w:ascii="Tahoma" w:hAnsi="Tahoma"/>
          <w:color w:val="000000" w:themeColor="text1"/>
          <w:sz w:val="16"/>
        </w:rPr>
      </w:pPr>
    </w:p>
    <w:p w14:paraId="4B7C7DDD"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Our Edtech investment portfolio comprises 11 investments covering the full span of the sector, from kindergarten through to grade 12 (K‒12), to higher education and workplace learning.</w:t>
      </w:r>
    </w:p>
    <w:p w14:paraId="01F563E7" w14:textId="77777777" w:rsidR="00D40B19" w:rsidRPr="00615190" w:rsidRDefault="00D40B19" w:rsidP="00615190">
      <w:pPr>
        <w:spacing w:line="240" w:lineRule="atLeast"/>
        <w:rPr>
          <w:rFonts w:ascii="Tahoma" w:hAnsi="Tahoma"/>
          <w:color w:val="000000" w:themeColor="text1"/>
          <w:sz w:val="16"/>
        </w:rPr>
      </w:pPr>
    </w:p>
    <w:p w14:paraId="3E063583"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Skillsoft is a leading platform for corporate learning experiences. Our share of Skillsoft’s revenue was US$118m, with a trading profit of US$10m. For the six months ended 31 July 2022, Skillsoft’s bookings declined 6% (3%) to US$231m, driven by a 21% (17%) decline in the Global Knowledge segment to US$102m, and partly offset by growth of 10% (12%) in the Content segment’s bookings to US$128m. In August 2022, Skillsoft sold its SumTotal segment for a consideration of US$200m.</w:t>
      </w:r>
    </w:p>
    <w:p w14:paraId="0F3FBCF6" w14:textId="77777777" w:rsidR="00D40B19" w:rsidRPr="00615190" w:rsidRDefault="00D40B19" w:rsidP="00615190">
      <w:pPr>
        <w:spacing w:line="240" w:lineRule="atLeast"/>
        <w:rPr>
          <w:rFonts w:ascii="Tahoma" w:hAnsi="Tahoma"/>
          <w:color w:val="000000" w:themeColor="text1"/>
          <w:sz w:val="16"/>
        </w:rPr>
      </w:pPr>
    </w:p>
    <w:p w14:paraId="1B40CFBC"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More information on Skillsoft is available at https://investor.skillsoft.com.</w:t>
      </w:r>
    </w:p>
    <w:p w14:paraId="206E12C6" w14:textId="77777777" w:rsidR="00D40B19" w:rsidRPr="00615190" w:rsidRDefault="00D40B19" w:rsidP="00615190">
      <w:pPr>
        <w:spacing w:line="240" w:lineRule="atLeast"/>
        <w:rPr>
          <w:rFonts w:ascii="Tahoma" w:hAnsi="Tahoma"/>
          <w:color w:val="000000" w:themeColor="text1"/>
          <w:sz w:val="16"/>
        </w:rPr>
      </w:pPr>
    </w:p>
    <w:p w14:paraId="39D3079A"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We have stopped equity accounting for BYJU’S and Udemy from September 2022.</w:t>
      </w:r>
    </w:p>
    <w:p w14:paraId="6FD77855" w14:textId="77777777" w:rsidR="00D40B19" w:rsidRPr="00615190" w:rsidRDefault="00D40B19" w:rsidP="00615190">
      <w:pPr>
        <w:spacing w:line="240" w:lineRule="atLeast"/>
        <w:rPr>
          <w:rFonts w:ascii="Tahoma" w:hAnsi="Tahoma"/>
          <w:color w:val="000000" w:themeColor="text1"/>
          <w:sz w:val="16"/>
        </w:rPr>
      </w:pPr>
    </w:p>
    <w:p w14:paraId="38304978" w14:textId="77777777" w:rsidR="00D40B19" w:rsidRPr="001307BB" w:rsidRDefault="00D40B19" w:rsidP="00615190">
      <w:pPr>
        <w:spacing w:line="240" w:lineRule="atLeast"/>
        <w:rPr>
          <w:rFonts w:ascii="Tahoma" w:hAnsi="Tahoma"/>
          <w:b/>
          <w:bCs/>
          <w:color w:val="000000" w:themeColor="text1"/>
          <w:sz w:val="16"/>
        </w:rPr>
      </w:pPr>
      <w:r w:rsidRPr="001307BB">
        <w:rPr>
          <w:rFonts w:ascii="Tahoma" w:hAnsi="Tahoma"/>
          <w:b/>
          <w:bCs/>
          <w:color w:val="000000" w:themeColor="text1"/>
          <w:sz w:val="16"/>
        </w:rPr>
        <w:t>Etail</w:t>
      </w:r>
    </w:p>
    <w:p w14:paraId="2F7F4C59" w14:textId="77777777" w:rsidR="00D40B19" w:rsidRPr="001307BB" w:rsidRDefault="00D40B19" w:rsidP="00615190">
      <w:pPr>
        <w:spacing w:line="240" w:lineRule="atLeast"/>
        <w:rPr>
          <w:rFonts w:ascii="Tahoma" w:hAnsi="Tahoma"/>
          <w:b/>
          <w:bCs/>
          <w:color w:val="7F7F7F" w:themeColor="text1" w:themeTint="80"/>
          <w:sz w:val="16"/>
        </w:rPr>
      </w:pPr>
      <w:r w:rsidRPr="001307BB">
        <w:rPr>
          <w:rFonts w:ascii="Tahoma" w:hAnsi="Tahoma"/>
          <w:b/>
          <w:bCs/>
          <w:color w:val="7F7F7F" w:themeColor="text1" w:themeTint="80"/>
          <w:sz w:val="16"/>
        </w:rPr>
        <w:t>eMAG</w:t>
      </w:r>
    </w:p>
    <w:p w14:paraId="41A0BE4F"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eMAG, our leading business-to-consumer ecommerce platform in Central and Eastern Europe, faced a challenging environment due to the war in Ukraine and rising inflation and energy prices. In spite of this, we managed to deliver flat GMV year on year in local currency, excluding our Hungary business which completed its restructuring process during the period. Overall, GMV decreased 16% (-3%), however, the third-party (3P) ecommerce business grew GMV 15% year on year on the back of merchant acquisition, expanded offerings from existing merchants and deeper integration of 3P merchants into the Genius loyalty programme.</w:t>
      </w:r>
    </w:p>
    <w:p w14:paraId="4EB1BD95" w14:textId="77777777" w:rsidR="00D40B19" w:rsidRPr="00615190" w:rsidRDefault="00D40B19" w:rsidP="00615190">
      <w:pPr>
        <w:spacing w:line="240" w:lineRule="atLeast"/>
        <w:rPr>
          <w:rFonts w:ascii="Tahoma" w:hAnsi="Tahoma"/>
          <w:color w:val="000000" w:themeColor="text1"/>
          <w:sz w:val="16"/>
        </w:rPr>
      </w:pPr>
    </w:p>
    <w:p w14:paraId="13C2D1A7"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 xml:space="preserve">eMAG’s revenue declined 17% (-4%) to US$852m, while its trading loss was US$33m compared with US$7m in the prior period. The main driver of the loss was continued investments in </w:t>
      </w:r>
      <w:proofErr w:type="spellStart"/>
      <w:r w:rsidRPr="00615190">
        <w:rPr>
          <w:rFonts w:ascii="Tahoma" w:hAnsi="Tahoma"/>
          <w:color w:val="000000" w:themeColor="text1"/>
          <w:sz w:val="16"/>
        </w:rPr>
        <w:t>Tazz</w:t>
      </w:r>
      <w:proofErr w:type="spellEnd"/>
      <w:r w:rsidRPr="00615190">
        <w:rPr>
          <w:rFonts w:ascii="Tahoma" w:hAnsi="Tahoma"/>
          <w:color w:val="000000" w:themeColor="text1"/>
          <w:sz w:val="16"/>
        </w:rPr>
        <w:t xml:space="preserve">, </w:t>
      </w:r>
      <w:proofErr w:type="spellStart"/>
      <w:r w:rsidRPr="00615190">
        <w:rPr>
          <w:rFonts w:ascii="Tahoma" w:hAnsi="Tahoma"/>
          <w:color w:val="000000" w:themeColor="text1"/>
          <w:sz w:val="16"/>
        </w:rPr>
        <w:t>Freshful</w:t>
      </w:r>
      <w:proofErr w:type="spellEnd"/>
      <w:r w:rsidRPr="00615190">
        <w:rPr>
          <w:rFonts w:ascii="Tahoma" w:hAnsi="Tahoma"/>
          <w:color w:val="000000" w:themeColor="text1"/>
          <w:sz w:val="16"/>
        </w:rPr>
        <w:t xml:space="preserve"> and </w:t>
      </w:r>
      <w:proofErr w:type="spellStart"/>
      <w:r w:rsidRPr="00615190">
        <w:rPr>
          <w:rFonts w:ascii="Tahoma" w:hAnsi="Tahoma"/>
          <w:color w:val="000000" w:themeColor="text1"/>
          <w:sz w:val="16"/>
        </w:rPr>
        <w:t>Sameday</w:t>
      </w:r>
      <w:proofErr w:type="spellEnd"/>
      <w:r w:rsidRPr="00615190">
        <w:rPr>
          <w:rFonts w:ascii="Tahoma" w:hAnsi="Tahoma"/>
          <w:color w:val="000000" w:themeColor="text1"/>
          <w:sz w:val="16"/>
        </w:rPr>
        <w:t>, and once-off costs associated with the Hungary operational merger.</w:t>
      </w:r>
    </w:p>
    <w:p w14:paraId="33F1A2F3" w14:textId="77777777" w:rsidR="00D40B19" w:rsidRPr="00615190" w:rsidRDefault="00D40B19" w:rsidP="00615190">
      <w:pPr>
        <w:spacing w:line="240" w:lineRule="atLeast"/>
        <w:rPr>
          <w:rFonts w:ascii="Tahoma" w:hAnsi="Tahoma"/>
          <w:color w:val="000000" w:themeColor="text1"/>
          <w:sz w:val="16"/>
        </w:rPr>
      </w:pPr>
    </w:p>
    <w:p w14:paraId="58050F5B"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The core eMAG business generated revenue of US$782m, down 20% (-7%). The core business reported a trading loss of US$12m, compared with a US$13m trading profit in the same period last year.</w:t>
      </w:r>
    </w:p>
    <w:p w14:paraId="552AF00C" w14:textId="77777777" w:rsidR="00D40B19" w:rsidRPr="00615190" w:rsidRDefault="00D40B19" w:rsidP="00615190">
      <w:pPr>
        <w:spacing w:line="240" w:lineRule="atLeast"/>
        <w:rPr>
          <w:rFonts w:ascii="Tahoma" w:hAnsi="Tahoma"/>
          <w:color w:val="000000" w:themeColor="text1"/>
          <w:sz w:val="16"/>
        </w:rPr>
      </w:pPr>
    </w:p>
    <w:p w14:paraId="6B47DBF7" w14:textId="77777777" w:rsidR="00D40B19" w:rsidRPr="00615190" w:rsidRDefault="00D40B19" w:rsidP="00615190">
      <w:pPr>
        <w:spacing w:line="240" w:lineRule="atLeast"/>
        <w:rPr>
          <w:rFonts w:ascii="Tahoma" w:hAnsi="Tahoma"/>
          <w:color w:val="000000" w:themeColor="text1"/>
          <w:sz w:val="16"/>
        </w:rPr>
      </w:pPr>
      <w:proofErr w:type="spellStart"/>
      <w:r w:rsidRPr="00615190">
        <w:rPr>
          <w:rFonts w:ascii="Tahoma" w:hAnsi="Tahoma"/>
          <w:color w:val="000000" w:themeColor="text1"/>
          <w:sz w:val="16"/>
        </w:rPr>
        <w:t>Tazz</w:t>
      </w:r>
      <w:proofErr w:type="spellEnd"/>
      <w:r w:rsidRPr="00615190">
        <w:rPr>
          <w:rFonts w:ascii="Tahoma" w:hAnsi="Tahoma"/>
          <w:color w:val="000000" w:themeColor="text1"/>
          <w:sz w:val="16"/>
        </w:rPr>
        <w:t xml:space="preserve"> by eMAG, its food delivery service, grew GMV 59% and improved its unit economics and profitability, benefiting from eMAG brand and customer-acquisition investments. </w:t>
      </w:r>
      <w:proofErr w:type="spellStart"/>
      <w:r w:rsidRPr="00615190">
        <w:rPr>
          <w:rFonts w:ascii="Tahoma" w:hAnsi="Tahoma"/>
          <w:color w:val="000000" w:themeColor="text1"/>
          <w:sz w:val="16"/>
        </w:rPr>
        <w:t>Freshful</w:t>
      </w:r>
      <w:proofErr w:type="spellEnd"/>
      <w:r w:rsidRPr="00615190">
        <w:rPr>
          <w:rFonts w:ascii="Tahoma" w:hAnsi="Tahoma"/>
          <w:color w:val="000000" w:themeColor="text1"/>
          <w:sz w:val="16"/>
        </w:rPr>
        <w:t>, eMAG’s online grocery business, continued to scale and attract customers, reaching around 54 000 unique customers by the end of September 2022 in the Bucharest metropolitan area.</w:t>
      </w:r>
    </w:p>
    <w:p w14:paraId="3ECE8A3E" w14:textId="77777777" w:rsidR="00D40B19" w:rsidRPr="00615190" w:rsidRDefault="00D40B19" w:rsidP="00615190">
      <w:pPr>
        <w:spacing w:line="240" w:lineRule="atLeast"/>
        <w:rPr>
          <w:rFonts w:ascii="Tahoma" w:hAnsi="Tahoma"/>
          <w:color w:val="000000" w:themeColor="text1"/>
          <w:sz w:val="16"/>
        </w:rPr>
      </w:pPr>
    </w:p>
    <w:p w14:paraId="149A3B93"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lastRenderedPageBreak/>
        <w:t xml:space="preserve">eMAG’s loyalty programme, Genius, enhanced its customer value proposition by integrating Fashion Days, </w:t>
      </w:r>
      <w:proofErr w:type="spellStart"/>
      <w:r w:rsidRPr="00615190">
        <w:rPr>
          <w:rFonts w:ascii="Tahoma" w:hAnsi="Tahoma"/>
          <w:color w:val="000000" w:themeColor="text1"/>
          <w:sz w:val="16"/>
        </w:rPr>
        <w:t>Tazz</w:t>
      </w:r>
      <w:proofErr w:type="spellEnd"/>
      <w:r w:rsidRPr="00615190">
        <w:rPr>
          <w:rFonts w:ascii="Tahoma" w:hAnsi="Tahoma"/>
          <w:color w:val="000000" w:themeColor="text1"/>
          <w:sz w:val="16"/>
        </w:rPr>
        <w:t xml:space="preserve"> and </w:t>
      </w:r>
      <w:proofErr w:type="spellStart"/>
      <w:r w:rsidRPr="00615190">
        <w:rPr>
          <w:rFonts w:ascii="Tahoma" w:hAnsi="Tahoma"/>
          <w:color w:val="000000" w:themeColor="text1"/>
          <w:sz w:val="16"/>
        </w:rPr>
        <w:t>Freshful</w:t>
      </w:r>
      <w:proofErr w:type="spellEnd"/>
      <w:r w:rsidRPr="00615190">
        <w:rPr>
          <w:rFonts w:ascii="Tahoma" w:hAnsi="Tahoma"/>
          <w:color w:val="000000" w:themeColor="text1"/>
          <w:sz w:val="16"/>
        </w:rPr>
        <w:t xml:space="preserve"> benefits into the offering. This end-to-end, effortless shopping experience is unmatched in the region and designed to boost Genius adoption, engagement and retention. eMAG had 395 000 Genius subscribers by the end of September 2022, with 60 000 added in the period.</w:t>
      </w:r>
    </w:p>
    <w:p w14:paraId="7BEC4214" w14:textId="77777777" w:rsidR="00D40B19" w:rsidRPr="00615190" w:rsidRDefault="00D40B19" w:rsidP="00615190">
      <w:pPr>
        <w:spacing w:line="240" w:lineRule="atLeast"/>
        <w:rPr>
          <w:rFonts w:ascii="Tahoma" w:hAnsi="Tahoma"/>
          <w:color w:val="000000" w:themeColor="text1"/>
          <w:sz w:val="16"/>
        </w:rPr>
      </w:pPr>
    </w:p>
    <w:p w14:paraId="31AFE4A4"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eMAG has made strategic investments in productivity and efficiency in the core business over recent years. Genius integration continues to build a strong base of loyal customers, while Marketplace has recorded spectacular growth due to increasing product selection and growing the ‘</w:t>
      </w:r>
      <w:proofErr w:type="spellStart"/>
      <w:r w:rsidRPr="00615190">
        <w:rPr>
          <w:rFonts w:ascii="Tahoma" w:hAnsi="Tahoma"/>
          <w:color w:val="000000" w:themeColor="text1"/>
          <w:sz w:val="16"/>
        </w:rPr>
        <w:t>Easybox</w:t>
      </w:r>
      <w:proofErr w:type="spellEnd"/>
      <w:r w:rsidRPr="00615190">
        <w:rPr>
          <w:rFonts w:ascii="Tahoma" w:hAnsi="Tahoma"/>
          <w:color w:val="000000" w:themeColor="text1"/>
          <w:sz w:val="16"/>
        </w:rPr>
        <w:t xml:space="preserve">’ delivery feature availability, both creating a better value proposition for clients. eMAG is scaling its new initiatives and focusing on better stock and warehouse management as well as marketing cost savings. These investments strengthened its overall position, which will lead to benefits as the implementation and monetisation play out over the next year, bringing a return of top- and </w:t>
      </w:r>
      <w:proofErr w:type="spellStart"/>
      <w:r w:rsidRPr="00615190">
        <w:rPr>
          <w:rFonts w:ascii="Tahoma" w:hAnsi="Tahoma"/>
          <w:color w:val="000000" w:themeColor="text1"/>
          <w:sz w:val="16"/>
        </w:rPr>
        <w:t>bottomline</w:t>
      </w:r>
      <w:proofErr w:type="spellEnd"/>
      <w:r w:rsidRPr="00615190">
        <w:rPr>
          <w:rFonts w:ascii="Tahoma" w:hAnsi="Tahoma"/>
          <w:color w:val="000000" w:themeColor="text1"/>
          <w:sz w:val="16"/>
        </w:rPr>
        <w:t xml:space="preserve"> growth.</w:t>
      </w:r>
    </w:p>
    <w:p w14:paraId="43E3264B" w14:textId="77777777" w:rsidR="00D40B19" w:rsidRPr="00615190" w:rsidRDefault="00D40B19" w:rsidP="00615190">
      <w:pPr>
        <w:spacing w:line="240" w:lineRule="atLeast"/>
        <w:rPr>
          <w:rFonts w:ascii="Tahoma" w:hAnsi="Tahoma"/>
          <w:color w:val="000000" w:themeColor="text1"/>
          <w:sz w:val="16"/>
        </w:rPr>
      </w:pPr>
    </w:p>
    <w:p w14:paraId="7C40E65B" w14:textId="77777777" w:rsidR="00D40B19" w:rsidRPr="002F078E" w:rsidRDefault="00D40B19" w:rsidP="00615190">
      <w:pPr>
        <w:spacing w:line="240" w:lineRule="atLeast"/>
        <w:rPr>
          <w:rFonts w:ascii="Tahoma" w:hAnsi="Tahoma"/>
          <w:b/>
          <w:bCs/>
          <w:color w:val="7F7F7F" w:themeColor="text1" w:themeTint="80"/>
          <w:sz w:val="16"/>
        </w:rPr>
      </w:pPr>
      <w:r w:rsidRPr="002F078E">
        <w:rPr>
          <w:rFonts w:ascii="Tahoma" w:hAnsi="Tahoma"/>
          <w:b/>
          <w:bCs/>
          <w:color w:val="7F7F7F" w:themeColor="text1" w:themeTint="80"/>
          <w:sz w:val="16"/>
        </w:rPr>
        <w:t>Tencent</w:t>
      </w:r>
    </w:p>
    <w:p w14:paraId="60D22C77"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Tencent navigated through macro and sectoral challenges by enhancing efficiency, launching new revenue initiatives and investing in strategic growth areas.</w:t>
      </w:r>
    </w:p>
    <w:p w14:paraId="7A00B15C" w14:textId="77777777" w:rsidR="00D40B19" w:rsidRPr="00615190" w:rsidRDefault="00D40B19" w:rsidP="00615190">
      <w:pPr>
        <w:spacing w:line="240" w:lineRule="atLeast"/>
        <w:rPr>
          <w:rFonts w:ascii="Tahoma" w:hAnsi="Tahoma"/>
          <w:color w:val="000000" w:themeColor="text1"/>
          <w:sz w:val="16"/>
        </w:rPr>
      </w:pPr>
    </w:p>
    <w:p w14:paraId="07A1185A"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For the six months ended 30 June 2022, it reported revenues of RMB269.5bn, down 1% from last year. Non-IFRS profit attributable to shareholders (Tencent’s measure of normalised performance) reduced from RMB67.2bn to RMB53.7bn.</w:t>
      </w:r>
    </w:p>
    <w:p w14:paraId="4A2FE6F9" w14:textId="77777777" w:rsidR="00D40B19" w:rsidRPr="00615190" w:rsidRDefault="00D40B19" w:rsidP="00615190">
      <w:pPr>
        <w:spacing w:line="240" w:lineRule="atLeast"/>
        <w:rPr>
          <w:rFonts w:ascii="Tahoma" w:hAnsi="Tahoma"/>
          <w:color w:val="000000" w:themeColor="text1"/>
          <w:sz w:val="16"/>
        </w:rPr>
      </w:pPr>
    </w:p>
    <w:p w14:paraId="2ABCB3BA"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Revenues from value-added services were flat at RMB144.4bn. This was driven by the domestic and international games markets, which experienced industry challenges and post-pandemic normalisation respectively, and the growth in Video Accounts live-streaming services, offset by the decline in music and games-related live-streaming services. Revenues from fintech and business services were RMB85bn, up 5%, despite commercial payment activities being temporarily inhibited by the pandemic and as the company scaled back loss-making business service activities. Revenues from the online advertising business decreased 18% to RMB36.6bn, impacted by macro challenges.</w:t>
      </w:r>
    </w:p>
    <w:p w14:paraId="2447B52C" w14:textId="77777777" w:rsidR="00D40B19" w:rsidRPr="00615190" w:rsidRDefault="00D40B19" w:rsidP="00615190">
      <w:pPr>
        <w:spacing w:line="240" w:lineRule="atLeast"/>
        <w:rPr>
          <w:rFonts w:ascii="Tahoma" w:hAnsi="Tahoma"/>
          <w:color w:val="000000" w:themeColor="text1"/>
          <w:sz w:val="16"/>
        </w:rPr>
      </w:pPr>
    </w:p>
    <w:p w14:paraId="6DFE2136"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 xml:space="preserve">The combined monthly active users of </w:t>
      </w:r>
      <w:proofErr w:type="spellStart"/>
      <w:r w:rsidRPr="00615190">
        <w:rPr>
          <w:rFonts w:ascii="Tahoma" w:hAnsi="Tahoma"/>
          <w:color w:val="000000" w:themeColor="text1"/>
          <w:sz w:val="16"/>
        </w:rPr>
        <w:t>Weixin</w:t>
      </w:r>
      <w:proofErr w:type="spellEnd"/>
      <w:r w:rsidRPr="00615190">
        <w:rPr>
          <w:rFonts w:ascii="Tahoma" w:hAnsi="Tahoma"/>
          <w:color w:val="000000" w:themeColor="text1"/>
          <w:sz w:val="16"/>
        </w:rPr>
        <w:t xml:space="preserve"> and WeChat grew by 4% to 1.3 billion. Mini Programs’ daily active users exceeded 500 million in the first quarter, with increasing penetration in retail, restaurant and municipal services. Video Accounts deepened user engagement, with total video views up more than 200% year on year and daily video uploads up more than 100% year on year in the second quarter. Video Accounts introduced new in-feed and bidding ads in the third quarter to enhance monetisation progressively.</w:t>
      </w:r>
    </w:p>
    <w:p w14:paraId="494D18B7" w14:textId="77777777" w:rsidR="00D40B19" w:rsidRPr="00615190" w:rsidRDefault="00D40B19" w:rsidP="00615190">
      <w:pPr>
        <w:spacing w:line="240" w:lineRule="atLeast"/>
        <w:rPr>
          <w:rFonts w:ascii="Tahoma" w:hAnsi="Tahoma"/>
          <w:color w:val="000000" w:themeColor="text1"/>
          <w:sz w:val="16"/>
        </w:rPr>
      </w:pPr>
    </w:p>
    <w:p w14:paraId="2DBA0750" w14:textId="3AABC75D" w:rsidR="00D40B19"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Led by its mission of Tech For Good, Tencent is committed to building a sustainable future for its consumers, enterprises and society at large. The company also announced plans to achieve carbon-neutrality in its own operations and supply chain by 2030.</w:t>
      </w:r>
    </w:p>
    <w:p w14:paraId="6B0C1645" w14:textId="49BF4CF4" w:rsidR="00B16C9F" w:rsidRDefault="00B16C9F" w:rsidP="00615190">
      <w:pPr>
        <w:spacing w:line="240" w:lineRule="atLeast"/>
        <w:rPr>
          <w:rFonts w:ascii="Tahoma" w:hAnsi="Tahoma"/>
          <w:color w:val="000000" w:themeColor="text1"/>
          <w:sz w:val="16"/>
        </w:rPr>
      </w:pPr>
    </w:p>
    <w:p w14:paraId="4AF7F818" w14:textId="563537E9" w:rsidR="00B16C9F" w:rsidRPr="00615190" w:rsidRDefault="00B16C9F" w:rsidP="00B16C9F">
      <w:pPr>
        <w:spacing w:line="240" w:lineRule="atLeast"/>
        <w:rPr>
          <w:rFonts w:ascii="Tahoma" w:hAnsi="Tahoma"/>
          <w:color w:val="000000" w:themeColor="text1"/>
          <w:sz w:val="16"/>
        </w:rPr>
      </w:pPr>
      <w:r w:rsidRPr="00B16C9F">
        <w:rPr>
          <w:rFonts w:ascii="Tahoma" w:hAnsi="Tahoma"/>
          <w:color w:val="000000" w:themeColor="text1"/>
          <w:sz w:val="16"/>
        </w:rPr>
        <w:t>On 16 November 2022, Tencent announced a</w:t>
      </w:r>
      <w:r>
        <w:rPr>
          <w:rFonts w:ascii="Tahoma" w:hAnsi="Tahoma"/>
          <w:color w:val="000000" w:themeColor="text1"/>
          <w:sz w:val="16"/>
        </w:rPr>
        <w:t xml:space="preserve"> </w:t>
      </w:r>
      <w:r w:rsidRPr="00B16C9F">
        <w:rPr>
          <w:rFonts w:ascii="Tahoma" w:hAnsi="Tahoma"/>
          <w:color w:val="000000" w:themeColor="text1"/>
          <w:sz w:val="16"/>
        </w:rPr>
        <w:t>special divided in the form of a distribution in</w:t>
      </w:r>
      <w:r>
        <w:rPr>
          <w:rFonts w:ascii="Tahoma" w:hAnsi="Tahoma"/>
          <w:color w:val="000000" w:themeColor="text1"/>
          <w:sz w:val="16"/>
        </w:rPr>
        <w:t xml:space="preserve"> </w:t>
      </w:r>
      <w:r w:rsidRPr="00B16C9F">
        <w:rPr>
          <w:rFonts w:ascii="Tahoma" w:hAnsi="Tahoma"/>
          <w:color w:val="000000" w:themeColor="text1"/>
          <w:sz w:val="16"/>
        </w:rPr>
        <w:t xml:space="preserve">specie of approximately 958 000 000 </w:t>
      </w:r>
      <w:proofErr w:type="spellStart"/>
      <w:r w:rsidRPr="00B16C9F">
        <w:rPr>
          <w:rFonts w:ascii="Tahoma" w:hAnsi="Tahoma"/>
          <w:color w:val="000000" w:themeColor="text1"/>
          <w:sz w:val="16"/>
        </w:rPr>
        <w:t>Meituan</w:t>
      </w:r>
      <w:proofErr w:type="spellEnd"/>
      <w:r>
        <w:rPr>
          <w:rFonts w:ascii="Tahoma" w:hAnsi="Tahoma"/>
          <w:color w:val="000000" w:themeColor="text1"/>
          <w:sz w:val="16"/>
        </w:rPr>
        <w:t xml:space="preserve"> </w:t>
      </w:r>
      <w:r w:rsidRPr="00B16C9F">
        <w:rPr>
          <w:rFonts w:ascii="Tahoma" w:hAnsi="Tahoma"/>
          <w:color w:val="000000" w:themeColor="text1"/>
          <w:sz w:val="16"/>
        </w:rPr>
        <w:t>shares to its shareholders. Upon receipt of our</w:t>
      </w:r>
      <w:r>
        <w:rPr>
          <w:rFonts w:ascii="Tahoma" w:hAnsi="Tahoma"/>
          <w:color w:val="000000" w:themeColor="text1"/>
          <w:sz w:val="16"/>
        </w:rPr>
        <w:t xml:space="preserve"> </w:t>
      </w:r>
      <w:r w:rsidRPr="00B16C9F">
        <w:rPr>
          <w:rFonts w:ascii="Tahoma" w:hAnsi="Tahoma"/>
          <w:color w:val="000000" w:themeColor="text1"/>
          <w:sz w:val="16"/>
        </w:rPr>
        <w:t xml:space="preserve">share of the </w:t>
      </w:r>
      <w:proofErr w:type="spellStart"/>
      <w:r w:rsidRPr="00B16C9F">
        <w:rPr>
          <w:rFonts w:ascii="Tahoma" w:hAnsi="Tahoma"/>
          <w:color w:val="000000" w:themeColor="text1"/>
          <w:sz w:val="16"/>
        </w:rPr>
        <w:t>Meituan</w:t>
      </w:r>
      <w:proofErr w:type="spellEnd"/>
      <w:r w:rsidRPr="00B16C9F">
        <w:rPr>
          <w:rFonts w:ascii="Tahoma" w:hAnsi="Tahoma"/>
          <w:color w:val="000000" w:themeColor="text1"/>
          <w:sz w:val="16"/>
        </w:rPr>
        <w:t xml:space="preserve"> shares, we will consider</w:t>
      </w:r>
      <w:r>
        <w:rPr>
          <w:rFonts w:ascii="Tahoma" w:hAnsi="Tahoma"/>
          <w:color w:val="000000" w:themeColor="text1"/>
          <w:sz w:val="16"/>
        </w:rPr>
        <w:t xml:space="preserve"> </w:t>
      </w:r>
      <w:r w:rsidRPr="00B16C9F">
        <w:rPr>
          <w:rFonts w:ascii="Tahoma" w:hAnsi="Tahoma"/>
          <w:color w:val="000000" w:themeColor="text1"/>
          <w:sz w:val="16"/>
        </w:rPr>
        <w:t>these as held for sale.</w:t>
      </w:r>
    </w:p>
    <w:p w14:paraId="54B751F1" w14:textId="77777777" w:rsidR="00D40B19" w:rsidRPr="00615190" w:rsidRDefault="00D40B19" w:rsidP="00615190">
      <w:pPr>
        <w:spacing w:line="240" w:lineRule="atLeast"/>
        <w:rPr>
          <w:rFonts w:ascii="Tahoma" w:hAnsi="Tahoma"/>
          <w:color w:val="000000" w:themeColor="text1"/>
          <w:sz w:val="16"/>
        </w:rPr>
      </w:pPr>
    </w:p>
    <w:p w14:paraId="17CF6824"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More information on Tencent is available at www.tencent.com/en-us/investors.</w:t>
      </w:r>
    </w:p>
    <w:p w14:paraId="0ADADB8A" w14:textId="77777777" w:rsidR="00D40B19" w:rsidRPr="00615190" w:rsidRDefault="00D40B19" w:rsidP="00615190">
      <w:pPr>
        <w:spacing w:line="240" w:lineRule="atLeast"/>
        <w:rPr>
          <w:rFonts w:ascii="Tahoma" w:hAnsi="Tahoma"/>
          <w:color w:val="000000" w:themeColor="text1"/>
          <w:sz w:val="16"/>
        </w:rPr>
      </w:pPr>
    </w:p>
    <w:p w14:paraId="0924E1ED" w14:textId="77777777" w:rsidR="00D40B19" w:rsidRPr="002E6CC3" w:rsidRDefault="002E6CC3" w:rsidP="00615190">
      <w:pPr>
        <w:spacing w:line="240" w:lineRule="atLeast"/>
        <w:rPr>
          <w:rFonts w:ascii="Tahoma" w:hAnsi="Tahoma"/>
          <w:b/>
          <w:bCs/>
          <w:color w:val="000000" w:themeColor="text1"/>
          <w:sz w:val="16"/>
        </w:rPr>
      </w:pPr>
      <w:r w:rsidRPr="002E6CC3">
        <w:rPr>
          <w:rFonts w:ascii="Tahoma" w:hAnsi="Tahoma"/>
          <w:b/>
          <w:bCs/>
          <w:color w:val="000000" w:themeColor="text1"/>
          <w:sz w:val="16"/>
        </w:rPr>
        <w:t>PROSPECTS</w:t>
      </w:r>
    </w:p>
    <w:p w14:paraId="66FBFBB1"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We adapted our strategy to the uncertain macroeconomic environment to drive continued development of valuable, global consumer internet businesses. The fundamentals of our businesses remain sound. We continue to have conviction in our platforms and are excited about the opportunities before us.</w:t>
      </w:r>
    </w:p>
    <w:p w14:paraId="6BF390C9" w14:textId="77777777" w:rsidR="00D40B19" w:rsidRPr="00615190" w:rsidRDefault="00D40B19" w:rsidP="00615190">
      <w:pPr>
        <w:spacing w:line="240" w:lineRule="atLeast"/>
        <w:rPr>
          <w:rFonts w:ascii="Tahoma" w:hAnsi="Tahoma"/>
          <w:color w:val="000000" w:themeColor="text1"/>
          <w:sz w:val="16"/>
        </w:rPr>
      </w:pPr>
    </w:p>
    <w:p w14:paraId="7A0666E7"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We are long-term investors and have invested through various economic downturns in volatile internet markets. We intend to remain disciplined in our capital allocation, as investments now face a higher bar. We will continue to drive profitability, build scale and take action to manage expenses and free cash flow, even while we invest for growth. In the current environment, we maintain our preference for organic investment – focused on autos transactions, credit, and food and grocery delivery. Also, to build capabilities, expand ecosystems and improve competitiveness to accelerate growth and deliver returns across our portfolio. This will expand the profit potential of our ecosystems over the medium term.</w:t>
      </w:r>
    </w:p>
    <w:p w14:paraId="62A69DBB" w14:textId="77777777" w:rsidR="00D40B19" w:rsidRPr="00615190" w:rsidRDefault="00D40B19" w:rsidP="00615190">
      <w:pPr>
        <w:spacing w:line="240" w:lineRule="atLeast"/>
        <w:rPr>
          <w:rFonts w:ascii="Tahoma" w:hAnsi="Tahoma"/>
          <w:color w:val="000000" w:themeColor="text1"/>
          <w:sz w:val="16"/>
        </w:rPr>
      </w:pPr>
    </w:p>
    <w:p w14:paraId="2CFE0BD7"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A healthy liquidity profile is helpful in uncertain times. Our ambition remains to manage the balance sheet within our investment-grade rating. Finally, we remain committed to taking structural actions to unlock value for our shareholders over time, including continuing our open-ended buyback as long as the discount remains elevated, which structurally improves returns on investment.</w:t>
      </w:r>
    </w:p>
    <w:p w14:paraId="29190914" w14:textId="77777777" w:rsidR="00D40B19" w:rsidRPr="00615190" w:rsidRDefault="00D40B19" w:rsidP="00615190">
      <w:pPr>
        <w:spacing w:line="240" w:lineRule="atLeast"/>
        <w:rPr>
          <w:rFonts w:ascii="Tahoma" w:hAnsi="Tahoma"/>
          <w:color w:val="000000" w:themeColor="text1"/>
          <w:sz w:val="16"/>
        </w:rPr>
      </w:pPr>
    </w:p>
    <w:p w14:paraId="407E132A" w14:textId="77777777" w:rsidR="00D40B19" w:rsidRPr="00490D62" w:rsidRDefault="00490D62" w:rsidP="00615190">
      <w:pPr>
        <w:spacing w:line="240" w:lineRule="atLeast"/>
        <w:rPr>
          <w:rFonts w:ascii="Tahoma" w:hAnsi="Tahoma"/>
          <w:b/>
          <w:bCs/>
          <w:color w:val="000000" w:themeColor="text1"/>
          <w:sz w:val="16"/>
        </w:rPr>
      </w:pPr>
      <w:r w:rsidRPr="00490D62">
        <w:rPr>
          <w:rFonts w:ascii="Tahoma" w:hAnsi="Tahoma"/>
          <w:b/>
          <w:bCs/>
          <w:color w:val="000000" w:themeColor="text1"/>
          <w:sz w:val="16"/>
        </w:rPr>
        <w:t>RISKS</w:t>
      </w:r>
    </w:p>
    <w:p w14:paraId="3FB2165D"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At heart, we are entrepreneurs. No business can thrive and aim for greater things without accepting some risks. We seek to create sustainable value by investing in or operating leading companies that empower people and enrich communities using technology. In pursuing opportunities, setting our strategy, and working towards our goals, we acknowledge that success depends on how well we understand and manage associated risks so that we can accept them responsibly.</w:t>
      </w:r>
    </w:p>
    <w:p w14:paraId="2E10BB0A" w14:textId="77777777" w:rsidR="00D40B19" w:rsidRPr="00615190" w:rsidRDefault="00D40B19" w:rsidP="00615190">
      <w:pPr>
        <w:spacing w:line="240" w:lineRule="atLeast"/>
        <w:rPr>
          <w:rFonts w:ascii="Tahoma" w:hAnsi="Tahoma"/>
          <w:color w:val="000000" w:themeColor="text1"/>
          <w:sz w:val="16"/>
        </w:rPr>
      </w:pPr>
    </w:p>
    <w:p w14:paraId="52E42C86"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The past half year has been characterised by a toughening global business environment. Energy shortages have pushed prices to record levels with rapidly rising inflation and interest rates. Other resource shortages amplify these effects.</w:t>
      </w:r>
    </w:p>
    <w:p w14:paraId="168CEBDF" w14:textId="77777777" w:rsidR="00D40B19" w:rsidRPr="00615190" w:rsidRDefault="00D40B19" w:rsidP="00615190">
      <w:pPr>
        <w:spacing w:line="240" w:lineRule="atLeast"/>
        <w:rPr>
          <w:rFonts w:ascii="Tahoma" w:hAnsi="Tahoma"/>
          <w:color w:val="000000" w:themeColor="text1"/>
          <w:sz w:val="16"/>
        </w:rPr>
      </w:pPr>
    </w:p>
    <w:p w14:paraId="37417FA9"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lastRenderedPageBreak/>
        <w:t>We need to navigate the additional risks within this hardening environment carefully. As a group, we allocate capital to grow existing businesses and acquire interests in those with potential for future growth, which involves a constant evaluation of opportunities and risks. While growth opportunities remain, we temper M&amp;A and investment. We are cutting costs to drive profitability and reduce risk.</w:t>
      </w:r>
    </w:p>
    <w:p w14:paraId="66CB5254" w14:textId="77777777" w:rsidR="00D40B19" w:rsidRPr="00615190" w:rsidRDefault="00D40B19" w:rsidP="00615190">
      <w:pPr>
        <w:spacing w:line="240" w:lineRule="atLeast"/>
        <w:rPr>
          <w:rFonts w:ascii="Tahoma" w:hAnsi="Tahoma"/>
          <w:color w:val="000000" w:themeColor="text1"/>
          <w:sz w:val="16"/>
        </w:rPr>
      </w:pPr>
    </w:p>
    <w:p w14:paraId="21225BDA"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Sustainability has become a leading theme. As a digital technology group, our businesses are software-driven, asset-light and low-carbon. Applying our principle of ‘solving for local needs’, our portfolio companies identify and manage risks while pursuing opportunities in the context of local operating environments. We pursue opportunities for the group to differentiate in local markets with a clear position on climate change. The health, safety and wellbeing of our people and others who support our businesses (</w:t>
      </w:r>
      <w:proofErr w:type="spellStart"/>
      <w:r w:rsidRPr="00615190">
        <w:rPr>
          <w:rFonts w:ascii="Tahoma" w:hAnsi="Tahoma"/>
          <w:color w:val="000000" w:themeColor="text1"/>
          <w:sz w:val="16"/>
        </w:rPr>
        <w:t>eg</w:t>
      </w:r>
      <w:proofErr w:type="spellEnd"/>
      <w:r w:rsidRPr="00615190">
        <w:rPr>
          <w:rFonts w:ascii="Tahoma" w:hAnsi="Tahoma"/>
          <w:color w:val="000000" w:themeColor="text1"/>
          <w:sz w:val="16"/>
        </w:rPr>
        <w:t xml:space="preserve"> independent deliverers) are primary concerns. The commitments we undertake come with known and new, emerging risks, which we evaluate and manage. We remain compliant with local legislation and ever-increasing regulation. We view compliance as a natural outcome of the business ethics and behaviours we codify.</w:t>
      </w:r>
    </w:p>
    <w:p w14:paraId="3E2A6CEC" w14:textId="77777777" w:rsidR="00D40B19" w:rsidRPr="00615190" w:rsidRDefault="00D40B19" w:rsidP="00615190">
      <w:pPr>
        <w:spacing w:line="240" w:lineRule="atLeast"/>
        <w:rPr>
          <w:rFonts w:ascii="Tahoma" w:hAnsi="Tahoma"/>
          <w:color w:val="000000" w:themeColor="text1"/>
          <w:sz w:val="16"/>
        </w:rPr>
      </w:pPr>
    </w:p>
    <w:p w14:paraId="7CA17272"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Some of our historical investments comprise significant stakes in businesses and listed entities that we do not control but which, due to their size, have a major impact on our results and net assets. Debt we assume to finance our growth presents additional risk. With rising inflation and financial markets in turbulence, maintaining access to capital has become harder. Specific other key risks we identify – and actively manage in our businesses – include the use of technology and information systems. We aim to deliver our services within set parameters for responsible data use, data security, service continuity and compliance with applicable laws and regulations. Staying ahead technology-wise and developing compelling, safe solutions for our customers is a business imperative. We need to navigate rapid technological change, evolving consumer preferences, rampant cybercrime, and scarcity of engineering talent.</w:t>
      </w:r>
    </w:p>
    <w:p w14:paraId="58B08203" w14:textId="77777777" w:rsidR="00D40B19" w:rsidRPr="00615190" w:rsidRDefault="00D40B19" w:rsidP="00615190">
      <w:pPr>
        <w:spacing w:line="240" w:lineRule="atLeast"/>
        <w:rPr>
          <w:rFonts w:ascii="Tahoma" w:hAnsi="Tahoma"/>
          <w:color w:val="000000" w:themeColor="text1"/>
          <w:sz w:val="16"/>
        </w:rPr>
      </w:pPr>
    </w:p>
    <w:p w14:paraId="06789E03"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Our board oversees risks and opportunities and sets the boundaries within which those risks must be managed. Our businesses are required to keep our board updated through regular reports. Specific risks and uncertainties, and mitigating measures, were also outlined in the FY22 integrated annual report in the section ‘Managing risks and opportunities’. This report is available on our website.</w:t>
      </w:r>
    </w:p>
    <w:p w14:paraId="5C52824D" w14:textId="77777777" w:rsidR="00D40B19" w:rsidRPr="00615190" w:rsidRDefault="00D40B19" w:rsidP="00615190">
      <w:pPr>
        <w:spacing w:line="240" w:lineRule="atLeast"/>
        <w:rPr>
          <w:rFonts w:ascii="Tahoma" w:hAnsi="Tahoma"/>
          <w:color w:val="000000" w:themeColor="text1"/>
          <w:sz w:val="16"/>
        </w:rPr>
      </w:pPr>
    </w:p>
    <w:p w14:paraId="645D9A10" w14:textId="77777777" w:rsidR="00D40B19" w:rsidRPr="007B09C3" w:rsidRDefault="007B09C3" w:rsidP="00615190">
      <w:pPr>
        <w:spacing w:line="240" w:lineRule="atLeast"/>
        <w:rPr>
          <w:rFonts w:ascii="Tahoma" w:hAnsi="Tahoma"/>
          <w:b/>
          <w:bCs/>
          <w:color w:val="000000" w:themeColor="text1"/>
          <w:sz w:val="16"/>
        </w:rPr>
      </w:pPr>
      <w:r w:rsidRPr="007B09C3">
        <w:rPr>
          <w:rFonts w:ascii="Tahoma" w:hAnsi="Tahoma"/>
          <w:b/>
          <w:bCs/>
          <w:color w:val="000000" w:themeColor="text1"/>
          <w:sz w:val="16"/>
        </w:rPr>
        <w:t>SUSTAINABILITY</w:t>
      </w:r>
    </w:p>
    <w:p w14:paraId="75EC4CB3"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As a global consumer internet group and a leading long-term technology investor, we recognise the power of technology to create solutions for some of the world’s most pressing needs. We see technology as the cornerstone of a successful transition to a green economy that is inclusive and leaves no one behind.</w:t>
      </w:r>
    </w:p>
    <w:p w14:paraId="054756A8" w14:textId="77777777" w:rsidR="00D40B19" w:rsidRPr="00615190" w:rsidRDefault="00D40B19" w:rsidP="00615190">
      <w:pPr>
        <w:spacing w:line="240" w:lineRule="atLeast"/>
        <w:rPr>
          <w:rFonts w:ascii="Tahoma" w:hAnsi="Tahoma"/>
          <w:color w:val="000000" w:themeColor="text1"/>
          <w:sz w:val="16"/>
        </w:rPr>
      </w:pPr>
    </w:p>
    <w:p w14:paraId="1CD4269A"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Across the globe, we are identifying scalable technologies, partnerships and strategies to reduce our environmental impact and improve performance that is fundamental to ensuring our own low-carbon growth.</w:t>
      </w:r>
    </w:p>
    <w:p w14:paraId="11D9A4EF" w14:textId="77777777" w:rsidR="00D40B19" w:rsidRPr="00615190" w:rsidRDefault="00D40B19" w:rsidP="00615190">
      <w:pPr>
        <w:spacing w:line="240" w:lineRule="atLeast"/>
        <w:rPr>
          <w:rFonts w:ascii="Tahoma" w:hAnsi="Tahoma"/>
          <w:color w:val="000000" w:themeColor="text1"/>
          <w:sz w:val="16"/>
        </w:rPr>
      </w:pPr>
    </w:p>
    <w:p w14:paraId="65992722"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We signed The Climate Pledge, a commitment to reach net-zero carbon emissions by 2040 – 10 years ahead of the goal set in the United Nations’ Paris Climate Agreement.</w:t>
      </w:r>
    </w:p>
    <w:p w14:paraId="3F7F3A0A" w14:textId="77777777" w:rsidR="00D40B19" w:rsidRPr="00615190" w:rsidRDefault="00D40B19" w:rsidP="00615190">
      <w:pPr>
        <w:spacing w:line="240" w:lineRule="atLeast"/>
        <w:rPr>
          <w:rFonts w:ascii="Tahoma" w:hAnsi="Tahoma"/>
          <w:color w:val="000000" w:themeColor="text1"/>
          <w:sz w:val="16"/>
        </w:rPr>
      </w:pPr>
    </w:p>
    <w:p w14:paraId="0EE260AF"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We joined the Partnership for Carbon Accounting Financials (PCAF), a global collaboration between investors and financial institutions to standardise frameworks for climate accounting and target setting. The partnership further strengthens our commitment to contribute to a decarbonised world.</w:t>
      </w:r>
    </w:p>
    <w:p w14:paraId="1DA3E541" w14:textId="77777777" w:rsidR="00D40B19" w:rsidRPr="00615190" w:rsidRDefault="00D40B19" w:rsidP="00615190">
      <w:pPr>
        <w:spacing w:line="240" w:lineRule="atLeast"/>
        <w:rPr>
          <w:rFonts w:ascii="Tahoma" w:hAnsi="Tahoma"/>
          <w:color w:val="000000" w:themeColor="text1"/>
          <w:sz w:val="16"/>
        </w:rPr>
      </w:pPr>
    </w:p>
    <w:p w14:paraId="339EB3A0"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 xml:space="preserve">We continue to invest in early-stage, sustainability-themed opportunities via Naspers Foundry and </w:t>
      </w:r>
      <w:proofErr w:type="spellStart"/>
      <w:r w:rsidRPr="00615190">
        <w:rPr>
          <w:rFonts w:ascii="Tahoma" w:hAnsi="Tahoma"/>
          <w:color w:val="000000" w:themeColor="text1"/>
          <w:sz w:val="16"/>
        </w:rPr>
        <w:t>Prosus</w:t>
      </w:r>
      <w:proofErr w:type="spellEnd"/>
      <w:r w:rsidRPr="00615190">
        <w:rPr>
          <w:rFonts w:ascii="Tahoma" w:hAnsi="Tahoma"/>
          <w:color w:val="000000" w:themeColor="text1"/>
          <w:sz w:val="16"/>
        </w:rPr>
        <w:t xml:space="preserve"> Ventures. Naspers Foundry invested in Nile, an </w:t>
      </w:r>
      <w:proofErr w:type="spellStart"/>
      <w:r w:rsidRPr="00615190">
        <w:rPr>
          <w:rFonts w:ascii="Tahoma" w:hAnsi="Tahoma"/>
          <w:color w:val="000000" w:themeColor="text1"/>
          <w:sz w:val="16"/>
        </w:rPr>
        <w:t>agtech</w:t>
      </w:r>
      <w:proofErr w:type="spellEnd"/>
      <w:r w:rsidRPr="00615190">
        <w:rPr>
          <w:rFonts w:ascii="Tahoma" w:hAnsi="Tahoma"/>
          <w:color w:val="000000" w:themeColor="text1"/>
          <w:sz w:val="16"/>
        </w:rPr>
        <w:t xml:space="preserve"> company that connects farmers to buyers of fresh produce in South Africa. </w:t>
      </w:r>
      <w:proofErr w:type="spellStart"/>
      <w:r w:rsidRPr="00615190">
        <w:rPr>
          <w:rFonts w:ascii="Tahoma" w:hAnsi="Tahoma"/>
          <w:color w:val="000000" w:themeColor="text1"/>
          <w:sz w:val="16"/>
        </w:rPr>
        <w:t>Prosus</w:t>
      </w:r>
      <w:proofErr w:type="spellEnd"/>
      <w:r w:rsidRPr="00615190">
        <w:rPr>
          <w:rFonts w:ascii="Tahoma" w:hAnsi="Tahoma"/>
          <w:color w:val="000000" w:themeColor="text1"/>
          <w:sz w:val="16"/>
        </w:rPr>
        <w:t xml:space="preserve"> Ventures invested in </w:t>
      </w:r>
      <w:proofErr w:type="spellStart"/>
      <w:r w:rsidRPr="00615190">
        <w:rPr>
          <w:rFonts w:ascii="Tahoma" w:hAnsi="Tahoma"/>
          <w:color w:val="000000" w:themeColor="text1"/>
          <w:sz w:val="16"/>
        </w:rPr>
        <w:t>VeGrow</w:t>
      </w:r>
      <w:proofErr w:type="spellEnd"/>
      <w:r w:rsidRPr="00615190">
        <w:rPr>
          <w:rFonts w:ascii="Tahoma" w:hAnsi="Tahoma"/>
          <w:color w:val="000000" w:themeColor="text1"/>
          <w:sz w:val="16"/>
        </w:rPr>
        <w:t xml:space="preserve">, an India-based </w:t>
      </w:r>
      <w:proofErr w:type="spellStart"/>
      <w:r w:rsidRPr="00615190">
        <w:rPr>
          <w:rFonts w:ascii="Tahoma" w:hAnsi="Tahoma"/>
          <w:color w:val="000000" w:themeColor="text1"/>
          <w:sz w:val="16"/>
        </w:rPr>
        <w:t>agtech</w:t>
      </w:r>
      <w:proofErr w:type="spellEnd"/>
      <w:r w:rsidRPr="00615190">
        <w:rPr>
          <w:rFonts w:ascii="Tahoma" w:hAnsi="Tahoma"/>
          <w:color w:val="000000" w:themeColor="text1"/>
          <w:sz w:val="16"/>
        </w:rPr>
        <w:t xml:space="preserve"> company that aligns demand and supply for fruits, aggregating multiple channels in 100 cities on the demand side and more than 20 000 farmers on the supply side.</w:t>
      </w:r>
    </w:p>
    <w:p w14:paraId="6A5DBFC3" w14:textId="77777777" w:rsidR="00D40B19" w:rsidRPr="00615190" w:rsidRDefault="00D40B19" w:rsidP="00615190">
      <w:pPr>
        <w:spacing w:line="240" w:lineRule="atLeast"/>
        <w:rPr>
          <w:rFonts w:ascii="Tahoma" w:hAnsi="Tahoma"/>
          <w:color w:val="000000" w:themeColor="text1"/>
          <w:sz w:val="16"/>
        </w:rPr>
      </w:pPr>
    </w:p>
    <w:p w14:paraId="29929659"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 xml:space="preserve">Earlier this year, </w:t>
      </w:r>
      <w:proofErr w:type="spellStart"/>
      <w:r w:rsidRPr="00615190">
        <w:rPr>
          <w:rFonts w:ascii="Tahoma" w:hAnsi="Tahoma"/>
          <w:color w:val="000000" w:themeColor="text1"/>
          <w:sz w:val="16"/>
        </w:rPr>
        <w:t>Prosus</w:t>
      </w:r>
      <w:proofErr w:type="spellEnd"/>
      <w:r w:rsidRPr="00615190">
        <w:rPr>
          <w:rFonts w:ascii="Tahoma" w:hAnsi="Tahoma"/>
          <w:color w:val="000000" w:themeColor="text1"/>
          <w:sz w:val="16"/>
        </w:rPr>
        <w:t xml:space="preserve"> committed US$10m to support humanitarian aid efforts in Ukraine. Since then, we have deployed more than US$8m of the US$10m towards humanitarian relief efforts.</w:t>
      </w:r>
    </w:p>
    <w:p w14:paraId="779EAD7E" w14:textId="77777777" w:rsidR="00D40B19" w:rsidRPr="00615190" w:rsidRDefault="00D40B19" w:rsidP="00615190">
      <w:pPr>
        <w:spacing w:line="240" w:lineRule="atLeast"/>
        <w:rPr>
          <w:rFonts w:ascii="Tahoma" w:hAnsi="Tahoma"/>
          <w:color w:val="000000" w:themeColor="text1"/>
          <w:sz w:val="16"/>
        </w:rPr>
      </w:pPr>
    </w:p>
    <w:p w14:paraId="1D72C0D3"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We published our approach to artificial intelligence (AI) ethics, communicating the guiding principles that inform the work of the AI and data-science teams across our portfolio: a force for good, technical excellence, accountability and transparency, fairness, privacy and security.</w:t>
      </w:r>
    </w:p>
    <w:p w14:paraId="565C107B" w14:textId="77777777" w:rsidR="00D40B19" w:rsidRPr="00615190" w:rsidRDefault="00D40B19" w:rsidP="00615190">
      <w:pPr>
        <w:spacing w:line="240" w:lineRule="atLeast"/>
        <w:rPr>
          <w:rFonts w:ascii="Tahoma" w:hAnsi="Tahoma"/>
          <w:color w:val="000000" w:themeColor="text1"/>
          <w:sz w:val="16"/>
        </w:rPr>
      </w:pPr>
    </w:p>
    <w:p w14:paraId="24F11082"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 xml:space="preserve">Now in its third year, we launched the Social Impact Challenge for Accessibility (SICA) 2022 – an accelerator for India-based start-ups focused on advancing assistive technologies. </w:t>
      </w:r>
      <w:proofErr w:type="spellStart"/>
      <w:r w:rsidRPr="00615190">
        <w:rPr>
          <w:rFonts w:ascii="Tahoma" w:hAnsi="Tahoma"/>
          <w:color w:val="000000" w:themeColor="text1"/>
          <w:sz w:val="16"/>
        </w:rPr>
        <w:t>Prosus</w:t>
      </w:r>
      <w:proofErr w:type="spellEnd"/>
      <w:r w:rsidRPr="00615190">
        <w:rPr>
          <w:rFonts w:ascii="Tahoma" w:hAnsi="Tahoma"/>
          <w:color w:val="000000" w:themeColor="text1"/>
          <w:sz w:val="16"/>
        </w:rPr>
        <w:t xml:space="preserve"> runs SICA in partnership with </w:t>
      </w:r>
      <w:proofErr w:type="spellStart"/>
      <w:r w:rsidRPr="00615190">
        <w:rPr>
          <w:rFonts w:ascii="Tahoma" w:hAnsi="Tahoma"/>
          <w:color w:val="000000" w:themeColor="text1"/>
          <w:sz w:val="16"/>
        </w:rPr>
        <w:t>Startup</w:t>
      </w:r>
      <w:proofErr w:type="spellEnd"/>
      <w:r w:rsidRPr="00615190">
        <w:rPr>
          <w:rFonts w:ascii="Tahoma" w:hAnsi="Tahoma"/>
          <w:color w:val="000000" w:themeColor="text1"/>
          <w:sz w:val="16"/>
        </w:rPr>
        <w:t xml:space="preserve"> India, Invest India and Social Alpha. To date, </w:t>
      </w:r>
      <w:proofErr w:type="spellStart"/>
      <w:r w:rsidRPr="00615190">
        <w:rPr>
          <w:rFonts w:ascii="Tahoma" w:hAnsi="Tahoma"/>
          <w:color w:val="000000" w:themeColor="text1"/>
          <w:sz w:val="16"/>
        </w:rPr>
        <w:t>Prosus</w:t>
      </w:r>
      <w:proofErr w:type="spellEnd"/>
      <w:r w:rsidRPr="00615190">
        <w:rPr>
          <w:rFonts w:ascii="Tahoma" w:hAnsi="Tahoma"/>
          <w:color w:val="000000" w:themeColor="text1"/>
          <w:sz w:val="16"/>
        </w:rPr>
        <w:t xml:space="preserve"> has committed INR16.5m to the initiative and has supported 10 start-ups, all with access to their global mentorship programme, with six receiving direct grants. For SICA 2022, the top five start-ups will also have access to a pool of mentors and financing opportunities through SICA partners, including Invest India and Social Alpha, as well as the World Health Organization, which supports the programme with technical assistance.</w:t>
      </w:r>
    </w:p>
    <w:p w14:paraId="4F130C30" w14:textId="77777777" w:rsidR="00D40B19" w:rsidRPr="00615190" w:rsidRDefault="00D40B19" w:rsidP="00615190">
      <w:pPr>
        <w:spacing w:line="240" w:lineRule="atLeast"/>
        <w:rPr>
          <w:rFonts w:ascii="Tahoma" w:hAnsi="Tahoma"/>
          <w:color w:val="000000" w:themeColor="text1"/>
          <w:sz w:val="16"/>
        </w:rPr>
      </w:pPr>
    </w:p>
    <w:p w14:paraId="28C779C9" w14:textId="77777777" w:rsidR="00D40B19" w:rsidRPr="0056184E" w:rsidRDefault="0022001C" w:rsidP="00615190">
      <w:pPr>
        <w:spacing w:line="240" w:lineRule="atLeast"/>
        <w:rPr>
          <w:rFonts w:ascii="Tahoma" w:hAnsi="Tahoma"/>
          <w:b/>
          <w:bCs/>
          <w:color w:val="000000" w:themeColor="text1"/>
          <w:sz w:val="16"/>
        </w:rPr>
      </w:pPr>
      <w:r w:rsidRPr="0056184E">
        <w:rPr>
          <w:rFonts w:ascii="Tahoma" w:hAnsi="Tahoma"/>
          <w:b/>
          <w:bCs/>
          <w:color w:val="000000" w:themeColor="text1"/>
          <w:sz w:val="16"/>
        </w:rPr>
        <w:t>DIRECTORATE</w:t>
      </w:r>
    </w:p>
    <w:p w14:paraId="0797E086"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 xml:space="preserve">Effective 1 October 2022, Ms </w:t>
      </w:r>
      <w:proofErr w:type="spellStart"/>
      <w:r w:rsidRPr="00615190">
        <w:rPr>
          <w:rFonts w:ascii="Tahoma" w:hAnsi="Tahoma"/>
          <w:color w:val="000000" w:themeColor="text1"/>
          <w:sz w:val="16"/>
        </w:rPr>
        <w:t>Sharmistha</w:t>
      </w:r>
      <w:proofErr w:type="spellEnd"/>
      <w:r w:rsidRPr="00615190">
        <w:rPr>
          <w:rFonts w:ascii="Tahoma" w:hAnsi="Tahoma"/>
          <w:color w:val="000000" w:themeColor="text1"/>
          <w:sz w:val="16"/>
        </w:rPr>
        <w:t xml:space="preserve"> Dubey, independent non-executive director, was appointed as a member of the audit committee, enhancing the composition of this committee.</w:t>
      </w:r>
    </w:p>
    <w:p w14:paraId="688D399D" w14:textId="77777777" w:rsidR="00D40B19" w:rsidRPr="00615190" w:rsidRDefault="00D40B19" w:rsidP="00615190">
      <w:pPr>
        <w:spacing w:line="240" w:lineRule="atLeast"/>
        <w:rPr>
          <w:rFonts w:ascii="Tahoma" w:hAnsi="Tahoma"/>
          <w:color w:val="000000" w:themeColor="text1"/>
          <w:sz w:val="16"/>
        </w:rPr>
      </w:pPr>
    </w:p>
    <w:p w14:paraId="00CA71C9" w14:textId="77777777" w:rsidR="00B16C9F" w:rsidRDefault="00B16C9F">
      <w:pPr>
        <w:rPr>
          <w:rFonts w:ascii="Tahoma" w:hAnsi="Tahoma"/>
          <w:b/>
          <w:bCs/>
          <w:color w:val="000000" w:themeColor="text1"/>
          <w:sz w:val="16"/>
        </w:rPr>
      </w:pPr>
      <w:r>
        <w:rPr>
          <w:rFonts w:ascii="Tahoma" w:hAnsi="Tahoma"/>
          <w:b/>
          <w:bCs/>
          <w:color w:val="000000" w:themeColor="text1"/>
          <w:sz w:val="16"/>
        </w:rPr>
        <w:br w:type="page"/>
      </w:r>
    </w:p>
    <w:p w14:paraId="0CE81A13" w14:textId="32D3C21C" w:rsidR="00D40B19" w:rsidRPr="0022001C" w:rsidRDefault="0022001C" w:rsidP="00615190">
      <w:pPr>
        <w:spacing w:line="240" w:lineRule="atLeast"/>
        <w:rPr>
          <w:rFonts w:ascii="Tahoma" w:hAnsi="Tahoma"/>
          <w:b/>
          <w:bCs/>
          <w:color w:val="000000" w:themeColor="text1"/>
          <w:sz w:val="16"/>
        </w:rPr>
      </w:pPr>
      <w:r w:rsidRPr="0022001C">
        <w:rPr>
          <w:rFonts w:ascii="Tahoma" w:hAnsi="Tahoma"/>
          <w:b/>
          <w:bCs/>
          <w:color w:val="000000" w:themeColor="text1"/>
          <w:sz w:val="16"/>
        </w:rPr>
        <w:lastRenderedPageBreak/>
        <w:t>INDEPENDENT AUDITOR’S REVIEW OF THE CONDENSED CONSOLIDATED INTERIM FINANCIAL STATEMENTS</w:t>
      </w:r>
    </w:p>
    <w:p w14:paraId="3F3CFCCE"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The condensed consolidated interim financial statements for the six months ended 30 September 2022 have been reviewed by PricewaterhouseCoopers Accountants N.V., our independent auditor whose unmodified report is appended to these condensed consolidated interim financial statements.</w:t>
      </w:r>
    </w:p>
    <w:p w14:paraId="281E3455" w14:textId="717BD5AD" w:rsidR="00696470" w:rsidRDefault="00696470">
      <w:pPr>
        <w:rPr>
          <w:rFonts w:ascii="Tahoma" w:hAnsi="Tahoma"/>
          <w:color w:val="000000" w:themeColor="text1"/>
          <w:sz w:val="16"/>
        </w:rPr>
      </w:pPr>
    </w:p>
    <w:p w14:paraId="29CA673D" w14:textId="77777777" w:rsidR="00D40B19" w:rsidRPr="00696470" w:rsidRDefault="00696470" w:rsidP="00615190">
      <w:pPr>
        <w:spacing w:line="240" w:lineRule="atLeast"/>
        <w:rPr>
          <w:rFonts w:ascii="Tahoma" w:hAnsi="Tahoma"/>
          <w:b/>
          <w:bCs/>
          <w:color w:val="000000" w:themeColor="text1"/>
          <w:sz w:val="16"/>
        </w:rPr>
      </w:pPr>
      <w:r w:rsidRPr="00696470">
        <w:rPr>
          <w:rFonts w:ascii="Tahoma" w:hAnsi="Tahoma"/>
          <w:b/>
          <w:bCs/>
          <w:color w:val="000000" w:themeColor="text1"/>
          <w:sz w:val="16"/>
        </w:rPr>
        <w:t>RESPONSIBILITY STATEMENT ON THE CONDENSED CONSOLIDATED INTERIM FINANCIAL STATEMENTS</w:t>
      </w:r>
    </w:p>
    <w:p w14:paraId="54E75824"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 xml:space="preserve">We have prepared the condensed consolidated interim financial statements of </w:t>
      </w:r>
      <w:proofErr w:type="spellStart"/>
      <w:r w:rsidRPr="00615190">
        <w:rPr>
          <w:rFonts w:ascii="Tahoma" w:hAnsi="Tahoma"/>
          <w:color w:val="000000" w:themeColor="text1"/>
          <w:sz w:val="16"/>
        </w:rPr>
        <w:t>Prosus</w:t>
      </w:r>
      <w:proofErr w:type="spellEnd"/>
      <w:r w:rsidRPr="00615190">
        <w:rPr>
          <w:rFonts w:ascii="Tahoma" w:hAnsi="Tahoma"/>
          <w:color w:val="000000" w:themeColor="text1"/>
          <w:sz w:val="16"/>
        </w:rPr>
        <w:t xml:space="preserve"> for the six months ended 30 September 2022, and the undertakings included in the consolidation taken as a whole, in accordance with IAS 34 </w:t>
      </w:r>
      <w:r w:rsidRPr="002F078E">
        <w:rPr>
          <w:rFonts w:ascii="Tahoma" w:hAnsi="Tahoma"/>
          <w:i/>
          <w:iCs/>
          <w:color w:val="000000" w:themeColor="text1"/>
          <w:sz w:val="16"/>
        </w:rPr>
        <w:t>Interim Financial Reporting</w:t>
      </w:r>
      <w:r w:rsidRPr="00615190">
        <w:rPr>
          <w:rFonts w:ascii="Tahoma" w:hAnsi="Tahoma"/>
          <w:color w:val="000000" w:themeColor="text1"/>
          <w:sz w:val="16"/>
        </w:rPr>
        <w:t>.</w:t>
      </w:r>
    </w:p>
    <w:p w14:paraId="4A2D33C5" w14:textId="77777777" w:rsidR="00D40B19" w:rsidRPr="00615190" w:rsidRDefault="00D40B19" w:rsidP="00615190">
      <w:pPr>
        <w:spacing w:line="240" w:lineRule="atLeast"/>
        <w:rPr>
          <w:rFonts w:ascii="Tahoma" w:hAnsi="Tahoma"/>
          <w:color w:val="000000" w:themeColor="text1"/>
          <w:sz w:val="16"/>
        </w:rPr>
      </w:pPr>
    </w:p>
    <w:p w14:paraId="4327EC7A"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To the best of our knowledge:</w:t>
      </w:r>
    </w:p>
    <w:p w14:paraId="6DA7CAFA" w14:textId="77777777" w:rsidR="00D40B19" w:rsidRPr="00615190" w:rsidRDefault="00D40B19" w:rsidP="004A5EFA">
      <w:pPr>
        <w:spacing w:line="240" w:lineRule="atLeast"/>
        <w:ind w:left="284" w:hanging="284"/>
        <w:rPr>
          <w:rFonts w:ascii="Tahoma" w:hAnsi="Tahoma"/>
          <w:color w:val="000000" w:themeColor="text1"/>
          <w:sz w:val="16"/>
        </w:rPr>
      </w:pPr>
      <w:r w:rsidRPr="00615190">
        <w:rPr>
          <w:rFonts w:ascii="Tahoma" w:hAnsi="Tahoma"/>
          <w:color w:val="000000" w:themeColor="text1"/>
          <w:sz w:val="16"/>
        </w:rPr>
        <w:t>1.</w:t>
      </w:r>
      <w:r w:rsidRPr="00615190">
        <w:rPr>
          <w:rFonts w:ascii="Tahoma" w:hAnsi="Tahoma"/>
          <w:color w:val="000000" w:themeColor="text1"/>
          <w:sz w:val="16"/>
        </w:rPr>
        <w:tab/>
        <w:t>The condensed consolidated interim financial statements give a true and fair view of the assets, liabilities, financial position as at 30 September 2022, and of the result of our consolidated operations for the six months ended 30 September 2022.</w:t>
      </w:r>
    </w:p>
    <w:p w14:paraId="5922BDAC" w14:textId="77777777" w:rsidR="00D40B19" w:rsidRPr="00615190" w:rsidRDefault="00D40B19" w:rsidP="004A5EFA">
      <w:pPr>
        <w:spacing w:line="240" w:lineRule="atLeast"/>
        <w:ind w:left="284" w:hanging="284"/>
        <w:rPr>
          <w:rFonts w:ascii="Tahoma" w:hAnsi="Tahoma"/>
          <w:color w:val="000000" w:themeColor="text1"/>
          <w:sz w:val="16"/>
        </w:rPr>
      </w:pPr>
    </w:p>
    <w:p w14:paraId="24D35C35" w14:textId="77777777" w:rsidR="00D40B19" w:rsidRPr="00615190" w:rsidRDefault="00D40B19" w:rsidP="004A5EFA">
      <w:pPr>
        <w:spacing w:line="240" w:lineRule="atLeast"/>
        <w:ind w:left="284" w:hanging="284"/>
        <w:rPr>
          <w:rFonts w:ascii="Tahoma" w:hAnsi="Tahoma"/>
          <w:color w:val="000000" w:themeColor="text1"/>
          <w:sz w:val="16"/>
        </w:rPr>
      </w:pPr>
      <w:r w:rsidRPr="00615190">
        <w:rPr>
          <w:rFonts w:ascii="Tahoma" w:hAnsi="Tahoma"/>
          <w:color w:val="000000" w:themeColor="text1"/>
          <w:sz w:val="16"/>
        </w:rPr>
        <w:t>2.</w:t>
      </w:r>
      <w:r w:rsidRPr="00615190">
        <w:rPr>
          <w:rFonts w:ascii="Tahoma" w:hAnsi="Tahoma"/>
          <w:color w:val="000000" w:themeColor="text1"/>
          <w:sz w:val="16"/>
        </w:rPr>
        <w:tab/>
        <w:t>The condensed consolidated interim financial statements for the six months ended 30 September 2022 include the information required pursuant to Article 5:25d, sections 8 and 9 of the Dutch Financial Supervision Act (</w:t>
      </w:r>
      <w:r w:rsidRPr="002F078E">
        <w:rPr>
          <w:rFonts w:ascii="Tahoma" w:hAnsi="Tahoma"/>
          <w:i/>
          <w:iCs/>
          <w:color w:val="000000" w:themeColor="text1"/>
          <w:sz w:val="16"/>
        </w:rPr>
        <w:t xml:space="preserve">Wet op het </w:t>
      </w:r>
      <w:proofErr w:type="spellStart"/>
      <w:r w:rsidRPr="002F078E">
        <w:rPr>
          <w:rFonts w:ascii="Tahoma" w:hAnsi="Tahoma"/>
          <w:i/>
          <w:iCs/>
          <w:color w:val="000000" w:themeColor="text1"/>
          <w:sz w:val="16"/>
        </w:rPr>
        <w:t>Financieel</w:t>
      </w:r>
      <w:proofErr w:type="spellEnd"/>
      <w:r w:rsidRPr="002F078E">
        <w:rPr>
          <w:rFonts w:ascii="Tahoma" w:hAnsi="Tahoma"/>
          <w:i/>
          <w:iCs/>
          <w:color w:val="000000" w:themeColor="text1"/>
          <w:sz w:val="16"/>
        </w:rPr>
        <w:t xml:space="preserve"> </w:t>
      </w:r>
      <w:proofErr w:type="spellStart"/>
      <w:r w:rsidRPr="002F078E">
        <w:rPr>
          <w:rFonts w:ascii="Tahoma" w:hAnsi="Tahoma"/>
          <w:i/>
          <w:iCs/>
          <w:color w:val="000000" w:themeColor="text1"/>
          <w:sz w:val="16"/>
        </w:rPr>
        <w:t>Toezicht</w:t>
      </w:r>
      <w:proofErr w:type="spellEnd"/>
      <w:r w:rsidRPr="00615190">
        <w:rPr>
          <w:rFonts w:ascii="Tahoma" w:hAnsi="Tahoma"/>
          <w:color w:val="000000" w:themeColor="text1"/>
          <w:sz w:val="16"/>
        </w:rPr>
        <w:t>).</w:t>
      </w:r>
    </w:p>
    <w:p w14:paraId="5B85263C" w14:textId="77777777" w:rsidR="00D40B19" w:rsidRPr="00615190" w:rsidRDefault="00D40B19" w:rsidP="00615190">
      <w:pPr>
        <w:spacing w:line="240" w:lineRule="atLeast"/>
        <w:rPr>
          <w:rFonts w:ascii="Tahoma" w:hAnsi="Tahoma"/>
          <w:color w:val="000000" w:themeColor="text1"/>
          <w:sz w:val="16"/>
        </w:rPr>
      </w:pPr>
    </w:p>
    <w:p w14:paraId="1E18A27E"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On behalf of the board</w:t>
      </w:r>
    </w:p>
    <w:p w14:paraId="321E7552" w14:textId="77777777" w:rsidR="00D40B19" w:rsidRPr="00615190" w:rsidRDefault="00D40B19" w:rsidP="00615190">
      <w:pPr>
        <w:spacing w:line="240" w:lineRule="atLeast"/>
        <w:rPr>
          <w:rFonts w:ascii="Tahoma" w:hAnsi="Tahoma"/>
          <w:color w:val="000000" w:themeColor="text1"/>
          <w:sz w:val="16"/>
        </w:rPr>
      </w:pPr>
    </w:p>
    <w:p w14:paraId="55879172" w14:textId="77777777" w:rsidR="00D40B19" w:rsidRPr="00BE1762" w:rsidRDefault="00D40B19" w:rsidP="00BE1762">
      <w:pPr>
        <w:tabs>
          <w:tab w:val="left" w:pos="2835"/>
        </w:tabs>
        <w:spacing w:line="240" w:lineRule="atLeast"/>
        <w:rPr>
          <w:rFonts w:ascii="Tahoma" w:hAnsi="Tahoma"/>
          <w:b/>
          <w:bCs/>
          <w:color w:val="000000" w:themeColor="text1"/>
          <w:sz w:val="16"/>
        </w:rPr>
      </w:pPr>
      <w:proofErr w:type="spellStart"/>
      <w:r w:rsidRPr="00BE1762">
        <w:rPr>
          <w:rFonts w:ascii="Tahoma" w:hAnsi="Tahoma"/>
          <w:b/>
          <w:bCs/>
          <w:color w:val="000000" w:themeColor="text1"/>
          <w:sz w:val="16"/>
        </w:rPr>
        <w:t>Koos</w:t>
      </w:r>
      <w:proofErr w:type="spellEnd"/>
      <w:r w:rsidRPr="00BE1762">
        <w:rPr>
          <w:rFonts w:ascii="Tahoma" w:hAnsi="Tahoma"/>
          <w:b/>
          <w:bCs/>
          <w:color w:val="000000" w:themeColor="text1"/>
          <w:sz w:val="16"/>
        </w:rPr>
        <w:t xml:space="preserve"> </w:t>
      </w:r>
      <w:proofErr w:type="spellStart"/>
      <w:r w:rsidRPr="00BE1762">
        <w:rPr>
          <w:rFonts w:ascii="Tahoma" w:hAnsi="Tahoma"/>
          <w:b/>
          <w:bCs/>
          <w:color w:val="000000" w:themeColor="text1"/>
          <w:sz w:val="16"/>
        </w:rPr>
        <w:t>Bekker</w:t>
      </w:r>
      <w:proofErr w:type="spellEnd"/>
      <w:r w:rsidRPr="00BE1762">
        <w:rPr>
          <w:rFonts w:ascii="Tahoma" w:hAnsi="Tahoma"/>
          <w:b/>
          <w:bCs/>
          <w:color w:val="000000" w:themeColor="text1"/>
          <w:sz w:val="16"/>
        </w:rPr>
        <w:tab/>
        <w:t>Bob van Dijk</w:t>
      </w:r>
    </w:p>
    <w:p w14:paraId="4CE3A744" w14:textId="77777777" w:rsidR="00D40B19" w:rsidRPr="00615190" w:rsidRDefault="00D40B19" w:rsidP="00BE1762">
      <w:pPr>
        <w:tabs>
          <w:tab w:val="left" w:pos="2835"/>
        </w:tabs>
        <w:spacing w:line="240" w:lineRule="atLeast"/>
        <w:rPr>
          <w:rFonts w:ascii="Tahoma" w:hAnsi="Tahoma"/>
          <w:color w:val="000000" w:themeColor="text1"/>
          <w:sz w:val="16"/>
        </w:rPr>
      </w:pPr>
      <w:r w:rsidRPr="00615190">
        <w:rPr>
          <w:rFonts w:ascii="Tahoma" w:hAnsi="Tahoma"/>
          <w:color w:val="000000" w:themeColor="text1"/>
          <w:sz w:val="16"/>
        </w:rPr>
        <w:t>Chair</w:t>
      </w:r>
      <w:r w:rsidRPr="00615190">
        <w:rPr>
          <w:rFonts w:ascii="Tahoma" w:hAnsi="Tahoma"/>
          <w:color w:val="000000" w:themeColor="text1"/>
          <w:sz w:val="16"/>
        </w:rPr>
        <w:tab/>
        <w:t>Chief executive</w:t>
      </w:r>
    </w:p>
    <w:p w14:paraId="5494C846" w14:textId="77777777" w:rsidR="00D40B19" w:rsidRPr="00615190" w:rsidRDefault="00D40B19" w:rsidP="00615190">
      <w:pPr>
        <w:spacing w:line="240" w:lineRule="atLeast"/>
        <w:rPr>
          <w:rFonts w:ascii="Tahoma" w:hAnsi="Tahoma"/>
          <w:color w:val="000000" w:themeColor="text1"/>
          <w:sz w:val="16"/>
        </w:rPr>
      </w:pPr>
    </w:p>
    <w:p w14:paraId="6AD406D6"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Amsterdam</w:t>
      </w:r>
    </w:p>
    <w:p w14:paraId="63171EAD" w14:textId="77777777" w:rsidR="00D40B19" w:rsidRPr="00615190" w:rsidRDefault="00D40B19" w:rsidP="00615190">
      <w:pPr>
        <w:spacing w:line="240" w:lineRule="atLeast"/>
        <w:rPr>
          <w:rFonts w:ascii="Tahoma" w:hAnsi="Tahoma"/>
          <w:color w:val="000000" w:themeColor="text1"/>
          <w:sz w:val="16"/>
        </w:rPr>
      </w:pPr>
    </w:p>
    <w:p w14:paraId="0900B216" w14:textId="77777777" w:rsidR="00D40B19" w:rsidRPr="00615190" w:rsidRDefault="00D40B19" w:rsidP="00615190">
      <w:pPr>
        <w:spacing w:line="240" w:lineRule="atLeast"/>
        <w:rPr>
          <w:rFonts w:ascii="Tahoma" w:hAnsi="Tahoma"/>
          <w:color w:val="000000" w:themeColor="text1"/>
          <w:sz w:val="16"/>
        </w:rPr>
      </w:pPr>
      <w:r w:rsidRPr="00615190">
        <w:rPr>
          <w:rFonts w:ascii="Tahoma" w:hAnsi="Tahoma"/>
          <w:color w:val="000000" w:themeColor="text1"/>
          <w:sz w:val="16"/>
        </w:rPr>
        <w:t>22 November 2022</w:t>
      </w:r>
    </w:p>
    <w:p w14:paraId="7ABCA44B" w14:textId="77777777" w:rsidR="0097607E" w:rsidRPr="00615190" w:rsidRDefault="0097607E" w:rsidP="00615190">
      <w:pPr>
        <w:spacing w:line="240" w:lineRule="atLeast"/>
        <w:rPr>
          <w:rFonts w:ascii="Tahoma" w:hAnsi="Tahoma"/>
          <w:color w:val="000000" w:themeColor="text1"/>
          <w:sz w:val="16"/>
        </w:rPr>
      </w:pPr>
    </w:p>
    <w:p w14:paraId="31F7DB31" w14:textId="77777777" w:rsidR="00BA10F6" w:rsidRDefault="00BA10F6">
      <w:pPr>
        <w:rPr>
          <w:rFonts w:ascii="Tahoma" w:hAnsi="Tahoma"/>
          <w:color w:val="000000" w:themeColor="text1"/>
          <w:sz w:val="16"/>
        </w:rPr>
      </w:pPr>
      <w:r>
        <w:rPr>
          <w:rFonts w:ascii="Tahoma" w:hAnsi="Tahoma"/>
          <w:color w:val="000000" w:themeColor="text1"/>
          <w:sz w:val="16"/>
        </w:rPr>
        <w:br w:type="page"/>
      </w:r>
    </w:p>
    <w:p w14:paraId="0CA0A9B7" w14:textId="77777777" w:rsidR="0097607E" w:rsidRPr="00615190" w:rsidRDefault="0097607E" w:rsidP="00615190">
      <w:pPr>
        <w:spacing w:line="240" w:lineRule="atLeast"/>
        <w:rPr>
          <w:rFonts w:ascii="Tahoma" w:hAnsi="Tahoma"/>
          <w:color w:val="000000" w:themeColor="text1"/>
          <w:sz w:val="16"/>
        </w:rPr>
      </w:pPr>
    </w:p>
    <w:tbl>
      <w:tblPr>
        <w:tblW w:w="10206" w:type="dxa"/>
        <w:tblInd w:w="-8" w:type="dxa"/>
        <w:tblLayout w:type="fixed"/>
        <w:tblCellMar>
          <w:left w:w="0" w:type="dxa"/>
          <w:right w:w="0" w:type="dxa"/>
        </w:tblCellMar>
        <w:tblLook w:val="0000" w:firstRow="0" w:lastRow="0" w:firstColumn="0" w:lastColumn="0" w:noHBand="0" w:noVBand="0"/>
      </w:tblPr>
      <w:tblGrid>
        <w:gridCol w:w="6104"/>
        <w:gridCol w:w="700"/>
        <w:gridCol w:w="1134"/>
        <w:gridCol w:w="1134"/>
        <w:gridCol w:w="1134"/>
      </w:tblGrid>
      <w:tr w:rsidR="00615190" w:rsidRPr="0097607E" w14:paraId="0C764F1A" w14:textId="77777777" w:rsidTr="00993F4D">
        <w:trPr>
          <w:trHeight w:val="60"/>
        </w:trPr>
        <w:tc>
          <w:tcPr>
            <w:tcW w:w="10206" w:type="dxa"/>
            <w:gridSpan w:val="5"/>
            <w:shd w:val="clear" w:color="auto" w:fill="auto"/>
            <w:tcMar>
              <w:top w:w="85" w:type="dxa"/>
              <w:left w:w="0" w:type="dxa"/>
              <w:bottom w:w="85" w:type="dxa"/>
              <w:right w:w="0" w:type="dxa"/>
            </w:tcMar>
            <w:vAlign w:val="bottom"/>
          </w:tcPr>
          <w:p w14:paraId="0A9B8CD4" w14:textId="77777777" w:rsidR="0097607E" w:rsidRPr="0097607E" w:rsidRDefault="00321DD9" w:rsidP="00615190">
            <w:pPr>
              <w:spacing w:line="240" w:lineRule="atLeast"/>
              <w:rPr>
                <w:rFonts w:ascii="Tahoma" w:hAnsi="Tahoma"/>
                <w:b/>
                <w:bCs/>
                <w:color w:val="000000" w:themeColor="text1"/>
                <w:sz w:val="20"/>
                <w:szCs w:val="20"/>
                <w:lang w:val="en-GB"/>
              </w:rPr>
            </w:pPr>
            <w:r w:rsidRPr="0097607E">
              <w:rPr>
                <w:rFonts w:ascii="Tahoma" w:hAnsi="Tahoma"/>
                <w:b/>
                <w:bCs/>
                <w:color w:val="000000" w:themeColor="text1"/>
                <w:sz w:val="20"/>
                <w:szCs w:val="20"/>
                <w:lang w:val="en-GB"/>
              </w:rPr>
              <w:t>CONDENSED CONSOLIDATED INCOME STATEMENT</w:t>
            </w:r>
          </w:p>
        </w:tc>
      </w:tr>
      <w:tr w:rsidR="00615190" w:rsidRPr="0097607E" w14:paraId="636D9639" w14:textId="77777777" w:rsidTr="00B5242A">
        <w:trPr>
          <w:trHeight w:val="60"/>
        </w:trPr>
        <w:tc>
          <w:tcPr>
            <w:tcW w:w="6104" w:type="dxa"/>
            <w:shd w:val="clear" w:color="auto" w:fill="auto"/>
            <w:tcMar>
              <w:top w:w="85" w:type="dxa"/>
              <w:left w:w="0" w:type="dxa"/>
              <w:bottom w:w="85" w:type="dxa"/>
              <w:right w:w="0" w:type="dxa"/>
            </w:tcMar>
            <w:vAlign w:val="bottom"/>
          </w:tcPr>
          <w:p w14:paraId="31C540C2" w14:textId="77777777" w:rsidR="0097607E" w:rsidRPr="0097607E" w:rsidRDefault="0097607E" w:rsidP="00615190">
            <w:pPr>
              <w:spacing w:line="240" w:lineRule="atLeast"/>
              <w:rPr>
                <w:rFonts w:ascii="Tahoma" w:hAnsi="Tahoma"/>
                <w:color w:val="000000" w:themeColor="text1"/>
                <w:sz w:val="16"/>
                <w:lang w:val="en-GB"/>
              </w:rPr>
            </w:pPr>
          </w:p>
        </w:tc>
        <w:tc>
          <w:tcPr>
            <w:tcW w:w="700" w:type="dxa"/>
            <w:shd w:val="clear" w:color="auto" w:fill="auto"/>
            <w:tcMar>
              <w:top w:w="85" w:type="dxa"/>
              <w:left w:w="0" w:type="dxa"/>
              <w:bottom w:w="85" w:type="dxa"/>
              <w:right w:w="0" w:type="dxa"/>
            </w:tcMar>
            <w:vAlign w:val="bottom"/>
          </w:tcPr>
          <w:p w14:paraId="775221AC" w14:textId="77777777" w:rsidR="0097607E" w:rsidRPr="0097607E" w:rsidRDefault="0097607E" w:rsidP="00615190">
            <w:pPr>
              <w:spacing w:line="240" w:lineRule="atLeast"/>
              <w:rPr>
                <w:rFonts w:ascii="Tahoma" w:hAnsi="Tahoma"/>
                <w:color w:val="000000" w:themeColor="text1"/>
                <w:sz w:val="16"/>
                <w:lang w:val="en-GB"/>
              </w:rPr>
            </w:pPr>
          </w:p>
        </w:tc>
        <w:tc>
          <w:tcPr>
            <w:tcW w:w="2268" w:type="dxa"/>
            <w:gridSpan w:val="2"/>
            <w:shd w:val="clear" w:color="auto" w:fill="auto"/>
            <w:tcMar>
              <w:top w:w="85" w:type="dxa"/>
              <w:left w:w="0" w:type="dxa"/>
              <w:bottom w:w="85" w:type="dxa"/>
              <w:right w:w="0" w:type="dxa"/>
            </w:tcMar>
            <w:vAlign w:val="bottom"/>
          </w:tcPr>
          <w:p w14:paraId="24E2C377" w14:textId="77777777" w:rsidR="0097607E" w:rsidRPr="0097607E" w:rsidRDefault="0097607E" w:rsidP="00A3017E">
            <w:pPr>
              <w:spacing w:line="240" w:lineRule="atLeast"/>
              <w:ind w:left="571"/>
              <w:jc w:val="center"/>
              <w:rPr>
                <w:rFonts w:ascii="Tahoma" w:hAnsi="Tahoma"/>
                <w:b/>
                <w:bCs/>
                <w:color w:val="000000" w:themeColor="text1"/>
                <w:sz w:val="16"/>
                <w:lang w:val="en-GB"/>
              </w:rPr>
            </w:pPr>
            <w:r w:rsidRPr="0097607E">
              <w:rPr>
                <w:rFonts w:ascii="Tahoma" w:hAnsi="Tahoma"/>
                <w:b/>
                <w:bCs/>
                <w:color w:val="000000" w:themeColor="text1"/>
                <w:sz w:val="16"/>
                <w:lang w:val="en-GB"/>
              </w:rPr>
              <w:t>Six months ended</w:t>
            </w:r>
          </w:p>
          <w:p w14:paraId="2A716900" w14:textId="77777777" w:rsidR="0097607E" w:rsidRPr="0097607E" w:rsidRDefault="0097607E" w:rsidP="00A3017E">
            <w:pPr>
              <w:spacing w:line="240" w:lineRule="atLeast"/>
              <w:ind w:left="571"/>
              <w:jc w:val="center"/>
              <w:rPr>
                <w:rFonts w:ascii="Tahoma" w:hAnsi="Tahoma"/>
                <w:color w:val="000000" w:themeColor="text1"/>
                <w:sz w:val="16"/>
                <w:lang w:val="en-GB"/>
              </w:rPr>
            </w:pPr>
            <w:r w:rsidRPr="0097607E">
              <w:rPr>
                <w:rFonts w:ascii="Tahoma" w:hAnsi="Tahoma"/>
                <w:b/>
                <w:bCs/>
                <w:color w:val="000000" w:themeColor="text1"/>
                <w:sz w:val="16"/>
                <w:lang w:val="en-GB"/>
              </w:rPr>
              <w:t>30 September</w:t>
            </w:r>
          </w:p>
        </w:tc>
        <w:tc>
          <w:tcPr>
            <w:tcW w:w="1134" w:type="dxa"/>
            <w:shd w:val="clear" w:color="auto" w:fill="auto"/>
            <w:tcMar>
              <w:top w:w="85" w:type="dxa"/>
              <w:left w:w="0" w:type="dxa"/>
              <w:bottom w:w="85" w:type="dxa"/>
              <w:right w:w="0" w:type="dxa"/>
            </w:tcMar>
            <w:vAlign w:val="bottom"/>
          </w:tcPr>
          <w:p w14:paraId="5BD5E463" w14:textId="77777777" w:rsidR="0097607E" w:rsidRPr="0097607E" w:rsidRDefault="0097607E" w:rsidP="00A360F6">
            <w:pPr>
              <w:spacing w:line="240" w:lineRule="atLeast"/>
              <w:jc w:val="right"/>
              <w:rPr>
                <w:rFonts w:ascii="Tahoma" w:hAnsi="Tahoma"/>
                <w:color w:val="000000" w:themeColor="text1"/>
                <w:sz w:val="16"/>
                <w:lang w:val="en-GB"/>
              </w:rPr>
            </w:pPr>
            <w:r w:rsidRPr="0097607E">
              <w:rPr>
                <w:rFonts w:ascii="Tahoma" w:hAnsi="Tahoma"/>
                <w:color w:val="000000" w:themeColor="text1"/>
                <w:sz w:val="16"/>
                <w:lang w:val="en-GB"/>
              </w:rPr>
              <w:t>Year</w:t>
            </w:r>
          </w:p>
          <w:p w14:paraId="37A79D6E" w14:textId="77777777" w:rsidR="0097607E" w:rsidRPr="0097607E" w:rsidRDefault="0097607E" w:rsidP="00A360F6">
            <w:pPr>
              <w:spacing w:line="240" w:lineRule="atLeast"/>
              <w:jc w:val="right"/>
              <w:rPr>
                <w:rFonts w:ascii="Tahoma" w:hAnsi="Tahoma"/>
                <w:color w:val="000000" w:themeColor="text1"/>
                <w:sz w:val="16"/>
                <w:lang w:val="en-GB"/>
              </w:rPr>
            </w:pPr>
            <w:r w:rsidRPr="0097607E">
              <w:rPr>
                <w:rFonts w:ascii="Tahoma" w:hAnsi="Tahoma"/>
                <w:color w:val="000000" w:themeColor="text1"/>
                <w:sz w:val="16"/>
                <w:lang w:val="en-GB"/>
              </w:rPr>
              <w:t>ended</w:t>
            </w:r>
          </w:p>
          <w:p w14:paraId="344F5B48" w14:textId="77777777" w:rsidR="0097607E" w:rsidRPr="0097607E" w:rsidRDefault="0097607E" w:rsidP="00A360F6">
            <w:pPr>
              <w:spacing w:line="240" w:lineRule="atLeast"/>
              <w:jc w:val="right"/>
              <w:rPr>
                <w:rFonts w:ascii="Tahoma" w:hAnsi="Tahoma"/>
                <w:color w:val="000000" w:themeColor="text1"/>
                <w:sz w:val="16"/>
                <w:lang w:val="en-GB"/>
              </w:rPr>
            </w:pPr>
            <w:r w:rsidRPr="0097607E">
              <w:rPr>
                <w:rFonts w:ascii="Tahoma" w:hAnsi="Tahoma"/>
                <w:color w:val="000000" w:themeColor="text1"/>
                <w:sz w:val="16"/>
                <w:lang w:val="en-GB"/>
              </w:rPr>
              <w:t>31 March</w:t>
            </w:r>
          </w:p>
        </w:tc>
      </w:tr>
      <w:tr w:rsidR="00615190" w:rsidRPr="0097607E" w14:paraId="665EBA11" w14:textId="77777777" w:rsidTr="00B5242A">
        <w:trPr>
          <w:trHeight w:val="60"/>
        </w:trPr>
        <w:tc>
          <w:tcPr>
            <w:tcW w:w="6104" w:type="dxa"/>
            <w:tcBorders>
              <w:bottom w:val="single" w:sz="12" w:space="0" w:color="auto"/>
            </w:tcBorders>
            <w:shd w:val="clear" w:color="auto" w:fill="auto"/>
            <w:tcMar>
              <w:top w:w="113" w:type="dxa"/>
              <w:left w:w="0" w:type="dxa"/>
              <w:bottom w:w="113" w:type="dxa"/>
              <w:right w:w="0" w:type="dxa"/>
            </w:tcMar>
            <w:vAlign w:val="bottom"/>
          </w:tcPr>
          <w:p w14:paraId="7E28E3F7" w14:textId="77777777" w:rsidR="0097607E" w:rsidRPr="0097607E" w:rsidRDefault="0097607E" w:rsidP="00615190">
            <w:pPr>
              <w:spacing w:line="240" w:lineRule="atLeast"/>
              <w:rPr>
                <w:rFonts w:ascii="Tahoma" w:hAnsi="Tahoma"/>
                <w:color w:val="000000" w:themeColor="text1"/>
                <w:sz w:val="16"/>
                <w:lang w:val="en-GB"/>
              </w:rPr>
            </w:pPr>
          </w:p>
        </w:tc>
        <w:tc>
          <w:tcPr>
            <w:tcW w:w="700" w:type="dxa"/>
            <w:tcBorders>
              <w:bottom w:val="single" w:sz="12" w:space="0" w:color="auto"/>
            </w:tcBorders>
            <w:shd w:val="clear" w:color="auto" w:fill="auto"/>
            <w:tcMar>
              <w:top w:w="113" w:type="dxa"/>
              <w:left w:w="0" w:type="dxa"/>
              <w:bottom w:w="113" w:type="dxa"/>
              <w:right w:w="0" w:type="dxa"/>
            </w:tcMar>
            <w:vAlign w:val="bottom"/>
          </w:tcPr>
          <w:p w14:paraId="01BE8414" w14:textId="77777777" w:rsidR="0097607E" w:rsidRPr="0097607E" w:rsidRDefault="0097607E" w:rsidP="003C1618">
            <w:pPr>
              <w:spacing w:line="240" w:lineRule="atLeast"/>
              <w:jc w:val="right"/>
              <w:rPr>
                <w:rFonts w:ascii="Tahoma" w:hAnsi="Tahoma"/>
                <w:color w:val="000000" w:themeColor="text1"/>
                <w:sz w:val="16"/>
                <w:lang w:val="en-GB"/>
              </w:rPr>
            </w:pPr>
            <w:r w:rsidRPr="0097607E">
              <w:rPr>
                <w:rFonts w:ascii="Tahoma" w:hAnsi="Tahoma"/>
                <w:color w:val="000000" w:themeColor="text1"/>
                <w:sz w:val="16"/>
                <w:lang w:val="en-GB"/>
              </w:rPr>
              <w:t>Notes</w:t>
            </w:r>
          </w:p>
        </w:tc>
        <w:tc>
          <w:tcPr>
            <w:tcW w:w="1134" w:type="dxa"/>
            <w:tcBorders>
              <w:bottom w:val="single" w:sz="12" w:space="0" w:color="auto"/>
            </w:tcBorders>
            <w:shd w:val="clear" w:color="auto" w:fill="auto"/>
            <w:tcMar>
              <w:top w:w="113" w:type="dxa"/>
              <w:left w:w="0" w:type="dxa"/>
              <w:bottom w:w="113" w:type="dxa"/>
              <w:right w:w="0" w:type="dxa"/>
            </w:tcMar>
            <w:vAlign w:val="bottom"/>
          </w:tcPr>
          <w:p w14:paraId="04DDA4CC" w14:textId="77777777" w:rsidR="0097607E" w:rsidRPr="0097607E" w:rsidRDefault="0097607E" w:rsidP="00A360F6">
            <w:pPr>
              <w:spacing w:line="240" w:lineRule="atLeast"/>
              <w:jc w:val="right"/>
              <w:rPr>
                <w:rFonts w:ascii="Tahoma" w:hAnsi="Tahoma"/>
                <w:b/>
                <w:bCs/>
                <w:color w:val="000000" w:themeColor="text1"/>
                <w:sz w:val="16"/>
                <w:lang w:val="en-GB"/>
              </w:rPr>
            </w:pPr>
            <w:r w:rsidRPr="0097607E">
              <w:rPr>
                <w:rFonts w:ascii="Tahoma" w:hAnsi="Tahoma"/>
                <w:b/>
                <w:bCs/>
                <w:color w:val="000000" w:themeColor="text1"/>
                <w:sz w:val="16"/>
                <w:lang w:val="en-GB"/>
              </w:rPr>
              <w:t>2022</w:t>
            </w:r>
          </w:p>
          <w:p w14:paraId="4607DC0F" w14:textId="77777777" w:rsidR="0097607E" w:rsidRPr="0097607E" w:rsidRDefault="0097607E" w:rsidP="00A360F6">
            <w:pPr>
              <w:spacing w:line="240" w:lineRule="atLeast"/>
              <w:jc w:val="right"/>
              <w:rPr>
                <w:rFonts w:ascii="Tahoma" w:hAnsi="Tahoma"/>
                <w:b/>
                <w:bCs/>
                <w:color w:val="000000" w:themeColor="text1"/>
                <w:sz w:val="16"/>
                <w:lang w:val="en-GB"/>
              </w:rPr>
            </w:pPr>
            <w:proofErr w:type="spellStart"/>
            <w:r w:rsidRPr="0097607E">
              <w:rPr>
                <w:rFonts w:ascii="Tahoma" w:hAnsi="Tahoma"/>
                <w:b/>
                <w:bCs/>
                <w:color w:val="000000" w:themeColor="text1"/>
                <w:sz w:val="16"/>
                <w:lang w:val="en-GB"/>
              </w:rPr>
              <w:t>US$’m</w:t>
            </w:r>
            <w:proofErr w:type="spellEnd"/>
          </w:p>
        </w:tc>
        <w:tc>
          <w:tcPr>
            <w:tcW w:w="1134" w:type="dxa"/>
            <w:tcBorders>
              <w:bottom w:val="single" w:sz="12" w:space="0" w:color="auto"/>
            </w:tcBorders>
            <w:shd w:val="clear" w:color="auto" w:fill="auto"/>
            <w:tcMar>
              <w:top w:w="113" w:type="dxa"/>
              <w:left w:w="0" w:type="dxa"/>
              <w:bottom w:w="113" w:type="dxa"/>
              <w:right w:w="0" w:type="dxa"/>
            </w:tcMar>
            <w:vAlign w:val="bottom"/>
          </w:tcPr>
          <w:p w14:paraId="369213E4" w14:textId="77777777" w:rsidR="0097607E" w:rsidRPr="0097607E" w:rsidRDefault="0097607E" w:rsidP="00A360F6">
            <w:pPr>
              <w:spacing w:line="240" w:lineRule="atLeast"/>
              <w:jc w:val="right"/>
              <w:rPr>
                <w:rFonts w:ascii="Tahoma" w:hAnsi="Tahoma"/>
                <w:color w:val="000000" w:themeColor="text1"/>
                <w:sz w:val="16"/>
                <w:lang w:val="en-GB"/>
              </w:rPr>
            </w:pPr>
            <w:r w:rsidRPr="0097607E">
              <w:rPr>
                <w:rFonts w:ascii="Tahoma" w:hAnsi="Tahoma"/>
                <w:color w:val="000000" w:themeColor="text1"/>
                <w:sz w:val="16"/>
                <w:lang w:val="en-GB"/>
              </w:rPr>
              <w:t>2021</w:t>
            </w:r>
          </w:p>
          <w:p w14:paraId="1D11E454" w14:textId="77777777" w:rsidR="0097607E" w:rsidRPr="0097607E" w:rsidRDefault="0097607E" w:rsidP="00A360F6">
            <w:pPr>
              <w:spacing w:line="240" w:lineRule="atLeast"/>
              <w:jc w:val="right"/>
              <w:rPr>
                <w:rFonts w:ascii="Tahoma" w:hAnsi="Tahoma"/>
                <w:color w:val="000000" w:themeColor="text1"/>
                <w:sz w:val="16"/>
                <w:lang w:val="en-GB"/>
              </w:rPr>
            </w:pPr>
            <w:proofErr w:type="spellStart"/>
            <w:r w:rsidRPr="0097607E">
              <w:rPr>
                <w:rFonts w:ascii="Tahoma" w:hAnsi="Tahoma"/>
                <w:color w:val="000000" w:themeColor="text1"/>
                <w:sz w:val="16"/>
                <w:lang w:val="en-GB"/>
              </w:rPr>
              <w:t>US$’m</w:t>
            </w:r>
            <w:proofErr w:type="spellEnd"/>
          </w:p>
        </w:tc>
        <w:tc>
          <w:tcPr>
            <w:tcW w:w="1134" w:type="dxa"/>
            <w:tcBorders>
              <w:bottom w:val="single" w:sz="12" w:space="0" w:color="auto"/>
            </w:tcBorders>
            <w:shd w:val="clear" w:color="auto" w:fill="auto"/>
            <w:tcMar>
              <w:top w:w="113" w:type="dxa"/>
              <w:left w:w="0" w:type="dxa"/>
              <w:bottom w:w="113" w:type="dxa"/>
              <w:right w:w="0" w:type="dxa"/>
            </w:tcMar>
            <w:vAlign w:val="bottom"/>
          </w:tcPr>
          <w:p w14:paraId="52711D77" w14:textId="77777777" w:rsidR="0097607E" w:rsidRPr="0097607E" w:rsidRDefault="0097607E" w:rsidP="00A360F6">
            <w:pPr>
              <w:spacing w:line="240" w:lineRule="atLeast"/>
              <w:jc w:val="right"/>
              <w:rPr>
                <w:rFonts w:ascii="Tahoma" w:hAnsi="Tahoma"/>
                <w:color w:val="000000" w:themeColor="text1"/>
                <w:sz w:val="16"/>
                <w:lang w:val="en-GB"/>
              </w:rPr>
            </w:pPr>
            <w:r w:rsidRPr="0097607E">
              <w:rPr>
                <w:rFonts w:ascii="Tahoma" w:hAnsi="Tahoma"/>
                <w:color w:val="000000" w:themeColor="text1"/>
                <w:sz w:val="16"/>
                <w:lang w:val="en-GB"/>
              </w:rPr>
              <w:t>2022</w:t>
            </w:r>
          </w:p>
          <w:p w14:paraId="58844BD9" w14:textId="77777777" w:rsidR="0097607E" w:rsidRPr="0097607E" w:rsidRDefault="0097607E" w:rsidP="00A360F6">
            <w:pPr>
              <w:spacing w:line="240" w:lineRule="atLeast"/>
              <w:jc w:val="right"/>
              <w:rPr>
                <w:rFonts w:ascii="Tahoma" w:hAnsi="Tahoma"/>
                <w:color w:val="000000" w:themeColor="text1"/>
                <w:sz w:val="16"/>
                <w:lang w:val="en-GB"/>
              </w:rPr>
            </w:pPr>
            <w:proofErr w:type="spellStart"/>
            <w:r w:rsidRPr="0097607E">
              <w:rPr>
                <w:rFonts w:ascii="Tahoma" w:hAnsi="Tahoma"/>
                <w:color w:val="000000" w:themeColor="text1"/>
                <w:sz w:val="16"/>
                <w:lang w:val="en-GB"/>
              </w:rPr>
              <w:t>US$’m</w:t>
            </w:r>
            <w:proofErr w:type="spellEnd"/>
          </w:p>
        </w:tc>
      </w:tr>
      <w:tr w:rsidR="00615190" w:rsidRPr="0097607E" w14:paraId="3D40A895" w14:textId="77777777" w:rsidTr="00B5242A">
        <w:trPr>
          <w:trHeight w:val="60"/>
        </w:trPr>
        <w:tc>
          <w:tcPr>
            <w:tcW w:w="6104" w:type="dxa"/>
            <w:tcBorders>
              <w:top w:val="single" w:sz="12" w:space="0" w:color="auto"/>
            </w:tcBorders>
            <w:shd w:val="clear" w:color="auto" w:fill="auto"/>
            <w:tcMar>
              <w:top w:w="142" w:type="dxa"/>
              <w:left w:w="0" w:type="dxa"/>
              <w:bottom w:w="40" w:type="dxa"/>
              <w:right w:w="0" w:type="dxa"/>
            </w:tcMar>
            <w:vAlign w:val="bottom"/>
          </w:tcPr>
          <w:p w14:paraId="5B151024" w14:textId="77777777" w:rsidR="0097607E" w:rsidRPr="0097607E" w:rsidRDefault="0097607E" w:rsidP="00615190">
            <w:pPr>
              <w:spacing w:line="240" w:lineRule="atLeast"/>
              <w:rPr>
                <w:rFonts w:ascii="Tahoma" w:hAnsi="Tahoma"/>
                <w:b/>
                <w:bCs/>
                <w:color w:val="000000" w:themeColor="text1"/>
                <w:sz w:val="16"/>
                <w:lang w:val="en-GB"/>
              </w:rPr>
            </w:pPr>
            <w:r w:rsidRPr="0097607E">
              <w:rPr>
                <w:rFonts w:ascii="Tahoma" w:hAnsi="Tahoma"/>
                <w:b/>
                <w:bCs/>
                <w:color w:val="000000" w:themeColor="text1"/>
                <w:sz w:val="16"/>
                <w:lang w:val="en-GB"/>
              </w:rPr>
              <w:t>Continuing operations</w:t>
            </w:r>
          </w:p>
        </w:tc>
        <w:tc>
          <w:tcPr>
            <w:tcW w:w="700" w:type="dxa"/>
            <w:tcBorders>
              <w:top w:val="single" w:sz="12" w:space="0" w:color="auto"/>
            </w:tcBorders>
            <w:shd w:val="clear" w:color="auto" w:fill="auto"/>
            <w:tcMar>
              <w:top w:w="142" w:type="dxa"/>
              <w:left w:w="0" w:type="dxa"/>
              <w:bottom w:w="40" w:type="dxa"/>
              <w:right w:w="0" w:type="dxa"/>
            </w:tcMar>
            <w:vAlign w:val="bottom"/>
          </w:tcPr>
          <w:p w14:paraId="5219197B" w14:textId="77777777" w:rsidR="0097607E" w:rsidRPr="0097607E" w:rsidRDefault="0097607E" w:rsidP="003C1618">
            <w:pPr>
              <w:spacing w:line="240" w:lineRule="atLeast"/>
              <w:jc w:val="right"/>
              <w:rPr>
                <w:rFonts w:ascii="Tahoma" w:hAnsi="Tahoma"/>
                <w:color w:val="000000" w:themeColor="text1"/>
                <w:sz w:val="16"/>
                <w:lang w:val="en-GB"/>
              </w:rPr>
            </w:pPr>
          </w:p>
        </w:tc>
        <w:tc>
          <w:tcPr>
            <w:tcW w:w="1134" w:type="dxa"/>
            <w:tcBorders>
              <w:top w:val="single" w:sz="12" w:space="0" w:color="auto"/>
            </w:tcBorders>
            <w:shd w:val="clear" w:color="auto" w:fill="auto"/>
            <w:tcMar>
              <w:top w:w="142" w:type="dxa"/>
              <w:left w:w="0" w:type="dxa"/>
              <w:bottom w:w="40" w:type="dxa"/>
              <w:right w:w="0" w:type="dxa"/>
            </w:tcMar>
            <w:vAlign w:val="bottom"/>
          </w:tcPr>
          <w:p w14:paraId="27F36CCF" w14:textId="77777777" w:rsidR="0097607E" w:rsidRPr="0097607E" w:rsidRDefault="0097607E" w:rsidP="00A360F6">
            <w:pPr>
              <w:spacing w:line="240" w:lineRule="atLeast"/>
              <w:jc w:val="right"/>
              <w:rPr>
                <w:rFonts w:ascii="Tahoma" w:hAnsi="Tahoma"/>
                <w:b/>
                <w:bCs/>
                <w:color w:val="000000" w:themeColor="text1"/>
                <w:sz w:val="16"/>
                <w:lang w:val="en-GB"/>
              </w:rPr>
            </w:pPr>
          </w:p>
        </w:tc>
        <w:tc>
          <w:tcPr>
            <w:tcW w:w="1134" w:type="dxa"/>
            <w:tcBorders>
              <w:top w:val="single" w:sz="12" w:space="0" w:color="auto"/>
            </w:tcBorders>
            <w:shd w:val="clear" w:color="auto" w:fill="auto"/>
            <w:tcMar>
              <w:top w:w="142" w:type="dxa"/>
              <w:left w:w="0" w:type="dxa"/>
              <w:bottom w:w="40" w:type="dxa"/>
              <w:right w:w="0" w:type="dxa"/>
            </w:tcMar>
            <w:vAlign w:val="bottom"/>
          </w:tcPr>
          <w:p w14:paraId="40A214F8" w14:textId="77777777" w:rsidR="0097607E" w:rsidRPr="0097607E" w:rsidRDefault="0097607E" w:rsidP="00A360F6">
            <w:pPr>
              <w:spacing w:line="240" w:lineRule="atLeast"/>
              <w:jc w:val="right"/>
              <w:rPr>
                <w:rFonts w:ascii="Tahoma" w:hAnsi="Tahoma"/>
                <w:color w:val="000000" w:themeColor="text1"/>
                <w:sz w:val="16"/>
                <w:lang w:val="en-GB"/>
              </w:rPr>
            </w:pPr>
          </w:p>
        </w:tc>
        <w:tc>
          <w:tcPr>
            <w:tcW w:w="1134" w:type="dxa"/>
            <w:tcBorders>
              <w:top w:val="single" w:sz="12" w:space="0" w:color="auto"/>
            </w:tcBorders>
            <w:shd w:val="clear" w:color="auto" w:fill="auto"/>
            <w:tcMar>
              <w:top w:w="142" w:type="dxa"/>
              <w:left w:w="0" w:type="dxa"/>
              <w:bottom w:w="40" w:type="dxa"/>
              <w:right w:w="0" w:type="dxa"/>
            </w:tcMar>
            <w:vAlign w:val="bottom"/>
          </w:tcPr>
          <w:p w14:paraId="250B4AC8" w14:textId="77777777" w:rsidR="0097607E" w:rsidRPr="0097607E" w:rsidRDefault="0097607E" w:rsidP="00A360F6">
            <w:pPr>
              <w:spacing w:line="240" w:lineRule="atLeast"/>
              <w:jc w:val="right"/>
              <w:rPr>
                <w:rFonts w:ascii="Tahoma" w:hAnsi="Tahoma"/>
                <w:color w:val="000000" w:themeColor="text1"/>
                <w:sz w:val="16"/>
                <w:lang w:val="en-GB"/>
              </w:rPr>
            </w:pPr>
          </w:p>
        </w:tc>
      </w:tr>
      <w:tr w:rsidR="00615190" w:rsidRPr="0097607E" w14:paraId="487C207F" w14:textId="77777777" w:rsidTr="00B5242A">
        <w:trPr>
          <w:trHeight w:val="60"/>
        </w:trPr>
        <w:tc>
          <w:tcPr>
            <w:tcW w:w="6104" w:type="dxa"/>
            <w:shd w:val="clear" w:color="auto" w:fill="auto"/>
            <w:tcMar>
              <w:top w:w="40" w:type="dxa"/>
              <w:left w:w="0" w:type="dxa"/>
              <w:bottom w:w="40" w:type="dxa"/>
              <w:right w:w="0" w:type="dxa"/>
            </w:tcMar>
            <w:vAlign w:val="bottom"/>
          </w:tcPr>
          <w:p w14:paraId="7490325E" w14:textId="77777777" w:rsidR="0097607E" w:rsidRPr="0097607E" w:rsidRDefault="0097607E" w:rsidP="00615190">
            <w:pPr>
              <w:spacing w:line="240" w:lineRule="atLeast"/>
              <w:rPr>
                <w:rFonts w:ascii="Tahoma" w:hAnsi="Tahoma"/>
                <w:b/>
                <w:bCs/>
                <w:color w:val="000000" w:themeColor="text1"/>
                <w:sz w:val="16"/>
                <w:lang w:val="en-GB"/>
              </w:rPr>
            </w:pPr>
            <w:r w:rsidRPr="0097607E">
              <w:rPr>
                <w:rFonts w:ascii="Tahoma" w:hAnsi="Tahoma"/>
                <w:b/>
                <w:bCs/>
                <w:color w:val="000000" w:themeColor="text1"/>
                <w:sz w:val="16"/>
                <w:lang w:val="en-GB"/>
              </w:rPr>
              <w:t>Revenue from contracts with customers</w:t>
            </w:r>
          </w:p>
        </w:tc>
        <w:tc>
          <w:tcPr>
            <w:tcW w:w="700" w:type="dxa"/>
            <w:shd w:val="clear" w:color="auto" w:fill="auto"/>
            <w:tcMar>
              <w:top w:w="40" w:type="dxa"/>
              <w:left w:w="0" w:type="dxa"/>
              <w:bottom w:w="40" w:type="dxa"/>
              <w:right w:w="0" w:type="dxa"/>
            </w:tcMar>
            <w:vAlign w:val="bottom"/>
          </w:tcPr>
          <w:p w14:paraId="5AE942F9" w14:textId="77777777" w:rsidR="0097607E" w:rsidRPr="0097607E" w:rsidRDefault="0097607E" w:rsidP="003C1618">
            <w:pPr>
              <w:spacing w:line="240" w:lineRule="atLeast"/>
              <w:jc w:val="right"/>
              <w:rPr>
                <w:rFonts w:ascii="Tahoma" w:hAnsi="Tahoma"/>
                <w:color w:val="000000" w:themeColor="text1"/>
                <w:sz w:val="16"/>
                <w:lang w:val="en-GB"/>
              </w:rPr>
            </w:pPr>
            <w:r w:rsidRPr="0097607E">
              <w:rPr>
                <w:rFonts w:ascii="Tahoma" w:hAnsi="Tahoma"/>
                <w:color w:val="000000" w:themeColor="text1"/>
                <w:sz w:val="16"/>
                <w:lang w:val="en-GB"/>
              </w:rPr>
              <w:t>7</w:t>
            </w:r>
          </w:p>
        </w:tc>
        <w:tc>
          <w:tcPr>
            <w:tcW w:w="1134" w:type="dxa"/>
            <w:shd w:val="clear" w:color="auto" w:fill="auto"/>
            <w:tcMar>
              <w:top w:w="40" w:type="dxa"/>
              <w:left w:w="0" w:type="dxa"/>
              <w:bottom w:w="40" w:type="dxa"/>
              <w:right w:w="0" w:type="dxa"/>
            </w:tcMar>
            <w:vAlign w:val="bottom"/>
          </w:tcPr>
          <w:p w14:paraId="41BB29FE" w14:textId="77777777" w:rsidR="0097607E" w:rsidRPr="0097607E" w:rsidRDefault="0097607E" w:rsidP="00A360F6">
            <w:pPr>
              <w:spacing w:line="240" w:lineRule="atLeast"/>
              <w:jc w:val="right"/>
              <w:rPr>
                <w:rFonts w:ascii="Tahoma" w:hAnsi="Tahoma"/>
                <w:b/>
                <w:bCs/>
                <w:color w:val="000000" w:themeColor="text1"/>
                <w:sz w:val="16"/>
                <w:lang w:val="en-GB"/>
              </w:rPr>
            </w:pPr>
            <w:r w:rsidRPr="0097607E">
              <w:rPr>
                <w:rFonts w:ascii="Tahoma" w:hAnsi="Tahoma"/>
                <w:b/>
                <w:bCs/>
                <w:color w:val="000000" w:themeColor="text1"/>
                <w:sz w:val="16"/>
                <w:lang w:val="en-GB"/>
              </w:rPr>
              <w:t>3 240</w:t>
            </w:r>
          </w:p>
        </w:tc>
        <w:tc>
          <w:tcPr>
            <w:tcW w:w="1134" w:type="dxa"/>
            <w:shd w:val="clear" w:color="auto" w:fill="auto"/>
            <w:tcMar>
              <w:top w:w="40" w:type="dxa"/>
              <w:left w:w="0" w:type="dxa"/>
              <w:bottom w:w="40" w:type="dxa"/>
              <w:right w:w="0" w:type="dxa"/>
            </w:tcMar>
            <w:vAlign w:val="bottom"/>
          </w:tcPr>
          <w:p w14:paraId="4446BF74" w14:textId="77777777" w:rsidR="0097607E" w:rsidRPr="0097607E" w:rsidRDefault="0097607E" w:rsidP="00A360F6">
            <w:pPr>
              <w:spacing w:line="240" w:lineRule="atLeast"/>
              <w:jc w:val="right"/>
              <w:rPr>
                <w:rFonts w:ascii="Tahoma" w:hAnsi="Tahoma"/>
                <w:color w:val="000000" w:themeColor="text1"/>
                <w:sz w:val="16"/>
                <w:lang w:val="en-GB"/>
              </w:rPr>
            </w:pPr>
            <w:r w:rsidRPr="0097607E">
              <w:rPr>
                <w:rFonts w:ascii="Tahoma" w:hAnsi="Tahoma"/>
                <w:color w:val="000000" w:themeColor="text1"/>
                <w:sz w:val="16"/>
                <w:lang w:val="en-GB"/>
              </w:rPr>
              <w:t>2 753</w:t>
            </w:r>
          </w:p>
        </w:tc>
        <w:tc>
          <w:tcPr>
            <w:tcW w:w="1134" w:type="dxa"/>
            <w:shd w:val="clear" w:color="auto" w:fill="auto"/>
            <w:tcMar>
              <w:top w:w="40" w:type="dxa"/>
              <w:left w:w="0" w:type="dxa"/>
              <w:bottom w:w="40" w:type="dxa"/>
              <w:right w:w="0" w:type="dxa"/>
            </w:tcMar>
            <w:vAlign w:val="bottom"/>
          </w:tcPr>
          <w:p w14:paraId="692B983C" w14:textId="77777777" w:rsidR="0097607E" w:rsidRPr="0097607E" w:rsidRDefault="0097607E" w:rsidP="00A360F6">
            <w:pPr>
              <w:spacing w:line="240" w:lineRule="atLeast"/>
              <w:jc w:val="right"/>
              <w:rPr>
                <w:rFonts w:ascii="Tahoma" w:hAnsi="Tahoma"/>
                <w:color w:val="000000" w:themeColor="text1"/>
                <w:sz w:val="16"/>
                <w:lang w:val="en-GB"/>
              </w:rPr>
            </w:pPr>
            <w:r w:rsidRPr="0097607E">
              <w:rPr>
                <w:rFonts w:ascii="Tahoma" w:hAnsi="Tahoma"/>
                <w:color w:val="000000" w:themeColor="text1"/>
                <w:sz w:val="16"/>
                <w:lang w:val="en-GB"/>
              </w:rPr>
              <w:t>6 237</w:t>
            </w:r>
          </w:p>
        </w:tc>
      </w:tr>
      <w:tr w:rsidR="00615190" w:rsidRPr="0097607E" w14:paraId="3D90E1EB" w14:textId="77777777" w:rsidTr="00B5242A">
        <w:trPr>
          <w:trHeight w:val="60"/>
        </w:trPr>
        <w:tc>
          <w:tcPr>
            <w:tcW w:w="6104" w:type="dxa"/>
            <w:shd w:val="clear" w:color="auto" w:fill="auto"/>
            <w:tcMar>
              <w:top w:w="40" w:type="dxa"/>
              <w:left w:w="0" w:type="dxa"/>
              <w:bottom w:w="40" w:type="dxa"/>
              <w:right w:w="0" w:type="dxa"/>
            </w:tcMar>
            <w:vAlign w:val="bottom"/>
          </w:tcPr>
          <w:p w14:paraId="5CF774C9" w14:textId="77777777" w:rsidR="0097607E" w:rsidRPr="0097607E" w:rsidRDefault="0097607E" w:rsidP="00615190">
            <w:pPr>
              <w:spacing w:line="240" w:lineRule="atLeast"/>
              <w:rPr>
                <w:rFonts w:ascii="Tahoma" w:hAnsi="Tahoma"/>
                <w:color w:val="000000" w:themeColor="text1"/>
                <w:sz w:val="16"/>
                <w:lang w:val="en-GB"/>
              </w:rPr>
            </w:pPr>
            <w:r w:rsidRPr="0097607E">
              <w:rPr>
                <w:rFonts w:ascii="Tahoma" w:hAnsi="Tahoma"/>
                <w:color w:val="000000" w:themeColor="text1"/>
                <w:sz w:val="16"/>
                <w:lang w:val="en-GB"/>
              </w:rPr>
              <w:t>Cost of providing services and sale of goods</w:t>
            </w:r>
          </w:p>
        </w:tc>
        <w:tc>
          <w:tcPr>
            <w:tcW w:w="700" w:type="dxa"/>
            <w:shd w:val="clear" w:color="auto" w:fill="auto"/>
            <w:tcMar>
              <w:top w:w="40" w:type="dxa"/>
              <w:left w:w="0" w:type="dxa"/>
              <w:bottom w:w="40" w:type="dxa"/>
              <w:right w:w="0" w:type="dxa"/>
            </w:tcMar>
            <w:vAlign w:val="bottom"/>
          </w:tcPr>
          <w:p w14:paraId="1C483C42" w14:textId="77777777" w:rsidR="0097607E" w:rsidRPr="0097607E" w:rsidRDefault="0097607E" w:rsidP="003C1618">
            <w:pPr>
              <w:spacing w:line="240" w:lineRule="atLeast"/>
              <w:jc w:val="right"/>
              <w:rPr>
                <w:rFonts w:ascii="Tahoma" w:hAnsi="Tahoma"/>
                <w:color w:val="000000" w:themeColor="text1"/>
                <w:sz w:val="16"/>
                <w:lang w:val="en-GB"/>
              </w:rPr>
            </w:pPr>
          </w:p>
        </w:tc>
        <w:tc>
          <w:tcPr>
            <w:tcW w:w="1134" w:type="dxa"/>
            <w:shd w:val="clear" w:color="auto" w:fill="auto"/>
            <w:tcMar>
              <w:top w:w="40" w:type="dxa"/>
              <w:left w:w="0" w:type="dxa"/>
              <w:bottom w:w="40" w:type="dxa"/>
              <w:right w:w="0" w:type="dxa"/>
            </w:tcMar>
            <w:vAlign w:val="bottom"/>
          </w:tcPr>
          <w:p w14:paraId="1A3C5F69" w14:textId="77777777" w:rsidR="0097607E" w:rsidRPr="0097607E" w:rsidRDefault="0097607E" w:rsidP="00A360F6">
            <w:pPr>
              <w:spacing w:line="240" w:lineRule="atLeast"/>
              <w:jc w:val="right"/>
              <w:rPr>
                <w:rFonts w:ascii="Tahoma" w:hAnsi="Tahoma"/>
                <w:b/>
                <w:bCs/>
                <w:color w:val="000000" w:themeColor="text1"/>
                <w:sz w:val="16"/>
                <w:lang w:val="en-GB"/>
              </w:rPr>
            </w:pPr>
            <w:r w:rsidRPr="0097607E">
              <w:rPr>
                <w:rFonts w:ascii="Tahoma" w:hAnsi="Tahoma"/>
                <w:b/>
                <w:bCs/>
                <w:color w:val="000000" w:themeColor="text1"/>
                <w:sz w:val="16"/>
                <w:lang w:val="en-GB"/>
              </w:rPr>
              <w:t>(2 414)</w:t>
            </w:r>
          </w:p>
        </w:tc>
        <w:tc>
          <w:tcPr>
            <w:tcW w:w="1134" w:type="dxa"/>
            <w:shd w:val="clear" w:color="auto" w:fill="auto"/>
            <w:tcMar>
              <w:top w:w="40" w:type="dxa"/>
              <w:left w:w="0" w:type="dxa"/>
              <w:bottom w:w="40" w:type="dxa"/>
              <w:right w:w="0" w:type="dxa"/>
            </w:tcMar>
            <w:vAlign w:val="bottom"/>
          </w:tcPr>
          <w:p w14:paraId="1924F1CC" w14:textId="77777777" w:rsidR="0097607E" w:rsidRPr="0097607E" w:rsidRDefault="0097607E" w:rsidP="00A360F6">
            <w:pPr>
              <w:spacing w:line="240" w:lineRule="atLeast"/>
              <w:jc w:val="right"/>
              <w:rPr>
                <w:rFonts w:ascii="Tahoma" w:hAnsi="Tahoma"/>
                <w:color w:val="000000" w:themeColor="text1"/>
                <w:sz w:val="16"/>
                <w:lang w:val="en-GB"/>
              </w:rPr>
            </w:pPr>
            <w:r w:rsidRPr="0097607E">
              <w:rPr>
                <w:rFonts w:ascii="Tahoma" w:hAnsi="Tahoma"/>
                <w:color w:val="000000" w:themeColor="text1"/>
                <w:sz w:val="16"/>
                <w:lang w:val="en-GB"/>
              </w:rPr>
              <w:t>(2 047)</w:t>
            </w:r>
          </w:p>
        </w:tc>
        <w:tc>
          <w:tcPr>
            <w:tcW w:w="1134" w:type="dxa"/>
            <w:shd w:val="clear" w:color="auto" w:fill="auto"/>
            <w:tcMar>
              <w:top w:w="40" w:type="dxa"/>
              <w:left w:w="0" w:type="dxa"/>
              <w:bottom w:w="40" w:type="dxa"/>
              <w:right w:w="0" w:type="dxa"/>
            </w:tcMar>
            <w:vAlign w:val="bottom"/>
          </w:tcPr>
          <w:p w14:paraId="395CF0DB" w14:textId="77777777" w:rsidR="0097607E" w:rsidRPr="0097607E" w:rsidRDefault="0097607E" w:rsidP="00A360F6">
            <w:pPr>
              <w:spacing w:line="240" w:lineRule="atLeast"/>
              <w:jc w:val="right"/>
              <w:rPr>
                <w:rFonts w:ascii="Tahoma" w:hAnsi="Tahoma"/>
                <w:color w:val="000000" w:themeColor="text1"/>
                <w:sz w:val="16"/>
                <w:lang w:val="en-GB"/>
              </w:rPr>
            </w:pPr>
            <w:r w:rsidRPr="0097607E">
              <w:rPr>
                <w:rFonts w:ascii="Tahoma" w:hAnsi="Tahoma"/>
                <w:color w:val="000000" w:themeColor="text1"/>
                <w:sz w:val="16"/>
                <w:lang w:val="en-GB"/>
              </w:rPr>
              <w:t>(4 735)</w:t>
            </w:r>
          </w:p>
        </w:tc>
      </w:tr>
      <w:tr w:rsidR="00615190" w:rsidRPr="0097607E" w14:paraId="794C6262" w14:textId="77777777" w:rsidTr="00B5242A">
        <w:trPr>
          <w:trHeight w:val="60"/>
        </w:trPr>
        <w:tc>
          <w:tcPr>
            <w:tcW w:w="6104" w:type="dxa"/>
            <w:shd w:val="clear" w:color="auto" w:fill="auto"/>
            <w:tcMar>
              <w:top w:w="40" w:type="dxa"/>
              <w:left w:w="0" w:type="dxa"/>
              <w:bottom w:w="40" w:type="dxa"/>
              <w:right w:w="0" w:type="dxa"/>
            </w:tcMar>
            <w:vAlign w:val="bottom"/>
          </w:tcPr>
          <w:p w14:paraId="7A37BE79" w14:textId="77777777" w:rsidR="0097607E" w:rsidRPr="0097607E" w:rsidRDefault="0097607E" w:rsidP="00615190">
            <w:pPr>
              <w:spacing w:line="240" w:lineRule="atLeast"/>
              <w:rPr>
                <w:rFonts w:ascii="Tahoma" w:hAnsi="Tahoma"/>
                <w:color w:val="000000" w:themeColor="text1"/>
                <w:sz w:val="16"/>
                <w:lang w:val="en-GB"/>
              </w:rPr>
            </w:pPr>
            <w:r w:rsidRPr="0097607E">
              <w:rPr>
                <w:rFonts w:ascii="Tahoma" w:hAnsi="Tahoma"/>
                <w:color w:val="000000" w:themeColor="text1"/>
                <w:sz w:val="16"/>
                <w:lang w:val="en-GB"/>
              </w:rPr>
              <w:t>Selling, general and administration expenses</w:t>
            </w:r>
          </w:p>
        </w:tc>
        <w:tc>
          <w:tcPr>
            <w:tcW w:w="700" w:type="dxa"/>
            <w:shd w:val="clear" w:color="auto" w:fill="auto"/>
            <w:tcMar>
              <w:top w:w="40" w:type="dxa"/>
              <w:left w:w="0" w:type="dxa"/>
              <w:bottom w:w="40" w:type="dxa"/>
              <w:right w:w="0" w:type="dxa"/>
            </w:tcMar>
            <w:vAlign w:val="bottom"/>
          </w:tcPr>
          <w:p w14:paraId="47931A73" w14:textId="77777777" w:rsidR="0097607E" w:rsidRPr="0097607E" w:rsidRDefault="0097607E" w:rsidP="003C1618">
            <w:pPr>
              <w:spacing w:line="240" w:lineRule="atLeast"/>
              <w:jc w:val="right"/>
              <w:rPr>
                <w:rFonts w:ascii="Tahoma" w:hAnsi="Tahoma"/>
                <w:color w:val="000000" w:themeColor="text1"/>
                <w:sz w:val="16"/>
                <w:lang w:val="en-GB"/>
              </w:rPr>
            </w:pPr>
          </w:p>
        </w:tc>
        <w:tc>
          <w:tcPr>
            <w:tcW w:w="1134" w:type="dxa"/>
            <w:shd w:val="clear" w:color="auto" w:fill="auto"/>
            <w:tcMar>
              <w:top w:w="40" w:type="dxa"/>
              <w:left w:w="0" w:type="dxa"/>
              <w:bottom w:w="40" w:type="dxa"/>
              <w:right w:w="0" w:type="dxa"/>
            </w:tcMar>
            <w:vAlign w:val="bottom"/>
          </w:tcPr>
          <w:p w14:paraId="716A763B" w14:textId="77777777" w:rsidR="0097607E" w:rsidRPr="0097607E" w:rsidRDefault="0097607E" w:rsidP="00A360F6">
            <w:pPr>
              <w:spacing w:line="240" w:lineRule="atLeast"/>
              <w:jc w:val="right"/>
              <w:rPr>
                <w:rFonts w:ascii="Tahoma" w:hAnsi="Tahoma"/>
                <w:b/>
                <w:bCs/>
                <w:color w:val="000000" w:themeColor="text1"/>
                <w:sz w:val="16"/>
                <w:lang w:val="en-GB"/>
              </w:rPr>
            </w:pPr>
            <w:r w:rsidRPr="0097607E">
              <w:rPr>
                <w:rFonts w:ascii="Tahoma" w:hAnsi="Tahoma"/>
                <w:b/>
                <w:bCs/>
                <w:color w:val="000000" w:themeColor="text1"/>
                <w:sz w:val="16"/>
                <w:lang w:val="en-GB"/>
              </w:rPr>
              <w:t>(1 104)</w:t>
            </w:r>
          </w:p>
        </w:tc>
        <w:tc>
          <w:tcPr>
            <w:tcW w:w="1134" w:type="dxa"/>
            <w:shd w:val="clear" w:color="auto" w:fill="auto"/>
            <w:tcMar>
              <w:top w:w="40" w:type="dxa"/>
              <w:left w:w="0" w:type="dxa"/>
              <w:bottom w:w="40" w:type="dxa"/>
              <w:right w:w="0" w:type="dxa"/>
            </w:tcMar>
            <w:vAlign w:val="bottom"/>
          </w:tcPr>
          <w:p w14:paraId="1C46A814" w14:textId="77777777" w:rsidR="0097607E" w:rsidRPr="0097607E" w:rsidRDefault="0097607E" w:rsidP="00A360F6">
            <w:pPr>
              <w:spacing w:line="240" w:lineRule="atLeast"/>
              <w:jc w:val="right"/>
              <w:rPr>
                <w:rFonts w:ascii="Tahoma" w:hAnsi="Tahoma"/>
                <w:color w:val="000000" w:themeColor="text1"/>
                <w:sz w:val="16"/>
                <w:lang w:val="en-GB"/>
              </w:rPr>
            </w:pPr>
            <w:r w:rsidRPr="0097607E">
              <w:rPr>
                <w:rFonts w:ascii="Tahoma" w:hAnsi="Tahoma"/>
                <w:color w:val="000000" w:themeColor="text1"/>
                <w:sz w:val="16"/>
                <w:lang w:val="en-GB"/>
              </w:rPr>
              <w:t>(1 187)</w:t>
            </w:r>
          </w:p>
        </w:tc>
        <w:tc>
          <w:tcPr>
            <w:tcW w:w="1134" w:type="dxa"/>
            <w:shd w:val="clear" w:color="auto" w:fill="auto"/>
            <w:tcMar>
              <w:top w:w="40" w:type="dxa"/>
              <w:left w:w="0" w:type="dxa"/>
              <w:bottom w:w="40" w:type="dxa"/>
              <w:right w:w="0" w:type="dxa"/>
            </w:tcMar>
            <w:vAlign w:val="bottom"/>
          </w:tcPr>
          <w:p w14:paraId="5DAAB771" w14:textId="77777777" w:rsidR="0097607E" w:rsidRPr="0097607E" w:rsidRDefault="0097607E" w:rsidP="00A360F6">
            <w:pPr>
              <w:spacing w:line="240" w:lineRule="atLeast"/>
              <w:jc w:val="right"/>
              <w:rPr>
                <w:rFonts w:ascii="Tahoma" w:hAnsi="Tahoma"/>
                <w:color w:val="000000" w:themeColor="text1"/>
                <w:sz w:val="16"/>
                <w:lang w:val="en-GB"/>
              </w:rPr>
            </w:pPr>
            <w:r w:rsidRPr="0097607E">
              <w:rPr>
                <w:rFonts w:ascii="Tahoma" w:hAnsi="Tahoma"/>
                <w:color w:val="000000" w:themeColor="text1"/>
                <w:sz w:val="16"/>
                <w:lang w:val="en-GB"/>
              </w:rPr>
              <w:t>(2 394)</w:t>
            </w:r>
          </w:p>
        </w:tc>
      </w:tr>
      <w:tr w:rsidR="00615190" w:rsidRPr="0097607E" w14:paraId="63F23C2D" w14:textId="77777777" w:rsidTr="00B5242A">
        <w:trPr>
          <w:trHeight w:val="60"/>
        </w:trPr>
        <w:tc>
          <w:tcPr>
            <w:tcW w:w="6104" w:type="dxa"/>
            <w:tcBorders>
              <w:bottom w:val="single" w:sz="4" w:space="0" w:color="auto"/>
            </w:tcBorders>
            <w:shd w:val="clear" w:color="auto" w:fill="auto"/>
            <w:tcMar>
              <w:top w:w="40" w:type="dxa"/>
              <w:left w:w="0" w:type="dxa"/>
              <w:bottom w:w="68" w:type="dxa"/>
              <w:right w:w="0" w:type="dxa"/>
            </w:tcMar>
            <w:vAlign w:val="bottom"/>
          </w:tcPr>
          <w:p w14:paraId="02673EDE" w14:textId="77777777" w:rsidR="0097607E" w:rsidRPr="0097607E" w:rsidRDefault="0097607E" w:rsidP="00615190">
            <w:pPr>
              <w:spacing w:line="240" w:lineRule="atLeast"/>
              <w:rPr>
                <w:rFonts w:ascii="Tahoma" w:hAnsi="Tahoma"/>
                <w:color w:val="000000" w:themeColor="text1"/>
                <w:sz w:val="16"/>
                <w:lang w:val="en-GB"/>
              </w:rPr>
            </w:pPr>
            <w:r w:rsidRPr="0097607E">
              <w:rPr>
                <w:rFonts w:ascii="Tahoma" w:hAnsi="Tahoma"/>
                <w:color w:val="000000" w:themeColor="text1"/>
                <w:sz w:val="16"/>
                <w:lang w:val="en-GB"/>
              </w:rPr>
              <w:t>Other (losses)/gains – net</w:t>
            </w:r>
          </w:p>
        </w:tc>
        <w:tc>
          <w:tcPr>
            <w:tcW w:w="700" w:type="dxa"/>
            <w:tcBorders>
              <w:bottom w:val="single" w:sz="4" w:space="0" w:color="auto"/>
            </w:tcBorders>
            <w:shd w:val="clear" w:color="auto" w:fill="auto"/>
            <w:tcMar>
              <w:top w:w="40" w:type="dxa"/>
              <w:left w:w="0" w:type="dxa"/>
              <w:bottom w:w="68" w:type="dxa"/>
              <w:right w:w="0" w:type="dxa"/>
            </w:tcMar>
            <w:vAlign w:val="bottom"/>
          </w:tcPr>
          <w:p w14:paraId="4DE38877" w14:textId="77777777" w:rsidR="0097607E" w:rsidRPr="0097607E" w:rsidRDefault="0097607E" w:rsidP="003C1618">
            <w:pPr>
              <w:spacing w:line="240" w:lineRule="atLeast"/>
              <w:jc w:val="right"/>
              <w:rPr>
                <w:rFonts w:ascii="Tahoma" w:hAnsi="Tahoma"/>
                <w:color w:val="000000" w:themeColor="text1"/>
                <w:sz w:val="16"/>
                <w:lang w:val="en-GB"/>
              </w:rPr>
            </w:pPr>
            <w:r w:rsidRPr="0097607E">
              <w:rPr>
                <w:rFonts w:ascii="Tahoma" w:hAnsi="Tahoma"/>
                <w:color w:val="000000" w:themeColor="text1"/>
                <w:sz w:val="16"/>
                <w:lang w:val="en-GB"/>
              </w:rPr>
              <w:t>9</w:t>
            </w:r>
          </w:p>
        </w:tc>
        <w:tc>
          <w:tcPr>
            <w:tcW w:w="1134" w:type="dxa"/>
            <w:tcBorders>
              <w:bottom w:val="single" w:sz="4" w:space="0" w:color="auto"/>
            </w:tcBorders>
            <w:shd w:val="clear" w:color="auto" w:fill="auto"/>
            <w:tcMar>
              <w:top w:w="40" w:type="dxa"/>
              <w:left w:w="0" w:type="dxa"/>
              <w:bottom w:w="68" w:type="dxa"/>
              <w:right w:w="0" w:type="dxa"/>
            </w:tcMar>
            <w:vAlign w:val="bottom"/>
          </w:tcPr>
          <w:p w14:paraId="2CF71174" w14:textId="77777777" w:rsidR="0097607E" w:rsidRPr="0097607E" w:rsidRDefault="0097607E" w:rsidP="00A360F6">
            <w:pPr>
              <w:spacing w:line="240" w:lineRule="atLeast"/>
              <w:jc w:val="right"/>
              <w:rPr>
                <w:rFonts w:ascii="Tahoma" w:hAnsi="Tahoma"/>
                <w:b/>
                <w:bCs/>
                <w:color w:val="000000" w:themeColor="text1"/>
                <w:sz w:val="16"/>
                <w:lang w:val="en-GB"/>
              </w:rPr>
            </w:pPr>
            <w:r w:rsidRPr="0097607E">
              <w:rPr>
                <w:rFonts w:ascii="Tahoma" w:hAnsi="Tahoma"/>
                <w:b/>
                <w:bCs/>
                <w:color w:val="000000" w:themeColor="text1"/>
                <w:sz w:val="16"/>
                <w:lang w:val="en-GB"/>
              </w:rPr>
              <w:t>(9)</w:t>
            </w:r>
          </w:p>
        </w:tc>
        <w:tc>
          <w:tcPr>
            <w:tcW w:w="1134" w:type="dxa"/>
            <w:tcBorders>
              <w:bottom w:val="single" w:sz="4" w:space="0" w:color="auto"/>
            </w:tcBorders>
            <w:shd w:val="clear" w:color="auto" w:fill="auto"/>
            <w:tcMar>
              <w:top w:w="40" w:type="dxa"/>
              <w:left w:w="0" w:type="dxa"/>
              <w:bottom w:w="68" w:type="dxa"/>
              <w:right w:w="0" w:type="dxa"/>
            </w:tcMar>
            <w:vAlign w:val="bottom"/>
          </w:tcPr>
          <w:p w14:paraId="1D655FEA" w14:textId="77777777" w:rsidR="0097607E" w:rsidRPr="0097607E" w:rsidRDefault="0097607E" w:rsidP="00A360F6">
            <w:pPr>
              <w:spacing w:line="240" w:lineRule="atLeast"/>
              <w:jc w:val="right"/>
              <w:rPr>
                <w:rFonts w:ascii="Tahoma" w:hAnsi="Tahoma"/>
                <w:color w:val="000000" w:themeColor="text1"/>
                <w:sz w:val="16"/>
                <w:lang w:val="en-GB"/>
              </w:rPr>
            </w:pPr>
            <w:r w:rsidRPr="0097607E">
              <w:rPr>
                <w:rFonts w:ascii="Tahoma" w:hAnsi="Tahoma"/>
                <w:color w:val="000000" w:themeColor="text1"/>
                <w:sz w:val="16"/>
                <w:lang w:val="en-GB"/>
              </w:rPr>
              <w:t>56</w:t>
            </w:r>
          </w:p>
        </w:tc>
        <w:tc>
          <w:tcPr>
            <w:tcW w:w="1134" w:type="dxa"/>
            <w:tcBorders>
              <w:bottom w:val="single" w:sz="4" w:space="0" w:color="auto"/>
            </w:tcBorders>
            <w:shd w:val="clear" w:color="auto" w:fill="auto"/>
            <w:tcMar>
              <w:top w:w="40" w:type="dxa"/>
              <w:left w:w="0" w:type="dxa"/>
              <w:bottom w:w="68" w:type="dxa"/>
              <w:right w:w="0" w:type="dxa"/>
            </w:tcMar>
            <w:vAlign w:val="bottom"/>
          </w:tcPr>
          <w:p w14:paraId="551D6681" w14:textId="77777777" w:rsidR="0097607E" w:rsidRPr="0097607E" w:rsidRDefault="0097607E" w:rsidP="00A360F6">
            <w:pPr>
              <w:spacing w:line="240" w:lineRule="atLeast"/>
              <w:jc w:val="right"/>
              <w:rPr>
                <w:rFonts w:ascii="Tahoma" w:hAnsi="Tahoma"/>
                <w:color w:val="000000" w:themeColor="text1"/>
                <w:sz w:val="16"/>
                <w:lang w:val="en-GB"/>
              </w:rPr>
            </w:pPr>
            <w:r w:rsidRPr="0097607E">
              <w:rPr>
                <w:rFonts w:ascii="Tahoma" w:hAnsi="Tahoma"/>
                <w:color w:val="000000" w:themeColor="text1"/>
                <w:sz w:val="16"/>
                <w:lang w:val="en-GB"/>
              </w:rPr>
              <w:t>(169)</w:t>
            </w:r>
          </w:p>
        </w:tc>
      </w:tr>
      <w:tr w:rsidR="00615190" w:rsidRPr="0097607E" w14:paraId="4A065EA2" w14:textId="77777777" w:rsidTr="00B5242A">
        <w:trPr>
          <w:trHeight w:val="60"/>
        </w:trPr>
        <w:tc>
          <w:tcPr>
            <w:tcW w:w="6104" w:type="dxa"/>
            <w:tcBorders>
              <w:top w:val="single" w:sz="4" w:space="0" w:color="auto"/>
            </w:tcBorders>
            <w:shd w:val="clear" w:color="auto" w:fill="auto"/>
            <w:tcMar>
              <w:top w:w="68" w:type="dxa"/>
              <w:left w:w="0" w:type="dxa"/>
              <w:bottom w:w="40" w:type="dxa"/>
              <w:right w:w="0" w:type="dxa"/>
            </w:tcMar>
            <w:vAlign w:val="bottom"/>
          </w:tcPr>
          <w:p w14:paraId="5EFB77F7" w14:textId="77777777" w:rsidR="0097607E" w:rsidRPr="0097607E" w:rsidRDefault="0097607E" w:rsidP="00615190">
            <w:pPr>
              <w:spacing w:line="240" w:lineRule="atLeast"/>
              <w:rPr>
                <w:rFonts w:ascii="Tahoma" w:hAnsi="Tahoma"/>
                <w:b/>
                <w:bCs/>
                <w:color w:val="000000" w:themeColor="text1"/>
                <w:sz w:val="16"/>
                <w:lang w:val="en-GB"/>
              </w:rPr>
            </w:pPr>
            <w:r w:rsidRPr="0097607E">
              <w:rPr>
                <w:rFonts w:ascii="Tahoma" w:hAnsi="Tahoma"/>
                <w:b/>
                <w:bCs/>
                <w:color w:val="000000" w:themeColor="text1"/>
                <w:sz w:val="16"/>
                <w:lang w:val="en-GB"/>
              </w:rPr>
              <w:t>Operating loss</w:t>
            </w:r>
          </w:p>
        </w:tc>
        <w:tc>
          <w:tcPr>
            <w:tcW w:w="700" w:type="dxa"/>
            <w:tcBorders>
              <w:top w:val="single" w:sz="4" w:space="0" w:color="auto"/>
            </w:tcBorders>
            <w:shd w:val="clear" w:color="auto" w:fill="auto"/>
            <w:tcMar>
              <w:top w:w="68" w:type="dxa"/>
              <w:left w:w="0" w:type="dxa"/>
              <w:bottom w:w="40" w:type="dxa"/>
              <w:right w:w="0" w:type="dxa"/>
            </w:tcMar>
            <w:vAlign w:val="bottom"/>
          </w:tcPr>
          <w:p w14:paraId="703634F7" w14:textId="77777777" w:rsidR="0097607E" w:rsidRPr="0097607E" w:rsidRDefault="0097607E" w:rsidP="003C1618">
            <w:pPr>
              <w:spacing w:line="240" w:lineRule="atLeast"/>
              <w:jc w:val="right"/>
              <w:rPr>
                <w:rFonts w:ascii="Tahoma" w:hAnsi="Tahoma"/>
                <w:color w:val="000000" w:themeColor="text1"/>
                <w:sz w:val="16"/>
                <w:lang w:val="en-GB"/>
              </w:rPr>
            </w:pPr>
          </w:p>
        </w:tc>
        <w:tc>
          <w:tcPr>
            <w:tcW w:w="1134" w:type="dxa"/>
            <w:tcBorders>
              <w:top w:val="single" w:sz="4" w:space="0" w:color="auto"/>
            </w:tcBorders>
            <w:shd w:val="clear" w:color="auto" w:fill="auto"/>
            <w:tcMar>
              <w:top w:w="68" w:type="dxa"/>
              <w:left w:w="0" w:type="dxa"/>
              <w:bottom w:w="40" w:type="dxa"/>
              <w:right w:w="0" w:type="dxa"/>
            </w:tcMar>
            <w:vAlign w:val="bottom"/>
          </w:tcPr>
          <w:p w14:paraId="6A9AD9B2" w14:textId="77777777" w:rsidR="0097607E" w:rsidRPr="0097607E" w:rsidRDefault="0097607E" w:rsidP="00A360F6">
            <w:pPr>
              <w:spacing w:line="240" w:lineRule="atLeast"/>
              <w:jc w:val="right"/>
              <w:rPr>
                <w:rFonts w:ascii="Tahoma" w:hAnsi="Tahoma"/>
                <w:b/>
                <w:bCs/>
                <w:color w:val="000000" w:themeColor="text1"/>
                <w:sz w:val="16"/>
                <w:lang w:val="en-GB"/>
              </w:rPr>
            </w:pPr>
            <w:r w:rsidRPr="0097607E">
              <w:rPr>
                <w:rFonts w:ascii="Tahoma" w:hAnsi="Tahoma"/>
                <w:b/>
                <w:bCs/>
                <w:color w:val="000000" w:themeColor="text1"/>
                <w:sz w:val="16"/>
                <w:lang w:val="en-GB"/>
              </w:rPr>
              <w:t>(287)</w:t>
            </w:r>
          </w:p>
        </w:tc>
        <w:tc>
          <w:tcPr>
            <w:tcW w:w="1134" w:type="dxa"/>
            <w:tcBorders>
              <w:top w:val="single" w:sz="4" w:space="0" w:color="auto"/>
            </w:tcBorders>
            <w:shd w:val="clear" w:color="auto" w:fill="auto"/>
            <w:tcMar>
              <w:top w:w="68" w:type="dxa"/>
              <w:left w:w="0" w:type="dxa"/>
              <w:bottom w:w="40" w:type="dxa"/>
              <w:right w:w="0" w:type="dxa"/>
            </w:tcMar>
            <w:vAlign w:val="bottom"/>
          </w:tcPr>
          <w:p w14:paraId="519E6624" w14:textId="77777777" w:rsidR="0097607E" w:rsidRPr="0097607E" w:rsidRDefault="0097607E" w:rsidP="00A360F6">
            <w:pPr>
              <w:spacing w:line="240" w:lineRule="atLeast"/>
              <w:jc w:val="right"/>
              <w:rPr>
                <w:rFonts w:ascii="Tahoma" w:hAnsi="Tahoma"/>
                <w:color w:val="000000" w:themeColor="text1"/>
                <w:sz w:val="16"/>
                <w:lang w:val="en-GB"/>
              </w:rPr>
            </w:pPr>
            <w:r w:rsidRPr="0097607E">
              <w:rPr>
                <w:rFonts w:ascii="Tahoma" w:hAnsi="Tahoma"/>
                <w:color w:val="000000" w:themeColor="text1"/>
                <w:sz w:val="16"/>
                <w:lang w:val="en-GB"/>
              </w:rPr>
              <w:t>(425)</w:t>
            </w:r>
          </w:p>
        </w:tc>
        <w:tc>
          <w:tcPr>
            <w:tcW w:w="1134" w:type="dxa"/>
            <w:tcBorders>
              <w:top w:val="single" w:sz="4" w:space="0" w:color="auto"/>
            </w:tcBorders>
            <w:shd w:val="clear" w:color="auto" w:fill="auto"/>
            <w:tcMar>
              <w:top w:w="68" w:type="dxa"/>
              <w:left w:w="0" w:type="dxa"/>
              <w:bottom w:w="40" w:type="dxa"/>
              <w:right w:w="0" w:type="dxa"/>
            </w:tcMar>
            <w:vAlign w:val="bottom"/>
          </w:tcPr>
          <w:p w14:paraId="44C1632C" w14:textId="77777777" w:rsidR="0097607E" w:rsidRPr="0097607E" w:rsidRDefault="0097607E" w:rsidP="00A360F6">
            <w:pPr>
              <w:spacing w:line="240" w:lineRule="atLeast"/>
              <w:jc w:val="right"/>
              <w:rPr>
                <w:rFonts w:ascii="Tahoma" w:hAnsi="Tahoma"/>
                <w:color w:val="000000" w:themeColor="text1"/>
                <w:sz w:val="16"/>
                <w:lang w:val="en-GB"/>
              </w:rPr>
            </w:pPr>
            <w:r w:rsidRPr="0097607E">
              <w:rPr>
                <w:rFonts w:ascii="Tahoma" w:hAnsi="Tahoma"/>
                <w:color w:val="000000" w:themeColor="text1"/>
                <w:sz w:val="16"/>
                <w:lang w:val="en-GB"/>
              </w:rPr>
              <w:t>(1 061)</w:t>
            </w:r>
          </w:p>
        </w:tc>
      </w:tr>
      <w:tr w:rsidR="00615190" w:rsidRPr="0097607E" w14:paraId="43CA59F0" w14:textId="77777777" w:rsidTr="00B5242A">
        <w:trPr>
          <w:trHeight w:val="60"/>
        </w:trPr>
        <w:tc>
          <w:tcPr>
            <w:tcW w:w="6104" w:type="dxa"/>
            <w:shd w:val="clear" w:color="auto" w:fill="auto"/>
            <w:tcMar>
              <w:top w:w="40" w:type="dxa"/>
              <w:left w:w="0" w:type="dxa"/>
              <w:bottom w:w="40" w:type="dxa"/>
              <w:right w:w="0" w:type="dxa"/>
            </w:tcMar>
            <w:vAlign w:val="bottom"/>
          </w:tcPr>
          <w:p w14:paraId="716949E9" w14:textId="77777777" w:rsidR="0097607E" w:rsidRPr="0097607E" w:rsidRDefault="0097607E" w:rsidP="00615190">
            <w:pPr>
              <w:spacing w:line="240" w:lineRule="atLeast"/>
              <w:rPr>
                <w:rFonts w:ascii="Tahoma" w:hAnsi="Tahoma"/>
                <w:color w:val="000000" w:themeColor="text1"/>
                <w:sz w:val="16"/>
                <w:lang w:val="en-GB"/>
              </w:rPr>
            </w:pPr>
            <w:r w:rsidRPr="0097607E">
              <w:rPr>
                <w:rFonts w:ascii="Tahoma" w:hAnsi="Tahoma"/>
                <w:color w:val="000000" w:themeColor="text1"/>
                <w:sz w:val="16"/>
                <w:lang w:val="en-GB"/>
              </w:rPr>
              <w:t>Interest income</w:t>
            </w:r>
          </w:p>
        </w:tc>
        <w:tc>
          <w:tcPr>
            <w:tcW w:w="700" w:type="dxa"/>
            <w:shd w:val="clear" w:color="auto" w:fill="auto"/>
            <w:tcMar>
              <w:top w:w="40" w:type="dxa"/>
              <w:left w:w="0" w:type="dxa"/>
              <w:bottom w:w="40" w:type="dxa"/>
              <w:right w:w="0" w:type="dxa"/>
            </w:tcMar>
            <w:vAlign w:val="bottom"/>
          </w:tcPr>
          <w:p w14:paraId="6F456069" w14:textId="77777777" w:rsidR="0097607E" w:rsidRPr="0097607E" w:rsidRDefault="0097607E" w:rsidP="003C1618">
            <w:pPr>
              <w:spacing w:line="240" w:lineRule="atLeast"/>
              <w:jc w:val="right"/>
              <w:rPr>
                <w:rFonts w:ascii="Tahoma" w:hAnsi="Tahoma"/>
                <w:color w:val="000000" w:themeColor="text1"/>
                <w:sz w:val="16"/>
                <w:lang w:val="en-GB"/>
              </w:rPr>
            </w:pPr>
            <w:r w:rsidRPr="0097607E">
              <w:rPr>
                <w:rFonts w:ascii="Tahoma" w:hAnsi="Tahoma"/>
                <w:color w:val="000000" w:themeColor="text1"/>
                <w:sz w:val="16"/>
                <w:lang w:val="en-GB"/>
              </w:rPr>
              <w:t>8</w:t>
            </w:r>
          </w:p>
        </w:tc>
        <w:tc>
          <w:tcPr>
            <w:tcW w:w="1134" w:type="dxa"/>
            <w:shd w:val="clear" w:color="auto" w:fill="auto"/>
            <w:tcMar>
              <w:top w:w="40" w:type="dxa"/>
              <w:left w:w="0" w:type="dxa"/>
              <w:bottom w:w="40" w:type="dxa"/>
              <w:right w:w="0" w:type="dxa"/>
            </w:tcMar>
            <w:vAlign w:val="bottom"/>
          </w:tcPr>
          <w:p w14:paraId="53908438" w14:textId="77777777" w:rsidR="0097607E" w:rsidRPr="0097607E" w:rsidRDefault="0097607E" w:rsidP="00A360F6">
            <w:pPr>
              <w:spacing w:line="240" w:lineRule="atLeast"/>
              <w:jc w:val="right"/>
              <w:rPr>
                <w:rFonts w:ascii="Tahoma" w:hAnsi="Tahoma"/>
                <w:b/>
                <w:bCs/>
                <w:color w:val="000000" w:themeColor="text1"/>
                <w:sz w:val="16"/>
                <w:lang w:val="en-GB"/>
              </w:rPr>
            </w:pPr>
            <w:r w:rsidRPr="0097607E">
              <w:rPr>
                <w:rFonts w:ascii="Tahoma" w:hAnsi="Tahoma"/>
                <w:b/>
                <w:bCs/>
                <w:color w:val="000000" w:themeColor="text1"/>
                <w:sz w:val="16"/>
                <w:lang w:val="en-GB"/>
              </w:rPr>
              <w:t>140</w:t>
            </w:r>
          </w:p>
        </w:tc>
        <w:tc>
          <w:tcPr>
            <w:tcW w:w="1134" w:type="dxa"/>
            <w:shd w:val="clear" w:color="auto" w:fill="auto"/>
            <w:tcMar>
              <w:top w:w="40" w:type="dxa"/>
              <w:left w:w="0" w:type="dxa"/>
              <w:bottom w:w="40" w:type="dxa"/>
              <w:right w:w="0" w:type="dxa"/>
            </w:tcMar>
            <w:vAlign w:val="bottom"/>
          </w:tcPr>
          <w:p w14:paraId="6A2D3DB8" w14:textId="77777777" w:rsidR="0097607E" w:rsidRPr="0097607E" w:rsidRDefault="0097607E" w:rsidP="00A360F6">
            <w:pPr>
              <w:spacing w:line="240" w:lineRule="atLeast"/>
              <w:jc w:val="right"/>
              <w:rPr>
                <w:rFonts w:ascii="Tahoma" w:hAnsi="Tahoma"/>
                <w:color w:val="000000" w:themeColor="text1"/>
                <w:sz w:val="16"/>
                <w:lang w:val="en-GB"/>
              </w:rPr>
            </w:pPr>
            <w:r w:rsidRPr="0097607E">
              <w:rPr>
                <w:rFonts w:ascii="Tahoma" w:hAnsi="Tahoma"/>
                <w:color w:val="000000" w:themeColor="text1"/>
                <w:sz w:val="16"/>
                <w:lang w:val="en-GB"/>
              </w:rPr>
              <w:t>27</w:t>
            </w:r>
          </w:p>
        </w:tc>
        <w:tc>
          <w:tcPr>
            <w:tcW w:w="1134" w:type="dxa"/>
            <w:shd w:val="clear" w:color="auto" w:fill="auto"/>
            <w:tcMar>
              <w:top w:w="40" w:type="dxa"/>
              <w:left w:w="0" w:type="dxa"/>
              <w:bottom w:w="40" w:type="dxa"/>
              <w:right w:w="0" w:type="dxa"/>
            </w:tcMar>
            <w:vAlign w:val="bottom"/>
          </w:tcPr>
          <w:p w14:paraId="64A5B2D4" w14:textId="77777777" w:rsidR="0097607E" w:rsidRPr="0097607E" w:rsidRDefault="0097607E" w:rsidP="00A360F6">
            <w:pPr>
              <w:spacing w:line="240" w:lineRule="atLeast"/>
              <w:jc w:val="right"/>
              <w:rPr>
                <w:rFonts w:ascii="Tahoma" w:hAnsi="Tahoma"/>
                <w:color w:val="000000" w:themeColor="text1"/>
                <w:sz w:val="16"/>
                <w:lang w:val="en-GB"/>
              </w:rPr>
            </w:pPr>
            <w:r w:rsidRPr="0097607E">
              <w:rPr>
                <w:rFonts w:ascii="Tahoma" w:hAnsi="Tahoma"/>
                <w:color w:val="000000" w:themeColor="text1"/>
                <w:sz w:val="16"/>
                <w:lang w:val="en-GB"/>
              </w:rPr>
              <w:t>53</w:t>
            </w:r>
          </w:p>
        </w:tc>
      </w:tr>
      <w:tr w:rsidR="00615190" w:rsidRPr="0097607E" w14:paraId="220B18B9" w14:textId="77777777" w:rsidTr="00B5242A">
        <w:trPr>
          <w:trHeight w:val="60"/>
        </w:trPr>
        <w:tc>
          <w:tcPr>
            <w:tcW w:w="6104" w:type="dxa"/>
            <w:shd w:val="clear" w:color="auto" w:fill="auto"/>
            <w:tcMar>
              <w:top w:w="40" w:type="dxa"/>
              <w:left w:w="0" w:type="dxa"/>
              <w:bottom w:w="40" w:type="dxa"/>
              <w:right w:w="0" w:type="dxa"/>
            </w:tcMar>
            <w:vAlign w:val="bottom"/>
          </w:tcPr>
          <w:p w14:paraId="44E92DBF" w14:textId="77777777" w:rsidR="0097607E" w:rsidRPr="0097607E" w:rsidRDefault="0097607E" w:rsidP="00615190">
            <w:pPr>
              <w:spacing w:line="240" w:lineRule="atLeast"/>
              <w:rPr>
                <w:rFonts w:ascii="Tahoma" w:hAnsi="Tahoma"/>
                <w:color w:val="000000" w:themeColor="text1"/>
                <w:sz w:val="16"/>
                <w:lang w:val="en-GB"/>
              </w:rPr>
            </w:pPr>
            <w:r w:rsidRPr="0097607E">
              <w:rPr>
                <w:rFonts w:ascii="Tahoma" w:hAnsi="Tahoma"/>
                <w:color w:val="000000" w:themeColor="text1"/>
                <w:sz w:val="16"/>
                <w:lang w:val="en-GB"/>
              </w:rPr>
              <w:t>Interest expense</w:t>
            </w:r>
          </w:p>
        </w:tc>
        <w:tc>
          <w:tcPr>
            <w:tcW w:w="700" w:type="dxa"/>
            <w:shd w:val="clear" w:color="auto" w:fill="auto"/>
            <w:tcMar>
              <w:top w:w="40" w:type="dxa"/>
              <w:left w:w="0" w:type="dxa"/>
              <w:bottom w:w="40" w:type="dxa"/>
              <w:right w:w="0" w:type="dxa"/>
            </w:tcMar>
            <w:vAlign w:val="bottom"/>
          </w:tcPr>
          <w:p w14:paraId="408CBEE5" w14:textId="77777777" w:rsidR="0097607E" w:rsidRPr="0097607E" w:rsidRDefault="0097607E" w:rsidP="003C1618">
            <w:pPr>
              <w:spacing w:line="240" w:lineRule="atLeast"/>
              <w:jc w:val="right"/>
              <w:rPr>
                <w:rFonts w:ascii="Tahoma" w:hAnsi="Tahoma"/>
                <w:color w:val="000000" w:themeColor="text1"/>
                <w:sz w:val="16"/>
                <w:lang w:val="en-GB"/>
              </w:rPr>
            </w:pPr>
            <w:r w:rsidRPr="0097607E">
              <w:rPr>
                <w:rFonts w:ascii="Tahoma" w:hAnsi="Tahoma"/>
                <w:color w:val="000000" w:themeColor="text1"/>
                <w:sz w:val="16"/>
                <w:lang w:val="en-GB"/>
              </w:rPr>
              <w:t>8</w:t>
            </w:r>
          </w:p>
        </w:tc>
        <w:tc>
          <w:tcPr>
            <w:tcW w:w="1134" w:type="dxa"/>
            <w:shd w:val="clear" w:color="auto" w:fill="auto"/>
            <w:tcMar>
              <w:top w:w="40" w:type="dxa"/>
              <w:left w:w="0" w:type="dxa"/>
              <w:bottom w:w="40" w:type="dxa"/>
              <w:right w:w="0" w:type="dxa"/>
            </w:tcMar>
            <w:vAlign w:val="bottom"/>
          </w:tcPr>
          <w:p w14:paraId="72842E1B" w14:textId="77777777" w:rsidR="0097607E" w:rsidRPr="0097607E" w:rsidRDefault="0097607E" w:rsidP="00A360F6">
            <w:pPr>
              <w:spacing w:line="240" w:lineRule="atLeast"/>
              <w:jc w:val="right"/>
              <w:rPr>
                <w:rFonts w:ascii="Tahoma" w:hAnsi="Tahoma"/>
                <w:b/>
                <w:bCs/>
                <w:color w:val="000000" w:themeColor="text1"/>
                <w:sz w:val="16"/>
                <w:lang w:val="en-GB"/>
              </w:rPr>
            </w:pPr>
            <w:r w:rsidRPr="0097607E">
              <w:rPr>
                <w:rFonts w:ascii="Tahoma" w:hAnsi="Tahoma"/>
                <w:b/>
                <w:bCs/>
                <w:color w:val="000000" w:themeColor="text1"/>
                <w:sz w:val="16"/>
                <w:lang w:val="en-GB"/>
              </w:rPr>
              <w:t>(278)</w:t>
            </w:r>
          </w:p>
        </w:tc>
        <w:tc>
          <w:tcPr>
            <w:tcW w:w="1134" w:type="dxa"/>
            <w:shd w:val="clear" w:color="auto" w:fill="auto"/>
            <w:tcMar>
              <w:top w:w="40" w:type="dxa"/>
              <w:left w:w="0" w:type="dxa"/>
              <w:bottom w:w="40" w:type="dxa"/>
              <w:right w:w="0" w:type="dxa"/>
            </w:tcMar>
            <w:vAlign w:val="bottom"/>
          </w:tcPr>
          <w:p w14:paraId="53E9B69F" w14:textId="77777777" w:rsidR="0097607E" w:rsidRPr="0097607E" w:rsidRDefault="0097607E" w:rsidP="00A360F6">
            <w:pPr>
              <w:spacing w:line="240" w:lineRule="atLeast"/>
              <w:jc w:val="right"/>
              <w:rPr>
                <w:rFonts w:ascii="Tahoma" w:hAnsi="Tahoma"/>
                <w:color w:val="000000" w:themeColor="text1"/>
                <w:sz w:val="16"/>
                <w:lang w:val="en-GB"/>
              </w:rPr>
            </w:pPr>
            <w:r w:rsidRPr="0097607E">
              <w:rPr>
                <w:rFonts w:ascii="Tahoma" w:hAnsi="Tahoma"/>
                <w:color w:val="000000" w:themeColor="text1"/>
                <w:sz w:val="16"/>
                <w:lang w:val="en-GB"/>
              </w:rPr>
              <w:t>(179)</w:t>
            </w:r>
          </w:p>
        </w:tc>
        <w:tc>
          <w:tcPr>
            <w:tcW w:w="1134" w:type="dxa"/>
            <w:shd w:val="clear" w:color="auto" w:fill="auto"/>
            <w:tcMar>
              <w:top w:w="40" w:type="dxa"/>
              <w:left w:w="0" w:type="dxa"/>
              <w:bottom w:w="40" w:type="dxa"/>
              <w:right w:w="0" w:type="dxa"/>
            </w:tcMar>
            <w:vAlign w:val="bottom"/>
          </w:tcPr>
          <w:p w14:paraId="480FD27E" w14:textId="77777777" w:rsidR="0097607E" w:rsidRPr="0097607E" w:rsidRDefault="0097607E" w:rsidP="00A360F6">
            <w:pPr>
              <w:spacing w:line="240" w:lineRule="atLeast"/>
              <w:jc w:val="right"/>
              <w:rPr>
                <w:rFonts w:ascii="Tahoma" w:hAnsi="Tahoma"/>
                <w:color w:val="000000" w:themeColor="text1"/>
                <w:sz w:val="16"/>
                <w:lang w:val="en-GB"/>
              </w:rPr>
            </w:pPr>
            <w:r w:rsidRPr="0097607E">
              <w:rPr>
                <w:rFonts w:ascii="Tahoma" w:hAnsi="Tahoma"/>
                <w:color w:val="000000" w:themeColor="text1"/>
                <w:sz w:val="16"/>
                <w:lang w:val="en-GB"/>
              </w:rPr>
              <w:t>(399)</w:t>
            </w:r>
          </w:p>
        </w:tc>
      </w:tr>
      <w:tr w:rsidR="00615190" w:rsidRPr="0097607E" w14:paraId="13B28BF8" w14:textId="77777777" w:rsidTr="00B5242A">
        <w:trPr>
          <w:trHeight w:val="60"/>
        </w:trPr>
        <w:tc>
          <w:tcPr>
            <w:tcW w:w="6104" w:type="dxa"/>
            <w:shd w:val="clear" w:color="auto" w:fill="auto"/>
            <w:tcMar>
              <w:top w:w="40" w:type="dxa"/>
              <w:left w:w="0" w:type="dxa"/>
              <w:bottom w:w="40" w:type="dxa"/>
              <w:right w:w="0" w:type="dxa"/>
            </w:tcMar>
            <w:vAlign w:val="bottom"/>
          </w:tcPr>
          <w:p w14:paraId="1EC028BB" w14:textId="77777777" w:rsidR="0097607E" w:rsidRPr="0097607E" w:rsidRDefault="0097607E" w:rsidP="00615190">
            <w:pPr>
              <w:spacing w:line="240" w:lineRule="atLeast"/>
              <w:rPr>
                <w:rFonts w:ascii="Tahoma" w:hAnsi="Tahoma"/>
                <w:color w:val="000000" w:themeColor="text1"/>
                <w:sz w:val="16"/>
                <w:lang w:val="en-GB"/>
              </w:rPr>
            </w:pPr>
            <w:r w:rsidRPr="0097607E">
              <w:rPr>
                <w:rFonts w:ascii="Tahoma" w:hAnsi="Tahoma"/>
                <w:color w:val="000000" w:themeColor="text1"/>
                <w:sz w:val="16"/>
                <w:lang w:val="en-GB"/>
              </w:rPr>
              <w:t>Other finance income/(costs) – net</w:t>
            </w:r>
          </w:p>
        </w:tc>
        <w:tc>
          <w:tcPr>
            <w:tcW w:w="700" w:type="dxa"/>
            <w:shd w:val="clear" w:color="auto" w:fill="auto"/>
            <w:tcMar>
              <w:top w:w="40" w:type="dxa"/>
              <w:left w:w="0" w:type="dxa"/>
              <w:bottom w:w="40" w:type="dxa"/>
              <w:right w:w="0" w:type="dxa"/>
            </w:tcMar>
            <w:vAlign w:val="bottom"/>
          </w:tcPr>
          <w:p w14:paraId="4CE75843" w14:textId="77777777" w:rsidR="0097607E" w:rsidRPr="0097607E" w:rsidRDefault="0097607E" w:rsidP="003C1618">
            <w:pPr>
              <w:spacing w:line="240" w:lineRule="atLeast"/>
              <w:jc w:val="right"/>
              <w:rPr>
                <w:rFonts w:ascii="Tahoma" w:hAnsi="Tahoma"/>
                <w:color w:val="000000" w:themeColor="text1"/>
                <w:sz w:val="16"/>
                <w:lang w:val="en-GB"/>
              </w:rPr>
            </w:pPr>
            <w:r w:rsidRPr="0097607E">
              <w:rPr>
                <w:rFonts w:ascii="Tahoma" w:hAnsi="Tahoma"/>
                <w:color w:val="000000" w:themeColor="text1"/>
                <w:sz w:val="16"/>
                <w:lang w:val="en-GB"/>
              </w:rPr>
              <w:t>8</w:t>
            </w:r>
          </w:p>
        </w:tc>
        <w:tc>
          <w:tcPr>
            <w:tcW w:w="1134" w:type="dxa"/>
            <w:shd w:val="clear" w:color="auto" w:fill="auto"/>
            <w:tcMar>
              <w:top w:w="40" w:type="dxa"/>
              <w:left w:w="0" w:type="dxa"/>
              <w:bottom w:w="40" w:type="dxa"/>
              <w:right w:w="0" w:type="dxa"/>
            </w:tcMar>
            <w:vAlign w:val="bottom"/>
          </w:tcPr>
          <w:p w14:paraId="6231E35F" w14:textId="77777777" w:rsidR="0097607E" w:rsidRPr="0097607E" w:rsidRDefault="0097607E" w:rsidP="00A360F6">
            <w:pPr>
              <w:spacing w:line="240" w:lineRule="atLeast"/>
              <w:jc w:val="right"/>
              <w:rPr>
                <w:rFonts w:ascii="Tahoma" w:hAnsi="Tahoma"/>
                <w:b/>
                <w:bCs/>
                <w:color w:val="000000" w:themeColor="text1"/>
                <w:sz w:val="16"/>
                <w:lang w:val="en-GB"/>
              </w:rPr>
            </w:pPr>
            <w:r w:rsidRPr="0097607E">
              <w:rPr>
                <w:rFonts w:ascii="Tahoma" w:hAnsi="Tahoma"/>
                <w:b/>
                <w:bCs/>
                <w:color w:val="000000" w:themeColor="text1"/>
                <w:sz w:val="16"/>
                <w:lang w:val="en-GB"/>
              </w:rPr>
              <w:t>294</w:t>
            </w:r>
          </w:p>
        </w:tc>
        <w:tc>
          <w:tcPr>
            <w:tcW w:w="1134" w:type="dxa"/>
            <w:shd w:val="clear" w:color="auto" w:fill="auto"/>
            <w:tcMar>
              <w:top w:w="40" w:type="dxa"/>
              <w:left w:w="0" w:type="dxa"/>
              <w:bottom w:w="40" w:type="dxa"/>
              <w:right w:w="0" w:type="dxa"/>
            </w:tcMar>
            <w:vAlign w:val="bottom"/>
          </w:tcPr>
          <w:p w14:paraId="2EEC95F8" w14:textId="77777777" w:rsidR="0097607E" w:rsidRPr="0097607E" w:rsidRDefault="0097607E" w:rsidP="00A360F6">
            <w:pPr>
              <w:spacing w:line="240" w:lineRule="atLeast"/>
              <w:jc w:val="right"/>
              <w:rPr>
                <w:rFonts w:ascii="Tahoma" w:hAnsi="Tahoma"/>
                <w:color w:val="000000" w:themeColor="text1"/>
                <w:sz w:val="16"/>
                <w:lang w:val="en-GB"/>
              </w:rPr>
            </w:pPr>
            <w:r w:rsidRPr="0097607E">
              <w:rPr>
                <w:rFonts w:ascii="Tahoma" w:hAnsi="Tahoma"/>
                <w:color w:val="000000" w:themeColor="text1"/>
                <w:sz w:val="16"/>
                <w:lang w:val="en-GB"/>
              </w:rPr>
              <w:t>(172)</w:t>
            </w:r>
          </w:p>
        </w:tc>
        <w:tc>
          <w:tcPr>
            <w:tcW w:w="1134" w:type="dxa"/>
            <w:shd w:val="clear" w:color="auto" w:fill="auto"/>
            <w:tcMar>
              <w:top w:w="40" w:type="dxa"/>
              <w:left w:w="0" w:type="dxa"/>
              <w:bottom w:w="40" w:type="dxa"/>
              <w:right w:w="0" w:type="dxa"/>
            </w:tcMar>
            <w:vAlign w:val="bottom"/>
          </w:tcPr>
          <w:p w14:paraId="4542187F" w14:textId="77777777" w:rsidR="0097607E" w:rsidRPr="0097607E" w:rsidRDefault="0097607E" w:rsidP="00A360F6">
            <w:pPr>
              <w:spacing w:line="240" w:lineRule="atLeast"/>
              <w:jc w:val="right"/>
              <w:rPr>
                <w:rFonts w:ascii="Tahoma" w:hAnsi="Tahoma"/>
                <w:color w:val="000000" w:themeColor="text1"/>
                <w:sz w:val="16"/>
                <w:lang w:val="en-GB"/>
              </w:rPr>
            </w:pPr>
            <w:r w:rsidRPr="0097607E">
              <w:rPr>
                <w:rFonts w:ascii="Tahoma" w:hAnsi="Tahoma"/>
                <w:color w:val="000000" w:themeColor="text1"/>
                <w:sz w:val="16"/>
                <w:lang w:val="en-GB"/>
              </w:rPr>
              <w:t>(77)</w:t>
            </w:r>
          </w:p>
        </w:tc>
      </w:tr>
      <w:tr w:rsidR="00615190" w:rsidRPr="0097607E" w14:paraId="0418D4C8" w14:textId="77777777" w:rsidTr="00B5242A">
        <w:trPr>
          <w:trHeight w:val="60"/>
        </w:trPr>
        <w:tc>
          <w:tcPr>
            <w:tcW w:w="6104" w:type="dxa"/>
            <w:shd w:val="clear" w:color="auto" w:fill="auto"/>
            <w:tcMar>
              <w:top w:w="40" w:type="dxa"/>
              <w:left w:w="0" w:type="dxa"/>
              <w:bottom w:w="40" w:type="dxa"/>
              <w:right w:w="0" w:type="dxa"/>
            </w:tcMar>
            <w:vAlign w:val="bottom"/>
          </w:tcPr>
          <w:p w14:paraId="43B055AD" w14:textId="77777777" w:rsidR="0097607E" w:rsidRPr="0097607E" w:rsidRDefault="0097607E" w:rsidP="00615190">
            <w:pPr>
              <w:spacing w:line="240" w:lineRule="atLeast"/>
              <w:rPr>
                <w:rFonts w:ascii="Tahoma" w:hAnsi="Tahoma"/>
                <w:color w:val="000000" w:themeColor="text1"/>
                <w:sz w:val="16"/>
                <w:lang w:val="en-GB"/>
              </w:rPr>
            </w:pPr>
            <w:r w:rsidRPr="0097607E">
              <w:rPr>
                <w:rFonts w:ascii="Tahoma" w:hAnsi="Tahoma"/>
                <w:color w:val="000000" w:themeColor="text1"/>
                <w:sz w:val="16"/>
                <w:lang w:val="en-GB"/>
              </w:rPr>
              <w:t>Dividend income</w:t>
            </w:r>
          </w:p>
        </w:tc>
        <w:tc>
          <w:tcPr>
            <w:tcW w:w="700" w:type="dxa"/>
            <w:shd w:val="clear" w:color="auto" w:fill="auto"/>
            <w:tcMar>
              <w:top w:w="40" w:type="dxa"/>
              <w:left w:w="0" w:type="dxa"/>
              <w:bottom w:w="40" w:type="dxa"/>
              <w:right w:w="0" w:type="dxa"/>
            </w:tcMar>
            <w:vAlign w:val="bottom"/>
          </w:tcPr>
          <w:p w14:paraId="5ED3AA9B" w14:textId="77777777" w:rsidR="0097607E" w:rsidRPr="0097607E" w:rsidRDefault="0097607E" w:rsidP="003C1618">
            <w:pPr>
              <w:spacing w:line="240" w:lineRule="atLeast"/>
              <w:jc w:val="right"/>
              <w:rPr>
                <w:rFonts w:ascii="Tahoma" w:hAnsi="Tahoma"/>
                <w:color w:val="000000" w:themeColor="text1"/>
                <w:sz w:val="16"/>
                <w:lang w:val="en-GB"/>
              </w:rPr>
            </w:pPr>
          </w:p>
        </w:tc>
        <w:tc>
          <w:tcPr>
            <w:tcW w:w="1134" w:type="dxa"/>
            <w:shd w:val="clear" w:color="auto" w:fill="auto"/>
            <w:tcMar>
              <w:top w:w="40" w:type="dxa"/>
              <w:left w:w="0" w:type="dxa"/>
              <w:bottom w:w="40" w:type="dxa"/>
              <w:right w:w="0" w:type="dxa"/>
            </w:tcMar>
            <w:vAlign w:val="bottom"/>
          </w:tcPr>
          <w:p w14:paraId="7944F790" w14:textId="77777777" w:rsidR="0097607E" w:rsidRPr="0097607E" w:rsidRDefault="0097607E" w:rsidP="00A360F6">
            <w:pPr>
              <w:spacing w:line="240" w:lineRule="atLeast"/>
              <w:jc w:val="right"/>
              <w:rPr>
                <w:rFonts w:ascii="Tahoma" w:hAnsi="Tahoma"/>
                <w:b/>
                <w:bCs/>
                <w:color w:val="000000" w:themeColor="text1"/>
                <w:sz w:val="16"/>
                <w:lang w:val="en-GB"/>
              </w:rPr>
            </w:pPr>
            <w:r w:rsidRPr="0097607E">
              <w:rPr>
                <w:rFonts w:ascii="Tahoma" w:hAnsi="Tahoma"/>
                <w:b/>
                <w:bCs/>
                <w:color w:val="000000" w:themeColor="text1"/>
                <w:sz w:val="16"/>
                <w:lang w:val="en-GB"/>
              </w:rPr>
              <w:t>62</w:t>
            </w:r>
          </w:p>
        </w:tc>
        <w:tc>
          <w:tcPr>
            <w:tcW w:w="1134" w:type="dxa"/>
            <w:shd w:val="clear" w:color="auto" w:fill="auto"/>
            <w:tcMar>
              <w:top w:w="40" w:type="dxa"/>
              <w:left w:w="0" w:type="dxa"/>
              <w:bottom w:w="40" w:type="dxa"/>
              <w:right w:w="0" w:type="dxa"/>
            </w:tcMar>
            <w:vAlign w:val="bottom"/>
          </w:tcPr>
          <w:p w14:paraId="65DA47CC" w14:textId="77777777" w:rsidR="0097607E" w:rsidRPr="0097607E" w:rsidRDefault="0097607E" w:rsidP="00A360F6">
            <w:pPr>
              <w:spacing w:line="240" w:lineRule="atLeast"/>
              <w:jc w:val="right"/>
              <w:rPr>
                <w:rFonts w:ascii="Tahoma" w:hAnsi="Tahoma"/>
                <w:color w:val="000000" w:themeColor="text1"/>
                <w:sz w:val="16"/>
                <w:lang w:val="en-GB"/>
              </w:rPr>
            </w:pPr>
            <w:r w:rsidRPr="0097607E">
              <w:rPr>
                <w:rFonts w:ascii="Tahoma" w:hAnsi="Tahoma"/>
                <w:color w:val="000000" w:themeColor="text1"/>
                <w:sz w:val="16"/>
                <w:lang w:val="en-GB"/>
              </w:rPr>
              <w:t>—</w:t>
            </w:r>
          </w:p>
        </w:tc>
        <w:tc>
          <w:tcPr>
            <w:tcW w:w="1134" w:type="dxa"/>
            <w:shd w:val="clear" w:color="auto" w:fill="auto"/>
            <w:tcMar>
              <w:top w:w="40" w:type="dxa"/>
              <w:left w:w="0" w:type="dxa"/>
              <w:bottom w:w="40" w:type="dxa"/>
              <w:right w:w="0" w:type="dxa"/>
            </w:tcMar>
            <w:vAlign w:val="bottom"/>
          </w:tcPr>
          <w:p w14:paraId="020139F3" w14:textId="77777777" w:rsidR="0097607E" w:rsidRPr="0097607E" w:rsidRDefault="0097607E" w:rsidP="00A360F6">
            <w:pPr>
              <w:spacing w:line="240" w:lineRule="atLeast"/>
              <w:jc w:val="right"/>
              <w:rPr>
                <w:rFonts w:ascii="Tahoma" w:hAnsi="Tahoma"/>
                <w:color w:val="000000" w:themeColor="text1"/>
                <w:sz w:val="16"/>
                <w:lang w:val="en-GB"/>
              </w:rPr>
            </w:pPr>
            <w:r w:rsidRPr="0097607E">
              <w:rPr>
                <w:rFonts w:ascii="Tahoma" w:hAnsi="Tahoma"/>
                <w:color w:val="000000" w:themeColor="text1"/>
                <w:sz w:val="16"/>
                <w:lang w:val="en-GB"/>
              </w:rPr>
              <w:t>—</w:t>
            </w:r>
          </w:p>
        </w:tc>
      </w:tr>
      <w:tr w:rsidR="00615190" w:rsidRPr="0097607E" w14:paraId="23C61E6C" w14:textId="77777777" w:rsidTr="00B5242A">
        <w:trPr>
          <w:trHeight w:val="60"/>
        </w:trPr>
        <w:tc>
          <w:tcPr>
            <w:tcW w:w="6104" w:type="dxa"/>
            <w:shd w:val="clear" w:color="auto" w:fill="auto"/>
            <w:tcMar>
              <w:top w:w="40" w:type="dxa"/>
              <w:left w:w="0" w:type="dxa"/>
              <w:bottom w:w="40" w:type="dxa"/>
              <w:right w:w="0" w:type="dxa"/>
            </w:tcMar>
            <w:vAlign w:val="bottom"/>
          </w:tcPr>
          <w:p w14:paraId="47A7A44C" w14:textId="77777777" w:rsidR="0097607E" w:rsidRPr="0097607E" w:rsidRDefault="0097607E" w:rsidP="00615190">
            <w:pPr>
              <w:spacing w:line="240" w:lineRule="atLeast"/>
              <w:rPr>
                <w:rFonts w:ascii="Tahoma" w:hAnsi="Tahoma"/>
                <w:color w:val="000000" w:themeColor="text1"/>
                <w:sz w:val="16"/>
                <w:lang w:val="en-GB"/>
              </w:rPr>
            </w:pPr>
            <w:r w:rsidRPr="0097607E">
              <w:rPr>
                <w:rFonts w:ascii="Tahoma" w:hAnsi="Tahoma"/>
                <w:color w:val="000000" w:themeColor="text1"/>
                <w:sz w:val="16"/>
                <w:lang w:val="en-GB"/>
              </w:rPr>
              <w:t>Share of equity-accounted results</w:t>
            </w:r>
            <w:r w:rsidRPr="0097607E">
              <w:rPr>
                <w:rFonts w:ascii="Tahoma" w:hAnsi="Tahoma"/>
                <w:color w:val="000000" w:themeColor="text1"/>
                <w:sz w:val="16"/>
                <w:vertAlign w:val="superscript"/>
                <w:lang w:val="en-GB"/>
              </w:rPr>
              <w:t>1</w:t>
            </w:r>
          </w:p>
        </w:tc>
        <w:tc>
          <w:tcPr>
            <w:tcW w:w="700" w:type="dxa"/>
            <w:shd w:val="clear" w:color="auto" w:fill="auto"/>
            <w:tcMar>
              <w:top w:w="40" w:type="dxa"/>
              <w:left w:w="0" w:type="dxa"/>
              <w:bottom w:w="40" w:type="dxa"/>
              <w:right w:w="0" w:type="dxa"/>
            </w:tcMar>
            <w:vAlign w:val="bottom"/>
          </w:tcPr>
          <w:p w14:paraId="0556C574" w14:textId="77777777" w:rsidR="0097607E" w:rsidRPr="0097607E" w:rsidRDefault="0097607E" w:rsidP="003C1618">
            <w:pPr>
              <w:spacing w:line="240" w:lineRule="atLeast"/>
              <w:jc w:val="right"/>
              <w:rPr>
                <w:rFonts w:ascii="Tahoma" w:hAnsi="Tahoma"/>
                <w:color w:val="000000" w:themeColor="text1"/>
                <w:sz w:val="16"/>
                <w:lang w:val="en-GB"/>
              </w:rPr>
            </w:pPr>
          </w:p>
        </w:tc>
        <w:tc>
          <w:tcPr>
            <w:tcW w:w="1134" w:type="dxa"/>
            <w:shd w:val="clear" w:color="auto" w:fill="auto"/>
            <w:tcMar>
              <w:top w:w="40" w:type="dxa"/>
              <w:left w:w="0" w:type="dxa"/>
              <w:bottom w:w="40" w:type="dxa"/>
              <w:right w:w="0" w:type="dxa"/>
            </w:tcMar>
            <w:vAlign w:val="bottom"/>
          </w:tcPr>
          <w:p w14:paraId="6CE1B321" w14:textId="77777777" w:rsidR="0097607E" w:rsidRPr="0097607E" w:rsidRDefault="0097607E" w:rsidP="00A360F6">
            <w:pPr>
              <w:spacing w:line="240" w:lineRule="atLeast"/>
              <w:jc w:val="right"/>
              <w:rPr>
                <w:rFonts w:ascii="Tahoma" w:hAnsi="Tahoma"/>
                <w:b/>
                <w:bCs/>
                <w:color w:val="000000" w:themeColor="text1"/>
                <w:sz w:val="16"/>
                <w:lang w:val="en-GB"/>
              </w:rPr>
            </w:pPr>
            <w:r w:rsidRPr="0097607E">
              <w:rPr>
                <w:rFonts w:ascii="Tahoma" w:hAnsi="Tahoma"/>
                <w:b/>
                <w:bCs/>
                <w:color w:val="000000" w:themeColor="text1"/>
                <w:sz w:val="16"/>
                <w:lang w:val="en-GB"/>
              </w:rPr>
              <w:t>1 059</w:t>
            </w:r>
          </w:p>
        </w:tc>
        <w:tc>
          <w:tcPr>
            <w:tcW w:w="1134" w:type="dxa"/>
            <w:shd w:val="clear" w:color="auto" w:fill="auto"/>
            <w:tcMar>
              <w:top w:w="40" w:type="dxa"/>
              <w:left w:w="0" w:type="dxa"/>
              <w:bottom w:w="40" w:type="dxa"/>
              <w:right w:w="0" w:type="dxa"/>
            </w:tcMar>
            <w:vAlign w:val="bottom"/>
          </w:tcPr>
          <w:p w14:paraId="29A1D779" w14:textId="77777777" w:rsidR="0097607E" w:rsidRPr="0097607E" w:rsidRDefault="0097607E" w:rsidP="00A360F6">
            <w:pPr>
              <w:spacing w:line="240" w:lineRule="atLeast"/>
              <w:jc w:val="right"/>
              <w:rPr>
                <w:rFonts w:ascii="Tahoma" w:hAnsi="Tahoma"/>
                <w:color w:val="000000" w:themeColor="text1"/>
                <w:sz w:val="16"/>
                <w:lang w:val="en-GB"/>
              </w:rPr>
            </w:pPr>
            <w:r w:rsidRPr="0097607E">
              <w:rPr>
                <w:rFonts w:ascii="Tahoma" w:hAnsi="Tahoma"/>
                <w:color w:val="000000" w:themeColor="text1"/>
                <w:sz w:val="16"/>
                <w:lang w:val="en-GB"/>
              </w:rPr>
              <w:t>4 074</w:t>
            </w:r>
          </w:p>
        </w:tc>
        <w:tc>
          <w:tcPr>
            <w:tcW w:w="1134" w:type="dxa"/>
            <w:shd w:val="clear" w:color="auto" w:fill="auto"/>
            <w:tcMar>
              <w:top w:w="40" w:type="dxa"/>
              <w:left w:w="0" w:type="dxa"/>
              <w:bottom w:w="40" w:type="dxa"/>
              <w:right w:w="0" w:type="dxa"/>
            </w:tcMar>
            <w:vAlign w:val="bottom"/>
          </w:tcPr>
          <w:p w14:paraId="40D418BF" w14:textId="77777777" w:rsidR="0097607E" w:rsidRPr="0097607E" w:rsidRDefault="0097607E" w:rsidP="00A360F6">
            <w:pPr>
              <w:spacing w:line="240" w:lineRule="atLeast"/>
              <w:jc w:val="right"/>
              <w:rPr>
                <w:rFonts w:ascii="Tahoma" w:hAnsi="Tahoma"/>
                <w:color w:val="000000" w:themeColor="text1"/>
                <w:sz w:val="16"/>
                <w:lang w:val="en-GB"/>
              </w:rPr>
            </w:pPr>
            <w:r w:rsidRPr="0097607E">
              <w:rPr>
                <w:rFonts w:ascii="Tahoma" w:hAnsi="Tahoma"/>
                <w:color w:val="000000" w:themeColor="text1"/>
                <w:sz w:val="16"/>
                <w:lang w:val="en-GB"/>
              </w:rPr>
              <w:t>9 257</w:t>
            </w:r>
          </w:p>
        </w:tc>
      </w:tr>
      <w:tr w:rsidR="00615190" w:rsidRPr="0097607E" w14:paraId="0E6A6C73" w14:textId="77777777" w:rsidTr="00B5242A">
        <w:trPr>
          <w:trHeight w:val="60"/>
        </w:trPr>
        <w:tc>
          <w:tcPr>
            <w:tcW w:w="6104" w:type="dxa"/>
            <w:shd w:val="clear" w:color="auto" w:fill="auto"/>
            <w:tcMar>
              <w:top w:w="40" w:type="dxa"/>
              <w:left w:w="0" w:type="dxa"/>
              <w:bottom w:w="40" w:type="dxa"/>
              <w:right w:w="0" w:type="dxa"/>
            </w:tcMar>
            <w:vAlign w:val="bottom"/>
          </w:tcPr>
          <w:p w14:paraId="0289D035" w14:textId="77777777" w:rsidR="0097607E" w:rsidRPr="0097607E" w:rsidRDefault="0097607E" w:rsidP="00615190">
            <w:pPr>
              <w:spacing w:line="240" w:lineRule="atLeast"/>
              <w:rPr>
                <w:rFonts w:ascii="Tahoma" w:hAnsi="Tahoma"/>
                <w:color w:val="000000" w:themeColor="text1"/>
                <w:sz w:val="16"/>
                <w:lang w:val="en-GB"/>
              </w:rPr>
            </w:pPr>
            <w:r w:rsidRPr="0097607E">
              <w:rPr>
                <w:rFonts w:ascii="Tahoma" w:hAnsi="Tahoma"/>
                <w:color w:val="000000" w:themeColor="text1"/>
                <w:sz w:val="16"/>
                <w:lang w:val="en-GB"/>
              </w:rPr>
              <w:t>Impairment of equity-accounted investments</w:t>
            </w:r>
          </w:p>
        </w:tc>
        <w:tc>
          <w:tcPr>
            <w:tcW w:w="700" w:type="dxa"/>
            <w:shd w:val="clear" w:color="auto" w:fill="auto"/>
            <w:tcMar>
              <w:top w:w="40" w:type="dxa"/>
              <w:left w:w="0" w:type="dxa"/>
              <w:bottom w:w="40" w:type="dxa"/>
              <w:right w:w="0" w:type="dxa"/>
            </w:tcMar>
            <w:vAlign w:val="bottom"/>
          </w:tcPr>
          <w:p w14:paraId="7C0532DA" w14:textId="77777777" w:rsidR="0097607E" w:rsidRPr="0097607E" w:rsidRDefault="0097607E" w:rsidP="003C1618">
            <w:pPr>
              <w:spacing w:line="240" w:lineRule="atLeast"/>
              <w:jc w:val="right"/>
              <w:rPr>
                <w:rFonts w:ascii="Tahoma" w:hAnsi="Tahoma"/>
                <w:color w:val="000000" w:themeColor="text1"/>
                <w:sz w:val="16"/>
                <w:lang w:val="en-GB"/>
              </w:rPr>
            </w:pPr>
            <w:r w:rsidRPr="0097607E">
              <w:rPr>
                <w:rFonts w:ascii="Tahoma" w:hAnsi="Tahoma"/>
                <w:color w:val="000000" w:themeColor="text1"/>
                <w:sz w:val="16"/>
                <w:lang w:val="en-GB"/>
              </w:rPr>
              <w:t>11</w:t>
            </w:r>
          </w:p>
        </w:tc>
        <w:tc>
          <w:tcPr>
            <w:tcW w:w="1134" w:type="dxa"/>
            <w:shd w:val="clear" w:color="auto" w:fill="auto"/>
            <w:tcMar>
              <w:top w:w="40" w:type="dxa"/>
              <w:left w:w="0" w:type="dxa"/>
              <w:bottom w:w="40" w:type="dxa"/>
              <w:right w:w="0" w:type="dxa"/>
            </w:tcMar>
            <w:vAlign w:val="bottom"/>
          </w:tcPr>
          <w:p w14:paraId="6E7CDED7" w14:textId="77777777" w:rsidR="0097607E" w:rsidRPr="0097607E" w:rsidRDefault="0097607E" w:rsidP="00A360F6">
            <w:pPr>
              <w:spacing w:line="240" w:lineRule="atLeast"/>
              <w:jc w:val="right"/>
              <w:rPr>
                <w:rFonts w:ascii="Tahoma" w:hAnsi="Tahoma"/>
                <w:b/>
                <w:bCs/>
                <w:color w:val="000000" w:themeColor="text1"/>
                <w:sz w:val="16"/>
                <w:lang w:val="en-GB"/>
              </w:rPr>
            </w:pPr>
            <w:r w:rsidRPr="0097607E">
              <w:rPr>
                <w:rFonts w:ascii="Tahoma" w:hAnsi="Tahoma"/>
                <w:b/>
                <w:bCs/>
                <w:color w:val="000000" w:themeColor="text1"/>
                <w:sz w:val="16"/>
                <w:lang w:val="en-GB"/>
              </w:rPr>
              <w:t>(1 458)</w:t>
            </w:r>
          </w:p>
        </w:tc>
        <w:tc>
          <w:tcPr>
            <w:tcW w:w="1134" w:type="dxa"/>
            <w:shd w:val="clear" w:color="auto" w:fill="auto"/>
            <w:tcMar>
              <w:top w:w="40" w:type="dxa"/>
              <w:left w:w="0" w:type="dxa"/>
              <w:bottom w:w="40" w:type="dxa"/>
              <w:right w:w="0" w:type="dxa"/>
            </w:tcMar>
            <w:vAlign w:val="bottom"/>
          </w:tcPr>
          <w:p w14:paraId="477DC26F" w14:textId="77777777" w:rsidR="0097607E" w:rsidRPr="0097607E" w:rsidRDefault="0097607E" w:rsidP="00A360F6">
            <w:pPr>
              <w:spacing w:line="240" w:lineRule="atLeast"/>
              <w:jc w:val="right"/>
              <w:rPr>
                <w:rFonts w:ascii="Tahoma" w:hAnsi="Tahoma"/>
                <w:color w:val="000000" w:themeColor="text1"/>
                <w:sz w:val="16"/>
                <w:lang w:val="en-GB"/>
              </w:rPr>
            </w:pPr>
            <w:r w:rsidRPr="0097607E">
              <w:rPr>
                <w:rFonts w:ascii="Tahoma" w:hAnsi="Tahoma"/>
                <w:color w:val="000000" w:themeColor="text1"/>
                <w:sz w:val="16"/>
                <w:lang w:val="en-GB"/>
              </w:rPr>
              <w:t>(1)</w:t>
            </w:r>
          </w:p>
        </w:tc>
        <w:tc>
          <w:tcPr>
            <w:tcW w:w="1134" w:type="dxa"/>
            <w:shd w:val="clear" w:color="auto" w:fill="auto"/>
            <w:tcMar>
              <w:top w:w="40" w:type="dxa"/>
              <w:left w:w="0" w:type="dxa"/>
              <w:bottom w:w="40" w:type="dxa"/>
              <w:right w:w="0" w:type="dxa"/>
            </w:tcMar>
            <w:vAlign w:val="bottom"/>
          </w:tcPr>
          <w:p w14:paraId="3E98FE8E" w14:textId="77777777" w:rsidR="0097607E" w:rsidRPr="0097607E" w:rsidRDefault="0097607E" w:rsidP="00A360F6">
            <w:pPr>
              <w:spacing w:line="240" w:lineRule="atLeast"/>
              <w:jc w:val="right"/>
              <w:rPr>
                <w:rFonts w:ascii="Tahoma" w:hAnsi="Tahoma"/>
                <w:color w:val="000000" w:themeColor="text1"/>
                <w:sz w:val="16"/>
                <w:lang w:val="en-GB"/>
              </w:rPr>
            </w:pPr>
            <w:r w:rsidRPr="0097607E">
              <w:rPr>
                <w:rFonts w:ascii="Tahoma" w:hAnsi="Tahoma"/>
                <w:color w:val="000000" w:themeColor="text1"/>
                <w:sz w:val="16"/>
                <w:lang w:val="en-GB"/>
              </w:rPr>
              <w:t>(581)</w:t>
            </w:r>
          </w:p>
        </w:tc>
      </w:tr>
      <w:tr w:rsidR="00615190" w:rsidRPr="0097607E" w14:paraId="5654BBFB" w14:textId="77777777" w:rsidTr="00B5242A">
        <w:trPr>
          <w:trHeight w:val="60"/>
        </w:trPr>
        <w:tc>
          <w:tcPr>
            <w:tcW w:w="6104" w:type="dxa"/>
            <w:shd w:val="clear" w:color="auto" w:fill="auto"/>
            <w:tcMar>
              <w:top w:w="40" w:type="dxa"/>
              <w:left w:w="0" w:type="dxa"/>
              <w:bottom w:w="40" w:type="dxa"/>
              <w:right w:w="0" w:type="dxa"/>
            </w:tcMar>
            <w:vAlign w:val="bottom"/>
          </w:tcPr>
          <w:p w14:paraId="23CF299B" w14:textId="77777777" w:rsidR="0097607E" w:rsidRPr="0097607E" w:rsidRDefault="0097607E" w:rsidP="00615190">
            <w:pPr>
              <w:spacing w:line="240" w:lineRule="atLeast"/>
              <w:rPr>
                <w:rFonts w:ascii="Tahoma" w:hAnsi="Tahoma"/>
                <w:color w:val="000000" w:themeColor="text1"/>
                <w:sz w:val="16"/>
                <w:lang w:val="en-GB"/>
              </w:rPr>
            </w:pPr>
            <w:r w:rsidRPr="0097607E">
              <w:rPr>
                <w:rFonts w:ascii="Tahoma" w:hAnsi="Tahoma"/>
                <w:color w:val="000000" w:themeColor="text1"/>
                <w:sz w:val="16"/>
                <w:lang w:val="en-GB"/>
              </w:rPr>
              <w:t>Dilution (losses)/gains on equity-accounted investments</w:t>
            </w:r>
          </w:p>
        </w:tc>
        <w:tc>
          <w:tcPr>
            <w:tcW w:w="700" w:type="dxa"/>
            <w:shd w:val="clear" w:color="auto" w:fill="auto"/>
            <w:tcMar>
              <w:top w:w="40" w:type="dxa"/>
              <w:left w:w="0" w:type="dxa"/>
              <w:bottom w:w="40" w:type="dxa"/>
              <w:right w:w="0" w:type="dxa"/>
            </w:tcMar>
            <w:vAlign w:val="bottom"/>
          </w:tcPr>
          <w:p w14:paraId="5D7BF121" w14:textId="77777777" w:rsidR="0097607E" w:rsidRPr="0097607E" w:rsidRDefault="0097607E" w:rsidP="003C1618">
            <w:pPr>
              <w:spacing w:line="240" w:lineRule="atLeast"/>
              <w:jc w:val="right"/>
              <w:rPr>
                <w:rFonts w:ascii="Tahoma" w:hAnsi="Tahoma"/>
                <w:color w:val="000000" w:themeColor="text1"/>
                <w:sz w:val="16"/>
                <w:lang w:val="en-GB"/>
              </w:rPr>
            </w:pPr>
            <w:r w:rsidRPr="0097607E">
              <w:rPr>
                <w:rFonts w:ascii="Tahoma" w:hAnsi="Tahoma"/>
                <w:color w:val="000000" w:themeColor="text1"/>
                <w:sz w:val="16"/>
                <w:lang w:val="en-GB"/>
              </w:rPr>
              <w:t>11</w:t>
            </w:r>
          </w:p>
        </w:tc>
        <w:tc>
          <w:tcPr>
            <w:tcW w:w="1134" w:type="dxa"/>
            <w:shd w:val="clear" w:color="auto" w:fill="auto"/>
            <w:tcMar>
              <w:top w:w="40" w:type="dxa"/>
              <w:left w:w="0" w:type="dxa"/>
              <w:bottom w:w="40" w:type="dxa"/>
              <w:right w:w="0" w:type="dxa"/>
            </w:tcMar>
            <w:vAlign w:val="bottom"/>
          </w:tcPr>
          <w:p w14:paraId="76DE6650" w14:textId="77777777" w:rsidR="0097607E" w:rsidRPr="0097607E" w:rsidRDefault="0097607E" w:rsidP="00A360F6">
            <w:pPr>
              <w:spacing w:line="240" w:lineRule="atLeast"/>
              <w:jc w:val="right"/>
              <w:rPr>
                <w:rFonts w:ascii="Tahoma" w:hAnsi="Tahoma"/>
                <w:b/>
                <w:bCs/>
                <w:color w:val="000000" w:themeColor="text1"/>
                <w:sz w:val="16"/>
                <w:lang w:val="en-GB"/>
              </w:rPr>
            </w:pPr>
            <w:r w:rsidRPr="0097607E">
              <w:rPr>
                <w:rFonts w:ascii="Tahoma" w:hAnsi="Tahoma"/>
                <w:b/>
                <w:bCs/>
                <w:color w:val="000000" w:themeColor="text1"/>
                <w:sz w:val="16"/>
                <w:lang w:val="en-GB"/>
              </w:rPr>
              <w:t>(95)</w:t>
            </w:r>
          </w:p>
        </w:tc>
        <w:tc>
          <w:tcPr>
            <w:tcW w:w="1134" w:type="dxa"/>
            <w:shd w:val="clear" w:color="auto" w:fill="auto"/>
            <w:tcMar>
              <w:top w:w="40" w:type="dxa"/>
              <w:left w:w="0" w:type="dxa"/>
              <w:bottom w:w="40" w:type="dxa"/>
              <w:right w:w="0" w:type="dxa"/>
            </w:tcMar>
            <w:vAlign w:val="bottom"/>
          </w:tcPr>
          <w:p w14:paraId="4D07F769" w14:textId="77777777" w:rsidR="0097607E" w:rsidRPr="0097607E" w:rsidRDefault="0097607E" w:rsidP="00A360F6">
            <w:pPr>
              <w:spacing w:line="240" w:lineRule="atLeast"/>
              <w:jc w:val="right"/>
              <w:rPr>
                <w:rFonts w:ascii="Tahoma" w:hAnsi="Tahoma"/>
                <w:color w:val="000000" w:themeColor="text1"/>
                <w:sz w:val="16"/>
                <w:lang w:val="en-GB"/>
              </w:rPr>
            </w:pPr>
            <w:r w:rsidRPr="0097607E">
              <w:rPr>
                <w:rFonts w:ascii="Tahoma" w:hAnsi="Tahoma"/>
                <w:color w:val="000000" w:themeColor="text1"/>
                <w:sz w:val="16"/>
                <w:lang w:val="en-GB"/>
              </w:rPr>
              <w:t>120</w:t>
            </w:r>
          </w:p>
        </w:tc>
        <w:tc>
          <w:tcPr>
            <w:tcW w:w="1134" w:type="dxa"/>
            <w:shd w:val="clear" w:color="auto" w:fill="auto"/>
            <w:tcMar>
              <w:top w:w="40" w:type="dxa"/>
              <w:left w:w="0" w:type="dxa"/>
              <w:bottom w:w="40" w:type="dxa"/>
              <w:right w:w="0" w:type="dxa"/>
            </w:tcMar>
            <w:vAlign w:val="bottom"/>
          </w:tcPr>
          <w:p w14:paraId="45AB43CC" w14:textId="77777777" w:rsidR="0097607E" w:rsidRPr="0097607E" w:rsidRDefault="0097607E" w:rsidP="00A360F6">
            <w:pPr>
              <w:spacing w:line="240" w:lineRule="atLeast"/>
              <w:jc w:val="right"/>
              <w:rPr>
                <w:rFonts w:ascii="Tahoma" w:hAnsi="Tahoma"/>
                <w:color w:val="000000" w:themeColor="text1"/>
                <w:sz w:val="16"/>
                <w:lang w:val="en-GB"/>
              </w:rPr>
            </w:pPr>
            <w:r w:rsidRPr="0097607E">
              <w:rPr>
                <w:rFonts w:ascii="Tahoma" w:hAnsi="Tahoma"/>
                <w:color w:val="000000" w:themeColor="text1"/>
                <w:sz w:val="16"/>
                <w:lang w:val="en-GB"/>
              </w:rPr>
              <w:t>95</w:t>
            </w:r>
          </w:p>
        </w:tc>
      </w:tr>
      <w:tr w:rsidR="00615190" w:rsidRPr="0097607E" w14:paraId="2E34B3B0" w14:textId="77777777" w:rsidTr="00B5242A">
        <w:trPr>
          <w:trHeight w:val="60"/>
        </w:trPr>
        <w:tc>
          <w:tcPr>
            <w:tcW w:w="6104" w:type="dxa"/>
            <w:shd w:val="clear" w:color="auto" w:fill="auto"/>
            <w:tcMar>
              <w:top w:w="40" w:type="dxa"/>
              <w:left w:w="0" w:type="dxa"/>
              <w:bottom w:w="40" w:type="dxa"/>
              <w:right w:w="0" w:type="dxa"/>
            </w:tcMar>
            <w:vAlign w:val="bottom"/>
          </w:tcPr>
          <w:p w14:paraId="0BBC61FB" w14:textId="77777777" w:rsidR="0097607E" w:rsidRPr="0097607E" w:rsidRDefault="0097607E" w:rsidP="00615190">
            <w:pPr>
              <w:spacing w:line="240" w:lineRule="atLeast"/>
              <w:rPr>
                <w:rFonts w:ascii="Tahoma" w:hAnsi="Tahoma"/>
                <w:color w:val="000000" w:themeColor="text1"/>
                <w:sz w:val="16"/>
                <w:lang w:val="en-GB"/>
              </w:rPr>
            </w:pPr>
            <w:r w:rsidRPr="0097607E">
              <w:rPr>
                <w:rFonts w:ascii="Tahoma" w:hAnsi="Tahoma"/>
                <w:color w:val="000000" w:themeColor="text1"/>
                <w:sz w:val="16"/>
                <w:lang w:val="en-GB"/>
              </w:rPr>
              <w:t>Gains on partial disposal of equity-accounted investments</w:t>
            </w:r>
          </w:p>
        </w:tc>
        <w:tc>
          <w:tcPr>
            <w:tcW w:w="700" w:type="dxa"/>
            <w:shd w:val="clear" w:color="auto" w:fill="auto"/>
            <w:tcMar>
              <w:top w:w="40" w:type="dxa"/>
              <w:left w:w="0" w:type="dxa"/>
              <w:bottom w:w="40" w:type="dxa"/>
              <w:right w:w="0" w:type="dxa"/>
            </w:tcMar>
            <w:vAlign w:val="bottom"/>
          </w:tcPr>
          <w:p w14:paraId="55078CD6" w14:textId="77777777" w:rsidR="0097607E" w:rsidRPr="0097607E" w:rsidRDefault="0097607E" w:rsidP="003C1618">
            <w:pPr>
              <w:spacing w:line="240" w:lineRule="atLeast"/>
              <w:jc w:val="right"/>
              <w:rPr>
                <w:rFonts w:ascii="Tahoma" w:hAnsi="Tahoma"/>
                <w:color w:val="000000" w:themeColor="text1"/>
                <w:sz w:val="16"/>
                <w:lang w:val="en-GB"/>
              </w:rPr>
            </w:pPr>
            <w:r w:rsidRPr="0097607E">
              <w:rPr>
                <w:rFonts w:ascii="Tahoma" w:hAnsi="Tahoma"/>
                <w:color w:val="000000" w:themeColor="text1"/>
                <w:sz w:val="16"/>
                <w:lang w:val="en-GB"/>
              </w:rPr>
              <w:t>11</w:t>
            </w:r>
          </w:p>
        </w:tc>
        <w:tc>
          <w:tcPr>
            <w:tcW w:w="1134" w:type="dxa"/>
            <w:shd w:val="clear" w:color="auto" w:fill="auto"/>
            <w:tcMar>
              <w:top w:w="40" w:type="dxa"/>
              <w:left w:w="0" w:type="dxa"/>
              <w:bottom w:w="40" w:type="dxa"/>
              <w:right w:w="0" w:type="dxa"/>
            </w:tcMar>
            <w:vAlign w:val="bottom"/>
          </w:tcPr>
          <w:p w14:paraId="1DB2BF7E" w14:textId="77777777" w:rsidR="0097607E" w:rsidRPr="0097607E" w:rsidRDefault="0097607E" w:rsidP="00A360F6">
            <w:pPr>
              <w:spacing w:line="240" w:lineRule="atLeast"/>
              <w:jc w:val="right"/>
              <w:rPr>
                <w:rFonts w:ascii="Tahoma" w:hAnsi="Tahoma"/>
                <w:b/>
                <w:bCs/>
                <w:color w:val="000000" w:themeColor="text1"/>
                <w:sz w:val="16"/>
                <w:lang w:val="en-GB"/>
              </w:rPr>
            </w:pPr>
            <w:r w:rsidRPr="0097607E">
              <w:rPr>
                <w:rFonts w:ascii="Tahoma" w:hAnsi="Tahoma"/>
                <w:b/>
                <w:bCs/>
                <w:color w:val="000000" w:themeColor="text1"/>
                <w:sz w:val="16"/>
                <w:lang w:val="en-GB"/>
              </w:rPr>
              <w:t>2 771</w:t>
            </w:r>
          </w:p>
        </w:tc>
        <w:tc>
          <w:tcPr>
            <w:tcW w:w="1134" w:type="dxa"/>
            <w:shd w:val="clear" w:color="auto" w:fill="auto"/>
            <w:tcMar>
              <w:top w:w="40" w:type="dxa"/>
              <w:left w:w="0" w:type="dxa"/>
              <w:bottom w:w="40" w:type="dxa"/>
              <w:right w:w="0" w:type="dxa"/>
            </w:tcMar>
            <w:vAlign w:val="bottom"/>
          </w:tcPr>
          <w:p w14:paraId="6D68FEC4" w14:textId="77777777" w:rsidR="0097607E" w:rsidRPr="0097607E" w:rsidRDefault="0097607E" w:rsidP="00A360F6">
            <w:pPr>
              <w:spacing w:line="240" w:lineRule="atLeast"/>
              <w:jc w:val="right"/>
              <w:rPr>
                <w:rFonts w:ascii="Tahoma" w:hAnsi="Tahoma"/>
                <w:color w:val="000000" w:themeColor="text1"/>
                <w:sz w:val="16"/>
                <w:lang w:val="en-GB"/>
              </w:rPr>
            </w:pPr>
            <w:r w:rsidRPr="0097607E">
              <w:rPr>
                <w:rFonts w:ascii="Tahoma" w:hAnsi="Tahoma"/>
                <w:color w:val="000000" w:themeColor="text1"/>
                <w:sz w:val="16"/>
                <w:lang w:val="en-GB"/>
              </w:rPr>
              <w:t>12 339</w:t>
            </w:r>
          </w:p>
        </w:tc>
        <w:tc>
          <w:tcPr>
            <w:tcW w:w="1134" w:type="dxa"/>
            <w:shd w:val="clear" w:color="auto" w:fill="auto"/>
            <w:tcMar>
              <w:top w:w="40" w:type="dxa"/>
              <w:left w:w="0" w:type="dxa"/>
              <w:bottom w:w="40" w:type="dxa"/>
              <w:right w:w="0" w:type="dxa"/>
            </w:tcMar>
            <w:vAlign w:val="bottom"/>
          </w:tcPr>
          <w:p w14:paraId="700295AB" w14:textId="77777777" w:rsidR="0097607E" w:rsidRPr="0097607E" w:rsidRDefault="0097607E" w:rsidP="00A360F6">
            <w:pPr>
              <w:spacing w:line="240" w:lineRule="atLeast"/>
              <w:jc w:val="right"/>
              <w:rPr>
                <w:rFonts w:ascii="Tahoma" w:hAnsi="Tahoma"/>
                <w:color w:val="000000" w:themeColor="text1"/>
                <w:sz w:val="16"/>
                <w:lang w:val="en-GB"/>
              </w:rPr>
            </w:pPr>
            <w:r w:rsidRPr="0097607E">
              <w:rPr>
                <w:rFonts w:ascii="Tahoma" w:hAnsi="Tahoma"/>
                <w:color w:val="000000" w:themeColor="text1"/>
                <w:sz w:val="16"/>
                <w:lang w:val="en-GB"/>
              </w:rPr>
              <w:t>12 339</w:t>
            </w:r>
          </w:p>
        </w:tc>
      </w:tr>
      <w:tr w:rsidR="00615190" w:rsidRPr="0097607E" w14:paraId="67D20038" w14:textId="77777777" w:rsidTr="00B5242A">
        <w:trPr>
          <w:trHeight w:val="60"/>
        </w:trPr>
        <w:tc>
          <w:tcPr>
            <w:tcW w:w="6104" w:type="dxa"/>
            <w:tcBorders>
              <w:bottom w:val="single" w:sz="4" w:space="0" w:color="auto"/>
            </w:tcBorders>
            <w:shd w:val="clear" w:color="auto" w:fill="auto"/>
            <w:tcMar>
              <w:top w:w="40" w:type="dxa"/>
              <w:left w:w="0" w:type="dxa"/>
              <w:bottom w:w="68" w:type="dxa"/>
              <w:right w:w="0" w:type="dxa"/>
            </w:tcMar>
            <w:vAlign w:val="bottom"/>
          </w:tcPr>
          <w:p w14:paraId="36DE3670" w14:textId="77777777" w:rsidR="0097607E" w:rsidRPr="0097607E" w:rsidRDefault="0097607E" w:rsidP="00615190">
            <w:pPr>
              <w:spacing w:line="240" w:lineRule="atLeast"/>
              <w:rPr>
                <w:rFonts w:ascii="Tahoma" w:hAnsi="Tahoma"/>
                <w:color w:val="000000" w:themeColor="text1"/>
                <w:sz w:val="16"/>
                <w:lang w:val="en-GB"/>
              </w:rPr>
            </w:pPr>
            <w:r w:rsidRPr="0097607E">
              <w:rPr>
                <w:rFonts w:ascii="Tahoma" w:hAnsi="Tahoma"/>
                <w:color w:val="000000" w:themeColor="text1"/>
                <w:sz w:val="16"/>
                <w:lang w:val="en-GB"/>
              </w:rPr>
              <w:t>Net gains/(losses) on acquisitions and disposals</w:t>
            </w:r>
          </w:p>
        </w:tc>
        <w:tc>
          <w:tcPr>
            <w:tcW w:w="700" w:type="dxa"/>
            <w:tcBorders>
              <w:bottom w:val="single" w:sz="4" w:space="0" w:color="auto"/>
            </w:tcBorders>
            <w:shd w:val="clear" w:color="auto" w:fill="auto"/>
            <w:tcMar>
              <w:top w:w="40" w:type="dxa"/>
              <w:left w:w="0" w:type="dxa"/>
              <w:bottom w:w="68" w:type="dxa"/>
              <w:right w:w="0" w:type="dxa"/>
            </w:tcMar>
            <w:vAlign w:val="bottom"/>
          </w:tcPr>
          <w:p w14:paraId="05DB35D1" w14:textId="77777777" w:rsidR="0097607E" w:rsidRPr="0097607E" w:rsidRDefault="0097607E" w:rsidP="003C1618">
            <w:pPr>
              <w:spacing w:line="240" w:lineRule="atLeast"/>
              <w:jc w:val="right"/>
              <w:rPr>
                <w:rFonts w:ascii="Tahoma" w:hAnsi="Tahoma"/>
                <w:color w:val="000000" w:themeColor="text1"/>
                <w:sz w:val="16"/>
                <w:lang w:val="en-GB"/>
              </w:rPr>
            </w:pPr>
            <w:r w:rsidRPr="0097607E">
              <w:rPr>
                <w:rFonts w:ascii="Tahoma" w:hAnsi="Tahoma"/>
                <w:color w:val="000000" w:themeColor="text1"/>
                <w:sz w:val="16"/>
                <w:lang w:val="en-GB"/>
              </w:rPr>
              <w:t>9</w:t>
            </w:r>
          </w:p>
        </w:tc>
        <w:tc>
          <w:tcPr>
            <w:tcW w:w="1134" w:type="dxa"/>
            <w:tcBorders>
              <w:bottom w:val="single" w:sz="4" w:space="0" w:color="auto"/>
            </w:tcBorders>
            <w:shd w:val="clear" w:color="auto" w:fill="auto"/>
            <w:tcMar>
              <w:top w:w="40" w:type="dxa"/>
              <w:left w:w="0" w:type="dxa"/>
              <w:bottom w:w="68" w:type="dxa"/>
              <w:right w:w="0" w:type="dxa"/>
            </w:tcMar>
            <w:vAlign w:val="bottom"/>
          </w:tcPr>
          <w:p w14:paraId="45AC3F35" w14:textId="77777777" w:rsidR="0097607E" w:rsidRPr="0097607E" w:rsidRDefault="0097607E" w:rsidP="00A360F6">
            <w:pPr>
              <w:spacing w:line="240" w:lineRule="atLeast"/>
              <w:jc w:val="right"/>
              <w:rPr>
                <w:rFonts w:ascii="Tahoma" w:hAnsi="Tahoma"/>
                <w:b/>
                <w:bCs/>
                <w:color w:val="000000" w:themeColor="text1"/>
                <w:sz w:val="16"/>
                <w:lang w:val="en-GB"/>
              </w:rPr>
            </w:pPr>
            <w:r w:rsidRPr="0097607E">
              <w:rPr>
                <w:rFonts w:ascii="Tahoma" w:hAnsi="Tahoma"/>
                <w:b/>
                <w:bCs/>
                <w:color w:val="000000" w:themeColor="text1"/>
                <w:sz w:val="16"/>
                <w:lang w:val="en-GB"/>
              </w:rPr>
              <w:t>136</w:t>
            </w:r>
          </w:p>
        </w:tc>
        <w:tc>
          <w:tcPr>
            <w:tcW w:w="1134" w:type="dxa"/>
            <w:tcBorders>
              <w:bottom w:val="single" w:sz="4" w:space="0" w:color="auto"/>
            </w:tcBorders>
            <w:shd w:val="clear" w:color="auto" w:fill="auto"/>
            <w:tcMar>
              <w:top w:w="40" w:type="dxa"/>
              <w:left w:w="0" w:type="dxa"/>
              <w:bottom w:w="68" w:type="dxa"/>
              <w:right w:w="0" w:type="dxa"/>
            </w:tcMar>
            <w:vAlign w:val="bottom"/>
          </w:tcPr>
          <w:p w14:paraId="7C01BB80" w14:textId="77777777" w:rsidR="0097607E" w:rsidRPr="0097607E" w:rsidRDefault="0097607E" w:rsidP="00A360F6">
            <w:pPr>
              <w:spacing w:line="240" w:lineRule="atLeast"/>
              <w:jc w:val="right"/>
              <w:rPr>
                <w:rFonts w:ascii="Tahoma" w:hAnsi="Tahoma"/>
                <w:color w:val="000000" w:themeColor="text1"/>
                <w:sz w:val="16"/>
                <w:lang w:val="en-GB"/>
              </w:rPr>
            </w:pPr>
            <w:r w:rsidRPr="0097607E">
              <w:rPr>
                <w:rFonts w:ascii="Tahoma" w:hAnsi="Tahoma"/>
                <w:color w:val="000000" w:themeColor="text1"/>
                <w:sz w:val="16"/>
                <w:lang w:val="en-GB"/>
              </w:rPr>
              <w:t>(18)</w:t>
            </w:r>
          </w:p>
        </w:tc>
        <w:tc>
          <w:tcPr>
            <w:tcW w:w="1134" w:type="dxa"/>
            <w:tcBorders>
              <w:bottom w:val="single" w:sz="4" w:space="0" w:color="auto"/>
            </w:tcBorders>
            <w:shd w:val="clear" w:color="auto" w:fill="auto"/>
            <w:tcMar>
              <w:top w:w="40" w:type="dxa"/>
              <w:left w:w="0" w:type="dxa"/>
              <w:bottom w:w="68" w:type="dxa"/>
              <w:right w:w="0" w:type="dxa"/>
            </w:tcMar>
            <w:vAlign w:val="bottom"/>
          </w:tcPr>
          <w:p w14:paraId="6983293D" w14:textId="77777777" w:rsidR="0097607E" w:rsidRPr="0097607E" w:rsidRDefault="0097607E" w:rsidP="00A360F6">
            <w:pPr>
              <w:spacing w:line="240" w:lineRule="atLeast"/>
              <w:jc w:val="right"/>
              <w:rPr>
                <w:rFonts w:ascii="Tahoma" w:hAnsi="Tahoma"/>
                <w:color w:val="000000" w:themeColor="text1"/>
                <w:sz w:val="16"/>
                <w:lang w:val="en-GB"/>
              </w:rPr>
            </w:pPr>
            <w:r w:rsidRPr="0097607E">
              <w:rPr>
                <w:rFonts w:ascii="Tahoma" w:hAnsi="Tahoma"/>
                <w:color w:val="000000" w:themeColor="text1"/>
                <w:sz w:val="16"/>
                <w:lang w:val="en-GB"/>
              </w:rPr>
              <w:t>(1 130)</w:t>
            </w:r>
          </w:p>
        </w:tc>
      </w:tr>
      <w:tr w:rsidR="00615190" w:rsidRPr="0097607E" w14:paraId="4BB0FF6D" w14:textId="77777777" w:rsidTr="00B5242A">
        <w:trPr>
          <w:trHeight w:val="60"/>
        </w:trPr>
        <w:tc>
          <w:tcPr>
            <w:tcW w:w="6104" w:type="dxa"/>
            <w:tcBorders>
              <w:top w:val="single" w:sz="4" w:space="0" w:color="auto"/>
            </w:tcBorders>
            <w:shd w:val="clear" w:color="auto" w:fill="auto"/>
            <w:tcMar>
              <w:top w:w="68" w:type="dxa"/>
              <w:left w:w="0" w:type="dxa"/>
              <w:bottom w:w="40" w:type="dxa"/>
              <w:right w:w="0" w:type="dxa"/>
            </w:tcMar>
            <w:vAlign w:val="bottom"/>
          </w:tcPr>
          <w:p w14:paraId="7E5F563B" w14:textId="77777777" w:rsidR="0097607E" w:rsidRPr="0097607E" w:rsidRDefault="0097607E" w:rsidP="00615190">
            <w:pPr>
              <w:spacing w:line="240" w:lineRule="atLeast"/>
              <w:rPr>
                <w:rFonts w:ascii="Tahoma" w:hAnsi="Tahoma"/>
                <w:b/>
                <w:bCs/>
                <w:color w:val="000000" w:themeColor="text1"/>
                <w:sz w:val="16"/>
                <w:lang w:val="en-GB"/>
              </w:rPr>
            </w:pPr>
            <w:r w:rsidRPr="0097607E">
              <w:rPr>
                <w:rFonts w:ascii="Tahoma" w:hAnsi="Tahoma"/>
                <w:b/>
                <w:bCs/>
                <w:color w:val="000000" w:themeColor="text1"/>
                <w:sz w:val="16"/>
                <w:lang w:val="en-GB"/>
              </w:rPr>
              <w:t>Profit before taxation</w:t>
            </w:r>
          </w:p>
        </w:tc>
        <w:tc>
          <w:tcPr>
            <w:tcW w:w="700" w:type="dxa"/>
            <w:tcBorders>
              <w:top w:val="single" w:sz="4" w:space="0" w:color="auto"/>
            </w:tcBorders>
            <w:shd w:val="clear" w:color="auto" w:fill="auto"/>
            <w:tcMar>
              <w:top w:w="68" w:type="dxa"/>
              <w:left w:w="0" w:type="dxa"/>
              <w:bottom w:w="40" w:type="dxa"/>
              <w:right w:w="0" w:type="dxa"/>
            </w:tcMar>
            <w:vAlign w:val="bottom"/>
          </w:tcPr>
          <w:p w14:paraId="2A7C193C" w14:textId="77777777" w:rsidR="0097607E" w:rsidRPr="0097607E" w:rsidRDefault="0097607E" w:rsidP="003C1618">
            <w:pPr>
              <w:spacing w:line="240" w:lineRule="atLeast"/>
              <w:jc w:val="right"/>
              <w:rPr>
                <w:rFonts w:ascii="Tahoma" w:hAnsi="Tahoma"/>
                <w:color w:val="000000" w:themeColor="text1"/>
                <w:sz w:val="16"/>
                <w:lang w:val="en-GB"/>
              </w:rPr>
            </w:pPr>
          </w:p>
        </w:tc>
        <w:tc>
          <w:tcPr>
            <w:tcW w:w="1134" w:type="dxa"/>
            <w:tcBorders>
              <w:top w:val="single" w:sz="4" w:space="0" w:color="auto"/>
            </w:tcBorders>
            <w:shd w:val="clear" w:color="auto" w:fill="auto"/>
            <w:tcMar>
              <w:top w:w="68" w:type="dxa"/>
              <w:left w:w="0" w:type="dxa"/>
              <w:bottom w:w="40" w:type="dxa"/>
              <w:right w:w="0" w:type="dxa"/>
            </w:tcMar>
            <w:vAlign w:val="bottom"/>
          </w:tcPr>
          <w:p w14:paraId="75E0D9C0" w14:textId="77777777" w:rsidR="0097607E" w:rsidRPr="0097607E" w:rsidRDefault="0097607E" w:rsidP="00A360F6">
            <w:pPr>
              <w:spacing w:line="240" w:lineRule="atLeast"/>
              <w:jc w:val="right"/>
              <w:rPr>
                <w:rFonts w:ascii="Tahoma" w:hAnsi="Tahoma"/>
                <w:b/>
                <w:bCs/>
                <w:color w:val="000000" w:themeColor="text1"/>
                <w:sz w:val="16"/>
                <w:lang w:val="en-GB"/>
              </w:rPr>
            </w:pPr>
            <w:r w:rsidRPr="0097607E">
              <w:rPr>
                <w:rFonts w:ascii="Tahoma" w:hAnsi="Tahoma"/>
                <w:b/>
                <w:bCs/>
                <w:color w:val="000000" w:themeColor="text1"/>
                <w:sz w:val="16"/>
                <w:lang w:val="en-GB"/>
              </w:rPr>
              <w:t>2 344</w:t>
            </w:r>
          </w:p>
        </w:tc>
        <w:tc>
          <w:tcPr>
            <w:tcW w:w="1134" w:type="dxa"/>
            <w:tcBorders>
              <w:top w:val="single" w:sz="4" w:space="0" w:color="auto"/>
            </w:tcBorders>
            <w:shd w:val="clear" w:color="auto" w:fill="auto"/>
            <w:tcMar>
              <w:top w:w="68" w:type="dxa"/>
              <w:left w:w="0" w:type="dxa"/>
              <w:bottom w:w="40" w:type="dxa"/>
              <w:right w:w="0" w:type="dxa"/>
            </w:tcMar>
            <w:vAlign w:val="bottom"/>
          </w:tcPr>
          <w:p w14:paraId="4E0E9B7A" w14:textId="77777777" w:rsidR="0097607E" w:rsidRPr="0097607E" w:rsidRDefault="0097607E" w:rsidP="00A360F6">
            <w:pPr>
              <w:spacing w:line="240" w:lineRule="atLeast"/>
              <w:jc w:val="right"/>
              <w:rPr>
                <w:rFonts w:ascii="Tahoma" w:hAnsi="Tahoma"/>
                <w:color w:val="000000" w:themeColor="text1"/>
                <w:sz w:val="16"/>
                <w:lang w:val="en-GB"/>
              </w:rPr>
            </w:pPr>
            <w:r w:rsidRPr="0097607E">
              <w:rPr>
                <w:rFonts w:ascii="Tahoma" w:hAnsi="Tahoma"/>
                <w:color w:val="000000" w:themeColor="text1"/>
                <w:sz w:val="16"/>
                <w:lang w:val="en-GB"/>
              </w:rPr>
              <w:t>15 765</w:t>
            </w:r>
          </w:p>
        </w:tc>
        <w:tc>
          <w:tcPr>
            <w:tcW w:w="1134" w:type="dxa"/>
            <w:tcBorders>
              <w:top w:val="single" w:sz="4" w:space="0" w:color="auto"/>
            </w:tcBorders>
            <w:shd w:val="clear" w:color="auto" w:fill="auto"/>
            <w:tcMar>
              <w:top w:w="68" w:type="dxa"/>
              <w:left w:w="0" w:type="dxa"/>
              <w:bottom w:w="40" w:type="dxa"/>
              <w:right w:w="0" w:type="dxa"/>
            </w:tcMar>
            <w:vAlign w:val="bottom"/>
          </w:tcPr>
          <w:p w14:paraId="216F738F" w14:textId="77777777" w:rsidR="0097607E" w:rsidRPr="0097607E" w:rsidRDefault="0097607E" w:rsidP="00A360F6">
            <w:pPr>
              <w:spacing w:line="240" w:lineRule="atLeast"/>
              <w:jc w:val="right"/>
              <w:rPr>
                <w:rFonts w:ascii="Tahoma" w:hAnsi="Tahoma"/>
                <w:color w:val="000000" w:themeColor="text1"/>
                <w:sz w:val="16"/>
                <w:lang w:val="en-GB"/>
              </w:rPr>
            </w:pPr>
            <w:r w:rsidRPr="0097607E">
              <w:rPr>
                <w:rFonts w:ascii="Tahoma" w:hAnsi="Tahoma"/>
                <w:color w:val="000000" w:themeColor="text1"/>
                <w:sz w:val="16"/>
                <w:lang w:val="en-GB"/>
              </w:rPr>
              <w:t>18 496</w:t>
            </w:r>
          </w:p>
        </w:tc>
      </w:tr>
      <w:tr w:rsidR="00615190" w:rsidRPr="0097607E" w14:paraId="0375BA50" w14:textId="77777777" w:rsidTr="00B5242A">
        <w:trPr>
          <w:trHeight w:val="60"/>
        </w:trPr>
        <w:tc>
          <w:tcPr>
            <w:tcW w:w="6104" w:type="dxa"/>
            <w:tcBorders>
              <w:bottom w:val="single" w:sz="4" w:space="0" w:color="auto"/>
            </w:tcBorders>
            <w:shd w:val="clear" w:color="auto" w:fill="auto"/>
            <w:tcMar>
              <w:top w:w="40" w:type="dxa"/>
              <w:left w:w="0" w:type="dxa"/>
              <w:bottom w:w="68" w:type="dxa"/>
              <w:right w:w="0" w:type="dxa"/>
            </w:tcMar>
            <w:vAlign w:val="bottom"/>
          </w:tcPr>
          <w:p w14:paraId="6043E791" w14:textId="77777777" w:rsidR="0097607E" w:rsidRPr="0097607E" w:rsidRDefault="0097607E" w:rsidP="00615190">
            <w:pPr>
              <w:spacing w:line="240" w:lineRule="atLeast"/>
              <w:rPr>
                <w:rFonts w:ascii="Tahoma" w:hAnsi="Tahoma"/>
                <w:color w:val="000000" w:themeColor="text1"/>
                <w:sz w:val="16"/>
                <w:lang w:val="en-GB"/>
              </w:rPr>
            </w:pPr>
            <w:r w:rsidRPr="0097607E">
              <w:rPr>
                <w:rFonts w:ascii="Tahoma" w:hAnsi="Tahoma"/>
                <w:color w:val="000000" w:themeColor="text1"/>
                <w:sz w:val="16"/>
                <w:lang w:val="en-GB"/>
              </w:rPr>
              <w:t>Taxation</w:t>
            </w:r>
          </w:p>
        </w:tc>
        <w:tc>
          <w:tcPr>
            <w:tcW w:w="700" w:type="dxa"/>
            <w:tcBorders>
              <w:bottom w:val="single" w:sz="4" w:space="0" w:color="auto"/>
            </w:tcBorders>
            <w:shd w:val="clear" w:color="auto" w:fill="auto"/>
            <w:tcMar>
              <w:top w:w="40" w:type="dxa"/>
              <w:left w:w="0" w:type="dxa"/>
              <w:bottom w:w="68" w:type="dxa"/>
              <w:right w:w="0" w:type="dxa"/>
            </w:tcMar>
            <w:vAlign w:val="bottom"/>
          </w:tcPr>
          <w:p w14:paraId="28177FE4" w14:textId="77777777" w:rsidR="0097607E" w:rsidRPr="0097607E" w:rsidRDefault="0097607E" w:rsidP="003C1618">
            <w:pPr>
              <w:spacing w:line="240" w:lineRule="atLeast"/>
              <w:jc w:val="right"/>
              <w:rPr>
                <w:rFonts w:ascii="Tahoma" w:hAnsi="Tahoma"/>
                <w:color w:val="000000" w:themeColor="text1"/>
                <w:sz w:val="16"/>
                <w:lang w:val="en-GB"/>
              </w:rPr>
            </w:pPr>
          </w:p>
        </w:tc>
        <w:tc>
          <w:tcPr>
            <w:tcW w:w="1134" w:type="dxa"/>
            <w:tcBorders>
              <w:bottom w:val="single" w:sz="4" w:space="0" w:color="auto"/>
            </w:tcBorders>
            <w:shd w:val="clear" w:color="auto" w:fill="auto"/>
            <w:tcMar>
              <w:top w:w="40" w:type="dxa"/>
              <w:left w:w="0" w:type="dxa"/>
              <w:bottom w:w="68" w:type="dxa"/>
              <w:right w:w="0" w:type="dxa"/>
            </w:tcMar>
            <w:vAlign w:val="bottom"/>
          </w:tcPr>
          <w:p w14:paraId="28921BFB" w14:textId="77777777" w:rsidR="0097607E" w:rsidRPr="0097607E" w:rsidRDefault="0097607E" w:rsidP="00A360F6">
            <w:pPr>
              <w:spacing w:line="240" w:lineRule="atLeast"/>
              <w:jc w:val="right"/>
              <w:rPr>
                <w:rFonts w:ascii="Tahoma" w:hAnsi="Tahoma"/>
                <w:b/>
                <w:bCs/>
                <w:color w:val="000000" w:themeColor="text1"/>
                <w:sz w:val="16"/>
                <w:lang w:val="en-GB"/>
              </w:rPr>
            </w:pPr>
            <w:r w:rsidRPr="0097607E">
              <w:rPr>
                <w:rFonts w:ascii="Tahoma" w:hAnsi="Tahoma"/>
                <w:b/>
                <w:bCs/>
                <w:color w:val="000000" w:themeColor="text1"/>
                <w:sz w:val="16"/>
                <w:lang w:val="en-GB"/>
              </w:rPr>
              <w:t>(16)</w:t>
            </w:r>
          </w:p>
        </w:tc>
        <w:tc>
          <w:tcPr>
            <w:tcW w:w="1134" w:type="dxa"/>
            <w:tcBorders>
              <w:bottom w:val="single" w:sz="4" w:space="0" w:color="auto"/>
            </w:tcBorders>
            <w:shd w:val="clear" w:color="auto" w:fill="auto"/>
            <w:tcMar>
              <w:top w:w="40" w:type="dxa"/>
              <w:left w:w="0" w:type="dxa"/>
              <w:bottom w:w="68" w:type="dxa"/>
              <w:right w:w="0" w:type="dxa"/>
            </w:tcMar>
            <w:vAlign w:val="bottom"/>
          </w:tcPr>
          <w:p w14:paraId="084830F9" w14:textId="77777777" w:rsidR="0097607E" w:rsidRPr="0097607E" w:rsidRDefault="0097607E" w:rsidP="00A360F6">
            <w:pPr>
              <w:spacing w:line="240" w:lineRule="atLeast"/>
              <w:jc w:val="right"/>
              <w:rPr>
                <w:rFonts w:ascii="Tahoma" w:hAnsi="Tahoma"/>
                <w:color w:val="000000" w:themeColor="text1"/>
                <w:sz w:val="16"/>
                <w:lang w:val="en-GB"/>
              </w:rPr>
            </w:pPr>
            <w:r w:rsidRPr="0097607E">
              <w:rPr>
                <w:rFonts w:ascii="Tahoma" w:hAnsi="Tahoma"/>
                <w:color w:val="000000" w:themeColor="text1"/>
                <w:sz w:val="16"/>
                <w:lang w:val="en-GB"/>
              </w:rPr>
              <w:t>(39)</w:t>
            </w:r>
          </w:p>
        </w:tc>
        <w:tc>
          <w:tcPr>
            <w:tcW w:w="1134" w:type="dxa"/>
            <w:tcBorders>
              <w:bottom w:val="single" w:sz="4" w:space="0" w:color="auto"/>
            </w:tcBorders>
            <w:shd w:val="clear" w:color="auto" w:fill="auto"/>
            <w:tcMar>
              <w:top w:w="40" w:type="dxa"/>
              <w:left w:w="0" w:type="dxa"/>
              <w:bottom w:w="68" w:type="dxa"/>
              <w:right w:w="0" w:type="dxa"/>
            </w:tcMar>
            <w:vAlign w:val="bottom"/>
          </w:tcPr>
          <w:p w14:paraId="548B6A31" w14:textId="77777777" w:rsidR="0097607E" w:rsidRPr="0097607E" w:rsidRDefault="0097607E" w:rsidP="00A360F6">
            <w:pPr>
              <w:spacing w:line="240" w:lineRule="atLeast"/>
              <w:jc w:val="right"/>
              <w:rPr>
                <w:rFonts w:ascii="Tahoma" w:hAnsi="Tahoma"/>
                <w:color w:val="000000" w:themeColor="text1"/>
                <w:sz w:val="16"/>
                <w:lang w:val="en-GB"/>
              </w:rPr>
            </w:pPr>
            <w:r w:rsidRPr="0097607E">
              <w:rPr>
                <w:rFonts w:ascii="Tahoma" w:hAnsi="Tahoma"/>
                <w:color w:val="000000" w:themeColor="text1"/>
                <w:sz w:val="16"/>
                <w:lang w:val="en-GB"/>
              </w:rPr>
              <w:t>(55)</w:t>
            </w:r>
          </w:p>
        </w:tc>
      </w:tr>
      <w:tr w:rsidR="00615190" w:rsidRPr="0097607E" w14:paraId="72B1A101" w14:textId="77777777" w:rsidTr="00B5242A">
        <w:trPr>
          <w:trHeight w:val="60"/>
        </w:trPr>
        <w:tc>
          <w:tcPr>
            <w:tcW w:w="6104" w:type="dxa"/>
            <w:tcBorders>
              <w:top w:val="single" w:sz="4" w:space="0" w:color="auto"/>
            </w:tcBorders>
            <w:shd w:val="clear" w:color="auto" w:fill="auto"/>
            <w:tcMar>
              <w:top w:w="68" w:type="dxa"/>
              <w:left w:w="0" w:type="dxa"/>
              <w:bottom w:w="40" w:type="dxa"/>
              <w:right w:w="0" w:type="dxa"/>
            </w:tcMar>
            <w:vAlign w:val="bottom"/>
          </w:tcPr>
          <w:p w14:paraId="567940BD" w14:textId="77777777" w:rsidR="0097607E" w:rsidRPr="0097607E" w:rsidRDefault="0097607E" w:rsidP="00615190">
            <w:pPr>
              <w:spacing w:line="240" w:lineRule="atLeast"/>
              <w:rPr>
                <w:rFonts w:ascii="Tahoma" w:hAnsi="Tahoma"/>
                <w:b/>
                <w:bCs/>
                <w:color w:val="000000" w:themeColor="text1"/>
                <w:sz w:val="16"/>
                <w:lang w:val="en-GB"/>
              </w:rPr>
            </w:pPr>
            <w:r w:rsidRPr="0097607E">
              <w:rPr>
                <w:rFonts w:ascii="Tahoma" w:hAnsi="Tahoma"/>
                <w:b/>
                <w:bCs/>
                <w:color w:val="000000" w:themeColor="text1"/>
                <w:sz w:val="16"/>
                <w:lang w:val="en-GB"/>
              </w:rPr>
              <w:t>Profit from continuing operations</w:t>
            </w:r>
          </w:p>
        </w:tc>
        <w:tc>
          <w:tcPr>
            <w:tcW w:w="700" w:type="dxa"/>
            <w:tcBorders>
              <w:top w:val="single" w:sz="4" w:space="0" w:color="auto"/>
            </w:tcBorders>
            <w:shd w:val="clear" w:color="auto" w:fill="auto"/>
            <w:tcMar>
              <w:top w:w="68" w:type="dxa"/>
              <w:left w:w="0" w:type="dxa"/>
              <w:bottom w:w="40" w:type="dxa"/>
              <w:right w:w="0" w:type="dxa"/>
            </w:tcMar>
            <w:vAlign w:val="bottom"/>
          </w:tcPr>
          <w:p w14:paraId="04B57CEA" w14:textId="77777777" w:rsidR="0097607E" w:rsidRPr="0097607E" w:rsidRDefault="0097607E" w:rsidP="003C1618">
            <w:pPr>
              <w:spacing w:line="240" w:lineRule="atLeast"/>
              <w:jc w:val="right"/>
              <w:rPr>
                <w:rFonts w:ascii="Tahoma" w:hAnsi="Tahoma"/>
                <w:color w:val="000000" w:themeColor="text1"/>
                <w:sz w:val="16"/>
                <w:lang w:val="en-GB"/>
              </w:rPr>
            </w:pPr>
          </w:p>
        </w:tc>
        <w:tc>
          <w:tcPr>
            <w:tcW w:w="1134" w:type="dxa"/>
            <w:tcBorders>
              <w:top w:val="single" w:sz="4" w:space="0" w:color="auto"/>
            </w:tcBorders>
            <w:shd w:val="clear" w:color="auto" w:fill="auto"/>
            <w:tcMar>
              <w:top w:w="68" w:type="dxa"/>
              <w:left w:w="0" w:type="dxa"/>
              <w:bottom w:w="40" w:type="dxa"/>
              <w:right w:w="0" w:type="dxa"/>
            </w:tcMar>
            <w:vAlign w:val="bottom"/>
          </w:tcPr>
          <w:p w14:paraId="4185BFDA" w14:textId="77777777" w:rsidR="0097607E" w:rsidRPr="0097607E" w:rsidRDefault="0097607E" w:rsidP="00A360F6">
            <w:pPr>
              <w:spacing w:line="240" w:lineRule="atLeast"/>
              <w:jc w:val="right"/>
              <w:rPr>
                <w:rFonts w:ascii="Tahoma" w:hAnsi="Tahoma"/>
                <w:b/>
                <w:bCs/>
                <w:color w:val="000000" w:themeColor="text1"/>
                <w:sz w:val="16"/>
                <w:lang w:val="en-GB"/>
              </w:rPr>
            </w:pPr>
            <w:r w:rsidRPr="0097607E">
              <w:rPr>
                <w:rFonts w:ascii="Tahoma" w:hAnsi="Tahoma"/>
                <w:b/>
                <w:bCs/>
                <w:color w:val="000000" w:themeColor="text1"/>
                <w:sz w:val="16"/>
                <w:lang w:val="en-GB"/>
              </w:rPr>
              <w:t>2 328</w:t>
            </w:r>
          </w:p>
        </w:tc>
        <w:tc>
          <w:tcPr>
            <w:tcW w:w="1134" w:type="dxa"/>
            <w:tcBorders>
              <w:top w:val="single" w:sz="4" w:space="0" w:color="auto"/>
            </w:tcBorders>
            <w:shd w:val="clear" w:color="auto" w:fill="auto"/>
            <w:tcMar>
              <w:top w:w="68" w:type="dxa"/>
              <w:left w:w="0" w:type="dxa"/>
              <w:bottom w:w="40" w:type="dxa"/>
              <w:right w:w="0" w:type="dxa"/>
            </w:tcMar>
            <w:vAlign w:val="bottom"/>
          </w:tcPr>
          <w:p w14:paraId="431DD36E" w14:textId="77777777" w:rsidR="0097607E" w:rsidRPr="0097607E" w:rsidRDefault="0097607E" w:rsidP="00A360F6">
            <w:pPr>
              <w:spacing w:line="240" w:lineRule="atLeast"/>
              <w:jc w:val="right"/>
              <w:rPr>
                <w:rFonts w:ascii="Tahoma" w:hAnsi="Tahoma"/>
                <w:color w:val="000000" w:themeColor="text1"/>
                <w:sz w:val="16"/>
                <w:lang w:val="en-GB"/>
              </w:rPr>
            </w:pPr>
            <w:r w:rsidRPr="0097607E">
              <w:rPr>
                <w:rFonts w:ascii="Tahoma" w:hAnsi="Tahoma"/>
                <w:color w:val="000000" w:themeColor="text1"/>
                <w:sz w:val="16"/>
                <w:lang w:val="en-GB"/>
              </w:rPr>
              <w:t>15 726</w:t>
            </w:r>
          </w:p>
        </w:tc>
        <w:tc>
          <w:tcPr>
            <w:tcW w:w="1134" w:type="dxa"/>
            <w:tcBorders>
              <w:top w:val="single" w:sz="4" w:space="0" w:color="auto"/>
            </w:tcBorders>
            <w:shd w:val="clear" w:color="auto" w:fill="auto"/>
            <w:tcMar>
              <w:top w:w="68" w:type="dxa"/>
              <w:left w:w="0" w:type="dxa"/>
              <w:bottom w:w="40" w:type="dxa"/>
              <w:right w:w="0" w:type="dxa"/>
            </w:tcMar>
            <w:vAlign w:val="bottom"/>
          </w:tcPr>
          <w:p w14:paraId="6A44F681" w14:textId="77777777" w:rsidR="0097607E" w:rsidRPr="0097607E" w:rsidRDefault="0097607E" w:rsidP="00A360F6">
            <w:pPr>
              <w:spacing w:line="240" w:lineRule="atLeast"/>
              <w:jc w:val="right"/>
              <w:rPr>
                <w:rFonts w:ascii="Tahoma" w:hAnsi="Tahoma"/>
                <w:color w:val="000000" w:themeColor="text1"/>
                <w:sz w:val="16"/>
                <w:lang w:val="en-GB"/>
              </w:rPr>
            </w:pPr>
            <w:r w:rsidRPr="0097607E">
              <w:rPr>
                <w:rFonts w:ascii="Tahoma" w:hAnsi="Tahoma"/>
                <w:color w:val="000000" w:themeColor="text1"/>
                <w:sz w:val="16"/>
                <w:lang w:val="en-GB"/>
              </w:rPr>
              <w:t>18 441</w:t>
            </w:r>
          </w:p>
        </w:tc>
      </w:tr>
      <w:tr w:rsidR="00615190" w:rsidRPr="0097607E" w14:paraId="7C984732" w14:textId="77777777" w:rsidTr="00B5242A">
        <w:trPr>
          <w:trHeight w:val="60"/>
        </w:trPr>
        <w:tc>
          <w:tcPr>
            <w:tcW w:w="6104" w:type="dxa"/>
            <w:tcBorders>
              <w:bottom w:val="single" w:sz="4" w:space="0" w:color="auto"/>
            </w:tcBorders>
            <w:shd w:val="clear" w:color="auto" w:fill="auto"/>
            <w:tcMar>
              <w:top w:w="40" w:type="dxa"/>
              <w:left w:w="0" w:type="dxa"/>
              <w:bottom w:w="68" w:type="dxa"/>
              <w:right w:w="0" w:type="dxa"/>
            </w:tcMar>
            <w:vAlign w:val="bottom"/>
          </w:tcPr>
          <w:p w14:paraId="237AA404" w14:textId="77777777" w:rsidR="0097607E" w:rsidRPr="0097607E" w:rsidRDefault="0097607E" w:rsidP="00615190">
            <w:pPr>
              <w:spacing w:line="240" w:lineRule="atLeast"/>
              <w:rPr>
                <w:rFonts w:ascii="Tahoma" w:hAnsi="Tahoma"/>
                <w:color w:val="000000" w:themeColor="text1"/>
                <w:sz w:val="16"/>
                <w:lang w:val="en-GB"/>
              </w:rPr>
            </w:pPr>
            <w:r w:rsidRPr="0097607E">
              <w:rPr>
                <w:rFonts w:ascii="Tahoma" w:hAnsi="Tahoma"/>
                <w:color w:val="000000" w:themeColor="text1"/>
                <w:sz w:val="16"/>
                <w:lang w:val="en-GB"/>
              </w:rPr>
              <w:t>Profit from discontinued operations</w:t>
            </w:r>
          </w:p>
        </w:tc>
        <w:tc>
          <w:tcPr>
            <w:tcW w:w="700" w:type="dxa"/>
            <w:tcBorders>
              <w:bottom w:val="single" w:sz="4" w:space="0" w:color="auto"/>
            </w:tcBorders>
            <w:shd w:val="clear" w:color="auto" w:fill="auto"/>
            <w:tcMar>
              <w:top w:w="40" w:type="dxa"/>
              <w:left w:w="0" w:type="dxa"/>
              <w:bottom w:w="68" w:type="dxa"/>
              <w:right w:w="0" w:type="dxa"/>
            </w:tcMar>
            <w:vAlign w:val="bottom"/>
          </w:tcPr>
          <w:p w14:paraId="32F302A6" w14:textId="77777777" w:rsidR="0097607E" w:rsidRPr="0097607E" w:rsidRDefault="0097607E" w:rsidP="003C1618">
            <w:pPr>
              <w:spacing w:line="240" w:lineRule="atLeast"/>
              <w:jc w:val="right"/>
              <w:rPr>
                <w:rFonts w:ascii="Tahoma" w:hAnsi="Tahoma"/>
                <w:color w:val="000000" w:themeColor="text1"/>
                <w:sz w:val="16"/>
                <w:lang w:val="en-GB"/>
              </w:rPr>
            </w:pPr>
            <w:r w:rsidRPr="0097607E">
              <w:rPr>
                <w:rFonts w:ascii="Tahoma" w:hAnsi="Tahoma"/>
                <w:color w:val="000000" w:themeColor="text1"/>
                <w:sz w:val="16"/>
                <w:lang w:val="en-GB"/>
              </w:rPr>
              <w:t>5</w:t>
            </w:r>
          </w:p>
        </w:tc>
        <w:tc>
          <w:tcPr>
            <w:tcW w:w="1134" w:type="dxa"/>
            <w:tcBorders>
              <w:bottom w:val="single" w:sz="4" w:space="0" w:color="auto"/>
            </w:tcBorders>
            <w:shd w:val="clear" w:color="auto" w:fill="auto"/>
            <w:tcMar>
              <w:top w:w="40" w:type="dxa"/>
              <w:left w:w="0" w:type="dxa"/>
              <w:bottom w:w="68" w:type="dxa"/>
              <w:right w:w="0" w:type="dxa"/>
            </w:tcMar>
            <w:vAlign w:val="bottom"/>
          </w:tcPr>
          <w:p w14:paraId="2FB961F0" w14:textId="77777777" w:rsidR="0097607E" w:rsidRPr="0097607E" w:rsidRDefault="0097607E" w:rsidP="00A360F6">
            <w:pPr>
              <w:spacing w:line="240" w:lineRule="atLeast"/>
              <w:jc w:val="right"/>
              <w:rPr>
                <w:rFonts w:ascii="Tahoma" w:hAnsi="Tahoma"/>
                <w:b/>
                <w:bCs/>
                <w:color w:val="000000" w:themeColor="text1"/>
                <w:sz w:val="16"/>
                <w:lang w:val="en-GB"/>
              </w:rPr>
            </w:pPr>
            <w:r w:rsidRPr="0097607E">
              <w:rPr>
                <w:rFonts w:ascii="Tahoma" w:hAnsi="Tahoma"/>
                <w:b/>
                <w:bCs/>
                <w:color w:val="000000" w:themeColor="text1"/>
                <w:sz w:val="16"/>
                <w:lang w:val="en-GB"/>
              </w:rPr>
              <w:t>188</w:t>
            </w:r>
          </w:p>
        </w:tc>
        <w:tc>
          <w:tcPr>
            <w:tcW w:w="1134" w:type="dxa"/>
            <w:tcBorders>
              <w:bottom w:val="single" w:sz="4" w:space="0" w:color="auto"/>
            </w:tcBorders>
            <w:shd w:val="clear" w:color="auto" w:fill="auto"/>
            <w:tcMar>
              <w:top w:w="40" w:type="dxa"/>
              <w:left w:w="0" w:type="dxa"/>
              <w:bottom w:w="68" w:type="dxa"/>
              <w:right w:w="0" w:type="dxa"/>
            </w:tcMar>
            <w:vAlign w:val="bottom"/>
          </w:tcPr>
          <w:p w14:paraId="75EF0089" w14:textId="77777777" w:rsidR="0097607E" w:rsidRPr="0097607E" w:rsidRDefault="0097607E" w:rsidP="00A360F6">
            <w:pPr>
              <w:spacing w:line="240" w:lineRule="atLeast"/>
              <w:jc w:val="right"/>
              <w:rPr>
                <w:rFonts w:ascii="Tahoma" w:hAnsi="Tahoma"/>
                <w:color w:val="000000" w:themeColor="text1"/>
                <w:sz w:val="16"/>
                <w:lang w:val="en-GB"/>
              </w:rPr>
            </w:pPr>
            <w:r w:rsidRPr="0097607E">
              <w:rPr>
                <w:rFonts w:ascii="Tahoma" w:hAnsi="Tahoma"/>
                <w:color w:val="000000" w:themeColor="text1"/>
                <w:sz w:val="16"/>
                <w:lang w:val="en-GB"/>
              </w:rPr>
              <w:t>93</w:t>
            </w:r>
          </w:p>
        </w:tc>
        <w:tc>
          <w:tcPr>
            <w:tcW w:w="1134" w:type="dxa"/>
            <w:tcBorders>
              <w:bottom w:val="single" w:sz="4" w:space="0" w:color="auto"/>
            </w:tcBorders>
            <w:shd w:val="clear" w:color="auto" w:fill="auto"/>
            <w:tcMar>
              <w:top w:w="40" w:type="dxa"/>
              <w:left w:w="0" w:type="dxa"/>
              <w:bottom w:w="68" w:type="dxa"/>
              <w:right w:w="0" w:type="dxa"/>
            </w:tcMar>
            <w:vAlign w:val="bottom"/>
          </w:tcPr>
          <w:p w14:paraId="6CF48B7E" w14:textId="77777777" w:rsidR="0097607E" w:rsidRPr="0097607E" w:rsidRDefault="0097607E" w:rsidP="00A360F6">
            <w:pPr>
              <w:spacing w:line="240" w:lineRule="atLeast"/>
              <w:jc w:val="right"/>
              <w:rPr>
                <w:rFonts w:ascii="Tahoma" w:hAnsi="Tahoma"/>
                <w:color w:val="000000" w:themeColor="text1"/>
                <w:sz w:val="16"/>
                <w:lang w:val="en-GB"/>
              </w:rPr>
            </w:pPr>
            <w:r w:rsidRPr="0097607E">
              <w:rPr>
                <w:rFonts w:ascii="Tahoma" w:hAnsi="Tahoma"/>
                <w:color w:val="000000" w:themeColor="text1"/>
                <w:sz w:val="16"/>
                <w:lang w:val="en-GB"/>
              </w:rPr>
              <w:t>153</w:t>
            </w:r>
          </w:p>
        </w:tc>
      </w:tr>
      <w:tr w:rsidR="00615190" w:rsidRPr="0097607E" w14:paraId="2DD895BF" w14:textId="77777777" w:rsidTr="00B5242A">
        <w:trPr>
          <w:trHeight w:val="60"/>
        </w:trPr>
        <w:tc>
          <w:tcPr>
            <w:tcW w:w="6104" w:type="dxa"/>
            <w:tcBorders>
              <w:top w:val="single" w:sz="4" w:space="0" w:color="auto"/>
              <w:bottom w:val="single" w:sz="12" w:space="0" w:color="auto"/>
            </w:tcBorders>
            <w:shd w:val="clear" w:color="auto" w:fill="auto"/>
            <w:tcMar>
              <w:top w:w="68" w:type="dxa"/>
              <w:left w:w="0" w:type="dxa"/>
              <w:bottom w:w="68" w:type="dxa"/>
              <w:right w:w="0" w:type="dxa"/>
            </w:tcMar>
            <w:vAlign w:val="bottom"/>
          </w:tcPr>
          <w:p w14:paraId="78F0550D" w14:textId="77777777" w:rsidR="0097607E" w:rsidRPr="0097607E" w:rsidRDefault="0097607E" w:rsidP="00615190">
            <w:pPr>
              <w:spacing w:line="240" w:lineRule="atLeast"/>
              <w:rPr>
                <w:rFonts w:ascii="Tahoma" w:hAnsi="Tahoma"/>
                <w:b/>
                <w:bCs/>
                <w:color w:val="000000" w:themeColor="text1"/>
                <w:sz w:val="16"/>
                <w:lang w:val="en-GB"/>
              </w:rPr>
            </w:pPr>
            <w:r w:rsidRPr="0097607E">
              <w:rPr>
                <w:rFonts w:ascii="Tahoma" w:hAnsi="Tahoma"/>
                <w:b/>
                <w:bCs/>
                <w:color w:val="000000" w:themeColor="text1"/>
                <w:sz w:val="16"/>
                <w:lang w:val="en-GB"/>
              </w:rPr>
              <w:t>Profit for the period</w:t>
            </w:r>
          </w:p>
        </w:tc>
        <w:tc>
          <w:tcPr>
            <w:tcW w:w="700" w:type="dxa"/>
            <w:tcBorders>
              <w:top w:val="single" w:sz="4" w:space="0" w:color="auto"/>
              <w:bottom w:val="single" w:sz="12" w:space="0" w:color="auto"/>
            </w:tcBorders>
            <w:shd w:val="clear" w:color="auto" w:fill="auto"/>
            <w:tcMar>
              <w:top w:w="68" w:type="dxa"/>
              <w:left w:w="0" w:type="dxa"/>
              <w:bottom w:w="68" w:type="dxa"/>
              <w:right w:w="0" w:type="dxa"/>
            </w:tcMar>
            <w:vAlign w:val="bottom"/>
          </w:tcPr>
          <w:p w14:paraId="36FBD8B9" w14:textId="77777777" w:rsidR="0097607E" w:rsidRPr="0097607E" w:rsidRDefault="0097607E" w:rsidP="003C1618">
            <w:pPr>
              <w:spacing w:line="240" w:lineRule="atLeast"/>
              <w:jc w:val="right"/>
              <w:rPr>
                <w:rFonts w:ascii="Tahoma" w:hAnsi="Tahoma"/>
                <w:color w:val="000000" w:themeColor="text1"/>
                <w:sz w:val="16"/>
                <w:lang w:val="en-GB"/>
              </w:rPr>
            </w:pPr>
          </w:p>
        </w:tc>
        <w:tc>
          <w:tcPr>
            <w:tcW w:w="1134" w:type="dxa"/>
            <w:tcBorders>
              <w:top w:val="single" w:sz="4" w:space="0" w:color="auto"/>
              <w:bottom w:val="single" w:sz="12" w:space="0" w:color="auto"/>
            </w:tcBorders>
            <w:shd w:val="clear" w:color="auto" w:fill="auto"/>
            <w:tcMar>
              <w:top w:w="68" w:type="dxa"/>
              <w:left w:w="0" w:type="dxa"/>
              <w:bottom w:w="68" w:type="dxa"/>
              <w:right w:w="0" w:type="dxa"/>
            </w:tcMar>
            <w:vAlign w:val="bottom"/>
          </w:tcPr>
          <w:p w14:paraId="76B5F491" w14:textId="77777777" w:rsidR="0097607E" w:rsidRPr="0097607E" w:rsidRDefault="0097607E" w:rsidP="00A360F6">
            <w:pPr>
              <w:spacing w:line="240" w:lineRule="atLeast"/>
              <w:jc w:val="right"/>
              <w:rPr>
                <w:rFonts w:ascii="Tahoma" w:hAnsi="Tahoma"/>
                <w:b/>
                <w:bCs/>
                <w:color w:val="000000" w:themeColor="text1"/>
                <w:sz w:val="16"/>
                <w:lang w:val="en-GB"/>
              </w:rPr>
            </w:pPr>
            <w:r w:rsidRPr="0097607E">
              <w:rPr>
                <w:rFonts w:ascii="Tahoma" w:hAnsi="Tahoma"/>
                <w:b/>
                <w:bCs/>
                <w:color w:val="000000" w:themeColor="text1"/>
                <w:sz w:val="16"/>
                <w:lang w:val="en-GB"/>
              </w:rPr>
              <w:t>2 516</w:t>
            </w:r>
          </w:p>
        </w:tc>
        <w:tc>
          <w:tcPr>
            <w:tcW w:w="1134" w:type="dxa"/>
            <w:tcBorders>
              <w:top w:val="single" w:sz="4" w:space="0" w:color="auto"/>
              <w:bottom w:val="single" w:sz="12" w:space="0" w:color="auto"/>
            </w:tcBorders>
            <w:shd w:val="clear" w:color="auto" w:fill="auto"/>
            <w:tcMar>
              <w:top w:w="68" w:type="dxa"/>
              <w:left w:w="0" w:type="dxa"/>
              <w:bottom w:w="68" w:type="dxa"/>
              <w:right w:w="0" w:type="dxa"/>
            </w:tcMar>
            <w:vAlign w:val="bottom"/>
          </w:tcPr>
          <w:p w14:paraId="3D7443D4" w14:textId="77777777" w:rsidR="0097607E" w:rsidRPr="0097607E" w:rsidRDefault="0097607E" w:rsidP="00A360F6">
            <w:pPr>
              <w:spacing w:line="240" w:lineRule="atLeast"/>
              <w:jc w:val="right"/>
              <w:rPr>
                <w:rFonts w:ascii="Tahoma" w:hAnsi="Tahoma"/>
                <w:color w:val="000000" w:themeColor="text1"/>
                <w:sz w:val="16"/>
                <w:lang w:val="en-GB"/>
              </w:rPr>
            </w:pPr>
            <w:r w:rsidRPr="0097607E">
              <w:rPr>
                <w:rFonts w:ascii="Tahoma" w:hAnsi="Tahoma"/>
                <w:color w:val="000000" w:themeColor="text1"/>
                <w:sz w:val="16"/>
                <w:lang w:val="en-GB"/>
              </w:rPr>
              <w:t>15 819</w:t>
            </w:r>
          </w:p>
        </w:tc>
        <w:tc>
          <w:tcPr>
            <w:tcW w:w="1134" w:type="dxa"/>
            <w:tcBorders>
              <w:top w:val="single" w:sz="4" w:space="0" w:color="auto"/>
              <w:bottom w:val="single" w:sz="12" w:space="0" w:color="auto"/>
            </w:tcBorders>
            <w:shd w:val="clear" w:color="auto" w:fill="auto"/>
            <w:tcMar>
              <w:top w:w="68" w:type="dxa"/>
              <w:left w:w="0" w:type="dxa"/>
              <w:bottom w:w="68" w:type="dxa"/>
              <w:right w:w="0" w:type="dxa"/>
            </w:tcMar>
            <w:vAlign w:val="bottom"/>
          </w:tcPr>
          <w:p w14:paraId="305AFE3F" w14:textId="77777777" w:rsidR="0097607E" w:rsidRPr="0097607E" w:rsidRDefault="0097607E" w:rsidP="00A360F6">
            <w:pPr>
              <w:spacing w:line="240" w:lineRule="atLeast"/>
              <w:jc w:val="right"/>
              <w:rPr>
                <w:rFonts w:ascii="Tahoma" w:hAnsi="Tahoma"/>
                <w:color w:val="000000" w:themeColor="text1"/>
                <w:sz w:val="16"/>
                <w:lang w:val="en-GB"/>
              </w:rPr>
            </w:pPr>
            <w:r w:rsidRPr="0097607E">
              <w:rPr>
                <w:rFonts w:ascii="Tahoma" w:hAnsi="Tahoma"/>
                <w:color w:val="000000" w:themeColor="text1"/>
                <w:sz w:val="16"/>
                <w:lang w:val="en-GB"/>
              </w:rPr>
              <w:t>18 594</w:t>
            </w:r>
          </w:p>
        </w:tc>
      </w:tr>
      <w:tr w:rsidR="00615190" w:rsidRPr="0097607E" w14:paraId="3AA094C2" w14:textId="77777777" w:rsidTr="00B5242A">
        <w:trPr>
          <w:trHeight w:val="60"/>
        </w:trPr>
        <w:tc>
          <w:tcPr>
            <w:tcW w:w="6104" w:type="dxa"/>
            <w:tcBorders>
              <w:top w:val="single" w:sz="12" w:space="0" w:color="auto"/>
            </w:tcBorders>
            <w:shd w:val="clear" w:color="auto" w:fill="auto"/>
            <w:tcMar>
              <w:top w:w="68" w:type="dxa"/>
              <w:left w:w="0" w:type="dxa"/>
              <w:bottom w:w="40" w:type="dxa"/>
              <w:right w:w="0" w:type="dxa"/>
            </w:tcMar>
            <w:vAlign w:val="bottom"/>
          </w:tcPr>
          <w:p w14:paraId="68F59893" w14:textId="77777777" w:rsidR="0097607E" w:rsidRPr="0097607E" w:rsidRDefault="0097607E" w:rsidP="00615190">
            <w:pPr>
              <w:spacing w:line="240" w:lineRule="atLeast"/>
              <w:rPr>
                <w:rFonts w:ascii="Tahoma" w:hAnsi="Tahoma"/>
                <w:b/>
                <w:bCs/>
                <w:color w:val="000000" w:themeColor="text1"/>
                <w:sz w:val="16"/>
                <w:lang w:val="en-GB"/>
              </w:rPr>
            </w:pPr>
            <w:r w:rsidRPr="0097607E">
              <w:rPr>
                <w:rFonts w:ascii="Tahoma" w:hAnsi="Tahoma"/>
                <w:b/>
                <w:bCs/>
                <w:color w:val="000000" w:themeColor="text1"/>
                <w:sz w:val="16"/>
                <w:lang w:val="en-GB"/>
              </w:rPr>
              <w:t>Attributable to:</w:t>
            </w:r>
          </w:p>
        </w:tc>
        <w:tc>
          <w:tcPr>
            <w:tcW w:w="700" w:type="dxa"/>
            <w:tcBorders>
              <w:top w:val="single" w:sz="12" w:space="0" w:color="auto"/>
            </w:tcBorders>
            <w:shd w:val="clear" w:color="auto" w:fill="auto"/>
            <w:tcMar>
              <w:top w:w="68" w:type="dxa"/>
              <w:left w:w="0" w:type="dxa"/>
              <w:bottom w:w="40" w:type="dxa"/>
              <w:right w:w="0" w:type="dxa"/>
            </w:tcMar>
            <w:vAlign w:val="bottom"/>
          </w:tcPr>
          <w:p w14:paraId="30EB3797" w14:textId="77777777" w:rsidR="0097607E" w:rsidRPr="0097607E" w:rsidRDefault="0097607E" w:rsidP="003C1618">
            <w:pPr>
              <w:spacing w:line="240" w:lineRule="atLeast"/>
              <w:jc w:val="right"/>
              <w:rPr>
                <w:rFonts w:ascii="Tahoma" w:hAnsi="Tahoma"/>
                <w:color w:val="000000" w:themeColor="text1"/>
                <w:sz w:val="16"/>
                <w:lang w:val="en-GB"/>
              </w:rPr>
            </w:pPr>
          </w:p>
        </w:tc>
        <w:tc>
          <w:tcPr>
            <w:tcW w:w="1134" w:type="dxa"/>
            <w:tcBorders>
              <w:top w:val="single" w:sz="12" w:space="0" w:color="auto"/>
            </w:tcBorders>
            <w:shd w:val="clear" w:color="auto" w:fill="auto"/>
            <w:tcMar>
              <w:top w:w="68" w:type="dxa"/>
              <w:left w:w="0" w:type="dxa"/>
              <w:bottom w:w="40" w:type="dxa"/>
              <w:right w:w="0" w:type="dxa"/>
            </w:tcMar>
            <w:vAlign w:val="bottom"/>
          </w:tcPr>
          <w:p w14:paraId="4AC05CD1" w14:textId="77777777" w:rsidR="0097607E" w:rsidRPr="0097607E" w:rsidRDefault="0097607E" w:rsidP="00A360F6">
            <w:pPr>
              <w:spacing w:line="240" w:lineRule="atLeast"/>
              <w:jc w:val="right"/>
              <w:rPr>
                <w:rFonts w:ascii="Tahoma" w:hAnsi="Tahoma"/>
                <w:b/>
                <w:bCs/>
                <w:color w:val="000000" w:themeColor="text1"/>
                <w:sz w:val="16"/>
                <w:lang w:val="en-GB"/>
              </w:rPr>
            </w:pPr>
          </w:p>
        </w:tc>
        <w:tc>
          <w:tcPr>
            <w:tcW w:w="1134" w:type="dxa"/>
            <w:tcBorders>
              <w:top w:val="single" w:sz="12" w:space="0" w:color="auto"/>
            </w:tcBorders>
            <w:shd w:val="clear" w:color="auto" w:fill="auto"/>
            <w:tcMar>
              <w:top w:w="68" w:type="dxa"/>
              <w:left w:w="0" w:type="dxa"/>
              <w:bottom w:w="40" w:type="dxa"/>
              <w:right w:w="0" w:type="dxa"/>
            </w:tcMar>
            <w:vAlign w:val="bottom"/>
          </w:tcPr>
          <w:p w14:paraId="50B5AA45" w14:textId="77777777" w:rsidR="0097607E" w:rsidRPr="0097607E" w:rsidRDefault="0097607E" w:rsidP="00A360F6">
            <w:pPr>
              <w:spacing w:line="240" w:lineRule="atLeast"/>
              <w:jc w:val="right"/>
              <w:rPr>
                <w:rFonts w:ascii="Tahoma" w:hAnsi="Tahoma"/>
                <w:color w:val="000000" w:themeColor="text1"/>
                <w:sz w:val="16"/>
                <w:lang w:val="en-GB"/>
              </w:rPr>
            </w:pPr>
          </w:p>
        </w:tc>
        <w:tc>
          <w:tcPr>
            <w:tcW w:w="1134" w:type="dxa"/>
            <w:tcBorders>
              <w:top w:val="single" w:sz="12" w:space="0" w:color="auto"/>
            </w:tcBorders>
            <w:shd w:val="clear" w:color="auto" w:fill="auto"/>
            <w:tcMar>
              <w:top w:w="68" w:type="dxa"/>
              <w:left w:w="0" w:type="dxa"/>
              <w:bottom w:w="40" w:type="dxa"/>
              <w:right w:w="0" w:type="dxa"/>
            </w:tcMar>
            <w:vAlign w:val="bottom"/>
          </w:tcPr>
          <w:p w14:paraId="64520BEE" w14:textId="77777777" w:rsidR="0097607E" w:rsidRPr="0097607E" w:rsidRDefault="0097607E" w:rsidP="00A360F6">
            <w:pPr>
              <w:spacing w:line="240" w:lineRule="atLeast"/>
              <w:jc w:val="right"/>
              <w:rPr>
                <w:rFonts w:ascii="Tahoma" w:hAnsi="Tahoma"/>
                <w:color w:val="000000" w:themeColor="text1"/>
                <w:sz w:val="16"/>
                <w:lang w:val="en-GB"/>
              </w:rPr>
            </w:pPr>
          </w:p>
        </w:tc>
      </w:tr>
      <w:tr w:rsidR="00615190" w:rsidRPr="0097607E" w14:paraId="69124EC0" w14:textId="77777777" w:rsidTr="00B5242A">
        <w:trPr>
          <w:trHeight w:val="60"/>
        </w:trPr>
        <w:tc>
          <w:tcPr>
            <w:tcW w:w="6104" w:type="dxa"/>
            <w:shd w:val="clear" w:color="auto" w:fill="auto"/>
            <w:tcMar>
              <w:top w:w="40" w:type="dxa"/>
              <w:left w:w="0" w:type="dxa"/>
              <w:bottom w:w="40" w:type="dxa"/>
              <w:right w:w="0" w:type="dxa"/>
            </w:tcMar>
            <w:vAlign w:val="bottom"/>
          </w:tcPr>
          <w:p w14:paraId="3D77B483" w14:textId="77777777" w:rsidR="0097607E" w:rsidRPr="0097607E" w:rsidRDefault="0097607E" w:rsidP="00615190">
            <w:pPr>
              <w:spacing w:line="240" w:lineRule="atLeast"/>
              <w:rPr>
                <w:rFonts w:ascii="Tahoma" w:hAnsi="Tahoma"/>
                <w:color w:val="000000" w:themeColor="text1"/>
                <w:sz w:val="16"/>
                <w:lang w:val="en-GB"/>
              </w:rPr>
            </w:pPr>
            <w:r w:rsidRPr="0097607E">
              <w:rPr>
                <w:rFonts w:ascii="Tahoma" w:hAnsi="Tahoma"/>
                <w:color w:val="000000" w:themeColor="text1"/>
                <w:sz w:val="16"/>
                <w:lang w:val="en-GB"/>
              </w:rPr>
              <w:t>Equity holders of the group</w:t>
            </w:r>
          </w:p>
        </w:tc>
        <w:tc>
          <w:tcPr>
            <w:tcW w:w="700" w:type="dxa"/>
            <w:shd w:val="clear" w:color="auto" w:fill="auto"/>
            <w:tcMar>
              <w:top w:w="40" w:type="dxa"/>
              <w:left w:w="0" w:type="dxa"/>
              <w:bottom w:w="40" w:type="dxa"/>
              <w:right w:w="0" w:type="dxa"/>
            </w:tcMar>
            <w:vAlign w:val="bottom"/>
          </w:tcPr>
          <w:p w14:paraId="3454DDDB" w14:textId="77777777" w:rsidR="0097607E" w:rsidRPr="0097607E" w:rsidRDefault="0097607E" w:rsidP="003C1618">
            <w:pPr>
              <w:spacing w:line="240" w:lineRule="atLeast"/>
              <w:jc w:val="right"/>
              <w:rPr>
                <w:rFonts w:ascii="Tahoma" w:hAnsi="Tahoma"/>
                <w:color w:val="000000" w:themeColor="text1"/>
                <w:sz w:val="16"/>
                <w:lang w:val="en-GB"/>
              </w:rPr>
            </w:pPr>
          </w:p>
        </w:tc>
        <w:tc>
          <w:tcPr>
            <w:tcW w:w="1134" w:type="dxa"/>
            <w:shd w:val="clear" w:color="auto" w:fill="auto"/>
            <w:tcMar>
              <w:top w:w="40" w:type="dxa"/>
              <w:left w:w="0" w:type="dxa"/>
              <w:bottom w:w="40" w:type="dxa"/>
              <w:right w:w="0" w:type="dxa"/>
            </w:tcMar>
            <w:vAlign w:val="bottom"/>
          </w:tcPr>
          <w:p w14:paraId="36CFF359" w14:textId="77777777" w:rsidR="0097607E" w:rsidRPr="0097607E" w:rsidRDefault="0097607E" w:rsidP="00A360F6">
            <w:pPr>
              <w:spacing w:line="240" w:lineRule="atLeast"/>
              <w:jc w:val="right"/>
              <w:rPr>
                <w:rFonts w:ascii="Tahoma" w:hAnsi="Tahoma"/>
                <w:b/>
                <w:bCs/>
                <w:color w:val="000000" w:themeColor="text1"/>
                <w:sz w:val="16"/>
                <w:lang w:val="en-GB"/>
              </w:rPr>
            </w:pPr>
            <w:r w:rsidRPr="0097607E">
              <w:rPr>
                <w:rFonts w:ascii="Tahoma" w:hAnsi="Tahoma"/>
                <w:b/>
                <w:bCs/>
                <w:color w:val="000000" w:themeColor="text1"/>
                <w:sz w:val="16"/>
                <w:lang w:val="en-GB"/>
              </w:rPr>
              <w:t>2 535</w:t>
            </w:r>
          </w:p>
        </w:tc>
        <w:tc>
          <w:tcPr>
            <w:tcW w:w="1134" w:type="dxa"/>
            <w:shd w:val="clear" w:color="auto" w:fill="auto"/>
            <w:tcMar>
              <w:top w:w="40" w:type="dxa"/>
              <w:left w:w="0" w:type="dxa"/>
              <w:bottom w:w="40" w:type="dxa"/>
              <w:right w:w="0" w:type="dxa"/>
            </w:tcMar>
            <w:vAlign w:val="bottom"/>
          </w:tcPr>
          <w:p w14:paraId="62B78089" w14:textId="77777777" w:rsidR="0097607E" w:rsidRPr="0097607E" w:rsidRDefault="0097607E" w:rsidP="00A360F6">
            <w:pPr>
              <w:spacing w:line="240" w:lineRule="atLeast"/>
              <w:jc w:val="right"/>
              <w:rPr>
                <w:rFonts w:ascii="Tahoma" w:hAnsi="Tahoma"/>
                <w:color w:val="000000" w:themeColor="text1"/>
                <w:sz w:val="16"/>
                <w:lang w:val="en-GB"/>
              </w:rPr>
            </w:pPr>
            <w:r w:rsidRPr="0097607E">
              <w:rPr>
                <w:rFonts w:ascii="Tahoma" w:hAnsi="Tahoma"/>
                <w:color w:val="000000" w:themeColor="text1"/>
                <w:sz w:val="16"/>
                <w:lang w:val="en-GB"/>
              </w:rPr>
              <w:t>15 891</w:t>
            </w:r>
          </w:p>
        </w:tc>
        <w:tc>
          <w:tcPr>
            <w:tcW w:w="1134" w:type="dxa"/>
            <w:shd w:val="clear" w:color="auto" w:fill="auto"/>
            <w:tcMar>
              <w:top w:w="40" w:type="dxa"/>
              <w:left w:w="0" w:type="dxa"/>
              <w:bottom w:w="40" w:type="dxa"/>
              <w:right w:w="0" w:type="dxa"/>
            </w:tcMar>
            <w:vAlign w:val="bottom"/>
          </w:tcPr>
          <w:p w14:paraId="34CAF47E" w14:textId="77777777" w:rsidR="0097607E" w:rsidRPr="0097607E" w:rsidRDefault="0097607E" w:rsidP="00A360F6">
            <w:pPr>
              <w:spacing w:line="240" w:lineRule="atLeast"/>
              <w:jc w:val="right"/>
              <w:rPr>
                <w:rFonts w:ascii="Tahoma" w:hAnsi="Tahoma"/>
                <w:color w:val="000000" w:themeColor="text1"/>
                <w:sz w:val="16"/>
                <w:lang w:val="en-GB"/>
              </w:rPr>
            </w:pPr>
            <w:r w:rsidRPr="0097607E">
              <w:rPr>
                <w:rFonts w:ascii="Tahoma" w:hAnsi="Tahoma"/>
                <w:color w:val="000000" w:themeColor="text1"/>
                <w:sz w:val="16"/>
                <w:lang w:val="en-GB"/>
              </w:rPr>
              <w:t>18 733</w:t>
            </w:r>
          </w:p>
        </w:tc>
      </w:tr>
      <w:tr w:rsidR="00615190" w:rsidRPr="0097607E" w14:paraId="77A222D3" w14:textId="77777777" w:rsidTr="00B5242A">
        <w:trPr>
          <w:trHeight w:val="60"/>
        </w:trPr>
        <w:tc>
          <w:tcPr>
            <w:tcW w:w="6104" w:type="dxa"/>
            <w:tcBorders>
              <w:bottom w:val="single" w:sz="4" w:space="0" w:color="auto"/>
            </w:tcBorders>
            <w:shd w:val="clear" w:color="auto" w:fill="auto"/>
            <w:tcMar>
              <w:top w:w="40" w:type="dxa"/>
              <w:left w:w="0" w:type="dxa"/>
              <w:bottom w:w="68" w:type="dxa"/>
              <w:right w:w="0" w:type="dxa"/>
            </w:tcMar>
            <w:vAlign w:val="bottom"/>
          </w:tcPr>
          <w:p w14:paraId="7E6418CD" w14:textId="77777777" w:rsidR="0097607E" w:rsidRPr="0097607E" w:rsidRDefault="0097607E" w:rsidP="00615190">
            <w:pPr>
              <w:spacing w:line="240" w:lineRule="atLeast"/>
              <w:rPr>
                <w:rFonts w:ascii="Tahoma" w:hAnsi="Tahoma"/>
                <w:color w:val="000000" w:themeColor="text1"/>
                <w:sz w:val="16"/>
                <w:lang w:val="en-GB"/>
              </w:rPr>
            </w:pPr>
            <w:r w:rsidRPr="0097607E">
              <w:rPr>
                <w:rFonts w:ascii="Tahoma" w:hAnsi="Tahoma"/>
                <w:color w:val="000000" w:themeColor="text1"/>
                <w:sz w:val="16"/>
                <w:lang w:val="en-GB"/>
              </w:rPr>
              <w:t>Non-controlling interests</w:t>
            </w:r>
          </w:p>
        </w:tc>
        <w:tc>
          <w:tcPr>
            <w:tcW w:w="700" w:type="dxa"/>
            <w:tcBorders>
              <w:bottom w:val="single" w:sz="4" w:space="0" w:color="auto"/>
            </w:tcBorders>
            <w:shd w:val="clear" w:color="auto" w:fill="auto"/>
            <w:tcMar>
              <w:top w:w="40" w:type="dxa"/>
              <w:left w:w="0" w:type="dxa"/>
              <w:bottom w:w="68" w:type="dxa"/>
              <w:right w:w="0" w:type="dxa"/>
            </w:tcMar>
            <w:vAlign w:val="bottom"/>
          </w:tcPr>
          <w:p w14:paraId="611876BE" w14:textId="77777777" w:rsidR="0097607E" w:rsidRPr="0097607E" w:rsidRDefault="0097607E" w:rsidP="003C1618">
            <w:pPr>
              <w:spacing w:line="240" w:lineRule="atLeast"/>
              <w:jc w:val="right"/>
              <w:rPr>
                <w:rFonts w:ascii="Tahoma" w:hAnsi="Tahoma"/>
                <w:color w:val="000000" w:themeColor="text1"/>
                <w:sz w:val="16"/>
                <w:lang w:val="en-GB"/>
              </w:rPr>
            </w:pPr>
          </w:p>
        </w:tc>
        <w:tc>
          <w:tcPr>
            <w:tcW w:w="1134" w:type="dxa"/>
            <w:tcBorders>
              <w:bottom w:val="single" w:sz="4" w:space="0" w:color="auto"/>
            </w:tcBorders>
            <w:shd w:val="clear" w:color="auto" w:fill="auto"/>
            <w:tcMar>
              <w:top w:w="40" w:type="dxa"/>
              <w:left w:w="0" w:type="dxa"/>
              <w:bottom w:w="68" w:type="dxa"/>
              <w:right w:w="0" w:type="dxa"/>
            </w:tcMar>
            <w:vAlign w:val="bottom"/>
          </w:tcPr>
          <w:p w14:paraId="0290440C" w14:textId="77777777" w:rsidR="0097607E" w:rsidRPr="0097607E" w:rsidRDefault="0097607E" w:rsidP="00A360F6">
            <w:pPr>
              <w:spacing w:line="240" w:lineRule="atLeast"/>
              <w:jc w:val="right"/>
              <w:rPr>
                <w:rFonts w:ascii="Tahoma" w:hAnsi="Tahoma"/>
                <w:b/>
                <w:bCs/>
                <w:color w:val="000000" w:themeColor="text1"/>
                <w:sz w:val="16"/>
                <w:lang w:val="en-GB"/>
              </w:rPr>
            </w:pPr>
            <w:r w:rsidRPr="0097607E">
              <w:rPr>
                <w:rFonts w:ascii="Tahoma" w:hAnsi="Tahoma"/>
                <w:b/>
                <w:bCs/>
                <w:color w:val="000000" w:themeColor="text1"/>
                <w:sz w:val="16"/>
                <w:lang w:val="en-GB"/>
              </w:rPr>
              <w:t>(19)</w:t>
            </w:r>
          </w:p>
        </w:tc>
        <w:tc>
          <w:tcPr>
            <w:tcW w:w="1134" w:type="dxa"/>
            <w:tcBorders>
              <w:bottom w:val="single" w:sz="4" w:space="0" w:color="auto"/>
            </w:tcBorders>
            <w:shd w:val="clear" w:color="auto" w:fill="auto"/>
            <w:tcMar>
              <w:top w:w="40" w:type="dxa"/>
              <w:left w:w="0" w:type="dxa"/>
              <w:bottom w:w="68" w:type="dxa"/>
              <w:right w:w="0" w:type="dxa"/>
            </w:tcMar>
            <w:vAlign w:val="bottom"/>
          </w:tcPr>
          <w:p w14:paraId="738F3ED9" w14:textId="77777777" w:rsidR="0097607E" w:rsidRPr="0097607E" w:rsidRDefault="0097607E" w:rsidP="00A360F6">
            <w:pPr>
              <w:spacing w:line="240" w:lineRule="atLeast"/>
              <w:jc w:val="right"/>
              <w:rPr>
                <w:rFonts w:ascii="Tahoma" w:hAnsi="Tahoma"/>
                <w:color w:val="000000" w:themeColor="text1"/>
                <w:sz w:val="16"/>
                <w:lang w:val="en-GB"/>
              </w:rPr>
            </w:pPr>
            <w:r w:rsidRPr="0097607E">
              <w:rPr>
                <w:rFonts w:ascii="Tahoma" w:hAnsi="Tahoma"/>
                <w:color w:val="000000" w:themeColor="text1"/>
                <w:sz w:val="16"/>
                <w:lang w:val="en-GB"/>
              </w:rPr>
              <w:t>(72)</w:t>
            </w:r>
          </w:p>
        </w:tc>
        <w:tc>
          <w:tcPr>
            <w:tcW w:w="1134" w:type="dxa"/>
            <w:tcBorders>
              <w:bottom w:val="single" w:sz="4" w:space="0" w:color="auto"/>
            </w:tcBorders>
            <w:shd w:val="clear" w:color="auto" w:fill="auto"/>
            <w:tcMar>
              <w:top w:w="40" w:type="dxa"/>
              <w:left w:w="0" w:type="dxa"/>
              <w:bottom w:w="68" w:type="dxa"/>
              <w:right w:w="0" w:type="dxa"/>
            </w:tcMar>
            <w:vAlign w:val="bottom"/>
          </w:tcPr>
          <w:p w14:paraId="596AF767" w14:textId="77777777" w:rsidR="0097607E" w:rsidRPr="0097607E" w:rsidRDefault="0097607E" w:rsidP="00A360F6">
            <w:pPr>
              <w:spacing w:line="240" w:lineRule="atLeast"/>
              <w:jc w:val="right"/>
              <w:rPr>
                <w:rFonts w:ascii="Tahoma" w:hAnsi="Tahoma"/>
                <w:color w:val="000000" w:themeColor="text1"/>
                <w:sz w:val="16"/>
                <w:lang w:val="en-GB"/>
              </w:rPr>
            </w:pPr>
            <w:r w:rsidRPr="0097607E">
              <w:rPr>
                <w:rFonts w:ascii="Tahoma" w:hAnsi="Tahoma"/>
                <w:color w:val="000000" w:themeColor="text1"/>
                <w:sz w:val="16"/>
                <w:lang w:val="en-GB"/>
              </w:rPr>
              <w:t>(139)</w:t>
            </w:r>
          </w:p>
        </w:tc>
      </w:tr>
      <w:tr w:rsidR="00615190" w:rsidRPr="0097607E" w14:paraId="02B90074" w14:textId="77777777" w:rsidTr="00B5242A">
        <w:trPr>
          <w:trHeight w:val="60"/>
        </w:trPr>
        <w:tc>
          <w:tcPr>
            <w:tcW w:w="6104" w:type="dxa"/>
            <w:tcBorders>
              <w:top w:val="single" w:sz="4" w:space="0" w:color="auto"/>
              <w:bottom w:val="single" w:sz="4" w:space="0" w:color="auto"/>
            </w:tcBorders>
            <w:shd w:val="clear" w:color="auto" w:fill="auto"/>
            <w:tcMar>
              <w:top w:w="68" w:type="dxa"/>
              <w:left w:w="0" w:type="dxa"/>
              <w:bottom w:w="68" w:type="dxa"/>
              <w:right w:w="0" w:type="dxa"/>
            </w:tcMar>
            <w:vAlign w:val="bottom"/>
          </w:tcPr>
          <w:p w14:paraId="221EF4E3" w14:textId="77777777" w:rsidR="0097607E" w:rsidRPr="0097607E" w:rsidRDefault="0097607E" w:rsidP="00615190">
            <w:pPr>
              <w:spacing w:line="240" w:lineRule="atLeast"/>
              <w:rPr>
                <w:rFonts w:ascii="Tahoma" w:hAnsi="Tahoma"/>
                <w:color w:val="000000" w:themeColor="text1"/>
                <w:sz w:val="16"/>
                <w:lang w:val="en-GB"/>
              </w:rPr>
            </w:pPr>
          </w:p>
        </w:tc>
        <w:tc>
          <w:tcPr>
            <w:tcW w:w="700" w:type="dxa"/>
            <w:tcBorders>
              <w:top w:val="single" w:sz="4" w:space="0" w:color="auto"/>
              <w:bottom w:val="single" w:sz="4" w:space="0" w:color="auto"/>
            </w:tcBorders>
            <w:shd w:val="clear" w:color="auto" w:fill="auto"/>
            <w:tcMar>
              <w:top w:w="68" w:type="dxa"/>
              <w:left w:w="0" w:type="dxa"/>
              <w:bottom w:w="68" w:type="dxa"/>
              <w:right w:w="0" w:type="dxa"/>
            </w:tcMar>
            <w:vAlign w:val="bottom"/>
          </w:tcPr>
          <w:p w14:paraId="18A5623D" w14:textId="77777777" w:rsidR="0097607E" w:rsidRPr="0097607E" w:rsidRDefault="0097607E" w:rsidP="003C1618">
            <w:pPr>
              <w:spacing w:line="240" w:lineRule="atLeast"/>
              <w:jc w:val="right"/>
              <w:rPr>
                <w:rFonts w:ascii="Tahoma" w:hAnsi="Tahoma"/>
                <w:color w:val="000000" w:themeColor="text1"/>
                <w:sz w:val="16"/>
                <w:lang w:val="en-GB"/>
              </w:rPr>
            </w:pPr>
          </w:p>
        </w:tc>
        <w:tc>
          <w:tcPr>
            <w:tcW w:w="1134" w:type="dxa"/>
            <w:tcBorders>
              <w:top w:val="single" w:sz="4" w:space="0" w:color="auto"/>
              <w:bottom w:val="single" w:sz="4" w:space="0" w:color="auto"/>
            </w:tcBorders>
            <w:shd w:val="clear" w:color="auto" w:fill="auto"/>
            <w:tcMar>
              <w:top w:w="68" w:type="dxa"/>
              <w:left w:w="0" w:type="dxa"/>
              <w:bottom w:w="68" w:type="dxa"/>
              <w:right w:w="0" w:type="dxa"/>
            </w:tcMar>
            <w:vAlign w:val="bottom"/>
          </w:tcPr>
          <w:p w14:paraId="1BB6735D" w14:textId="77777777" w:rsidR="0097607E" w:rsidRPr="0097607E" w:rsidRDefault="0097607E" w:rsidP="00A360F6">
            <w:pPr>
              <w:spacing w:line="240" w:lineRule="atLeast"/>
              <w:jc w:val="right"/>
              <w:rPr>
                <w:rFonts w:ascii="Tahoma" w:hAnsi="Tahoma"/>
                <w:b/>
                <w:bCs/>
                <w:color w:val="000000" w:themeColor="text1"/>
                <w:sz w:val="16"/>
                <w:lang w:val="en-GB"/>
              </w:rPr>
            </w:pPr>
            <w:r w:rsidRPr="0097607E">
              <w:rPr>
                <w:rFonts w:ascii="Tahoma" w:hAnsi="Tahoma"/>
                <w:b/>
                <w:bCs/>
                <w:color w:val="000000" w:themeColor="text1"/>
                <w:sz w:val="16"/>
                <w:lang w:val="en-GB"/>
              </w:rPr>
              <w:t>2 516</w:t>
            </w:r>
          </w:p>
        </w:tc>
        <w:tc>
          <w:tcPr>
            <w:tcW w:w="1134" w:type="dxa"/>
            <w:tcBorders>
              <w:top w:val="single" w:sz="4" w:space="0" w:color="auto"/>
              <w:bottom w:val="single" w:sz="4" w:space="0" w:color="auto"/>
            </w:tcBorders>
            <w:shd w:val="clear" w:color="auto" w:fill="auto"/>
            <w:tcMar>
              <w:top w:w="68" w:type="dxa"/>
              <w:left w:w="0" w:type="dxa"/>
              <w:bottom w:w="68" w:type="dxa"/>
              <w:right w:w="0" w:type="dxa"/>
            </w:tcMar>
            <w:vAlign w:val="bottom"/>
          </w:tcPr>
          <w:p w14:paraId="417468EA" w14:textId="77777777" w:rsidR="0097607E" w:rsidRPr="0097607E" w:rsidRDefault="0097607E" w:rsidP="00A360F6">
            <w:pPr>
              <w:spacing w:line="240" w:lineRule="atLeast"/>
              <w:jc w:val="right"/>
              <w:rPr>
                <w:rFonts w:ascii="Tahoma" w:hAnsi="Tahoma"/>
                <w:color w:val="000000" w:themeColor="text1"/>
                <w:sz w:val="16"/>
                <w:lang w:val="en-GB"/>
              </w:rPr>
            </w:pPr>
            <w:r w:rsidRPr="0097607E">
              <w:rPr>
                <w:rFonts w:ascii="Tahoma" w:hAnsi="Tahoma"/>
                <w:color w:val="000000" w:themeColor="text1"/>
                <w:sz w:val="16"/>
                <w:lang w:val="en-GB"/>
              </w:rPr>
              <w:t>15 819</w:t>
            </w:r>
          </w:p>
        </w:tc>
        <w:tc>
          <w:tcPr>
            <w:tcW w:w="1134" w:type="dxa"/>
            <w:tcBorders>
              <w:top w:val="single" w:sz="4" w:space="0" w:color="auto"/>
              <w:bottom w:val="single" w:sz="4" w:space="0" w:color="auto"/>
            </w:tcBorders>
            <w:shd w:val="clear" w:color="auto" w:fill="auto"/>
            <w:tcMar>
              <w:top w:w="68" w:type="dxa"/>
              <w:left w:w="0" w:type="dxa"/>
              <w:bottom w:w="68" w:type="dxa"/>
              <w:right w:w="0" w:type="dxa"/>
            </w:tcMar>
            <w:vAlign w:val="bottom"/>
          </w:tcPr>
          <w:p w14:paraId="29E9A057" w14:textId="77777777" w:rsidR="0097607E" w:rsidRPr="0097607E" w:rsidRDefault="0097607E" w:rsidP="00A360F6">
            <w:pPr>
              <w:spacing w:line="240" w:lineRule="atLeast"/>
              <w:jc w:val="right"/>
              <w:rPr>
                <w:rFonts w:ascii="Tahoma" w:hAnsi="Tahoma"/>
                <w:color w:val="000000" w:themeColor="text1"/>
                <w:sz w:val="16"/>
                <w:lang w:val="en-GB"/>
              </w:rPr>
            </w:pPr>
            <w:r w:rsidRPr="0097607E">
              <w:rPr>
                <w:rFonts w:ascii="Tahoma" w:hAnsi="Tahoma"/>
                <w:color w:val="000000" w:themeColor="text1"/>
                <w:sz w:val="16"/>
                <w:lang w:val="en-GB"/>
              </w:rPr>
              <w:t>18 594</w:t>
            </w:r>
          </w:p>
        </w:tc>
      </w:tr>
      <w:tr w:rsidR="00615190" w:rsidRPr="0097607E" w14:paraId="1E312674" w14:textId="77777777" w:rsidTr="00B5242A">
        <w:trPr>
          <w:trHeight w:val="60"/>
        </w:trPr>
        <w:tc>
          <w:tcPr>
            <w:tcW w:w="6104" w:type="dxa"/>
            <w:tcBorders>
              <w:top w:val="single" w:sz="4" w:space="0" w:color="auto"/>
            </w:tcBorders>
            <w:shd w:val="clear" w:color="auto" w:fill="auto"/>
            <w:tcMar>
              <w:top w:w="68" w:type="dxa"/>
              <w:left w:w="0" w:type="dxa"/>
              <w:bottom w:w="40" w:type="dxa"/>
              <w:right w:w="0" w:type="dxa"/>
            </w:tcMar>
            <w:vAlign w:val="bottom"/>
          </w:tcPr>
          <w:p w14:paraId="0E530343" w14:textId="77777777" w:rsidR="0097607E" w:rsidRPr="0097607E" w:rsidRDefault="0097607E" w:rsidP="00615190">
            <w:pPr>
              <w:spacing w:line="240" w:lineRule="atLeast"/>
              <w:rPr>
                <w:rFonts w:ascii="Tahoma" w:hAnsi="Tahoma"/>
                <w:b/>
                <w:bCs/>
                <w:color w:val="000000" w:themeColor="text1"/>
                <w:sz w:val="16"/>
                <w:lang w:val="en-GB"/>
              </w:rPr>
            </w:pPr>
            <w:r w:rsidRPr="0097607E">
              <w:rPr>
                <w:rFonts w:ascii="Tahoma" w:hAnsi="Tahoma"/>
                <w:b/>
                <w:bCs/>
                <w:color w:val="000000" w:themeColor="text1"/>
                <w:sz w:val="16"/>
                <w:lang w:val="en-GB"/>
              </w:rPr>
              <w:t>Per share information for the period from total operations (US cents)</w:t>
            </w:r>
            <w:r w:rsidRPr="0097607E">
              <w:rPr>
                <w:rFonts w:ascii="Tahoma" w:hAnsi="Tahoma"/>
                <w:b/>
                <w:bCs/>
                <w:color w:val="000000" w:themeColor="text1"/>
                <w:sz w:val="16"/>
                <w:vertAlign w:val="superscript"/>
                <w:lang w:val="en-GB"/>
              </w:rPr>
              <w:t>2</w:t>
            </w:r>
          </w:p>
        </w:tc>
        <w:tc>
          <w:tcPr>
            <w:tcW w:w="700" w:type="dxa"/>
            <w:tcBorders>
              <w:top w:val="single" w:sz="4" w:space="0" w:color="auto"/>
            </w:tcBorders>
            <w:shd w:val="clear" w:color="auto" w:fill="auto"/>
            <w:tcMar>
              <w:top w:w="68" w:type="dxa"/>
              <w:left w:w="0" w:type="dxa"/>
              <w:bottom w:w="40" w:type="dxa"/>
              <w:right w:w="0" w:type="dxa"/>
            </w:tcMar>
            <w:vAlign w:val="bottom"/>
          </w:tcPr>
          <w:p w14:paraId="21B0DFC2" w14:textId="77777777" w:rsidR="0097607E" w:rsidRPr="0097607E" w:rsidRDefault="0097607E" w:rsidP="003C1618">
            <w:pPr>
              <w:spacing w:line="240" w:lineRule="atLeast"/>
              <w:jc w:val="right"/>
              <w:rPr>
                <w:rFonts w:ascii="Tahoma" w:hAnsi="Tahoma"/>
                <w:color w:val="000000" w:themeColor="text1"/>
                <w:sz w:val="16"/>
                <w:lang w:val="en-GB"/>
              </w:rPr>
            </w:pPr>
          </w:p>
        </w:tc>
        <w:tc>
          <w:tcPr>
            <w:tcW w:w="1134" w:type="dxa"/>
            <w:tcBorders>
              <w:top w:val="single" w:sz="4" w:space="0" w:color="auto"/>
            </w:tcBorders>
            <w:shd w:val="clear" w:color="auto" w:fill="auto"/>
            <w:tcMar>
              <w:top w:w="68" w:type="dxa"/>
              <w:left w:w="0" w:type="dxa"/>
              <w:bottom w:w="40" w:type="dxa"/>
              <w:right w:w="0" w:type="dxa"/>
            </w:tcMar>
            <w:vAlign w:val="bottom"/>
          </w:tcPr>
          <w:p w14:paraId="1984EBB9" w14:textId="77777777" w:rsidR="0097607E" w:rsidRPr="0097607E" w:rsidRDefault="0097607E" w:rsidP="00A360F6">
            <w:pPr>
              <w:spacing w:line="240" w:lineRule="atLeast"/>
              <w:jc w:val="right"/>
              <w:rPr>
                <w:rFonts w:ascii="Tahoma" w:hAnsi="Tahoma"/>
                <w:b/>
                <w:bCs/>
                <w:color w:val="000000" w:themeColor="text1"/>
                <w:sz w:val="16"/>
                <w:lang w:val="en-GB"/>
              </w:rPr>
            </w:pPr>
          </w:p>
        </w:tc>
        <w:tc>
          <w:tcPr>
            <w:tcW w:w="1134" w:type="dxa"/>
            <w:tcBorders>
              <w:top w:val="single" w:sz="4" w:space="0" w:color="auto"/>
            </w:tcBorders>
            <w:shd w:val="clear" w:color="auto" w:fill="auto"/>
            <w:tcMar>
              <w:top w:w="68" w:type="dxa"/>
              <w:left w:w="0" w:type="dxa"/>
              <w:bottom w:w="40" w:type="dxa"/>
              <w:right w:w="0" w:type="dxa"/>
            </w:tcMar>
            <w:vAlign w:val="bottom"/>
          </w:tcPr>
          <w:p w14:paraId="1B53CE4F" w14:textId="77777777" w:rsidR="0097607E" w:rsidRPr="0097607E" w:rsidRDefault="0097607E" w:rsidP="00A360F6">
            <w:pPr>
              <w:spacing w:line="240" w:lineRule="atLeast"/>
              <w:jc w:val="right"/>
              <w:rPr>
                <w:rFonts w:ascii="Tahoma" w:hAnsi="Tahoma"/>
                <w:color w:val="000000" w:themeColor="text1"/>
                <w:sz w:val="16"/>
                <w:lang w:val="en-GB"/>
              </w:rPr>
            </w:pPr>
          </w:p>
        </w:tc>
        <w:tc>
          <w:tcPr>
            <w:tcW w:w="1134" w:type="dxa"/>
            <w:tcBorders>
              <w:top w:val="single" w:sz="4" w:space="0" w:color="auto"/>
            </w:tcBorders>
            <w:shd w:val="clear" w:color="auto" w:fill="auto"/>
            <w:tcMar>
              <w:top w:w="68" w:type="dxa"/>
              <w:left w:w="0" w:type="dxa"/>
              <w:bottom w:w="40" w:type="dxa"/>
              <w:right w:w="0" w:type="dxa"/>
            </w:tcMar>
            <w:vAlign w:val="bottom"/>
          </w:tcPr>
          <w:p w14:paraId="791E65B7" w14:textId="77777777" w:rsidR="0097607E" w:rsidRPr="0097607E" w:rsidRDefault="0097607E" w:rsidP="00A360F6">
            <w:pPr>
              <w:spacing w:line="240" w:lineRule="atLeast"/>
              <w:jc w:val="right"/>
              <w:rPr>
                <w:rFonts w:ascii="Tahoma" w:hAnsi="Tahoma"/>
                <w:color w:val="000000" w:themeColor="text1"/>
                <w:sz w:val="16"/>
                <w:lang w:val="en-GB"/>
              </w:rPr>
            </w:pPr>
          </w:p>
        </w:tc>
      </w:tr>
      <w:tr w:rsidR="00615190" w:rsidRPr="0097607E" w14:paraId="2723F069" w14:textId="77777777" w:rsidTr="00B5242A">
        <w:trPr>
          <w:trHeight w:val="60"/>
        </w:trPr>
        <w:tc>
          <w:tcPr>
            <w:tcW w:w="6104" w:type="dxa"/>
            <w:shd w:val="clear" w:color="auto" w:fill="auto"/>
            <w:tcMar>
              <w:top w:w="40" w:type="dxa"/>
              <w:left w:w="0" w:type="dxa"/>
              <w:bottom w:w="40" w:type="dxa"/>
              <w:right w:w="0" w:type="dxa"/>
            </w:tcMar>
            <w:vAlign w:val="bottom"/>
          </w:tcPr>
          <w:p w14:paraId="5E9CE51D" w14:textId="77777777" w:rsidR="0097607E" w:rsidRPr="0097607E" w:rsidRDefault="0097607E" w:rsidP="00615190">
            <w:pPr>
              <w:spacing w:line="240" w:lineRule="atLeast"/>
              <w:rPr>
                <w:rFonts w:ascii="Tahoma" w:hAnsi="Tahoma"/>
                <w:color w:val="000000" w:themeColor="text1"/>
                <w:sz w:val="16"/>
                <w:lang w:val="en-GB"/>
              </w:rPr>
            </w:pPr>
            <w:r w:rsidRPr="0097607E">
              <w:rPr>
                <w:rFonts w:ascii="Tahoma" w:hAnsi="Tahoma"/>
                <w:color w:val="000000" w:themeColor="text1"/>
                <w:sz w:val="16"/>
                <w:lang w:val="en-GB"/>
              </w:rPr>
              <w:t>Earnings per ordinary share N</w:t>
            </w:r>
            <w:r w:rsidRPr="0097607E">
              <w:rPr>
                <w:rFonts w:ascii="Tahoma" w:hAnsi="Tahoma"/>
                <w:color w:val="000000" w:themeColor="text1"/>
                <w:sz w:val="16"/>
                <w:vertAlign w:val="superscript"/>
                <w:lang w:val="en-GB"/>
              </w:rPr>
              <w:t>3</w:t>
            </w:r>
          </w:p>
        </w:tc>
        <w:tc>
          <w:tcPr>
            <w:tcW w:w="700" w:type="dxa"/>
            <w:shd w:val="clear" w:color="auto" w:fill="auto"/>
            <w:tcMar>
              <w:top w:w="40" w:type="dxa"/>
              <w:left w:w="0" w:type="dxa"/>
              <w:bottom w:w="40" w:type="dxa"/>
              <w:right w:w="0" w:type="dxa"/>
            </w:tcMar>
            <w:vAlign w:val="bottom"/>
          </w:tcPr>
          <w:p w14:paraId="440E737C" w14:textId="77777777" w:rsidR="0097607E" w:rsidRPr="0097607E" w:rsidRDefault="0097607E" w:rsidP="003C1618">
            <w:pPr>
              <w:spacing w:line="240" w:lineRule="atLeast"/>
              <w:jc w:val="right"/>
              <w:rPr>
                <w:rFonts w:ascii="Tahoma" w:hAnsi="Tahoma"/>
                <w:color w:val="000000" w:themeColor="text1"/>
                <w:sz w:val="16"/>
                <w:lang w:val="en-GB"/>
              </w:rPr>
            </w:pPr>
          </w:p>
        </w:tc>
        <w:tc>
          <w:tcPr>
            <w:tcW w:w="1134" w:type="dxa"/>
            <w:shd w:val="clear" w:color="auto" w:fill="auto"/>
            <w:tcMar>
              <w:top w:w="40" w:type="dxa"/>
              <w:left w:w="0" w:type="dxa"/>
              <w:bottom w:w="40" w:type="dxa"/>
              <w:right w:w="0" w:type="dxa"/>
            </w:tcMar>
            <w:vAlign w:val="bottom"/>
          </w:tcPr>
          <w:p w14:paraId="79712FBD" w14:textId="77777777" w:rsidR="0097607E" w:rsidRPr="0097607E" w:rsidRDefault="0097607E" w:rsidP="00A360F6">
            <w:pPr>
              <w:spacing w:line="240" w:lineRule="atLeast"/>
              <w:jc w:val="right"/>
              <w:rPr>
                <w:rFonts w:ascii="Tahoma" w:hAnsi="Tahoma"/>
                <w:b/>
                <w:bCs/>
                <w:color w:val="000000" w:themeColor="text1"/>
                <w:sz w:val="16"/>
                <w:lang w:val="en-GB"/>
              </w:rPr>
            </w:pPr>
            <w:r w:rsidRPr="0097607E">
              <w:rPr>
                <w:rFonts w:ascii="Tahoma" w:hAnsi="Tahoma"/>
                <w:b/>
                <w:bCs/>
                <w:color w:val="000000" w:themeColor="text1"/>
                <w:sz w:val="16"/>
                <w:lang w:val="en-GB"/>
              </w:rPr>
              <w:t>181</w:t>
            </w:r>
          </w:p>
        </w:tc>
        <w:tc>
          <w:tcPr>
            <w:tcW w:w="1134" w:type="dxa"/>
            <w:shd w:val="clear" w:color="auto" w:fill="auto"/>
            <w:tcMar>
              <w:top w:w="40" w:type="dxa"/>
              <w:left w:w="0" w:type="dxa"/>
              <w:bottom w:w="40" w:type="dxa"/>
              <w:right w:w="0" w:type="dxa"/>
            </w:tcMar>
            <w:vAlign w:val="bottom"/>
          </w:tcPr>
          <w:p w14:paraId="064161BF" w14:textId="77777777" w:rsidR="0097607E" w:rsidRPr="0097607E" w:rsidRDefault="0097607E" w:rsidP="00A360F6">
            <w:pPr>
              <w:spacing w:line="240" w:lineRule="atLeast"/>
              <w:jc w:val="right"/>
              <w:rPr>
                <w:rFonts w:ascii="Tahoma" w:hAnsi="Tahoma"/>
                <w:color w:val="000000" w:themeColor="text1"/>
                <w:sz w:val="16"/>
                <w:lang w:val="en-GB"/>
              </w:rPr>
            </w:pPr>
            <w:r w:rsidRPr="0097607E">
              <w:rPr>
                <w:rFonts w:ascii="Tahoma" w:hAnsi="Tahoma"/>
                <w:color w:val="000000" w:themeColor="text1"/>
                <w:sz w:val="16"/>
                <w:lang w:val="en-GB"/>
              </w:rPr>
              <w:t>1 007</w:t>
            </w:r>
          </w:p>
        </w:tc>
        <w:tc>
          <w:tcPr>
            <w:tcW w:w="1134" w:type="dxa"/>
            <w:shd w:val="clear" w:color="auto" w:fill="auto"/>
            <w:tcMar>
              <w:top w:w="40" w:type="dxa"/>
              <w:left w:w="0" w:type="dxa"/>
              <w:bottom w:w="40" w:type="dxa"/>
              <w:right w:w="0" w:type="dxa"/>
            </w:tcMar>
            <w:vAlign w:val="bottom"/>
          </w:tcPr>
          <w:p w14:paraId="154F8813" w14:textId="77777777" w:rsidR="0097607E" w:rsidRPr="0097607E" w:rsidRDefault="0097607E" w:rsidP="00A360F6">
            <w:pPr>
              <w:spacing w:line="240" w:lineRule="atLeast"/>
              <w:jc w:val="right"/>
              <w:rPr>
                <w:rFonts w:ascii="Tahoma" w:hAnsi="Tahoma"/>
                <w:color w:val="000000" w:themeColor="text1"/>
                <w:sz w:val="16"/>
                <w:lang w:val="en-GB"/>
              </w:rPr>
            </w:pPr>
            <w:r w:rsidRPr="0097607E">
              <w:rPr>
                <w:rFonts w:ascii="Tahoma" w:hAnsi="Tahoma"/>
                <w:color w:val="000000" w:themeColor="text1"/>
                <w:sz w:val="16"/>
                <w:lang w:val="en-GB"/>
              </w:rPr>
              <w:t>1 243</w:t>
            </w:r>
          </w:p>
        </w:tc>
      </w:tr>
      <w:tr w:rsidR="00615190" w:rsidRPr="0097607E" w14:paraId="7DB8999D" w14:textId="77777777" w:rsidTr="00B5242A">
        <w:trPr>
          <w:trHeight w:val="60"/>
        </w:trPr>
        <w:tc>
          <w:tcPr>
            <w:tcW w:w="6104" w:type="dxa"/>
            <w:shd w:val="clear" w:color="auto" w:fill="auto"/>
            <w:tcMar>
              <w:top w:w="40" w:type="dxa"/>
              <w:left w:w="0" w:type="dxa"/>
              <w:bottom w:w="40" w:type="dxa"/>
              <w:right w:w="0" w:type="dxa"/>
            </w:tcMar>
            <w:vAlign w:val="bottom"/>
          </w:tcPr>
          <w:p w14:paraId="28CAA5C4" w14:textId="77777777" w:rsidR="0097607E" w:rsidRPr="0097607E" w:rsidRDefault="0097607E" w:rsidP="00615190">
            <w:pPr>
              <w:spacing w:line="240" w:lineRule="atLeast"/>
              <w:rPr>
                <w:rFonts w:ascii="Tahoma" w:hAnsi="Tahoma"/>
                <w:color w:val="000000" w:themeColor="text1"/>
                <w:sz w:val="16"/>
                <w:lang w:val="en-GB"/>
              </w:rPr>
            </w:pPr>
            <w:r w:rsidRPr="0097607E">
              <w:rPr>
                <w:rFonts w:ascii="Tahoma" w:hAnsi="Tahoma"/>
                <w:color w:val="000000" w:themeColor="text1"/>
                <w:sz w:val="16"/>
                <w:lang w:val="en-GB"/>
              </w:rPr>
              <w:t>Diluted earnings per ordinary share N</w:t>
            </w:r>
            <w:r w:rsidRPr="0097607E">
              <w:rPr>
                <w:rFonts w:ascii="Tahoma" w:hAnsi="Tahoma"/>
                <w:color w:val="000000" w:themeColor="text1"/>
                <w:sz w:val="16"/>
                <w:vertAlign w:val="superscript"/>
                <w:lang w:val="en-GB"/>
              </w:rPr>
              <w:t>3</w:t>
            </w:r>
          </w:p>
        </w:tc>
        <w:tc>
          <w:tcPr>
            <w:tcW w:w="700" w:type="dxa"/>
            <w:shd w:val="clear" w:color="auto" w:fill="auto"/>
            <w:tcMar>
              <w:top w:w="40" w:type="dxa"/>
              <w:left w:w="0" w:type="dxa"/>
              <w:bottom w:w="40" w:type="dxa"/>
              <w:right w:w="0" w:type="dxa"/>
            </w:tcMar>
            <w:vAlign w:val="bottom"/>
          </w:tcPr>
          <w:p w14:paraId="01461DD5" w14:textId="77777777" w:rsidR="0097607E" w:rsidRPr="0097607E" w:rsidRDefault="0097607E" w:rsidP="003C1618">
            <w:pPr>
              <w:spacing w:line="240" w:lineRule="atLeast"/>
              <w:jc w:val="right"/>
              <w:rPr>
                <w:rFonts w:ascii="Tahoma" w:hAnsi="Tahoma"/>
                <w:color w:val="000000" w:themeColor="text1"/>
                <w:sz w:val="16"/>
                <w:lang w:val="en-GB"/>
              </w:rPr>
            </w:pPr>
          </w:p>
        </w:tc>
        <w:tc>
          <w:tcPr>
            <w:tcW w:w="1134" w:type="dxa"/>
            <w:shd w:val="clear" w:color="auto" w:fill="auto"/>
            <w:tcMar>
              <w:top w:w="40" w:type="dxa"/>
              <w:left w:w="0" w:type="dxa"/>
              <w:bottom w:w="40" w:type="dxa"/>
              <w:right w:w="0" w:type="dxa"/>
            </w:tcMar>
            <w:vAlign w:val="bottom"/>
          </w:tcPr>
          <w:p w14:paraId="79F32EBF" w14:textId="77777777" w:rsidR="0097607E" w:rsidRPr="0097607E" w:rsidRDefault="0097607E" w:rsidP="00A360F6">
            <w:pPr>
              <w:spacing w:line="240" w:lineRule="atLeast"/>
              <w:jc w:val="right"/>
              <w:rPr>
                <w:rFonts w:ascii="Tahoma" w:hAnsi="Tahoma"/>
                <w:b/>
                <w:bCs/>
                <w:color w:val="000000" w:themeColor="text1"/>
                <w:sz w:val="16"/>
                <w:lang w:val="en-GB"/>
              </w:rPr>
            </w:pPr>
            <w:r w:rsidRPr="0097607E">
              <w:rPr>
                <w:rFonts w:ascii="Tahoma" w:hAnsi="Tahoma"/>
                <w:b/>
                <w:bCs/>
                <w:color w:val="000000" w:themeColor="text1"/>
                <w:sz w:val="16"/>
                <w:lang w:val="en-GB"/>
              </w:rPr>
              <w:t>179</w:t>
            </w:r>
          </w:p>
        </w:tc>
        <w:tc>
          <w:tcPr>
            <w:tcW w:w="1134" w:type="dxa"/>
            <w:shd w:val="clear" w:color="auto" w:fill="auto"/>
            <w:tcMar>
              <w:top w:w="40" w:type="dxa"/>
              <w:left w:w="0" w:type="dxa"/>
              <w:bottom w:w="40" w:type="dxa"/>
              <w:right w:w="0" w:type="dxa"/>
            </w:tcMar>
            <w:vAlign w:val="bottom"/>
          </w:tcPr>
          <w:p w14:paraId="01554256" w14:textId="77777777" w:rsidR="0097607E" w:rsidRPr="0097607E" w:rsidRDefault="0097607E" w:rsidP="00A360F6">
            <w:pPr>
              <w:spacing w:line="240" w:lineRule="atLeast"/>
              <w:jc w:val="right"/>
              <w:rPr>
                <w:rFonts w:ascii="Tahoma" w:hAnsi="Tahoma"/>
                <w:color w:val="000000" w:themeColor="text1"/>
                <w:sz w:val="16"/>
                <w:lang w:val="en-GB"/>
              </w:rPr>
            </w:pPr>
            <w:r w:rsidRPr="0097607E">
              <w:rPr>
                <w:rFonts w:ascii="Tahoma" w:hAnsi="Tahoma"/>
                <w:color w:val="000000" w:themeColor="text1"/>
                <w:sz w:val="16"/>
                <w:lang w:val="en-GB"/>
              </w:rPr>
              <w:t>1 002</w:t>
            </w:r>
          </w:p>
        </w:tc>
        <w:tc>
          <w:tcPr>
            <w:tcW w:w="1134" w:type="dxa"/>
            <w:shd w:val="clear" w:color="auto" w:fill="auto"/>
            <w:tcMar>
              <w:top w:w="40" w:type="dxa"/>
              <w:left w:w="0" w:type="dxa"/>
              <w:bottom w:w="40" w:type="dxa"/>
              <w:right w:w="0" w:type="dxa"/>
            </w:tcMar>
            <w:vAlign w:val="bottom"/>
          </w:tcPr>
          <w:p w14:paraId="3EDEA04E" w14:textId="77777777" w:rsidR="0097607E" w:rsidRPr="0097607E" w:rsidRDefault="0097607E" w:rsidP="00A360F6">
            <w:pPr>
              <w:spacing w:line="240" w:lineRule="atLeast"/>
              <w:jc w:val="right"/>
              <w:rPr>
                <w:rFonts w:ascii="Tahoma" w:hAnsi="Tahoma"/>
                <w:color w:val="000000" w:themeColor="text1"/>
                <w:sz w:val="16"/>
                <w:lang w:val="en-GB"/>
              </w:rPr>
            </w:pPr>
            <w:r w:rsidRPr="0097607E">
              <w:rPr>
                <w:rFonts w:ascii="Tahoma" w:hAnsi="Tahoma"/>
                <w:color w:val="000000" w:themeColor="text1"/>
                <w:sz w:val="16"/>
                <w:lang w:val="en-GB"/>
              </w:rPr>
              <w:t>1 232</w:t>
            </w:r>
          </w:p>
        </w:tc>
      </w:tr>
      <w:tr w:rsidR="00615190" w:rsidRPr="0097607E" w14:paraId="53F9DFCC" w14:textId="77777777" w:rsidTr="00B5242A">
        <w:trPr>
          <w:trHeight w:val="60"/>
        </w:trPr>
        <w:tc>
          <w:tcPr>
            <w:tcW w:w="6104" w:type="dxa"/>
            <w:shd w:val="clear" w:color="auto" w:fill="auto"/>
            <w:tcMar>
              <w:top w:w="40" w:type="dxa"/>
              <w:left w:w="0" w:type="dxa"/>
              <w:bottom w:w="40" w:type="dxa"/>
              <w:right w:w="0" w:type="dxa"/>
            </w:tcMar>
            <w:vAlign w:val="bottom"/>
          </w:tcPr>
          <w:p w14:paraId="2DEA1A11" w14:textId="77777777" w:rsidR="0097607E" w:rsidRPr="0097607E" w:rsidRDefault="0097607E" w:rsidP="00615190">
            <w:pPr>
              <w:spacing w:line="240" w:lineRule="atLeast"/>
              <w:rPr>
                <w:rFonts w:ascii="Tahoma" w:hAnsi="Tahoma"/>
                <w:color w:val="000000" w:themeColor="text1"/>
                <w:sz w:val="16"/>
                <w:lang w:val="en-GB"/>
              </w:rPr>
            </w:pPr>
            <w:r w:rsidRPr="0097607E">
              <w:rPr>
                <w:rFonts w:ascii="Tahoma" w:hAnsi="Tahoma"/>
                <w:color w:val="000000" w:themeColor="text1"/>
                <w:sz w:val="16"/>
                <w:lang w:val="en-GB"/>
              </w:rPr>
              <w:t>Headline earnings per ordinary share N</w:t>
            </w:r>
            <w:r w:rsidRPr="0097607E">
              <w:rPr>
                <w:rFonts w:ascii="Tahoma" w:hAnsi="Tahoma"/>
                <w:color w:val="000000" w:themeColor="text1"/>
                <w:sz w:val="16"/>
                <w:vertAlign w:val="superscript"/>
                <w:lang w:val="en-GB"/>
              </w:rPr>
              <w:t>3</w:t>
            </w:r>
          </w:p>
        </w:tc>
        <w:tc>
          <w:tcPr>
            <w:tcW w:w="700" w:type="dxa"/>
            <w:shd w:val="clear" w:color="auto" w:fill="auto"/>
            <w:tcMar>
              <w:top w:w="40" w:type="dxa"/>
              <w:left w:w="0" w:type="dxa"/>
              <w:bottom w:w="40" w:type="dxa"/>
              <w:right w:w="0" w:type="dxa"/>
            </w:tcMar>
            <w:vAlign w:val="bottom"/>
          </w:tcPr>
          <w:p w14:paraId="08F6C5BC" w14:textId="77777777" w:rsidR="0097607E" w:rsidRPr="0097607E" w:rsidRDefault="0097607E" w:rsidP="003C1618">
            <w:pPr>
              <w:spacing w:line="240" w:lineRule="atLeast"/>
              <w:jc w:val="right"/>
              <w:rPr>
                <w:rFonts w:ascii="Tahoma" w:hAnsi="Tahoma"/>
                <w:color w:val="000000" w:themeColor="text1"/>
                <w:sz w:val="16"/>
                <w:lang w:val="en-GB"/>
              </w:rPr>
            </w:pPr>
          </w:p>
        </w:tc>
        <w:tc>
          <w:tcPr>
            <w:tcW w:w="1134" w:type="dxa"/>
            <w:shd w:val="clear" w:color="auto" w:fill="auto"/>
            <w:tcMar>
              <w:top w:w="40" w:type="dxa"/>
              <w:left w:w="0" w:type="dxa"/>
              <w:bottom w:w="40" w:type="dxa"/>
              <w:right w:w="0" w:type="dxa"/>
            </w:tcMar>
            <w:vAlign w:val="bottom"/>
          </w:tcPr>
          <w:p w14:paraId="7E0C82AD" w14:textId="77777777" w:rsidR="0097607E" w:rsidRPr="0097607E" w:rsidRDefault="0097607E" w:rsidP="00A360F6">
            <w:pPr>
              <w:spacing w:line="240" w:lineRule="atLeast"/>
              <w:jc w:val="right"/>
              <w:rPr>
                <w:rFonts w:ascii="Tahoma" w:hAnsi="Tahoma"/>
                <w:b/>
                <w:bCs/>
                <w:color w:val="000000" w:themeColor="text1"/>
                <w:sz w:val="16"/>
                <w:lang w:val="en-GB"/>
              </w:rPr>
            </w:pPr>
            <w:r w:rsidRPr="0097607E">
              <w:rPr>
                <w:rFonts w:ascii="Tahoma" w:hAnsi="Tahoma"/>
                <w:b/>
                <w:bCs/>
                <w:color w:val="000000" w:themeColor="text1"/>
                <w:sz w:val="16"/>
                <w:lang w:val="en-GB"/>
              </w:rPr>
              <w:t>14</w:t>
            </w:r>
          </w:p>
        </w:tc>
        <w:tc>
          <w:tcPr>
            <w:tcW w:w="1134" w:type="dxa"/>
            <w:shd w:val="clear" w:color="auto" w:fill="auto"/>
            <w:tcMar>
              <w:top w:w="40" w:type="dxa"/>
              <w:left w:w="0" w:type="dxa"/>
              <w:bottom w:w="40" w:type="dxa"/>
              <w:right w:w="0" w:type="dxa"/>
            </w:tcMar>
            <w:vAlign w:val="bottom"/>
          </w:tcPr>
          <w:p w14:paraId="40FE2EB1" w14:textId="77777777" w:rsidR="0097607E" w:rsidRPr="0097607E" w:rsidRDefault="0097607E" w:rsidP="00A360F6">
            <w:pPr>
              <w:spacing w:line="240" w:lineRule="atLeast"/>
              <w:jc w:val="right"/>
              <w:rPr>
                <w:rFonts w:ascii="Tahoma" w:hAnsi="Tahoma"/>
                <w:color w:val="000000" w:themeColor="text1"/>
                <w:sz w:val="16"/>
                <w:lang w:val="en-GB"/>
              </w:rPr>
            </w:pPr>
            <w:r w:rsidRPr="0097607E">
              <w:rPr>
                <w:rFonts w:ascii="Tahoma" w:hAnsi="Tahoma"/>
                <w:color w:val="000000" w:themeColor="text1"/>
                <w:sz w:val="16"/>
                <w:lang w:val="en-GB"/>
              </w:rPr>
              <w:t>149</w:t>
            </w:r>
          </w:p>
        </w:tc>
        <w:tc>
          <w:tcPr>
            <w:tcW w:w="1134" w:type="dxa"/>
            <w:shd w:val="clear" w:color="auto" w:fill="auto"/>
            <w:tcMar>
              <w:top w:w="40" w:type="dxa"/>
              <w:left w:w="0" w:type="dxa"/>
              <w:bottom w:w="40" w:type="dxa"/>
              <w:right w:w="0" w:type="dxa"/>
            </w:tcMar>
            <w:vAlign w:val="bottom"/>
          </w:tcPr>
          <w:p w14:paraId="72522247" w14:textId="77777777" w:rsidR="0097607E" w:rsidRPr="0097607E" w:rsidRDefault="0097607E" w:rsidP="00A360F6">
            <w:pPr>
              <w:spacing w:line="240" w:lineRule="atLeast"/>
              <w:jc w:val="right"/>
              <w:rPr>
                <w:rFonts w:ascii="Tahoma" w:hAnsi="Tahoma"/>
                <w:color w:val="000000" w:themeColor="text1"/>
                <w:sz w:val="16"/>
                <w:lang w:val="en-GB"/>
              </w:rPr>
            </w:pPr>
            <w:r w:rsidRPr="0097607E">
              <w:rPr>
                <w:rFonts w:ascii="Tahoma" w:hAnsi="Tahoma"/>
                <w:color w:val="000000" w:themeColor="text1"/>
                <w:sz w:val="16"/>
                <w:lang w:val="en-GB"/>
              </w:rPr>
              <w:t>204</w:t>
            </w:r>
          </w:p>
        </w:tc>
      </w:tr>
      <w:tr w:rsidR="00615190" w:rsidRPr="0097607E" w14:paraId="656C87FA" w14:textId="77777777" w:rsidTr="00B5242A">
        <w:trPr>
          <w:trHeight w:val="60"/>
        </w:trPr>
        <w:tc>
          <w:tcPr>
            <w:tcW w:w="6104" w:type="dxa"/>
            <w:tcBorders>
              <w:bottom w:val="single" w:sz="4" w:space="0" w:color="auto"/>
            </w:tcBorders>
            <w:shd w:val="clear" w:color="auto" w:fill="auto"/>
            <w:tcMar>
              <w:top w:w="40" w:type="dxa"/>
              <w:left w:w="0" w:type="dxa"/>
              <w:bottom w:w="68" w:type="dxa"/>
              <w:right w:w="0" w:type="dxa"/>
            </w:tcMar>
            <w:vAlign w:val="bottom"/>
          </w:tcPr>
          <w:p w14:paraId="340B856E" w14:textId="77777777" w:rsidR="0097607E" w:rsidRPr="0097607E" w:rsidRDefault="0097607E" w:rsidP="00615190">
            <w:pPr>
              <w:spacing w:line="240" w:lineRule="atLeast"/>
              <w:rPr>
                <w:rFonts w:ascii="Tahoma" w:hAnsi="Tahoma"/>
                <w:color w:val="000000" w:themeColor="text1"/>
                <w:sz w:val="16"/>
                <w:lang w:val="en-GB"/>
              </w:rPr>
            </w:pPr>
            <w:r w:rsidRPr="0097607E">
              <w:rPr>
                <w:rFonts w:ascii="Tahoma" w:hAnsi="Tahoma"/>
                <w:color w:val="000000" w:themeColor="text1"/>
                <w:sz w:val="16"/>
                <w:lang w:val="en-GB"/>
              </w:rPr>
              <w:t>Diluted headline earnings per ordinary share N</w:t>
            </w:r>
            <w:r w:rsidRPr="0097607E">
              <w:rPr>
                <w:rFonts w:ascii="Tahoma" w:hAnsi="Tahoma"/>
                <w:color w:val="000000" w:themeColor="text1"/>
                <w:sz w:val="16"/>
                <w:vertAlign w:val="superscript"/>
                <w:lang w:val="en-GB"/>
              </w:rPr>
              <w:t>3</w:t>
            </w:r>
          </w:p>
        </w:tc>
        <w:tc>
          <w:tcPr>
            <w:tcW w:w="700" w:type="dxa"/>
            <w:tcBorders>
              <w:bottom w:val="single" w:sz="4" w:space="0" w:color="auto"/>
            </w:tcBorders>
            <w:shd w:val="clear" w:color="auto" w:fill="auto"/>
            <w:tcMar>
              <w:top w:w="40" w:type="dxa"/>
              <w:left w:w="0" w:type="dxa"/>
              <w:bottom w:w="68" w:type="dxa"/>
              <w:right w:w="0" w:type="dxa"/>
            </w:tcMar>
            <w:vAlign w:val="bottom"/>
          </w:tcPr>
          <w:p w14:paraId="390A8B27" w14:textId="77777777" w:rsidR="0097607E" w:rsidRPr="0097607E" w:rsidRDefault="0097607E" w:rsidP="003C1618">
            <w:pPr>
              <w:spacing w:line="240" w:lineRule="atLeast"/>
              <w:jc w:val="right"/>
              <w:rPr>
                <w:rFonts w:ascii="Tahoma" w:hAnsi="Tahoma"/>
                <w:color w:val="000000" w:themeColor="text1"/>
                <w:sz w:val="16"/>
                <w:lang w:val="en-GB"/>
              </w:rPr>
            </w:pPr>
          </w:p>
        </w:tc>
        <w:tc>
          <w:tcPr>
            <w:tcW w:w="1134" w:type="dxa"/>
            <w:tcBorders>
              <w:bottom w:val="single" w:sz="4" w:space="0" w:color="auto"/>
            </w:tcBorders>
            <w:shd w:val="clear" w:color="auto" w:fill="auto"/>
            <w:tcMar>
              <w:top w:w="40" w:type="dxa"/>
              <w:left w:w="0" w:type="dxa"/>
              <w:bottom w:w="68" w:type="dxa"/>
              <w:right w:w="0" w:type="dxa"/>
            </w:tcMar>
            <w:vAlign w:val="bottom"/>
          </w:tcPr>
          <w:p w14:paraId="648927DD" w14:textId="77777777" w:rsidR="0097607E" w:rsidRPr="0097607E" w:rsidRDefault="0097607E" w:rsidP="00A360F6">
            <w:pPr>
              <w:spacing w:line="240" w:lineRule="atLeast"/>
              <w:jc w:val="right"/>
              <w:rPr>
                <w:rFonts w:ascii="Tahoma" w:hAnsi="Tahoma"/>
                <w:b/>
                <w:bCs/>
                <w:color w:val="000000" w:themeColor="text1"/>
                <w:sz w:val="16"/>
                <w:lang w:val="en-GB"/>
              </w:rPr>
            </w:pPr>
            <w:r w:rsidRPr="0097607E">
              <w:rPr>
                <w:rFonts w:ascii="Tahoma" w:hAnsi="Tahoma"/>
                <w:b/>
                <w:bCs/>
                <w:color w:val="000000" w:themeColor="text1"/>
                <w:sz w:val="16"/>
                <w:lang w:val="en-GB"/>
              </w:rPr>
              <w:t>11</w:t>
            </w:r>
          </w:p>
        </w:tc>
        <w:tc>
          <w:tcPr>
            <w:tcW w:w="1134" w:type="dxa"/>
            <w:tcBorders>
              <w:bottom w:val="single" w:sz="4" w:space="0" w:color="auto"/>
            </w:tcBorders>
            <w:shd w:val="clear" w:color="auto" w:fill="auto"/>
            <w:tcMar>
              <w:top w:w="40" w:type="dxa"/>
              <w:left w:w="0" w:type="dxa"/>
              <w:bottom w:w="68" w:type="dxa"/>
              <w:right w:w="0" w:type="dxa"/>
            </w:tcMar>
            <w:vAlign w:val="bottom"/>
          </w:tcPr>
          <w:p w14:paraId="7CCB3B2C" w14:textId="77777777" w:rsidR="0097607E" w:rsidRPr="0097607E" w:rsidRDefault="0097607E" w:rsidP="00A360F6">
            <w:pPr>
              <w:spacing w:line="240" w:lineRule="atLeast"/>
              <w:jc w:val="right"/>
              <w:rPr>
                <w:rFonts w:ascii="Tahoma" w:hAnsi="Tahoma"/>
                <w:color w:val="000000" w:themeColor="text1"/>
                <w:sz w:val="16"/>
                <w:lang w:val="en-GB"/>
              </w:rPr>
            </w:pPr>
            <w:r w:rsidRPr="0097607E">
              <w:rPr>
                <w:rFonts w:ascii="Tahoma" w:hAnsi="Tahoma"/>
                <w:color w:val="000000" w:themeColor="text1"/>
                <w:sz w:val="16"/>
                <w:lang w:val="en-GB"/>
              </w:rPr>
              <w:t>144</w:t>
            </w:r>
          </w:p>
        </w:tc>
        <w:tc>
          <w:tcPr>
            <w:tcW w:w="1134" w:type="dxa"/>
            <w:tcBorders>
              <w:bottom w:val="single" w:sz="4" w:space="0" w:color="auto"/>
            </w:tcBorders>
            <w:shd w:val="clear" w:color="auto" w:fill="auto"/>
            <w:tcMar>
              <w:top w:w="40" w:type="dxa"/>
              <w:left w:w="0" w:type="dxa"/>
              <w:bottom w:w="68" w:type="dxa"/>
              <w:right w:w="0" w:type="dxa"/>
            </w:tcMar>
            <w:vAlign w:val="bottom"/>
          </w:tcPr>
          <w:p w14:paraId="1BAA0AC9" w14:textId="77777777" w:rsidR="0097607E" w:rsidRPr="0097607E" w:rsidRDefault="0097607E" w:rsidP="00A360F6">
            <w:pPr>
              <w:spacing w:line="240" w:lineRule="atLeast"/>
              <w:jc w:val="right"/>
              <w:rPr>
                <w:rFonts w:ascii="Tahoma" w:hAnsi="Tahoma"/>
                <w:color w:val="000000" w:themeColor="text1"/>
                <w:sz w:val="16"/>
                <w:lang w:val="en-GB"/>
              </w:rPr>
            </w:pPr>
            <w:r w:rsidRPr="0097607E">
              <w:rPr>
                <w:rFonts w:ascii="Tahoma" w:hAnsi="Tahoma"/>
                <w:color w:val="000000" w:themeColor="text1"/>
                <w:sz w:val="16"/>
                <w:lang w:val="en-GB"/>
              </w:rPr>
              <w:t>193</w:t>
            </w:r>
          </w:p>
        </w:tc>
      </w:tr>
      <w:tr w:rsidR="00615190" w:rsidRPr="0097607E" w14:paraId="6D1FC0CE" w14:textId="77777777" w:rsidTr="00B5242A">
        <w:trPr>
          <w:trHeight w:val="60"/>
        </w:trPr>
        <w:tc>
          <w:tcPr>
            <w:tcW w:w="6104" w:type="dxa"/>
            <w:tcBorders>
              <w:top w:val="single" w:sz="4" w:space="0" w:color="auto"/>
            </w:tcBorders>
            <w:shd w:val="clear" w:color="auto" w:fill="auto"/>
            <w:tcMar>
              <w:top w:w="68" w:type="dxa"/>
              <w:left w:w="0" w:type="dxa"/>
              <w:bottom w:w="40" w:type="dxa"/>
              <w:right w:w="0" w:type="dxa"/>
            </w:tcMar>
            <w:vAlign w:val="bottom"/>
          </w:tcPr>
          <w:p w14:paraId="0FA95C30" w14:textId="77777777" w:rsidR="0097607E" w:rsidRPr="0097607E" w:rsidRDefault="0097607E" w:rsidP="00615190">
            <w:pPr>
              <w:spacing w:line="240" w:lineRule="atLeast"/>
              <w:rPr>
                <w:rFonts w:ascii="Tahoma" w:hAnsi="Tahoma"/>
                <w:b/>
                <w:bCs/>
                <w:color w:val="000000" w:themeColor="text1"/>
                <w:sz w:val="16"/>
                <w:lang w:val="en-GB"/>
              </w:rPr>
            </w:pPr>
            <w:r w:rsidRPr="0097607E">
              <w:rPr>
                <w:rFonts w:ascii="Tahoma" w:hAnsi="Tahoma"/>
                <w:b/>
                <w:bCs/>
                <w:color w:val="000000" w:themeColor="text1"/>
                <w:sz w:val="16"/>
                <w:lang w:val="en-GB"/>
              </w:rPr>
              <w:t>Per share information for the period from continuing operations (US cents)</w:t>
            </w:r>
            <w:r w:rsidRPr="0097607E">
              <w:rPr>
                <w:rFonts w:ascii="Tahoma" w:hAnsi="Tahoma"/>
                <w:b/>
                <w:bCs/>
                <w:color w:val="000000" w:themeColor="text1"/>
                <w:sz w:val="16"/>
                <w:vertAlign w:val="superscript"/>
                <w:lang w:val="en-GB"/>
              </w:rPr>
              <w:t>2</w:t>
            </w:r>
          </w:p>
        </w:tc>
        <w:tc>
          <w:tcPr>
            <w:tcW w:w="700" w:type="dxa"/>
            <w:tcBorders>
              <w:top w:val="single" w:sz="4" w:space="0" w:color="auto"/>
            </w:tcBorders>
            <w:shd w:val="clear" w:color="auto" w:fill="auto"/>
            <w:tcMar>
              <w:top w:w="68" w:type="dxa"/>
              <w:left w:w="0" w:type="dxa"/>
              <w:bottom w:w="40" w:type="dxa"/>
              <w:right w:w="0" w:type="dxa"/>
            </w:tcMar>
            <w:vAlign w:val="bottom"/>
          </w:tcPr>
          <w:p w14:paraId="6F425329" w14:textId="77777777" w:rsidR="0097607E" w:rsidRPr="0097607E" w:rsidRDefault="0097607E" w:rsidP="003C1618">
            <w:pPr>
              <w:spacing w:line="240" w:lineRule="atLeast"/>
              <w:jc w:val="right"/>
              <w:rPr>
                <w:rFonts w:ascii="Tahoma" w:hAnsi="Tahoma"/>
                <w:color w:val="000000" w:themeColor="text1"/>
                <w:sz w:val="16"/>
                <w:lang w:val="en-GB"/>
              </w:rPr>
            </w:pPr>
            <w:r w:rsidRPr="0097607E">
              <w:rPr>
                <w:rFonts w:ascii="Tahoma" w:hAnsi="Tahoma"/>
                <w:color w:val="000000" w:themeColor="text1"/>
                <w:sz w:val="16"/>
                <w:lang w:val="en-GB"/>
              </w:rPr>
              <w:t>6</w:t>
            </w:r>
          </w:p>
        </w:tc>
        <w:tc>
          <w:tcPr>
            <w:tcW w:w="1134" w:type="dxa"/>
            <w:tcBorders>
              <w:top w:val="single" w:sz="4" w:space="0" w:color="auto"/>
            </w:tcBorders>
            <w:shd w:val="clear" w:color="auto" w:fill="auto"/>
            <w:tcMar>
              <w:top w:w="68" w:type="dxa"/>
              <w:left w:w="0" w:type="dxa"/>
              <w:bottom w:w="40" w:type="dxa"/>
              <w:right w:w="0" w:type="dxa"/>
            </w:tcMar>
            <w:vAlign w:val="bottom"/>
          </w:tcPr>
          <w:p w14:paraId="5E7D2ECC" w14:textId="77777777" w:rsidR="0097607E" w:rsidRPr="0097607E" w:rsidRDefault="0097607E" w:rsidP="00A360F6">
            <w:pPr>
              <w:spacing w:line="240" w:lineRule="atLeast"/>
              <w:jc w:val="right"/>
              <w:rPr>
                <w:rFonts w:ascii="Tahoma" w:hAnsi="Tahoma"/>
                <w:b/>
                <w:bCs/>
                <w:color w:val="000000" w:themeColor="text1"/>
                <w:sz w:val="16"/>
                <w:lang w:val="en-GB"/>
              </w:rPr>
            </w:pPr>
          </w:p>
        </w:tc>
        <w:tc>
          <w:tcPr>
            <w:tcW w:w="1134" w:type="dxa"/>
            <w:tcBorders>
              <w:top w:val="single" w:sz="4" w:space="0" w:color="auto"/>
            </w:tcBorders>
            <w:shd w:val="clear" w:color="auto" w:fill="auto"/>
            <w:tcMar>
              <w:top w:w="68" w:type="dxa"/>
              <w:left w:w="0" w:type="dxa"/>
              <w:bottom w:w="40" w:type="dxa"/>
              <w:right w:w="0" w:type="dxa"/>
            </w:tcMar>
            <w:vAlign w:val="bottom"/>
          </w:tcPr>
          <w:p w14:paraId="03793F53" w14:textId="77777777" w:rsidR="0097607E" w:rsidRPr="0097607E" w:rsidRDefault="0097607E" w:rsidP="00A360F6">
            <w:pPr>
              <w:spacing w:line="240" w:lineRule="atLeast"/>
              <w:jc w:val="right"/>
              <w:rPr>
                <w:rFonts w:ascii="Tahoma" w:hAnsi="Tahoma"/>
                <w:color w:val="000000" w:themeColor="text1"/>
                <w:sz w:val="16"/>
                <w:lang w:val="en-GB"/>
              </w:rPr>
            </w:pPr>
          </w:p>
        </w:tc>
        <w:tc>
          <w:tcPr>
            <w:tcW w:w="1134" w:type="dxa"/>
            <w:tcBorders>
              <w:top w:val="single" w:sz="4" w:space="0" w:color="auto"/>
            </w:tcBorders>
            <w:shd w:val="clear" w:color="auto" w:fill="auto"/>
            <w:tcMar>
              <w:top w:w="68" w:type="dxa"/>
              <w:left w:w="0" w:type="dxa"/>
              <w:bottom w:w="40" w:type="dxa"/>
              <w:right w:w="0" w:type="dxa"/>
            </w:tcMar>
            <w:vAlign w:val="bottom"/>
          </w:tcPr>
          <w:p w14:paraId="5D7F0641" w14:textId="77777777" w:rsidR="0097607E" w:rsidRPr="0097607E" w:rsidRDefault="0097607E" w:rsidP="00A360F6">
            <w:pPr>
              <w:spacing w:line="240" w:lineRule="atLeast"/>
              <w:jc w:val="right"/>
              <w:rPr>
                <w:rFonts w:ascii="Tahoma" w:hAnsi="Tahoma"/>
                <w:color w:val="000000" w:themeColor="text1"/>
                <w:sz w:val="16"/>
                <w:lang w:val="en-GB"/>
              </w:rPr>
            </w:pPr>
          </w:p>
        </w:tc>
      </w:tr>
      <w:tr w:rsidR="00615190" w:rsidRPr="0097607E" w14:paraId="5DE55733" w14:textId="77777777" w:rsidTr="00B5242A">
        <w:trPr>
          <w:trHeight w:val="60"/>
        </w:trPr>
        <w:tc>
          <w:tcPr>
            <w:tcW w:w="6104" w:type="dxa"/>
            <w:shd w:val="clear" w:color="auto" w:fill="auto"/>
            <w:tcMar>
              <w:top w:w="40" w:type="dxa"/>
              <w:left w:w="0" w:type="dxa"/>
              <w:bottom w:w="40" w:type="dxa"/>
              <w:right w:w="0" w:type="dxa"/>
            </w:tcMar>
            <w:vAlign w:val="bottom"/>
          </w:tcPr>
          <w:p w14:paraId="76348CD4" w14:textId="77777777" w:rsidR="0097607E" w:rsidRPr="0097607E" w:rsidRDefault="0097607E" w:rsidP="00615190">
            <w:pPr>
              <w:spacing w:line="240" w:lineRule="atLeast"/>
              <w:rPr>
                <w:rFonts w:ascii="Tahoma" w:hAnsi="Tahoma"/>
                <w:color w:val="000000" w:themeColor="text1"/>
                <w:sz w:val="16"/>
                <w:lang w:val="en-GB"/>
              </w:rPr>
            </w:pPr>
            <w:r w:rsidRPr="0097607E">
              <w:rPr>
                <w:rFonts w:ascii="Tahoma" w:hAnsi="Tahoma"/>
                <w:color w:val="000000" w:themeColor="text1"/>
                <w:sz w:val="16"/>
                <w:lang w:val="en-GB"/>
              </w:rPr>
              <w:t>Earnings per ordinary share N</w:t>
            </w:r>
            <w:r w:rsidRPr="0097607E">
              <w:rPr>
                <w:rFonts w:ascii="Tahoma" w:hAnsi="Tahoma"/>
                <w:color w:val="000000" w:themeColor="text1"/>
                <w:sz w:val="16"/>
                <w:vertAlign w:val="superscript"/>
                <w:lang w:val="en-GB"/>
              </w:rPr>
              <w:t>3</w:t>
            </w:r>
          </w:p>
        </w:tc>
        <w:tc>
          <w:tcPr>
            <w:tcW w:w="700" w:type="dxa"/>
            <w:shd w:val="clear" w:color="auto" w:fill="auto"/>
            <w:tcMar>
              <w:top w:w="40" w:type="dxa"/>
              <w:left w:w="0" w:type="dxa"/>
              <w:bottom w:w="40" w:type="dxa"/>
              <w:right w:w="0" w:type="dxa"/>
            </w:tcMar>
            <w:vAlign w:val="bottom"/>
          </w:tcPr>
          <w:p w14:paraId="590B93BB" w14:textId="77777777" w:rsidR="0097607E" w:rsidRPr="0097607E" w:rsidRDefault="0097607E" w:rsidP="00615190">
            <w:pPr>
              <w:spacing w:line="240" w:lineRule="atLeast"/>
              <w:rPr>
                <w:rFonts w:ascii="Tahoma" w:hAnsi="Tahoma"/>
                <w:color w:val="000000" w:themeColor="text1"/>
                <w:sz w:val="16"/>
                <w:lang w:val="en-GB"/>
              </w:rPr>
            </w:pPr>
          </w:p>
        </w:tc>
        <w:tc>
          <w:tcPr>
            <w:tcW w:w="1134" w:type="dxa"/>
            <w:shd w:val="clear" w:color="auto" w:fill="auto"/>
            <w:tcMar>
              <w:top w:w="40" w:type="dxa"/>
              <w:left w:w="0" w:type="dxa"/>
              <w:bottom w:w="40" w:type="dxa"/>
              <w:right w:w="0" w:type="dxa"/>
            </w:tcMar>
            <w:vAlign w:val="bottom"/>
          </w:tcPr>
          <w:p w14:paraId="2C2F4A5F" w14:textId="77777777" w:rsidR="0097607E" w:rsidRPr="0097607E" w:rsidRDefault="0097607E" w:rsidP="00A360F6">
            <w:pPr>
              <w:spacing w:line="240" w:lineRule="atLeast"/>
              <w:jc w:val="right"/>
              <w:rPr>
                <w:rFonts w:ascii="Tahoma" w:hAnsi="Tahoma"/>
                <w:b/>
                <w:bCs/>
                <w:color w:val="000000" w:themeColor="text1"/>
                <w:sz w:val="16"/>
                <w:lang w:val="en-GB"/>
              </w:rPr>
            </w:pPr>
            <w:r w:rsidRPr="0097607E">
              <w:rPr>
                <w:rFonts w:ascii="Tahoma" w:hAnsi="Tahoma"/>
                <w:b/>
                <w:bCs/>
                <w:color w:val="000000" w:themeColor="text1"/>
                <w:sz w:val="16"/>
                <w:lang w:val="en-GB"/>
              </w:rPr>
              <w:t>167</w:t>
            </w:r>
          </w:p>
        </w:tc>
        <w:tc>
          <w:tcPr>
            <w:tcW w:w="1134" w:type="dxa"/>
            <w:shd w:val="clear" w:color="auto" w:fill="auto"/>
            <w:tcMar>
              <w:top w:w="40" w:type="dxa"/>
              <w:left w:w="0" w:type="dxa"/>
              <w:bottom w:w="40" w:type="dxa"/>
              <w:right w:w="0" w:type="dxa"/>
            </w:tcMar>
            <w:vAlign w:val="bottom"/>
          </w:tcPr>
          <w:p w14:paraId="2D44E565" w14:textId="77777777" w:rsidR="0097607E" w:rsidRPr="0097607E" w:rsidRDefault="0097607E" w:rsidP="00A360F6">
            <w:pPr>
              <w:spacing w:line="240" w:lineRule="atLeast"/>
              <w:jc w:val="right"/>
              <w:rPr>
                <w:rFonts w:ascii="Tahoma" w:hAnsi="Tahoma"/>
                <w:color w:val="000000" w:themeColor="text1"/>
                <w:sz w:val="16"/>
                <w:lang w:val="en-GB"/>
              </w:rPr>
            </w:pPr>
            <w:r w:rsidRPr="0097607E">
              <w:rPr>
                <w:rFonts w:ascii="Tahoma" w:hAnsi="Tahoma"/>
                <w:color w:val="000000" w:themeColor="text1"/>
                <w:sz w:val="16"/>
                <w:lang w:val="en-GB"/>
              </w:rPr>
              <w:t>1 001</w:t>
            </w:r>
          </w:p>
        </w:tc>
        <w:tc>
          <w:tcPr>
            <w:tcW w:w="1134" w:type="dxa"/>
            <w:shd w:val="clear" w:color="auto" w:fill="auto"/>
            <w:tcMar>
              <w:top w:w="40" w:type="dxa"/>
              <w:left w:w="0" w:type="dxa"/>
              <w:bottom w:w="40" w:type="dxa"/>
              <w:right w:w="0" w:type="dxa"/>
            </w:tcMar>
            <w:vAlign w:val="bottom"/>
          </w:tcPr>
          <w:p w14:paraId="47212716" w14:textId="77777777" w:rsidR="0097607E" w:rsidRPr="0097607E" w:rsidRDefault="0097607E" w:rsidP="00A360F6">
            <w:pPr>
              <w:spacing w:line="240" w:lineRule="atLeast"/>
              <w:jc w:val="right"/>
              <w:rPr>
                <w:rFonts w:ascii="Tahoma" w:hAnsi="Tahoma"/>
                <w:color w:val="000000" w:themeColor="text1"/>
                <w:sz w:val="16"/>
                <w:lang w:val="en-GB"/>
              </w:rPr>
            </w:pPr>
            <w:r w:rsidRPr="0097607E">
              <w:rPr>
                <w:rFonts w:ascii="Tahoma" w:hAnsi="Tahoma"/>
                <w:color w:val="000000" w:themeColor="text1"/>
                <w:sz w:val="16"/>
                <w:lang w:val="en-GB"/>
              </w:rPr>
              <w:t>1 233</w:t>
            </w:r>
          </w:p>
        </w:tc>
      </w:tr>
      <w:tr w:rsidR="00615190" w:rsidRPr="0097607E" w14:paraId="2FB83411" w14:textId="77777777" w:rsidTr="00B5242A">
        <w:trPr>
          <w:trHeight w:val="60"/>
        </w:trPr>
        <w:tc>
          <w:tcPr>
            <w:tcW w:w="6104" w:type="dxa"/>
            <w:shd w:val="clear" w:color="auto" w:fill="auto"/>
            <w:tcMar>
              <w:top w:w="40" w:type="dxa"/>
              <w:left w:w="0" w:type="dxa"/>
              <w:bottom w:w="40" w:type="dxa"/>
              <w:right w:w="0" w:type="dxa"/>
            </w:tcMar>
            <w:vAlign w:val="bottom"/>
          </w:tcPr>
          <w:p w14:paraId="424F220F" w14:textId="77777777" w:rsidR="0097607E" w:rsidRPr="0097607E" w:rsidRDefault="0097607E" w:rsidP="00615190">
            <w:pPr>
              <w:spacing w:line="240" w:lineRule="atLeast"/>
              <w:rPr>
                <w:rFonts w:ascii="Tahoma" w:hAnsi="Tahoma"/>
                <w:color w:val="000000" w:themeColor="text1"/>
                <w:sz w:val="16"/>
                <w:lang w:val="en-GB"/>
              </w:rPr>
            </w:pPr>
            <w:r w:rsidRPr="0097607E">
              <w:rPr>
                <w:rFonts w:ascii="Tahoma" w:hAnsi="Tahoma"/>
                <w:color w:val="000000" w:themeColor="text1"/>
                <w:sz w:val="16"/>
                <w:lang w:val="en-GB"/>
              </w:rPr>
              <w:t>Diluted earnings per ordinary share N</w:t>
            </w:r>
            <w:r w:rsidRPr="0097607E">
              <w:rPr>
                <w:rFonts w:ascii="Tahoma" w:hAnsi="Tahoma"/>
                <w:color w:val="000000" w:themeColor="text1"/>
                <w:sz w:val="16"/>
                <w:vertAlign w:val="superscript"/>
                <w:lang w:val="en-GB"/>
              </w:rPr>
              <w:t>3</w:t>
            </w:r>
          </w:p>
        </w:tc>
        <w:tc>
          <w:tcPr>
            <w:tcW w:w="700" w:type="dxa"/>
            <w:shd w:val="clear" w:color="auto" w:fill="auto"/>
            <w:tcMar>
              <w:top w:w="40" w:type="dxa"/>
              <w:left w:w="0" w:type="dxa"/>
              <w:bottom w:w="40" w:type="dxa"/>
              <w:right w:w="0" w:type="dxa"/>
            </w:tcMar>
            <w:vAlign w:val="bottom"/>
          </w:tcPr>
          <w:p w14:paraId="70DA6DD1" w14:textId="77777777" w:rsidR="0097607E" w:rsidRPr="0097607E" w:rsidRDefault="0097607E" w:rsidP="00615190">
            <w:pPr>
              <w:spacing w:line="240" w:lineRule="atLeast"/>
              <w:rPr>
                <w:rFonts w:ascii="Tahoma" w:hAnsi="Tahoma"/>
                <w:color w:val="000000" w:themeColor="text1"/>
                <w:sz w:val="16"/>
                <w:lang w:val="en-GB"/>
              </w:rPr>
            </w:pPr>
          </w:p>
        </w:tc>
        <w:tc>
          <w:tcPr>
            <w:tcW w:w="1134" w:type="dxa"/>
            <w:shd w:val="clear" w:color="auto" w:fill="auto"/>
            <w:tcMar>
              <w:top w:w="40" w:type="dxa"/>
              <w:left w:w="0" w:type="dxa"/>
              <w:bottom w:w="40" w:type="dxa"/>
              <w:right w:w="0" w:type="dxa"/>
            </w:tcMar>
            <w:vAlign w:val="bottom"/>
          </w:tcPr>
          <w:p w14:paraId="06B3D900" w14:textId="77777777" w:rsidR="0097607E" w:rsidRPr="0097607E" w:rsidRDefault="0097607E" w:rsidP="00A360F6">
            <w:pPr>
              <w:spacing w:line="240" w:lineRule="atLeast"/>
              <w:jc w:val="right"/>
              <w:rPr>
                <w:rFonts w:ascii="Tahoma" w:hAnsi="Tahoma"/>
                <w:b/>
                <w:bCs/>
                <w:color w:val="000000" w:themeColor="text1"/>
                <w:sz w:val="16"/>
                <w:lang w:val="en-GB"/>
              </w:rPr>
            </w:pPr>
            <w:r w:rsidRPr="0097607E">
              <w:rPr>
                <w:rFonts w:ascii="Tahoma" w:hAnsi="Tahoma"/>
                <w:b/>
                <w:bCs/>
                <w:color w:val="000000" w:themeColor="text1"/>
                <w:sz w:val="16"/>
                <w:lang w:val="en-GB"/>
              </w:rPr>
              <w:t>165</w:t>
            </w:r>
          </w:p>
        </w:tc>
        <w:tc>
          <w:tcPr>
            <w:tcW w:w="1134" w:type="dxa"/>
            <w:shd w:val="clear" w:color="auto" w:fill="auto"/>
            <w:tcMar>
              <w:top w:w="40" w:type="dxa"/>
              <w:left w:w="0" w:type="dxa"/>
              <w:bottom w:w="40" w:type="dxa"/>
              <w:right w:w="0" w:type="dxa"/>
            </w:tcMar>
            <w:vAlign w:val="bottom"/>
          </w:tcPr>
          <w:p w14:paraId="3C988208" w14:textId="77777777" w:rsidR="0097607E" w:rsidRPr="0097607E" w:rsidRDefault="0097607E" w:rsidP="00A360F6">
            <w:pPr>
              <w:spacing w:line="240" w:lineRule="atLeast"/>
              <w:jc w:val="right"/>
              <w:rPr>
                <w:rFonts w:ascii="Tahoma" w:hAnsi="Tahoma"/>
                <w:color w:val="000000" w:themeColor="text1"/>
                <w:sz w:val="16"/>
                <w:lang w:val="en-GB"/>
              </w:rPr>
            </w:pPr>
            <w:r w:rsidRPr="0097607E">
              <w:rPr>
                <w:rFonts w:ascii="Tahoma" w:hAnsi="Tahoma"/>
                <w:color w:val="000000" w:themeColor="text1"/>
                <w:sz w:val="16"/>
                <w:lang w:val="en-GB"/>
              </w:rPr>
              <w:t>996</w:t>
            </w:r>
          </w:p>
        </w:tc>
        <w:tc>
          <w:tcPr>
            <w:tcW w:w="1134" w:type="dxa"/>
            <w:shd w:val="clear" w:color="auto" w:fill="auto"/>
            <w:tcMar>
              <w:top w:w="40" w:type="dxa"/>
              <w:left w:w="0" w:type="dxa"/>
              <w:bottom w:w="40" w:type="dxa"/>
              <w:right w:w="0" w:type="dxa"/>
            </w:tcMar>
            <w:vAlign w:val="bottom"/>
          </w:tcPr>
          <w:p w14:paraId="41C14D1D" w14:textId="77777777" w:rsidR="0097607E" w:rsidRPr="0097607E" w:rsidRDefault="0097607E" w:rsidP="00A360F6">
            <w:pPr>
              <w:spacing w:line="240" w:lineRule="atLeast"/>
              <w:jc w:val="right"/>
              <w:rPr>
                <w:rFonts w:ascii="Tahoma" w:hAnsi="Tahoma"/>
                <w:color w:val="000000" w:themeColor="text1"/>
                <w:sz w:val="16"/>
                <w:lang w:val="en-GB"/>
              </w:rPr>
            </w:pPr>
            <w:r w:rsidRPr="0097607E">
              <w:rPr>
                <w:rFonts w:ascii="Tahoma" w:hAnsi="Tahoma"/>
                <w:color w:val="000000" w:themeColor="text1"/>
                <w:sz w:val="16"/>
                <w:lang w:val="en-GB"/>
              </w:rPr>
              <w:t>1 222</w:t>
            </w:r>
          </w:p>
        </w:tc>
      </w:tr>
      <w:tr w:rsidR="00615190" w:rsidRPr="0097607E" w14:paraId="4654568A" w14:textId="77777777" w:rsidTr="00B5242A">
        <w:trPr>
          <w:trHeight w:val="60"/>
        </w:trPr>
        <w:tc>
          <w:tcPr>
            <w:tcW w:w="6104" w:type="dxa"/>
            <w:shd w:val="clear" w:color="auto" w:fill="auto"/>
            <w:tcMar>
              <w:top w:w="40" w:type="dxa"/>
              <w:left w:w="0" w:type="dxa"/>
              <w:bottom w:w="40" w:type="dxa"/>
              <w:right w:w="0" w:type="dxa"/>
            </w:tcMar>
            <w:vAlign w:val="bottom"/>
          </w:tcPr>
          <w:p w14:paraId="48B2448B" w14:textId="77777777" w:rsidR="0097607E" w:rsidRPr="0097607E" w:rsidRDefault="0097607E" w:rsidP="00615190">
            <w:pPr>
              <w:spacing w:line="240" w:lineRule="atLeast"/>
              <w:rPr>
                <w:rFonts w:ascii="Tahoma" w:hAnsi="Tahoma"/>
                <w:color w:val="000000" w:themeColor="text1"/>
                <w:sz w:val="16"/>
                <w:lang w:val="en-GB"/>
              </w:rPr>
            </w:pPr>
            <w:r w:rsidRPr="0097607E">
              <w:rPr>
                <w:rFonts w:ascii="Tahoma" w:hAnsi="Tahoma"/>
                <w:color w:val="000000" w:themeColor="text1"/>
                <w:sz w:val="16"/>
                <w:lang w:val="en-GB"/>
              </w:rPr>
              <w:t>Headline earnings per ordinary share N</w:t>
            </w:r>
            <w:r w:rsidRPr="0097607E">
              <w:rPr>
                <w:rFonts w:ascii="Tahoma" w:hAnsi="Tahoma"/>
                <w:color w:val="000000" w:themeColor="text1"/>
                <w:sz w:val="16"/>
                <w:vertAlign w:val="superscript"/>
                <w:lang w:val="en-GB"/>
              </w:rPr>
              <w:t>3</w:t>
            </w:r>
          </w:p>
        </w:tc>
        <w:tc>
          <w:tcPr>
            <w:tcW w:w="700" w:type="dxa"/>
            <w:shd w:val="clear" w:color="auto" w:fill="auto"/>
            <w:tcMar>
              <w:top w:w="40" w:type="dxa"/>
              <w:left w:w="0" w:type="dxa"/>
              <w:bottom w:w="40" w:type="dxa"/>
              <w:right w:w="0" w:type="dxa"/>
            </w:tcMar>
            <w:vAlign w:val="bottom"/>
          </w:tcPr>
          <w:p w14:paraId="79FC7690" w14:textId="77777777" w:rsidR="0097607E" w:rsidRPr="0097607E" w:rsidRDefault="0097607E" w:rsidP="00615190">
            <w:pPr>
              <w:spacing w:line="240" w:lineRule="atLeast"/>
              <w:rPr>
                <w:rFonts w:ascii="Tahoma" w:hAnsi="Tahoma"/>
                <w:color w:val="000000" w:themeColor="text1"/>
                <w:sz w:val="16"/>
                <w:lang w:val="en-GB"/>
              </w:rPr>
            </w:pPr>
          </w:p>
        </w:tc>
        <w:tc>
          <w:tcPr>
            <w:tcW w:w="1134" w:type="dxa"/>
            <w:shd w:val="clear" w:color="auto" w:fill="auto"/>
            <w:tcMar>
              <w:top w:w="40" w:type="dxa"/>
              <w:left w:w="0" w:type="dxa"/>
              <w:bottom w:w="40" w:type="dxa"/>
              <w:right w:w="0" w:type="dxa"/>
            </w:tcMar>
            <w:vAlign w:val="bottom"/>
          </w:tcPr>
          <w:p w14:paraId="655D6BFE" w14:textId="77777777" w:rsidR="0097607E" w:rsidRPr="0097607E" w:rsidRDefault="0097607E" w:rsidP="00A360F6">
            <w:pPr>
              <w:spacing w:line="240" w:lineRule="atLeast"/>
              <w:jc w:val="right"/>
              <w:rPr>
                <w:rFonts w:ascii="Tahoma" w:hAnsi="Tahoma"/>
                <w:b/>
                <w:bCs/>
                <w:color w:val="000000" w:themeColor="text1"/>
                <w:sz w:val="16"/>
                <w:lang w:val="en-GB"/>
              </w:rPr>
            </w:pPr>
            <w:r w:rsidRPr="0097607E">
              <w:rPr>
                <w:rFonts w:ascii="Tahoma" w:hAnsi="Tahoma"/>
                <w:b/>
                <w:bCs/>
                <w:color w:val="000000" w:themeColor="text1"/>
                <w:sz w:val="16"/>
                <w:lang w:val="en-GB"/>
              </w:rPr>
              <w:t>—</w:t>
            </w:r>
          </w:p>
        </w:tc>
        <w:tc>
          <w:tcPr>
            <w:tcW w:w="1134" w:type="dxa"/>
            <w:shd w:val="clear" w:color="auto" w:fill="auto"/>
            <w:tcMar>
              <w:top w:w="40" w:type="dxa"/>
              <w:left w:w="0" w:type="dxa"/>
              <w:bottom w:w="40" w:type="dxa"/>
              <w:right w:w="0" w:type="dxa"/>
            </w:tcMar>
            <w:vAlign w:val="bottom"/>
          </w:tcPr>
          <w:p w14:paraId="4C04EEE0" w14:textId="77777777" w:rsidR="0097607E" w:rsidRPr="0097607E" w:rsidRDefault="0097607E" w:rsidP="00A360F6">
            <w:pPr>
              <w:spacing w:line="240" w:lineRule="atLeast"/>
              <w:jc w:val="right"/>
              <w:rPr>
                <w:rFonts w:ascii="Tahoma" w:hAnsi="Tahoma"/>
                <w:color w:val="000000" w:themeColor="text1"/>
                <w:sz w:val="16"/>
                <w:lang w:val="en-GB"/>
              </w:rPr>
            </w:pPr>
            <w:r w:rsidRPr="0097607E">
              <w:rPr>
                <w:rFonts w:ascii="Tahoma" w:hAnsi="Tahoma"/>
                <w:color w:val="000000" w:themeColor="text1"/>
                <w:sz w:val="16"/>
                <w:lang w:val="en-GB"/>
              </w:rPr>
              <w:t>143</w:t>
            </w:r>
          </w:p>
        </w:tc>
        <w:tc>
          <w:tcPr>
            <w:tcW w:w="1134" w:type="dxa"/>
            <w:shd w:val="clear" w:color="auto" w:fill="auto"/>
            <w:tcMar>
              <w:top w:w="40" w:type="dxa"/>
              <w:left w:w="0" w:type="dxa"/>
              <w:bottom w:w="40" w:type="dxa"/>
              <w:right w:w="0" w:type="dxa"/>
            </w:tcMar>
            <w:vAlign w:val="bottom"/>
          </w:tcPr>
          <w:p w14:paraId="744CEE06" w14:textId="77777777" w:rsidR="0097607E" w:rsidRPr="0097607E" w:rsidRDefault="0097607E" w:rsidP="00A360F6">
            <w:pPr>
              <w:spacing w:line="240" w:lineRule="atLeast"/>
              <w:jc w:val="right"/>
              <w:rPr>
                <w:rFonts w:ascii="Tahoma" w:hAnsi="Tahoma"/>
                <w:color w:val="000000" w:themeColor="text1"/>
                <w:sz w:val="16"/>
                <w:lang w:val="en-GB"/>
              </w:rPr>
            </w:pPr>
            <w:r w:rsidRPr="0097607E">
              <w:rPr>
                <w:rFonts w:ascii="Tahoma" w:hAnsi="Tahoma"/>
                <w:color w:val="000000" w:themeColor="text1"/>
                <w:sz w:val="16"/>
                <w:lang w:val="en-GB"/>
              </w:rPr>
              <w:t>194</w:t>
            </w:r>
          </w:p>
        </w:tc>
      </w:tr>
      <w:tr w:rsidR="00615190" w:rsidRPr="0097607E" w14:paraId="741D64AC" w14:textId="77777777" w:rsidTr="00B5242A">
        <w:trPr>
          <w:trHeight w:val="60"/>
        </w:trPr>
        <w:tc>
          <w:tcPr>
            <w:tcW w:w="6104" w:type="dxa"/>
            <w:tcBorders>
              <w:bottom w:val="single" w:sz="12" w:space="0" w:color="auto"/>
            </w:tcBorders>
            <w:shd w:val="clear" w:color="auto" w:fill="auto"/>
            <w:tcMar>
              <w:top w:w="40" w:type="dxa"/>
              <w:left w:w="0" w:type="dxa"/>
              <w:bottom w:w="68" w:type="dxa"/>
              <w:right w:w="0" w:type="dxa"/>
            </w:tcMar>
            <w:vAlign w:val="bottom"/>
          </w:tcPr>
          <w:p w14:paraId="2C88B770" w14:textId="77777777" w:rsidR="0097607E" w:rsidRPr="0097607E" w:rsidRDefault="0097607E" w:rsidP="00615190">
            <w:pPr>
              <w:spacing w:line="240" w:lineRule="atLeast"/>
              <w:rPr>
                <w:rFonts w:ascii="Tahoma" w:hAnsi="Tahoma"/>
                <w:color w:val="000000" w:themeColor="text1"/>
                <w:sz w:val="16"/>
                <w:lang w:val="en-GB"/>
              </w:rPr>
            </w:pPr>
            <w:r w:rsidRPr="0097607E">
              <w:rPr>
                <w:rFonts w:ascii="Tahoma" w:hAnsi="Tahoma"/>
                <w:color w:val="000000" w:themeColor="text1"/>
                <w:sz w:val="16"/>
                <w:lang w:val="en-GB"/>
              </w:rPr>
              <w:t>Diluted headline earnings per ordinary share N</w:t>
            </w:r>
            <w:r w:rsidRPr="0097607E">
              <w:rPr>
                <w:rFonts w:ascii="Tahoma" w:hAnsi="Tahoma"/>
                <w:color w:val="000000" w:themeColor="text1"/>
                <w:sz w:val="16"/>
                <w:vertAlign w:val="superscript"/>
                <w:lang w:val="en-GB"/>
              </w:rPr>
              <w:t>3</w:t>
            </w:r>
          </w:p>
        </w:tc>
        <w:tc>
          <w:tcPr>
            <w:tcW w:w="700" w:type="dxa"/>
            <w:tcBorders>
              <w:bottom w:val="single" w:sz="12" w:space="0" w:color="auto"/>
            </w:tcBorders>
            <w:shd w:val="clear" w:color="auto" w:fill="auto"/>
            <w:tcMar>
              <w:top w:w="40" w:type="dxa"/>
              <w:left w:w="0" w:type="dxa"/>
              <w:bottom w:w="68" w:type="dxa"/>
              <w:right w:w="0" w:type="dxa"/>
            </w:tcMar>
            <w:vAlign w:val="bottom"/>
          </w:tcPr>
          <w:p w14:paraId="13F20C39" w14:textId="77777777" w:rsidR="0097607E" w:rsidRPr="0097607E" w:rsidRDefault="0097607E" w:rsidP="00615190">
            <w:pPr>
              <w:spacing w:line="240" w:lineRule="atLeast"/>
              <w:rPr>
                <w:rFonts w:ascii="Tahoma" w:hAnsi="Tahoma"/>
                <w:color w:val="000000" w:themeColor="text1"/>
                <w:sz w:val="16"/>
                <w:lang w:val="en-GB"/>
              </w:rPr>
            </w:pPr>
          </w:p>
        </w:tc>
        <w:tc>
          <w:tcPr>
            <w:tcW w:w="1134" w:type="dxa"/>
            <w:tcBorders>
              <w:bottom w:val="single" w:sz="12" w:space="0" w:color="auto"/>
            </w:tcBorders>
            <w:shd w:val="clear" w:color="auto" w:fill="auto"/>
            <w:tcMar>
              <w:top w:w="40" w:type="dxa"/>
              <w:left w:w="0" w:type="dxa"/>
              <w:bottom w:w="68" w:type="dxa"/>
              <w:right w:w="0" w:type="dxa"/>
            </w:tcMar>
            <w:vAlign w:val="bottom"/>
          </w:tcPr>
          <w:p w14:paraId="47CB9397" w14:textId="77777777" w:rsidR="0097607E" w:rsidRPr="0097607E" w:rsidRDefault="0097607E" w:rsidP="00A360F6">
            <w:pPr>
              <w:spacing w:line="240" w:lineRule="atLeast"/>
              <w:jc w:val="right"/>
              <w:rPr>
                <w:rFonts w:ascii="Tahoma" w:hAnsi="Tahoma"/>
                <w:b/>
                <w:bCs/>
                <w:color w:val="000000" w:themeColor="text1"/>
                <w:sz w:val="16"/>
                <w:lang w:val="en-GB"/>
              </w:rPr>
            </w:pPr>
            <w:r w:rsidRPr="0097607E">
              <w:rPr>
                <w:rFonts w:ascii="Tahoma" w:hAnsi="Tahoma"/>
                <w:b/>
                <w:bCs/>
                <w:color w:val="000000" w:themeColor="text1"/>
                <w:sz w:val="16"/>
                <w:lang w:val="en-GB"/>
              </w:rPr>
              <w:t>(3)</w:t>
            </w:r>
          </w:p>
        </w:tc>
        <w:tc>
          <w:tcPr>
            <w:tcW w:w="1134" w:type="dxa"/>
            <w:tcBorders>
              <w:bottom w:val="single" w:sz="12" w:space="0" w:color="auto"/>
            </w:tcBorders>
            <w:shd w:val="clear" w:color="auto" w:fill="auto"/>
            <w:tcMar>
              <w:top w:w="40" w:type="dxa"/>
              <w:left w:w="0" w:type="dxa"/>
              <w:bottom w:w="68" w:type="dxa"/>
              <w:right w:w="0" w:type="dxa"/>
            </w:tcMar>
            <w:vAlign w:val="bottom"/>
          </w:tcPr>
          <w:p w14:paraId="67E9DA20" w14:textId="77777777" w:rsidR="0097607E" w:rsidRPr="0097607E" w:rsidRDefault="0097607E" w:rsidP="00A360F6">
            <w:pPr>
              <w:spacing w:line="240" w:lineRule="atLeast"/>
              <w:jc w:val="right"/>
              <w:rPr>
                <w:rFonts w:ascii="Tahoma" w:hAnsi="Tahoma"/>
                <w:color w:val="000000" w:themeColor="text1"/>
                <w:sz w:val="16"/>
                <w:lang w:val="en-GB"/>
              </w:rPr>
            </w:pPr>
            <w:r w:rsidRPr="0097607E">
              <w:rPr>
                <w:rFonts w:ascii="Tahoma" w:hAnsi="Tahoma"/>
                <w:color w:val="000000" w:themeColor="text1"/>
                <w:sz w:val="16"/>
                <w:lang w:val="en-GB"/>
              </w:rPr>
              <w:t>138</w:t>
            </w:r>
          </w:p>
        </w:tc>
        <w:tc>
          <w:tcPr>
            <w:tcW w:w="1134" w:type="dxa"/>
            <w:tcBorders>
              <w:bottom w:val="single" w:sz="12" w:space="0" w:color="auto"/>
            </w:tcBorders>
            <w:shd w:val="clear" w:color="auto" w:fill="auto"/>
            <w:tcMar>
              <w:top w:w="40" w:type="dxa"/>
              <w:left w:w="0" w:type="dxa"/>
              <w:bottom w:w="68" w:type="dxa"/>
              <w:right w:w="0" w:type="dxa"/>
            </w:tcMar>
            <w:vAlign w:val="bottom"/>
          </w:tcPr>
          <w:p w14:paraId="1161E867" w14:textId="77777777" w:rsidR="0097607E" w:rsidRPr="0097607E" w:rsidRDefault="0097607E" w:rsidP="00A360F6">
            <w:pPr>
              <w:spacing w:line="240" w:lineRule="atLeast"/>
              <w:jc w:val="right"/>
              <w:rPr>
                <w:rFonts w:ascii="Tahoma" w:hAnsi="Tahoma"/>
                <w:color w:val="000000" w:themeColor="text1"/>
                <w:sz w:val="16"/>
                <w:lang w:val="en-GB"/>
              </w:rPr>
            </w:pPr>
            <w:r w:rsidRPr="0097607E">
              <w:rPr>
                <w:rFonts w:ascii="Tahoma" w:hAnsi="Tahoma"/>
                <w:color w:val="000000" w:themeColor="text1"/>
                <w:sz w:val="16"/>
                <w:lang w:val="en-GB"/>
              </w:rPr>
              <w:t>183</w:t>
            </w:r>
          </w:p>
        </w:tc>
      </w:tr>
      <w:tr w:rsidR="00615190" w:rsidRPr="0097607E" w14:paraId="519B4CEB" w14:textId="77777777" w:rsidTr="00393210">
        <w:trPr>
          <w:trHeight w:val="60"/>
        </w:trPr>
        <w:tc>
          <w:tcPr>
            <w:tcW w:w="10206" w:type="dxa"/>
            <w:gridSpan w:val="5"/>
            <w:tcBorders>
              <w:top w:val="single" w:sz="12" w:space="0" w:color="auto"/>
            </w:tcBorders>
            <w:shd w:val="clear" w:color="auto" w:fill="auto"/>
            <w:tcMar>
              <w:top w:w="85" w:type="dxa"/>
              <w:left w:w="0" w:type="dxa"/>
              <w:bottom w:w="57" w:type="dxa"/>
              <w:right w:w="0" w:type="dxa"/>
            </w:tcMar>
            <w:vAlign w:val="bottom"/>
          </w:tcPr>
          <w:p w14:paraId="26AC0F99" w14:textId="77777777" w:rsidR="0097607E" w:rsidRPr="00E16558" w:rsidRDefault="0097607E" w:rsidP="00E16558">
            <w:pPr>
              <w:pStyle w:val="FootnotesProsus2022FrontStylesProsus2022"/>
            </w:pPr>
            <w:r w:rsidRPr="00E16558">
              <w:t>1</w:t>
            </w:r>
            <w:r w:rsidRPr="00E16558">
              <w:tab/>
              <w:t>Includes equity-accounted results from associates (refer to note 11).</w:t>
            </w:r>
          </w:p>
          <w:p w14:paraId="31DF36D3" w14:textId="77777777" w:rsidR="0097607E" w:rsidRPr="00E16558" w:rsidRDefault="0097607E" w:rsidP="00E16558">
            <w:pPr>
              <w:pStyle w:val="FootnotesProsus2022FrontStylesProsus2022"/>
            </w:pPr>
            <w:r w:rsidRPr="00E16558">
              <w:t>2</w:t>
            </w:r>
            <w:r w:rsidRPr="00E16558">
              <w:tab/>
              <w:t>Earnings per share information is significantly impacted by a lower share in equity-accounted results and a lower gain on partial disposal of equity-accounted investments (refer to note 11).</w:t>
            </w:r>
          </w:p>
          <w:p w14:paraId="5B47191D" w14:textId="77777777" w:rsidR="0097607E" w:rsidRPr="0097607E" w:rsidRDefault="0097607E" w:rsidP="008B5CC8">
            <w:pPr>
              <w:pStyle w:val="FootnotesProsus2022FrontStylesProsus2022"/>
            </w:pPr>
            <w:r w:rsidRPr="0097607E">
              <w:t>3</w:t>
            </w:r>
            <w:r w:rsidRPr="0097607E">
              <w:tab/>
              <w:t>Earnings per share is based on the weighted average number of shares taking into account the cross-holding agreement from the share exchange (refer to note 6).</w:t>
            </w:r>
          </w:p>
        </w:tc>
      </w:tr>
    </w:tbl>
    <w:p w14:paraId="4DE2B5FA" w14:textId="77777777" w:rsidR="0097607E" w:rsidRPr="00615190" w:rsidRDefault="0097607E" w:rsidP="00615190">
      <w:pPr>
        <w:spacing w:line="240" w:lineRule="atLeast"/>
        <w:rPr>
          <w:rFonts w:ascii="Tahoma" w:hAnsi="Tahoma"/>
          <w:color w:val="000000" w:themeColor="text1"/>
          <w:sz w:val="16"/>
        </w:rPr>
      </w:pPr>
    </w:p>
    <w:p w14:paraId="0D6C1329" w14:textId="77777777" w:rsidR="00610C1E" w:rsidRPr="00615190" w:rsidRDefault="00610C1E" w:rsidP="00615190">
      <w:pPr>
        <w:spacing w:line="240" w:lineRule="atLeast"/>
        <w:rPr>
          <w:rFonts w:ascii="Tahoma" w:hAnsi="Tahoma"/>
          <w:color w:val="000000" w:themeColor="text1"/>
          <w:sz w:val="16"/>
        </w:rPr>
      </w:pPr>
    </w:p>
    <w:tbl>
      <w:tblPr>
        <w:tblW w:w="10206" w:type="dxa"/>
        <w:tblInd w:w="-8" w:type="dxa"/>
        <w:tblLayout w:type="fixed"/>
        <w:tblCellMar>
          <w:left w:w="0" w:type="dxa"/>
          <w:right w:w="0" w:type="dxa"/>
        </w:tblCellMar>
        <w:tblLook w:val="0000" w:firstRow="0" w:lastRow="0" w:firstColumn="0" w:lastColumn="0" w:noHBand="0" w:noVBand="0"/>
      </w:tblPr>
      <w:tblGrid>
        <w:gridCol w:w="6096"/>
        <w:gridCol w:w="708"/>
        <w:gridCol w:w="1134"/>
        <w:gridCol w:w="1134"/>
        <w:gridCol w:w="1134"/>
      </w:tblGrid>
      <w:tr w:rsidR="00615190" w:rsidRPr="00EA2899" w14:paraId="404F7561" w14:textId="77777777" w:rsidTr="000440EF">
        <w:trPr>
          <w:trHeight w:val="60"/>
        </w:trPr>
        <w:tc>
          <w:tcPr>
            <w:tcW w:w="10206" w:type="dxa"/>
            <w:gridSpan w:val="5"/>
            <w:shd w:val="clear" w:color="auto" w:fill="auto"/>
            <w:tcMar>
              <w:top w:w="85" w:type="dxa"/>
              <w:left w:w="0" w:type="dxa"/>
              <w:bottom w:w="85" w:type="dxa"/>
              <w:right w:w="0" w:type="dxa"/>
            </w:tcMar>
            <w:vAlign w:val="bottom"/>
          </w:tcPr>
          <w:p w14:paraId="0627CF7C" w14:textId="77777777" w:rsidR="00EA2899" w:rsidRPr="00EA2899" w:rsidRDefault="0025027B" w:rsidP="00615190">
            <w:pPr>
              <w:spacing w:line="240" w:lineRule="atLeast"/>
              <w:rPr>
                <w:rFonts w:ascii="Tahoma" w:hAnsi="Tahoma"/>
                <w:b/>
                <w:bCs/>
                <w:color w:val="000000" w:themeColor="text1"/>
                <w:sz w:val="20"/>
                <w:szCs w:val="20"/>
                <w:lang w:val="en-GB"/>
              </w:rPr>
            </w:pPr>
            <w:r w:rsidRPr="00EA2899">
              <w:rPr>
                <w:rFonts w:ascii="Tahoma" w:hAnsi="Tahoma"/>
                <w:b/>
                <w:bCs/>
                <w:color w:val="000000" w:themeColor="text1"/>
                <w:sz w:val="20"/>
                <w:szCs w:val="20"/>
                <w:lang w:val="en-GB"/>
              </w:rPr>
              <w:lastRenderedPageBreak/>
              <w:t>CONDENSED CONSOLIDATED STATEMENT OF COMPREHENSIVE INCOME</w:t>
            </w:r>
          </w:p>
        </w:tc>
      </w:tr>
      <w:tr w:rsidR="00615190" w:rsidRPr="00EA2899" w14:paraId="5B569703" w14:textId="77777777" w:rsidTr="000440EF">
        <w:trPr>
          <w:trHeight w:val="60"/>
        </w:trPr>
        <w:tc>
          <w:tcPr>
            <w:tcW w:w="6096" w:type="dxa"/>
            <w:shd w:val="clear" w:color="auto" w:fill="auto"/>
            <w:tcMar>
              <w:top w:w="85" w:type="dxa"/>
              <w:left w:w="0" w:type="dxa"/>
              <w:bottom w:w="85" w:type="dxa"/>
              <w:right w:w="0" w:type="dxa"/>
            </w:tcMar>
            <w:vAlign w:val="bottom"/>
          </w:tcPr>
          <w:p w14:paraId="4356DFF5" w14:textId="77777777" w:rsidR="00EA2899" w:rsidRPr="00EA2899" w:rsidRDefault="00EA2899" w:rsidP="00615190">
            <w:pPr>
              <w:spacing w:line="240" w:lineRule="atLeast"/>
              <w:rPr>
                <w:rFonts w:ascii="Tahoma" w:hAnsi="Tahoma"/>
                <w:color w:val="000000" w:themeColor="text1"/>
                <w:sz w:val="16"/>
                <w:lang w:val="en-GB"/>
              </w:rPr>
            </w:pPr>
          </w:p>
        </w:tc>
        <w:tc>
          <w:tcPr>
            <w:tcW w:w="708" w:type="dxa"/>
            <w:shd w:val="clear" w:color="auto" w:fill="auto"/>
            <w:tcMar>
              <w:top w:w="85" w:type="dxa"/>
              <w:left w:w="0" w:type="dxa"/>
              <w:bottom w:w="85" w:type="dxa"/>
              <w:right w:w="0" w:type="dxa"/>
            </w:tcMar>
            <w:vAlign w:val="bottom"/>
          </w:tcPr>
          <w:p w14:paraId="76DA8C0C" w14:textId="77777777" w:rsidR="00EA2899" w:rsidRPr="00EA2899" w:rsidRDefault="00EA2899" w:rsidP="00615190">
            <w:pPr>
              <w:spacing w:line="240" w:lineRule="atLeast"/>
              <w:rPr>
                <w:rFonts w:ascii="Tahoma" w:hAnsi="Tahoma"/>
                <w:color w:val="000000" w:themeColor="text1"/>
                <w:sz w:val="16"/>
                <w:lang w:val="en-GB"/>
              </w:rPr>
            </w:pPr>
          </w:p>
        </w:tc>
        <w:tc>
          <w:tcPr>
            <w:tcW w:w="2268" w:type="dxa"/>
            <w:gridSpan w:val="2"/>
            <w:shd w:val="clear" w:color="auto" w:fill="auto"/>
            <w:tcMar>
              <w:top w:w="85" w:type="dxa"/>
              <w:left w:w="0" w:type="dxa"/>
              <w:bottom w:w="85" w:type="dxa"/>
              <w:right w:w="0" w:type="dxa"/>
            </w:tcMar>
            <w:vAlign w:val="bottom"/>
          </w:tcPr>
          <w:p w14:paraId="393BA497" w14:textId="77777777" w:rsidR="00EA2899" w:rsidRPr="00EA2899" w:rsidRDefault="00EA2899" w:rsidP="006D7D1D">
            <w:pPr>
              <w:spacing w:line="240" w:lineRule="atLeast"/>
              <w:ind w:left="430"/>
              <w:jc w:val="center"/>
              <w:rPr>
                <w:rFonts w:ascii="Tahoma" w:hAnsi="Tahoma"/>
                <w:b/>
                <w:bCs/>
                <w:color w:val="000000" w:themeColor="text1"/>
                <w:sz w:val="16"/>
                <w:lang w:val="en-GB"/>
              </w:rPr>
            </w:pPr>
            <w:r w:rsidRPr="00EA2899">
              <w:rPr>
                <w:rFonts w:ascii="Tahoma" w:hAnsi="Tahoma"/>
                <w:b/>
                <w:bCs/>
                <w:color w:val="000000" w:themeColor="text1"/>
                <w:sz w:val="16"/>
                <w:lang w:val="en-GB"/>
              </w:rPr>
              <w:t>Six months ended</w:t>
            </w:r>
          </w:p>
          <w:p w14:paraId="402614FD" w14:textId="77777777" w:rsidR="00EA2899" w:rsidRPr="00EA2899" w:rsidRDefault="00EA2899" w:rsidP="006D7D1D">
            <w:pPr>
              <w:spacing w:line="240" w:lineRule="atLeast"/>
              <w:ind w:left="430"/>
              <w:jc w:val="center"/>
              <w:rPr>
                <w:rFonts w:ascii="Tahoma" w:hAnsi="Tahoma"/>
                <w:color w:val="000000" w:themeColor="text1"/>
                <w:sz w:val="16"/>
                <w:lang w:val="en-GB"/>
              </w:rPr>
            </w:pPr>
            <w:r w:rsidRPr="00EA2899">
              <w:rPr>
                <w:rFonts w:ascii="Tahoma" w:hAnsi="Tahoma"/>
                <w:b/>
                <w:bCs/>
                <w:color w:val="000000" w:themeColor="text1"/>
                <w:sz w:val="16"/>
                <w:lang w:val="en-GB"/>
              </w:rPr>
              <w:t>30 September</w:t>
            </w:r>
          </w:p>
        </w:tc>
        <w:tc>
          <w:tcPr>
            <w:tcW w:w="1134" w:type="dxa"/>
            <w:shd w:val="clear" w:color="auto" w:fill="auto"/>
            <w:tcMar>
              <w:top w:w="85" w:type="dxa"/>
              <w:left w:w="0" w:type="dxa"/>
              <w:bottom w:w="85" w:type="dxa"/>
              <w:right w:w="0" w:type="dxa"/>
            </w:tcMar>
            <w:vAlign w:val="bottom"/>
          </w:tcPr>
          <w:p w14:paraId="1000097A" w14:textId="77777777" w:rsidR="00EA2899" w:rsidRPr="00EA2899" w:rsidRDefault="00EA2899" w:rsidP="00D559F9">
            <w:pPr>
              <w:spacing w:line="240" w:lineRule="atLeast"/>
              <w:ind w:right="113"/>
              <w:jc w:val="right"/>
              <w:rPr>
                <w:rFonts w:ascii="Tahoma" w:hAnsi="Tahoma"/>
                <w:color w:val="000000" w:themeColor="text1"/>
                <w:sz w:val="16"/>
                <w:lang w:val="en-GB"/>
              </w:rPr>
            </w:pPr>
            <w:r w:rsidRPr="00EA2899">
              <w:rPr>
                <w:rFonts w:ascii="Tahoma" w:hAnsi="Tahoma"/>
                <w:color w:val="000000" w:themeColor="text1"/>
                <w:sz w:val="16"/>
                <w:lang w:val="en-GB"/>
              </w:rPr>
              <w:t>Year</w:t>
            </w:r>
          </w:p>
          <w:p w14:paraId="6C783F72" w14:textId="77777777" w:rsidR="00EA2899" w:rsidRPr="00EA2899" w:rsidRDefault="00EA2899" w:rsidP="00D559F9">
            <w:pPr>
              <w:spacing w:line="240" w:lineRule="atLeast"/>
              <w:ind w:right="113"/>
              <w:jc w:val="right"/>
              <w:rPr>
                <w:rFonts w:ascii="Tahoma" w:hAnsi="Tahoma"/>
                <w:color w:val="000000" w:themeColor="text1"/>
                <w:sz w:val="16"/>
                <w:lang w:val="en-GB"/>
              </w:rPr>
            </w:pPr>
            <w:r w:rsidRPr="00EA2899">
              <w:rPr>
                <w:rFonts w:ascii="Tahoma" w:hAnsi="Tahoma"/>
                <w:color w:val="000000" w:themeColor="text1"/>
                <w:sz w:val="16"/>
                <w:lang w:val="en-GB"/>
              </w:rPr>
              <w:t>ended</w:t>
            </w:r>
          </w:p>
          <w:p w14:paraId="5C26E61C" w14:textId="77777777" w:rsidR="00EA2899" w:rsidRPr="00EA2899" w:rsidRDefault="00EA2899" w:rsidP="00D559F9">
            <w:pPr>
              <w:spacing w:line="240" w:lineRule="atLeast"/>
              <w:ind w:right="113"/>
              <w:jc w:val="right"/>
              <w:rPr>
                <w:rFonts w:ascii="Tahoma" w:hAnsi="Tahoma"/>
                <w:color w:val="000000" w:themeColor="text1"/>
                <w:sz w:val="16"/>
                <w:lang w:val="en-GB"/>
              </w:rPr>
            </w:pPr>
            <w:r w:rsidRPr="00EA2899">
              <w:rPr>
                <w:rFonts w:ascii="Tahoma" w:hAnsi="Tahoma"/>
                <w:color w:val="000000" w:themeColor="text1"/>
                <w:sz w:val="16"/>
                <w:lang w:val="en-GB"/>
              </w:rPr>
              <w:t>31 March</w:t>
            </w:r>
          </w:p>
        </w:tc>
      </w:tr>
      <w:tr w:rsidR="00615190" w:rsidRPr="00EA2899" w14:paraId="63E25D1F" w14:textId="77777777" w:rsidTr="000440EF">
        <w:trPr>
          <w:trHeight w:val="60"/>
        </w:trPr>
        <w:tc>
          <w:tcPr>
            <w:tcW w:w="6096" w:type="dxa"/>
            <w:tcBorders>
              <w:bottom w:val="single" w:sz="12" w:space="0" w:color="auto"/>
            </w:tcBorders>
            <w:shd w:val="clear" w:color="auto" w:fill="auto"/>
            <w:tcMar>
              <w:top w:w="113" w:type="dxa"/>
              <w:left w:w="0" w:type="dxa"/>
              <w:bottom w:w="113" w:type="dxa"/>
              <w:right w:w="0" w:type="dxa"/>
            </w:tcMar>
            <w:vAlign w:val="bottom"/>
          </w:tcPr>
          <w:p w14:paraId="23EC3BF0" w14:textId="77777777" w:rsidR="00EA2899" w:rsidRPr="00EA2899" w:rsidRDefault="00EA2899" w:rsidP="00615190">
            <w:pPr>
              <w:spacing w:line="240" w:lineRule="atLeast"/>
              <w:rPr>
                <w:rFonts w:ascii="Tahoma" w:hAnsi="Tahoma"/>
                <w:color w:val="000000" w:themeColor="text1"/>
                <w:sz w:val="16"/>
                <w:lang w:val="en-GB"/>
              </w:rPr>
            </w:pPr>
          </w:p>
        </w:tc>
        <w:tc>
          <w:tcPr>
            <w:tcW w:w="708" w:type="dxa"/>
            <w:tcBorders>
              <w:bottom w:val="single" w:sz="12" w:space="0" w:color="auto"/>
            </w:tcBorders>
            <w:shd w:val="clear" w:color="auto" w:fill="auto"/>
            <w:tcMar>
              <w:top w:w="113" w:type="dxa"/>
              <w:left w:w="0" w:type="dxa"/>
              <w:bottom w:w="113" w:type="dxa"/>
              <w:right w:w="0" w:type="dxa"/>
            </w:tcMar>
            <w:vAlign w:val="bottom"/>
          </w:tcPr>
          <w:p w14:paraId="38C4249B" w14:textId="77777777" w:rsidR="00EA2899" w:rsidRPr="00EA2899" w:rsidRDefault="00EA2899" w:rsidP="00615190">
            <w:pPr>
              <w:spacing w:line="240" w:lineRule="atLeast"/>
              <w:rPr>
                <w:rFonts w:ascii="Tahoma" w:hAnsi="Tahoma"/>
                <w:color w:val="000000" w:themeColor="text1"/>
                <w:sz w:val="16"/>
                <w:lang w:val="en-GB"/>
              </w:rPr>
            </w:pPr>
            <w:r w:rsidRPr="00EA2899">
              <w:rPr>
                <w:rFonts w:ascii="Tahoma" w:hAnsi="Tahoma"/>
                <w:color w:val="000000" w:themeColor="text1"/>
                <w:sz w:val="16"/>
                <w:lang w:val="en-GB"/>
              </w:rPr>
              <w:t>Note</w:t>
            </w:r>
          </w:p>
        </w:tc>
        <w:tc>
          <w:tcPr>
            <w:tcW w:w="1134" w:type="dxa"/>
            <w:tcBorders>
              <w:bottom w:val="single" w:sz="12" w:space="0" w:color="auto"/>
            </w:tcBorders>
            <w:shd w:val="clear" w:color="auto" w:fill="auto"/>
            <w:tcMar>
              <w:top w:w="113" w:type="dxa"/>
              <w:left w:w="0" w:type="dxa"/>
              <w:bottom w:w="113" w:type="dxa"/>
              <w:right w:w="0" w:type="dxa"/>
            </w:tcMar>
            <w:vAlign w:val="bottom"/>
          </w:tcPr>
          <w:p w14:paraId="57BD0D8C" w14:textId="77777777" w:rsidR="00EA2899" w:rsidRPr="00EA2899" w:rsidRDefault="00EA2899" w:rsidP="00652238">
            <w:pPr>
              <w:spacing w:line="240" w:lineRule="atLeast"/>
              <w:jc w:val="right"/>
              <w:rPr>
                <w:rFonts w:ascii="Tahoma" w:hAnsi="Tahoma"/>
                <w:b/>
                <w:bCs/>
                <w:color w:val="000000" w:themeColor="text1"/>
                <w:sz w:val="16"/>
                <w:lang w:val="en-GB"/>
              </w:rPr>
            </w:pPr>
            <w:r w:rsidRPr="00EA2899">
              <w:rPr>
                <w:rFonts w:ascii="Tahoma" w:hAnsi="Tahoma"/>
                <w:b/>
                <w:bCs/>
                <w:color w:val="000000" w:themeColor="text1"/>
                <w:sz w:val="16"/>
                <w:lang w:val="en-GB"/>
              </w:rPr>
              <w:t>2022</w:t>
            </w:r>
          </w:p>
          <w:p w14:paraId="0ABD9964" w14:textId="77777777" w:rsidR="00EA2899" w:rsidRPr="00EA2899" w:rsidRDefault="00EA2899" w:rsidP="00652238">
            <w:pPr>
              <w:spacing w:line="240" w:lineRule="atLeast"/>
              <w:jc w:val="right"/>
              <w:rPr>
                <w:rFonts w:ascii="Tahoma" w:hAnsi="Tahoma"/>
                <w:b/>
                <w:bCs/>
                <w:color w:val="000000" w:themeColor="text1"/>
                <w:sz w:val="16"/>
                <w:lang w:val="en-GB"/>
              </w:rPr>
            </w:pPr>
            <w:proofErr w:type="spellStart"/>
            <w:r w:rsidRPr="00EA2899">
              <w:rPr>
                <w:rFonts w:ascii="Tahoma" w:hAnsi="Tahoma"/>
                <w:b/>
                <w:bCs/>
                <w:color w:val="000000" w:themeColor="text1"/>
                <w:sz w:val="16"/>
                <w:lang w:val="en-GB"/>
              </w:rPr>
              <w:t>US$’m</w:t>
            </w:r>
            <w:proofErr w:type="spellEnd"/>
          </w:p>
        </w:tc>
        <w:tc>
          <w:tcPr>
            <w:tcW w:w="1134" w:type="dxa"/>
            <w:tcBorders>
              <w:bottom w:val="single" w:sz="12" w:space="0" w:color="auto"/>
            </w:tcBorders>
            <w:shd w:val="clear" w:color="auto" w:fill="auto"/>
            <w:tcMar>
              <w:top w:w="113" w:type="dxa"/>
              <w:left w:w="0" w:type="dxa"/>
              <w:bottom w:w="113" w:type="dxa"/>
              <w:right w:w="0" w:type="dxa"/>
            </w:tcMar>
            <w:vAlign w:val="bottom"/>
          </w:tcPr>
          <w:p w14:paraId="26B24987" w14:textId="77777777" w:rsidR="00EA2899" w:rsidRPr="00EA2899" w:rsidRDefault="00EA2899" w:rsidP="00652238">
            <w:pPr>
              <w:spacing w:line="240" w:lineRule="atLeast"/>
              <w:jc w:val="right"/>
              <w:rPr>
                <w:rFonts w:ascii="Tahoma" w:hAnsi="Tahoma"/>
                <w:color w:val="000000" w:themeColor="text1"/>
                <w:sz w:val="16"/>
                <w:lang w:val="en-GB"/>
              </w:rPr>
            </w:pPr>
            <w:r w:rsidRPr="00EA2899">
              <w:rPr>
                <w:rFonts w:ascii="Tahoma" w:hAnsi="Tahoma"/>
                <w:color w:val="000000" w:themeColor="text1"/>
                <w:sz w:val="16"/>
                <w:lang w:val="en-GB"/>
              </w:rPr>
              <w:t>2021</w:t>
            </w:r>
          </w:p>
          <w:p w14:paraId="20BB7C5D" w14:textId="77777777" w:rsidR="00EA2899" w:rsidRPr="00EA2899" w:rsidRDefault="00EA2899" w:rsidP="00652238">
            <w:pPr>
              <w:spacing w:line="240" w:lineRule="atLeast"/>
              <w:jc w:val="right"/>
              <w:rPr>
                <w:rFonts w:ascii="Tahoma" w:hAnsi="Tahoma"/>
                <w:color w:val="000000" w:themeColor="text1"/>
                <w:sz w:val="16"/>
                <w:lang w:val="en-GB"/>
              </w:rPr>
            </w:pPr>
            <w:proofErr w:type="spellStart"/>
            <w:r w:rsidRPr="00EA2899">
              <w:rPr>
                <w:rFonts w:ascii="Tahoma" w:hAnsi="Tahoma"/>
                <w:color w:val="000000" w:themeColor="text1"/>
                <w:sz w:val="16"/>
                <w:lang w:val="en-GB"/>
              </w:rPr>
              <w:t>US$’m</w:t>
            </w:r>
            <w:proofErr w:type="spellEnd"/>
          </w:p>
        </w:tc>
        <w:tc>
          <w:tcPr>
            <w:tcW w:w="1134" w:type="dxa"/>
            <w:tcBorders>
              <w:bottom w:val="single" w:sz="12" w:space="0" w:color="auto"/>
            </w:tcBorders>
            <w:shd w:val="clear" w:color="auto" w:fill="auto"/>
            <w:tcMar>
              <w:top w:w="113" w:type="dxa"/>
              <w:left w:w="0" w:type="dxa"/>
              <w:bottom w:w="113" w:type="dxa"/>
              <w:right w:w="0" w:type="dxa"/>
            </w:tcMar>
            <w:vAlign w:val="bottom"/>
          </w:tcPr>
          <w:p w14:paraId="539EB7BA" w14:textId="77777777" w:rsidR="00EA2899" w:rsidRPr="00EA2899" w:rsidRDefault="00EA2899" w:rsidP="00D559F9">
            <w:pPr>
              <w:spacing w:line="240" w:lineRule="atLeast"/>
              <w:ind w:right="113"/>
              <w:jc w:val="right"/>
              <w:rPr>
                <w:rFonts w:ascii="Tahoma" w:hAnsi="Tahoma"/>
                <w:color w:val="000000" w:themeColor="text1"/>
                <w:sz w:val="16"/>
                <w:lang w:val="en-GB"/>
              </w:rPr>
            </w:pPr>
            <w:r w:rsidRPr="00EA2899">
              <w:rPr>
                <w:rFonts w:ascii="Tahoma" w:hAnsi="Tahoma"/>
                <w:color w:val="000000" w:themeColor="text1"/>
                <w:sz w:val="16"/>
                <w:lang w:val="en-GB"/>
              </w:rPr>
              <w:t>2022</w:t>
            </w:r>
          </w:p>
          <w:p w14:paraId="0AFB4067" w14:textId="77777777" w:rsidR="00EA2899" w:rsidRPr="00EA2899" w:rsidRDefault="00EA2899" w:rsidP="00D559F9">
            <w:pPr>
              <w:spacing w:line="240" w:lineRule="atLeast"/>
              <w:ind w:right="113"/>
              <w:jc w:val="right"/>
              <w:rPr>
                <w:rFonts w:ascii="Tahoma" w:hAnsi="Tahoma"/>
                <w:color w:val="000000" w:themeColor="text1"/>
                <w:sz w:val="16"/>
                <w:lang w:val="en-GB"/>
              </w:rPr>
            </w:pPr>
            <w:proofErr w:type="spellStart"/>
            <w:r w:rsidRPr="00EA2899">
              <w:rPr>
                <w:rFonts w:ascii="Tahoma" w:hAnsi="Tahoma"/>
                <w:color w:val="000000" w:themeColor="text1"/>
                <w:sz w:val="16"/>
                <w:lang w:val="en-GB"/>
              </w:rPr>
              <w:t>US$’m</w:t>
            </w:r>
            <w:proofErr w:type="spellEnd"/>
          </w:p>
        </w:tc>
      </w:tr>
      <w:tr w:rsidR="00615190" w:rsidRPr="00EA2899" w14:paraId="234A5E9C" w14:textId="77777777" w:rsidTr="000440EF">
        <w:trPr>
          <w:trHeight w:val="60"/>
        </w:trPr>
        <w:tc>
          <w:tcPr>
            <w:tcW w:w="6096" w:type="dxa"/>
            <w:tcBorders>
              <w:top w:val="single" w:sz="12" w:space="0" w:color="auto"/>
            </w:tcBorders>
            <w:shd w:val="clear" w:color="auto" w:fill="auto"/>
            <w:tcMar>
              <w:top w:w="142" w:type="dxa"/>
              <w:left w:w="0" w:type="dxa"/>
              <w:bottom w:w="57" w:type="dxa"/>
              <w:right w:w="0" w:type="dxa"/>
            </w:tcMar>
            <w:vAlign w:val="bottom"/>
          </w:tcPr>
          <w:p w14:paraId="7E1B66D1" w14:textId="77777777" w:rsidR="00EA2899" w:rsidRPr="00EA2899" w:rsidRDefault="00EA2899" w:rsidP="00615190">
            <w:pPr>
              <w:spacing w:line="240" w:lineRule="atLeast"/>
              <w:rPr>
                <w:rFonts w:ascii="Tahoma" w:hAnsi="Tahoma"/>
                <w:b/>
                <w:bCs/>
                <w:color w:val="000000" w:themeColor="text1"/>
                <w:sz w:val="16"/>
                <w:lang w:val="en-GB"/>
              </w:rPr>
            </w:pPr>
            <w:r w:rsidRPr="00EA2899">
              <w:rPr>
                <w:rFonts w:ascii="Tahoma" w:hAnsi="Tahoma"/>
                <w:b/>
                <w:bCs/>
                <w:color w:val="000000" w:themeColor="text1"/>
                <w:sz w:val="16"/>
                <w:lang w:val="en-GB"/>
              </w:rPr>
              <w:t>Profit for the period</w:t>
            </w:r>
          </w:p>
        </w:tc>
        <w:tc>
          <w:tcPr>
            <w:tcW w:w="708" w:type="dxa"/>
            <w:tcBorders>
              <w:top w:val="single" w:sz="12" w:space="0" w:color="auto"/>
            </w:tcBorders>
            <w:shd w:val="clear" w:color="auto" w:fill="auto"/>
            <w:tcMar>
              <w:top w:w="142" w:type="dxa"/>
              <w:left w:w="0" w:type="dxa"/>
              <w:bottom w:w="57" w:type="dxa"/>
              <w:right w:w="0" w:type="dxa"/>
            </w:tcMar>
            <w:vAlign w:val="bottom"/>
          </w:tcPr>
          <w:p w14:paraId="7C446A17" w14:textId="77777777" w:rsidR="00EA2899" w:rsidRPr="00EA2899" w:rsidRDefault="00EA2899" w:rsidP="00615190">
            <w:pPr>
              <w:spacing w:line="240" w:lineRule="atLeast"/>
              <w:rPr>
                <w:rFonts w:ascii="Tahoma" w:hAnsi="Tahoma"/>
                <w:color w:val="000000" w:themeColor="text1"/>
                <w:sz w:val="16"/>
                <w:lang w:val="en-GB"/>
              </w:rPr>
            </w:pPr>
          </w:p>
        </w:tc>
        <w:tc>
          <w:tcPr>
            <w:tcW w:w="1134" w:type="dxa"/>
            <w:tcBorders>
              <w:top w:val="single" w:sz="12" w:space="0" w:color="auto"/>
            </w:tcBorders>
            <w:shd w:val="clear" w:color="auto" w:fill="auto"/>
            <w:tcMar>
              <w:top w:w="142" w:type="dxa"/>
              <w:left w:w="0" w:type="dxa"/>
              <w:bottom w:w="57" w:type="dxa"/>
              <w:right w:w="0" w:type="dxa"/>
            </w:tcMar>
            <w:vAlign w:val="bottom"/>
          </w:tcPr>
          <w:p w14:paraId="67A6F275" w14:textId="77777777" w:rsidR="00EA2899" w:rsidRPr="00EA2899" w:rsidRDefault="00EA2899" w:rsidP="00652238">
            <w:pPr>
              <w:spacing w:line="240" w:lineRule="atLeast"/>
              <w:jc w:val="right"/>
              <w:rPr>
                <w:rFonts w:ascii="Tahoma" w:hAnsi="Tahoma"/>
                <w:b/>
                <w:bCs/>
                <w:color w:val="000000" w:themeColor="text1"/>
                <w:sz w:val="16"/>
                <w:lang w:val="en-GB"/>
              </w:rPr>
            </w:pPr>
            <w:r w:rsidRPr="00EA2899">
              <w:rPr>
                <w:rFonts w:ascii="Tahoma" w:hAnsi="Tahoma"/>
                <w:b/>
                <w:bCs/>
                <w:color w:val="000000" w:themeColor="text1"/>
                <w:sz w:val="16"/>
                <w:lang w:val="en-GB"/>
              </w:rPr>
              <w:t>2 516</w:t>
            </w:r>
          </w:p>
        </w:tc>
        <w:tc>
          <w:tcPr>
            <w:tcW w:w="1134" w:type="dxa"/>
            <w:tcBorders>
              <w:top w:val="single" w:sz="12" w:space="0" w:color="auto"/>
            </w:tcBorders>
            <w:shd w:val="clear" w:color="auto" w:fill="auto"/>
            <w:tcMar>
              <w:top w:w="142" w:type="dxa"/>
              <w:left w:w="0" w:type="dxa"/>
              <w:bottom w:w="57" w:type="dxa"/>
              <w:right w:w="0" w:type="dxa"/>
            </w:tcMar>
            <w:vAlign w:val="bottom"/>
          </w:tcPr>
          <w:p w14:paraId="0AB06752" w14:textId="77777777" w:rsidR="00EA2899" w:rsidRPr="00EA2899" w:rsidRDefault="00EA2899" w:rsidP="00652238">
            <w:pPr>
              <w:spacing w:line="240" w:lineRule="atLeast"/>
              <w:jc w:val="right"/>
              <w:rPr>
                <w:rFonts w:ascii="Tahoma" w:hAnsi="Tahoma"/>
                <w:color w:val="000000" w:themeColor="text1"/>
                <w:sz w:val="16"/>
                <w:lang w:val="en-GB"/>
              </w:rPr>
            </w:pPr>
            <w:r w:rsidRPr="00EA2899">
              <w:rPr>
                <w:rFonts w:ascii="Tahoma" w:hAnsi="Tahoma"/>
                <w:color w:val="000000" w:themeColor="text1"/>
                <w:sz w:val="16"/>
                <w:lang w:val="en-GB"/>
              </w:rPr>
              <w:t>15 819</w:t>
            </w:r>
          </w:p>
        </w:tc>
        <w:tc>
          <w:tcPr>
            <w:tcW w:w="1134" w:type="dxa"/>
            <w:tcBorders>
              <w:top w:val="single" w:sz="12" w:space="0" w:color="auto"/>
            </w:tcBorders>
            <w:shd w:val="clear" w:color="auto" w:fill="auto"/>
            <w:tcMar>
              <w:top w:w="142" w:type="dxa"/>
              <w:left w:w="0" w:type="dxa"/>
              <w:bottom w:w="57" w:type="dxa"/>
              <w:right w:w="0" w:type="dxa"/>
            </w:tcMar>
            <w:vAlign w:val="bottom"/>
          </w:tcPr>
          <w:p w14:paraId="2C786F16" w14:textId="77777777" w:rsidR="00EA2899" w:rsidRPr="00EA2899" w:rsidRDefault="00EA2899" w:rsidP="00D559F9">
            <w:pPr>
              <w:spacing w:line="240" w:lineRule="atLeast"/>
              <w:ind w:right="113"/>
              <w:jc w:val="right"/>
              <w:rPr>
                <w:rFonts w:ascii="Tahoma" w:hAnsi="Tahoma"/>
                <w:color w:val="000000" w:themeColor="text1"/>
                <w:sz w:val="16"/>
                <w:lang w:val="en-GB"/>
              </w:rPr>
            </w:pPr>
            <w:r w:rsidRPr="00EA2899">
              <w:rPr>
                <w:rFonts w:ascii="Tahoma" w:hAnsi="Tahoma"/>
                <w:color w:val="000000" w:themeColor="text1"/>
                <w:sz w:val="16"/>
                <w:lang w:val="en-GB"/>
              </w:rPr>
              <w:t>18 594</w:t>
            </w:r>
          </w:p>
        </w:tc>
      </w:tr>
      <w:tr w:rsidR="00615190" w:rsidRPr="00EA2899" w14:paraId="5FDC7F30" w14:textId="77777777" w:rsidTr="003A5152">
        <w:trPr>
          <w:trHeight w:val="60"/>
        </w:trPr>
        <w:tc>
          <w:tcPr>
            <w:tcW w:w="6096" w:type="dxa"/>
            <w:shd w:val="clear" w:color="auto" w:fill="auto"/>
            <w:tcMar>
              <w:top w:w="57" w:type="dxa"/>
              <w:left w:w="0" w:type="dxa"/>
              <w:bottom w:w="57" w:type="dxa"/>
              <w:right w:w="0" w:type="dxa"/>
            </w:tcMar>
            <w:vAlign w:val="bottom"/>
          </w:tcPr>
          <w:p w14:paraId="771C4250" w14:textId="77777777" w:rsidR="00EA2899" w:rsidRPr="00EA2899" w:rsidRDefault="00EA2899" w:rsidP="00615190">
            <w:pPr>
              <w:spacing w:line="240" w:lineRule="atLeast"/>
              <w:rPr>
                <w:rFonts w:ascii="Tahoma" w:hAnsi="Tahoma"/>
                <w:b/>
                <w:bCs/>
                <w:color w:val="000000" w:themeColor="text1"/>
                <w:sz w:val="16"/>
                <w:lang w:val="en-GB"/>
              </w:rPr>
            </w:pPr>
            <w:r w:rsidRPr="00EA2899">
              <w:rPr>
                <w:rFonts w:ascii="Tahoma" w:hAnsi="Tahoma"/>
                <w:b/>
                <w:bCs/>
                <w:color w:val="000000" w:themeColor="text1"/>
                <w:sz w:val="16"/>
                <w:lang w:val="en-GB"/>
              </w:rPr>
              <w:t>Total other comprehensive (loss)/income, net of tax, for the period:</w:t>
            </w:r>
          </w:p>
        </w:tc>
        <w:tc>
          <w:tcPr>
            <w:tcW w:w="708" w:type="dxa"/>
            <w:shd w:val="clear" w:color="auto" w:fill="auto"/>
            <w:tcMar>
              <w:top w:w="57" w:type="dxa"/>
              <w:left w:w="0" w:type="dxa"/>
              <w:bottom w:w="57" w:type="dxa"/>
              <w:right w:w="0" w:type="dxa"/>
            </w:tcMar>
            <w:vAlign w:val="bottom"/>
          </w:tcPr>
          <w:p w14:paraId="1228E762" w14:textId="77777777" w:rsidR="00EA2899" w:rsidRPr="00EA2899" w:rsidRDefault="00EA2899" w:rsidP="00615190">
            <w:pPr>
              <w:spacing w:line="240" w:lineRule="atLeast"/>
              <w:rPr>
                <w:rFonts w:ascii="Tahoma" w:hAnsi="Tahoma"/>
                <w:color w:val="000000" w:themeColor="text1"/>
                <w:sz w:val="16"/>
                <w:lang w:val="en-GB"/>
              </w:rPr>
            </w:pPr>
          </w:p>
        </w:tc>
        <w:tc>
          <w:tcPr>
            <w:tcW w:w="1134" w:type="dxa"/>
            <w:shd w:val="clear" w:color="auto" w:fill="auto"/>
            <w:tcMar>
              <w:top w:w="57" w:type="dxa"/>
              <w:left w:w="0" w:type="dxa"/>
              <w:bottom w:w="57" w:type="dxa"/>
              <w:right w:w="0" w:type="dxa"/>
            </w:tcMar>
            <w:vAlign w:val="bottom"/>
          </w:tcPr>
          <w:p w14:paraId="464158DE" w14:textId="77777777" w:rsidR="00EA2899" w:rsidRPr="00EA2899" w:rsidRDefault="00EA2899" w:rsidP="00652238">
            <w:pPr>
              <w:spacing w:line="240" w:lineRule="atLeast"/>
              <w:jc w:val="right"/>
              <w:rPr>
                <w:rFonts w:ascii="Tahoma" w:hAnsi="Tahoma"/>
                <w:b/>
                <w:bCs/>
                <w:color w:val="000000" w:themeColor="text1"/>
                <w:sz w:val="16"/>
                <w:lang w:val="en-GB"/>
              </w:rPr>
            </w:pPr>
            <w:r w:rsidRPr="00EA2899">
              <w:rPr>
                <w:rFonts w:ascii="Tahoma" w:hAnsi="Tahoma"/>
                <w:b/>
                <w:bCs/>
                <w:color w:val="000000" w:themeColor="text1"/>
                <w:sz w:val="16"/>
                <w:lang w:val="en-GB"/>
              </w:rPr>
              <w:t>(6 349)</w:t>
            </w:r>
          </w:p>
        </w:tc>
        <w:tc>
          <w:tcPr>
            <w:tcW w:w="1134" w:type="dxa"/>
            <w:shd w:val="clear" w:color="auto" w:fill="auto"/>
            <w:tcMar>
              <w:top w:w="57" w:type="dxa"/>
              <w:left w:w="0" w:type="dxa"/>
              <w:bottom w:w="57" w:type="dxa"/>
              <w:right w:w="0" w:type="dxa"/>
            </w:tcMar>
            <w:vAlign w:val="bottom"/>
          </w:tcPr>
          <w:p w14:paraId="53FB1450" w14:textId="77777777" w:rsidR="00EA2899" w:rsidRPr="00EA2899" w:rsidRDefault="00EA2899" w:rsidP="00652238">
            <w:pPr>
              <w:spacing w:line="240" w:lineRule="atLeast"/>
              <w:jc w:val="right"/>
              <w:rPr>
                <w:rFonts w:ascii="Tahoma" w:hAnsi="Tahoma"/>
                <w:color w:val="000000" w:themeColor="text1"/>
                <w:sz w:val="16"/>
                <w:lang w:val="en-GB"/>
              </w:rPr>
            </w:pPr>
            <w:r w:rsidRPr="00EA2899">
              <w:rPr>
                <w:rFonts w:ascii="Tahoma" w:hAnsi="Tahoma"/>
                <w:color w:val="000000" w:themeColor="text1"/>
                <w:sz w:val="16"/>
                <w:lang w:val="en-GB"/>
              </w:rPr>
              <w:t>852</w:t>
            </w:r>
          </w:p>
        </w:tc>
        <w:tc>
          <w:tcPr>
            <w:tcW w:w="1134" w:type="dxa"/>
            <w:shd w:val="clear" w:color="auto" w:fill="auto"/>
            <w:tcMar>
              <w:top w:w="57" w:type="dxa"/>
              <w:left w:w="0" w:type="dxa"/>
              <w:bottom w:w="57" w:type="dxa"/>
              <w:right w:w="0" w:type="dxa"/>
            </w:tcMar>
            <w:vAlign w:val="bottom"/>
          </w:tcPr>
          <w:p w14:paraId="62472ED5" w14:textId="77777777" w:rsidR="00EA2899" w:rsidRPr="00EA2899" w:rsidRDefault="00EA2899" w:rsidP="00D559F9">
            <w:pPr>
              <w:spacing w:line="240" w:lineRule="atLeast"/>
              <w:ind w:right="113"/>
              <w:jc w:val="right"/>
              <w:rPr>
                <w:rFonts w:ascii="Tahoma" w:hAnsi="Tahoma"/>
                <w:color w:val="000000" w:themeColor="text1"/>
                <w:sz w:val="16"/>
                <w:lang w:val="en-GB"/>
              </w:rPr>
            </w:pPr>
            <w:r w:rsidRPr="00EA2899">
              <w:rPr>
                <w:rFonts w:ascii="Tahoma" w:hAnsi="Tahoma"/>
                <w:color w:val="000000" w:themeColor="text1"/>
                <w:sz w:val="16"/>
                <w:lang w:val="en-GB"/>
              </w:rPr>
              <w:t>(3 111)</w:t>
            </w:r>
          </w:p>
        </w:tc>
      </w:tr>
      <w:tr w:rsidR="00615190" w:rsidRPr="00EA2899" w14:paraId="4BDC58E6" w14:textId="77777777" w:rsidTr="00556449">
        <w:trPr>
          <w:trHeight w:val="60"/>
        </w:trPr>
        <w:tc>
          <w:tcPr>
            <w:tcW w:w="6096" w:type="dxa"/>
            <w:shd w:val="clear" w:color="auto" w:fill="auto"/>
            <w:tcMar>
              <w:top w:w="57" w:type="dxa"/>
              <w:left w:w="0" w:type="dxa"/>
              <w:bottom w:w="57" w:type="dxa"/>
              <w:right w:w="0" w:type="dxa"/>
            </w:tcMar>
            <w:vAlign w:val="bottom"/>
          </w:tcPr>
          <w:p w14:paraId="29083E2A" w14:textId="77777777" w:rsidR="00EA2899" w:rsidRPr="00EA2899" w:rsidRDefault="00EA2899" w:rsidP="00615190">
            <w:pPr>
              <w:spacing w:line="240" w:lineRule="atLeast"/>
              <w:rPr>
                <w:rFonts w:ascii="Tahoma" w:hAnsi="Tahoma"/>
                <w:b/>
                <w:bCs/>
                <w:color w:val="000000" w:themeColor="text1"/>
                <w:sz w:val="16"/>
                <w:lang w:val="en-GB"/>
              </w:rPr>
            </w:pPr>
            <w:r w:rsidRPr="00EA2899">
              <w:rPr>
                <w:rFonts w:ascii="Tahoma" w:hAnsi="Tahoma"/>
                <w:b/>
                <w:bCs/>
                <w:color w:val="000000" w:themeColor="text1"/>
                <w:sz w:val="16"/>
                <w:lang w:val="en-GB"/>
              </w:rPr>
              <w:t>Items that may be subsequently reclassified to profit or loss</w:t>
            </w:r>
          </w:p>
        </w:tc>
        <w:tc>
          <w:tcPr>
            <w:tcW w:w="708" w:type="dxa"/>
            <w:shd w:val="clear" w:color="auto" w:fill="auto"/>
            <w:tcMar>
              <w:top w:w="57" w:type="dxa"/>
              <w:left w:w="0" w:type="dxa"/>
              <w:bottom w:w="57" w:type="dxa"/>
              <w:right w:w="0" w:type="dxa"/>
            </w:tcMar>
            <w:vAlign w:val="bottom"/>
          </w:tcPr>
          <w:p w14:paraId="3C45900C" w14:textId="77777777" w:rsidR="00EA2899" w:rsidRPr="00EA2899" w:rsidRDefault="00EA2899" w:rsidP="00615190">
            <w:pPr>
              <w:spacing w:line="240" w:lineRule="atLeast"/>
              <w:rPr>
                <w:rFonts w:ascii="Tahoma" w:hAnsi="Tahoma"/>
                <w:color w:val="000000" w:themeColor="text1"/>
                <w:sz w:val="16"/>
                <w:lang w:val="en-GB"/>
              </w:rPr>
            </w:pPr>
          </w:p>
        </w:tc>
        <w:tc>
          <w:tcPr>
            <w:tcW w:w="1134" w:type="dxa"/>
            <w:tcBorders>
              <w:bottom w:val="single" w:sz="4" w:space="0" w:color="auto"/>
            </w:tcBorders>
            <w:shd w:val="clear" w:color="auto" w:fill="auto"/>
            <w:tcMar>
              <w:top w:w="57" w:type="dxa"/>
              <w:left w:w="0" w:type="dxa"/>
              <w:bottom w:w="57" w:type="dxa"/>
              <w:right w:w="0" w:type="dxa"/>
            </w:tcMar>
            <w:vAlign w:val="bottom"/>
          </w:tcPr>
          <w:p w14:paraId="53B3FE71" w14:textId="77777777" w:rsidR="00EA2899" w:rsidRPr="00EA2899" w:rsidRDefault="00EA2899" w:rsidP="00652238">
            <w:pPr>
              <w:spacing w:line="240" w:lineRule="atLeast"/>
              <w:jc w:val="right"/>
              <w:rPr>
                <w:rFonts w:ascii="Tahoma" w:hAnsi="Tahoma"/>
                <w:b/>
                <w:bCs/>
                <w:color w:val="000000" w:themeColor="text1"/>
                <w:sz w:val="16"/>
                <w:lang w:val="en-GB"/>
              </w:rPr>
            </w:pPr>
          </w:p>
        </w:tc>
        <w:tc>
          <w:tcPr>
            <w:tcW w:w="1134" w:type="dxa"/>
            <w:tcBorders>
              <w:bottom w:val="single" w:sz="4" w:space="0" w:color="auto"/>
            </w:tcBorders>
            <w:shd w:val="clear" w:color="auto" w:fill="auto"/>
            <w:tcMar>
              <w:top w:w="57" w:type="dxa"/>
              <w:left w:w="0" w:type="dxa"/>
              <w:bottom w:w="57" w:type="dxa"/>
              <w:right w:w="0" w:type="dxa"/>
            </w:tcMar>
            <w:vAlign w:val="bottom"/>
          </w:tcPr>
          <w:p w14:paraId="3B3505F9" w14:textId="77777777" w:rsidR="00EA2899" w:rsidRPr="00EA2899" w:rsidRDefault="00EA2899" w:rsidP="00652238">
            <w:pPr>
              <w:spacing w:line="240" w:lineRule="atLeast"/>
              <w:jc w:val="right"/>
              <w:rPr>
                <w:rFonts w:ascii="Tahoma" w:hAnsi="Tahoma"/>
                <w:color w:val="000000" w:themeColor="text1"/>
                <w:sz w:val="16"/>
                <w:lang w:val="en-GB"/>
              </w:rPr>
            </w:pPr>
          </w:p>
        </w:tc>
        <w:tc>
          <w:tcPr>
            <w:tcW w:w="1134" w:type="dxa"/>
            <w:tcBorders>
              <w:bottom w:val="single" w:sz="4" w:space="0" w:color="auto"/>
            </w:tcBorders>
            <w:shd w:val="clear" w:color="auto" w:fill="auto"/>
            <w:tcMar>
              <w:top w:w="57" w:type="dxa"/>
              <w:left w:w="0" w:type="dxa"/>
              <w:bottom w:w="57" w:type="dxa"/>
              <w:right w:w="0" w:type="dxa"/>
            </w:tcMar>
            <w:vAlign w:val="bottom"/>
          </w:tcPr>
          <w:p w14:paraId="7C3301E3" w14:textId="77777777" w:rsidR="00EA2899" w:rsidRPr="00EA2899" w:rsidRDefault="00EA2899" w:rsidP="00D559F9">
            <w:pPr>
              <w:spacing w:line="240" w:lineRule="atLeast"/>
              <w:ind w:right="113"/>
              <w:jc w:val="right"/>
              <w:rPr>
                <w:rFonts w:ascii="Tahoma" w:hAnsi="Tahoma"/>
                <w:color w:val="000000" w:themeColor="text1"/>
                <w:sz w:val="16"/>
                <w:lang w:val="en-GB"/>
              </w:rPr>
            </w:pPr>
          </w:p>
        </w:tc>
      </w:tr>
      <w:tr w:rsidR="00615190" w:rsidRPr="00EA2899" w14:paraId="75DB35AF" w14:textId="77777777" w:rsidTr="00556449">
        <w:trPr>
          <w:trHeight w:val="60"/>
        </w:trPr>
        <w:tc>
          <w:tcPr>
            <w:tcW w:w="6096" w:type="dxa"/>
            <w:shd w:val="clear" w:color="auto" w:fill="auto"/>
            <w:tcMar>
              <w:top w:w="57" w:type="dxa"/>
              <w:left w:w="113" w:type="dxa"/>
              <w:bottom w:w="57" w:type="dxa"/>
              <w:right w:w="0" w:type="dxa"/>
            </w:tcMar>
            <w:vAlign w:val="bottom"/>
          </w:tcPr>
          <w:p w14:paraId="5F4B5E13" w14:textId="77777777" w:rsidR="00EA2899" w:rsidRPr="00EA2899" w:rsidRDefault="00EA2899" w:rsidP="00615190">
            <w:pPr>
              <w:spacing w:line="240" w:lineRule="atLeast"/>
              <w:rPr>
                <w:rFonts w:ascii="Tahoma" w:hAnsi="Tahoma"/>
                <w:color w:val="000000" w:themeColor="text1"/>
                <w:sz w:val="16"/>
                <w:lang w:val="en-GB"/>
              </w:rPr>
            </w:pPr>
            <w:r w:rsidRPr="00EA2899">
              <w:rPr>
                <w:rFonts w:ascii="Tahoma" w:hAnsi="Tahoma"/>
                <w:color w:val="000000" w:themeColor="text1"/>
                <w:sz w:val="16"/>
                <w:lang w:val="en-GB"/>
              </w:rPr>
              <w:t>Translation of foreign operations</w:t>
            </w:r>
            <w:r w:rsidRPr="00EA2899">
              <w:rPr>
                <w:rFonts w:ascii="Tahoma" w:hAnsi="Tahoma"/>
                <w:color w:val="000000" w:themeColor="text1"/>
                <w:sz w:val="16"/>
                <w:vertAlign w:val="superscript"/>
                <w:lang w:val="en-GB"/>
              </w:rPr>
              <w:t>1, 2</w:t>
            </w:r>
          </w:p>
        </w:tc>
        <w:tc>
          <w:tcPr>
            <w:tcW w:w="708" w:type="dxa"/>
            <w:tcBorders>
              <w:right w:val="single" w:sz="4" w:space="0" w:color="auto"/>
            </w:tcBorders>
            <w:shd w:val="clear" w:color="auto" w:fill="auto"/>
            <w:tcMar>
              <w:top w:w="57" w:type="dxa"/>
              <w:left w:w="0" w:type="dxa"/>
              <w:bottom w:w="57" w:type="dxa"/>
              <w:right w:w="0" w:type="dxa"/>
            </w:tcMar>
            <w:vAlign w:val="bottom"/>
          </w:tcPr>
          <w:p w14:paraId="6964D5AB" w14:textId="77777777" w:rsidR="00EA2899" w:rsidRPr="00EA2899" w:rsidRDefault="00EA2899" w:rsidP="00615190">
            <w:pPr>
              <w:spacing w:line="240" w:lineRule="atLeast"/>
              <w:rPr>
                <w:rFonts w:ascii="Tahoma" w:hAnsi="Tahoma"/>
                <w:color w:val="000000" w:themeColor="text1"/>
                <w:sz w:val="16"/>
                <w:lang w:val="en-GB"/>
              </w:rPr>
            </w:pPr>
          </w:p>
        </w:tc>
        <w:tc>
          <w:tcPr>
            <w:tcW w:w="1134" w:type="dxa"/>
            <w:tcBorders>
              <w:top w:val="single" w:sz="4" w:space="0" w:color="auto"/>
              <w:left w:val="single" w:sz="4" w:space="0" w:color="auto"/>
            </w:tcBorders>
            <w:shd w:val="clear" w:color="auto" w:fill="auto"/>
            <w:tcMar>
              <w:top w:w="57" w:type="dxa"/>
              <w:left w:w="0" w:type="dxa"/>
              <w:bottom w:w="57" w:type="dxa"/>
              <w:right w:w="0" w:type="dxa"/>
            </w:tcMar>
            <w:vAlign w:val="bottom"/>
          </w:tcPr>
          <w:p w14:paraId="5C65E7FF" w14:textId="77777777" w:rsidR="00EA2899" w:rsidRPr="00EA2899" w:rsidRDefault="00EA2899" w:rsidP="00652238">
            <w:pPr>
              <w:spacing w:line="240" w:lineRule="atLeast"/>
              <w:jc w:val="right"/>
              <w:rPr>
                <w:rFonts w:ascii="Tahoma" w:hAnsi="Tahoma"/>
                <w:b/>
                <w:bCs/>
                <w:color w:val="000000" w:themeColor="text1"/>
                <w:sz w:val="16"/>
                <w:lang w:val="en-GB"/>
              </w:rPr>
            </w:pPr>
            <w:r w:rsidRPr="00EA2899">
              <w:rPr>
                <w:rFonts w:ascii="Tahoma" w:hAnsi="Tahoma"/>
                <w:b/>
                <w:bCs/>
                <w:color w:val="000000" w:themeColor="text1"/>
                <w:sz w:val="16"/>
                <w:lang w:val="en-GB"/>
              </w:rPr>
              <w:t>(3 538)</w:t>
            </w:r>
          </w:p>
        </w:tc>
        <w:tc>
          <w:tcPr>
            <w:tcW w:w="1134" w:type="dxa"/>
            <w:tcBorders>
              <w:top w:val="single" w:sz="4" w:space="0" w:color="auto"/>
            </w:tcBorders>
            <w:shd w:val="clear" w:color="auto" w:fill="auto"/>
            <w:tcMar>
              <w:top w:w="57" w:type="dxa"/>
              <w:left w:w="0" w:type="dxa"/>
              <w:bottom w:w="57" w:type="dxa"/>
              <w:right w:w="0" w:type="dxa"/>
            </w:tcMar>
            <w:vAlign w:val="bottom"/>
          </w:tcPr>
          <w:p w14:paraId="4C820A89" w14:textId="77777777" w:rsidR="00EA2899" w:rsidRPr="00EA2899" w:rsidRDefault="00EA2899" w:rsidP="00652238">
            <w:pPr>
              <w:spacing w:line="240" w:lineRule="atLeast"/>
              <w:jc w:val="right"/>
              <w:rPr>
                <w:rFonts w:ascii="Tahoma" w:hAnsi="Tahoma"/>
                <w:color w:val="000000" w:themeColor="text1"/>
                <w:sz w:val="16"/>
                <w:lang w:val="en-GB"/>
              </w:rPr>
            </w:pPr>
            <w:r w:rsidRPr="00EA2899">
              <w:rPr>
                <w:rFonts w:ascii="Tahoma" w:hAnsi="Tahoma"/>
                <w:color w:val="000000" w:themeColor="text1"/>
                <w:sz w:val="16"/>
                <w:lang w:val="en-GB"/>
              </w:rPr>
              <w:t>483</w:t>
            </w:r>
          </w:p>
        </w:tc>
        <w:tc>
          <w:tcPr>
            <w:tcW w:w="1134" w:type="dxa"/>
            <w:tcBorders>
              <w:top w:val="single" w:sz="4" w:space="0" w:color="auto"/>
              <w:right w:val="single" w:sz="4" w:space="0" w:color="auto"/>
            </w:tcBorders>
            <w:shd w:val="clear" w:color="auto" w:fill="auto"/>
            <w:tcMar>
              <w:top w:w="57" w:type="dxa"/>
              <w:left w:w="0" w:type="dxa"/>
              <w:bottom w:w="57" w:type="dxa"/>
              <w:right w:w="0" w:type="dxa"/>
            </w:tcMar>
            <w:vAlign w:val="bottom"/>
          </w:tcPr>
          <w:p w14:paraId="33DB0F00" w14:textId="77777777" w:rsidR="00EA2899" w:rsidRPr="00EA2899" w:rsidRDefault="00EA2899" w:rsidP="00D559F9">
            <w:pPr>
              <w:spacing w:line="240" w:lineRule="atLeast"/>
              <w:ind w:right="113"/>
              <w:jc w:val="right"/>
              <w:rPr>
                <w:rFonts w:ascii="Tahoma" w:hAnsi="Tahoma"/>
                <w:color w:val="000000" w:themeColor="text1"/>
                <w:sz w:val="16"/>
                <w:lang w:val="en-GB"/>
              </w:rPr>
            </w:pPr>
            <w:r w:rsidRPr="00EA2899">
              <w:rPr>
                <w:rFonts w:ascii="Tahoma" w:hAnsi="Tahoma"/>
                <w:color w:val="000000" w:themeColor="text1"/>
                <w:sz w:val="16"/>
                <w:lang w:val="en-GB"/>
              </w:rPr>
              <w:t>1 591</w:t>
            </w:r>
          </w:p>
        </w:tc>
      </w:tr>
      <w:tr w:rsidR="00615190" w:rsidRPr="00EA2899" w14:paraId="16407117" w14:textId="77777777" w:rsidTr="00556449">
        <w:trPr>
          <w:trHeight w:val="60"/>
        </w:trPr>
        <w:tc>
          <w:tcPr>
            <w:tcW w:w="6096" w:type="dxa"/>
            <w:shd w:val="clear" w:color="auto" w:fill="auto"/>
            <w:tcMar>
              <w:top w:w="57" w:type="dxa"/>
              <w:left w:w="113" w:type="dxa"/>
              <w:bottom w:w="57" w:type="dxa"/>
              <w:right w:w="0" w:type="dxa"/>
            </w:tcMar>
            <w:vAlign w:val="bottom"/>
          </w:tcPr>
          <w:p w14:paraId="75A76DBC" w14:textId="77777777" w:rsidR="00EA2899" w:rsidRPr="00EA2899" w:rsidRDefault="00EA2899" w:rsidP="00615190">
            <w:pPr>
              <w:spacing w:line="240" w:lineRule="atLeast"/>
              <w:rPr>
                <w:rFonts w:ascii="Tahoma" w:hAnsi="Tahoma"/>
                <w:color w:val="000000" w:themeColor="text1"/>
                <w:sz w:val="16"/>
                <w:lang w:val="en-GB"/>
              </w:rPr>
            </w:pPr>
            <w:r w:rsidRPr="00EA2899">
              <w:rPr>
                <w:rFonts w:ascii="Tahoma" w:hAnsi="Tahoma"/>
                <w:color w:val="000000" w:themeColor="text1"/>
                <w:sz w:val="16"/>
                <w:lang w:val="en-GB"/>
              </w:rPr>
              <w:t>Share of equity-accounted investments’ movement in other comprehensive income</w:t>
            </w:r>
            <w:r w:rsidRPr="00EA2899">
              <w:rPr>
                <w:rFonts w:ascii="Tahoma" w:hAnsi="Tahoma"/>
                <w:color w:val="000000" w:themeColor="text1"/>
                <w:sz w:val="16"/>
                <w:vertAlign w:val="superscript"/>
                <w:lang w:val="en-GB"/>
              </w:rPr>
              <w:t>3</w:t>
            </w:r>
          </w:p>
        </w:tc>
        <w:tc>
          <w:tcPr>
            <w:tcW w:w="708" w:type="dxa"/>
            <w:tcBorders>
              <w:right w:val="single" w:sz="4" w:space="0" w:color="auto"/>
            </w:tcBorders>
            <w:shd w:val="clear" w:color="auto" w:fill="auto"/>
            <w:tcMar>
              <w:top w:w="57" w:type="dxa"/>
              <w:left w:w="0" w:type="dxa"/>
              <w:bottom w:w="57" w:type="dxa"/>
              <w:right w:w="0" w:type="dxa"/>
            </w:tcMar>
            <w:vAlign w:val="bottom"/>
          </w:tcPr>
          <w:p w14:paraId="3329CC8B" w14:textId="77777777" w:rsidR="00EA2899" w:rsidRPr="00EA2899" w:rsidRDefault="00EA2899" w:rsidP="00615190">
            <w:pPr>
              <w:spacing w:line="240" w:lineRule="atLeast"/>
              <w:rPr>
                <w:rFonts w:ascii="Tahoma" w:hAnsi="Tahoma"/>
                <w:color w:val="000000" w:themeColor="text1"/>
                <w:sz w:val="16"/>
                <w:lang w:val="en-GB"/>
              </w:rPr>
            </w:pPr>
          </w:p>
        </w:tc>
        <w:tc>
          <w:tcPr>
            <w:tcW w:w="1134" w:type="dxa"/>
            <w:tcBorders>
              <w:left w:val="single" w:sz="4" w:space="0" w:color="auto"/>
            </w:tcBorders>
            <w:shd w:val="clear" w:color="auto" w:fill="auto"/>
            <w:tcMar>
              <w:top w:w="57" w:type="dxa"/>
              <w:left w:w="0" w:type="dxa"/>
              <w:bottom w:w="57" w:type="dxa"/>
              <w:right w:w="0" w:type="dxa"/>
            </w:tcMar>
            <w:vAlign w:val="bottom"/>
          </w:tcPr>
          <w:p w14:paraId="6598C517" w14:textId="77777777" w:rsidR="00EA2899" w:rsidRPr="00EA2899" w:rsidRDefault="00EA2899" w:rsidP="00652238">
            <w:pPr>
              <w:spacing w:line="240" w:lineRule="atLeast"/>
              <w:jc w:val="right"/>
              <w:rPr>
                <w:rFonts w:ascii="Tahoma" w:hAnsi="Tahoma"/>
                <w:b/>
                <w:bCs/>
                <w:color w:val="000000" w:themeColor="text1"/>
                <w:sz w:val="16"/>
                <w:lang w:val="en-GB"/>
              </w:rPr>
            </w:pPr>
            <w:r w:rsidRPr="00EA2899">
              <w:rPr>
                <w:rFonts w:ascii="Tahoma" w:hAnsi="Tahoma"/>
                <w:b/>
                <w:bCs/>
                <w:color w:val="000000" w:themeColor="text1"/>
                <w:sz w:val="16"/>
                <w:lang w:val="en-GB"/>
              </w:rPr>
              <w:t>301</w:t>
            </w:r>
          </w:p>
        </w:tc>
        <w:tc>
          <w:tcPr>
            <w:tcW w:w="1134" w:type="dxa"/>
            <w:shd w:val="clear" w:color="auto" w:fill="auto"/>
            <w:tcMar>
              <w:top w:w="57" w:type="dxa"/>
              <w:left w:w="0" w:type="dxa"/>
              <w:bottom w:w="57" w:type="dxa"/>
              <w:right w:w="0" w:type="dxa"/>
            </w:tcMar>
            <w:vAlign w:val="bottom"/>
          </w:tcPr>
          <w:p w14:paraId="30CDDFF8" w14:textId="77777777" w:rsidR="00EA2899" w:rsidRPr="00EA2899" w:rsidRDefault="00EA2899" w:rsidP="00652238">
            <w:pPr>
              <w:spacing w:line="240" w:lineRule="atLeast"/>
              <w:jc w:val="right"/>
              <w:rPr>
                <w:rFonts w:ascii="Tahoma" w:hAnsi="Tahoma"/>
                <w:color w:val="000000" w:themeColor="text1"/>
                <w:sz w:val="16"/>
                <w:lang w:val="en-GB"/>
              </w:rPr>
            </w:pPr>
            <w:r w:rsidRPr="00EA2899">
              <w:rPr>
                <w:rFonts w:ascii="Tahoma" w:hAnsi="Tahoma"/>
                <w:color w:val="000000" w:themeColor="text1"/>
                <w:sz w:val="16"/>
                <w:lang w:val="en-GB"/>
              </w:rPr>
              <w:t>(264)</w:t>
            </w:r>
          </w:p>
        </w:tc>
        <w:tc>
          <w:tcPr>
            <w:tcW w:w="1134" w:type="dxa"/>
            <w:tcBorders>
              <w:right w:val="single" w:sz="4" w:space="0" w:color="auto"/>
            </w:tcBorders>
            <w:shd w:val="clear" w:color="auto" w:fill="auto"/>
            <w:tcMar>
              <w:top w:w="57" w:type="dxa"/>
              <w:left w:w="0" w:type="dxa"/>
              <w:bottom w:w="57" w:type="dxa"/>
              <w:right w:w="0" w:type="dxa"/>
            </w:tcMar>
            <w:vAlign w:val="bottom"/>
          </w:tcPr>
          <w:p w14:paraId="6515F40D" w14:textId="77777777" w:rsidR="00EA2899" w:rsidRPr="00EA2899" w:rsidRDefault="00EA2899" w:rsidP="00D559F9">
            <w:pPr>
              <w:spacing w:line="240" w:lineRule="atLeast"/>
              <w:ind w:right="113"/>
              <w:jc w:val="right"/>
              <w:rPr>
                <w:rFonts w:ascii="Tahoma" w:hAnsi="Tahoma"/>
                <w:color w:val="000000" w:themeColor="text1"/>
                <w:sz w:val="16"/>
                <w:lang w:val="en-GB"/>
              </w:rPr>
            </w:pPr>
            <w:r w:rsidRPr="00EA2899">
              <w:rPr>
                <w:rFonts w:ascii="Tahoma" w:hAnsi="Tahoma"/>
                <w:color w:val="000000" w:themeColor="text1"/>
                <w:sz w:val="16"/>
                <w:lang w:val="en-GB"/>
              </w:rPr>
              <w:t>(813)</w:t>
            </w:r>
          </w:p>
        </w:tc>
      </w:tr>
      <w:tr w:rsidR="00615190" w:rsidRPr="00EA2899" w14:paraId="4BF44764" w14:textId="77777777" w:rsidTr="00556449">
        <w:trPr>
          <w:trHeight w:val="60"/>
        </w:trPr>
        <w:tc>
          <w:tcPr>
            <w:tcW w:w="6096" w:type="dxa"/>
            <w:shd w:val="clear" w:color="auto" w:fill="auto"/>
            <w:tcMar>
              <w:top w:w="57" w:type="dxa"/>
              <w:left w:w="113" w:type="dxa"/>
              <w:bottom w:w="57" w:type="dxa"/>
              <w:right w:w="0" w:type="dxa"/>
            </w:tcMar>
            <w:vAlign w:val="bottom"/>
          </w:tcPr>
          <w:p w14:paraId="413F3514" w14:textId="77777777" w:rsidR="00EA2899" w:rsidRPr="00EA2899" w:rsidRDefault="00EA2899" w:rsidP="00615190">
            <w:pPr>
              <w:spacing w:line="240" w:lineRule="atLeast"/>
              <w:rPr>
                <w:rFonts w:ascii="Tahoma" w:hAnsi="Tahoma"/>
                <w:color w:val="000000" w:themeColor="text1"/>
                <w:sz w:val="16"/>
                <w:lang w:val="en-GB"/>
              </w:rPr>
            </w:pPr>
            <w:r w:rsidRPr="00EA2899">
              <w:rPr>
                <w:rFonts w:ascii="Tahoma" w:hAnsi="Tahoma"/>
                <w:color w:val="000000" w:themeColor="text1"/>
                <w:sz w:val="16"/>
                <w:lang w:val="en-GB"/>
              </w:rPr>
              <w:t>Recognition of cash flow hedge</w:t>
            </w:r>
          </w:p>
        </w:tc>
        <w:tc>
          <w:tcPr>
            <w:tcW w:w="708" w:type="dxa"/>
            <w:tcBorders>
              <w:right w:val="single" w:sz="4" w:space="0" w:color="auto"/>
            </w:tcBorders>
            <w:shd w:val="clear" w:color="auto" w:fill="auto"/>
            <w:tcMar>
              <w:top w:w="57" w:type="dxa"/>
              <w:left w:w="0" w:type="dxa"/>
              <w:bottom w:w="57" w:type="dxa"/>
              <w:right w:w="0" w:type="dxa"/>
            </w:tcMar>
            <w:vAlign w:val="bottom"/>
          </w:tcPr>
          <w:p w14:paraId="30E4232C" w14:textId="77777777" w:rsidR="00EA2899" w:rsidRPr="00EA2899" w:rsidRDefault="00EA2899" w:rsidP="00615190">
            <w:pPr>
              <w:spacing w:line="240" w:lineRule="atLeast"/>
              <w:rPr>
                <w:rFonts w:ascii="Tahoma" w:hAnsi="Tahoma"/>
                <w:color w:val="000000" w:themeColor="text1"/>
                <w:sz w:val="16"/>
                <w:lang w:val="en-GB"/>
              </w:rPr>
            </w:pPr>
          </w:p>
        </w:tc>
        <w:tc>
          <w:tcPr>
            <w:tcW w:w="1134" w:type="dxa"/>
            <w:tcBorders>
              <w:left w:val="single" w:sz="4" w:space="0" w:color="auto"/>
            </w:tcBorders>
            <w:shd w:val="clear" w:color="auto" w:fill="auto"/>
            <w:tcMar>
              <w:top w:w="57" w:type="dxa"/>
              <w:left w:w="0" w:type="dxa"/>
              <w:bottom w:w="57" w:type="dxa"/>
              <w:right w:w="0" w:type="dxa"/>
            </w:tcMar>
            <w:vAlign w:val="bottom"/>
          </w:tcPr>
          <w:p w14:paraId="3B261FD5" w14:textId="77777777" w:rsidR="00EA2899" w:rsidRPr="00EA2899" w:rsidRDefault="00EA2899" w:rsidP="00652238">
            <w:pPr>
              <w:spacing w:line="240" w:lineRule="atLeast"/>
              <w:jc w:val="right"/>
              <w:rPr>
                <w:rFonts w:ascii="Tahoma" w:hAnsi="Tahoma"/>
                <w:b/>
                <w:bCs/>
                <w:color w:val="000000" w:themeColor="text1"/>
                <w:sz w:val="16"/>
                <w:lang w:val="en-GB"/>
              </w:rPr>
            </w:pPr>
            <w:r w:rsidRPr="00EA2899">
              <w:rPr>
                <w:rFonts w:ascii="Tahoma" w:hAnsi="Tahoma"/>
                <w:b/>
                <w:bCs/>
                <w:color w:val="000000" w:themeColor="text1"/>
                <w:sz w:val="16"/>
                <w:lang w:val="en-GB"/>
              </w:rPr>
              <w:t>—</w:t>
            </w:r>
          </w:p>
        </w:tc>
        <w:tc>
          <w:tcPr>
            <w:tcW w:w="1134" w:type="dxa"/>
            <w:shd w:val="clear" w:color="auto" w:fill="auto"/>
            <w:tcMar>
              <w:top w:w="57" w:type="dxa"/>
              <w:left w:w="0" w:type="dxa"/>
              <w:bottom w:w="57" w:type="dxa"/>
              <w:right w:w="0" w:type="dxa"/>
            </w:tcMar>
            <w:vAlign w:val="bottom"/>
          </w:tcPr>
          <w:p w14:paraId="40A007D8" w14:textId="77777777" w:rsidR="00EA2899" w:rsidRPr="00EA2899" w:rsidRDefault="00EA2899" w:rsidP="00652238">
            <w:pPr>
              <w:spacing w:line="240" w:lineRule="atLeast"/>
              <w:jc w:val="right"/>
              <w:rPr>
                <w:rFonts w:ascii="Tahoma" w:hAnsi="Tahoma"/>
                <w:color w:val="000000" w:themeColor="text1"/>
                <w:sz w:val="16"/>
                <w:lang w:val="en-GB"/>
              </w:rPr>
            </w:pPr>
            <w:r w:rsidRPr="00EA2899">
              <w:rPr>
                <w:rFonts w:ascii="Tahoma" w:hAnsi="Tahoma"/>
                <w:color w:val="000000" w:themeColor="text1"/>
                <w:sz w:val="16"/>
                <w:lang w:val="en-GB"/>
              </w:rPr>
              <w:t>(119)</w:t>
            </w:r>
          </w:p>
        </w:tc>
        <w:tc>
          <w:tcPr>
            <w:tcW w:w="1134" w:type="dxa"/>
            <w:tcBorders>
              <w:right w:val="single" w:sz="4" w:space="0" w:color="auto"/>
            </w:tcBorders>
            <w:shd w:val="clear" w:color="auto" w:fill="auto"/>
            <w:tcMar>
              <w:top w:w="57" w:type="dxa"/>
              <w:left w:w="0" w:type="dxa"/>
              <w:bottom w:w="57" w:type="dxa"/>
              <w:right w:w="0" w:type="dxa"/>
            </w:tcMar>
            <w:vAlign w:val="bottom"/>
          </w:tcPr>
          <w:p w14:paraId="5659BEA9" w14:textId="77777777" w:rsidR="00EA2899" w:rsidRPr="00EA2899" w:rsidRDefault="00EA2899" w:rsidP="00D559F9">
            <w:pPr>
              <w:spacing w:line="240" w:lineRule="atLeast"/>
              <w:ind w:right="113"/>
              <w:jc w:val="right"/>
              <w:rPr>
                <w:rFonts w:ascii="Tahoma" w:hAnsi="Tahoma"/>
                <w:color w:val="000000" w:themeColor="text1"/>
                <w:sz w:val="16"/>
                <w:lang w:val="en-GB"/>
              </w:rPr>
            </w:pPr>
            <w:r w:rsidRPr="00EA2899">
              <w:rPr>
                <w:rFonts w:ascii="Tahoma" w:hAnsi="Tahoma"/>
                <w:color w:val="000000" w:themeColor="text1"/>
                <w:sz w:val="16"/>
                <w:lang w:val="en-GB"/>
              </w:rPr>
              <w:t>(99)</w:t>
            </w:r>
          </w:p>
        </w:tc>
      </w:tr>
      <w:tr w:rsidR="00615190" w:rsidRPr="00EA2899" w14:paraId="49DF5322" w14:textId="77777777" w:rsidTr="00556449">
        <w:trPr>
          <w:trHeight w:val="60"/>
        </w:trPr>
        <w:tc>
          <w:tcPr>
            <w:tcW w:w="6096" w:type="dxa"/>
            <w:shd w:val="clear" w:color="auto" w:fill="auto"/>
            <w:tcMar>
              <w:top w:w="57" w:type="dxa"/>
              <w:left w:w="113" w:type="dxa"/>
              <w:bottom w:w="57" w:type="dxa"/>
              <w:right w:w="0" w:type="dxa"/>
            </w:tcMar>
            <w:vAlign w:val="bottom"/>
          </w:tcPr>
          <w:p w14:paraId="756393AD" w14:textId="77777777" w:rsidR="00EA2899" w:rsidRPr="00EA2899" w:rsidRDefault="00EA2899" w:rsidP="00615190">
            <w:pPr>
              <w:spacing w:line="240" w:lineRule="atLeast"/>
              <w:rPr>
                <w:rFonts w:ascii="Tahoma" w:hAnsi="Tahoma"/>
                <w:color w:val="000000" w:themeColor="text1"/>
                <w:sz w:val="16"/>
                <w:lang w:val="en-GB"/>
              </w:rPr>
            </w:pPr>
            <w:r w:rsidRPr="00EA2899">
              <w:rPr>
                <w:rFonts w:ascii="Tahoma" w:hAnsi="Tahoma"/>
                <w:color w:val="000000" w:themeColor="text1"/>
                <w:sz w:val="16"/>
                <w:lang w:val="en-GB"/>
              </w:rPr>
              <w:t>Derecognition of cash flow hedge</w:t>
            </w:r>
          </w:p>
        </w:tc>
        <w:tc>
          <w:tcPr>
            <w:tcW w:w="708" w:type="dxa"/>
            <w:tcBorders>
              <w:right w:val="single" w:sz="4" w:space="0" w:color="auto"/>
            </w:tcBorders>
            <w:shd w:val="clear" w:color="auto" w:fill="auto"/>
            <w:tcMar>
              <w:top w:w="57" w:type="dxa"/>
              <w:left w:w="0" w:type="dxa"/>
              <w:bottom w:w="57" w:type="dxa"/>
              <w:right w:w="0" w:type="dxa"/>
            </w:tcMar>
            <w:vAlign w:val="bottom"/>
          </w:tcPr>
          <w:p w14:paraId="08255793" w14:textId="77777777" w:rsidR="00EA2899" w:rsidRPr="00EA2899" w:rsidRDefault="00EA2899" w:rsidP="00615190">
            <w:pPr>
              <w:spacing w:line="240" w:lineRule="atLeast"/>
              <w:rPr>
                <w:rFonts w:ascii="Tahoma" w:hAnsi="Tahoma"/>
                <w:color w:val="000000" w:themeColor="text1"/>
                <w:sz w:val="16"/>
                <w:lang w:val="en-GB"/>
              </w:rPr>
            </w:pPr>
          </w:p>
        </w:tc>
        <w:tc>
          <w:tcPr>
            <w:tcW w:w="1134" w:type="dxa"/>
            <w:tcBorders>
              <w:left w:val="single" w:sz="4" w:space="0" w:color="auto"/>
            </w:tcBorders>
            <w:shd w:val="clear" w:color="auto" w:fill="auto"/>
            <w:tcMar>
              <w:top w:w="57" w:type="dxa"/>
              <w:left w:w="0" w:type="dxa"/>
              <w:bottom w:w="57" w:type="dxa"/>
              <w:right w:w="0" w:type="dxa"/>
            </w:tcMar>
            <w:vAlign w:val="bottom"/>
          </w:tcPr>
          <w:p w14:paraId="1B9D6278" w14:textId="77777777" w:rsidR="00EA2899" w:rsidRPr="00EA2899" w:rsidRDefault="00EA2899" w:rsidP="00652238">
            <w:pPr>
              <w:spacing w:line="240" w:lineRule="atLeast"/>
              <w:jc w:val="right"/>
              <w:rPr>
                <w:rFonts w:ascii="Tahoma" w:hAnsi="Tahoma"/>
                <w:b/>
                <w:bCs/>
                <w:color w:val="000000" w:themeColor="text1"/>
                <w:sz w:val="16"/>
                <w:lang w:val="en-GB"/>
              </w:rPr>
            </w:pPr>
            <w:r w:rsidRPr="00EA2899">
              <w:rPr>
                <w:rFonts w:ascii="Tahoma" w:hAnsi="Tahoma"/>
                <w:b/>
                <w:bCs/>
                <w:color w:val="000000" w:themeColor="text1"/>
                <w:sz w:val="16"/>
                <w:lang w:val="en-GB"/>
              </w:rPr>
              <w:t>—</w:t>
            </w:r>
          </w:p>
        </w:tc>
        <w:tc>
          <w:tcPr>
            <w:tcW w:w="1134" w:type="dxa"/>
            <w:shd w:val="clear" w:color="auto" w:fill="auto"/>
            <w:tcMar>
              <w:top w:w="57" w:type="dxa"/>
              <w:left w:w="0" w:type="dxa"/>
              <w:bottom w:w="57" w:type="dxa"/>
              <w:right w:w="0" w:type="dxa"/>
            </w:tcMar>
            <w:vAlign w:val="bottom"/>
          </w:tcPr>
          <w:p w14:paraId="7FD754AE" w14:textId="77777777" w:rsidR="00EA2899" w:rsidRPr="00EA2899" w:rsidRDefault="00EA2899" w:rsidP="00652238">
            <w:pPr>
              <w:spacing w:line="240" w:lineRule="atLeast"/>
              <w:jc w:val="right"/>
              <w:rPr>
                <w:rFonts w:ascii="Tahoma" w:hAnsi="Tahoma"/>
                <w:color w:val="000000" w:themeColor="text1"/>
                <w:sz w:val="16"/>
                <w:lang w:val="en-GB"/>
              </w:rPr>
            </w:pPr>
            <w:r w:rsidRPr="00EA2899">
              <w:rPr>
                <w:rFonts w:ascii="Tahoma" w:hAnsi="Tahoma"/>
                <w:color w:val="000000" w:themeColor="text1"/>
                <w:sz w:val="16"/>
                <w:lang w:val="en-GB"/>
              </w:rPr>
              <w:t>119</w:t>
            </w:r>
          </w:p>
        </w:tc>
        <w:tc>
          <w:tcPr>
            <w:tcW w:w="1134" w:type="dxa"/>
            <w:tcBorders>
              <w:right w:val="single" w:sz="4" w:space="0" w:color="auto"/>
            </w:tcBorders>
            <w:shd w:val="clear" w:color="auto" w:fill="auto"/>
            <w:tcMar>
              <w:top w:w="57" w:type="dxa"/>
              <w:left w:w="0" w:type="dxa"/>
              <w:bottom w:w="57" w:type="dxa"/>
              <w:right w:w="0" w:type="dxa"/>
            </w:tcMar>
            <w:vAlign w:val="bottom"/>
          </w:tcPr>
          <w:p w14:paraId="02D8952B" w14:textId="77777777" w:rsidR="00EA2899" w:rsidRPr="00EA2899" w:rsidRDefault="00EA2899" w:rsidP="00D559F9">
            <w:pPr>
              <w:spacing w:line="240" w:lineRule="atLeast"/>
              <w:ind w:right="113"/>
              <w:jc w:val="right"/>
              <w:rPr>
                <w:rFonts w:ascii="Tahoma" w:hAnsi="Tahoma"/>
                <w:color w:val="000000" w:themeColor="text1"/>
                <w:sz w:val="16"/>
                <w:lang w:val="en-GB"/>
              </w:rPr>
            </w:pPr>
            <w:r w:rsidRPr="00EA2899">
              <w:rPr>
                <w:rFonts w:ascii="Tahoma" w:hAnsi="Tahoma"/>
                <w:color w:val="000000" w:themeColor="text1"/>
                <w:sz w:val="16"/>
                <w:lang w:val="en-GB"/>
              </w:rPr>
              <w:t>119</w:t>
            </w:r>
          </w:p>
        </w:tc>
      </w:tr>
      <w:tr w:rsidR="00615190" w:rsidRPr="00EA2899" w14:paraId="3D8F11D8" w14:textId="77777777" w:rsidTr="00556449">
        <w:trPr>
          <w:trHeight w:val="60"/>
        </w:trPr>
        <w:tc>
          <w:tcPr>
            <w:tcW w:w="6096" w:type="dxa"/>
            <w:shd w:val="clear" w:color="auto" w:fill="auto"/>
            <w:tcMar>
              <w:top w:w="57" w:type="dxa"/>
              <w:left w:w="0" w:type="dxa"/>
              <w:bottom w:w="57" w:type="dxa"/>
              <w:right w:w="0" w:type="dxa"/>
            </w:tcMar>
            <w:vAlign w:val="bottom"/>
          </w:tcPr>
          <w:p w14:paraId="17852842" w14:textId="77777777" w:rsidR="00EA2899" w:rsidRPr="00EA2899" w:rsidRDefault="00EA2899" w:rsidP="00615190">
            <w:pPr>
              <w:spacing w:line="240" w:lineRule="atLeast"/>
              <w:rPr>
                <w:rFonts w:ascii="Tahoma" w:hAnsi="Tahoma"/>
                <w:b/>
                <w:bCs/>
                <w:color w:val="000000" w:themeColor="text1"/>
                <w:sz w:val="16"/>
                <w:lang w:val="en-GB"/>
              </w:rPr>
            </w:pPr>
            <w:r w:rsidRPr="00EA2899">
              <w:rPr>
                <w:rFonts w:ascii="Tahoma" w:hAnsi="Tahoma"/>
                <w:b/>
                <w:bCs/>
                <w:color w:val="000000" w:themeColor="text1"/>
                <w:sz w:val="16"/>
                <w:lang w:val="en-GB"/>
              </w:rPr>
              <w:t>Items that may not be subsequently reclassified to profit or loss</w:t>
            </w:r>
          </w:p>
        </w:tc>
        <w:tc>
          <w:tcPr>
            <w:tcW w:w="708" w:type="dxa"/>
            <w:tcBorders>
              <w:right w:val="single" w:sz="4" w:space="0" w:color="auto"/>
            </w:tcBorders>
            <w:shd w:val="clear" w:color="auto" w:fill="auto"/>
            <w:tcMar>
              <w:top w:w="57" w:type="dxa"/>
              <w:left w:w="0" w:type="dxa"/>
              <w:bottom w:w="57" w:type="dxa"/>
              <w:right w:w="0" w:type="dxa"/>
            </w:tcMar>
            <w:vAlign w:val="bottom"/>
          </w:tcPr>
          <w:p w14:paraId="6A661B7B" w14:textId="77777777" w:rsidR="00EA2899" w:rsidRPr="00EA2899" w:rsidRDefault="00EA2899" w:rsidP="00615190">
            <w:pPr>
              <w:spacing w:line="240" w:lineRule="atLeast"/>
              <w:rPr>
                <w:rFonts w:ascii="Tahoma" w:hAnsi="Tahoma"/>
                <w:color w:val="000000" w:themeColor="text1"/>
                <w:sz w:val="16"/>
                <w:lang w:val="en-GB"/>
              </w:rPr>
            </w:pPr>
          </w:p>
        </w:tc>
        <w:tc>
          <w:tcPr>
            <w:tcW w:w="1134" w:type="dxa"/>
            <w:tcBorders>
              <w:left w:val="single" w:sz="4" w:space="0" w:color="auto"/>
            </w:tcBorders>
            <w:shd w:val="clear" w:color="auto" w:fill="auto"/>
            <w:tcMar>
              <w:top w:w="57" w:type="dxa"/>
              <w:left w:w="0" w:type="dxa"/>
              <w:bottom w:w="57" w:type="dxa"/>
              <w:right w:w="0" w:type="dxa"/>
            </w:tcMar>
            <w:vAlign w:val="bottom"/>
          </w:tcPr>
          <w:p w14:paraId="6A391DAA" w14:textId="77777777" w:rsidR="00EA2899" w:rsidRPr="00EA2899" w:rsidRDefault="00EA2899" w:rsidP="00652238">
            <w:pPr>
              <w:spacing w:line="240" w:lineRule="atLeast"/>
              <w:jc w:val="right"/>
              <w:rPr>
                <w:rFonts w:ascii="Tahoma" w:hAnsi="Tahoma"/>
                <w:b/>
                <w:bCs/>
                <w:color w:val="000000" w:themeColor="text1"/>
                <w:sz w:val="16"/>
                <w:lang w:val="en-GB"/>
              </w:rPr>
            </w:pPr>
          </w:p>
        </w:tc>
        <w:tc>
          <w:tcPr>
            <w:tcW w:w="1134" w:type="dxa"/>
            <w:shd w:val="clear" w:color="auto" w:fill="auto"/>
            <w:tcMar>
              <w:top w:w="57" w:type="dxa"/>
              <w:left w:w="0" w:type="dxa"/>
              <w:bottom w:w="57" w:type="dxa"/>
              <w:right w:w="0" w:type="dxa"/>
            </w:tcMar>
            <w:vAlign w:val="bottom"/>
          </w:tcPr>
          <w:p w14:paraId="2C33F6C0" w14:textId="77777777" w:rsidR="00EA2899" w:rsidRPr="00EA2899" w:rsidRDefault="00EA2899" w:rsidP="00652238">
            <w:pPr>
              <w:spacing w:line="240" w:lineRule="atLeast"/>
              <w:jc w:val="right"/>
              <w:rPr>
                <w:rFonts w:ascii="Tahoma" w:hAnsi="Tahoma"/>
                <w:color w:val="000000" w:themeColor="text1"/>
                <w:sz w:val="16"/>
                <w:lang w:val="en-GB"/>
              </w:rPr>
            </w:pPr>
          </w:p>
        </w:tc>
        <w:tc>
          <w:tcPr>
            <w:tcW w:w="1134" w:type="dxa"/>
            <w:tcBorders>
              <w:right w:val="single" w:sz="4" w:space="0" w:color="auto"/>
            </w:tcBorders>
            <w:shd w:val="clear" w:color="auto" w:fill="auto"/>
            <w:tcMar>
              <w:top w:w="57" w:type="dxa"/>
              <w:left w:w="0" w:type="dxa"/>
              <w:bottom w:w="57" w:type="dxa"/>
              <w:right w:w="0" w:type="dxa"/>
            </w:tcMar>
            <w:vAlign w:val="bottom"/>
          </w:tcPr>
          <w:p w14:paraId="608DDE1E" w14:textId="77777777" w:rsidR="00EA2899" w:rsidRPr="00EA2899" w:rsidRDefault="00EA2899" w:rsidP="00D559F9">
            <w:pPr>
              <w:spacing w:line="240" w:lineRule="atLeast"/>
              <w:ind w:right="113"/>
              <w:jc w:val="right"/>
              <w:rPr>
                <w:rFonts w:ascii="Tahoma" w:hAnsi="Tahoma"/>
                <w:color w:val="000000" w:themeColor="text1"/>
                <w:sz w:val="16"/>
                <w:lang w:val="en-GB"/>
              </w:rPr>
            </w:pPr>
          </w:p>
        </w:tc>
      </w:tr>
      <w:tr w:rsidR="00615190" w:rsidRPr="00EA2899" w14:paraId="6B9FE029" w14:textId="77777777" w:rsidTr="00556449">
        <w:trPr>
          <w:trHeight w:val="60"/>
        </w:trPr>
        <w:tc>
          <w:tcPr>
            <w:tcW w:w="6096" w:type="dxa"/>
            <w:shd w:val="clear" w:color="auto" w:fill="auto"/>
            <w:tcMar>
              <w:top w:w="57" w:type="dxa"/>
              <w:left w:w="113" w:type="dxa"/>
              <w:bottom w:w="57" w:type="dxa"/>
              <w:right w:w="0" w:type="dxa"/>
            </w:tcMar>
            <w:vAlign w:val="bottom"/>
          </w:tcPr>
          <w:p w14:paraId="34AC695B" w14:textId="77777777" w:rsidR="00EA2899" w:rsidRPr="00EA2899" w:rsidRDefault="00EA2899" w:rsidP="00615190">
            <w:pPr>
              <w:spacing w:line="240" w:lineRule="atLeast"/>
              <w:rPr>
                <w:rFonts w:ascii="Tahoma" w:hAnsi="Tahoma"/>
                <w:color w:val="000000" w:themeColor="text1"/>
                <w:sz w:val="16"/>
                <w:lang w:val="en-GB"/>
              </w:rPr>
            </w:pPr>
            <w:r w:rsidRPr="00EA2899">
              <w:rPr>
                <w:rFonts w:ascii="Tahoma" w:hAnsi="Tahoma"/>
                <w:color w:val="000000" w:themeColor="text1"/>
                <w:sz w:val="16"/>
                <w:lang w:val="en-GB"/>
              </w:rPr>
              <w:t>Fair-value losses on financial assets through other comprehensive income</w:t>
            </w:r>
          </w:p>
        </w:tc>
        <w:tc>
          <w:tcPr>
            <w:tcW w:w="708" w:type="dxa"/>
            <w:tcBorders>
              <w:right w:val="single" w:sz="4" w:space="0" w:color="auto"/>
            </w:tcBorders>
            <w:shd w:val="clear" w:color="auto" w:fill="auto"/>
            <w:tcMar>
              <w:top w:w="57" w:type="dxa"/>
              <w:left w:w="0" w:type="dxa"/>
              <w:bottom w:w="57" w:type="dxa"/>
              <w:right w:w="0" w:type="dxa"/>
            </w:tcMar>
            <w:vAlign w:val="bottom"/>
          </w:tcPr>
          <w:p w14:paraId="55529263" w14:textId="77777777" w:rsidR="00EA2899" w:rsidRPr="00EA2899" w:rsidRDefault="00EA2899" w:rsidP="00615190">
            <w:pPr>
              <w:spacing w:line="240" w:lineRule="atLeast"/>
              <w:rPr>
                <w:rFonts w:ascii="Tahoma" w:hAnsi="Tahoma"/>
                <w:color w:val="000000" w:themeColor="text1"/>
                <w:sz w:val="16"/>
                <w:lang w:val="en-GB"/>
              </w:rPr>
            </w:pPr>
          </w:p>
        </w:tc>
        <w:tc>
          <w:tcPr>
            <w:tcW w:w="1134" w:type="dxa"/>
            <w:tcBorders>
              <w:left w:val="single" w:sz="4" w:space="0" w:color="auto"/>
            </w:tcBorders>
            <w:shd w:val="clear" w:color="auto" w:fill="auto"/>
            <w:tcMar>
              <w:top w:w="57" w:type="dxa"/>
              <w:left w:w="0" w:type="dxa"/>
              <w:bottom w:w="57" w:type="dxa"/>
              <w:right w:w="0" w:type="dxa"/>
            </w:tcMar>
            <w:vAlign w:val="bottom"/>
          </w:tcPr>
          <w:p w14:paraId="5BC6C0FF" w14:textId="77777777" w:rsidR="00EA2899" w:rsidRPr="00EA2899" w:rsidRDefault="00EA2899" w:rsidP="00652238">
            <w:pPr>
              <w:spacing w:line="240" w:lineRule="atLeast"/>
              <w:jc w:val="right"/>
              <w:rPr>
                <w:rFonts w:ascii="Tahoma" w:hAnsi="Tahoma"/>
                <w:b/>
                <w:bCs/>
                <w:color w:val="000000" w:themeColor="text1"/>
                <w:sz w:val="16"/>
                <w:lang w:val="en-GB"/>
              </w:rPr>
            </w:pPr>
            <w:r w:rsidRPr="00EA2899">
              <w:rPr>
                <w:rFonts w:ascii="Tahoma" w:hAnsi="Tahoma"/>
                <w:b/>
                <w:bCs/>
                <w:color w:val="000000" w:themeColor="text1"/>
                <w:sz w:val="16"/>
                <w:lang w:val="en-GB"/>
              </w:rPr>
              <w:t>(324)</w:t>
            </w:r>
          </w:p>
        </w:tc>
        <w:tc>
          <w:tcPr>
            <w:tcW w:w="1134" w:type="dxa"/>
            <w:shd w:val="clear" w:color="auto" w:fill="auto"/>
            <w:tcMar>
              <w:top w:w="57" w:type="dxa"/>
              <w:left w:w="0" w:type="dxa"/>
              <w:bottom w:w="57" w:type="dxa"/>
              <w:right w:w="0" w:type="dxa"/>
            </w:tcMar>
            <w:vAlign w:val="bottom"/>
          </w:tcPr>
          <w:p w14:paraId="72E6D917" w14:textId="77777777" w:rsidR="00EA2899" w:rsidRPr="00EA2899" w:rsidRDefault="00EA2899" w:rsidP="00652238">
            <w:pPr>
              <w:spacing w:line="240" w:lineRule="atLeast"/>
              <w:jc w:val="right"/>
              <w:rPr>
                <w:rFonts w:ascii="Tahoma" w:hAnsi="Tahoma"/>
                <w:color w:val="000000" w:themeColor="text1"/>
                <w:sz w:val="16"/>
                <w:lang w:val="en-GB"/>
              </w:rPr>
            </w:pPr>
            <w:r w:rsidRPr="00EA2899">
              <w:rPr>
                <w:rFonts w:ascii="Tahoma" w:hAnsi="Tahoma"/>
                <w:color w:val="000000" w:themeColor="text1"/>
                <w:sz w:val="16"/>
                <w:lang w:val="en-GB"/>
              </w:rPr>
              <w:t>(974)</w:t>
            </w:r>
          </w:p>
        </w:tc>
        <w:tc>
          <w:tcPr>
            <w:tcW w:w="1134" w:type="dxa"/>
            <w:tcBorders>
              <w:right w:val="single" w:sz="4" w:space="0" w:color="auto"/>
            </w:tcBorders>
            <w:shd w:val="clear" w:color="auto" w:fill="auto"/>
            <w:tcMar>
              <w:top w:w="57" w:type="dxa"/>
              <w:left w:w="0" w:type="dxa"/>
              <w:bottom w:w="57" w:type="dxa"/>
              <w:right w:w="0" w:type="dxa"/>
            </w:tcMar>
            <w:vAlign w:val="bottom"/>
          </w:tcPr>
          <w:p w14:paraId="1D233B1F" w14:textId="77777777" w:rsidR="00EA2899" w:rsidRPr="00EA2899" w:rsidRDefault="00EA2899" w:rsidP="00D559F9">
            <w:pPr>
              <w:spacing w:line="240" w:lineRule="atLeast"/>
              <w:ind w:right="113"/>
              <w:jc w:val="right"/>
              <w:rPr>
                <w:rFonts w:ascii="Tahoma" w:hAnsi="Tahoma"/>
                <w:color w:val="000000" w:themeColor="text1"/>
                <w:sz w:val="16"/>
                <w:lang w:val="en-GB"/>
              </w:rPr>
            </w:pPr>
            <w:r w:rsidRPr="00EA2899">
              <w:rPr>
                <w:rFonts w:ascii="Tahoma" w:hAnsi="Tahoma"/>
                <w:color w:val="000000" w:themeColor="text1"/>
                <w:sz w:val="16"/>
                <w:lang w:val="en-GB"/>
              </w:rPr>
              <w:t>(1 210)</w:t>
            </w:r>
          </w:p>
        </w:tc>
      </w:tr>
      <w:tr w:rsidR="00615190" w:rsidRPr="00EA2899" w14:paraId="0FEA6606" w14:textId="77777777" w:rsidTr="00556449">
        <w:trPr>
          <w:trHeight w:val="60"/>
        </w:trPr>
        <w:tc>
          <w:tcPr>
            <w:tcW w:w="6096" w:type="dxa"/>
            <w:shd w:val="clear" w:color="auto" w:fill="auto"/>
            <w:tcMar>
              <w:top w:w="57" w:type="dxa"/>
              <w:left w:w="113" w:type="dxa"/>
              <w:bottom w:w="57" w:type="dxa"/>
              <w:right w:w="0" w:type="dxa"/>
            </w:tcMar>
            <w:vAlign w:val="bottom"/>
          </w:tcPr>
          <w:p w14:paraId="6F67852B" w14:textId="77777777" w:rsidR="00EA2899" w:rsidRPr="00EA2899" w:rsidRDefault="00EA2899" w:rsidP="00615190">
            <w:pPr>
              <w:spacing w:line="240" w:lineRule="atLeast"/>
              <w:rPr>
                <w:rFonts w:ascii="Tahoma" w:hAnsi="Tahoma"/>
                <w:color w:val="000000" w:themeColor="text1"/>
                <w:sz w:val="16"/>
                <w:lang w:val="en-GB"/>
              </w:rPr>
            </w:pPr>
            <w:r w:rsidRPr="00EA2899">
              <w:rPr>
                <w:rFonts w:ascii="Tahoma" w:hAnsi="Tahoma"/>
                <w:color w:val="000000" w:themeColor="text1"/>
                <w:sz w:val="16"/>
                <w:lang w:val="en-GB"/>
              </w:rPr>
              <w:t>Share of equity-accounted investments’ movement in other comprehensive income and net asset value</w:t>
            </w:r>
            <w:r w:rsidRPr="00EA2899">
              <w:rPr>
                <w:rFonts w:ascii="Tahoma" w:hAnsi="Tahoma"/>
                <w:color w:val="000000" w:themeColor="text1"/>
                <w:sz w:val="16"/>
                <w:vertAlign w:val="superscript"/>
                <w:lang w:val="en-GB"/>
              </w:rPr>
              <w:t>4</w:t>
            </w:r>
          </w:p>
        </w:tc>
        <w:tc>
          <w:tcPr>
            <w:tcW w:w="708" w:type="dxa"/>
            <w:tcBorders>
              <w:right w:val="single" w:sz="4" w:space="0" w:color="auto"/>
            </w:tcBorders>
            <w:shd w:val="clear" w:color="auto" w:fill="auto"/>
            <w:tcMar>
              <w:top w:w="57" w:type="dxa"/>
              <w:left w:w="0" w:type="dxa"/>
              <w:bottom w:w="57" w:type="dxa"/>
              <w:right w:w="0" w:type="dxa"/>
            </w:tcMar>
            <w:vAlign w:val="bottom"/>
          </w:tcPr>
          <w:p w14:paraId="716CC19F" w14:textId="77777777" w:rsidR="00EA2899" w:rsidRPr="00EA2899" w:rsidRDefault="00EA2899" w:rsidP="00615190">
            <w:pPr>
              <w:spacing w:line="240" w:lineRule="atLeast"/>
              <w:rPr>
                <w:rFonts w:ascii="Tahoma" w:hAnsi="Tahoma"/>
                <w:color w:val="000000" w:themeColor="text1"/>
                <w:sz w:val="16"/>
                <w:lang w:val="en-GB"/>
              </w:rPr>
            </w:pPr>
            <w:r w:rsidRPr="00EA2899">
              <w:rPr>
                <w:rFonts w:ascii="Tahoma" w:hAnsi="Tahoma"/>
                <w:color w:val="000000" w:themeColor="text1"/>
                <w:sz w:val="16"/>
                <w:lang w:val="en-GB"/>
              </w:rPr>
              <w:t>11</w:t>
            </w:r>
          </w:p>
        </w:tc>
        <w:tc>
          <w:tcPr>
            <w:tcW w:w="1134" w:type="dxa"/>
            <w:tcBorders>
              <w:left w:val="single" w:sz="4" w:space="0" w:color="auto"/>
              <w:bottom w:val="single" w:sz="4" w:space="0" w:color="auto"/>
            </w:tcBorders>
            <w:shd w:val="clear" w:color="auto" w:fill="auto"/>
            <w:tcMar>
              <w:top w:w="57" w:type="dxa"/>
              <w:left w:w="0" w:type="dxa"/>
              <w:bottom w:w="57" w:type="dxa"/>
              <w:right w:w="0" w:type="dxa"/>
            </w:tcMar>
            <w:vAlign w:val="bottom"/>
          </w:tcPr>
          <w:p w14:paraId="744CEC77" w14:textId="77777777" w:rsidR="00EA2899" w:rsidRPr="00EA2899" w:rsidRDefault="00EA2899" w:rsidP="00652238">
            <w:pPr>
              <w:spacing w:line="240" w:lineRule="atLeast"/>
              <w:jc w:val="right"/>
              <w:rPr>
                <w:rFonts w:ascii="Tahoma" w:hAnsi="Tahoma"/>
                <w:b/>
                <w:bCs/>
                <w:color w:val="000000" w:themeColor="text1"/>
                <w:sz w:val="16"/>
                <w:lang w:val="en-GB"/>
              </w:rPr>
            </w:pPr>
            <w:r w:rsidRPr="00EA2899">
              <w:rPr>
                <w:rFonts w:ascii="Tahoma" w:hAnsi="Tahoma"/>
                <w:b/>
                <w:bCs/>
                <w:color w:val="000000" w:themeColor="text1"/>
                <w:sz w:val="16"/>
                <w:lang w:val="en-GB"/>
              </w:rPr>
              <w:t>(2 788)</w:t>
            </w:r>
          </w:p>
        </w:tc>
        <w:tc>
          <w:tcPr>
            <w:tcW w:w="1134" w:type="dxa"/>
            <w:tcBorders>
              <w:bottom w:val="single" w:sz="4" w:space="0" w:color="auto"/>
            </w:tcBorders>
            <w:shd w:val="clear" w:color="auto" w:fill="auto"/>
            <w:tcMar>
              <w:top w:w="57" w:type="dxa"/>
              <w:left w:w="0" w:type="dxa"/>
              <w:bottom w:w="57" w:type="dxa"/>
              <w:right w:w="0" w:type="dxa"/>
            </w:tcMar>
            <w:vAlign w:val="bottom"/>
          </w:tcPr>
          <w:p w14:paraId="46188D3D" w14:textId="77777777" w:rsidR="00EA2899" w:rsidRPr="00EA2899" w:rsidRDefault="00EA2899" w:rsidP="00652238">
            <w:pPr>
              <w:spacing w:line="240" w:lineRule="atLeast"/>
              <w:jc w:val="right"/>
              <w:rPr>
                <w:rFonts w:ascii="Tahoma" w:hAnsi="Tahoma"/>
                <w:color w:val="000000" w:themeColor="text1"/>
                <w:sz w:val="16"/>
                <w:lang w:val="en-GB"/>
              </w:rPr>
            </w:pPr>
            <w:r w:rsidRPr="00EA2899">
              <w:rPr>
                <w:rFonts w:ascii="Tahoma" w:hAnsi="Tahoma"/>
                <w:color w:val="000000" w:themeColor="text1"/>
                <w:sz w:val="16"/>
                <w:lang w:val="en-GB"/>
              </w:rPr>
              <w:t>1 607</w:t>
            </w:r>
          </w:p>
        </w:tc>
        <w:tc>
          <w:tcPr>
            <w:tcW w:w="1134" w:type="dxa"/>
            <w:tcBorders>
              <w:bottom w:val="single" w:sz="4" w:space="0" w:color="auto"/>
              <w:right w:val="single" w:sz="4" w:space="0" w:color="auto"/>
            </w:tcBorders>
            <w:shd w:val="clear" w:color="auto" w:fill="auto"/>
            <w:tcMar>
              <w:top w:w="57" w:type="dxa"/>
              <w:left w:w="0" w:type="dxa"/>
              <w:bottom w:w="57" w:type="dxa"/>
              <w:right w:w="0" w:type="dxa"/>
            </w:tcMar>
            <w:vAlign w:val="bottom"/>
          </w:tcPr>
          <w:p w14:paraId="36EF2850" w14:textId="77777777" w:rsidR="00EA2899" w:rsidRPr="00EA2899" w:rsidRDefault="00EA2899" w:rsidP="00D559F9">
            <w:pPr>
              <w:spacing w:line="240" w:lineRule="atLeast"/>
              <w:ind w:right="113"/>
              <w:jc w:val="right"/>
              <w:rPr>
                <w:rFonts w:ascii="Tahoma" w:hAnsi="Tahoma"/>
                <w:color w:val="000000" w:themeColor="text1"/>
                <w:sz w:val="16"/>
                <w:lang w:val="en-GB"/>
              </w:rPr>
            </w:pPr>
            <w:r w:rsidRPr="00EA2899">
              <w:rPr>
                <w:rFonts w:ascii="Tahoma" w:hAnsi="Tahoma"/>
                <w:color w:val="000000" w:themeColor="text1"/>
                <w:sz w:val="16"/>
                <w:lang w:val="en-GB"/>
              </w:rPr>
              <w:t>(2 699)</w:t>
            </w:r>
          </w:p>
        </w:tc>
      </w:tr>
      <w:tr w:rsidR="00615190" w:rsidRPr="00EA2899" w14:paraId="35884B7B" w14:textId="77777777" w:rsidTr="00556449">
        <w:trPr>
          <w:trHeight w:hRule="exact" w:val="85"/>
        </w:trPr>
        <w:tc>
          <w:tcPr>
            <w:tcW w:w="6096" w:type="dxa"/>
            <w:tcBorders>
              <w:bottom w:val="single" w:sz="4" w:space="0" w:color="auto"/>
            </w:tcBorders>
            <w:shd w:val="clear" w:color="auto" w:fill="auto"/>
            <w:tcMar>
              <w:top w:w="57" w:type="dxa"/>
              <w:left w:w="0" w:type="dxa"/>
              <w:bottom w:w="85" w:type="dxa"/>
              <w:right w:w="0" w:type="dxa"/>
            </w:tcMar>
            <w:vAlign w:val="bottom"/>
          </w:tcPr>
          <w:p w14:paraId="2E58A94E" w14:textId="77777777" w:rsidR="00EA2899" w:rsidRPr="00EA2899" w:rsidRDefault="00EA2899" w:rsidP="00615190">
            <w:pPr>
              <w:spacing w:line="240" w:lineRule="atLeast"/>
              <w:rPr>
                <w:rFonts w:ascii="Tahoma" w:hAnsi="Tahoma"/>
                <w:color w:val="000000" w:themeColor="text1"/>
                <w:sz w:val="16"/>
                <w:lang w:val="en-GB"/>
              </w:rPr>
            </w:pPr>
          </w:p>
        </w:tc>
        <w:tc>
          <w:tcPr>
            <w:tcW w:w="708" w:type="dxa"/>
            <w:tcBorders>
              <w:bottom w:val="single" w:sz="4" w:space="0" w:color="auto"/>
            </w:tcBorders>
            <w:shd w:val="clear" w:color="auto" w:fill="auto"/>
            <w:tcMar>
              <w:top w:w="57" w:type="dxa"/>
              <w:left w:w="0" w:type="dxa"/>
              <w:bottom w:w="85" w:type="dxa"/>
              <w:right w:w="0" w:type="dxa"/>
            </w:tcMar>
            <w:vAlign w:val="bottom"/>
          </w:tcPr>
          <w:p w14:paraId="1A63E6DC" w14:textId="77777777" w:rsidR="00EA2899" w:rsidRPr="00EA2899" w:rsidRDefault="00EA2899" w:rsidP="00615190">
            <w:pPr>
              <w:spacing w:line="240" w:lineRule="atLeast"/>
              <w:rPr>
                <w:rFonts w:ascii="Tahoma" w:hAnsi="Tahoma"/>
                <w:color w:val="000000" w:themeColor="text1"/>
                <w:sz w:val="16"/>
                <w:lang w:val="en-GB"/>
              </w:rPr>
            </w:pPr>
          </w:p>
        </w:tc>
        <w:tc>
          <w:tcPr>
            <w:tcW w:w="1134" w:type="dxa"/>
            <w:tcBorders>
              <w:top w:val="single" w:sz="4" w:space="0" w:color="auto"/>
              <w:bottom w:val="single" w:sz="4" w:space="0" w:color="auto"/>
            </w:tcBorders>
            <w:shd w:val="clear" w:color="auto" w:fill="auto"/>
            <w:tcMar>
              <w:top w:w="57" w:type="dxa"/>
              <w:left w:w="0" w:type="dxa"/>
              <w:bottom w:w="85" w:type="dxa"/>
              <w:right w:w="0" w:type="dxa"/>
            </w:tcMar>
            <w:vAlign w:val="bottom"/>
          </w:tcPr>
          <w:p w14:paraId="059C5161" w14:textId="77777777" w:rsidR="00EA2899" w:rsidRPr="00EA2899" w:rsidRDefault="00EA2899" w:rsidP="00652238">
            <w:pPr>
              <w:spacing w:line="240" w:lineRule="atLeast"/>
              <w:jc w:val="right"/>
              <w:rPr>
                <w:rFonts w:ascii="Tahoma" w:hAnsi="Tahoma"/>
                <w:b/>
                <w:bCs/>
                <w:color w:val="000000" w:themeColor="text1"/>
                <w:sz w:val="16"/>
                <w:lang w:val="en-GB"/>
              </w:rPr>
            </w:pPr>
          </w:p>
        </w:tc>
        <w:tc>
          <w:tcPr>
            <w:tcW w:w="1134" w:type="dxa"/>
            <w:tcBorders>
              <w:top w:val="single" w:sz="4" w:space="0" w:color="auto"/>
              <w:bottom w:val="single" w:sz="4" w:space="0" w:color="auto"/>
            </w:tcBorders>
            <w:shd w:val="clear" w:color="auto" w:fill="auto"/>
            <w:tcMar>
              <w:top w:w="57" w:type="dxa"/>
              <w:left w:w="0" w:type="dxa"/>
              <w:bottom w:w="85" w:type="dxa"/>
              <w:right w:w="0" w:type="dxa"/>
            </w:tcMar>
            <w:vAlign w:val="bottom"/>
          </w:tcPr>
          <w:p w14:paraId="58EAA657" w14:textId="77777777" w:rsidR="00EA2899" w:rsidRPr="00EA2899" w:rsidRDefault="00EA2899" w:rsidP="00652238">
            <w:pPr>
              <w:spacing w:line="240" w:lineRule="atLeast"/>
              <w:jc w:val="right"/>
              <w:rPr>
                <w:rFonts w:ascii="Tahoma" w:hAnsi="Tahoma"/>
                <w:color w:val="000000" w:themeColor="text1"/>
                <w:sz w:val="16"/>
                <w:lang w:val="en-GB"/>
              </w:rPr>
            </w:pPr>
          </w:p>
        </w:tc>
        <w:tc>
          <w:tcPr>
            <w:tcW w:w="1134" w:type="dxa"/>
            <w:tcBorders>
              <w:top w:val="single" w:sz="4" w:space="0" w:color="auto"/>
              <w:bottom w:val="single" w:sz="4" w:space="0" w:color="auto"/>
            </w:tcBorders>
            <w:shd w:val="clear" w:color="auto" w:fill="auto"/>
            <w:tcMar>
              <w:top w:w="57" w:type="dxa"/>
              <w:left w:w="0" w:type="dxa"/>
              <w:bottom w:w="85" w:type="dxa"/>
              <w:right w:w="0" w:type="dxa"/>
            </w:tcMar>
            <w:vAlign w:val="bottom"/>
          </w:tcPr>
          <w:p w14:paraId="3CFC48F9" w14:textId="77777777" w:rsidR="00EA2899" w:rsidRPr="00EA2899" w:rsidRDefault="00EA2899" w:rsidP="00D559F9">
            <w:pPr>
              <w:spacing w:line="240" w:lineRule="atLeast"/>
              <w:ind w:right="113"/>
              <w:jc w:val="right"/>
              <w:rPr>
                <w:rFonts w:ascii="Tahoma" w:hAnsi="Tahoma"/>
                <w:color w:val="000000" w:themeColor="text1"/>
                <w:sz w:val="16"/>
                <w:lang w:val="en-GB"/>
              </w:rPr>
            </w:pPr>
          </w:p>
        </w:tc>
      </w:tr>
      <w:tr w:rsidR="00615190" w:rsidRPr="00EA2899" w14:paraId="3A1C839D" w14:textId="77777777" w:rsidTr="00D55A90">
        <w:trPr>
          <w:trHeight w:val="60"/>
        </w:trPr>
        <w:tc>
          <w:tcPr>
            <w:tcW w:w="6096"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48C46B0D" w14:textId="77777777" w:rsidR="00EA2899" w:rsidRPr="00EA2899" w:rsidRDefault="00EA2899" w:rsidP="00615190">
            <w:pPr>
              <w:spacing w:line="240" w:lineRule="atLeast"/>
              <w:rPr>
                <w:rFonts w:ascii="Tahoma" w:hAnsi="Tahoma"/>
                <w:b/>
                <w:bCs/>
                <w:color w:val="000000" w:themeColor="text1"/>
                <w:sz w:val="16"/>
                <w:lang w:val="en-GB"/>
              </w:rPr>
            </w:pPr>
            <w:r w:rsidRPr="00EA2899">
              <w:rPr>
                <w:rFonts w:ascii="Tahoma" w:hAnsi="Tahoma"/>
                <w:b/>
                <w:bCs/>
                <w:color w:val="000000" w:themeColor="text1"/>
                <w:sz w:val="16"/>
                <w:lang w:val="en-GB"/>
              </w:rPr>
              <w:t>Total comprehensive (loss)/income for the period</w:t>
            </w:r>
          </w:p>
        </w:tc>
        <w:tc>
          <w:tcPr>
            <w:tcW w:w="708"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324BA27F" w14:textId="77777777" w:rsidR="00EA2899" w:rsidRPr="00EA2899" w:rsidRDefault="00EA2899" w:rsidP="00615190">
            <w:pPr>
              <w:spacing w:line="240" w:lineRule="atLeast"/>
              <w:rPr>
                <w:rFonts w:ascii="Tahoma" w:hAnsi="Tahoma"/>
                <w:color w:val="000000" w:themeColor="text1"/>
                <w:sz w:val="16"/>
                <w:lang w:val="en-GB"/>
              </w:rPr>
            </w:pPr>
          </w:p>
        </w:tc>
        <w:tc>
          <w:tcPr>
            <w:tcW w:w="1134"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1AA5B4A3" w14:textId="77777777" w:rsidR="00EA2899" w:rsidRPr="00EA2899" w:rsidRDefault="00EA2899" w:rsidP="00652238">
            <w:pPr>
              <w:spacing w:line="240" w:lineRule="atLeast"/>
              <w:jc w:val="right"/>
              <w:rPr>
                <w:rFonts w:ascii="Tahoma" w:hAnsi="Tahoma"/>
                <w:b/>
                <w:bCs/>
                <w:color w:val="000000" w:themeColor="text1"/>
                <w:sz w:val="16"/>
                <w:lang w:val="en-GB"/>
              </w:rPr>
            </w:pPr>
            <w:r w:rsidRPr="00EA2899">
              <w:rPr>
                <w:rFonts w:ascii="Tahoma" w:hAnsi="Tahoma"/>
                <w:b/>
                <w:bCs/>
                <w:color w:val="000000" w:themeColor="text1"/>
                <w:sz w:val="16"/>
                <w:lang w:val="en-GB"/>
              </w:rPr>
              <w:t>(3 833)</w:t>
            </w:r>
          </w:p>
        </w:tc>
        <w:tc>
          <w:tcPr>
            <w:tcW w:w="1134"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620F842A" w14:textId="77777777" w:rsidR="00EA2899" w:rsidRPr="00EA2899" w:rsidRDefault="00EA2899" w:rsidP="00652238">
            <w:pPr>
              <w:spacing w:line="240" w:lineRule="atLeast"/>
              <w:jc w:val="right"/>
              <w:rPr>
                <w:rFonts w:ascii="Tahoma" w:hAnsi="Tahoma"/>
                <w:color w:val="000000" w:themeColor="text1"/>
                <w:sz w:val="16"/>
                <w:lang w:val="en-GB"/>
              </w:rPr>
            </w:pPr>
            <w:r w:rsidRPr="00EA2899">
              <w:rPr>
                <w:rFonts w:ascii="Tahoma" w:hAnsi="Tahoma"/>
                <w:color w:val="000000" w:themeColor="text1"/>
                <w:sz w:val="16"/>
                <w:lang w:val="en-GB"/>
              </w:rPr>
              <w:t>16 671</w:t>
            </w:r>
          </w:p>
        </w:tc>
        <w:tc>
          <w:tcPr>
            <w:tcW w:w="1134"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084E2CE2" w14:textId="77777777" w:rsidR="00EA2899" w:rsidRPr="00EA2899" w:rsidRDefault="00EA2899" w:rsidP="00D559F9">
            <w:pPr>
              <w:spacing w:line="240" w:lineRule="atLeast"/>
              <w:ind w:right="113"/>
              <w:jc w:val="right"/>
              <w:rPr>
                <w:rFonts w:ascii="Tahoma" w:hAnsi="Tahoma"/>
                <w:color w:val="000000" w:themeColor="text1"/>
                <w:sz w:val="16"/>
                <w:lang w:val="en-GB"/>
              </w:rPr>
            </w:pPr>
            <w:r w:rsidRPr="00EA2899">
              <w:rPr>
                <w:rFonts w:ascii="Tahoma" w:hAnsi="Tahoma"/>
                <w:color w:val="000000" w:themeColor="text1"/>
                <w:sz w:val="16"/>
                <w:lang w:val="en-GB"/>
              </w:rPr>
              <w:t>15 483</w:t>
            </w:r>
          </w:p>
        </w:tc>
      </w:tr>
      <w:tr w:rsidR="00615190" w:rsidRPr="00EA2899" w14:paraId="17C1473C" w14:textId="77777777" w:rsidTr="00F16514">
        <w:trPr>
          <w:trHeight w:val="60"/>
        </w:trPr>
        <w:tc>
          <w:tcPr>
            <w:tcW w:w="6096" w:type="dxa"/>
            <w:tcBorders>
              <w:top w:val="single" w:sz="12" w:space="0" w:color="auto"/>
            </w:tcBorders>
            <w:shd w:val="clear" w:color="auto" w:fill="auto"/>
            <w:tcMar>
              <w:top w:w="85" w:type="dxa"/>
              <w:left w:w="0" w:type="dxa"/>
              <w:bottom w:w="57" w:type="dxa"/>
              <w:right w:w="0" w:type="dxa"/>
            </w:tcMar>
            <w:vAlign w:val="bottom"/>
          </w:tcPr>
          <w:p w14:paraId="72F1E9A3" w14:textId="77777777" w:rsidR="00EA2899" w:rsidRPr="00EA2899" w:rsidRDefault="00EA2899" w:rsidP="00615190">
            <w:pPr>
              <w:spacing w:line="240" w:lineRule="atLeast"/>
              <w:rPr>
                <w:rFonts w:ascii="Tahoma" w:hAnsi="Tahoma"/>
                <w:b/>
                <w:bCs/>
                <w:color w:val="000000" w:themeColor="text1"/>
                <w:sz w:val="16"/>
                <w:lang w:val="en-GB"/>
              </w:rPr>
            </w:pPr>
            <w:r w:rsidRPr="00EA2899">
              <w:rPr>
                <w:rFonts w:ascii="Tahoma" w:hAnsi="Tahoma"/>
                <w:b/>
                <w:bCs/>
                <w:color w:val="000000" w:themeColor="text1"/>
                <w:sz w:val="16"/>
                <w:lang w:val="en-GB"/>
              </w:rPr>
              <w:t>Attributable to:</w:t>
            </w:r>
          </w:p>
        </w:tc>
        <w:tc>
          <w:tcPr>
            <w:tcW w:w="708" w:type="dxa"/>
            <w:tcBorders>
              <w:top w:val="single" w:sz="12" w:space="0" w:color="auto"/>
            </w:tcBorders>
            <w:shd w:val="clear" w:color="auto" w:fill="auto"/>
            <w:tcMar>
              <w:top w:w="85" w:type="dxa"/>
              <w:left w:w="0" w:type="dxa"/>
              <w:bottom w:w="57" w:type="dxa"/>
              <w:right w:w="0" w:type="dxa"/>
            </w:tcMar>
            <w:vAlign w:val="bottom"/>
          </w:tcPr>
          <w:p w14:paraId="459CF69E" w14:textId="77777777" w:rsidR="00EA2899" w:rsidRPr="00EA2899" w:rsidRDefault="00EA2899" w:rsidP="00615190">
            <w:pPr>
              <w:spacing w:line="240" w:lineRule="atLeast"/>
              <w:rPr>
                <w:rFonts w:ascii="Tahoma" w:hAnsi="Tahoma"/>
                <w:color w:val="000000" w:themeColor="text1"/>
                <w:sz w:val="16"/>
                <w:lang w:val="en-GB"/>
              </w:rPr>
            </w:pPr>
          </w:p>
        </w:tc>
        <w:tc>
          <w:tcPr>
            <w:tcW w:w="1134" w:type="dxa"/>
            <w:tcBorders>
              <w:top w:val="single" w:sz="12" w:space="0" w:color="auto"/>
            </w:tcBorders>
            <w:shd w:val="clear" w:color="auto" w:fill="auto"/>
            <w:tcMar>
              <w:top w:w="85" w:type="dxa"/>
              <w:left w:w="0" w:type="dxa"/>
              <w:bottom w:w="57" w:type="dxa"/>
              <w:right w:w="0" w:type="dxa"/>
            </w:tcMar>
            <w:vAlign w:val="bottom"/>
          </w:tcPr>
          <w:p w14:paraId="31ADF486" w14:textId="77777777" w:rsidR="00EA2899" w:rsidRPr="00EA2899" w:rsidRDefault="00EA2899" w:rsidP="00652238">
            <w:pPr>
              <w:spacing w:line="240" w:lineRule="atLeast"/>
              <w:jc w:val="right"/>
              <w:rPr>
                <w:rFonts w:ascii="Tahoma" w:hAnsi="Tahoma"/>
                <w:b/>
                <w:bCs/>
                <w:color w:val="000000" w:themeColor="text1"/>
                <w:sz w:val="16"/>
                <w:lang w:val="en-GB"/>
              </w:rPr>
            </w:pPr>
          </w:p>
        </w:tc>
        <w:tc>
          <w:tcPr>
            <w:tcW w:w="1134" w:type="dxa"/>
            <w:tcBorders>
              <w:top w:val="single" w:sz="12" w:space="0" w:color="auto"/>
            </w:tcBorders>
            <w:shd w:val="clear" w:color="auto" w:fill="auto"/>
            <w:tcMar>
              <w:top w:w="85" w:type="dxa"/>
              <w:left w:w="0" w:type="dxa"/>
              <w:bottom w:w="57" w:type="dxa"/>
              <w:right w:w="0" w:type="dxa"/>
            </w:tcMar>
            <w:vAlign w:val="bottom"/>
          </w:tcPr>
          <w:p w14:paraId="798A8C72" w14:textId="77777777" w:rsidR="00EA2899" w:rsidRPr="00EA2899" w:rsidRDefault="00EA2899" w:rsidP="00652238">
            <w:pPr>
              <w:spacing w:line="240" w:lineRule="atLeast"/>
              <w:jc w:val="right"/>
              <w:rPr>
                <w:rFonts w:ascii="Tahoma" w:hAnsi="Tahoma"/>
                <w:color w:val="000000" w:themeColor="text1"/>
                <w:sz w:val="16"/>
                <w:lang w:val="en-GB"/>
              </w:rPr>
            </w:pPr>
          </w:p>
        </w:tc>
        <w:tc>
          <w:tcPr>
            <w:tcW w:w="1134" w:type="dxa"/>
            <w:tcBorders>
              <w:top w:val="single" w:sz="12" w:space="0" w:color="auto"/>
            </w:tcBorders>
            <w:shd w:val="clear" w:color="auto" w:fill="auto"/>
            <w:tcMar>
              <w:top w:w="85" w:type="dxa"/>
              <w:left w:w="0" w:type="dxa"/>
              <w:bottom w:w="57" w:type="dxa"/>
              <w:right w:w="0" w:type="dxa"/>
            </w:tcMar>
            <w:vAlign w:val="bottom"/>
          </w:tcPr>
          <w:p w14:paraId="533AF476" w14:textId="77777777" w:rsidR="00EA2899" w:rsidRPr="00EA2899" w:rsidRDefault="00EA2899" w:rsidP="00D559F9">
            <w:pPr>
              <w:spacing w:line="240" w:lineRule="atLeast"/>
              <w:ind w:right="113"/>
              <w:jc w:val="right"/>
              <w:rPr>
                <w:rFonts w:ascii="Tahoma" w:hAnsi="Tahoma"/>
                <w:color w:val="000000" w:themeColor="text1"/>
                <w:sz w:val="16"/>
                <w:lang w:val="en-GB"/>
              </w:rPr>
            </w:pPr>
          </w:p>
        </w:tc>
      </w:tr>
      <w:tr w:rsidR="00615190" w:rsidRPr="00EA2899" w14:paraId="0C50E6B2" w14:textId="77777777" w:rsidTr="00786981">
        <w:trPr>
          <w:trHeight w:val="60"/>
        </w:trPr>
        <w:tc>
          <w:tcPr>
            <w:tcW w:w="6096" w:type="dxa"/>
            <w:shd w:val="clear" w:color="auto" w:fill="auto"/>
            <w:tcMar>
              <w:top w:w="57" w:type="dxa"/>
              <w:left w:w="0" w:type="dxa"/>
              <w:bottom w:w="57" w:type="dxa"/>
              <w:right w:w="0" w:type="dxa"/>
            </w:tcMar>
            <w:vAlign w:val="bottom"/>
          </w:tcPr>
          <w:p w14:paraId="6CD67FA4" w14:textId="77777777" w:rsidR="00EA2899" w:rsidRPr="00EA2899" w:rsidRDefault="00EA2899" w:rsidP="00615190">
            <w:pPr>
              <w:spacing w:line="240" w:lineRule="atLeast"/>
              <w:rPr>
                <w:rFonts w:ascii="Tahoma" w:hAnsi="Tahoma"/>
                <w:color w:val="000000" w:themeColor="text1"/>
                <w:sz w:val="16"/>
                <w:lang w:val="en-GB"/>
              </w:rPr>
            </w:pPr>
            <w:r w:rsidRPr="00EA2899">
              <w:rPr>
                <w:rFonts w:ascii="Tahoma" w:hAnsi="Tahoma"/>
                <w:color w:val="000000" w:themeColor="text1"/>
                <w:sz w:val="16"/>
                <w:lang w:val="en-GB"/>
              </w:rPr>
              <w:t>Equity holders of the group</w:t>
            </w:r>
          </w:p>
        </w:tc>
        <w:tc>
          <w:tcPr>
            <w:tcW w:w="708" w:type="dxa"/>
            <w:shd w:val="clear" w:color="auto" w:fill="auto"/>
            <w:tcMar>
              <w:top w:w="57" w:type="dxa"/>
              <w:left w:w="0" w:type="dxa"/>
              <w:bottom w:w="57" w:type="dxa"/>
              <w:right w:w="0" w:type="dxa"/>
            </w:tcMar>
            <w:vAlign w:val="bottom"/>
          </w:tcPr>
          <w:p w14:paraId="7BEBB547" w14:textId="77777777" w:rsidR="00EA2899" w:rsidRPr="00EA2899" w:rsidRDefault="00EA2899" w:rsidP="00615190">
            <w:pPr>
              <w:spacing w:line="240" w:lineRule="atLeast"/>
              <w:rPr>
                <w:rFonts w:ascii="Tahoma" w:hAnsi="Tahoma"/>
                <w:color w:val="000000" w:themeColor="text1"/>
                <w:sz w:val="16"/>
                <w:lang w:val="en-GB"/>
              </w:rPr>
            </w:pPr>
          </w:p>
        </w:tc>
        <w:tc>
          <w:tcPr>
            <w:tcW w:w="1134" w:type="dxa"/>
            <w:shd w:val="clear" w:color="auto" w:fill="auto"/>
            <w:tcMar>
              <w:top w:w="57" w:type="dxa"/>
              <w:left w:w="0" w:type="dxa"/>
              <w:bottom w:w="57" w:type="dxa"/>
              <w:right w:w="0" w:type="dxa"/>
            </w:tcMar>
            <w:vAlign w:val="bottom"/>
          </w:tcPr>
          <w:p w14:paraId="1C966AFE" w14:textId="77777777" w:rsidR="00EA2899" w:rsidRPr="00EA2899" w:rsidRDefault="00EA2899" w:rsidP="00652238">
            <w:pPr>
              <w:spacing w:line="240" w:lineRule="atLeast"/>
              <w:jc w:val="right"/>
              <w:rPr>
                <w:rFonts w:ascii="Tahoma" w:hAnsi="Tahoma"/>
                <w:b/>
                <w:bCs/>
                <w:color w:val="000000" w:themeColor="text1"/>
                <w:sz w:val="16"/>
                <w:lang w:val="en-GB"/>
              </w:rPr>
            </w:pPr>
            <w:r w:rsidRPr="00EA2899">
              <w:rPr>
                <w:rFonts w:ascii="Tahoma" w:hAnsi="Tahoma"/>
                <w:b/>
                <w:bCs/>
                <w:color w:val="000000" w:themeColor="text1"/>
                <w:sz w:val="16"/>
                <w:lang w:val="en-GB"/>
              </w:rPr>
              <w:t>(3 805)</w:t>
            </w:r>
          </w:p>
        </w:tc>
        <w:tc>
          <w:tcPr>
            <w:tcW w:w="1134" w:type="dxa"/>
            <w:shd w:val="clear" w:color="auto" w:fill="auto"/>
            <w:tcMar>
              <w:top w:w="57" w:type="dxa"/>
              <w:left w:w="0" w:type="dxa"/>
              <w:bottom w:w="57" w:type="dxa"/>
              <w:right w:w="0" w:type="dxa"/>
            </w:tcMar>
            <w:vAlign w:val="bottom"/>
          </w:tcPr>
          <w:p w14:paraId="51935209" w14:textId="77777777" w:rsidR="00EA2899" w:rsidRPr="00EA2899" w:rsidRDefault="00EA2899" w:rsidP="00652238">
            <w:pPr>
              <w:spacing w:line="240" w:lineRule="atLeast"/>
              <w:jc w:val="right"/>
              <w:rPr>
                <w:rFonts w:ascii="Tahoma" w:hAnsi="Tahoma"/>
                <w:color w:val="000000" w:themeColor="text1"/>
                <w:sz w:val="16"/>
                <w:lang w:val="en-GB"/>
              </w:rPr>
            </w:pPr>
            <w:r w:rsidRPr="00EA2899">
              <w:rPr>
                <w:rFonts w:ascii="Tahoma" w:hAnsi="Tahoma"/>
                <w:color w:val="000000" w:themeColor="text1"/>
                <w:sz w:val="16"/>
                <w:lang w:val="en-GB"/>
              </w:rPr>
              <w:t>16 734</w:t>
            </w:r>
          </w:p>
        </w:tc>
        <w:tc>
          <w:tcPr>
            <w:tcW w:w="1134" w:type="dxa"/>
            <w:shd w:val="clear" w:color="auto" w:fill="auto"/>
            <w:tcMar>
              <w:top w:w="57" w:type="dxa"/>
              <w:left w:w="0" w:type="dxa"/>
              <w:bottom w:w="57" w:type="dxa"/>
              <w:right w:w="0" w:type="dxa"/>
            </w:tcMar>
            <w:vAlign w:val="bottom"/>
          </w:tcPr>
          <w:p w14:paraId="1BBF1337" w14:textId="77777777" w:rsidR="00EA2899" w:rsidRPr="00EA2899" w:rsidRDefault="00EA2899" w:rsidP="00D559F9">
            <w:pPr>
              <w:spacing w:line="240" w:lineRule="atLeast"/>
              <w:ind w:right="113"/>
              <w:jc w:val="right"/>
              <w:rPr>
                <w:rFonts w:ascii="Tahoma" w:hAnsi="Tahoma"/>
                <w:color w:val="000000" w:themeColor="text1"/>
                <w:sz w:val="16"/>
                <w:lang w:val="en-GB"/>
              </w:rPr>
            </w:pPr>
            <w:r w:rsidRPr="00EA2899">
              <w:rPr>
                <w:rFonts w:ascii="Tahoma" w:hAnsi="Tahoma"/>
                <w:color w:val="000000" w:themeColor="text1"/>
                <w:sz w:val="16"/>
                <w:lang w:val="en-GB"/>
              </w:rPr>
              <w:t>15 566</w:t>
            </w:r>
          </w:p>
        </w:tc>
      </w:tr>
      <w:tr w:rsidR="00615190" w:rsidRPr="00EA2899" w14:paraId="19C6D905" w14:textId="77777777" w:rsidTr="00786981">
        <w:trPr>
          <w:trHeight w:val="60"/>
        </w:trPr>
        <w:tc>
          <w:tcPr>
            <w:tcW w:w="6096" w:type="dxa"/>
            <w:tcBorders>
              <w:bottom w:val="single" w:sz="4" w:space="0" w:color="auto"/>
            </w:tcBorders>
            <w:shd w:val="clear" w:color="auto" w:fill="auto"/>
            <w:tcMar>
              <w:top w:w="57" w:type="dxa"/>
              <w:left w:w="0" w:type="dxa"/>
              <w:bottom w:w="85" w:type="dxa"/>
              <w:right w:w="0" w:type="dxa"/>
            </w:tcMar>
            <w:vAlign w:val="bottom"/>
          </w:tcPr>
          <w:p w14:paraId="16AEF99B" w14:textId="77777777" w:rsidR="00EA2899" w:rsidRPr="00EA2899" w:rsidRDefault="00EA2899" w:rsidP="00615190">
            <w:pPr>
              <w:spacing w:line="240" w:lineRule="atLeast"/>
              <w:rPr>
                <w:rFonts w:ascii="Tahoma" w:hAnsi="Tahoma"/>
                <w:color w:val="000000" w:themeColor="text1"/>
                <w:sz w:val="16"/>
                <w:lang w:val="en-GB"/>
              </w:rPr>
            </w:pPr>
            <w:r w:rsidRPr="00EA2899">
              <w:rPr>
                <w:rFonts w:ascii="Tahoma" w:hAnsi="Tahoma"/>
                <w:color w:val="000000" w:themeColor="text1"/>
                <w:sz w:val="16"/>
                <w:lang w:val="en-GB"/>
              </w:rPr>
              <w:t>Non-controlling interests</w:t>
            </w:r>
          </w:p>
        </w:tc>
        <w:tc>
          <w:tcPr>
            <w:tcW w:w="708" w:type="dxa"/>
            <w:tcBorders>
              <w:bottom w:val="single" w:sz="4" w:space="0" w:color="auto"/>
            </w:tcBorders>
            <w:shd w:val="clear" w:color="auto" w:fill="auto"/>
            <w:tcMar>
              <w:top w:w="57" w:type="dxa"/>
              <w:left w:w="0" w:type="dxa"/>
              <w:bottom w:w="85" w:type="dxa"/>
              <w:right w:w="0" w:type="dxa"/>
            </w:tcMar>
            <w:vAlign w:val="bottom"/>
          </w:tcPr>
          <w:p w14:paraId="51AA78F6" w14:textId="77777777" w:rsidR="00EA2899" w:rsidRPr="00EA2899" w:rsidRDefault="00EA2899" w:rsidP="00615190">
            <w:pPr>
              <w:spacing w:line="240" w:lineRule="atLeast"/>
              <w:rPr>
                <w:rFonts w:ascii="Tahoma" w:hAnsi="Tahoma"/>
                <w:color w:val="000000" w:themeColor="text1"/>
                <w:sz w:val="16"/>
                <w:lang w:val="en-GB"/>
              </w:rPr>
            </w:pPr>
          </w:p>
        </w:tc>
        <w:tc>
          <w:tcPr>
            <w:tcW w:w="1134" w:type="dxa"/>
            <w:tcBorders>
              <w:bottom w:val="single" w:sz="4" w:space="0" w:color="auto"/>
            </w:tcBorders>
            <w:shd w:val="clear" w:color="auto" w:fill="auto"/>
            <w:tcMar>
              <w:top w:w="57" w:type="dxa"/>
              <w:left w:w="0" w:type="dxa"/>
              <w:bottom w:w="85" w:type="dxa"/>
              <w:right w:w="0" w:type="dxa"/>
            </w:tcMar>
            <w:vAlign w:val="bottom"/>
          </w:tcPr>
          <w:p w14:paraId="13EF646A" w14:textId="77777777" w:rsidR="00EA2899" w:rsidRPr="00EA2899" w:rsidRDefault="00EA2899" w:rsidP="00652238">
            <w:pPr>
              <w:spacing w:line="240" w:lineRule="atLeast"/>
              <w:jc w:val="right"/>
              <w:rPr>
                <w:rFonts w:ascii="Tahoma" w:hAnsi="Tahoma"/>
                <w:b/>
                <w:bCs/>
                <w:color w:val="000000" w:themeColor="text1"/>
                <w:sz w:val="16"/>
                <w:lang w:val="en-GB"/>
              </w:rPr>
            </w:pPr>
            <w:r w:rsidRPr="00EA2899">
              <w:rPr>
                <w:rFonts w:ascii="Tahoma" w:hAnsi="Tahoma"/>
                <w:b/>
                <w:bCs/>
                <w:color w:val="000000" w:themeColor="text1"/>
                <w:sz w:val="16"/>
                <w:lang w:val="en-GB"/>
              </w:rPr>
              <w:t>(28)</w:t>
            </w:r>
          </w:p>
        </w:tc>
        <w:tc>
          <w:tcPr>
            <w:tcW w:w="1134" w:type="dxa"/>
            <w:tcBorders>
              <w:bottom w:val="single" w:sz="4" w:space="0" w:color="auto"/>
            </w:tcBorders>
            <w:shd w:val="clear" w:color="auto" w:fill="auto"/>
            <w:tcMar>
              <w:top w:w="57" w:type="dxa"/>
              <w:left w:w="0" w:type="dxa"/>
              <w:bottom w:w="85" w:type="dxa"/>
              <w:right w:w="0" w:type="dxa"/>
            </w:tcMar>
            <w:vAlign w:val="bottom"/>
          </w:tcPr>
          <w:p w14:paraId="61EBF153" w14:textId="77777777" w:rsidR="00EA2899" w:rsidRPr="00EA2899" w:rsidRDefault="00EA2899" w:rsidP="00652238">
            <w:pPr>
              <w:spacing w:line="240" w:lineRule="atLeast"/>
              <w:jc w:val="right"/>
              <w:rPr>
                <w:rFonts w:ascii="Tahoma" w:hAnsi="Tahoma"/>
                <w:color w:val="000000" w:themeColor="text1"/>
                <w:sz w:val="16"/>
                <w:lang w:val="en-GB"/>
              </w:rPr>
            </w:pPr>
            <w:r w:rsidRPr="00EA2899">
              <w:rPr>
                <w:rFonts w:ascii="Tahoma" w:hAnsi="Tahoma"/>
                <w:color w:val="000000" w:themeColor="text1"/>
                <w:sz w:val="16"/>
                <w:lang w:val="en-GB"/>
              </w:rPr>
              <w:t>(63)</w:t>
            </w:r>
          </w:p>
        </w:tc>
        <w:tc>
          <w:tcPr>
            <w:tcW w:w="1134" w:type="dxa"/>
            <w:tcBorders>
              <w:bottom w:val="single" w:sz="4" w:space="0" w:color="auto"/>
            </w:tcBorders>
            <w:shd w:val="clear" w:color="auto" w:fill="auto"/>
            <w:tcMar>
              <w:top w:w="57" w:type="dxa"/>
              <w:left w:w="0" w:type="dxa"/>
              <w:bottom w:w="85" w:type="dxa"/>
              <w:right w:w="0" w:type="dxa"/>
            </w:tcMar>
            <w:vAlign w:val="bottom"/>
          </w:tcPr>
          <w:p w14:paraId="3395ED8C" w14:textId="77777777" w:rsidR="00EA2899" w:rsidRPr="00EA2899" w:rsidRDefault="00EA2899" w:rsidP="00D559F9">
            <w:pPr>
              <w:spacing w:line="240" w:lineRule="atLeast"/>
              <w:ind w:right="113"/>
              <w:jc w:val="right"/>
              <w:rPr>
                <w:rFonts w:ascii="Tahoma" w:hAnsi="Tahoma"/>
                <w:color w:val="000000" w:themeColor="text1"/>
                <w:sz w:val="16"/>
                <w:lang w:val="en-GB"/>
              </w:rPr>
            </w:pPr>
            <w:r w:rsidRPr="00EA2899">
              <w:rPr>
                <w:rFonts w:ascii="Tahoma" w:hAnsi="Tahoma"/>
                <w:color w:val="000000" w:themeColor="text1"/>
                <w:sz w:val="16"/>
                <w:lang w:val="en-GB"/>
              </w:rPr>
              <w:t>(83)</w:t>
            </w:r>
          </w:p>
        </w:tc>
      </w:tr>
      <w:tr w:rsidR="00615190" w:rsidRPr="00EA2899" w14:paraId="444DDFC3" w14:textId="77777777" w:rsidTr="00786981">
        <w:trPr>
          <w:trHeight w:val="60"/>
        </w:trPr>
        <w:tc>
          <w:tcPr>
            <w:tcW w:w="6096"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7C806164" w14:textId="77777777" w:rsidR="00EA2899" w:rsidRPr="00EA2899" w:rsidRDefault="00EA2899" w:rsidP="00615190">
            <w:pPr>
              <w:spacing w:line="240" w:lineRule="atLeast"/>
              <w:rPr>
                <w:rFonts w:ascii="Tahoma" w:hAnsi="Tahoma"/>
                <w:color w:val="000000" w:themeColor="text1"/>
                <w:sz w:val="16"/>
                <w:lang w:val="en-GB"/>
              </w:rPr>
            </w:pPr>
          </w:p>
        </w:tc>
        <w:tc>
          <w:tcPr>
            <w:tcW w:w="708"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64252B98" w14:textId="77777777" w:rsidR="00EA2899" w:rsidRPr="00EA2899" w:rsidRDefault="00EA2899" w:rsidP="00615190">
            <w:pPr>
              <w:spacing w:line="240" w:lineRule="atLeast"/>
              <w:rPr>
                <w:rFonts w:ascii="Tahoma" w:hAnsi="Tahoma"/>
                <w:color w:val="000000" w:themeColor="text1"/>
                <w:sz w:val="16"/>
                <w:lang w:val="en-GB"/>
              </w:rPr>
            </w:pPr>
          </w:p>
        </w:tc>
        <w:tc>
          <w:tcPr>
            <w:tcW w:w="1134"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01064036" w14:textId="77777777" w:rsidR="00EA2899" w:rsidRPr="00EA2899" w:rsidRDefault="00EA2899" w:rsidP="00652238">
            <w:pPr>
              <w:spacing w:line="240" w:lineRule="atLeast"/>
              <w:jc w:val="right"/>
              <w:rPr>
                <w:rFonts w:ascii="Tahoma" w:hAnsi="Tahoma"/>
                <w:b/>
                <w:bCs/>
                <w:color w:val="000000" w:themeColor="text1"/>
                <w:sz w:val="16"/>
                <w:lang w:val="en-GB"/>
              </w:rPr>
            </w:pPr>
            <w:r w:rsidRPr="00EA2899">
              <w:rPr>
                <w:rFonts w:ascii="Tahoma" w:hAnsi="Tahoma"/>
                <w:b/>
                <w:bCs/>
                <w:color w:val="000000" w:themeColor="text1"/>
                <w:sz w:val="16"/>
                <w:lang w:val="en-GB"/>
              </w:rPr>
              <w:t>(3 833)</w:t>
            </w:r>
          </w:p>
        </w:tc>
        <w:tc>
          <w:tcPr>
            <w:tcW w:w="1134"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67DA10DC" w14:textId="77777777" w:rsidR="00EA2899" w:rsidRPr="00EA2899" w:rsidRDefault="00EA2899" w:rsidP="00652238">
            <w:pPr>
              <w:spacing w:line="240" w:lineRule="atLeast"/>
              <w:jc w:val="right"/>
              <w:rPr>
                <w:rFonts w:ascii="Tahoma" w:hAnsi="Tahoma"/>
                <w:color w:val="000000" w:themeColor="text1"/>
                <w:sz w:val="16"/>
                <w:lang w:val="en-GB"/>
              </w:rPr>
            </w:pPr>
            <w:r w:rsidRPr="00EA2899">
              <w:rPr>
                <w:rFonts w:ascii="Tahoma" w:hAnsi="Tahoma"/>
                <w:color w:val="000000" w:themeColor="text1"/>
                <w:sz w:val="16"/>
                <w:lang w:val="en-GB"/>
              </w:rPr>
              <w:t>16 671</w:t>
            </w:r>
          </w:p>
        </w:tc>
        <w:tc>
          <w:tcPr>
            <w:tcW w:w="1134"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33C5BF6F" w14:textId="77777777" w:rsidR="00EA2899" w:rsidRPr="00EA2899" w:rsidRDefault="00EA2899" w:rsidP="00D559F9">
            <w:pPr>
              <w:spacing w:line="240" w:lineRule="atLeast"/>
              <w:ind w:right="113"/>
              <w:jc w:val="right"/>
              <w:rPr>
                <w:rFonts w:ascii="Tahoma" w:hAnsi="Tahoma"/>
                <w:color w:val="000000" w:themeColor="text1"/>
                <w:sz w:val="16"/>
                <w:lang w:val="en-GB"/>
              </w:rPr>
            </w:pPr>
            <w:r w:rsidRPr="00EA2899">
              <w:rPr>
                <w:rFonts w:ascii="Tahoma" w:hAnsi="Tahoma"/>
                <w:color w:val="000000" w:themeColor="text1"/>
                <w:sz w:val="16"/>
                <w:lang w:val="en-GB"/>
              </w:rPr>
              <w:t>15 483</w:t>
            </w:r>
          </w:p>
        </w:tc>
      </w:tr>
      <w:tr w:rsidR="00615190" w:rsidRPr="00EA2899" w14:paraId="535AE807" w14:textId="77777777" w:rsidTr="002B6FF2">
        <w:trPr>
          <w:trHeight w:val="60"/>
        </w:trPr>
        <w:tc>
          <w:tcPr>
            <w:tcW w:w="10206" w:type="dxa"/>
            <w:gridSpan w:val="5"/>
            <w:tcBorders>
              <w:top w:val="single" w:sz="12" w:space="0" w:color="auto"/>
            </w:tcBorders>
            <w:shd w:val="clear" w:color="auto" w:fill="auto"/>
            <w:tcMar>
              <w:top w:w="85" w:type="dxa"/>
              <w:left w:w="0" w:type="dxa"/>
              <w:bottom w:w="57" w:type="dxa"/>
              <w:right w:w="0" w:type="dxa"/>
            </w:tcMar>
            <w:vAlign w:val="bottom"/>
          </w:tcPr>
          <w:p w14:paraId="7A8E1EE4" w14:textId="77777777" w:rsidR="00EA2899" w:rsidRPr="00EA2899" w:rsidRDefault="00EA2899" w:rsidP="001F14EF">
            <w:pPr>
              <w:pStyle w:val="FootnotesProsus2022FrontStylesProsus2022"/>
            </w:pPr>
            <w:r w:rsidRPr="00EA2899">
              <w:t>1</w:t>
            </w:r>
            <w:r w:rsidRPr="00EA2899">
              <w:tab/>
              <w:t>31 March 2022 includes the reclassification to the income statement of US$1.14bn relating to the loss of significant influence of VK.</w:t>
            </w:r>
          </w:p>
          <w:p w14:paraId="394415FA" w14:textId="77777777" w:rsidR="00EA2899" w:rsidRPr="00EA2899" w:rsidRDefault="00EA2899" w:rsidP="001F14EF">
            <w:pPr>
              <w:pStyle w:val="FootnotesProsus2022FrontStylesProsus2022"/>
            </w:pPr>
            <w:r w:rsidRPr="00EA2899">
              <w:t>2</w:t>
            </w:r>
            <w:r w:rsidRPr="00EA2899">
              <w:tab/>
              <w:t>The significant movement relates to the translation effects from equity-accounted investments (refer to note 11). The current period also includes a net monetary gain of US$66.7m relating to hyperinflation accounting for the group’s subsidiaries in Turkey (refer to note 2).</w:t>
            </w:r>
          </w:p>
          <w:p w14:paraId="040BE91F" w14:textId="77777777" w:rsidR="00EA2899" w:rsidRPr="00EA2899" w:rsidRDefault="00EA2899" w:rsidP="001F14EF">
            <w:pPr>
              <w:pStyle w:val="FootnotesProsus2022FrontStylesProsus2022"/>
            </w:pPr>
            <w:r w:rsidRPr="00EA2899">
              <w:t>3</w:t>
            </w:r>
            <w:r w:rsidRPr="00EA2899">
              <w:tab/>
              <w:t>This relates to movements in equity-accounted investments’ foreign currency translation reserve.</w:t>
            </w:r>
          </w:p>
          <w:p w14:paraId="57FB00CF" w14:textId="77777777" w:rsidR="00EA2899" w:rsidRPr="00EA2899" w:rsidRDefault="00EA2899" w:rsidP="001F14EF">
            <w:pPr>
              <w:pStyle w:val="FootnotesProsus2022FrontStylesProsus2022"/>
            </w:pPr>
            <w:r w:rsidRPr="00EA2899">
              <w:t>4</w:t>
            </w:r>
            <w:r w:rsidRPr="00EA2899">
              <w:tab/>
              <w:t>This relates to (losses)/gains from the change in share prices of Tencent’s listed investments carried at fair value through other comprehensive income and the group’s share in the share-based compensation reserve of equity-accounted investments.</w:t>
            </w:r>
          </w:p>
        </w:tc>
      </w:tr>
    </w:tbl>
    <w:p w14:paraId="618444C9" w14:textId="77777777" w:rsidR="00610C1E" w:rsidRPr="00615190" w:rsidRDefault="00610C1E" w:rsidP="00615190">
      <w:pPr>
        <w:spacing w:line="240" w:lineRule="atLeast"/>
        <w:rPr>
          <w:rFonts w:ascii="Tahoma" w:hAnsi="Tahoma"/>
          <w:color w:val="000000" w:themeColor="text1"/>
          <w:sz w:val="16"/>
        </w:rPr>
      </w:pPr>
    </w:p>
    <w:p w14:paraId="2A4FB09B" w14:textId="77777777" w:rsidR="00EA2899" w:rsidRPr="00615190" w:rsidRDefault="00FB03B7" w:rsidP="00B663B8">
      <w:pPr>
        <w:rPr>
          <w:rFonts w:ascii="Tahoma" w:hAnsi="Tahoma"/>
          <w:color w:val="000000" w:themeColor="text1"/>
          <w:sz w:val="16"/>
        </w:rPr>
      </w:pPr>
      <w:r>
        <w:rPr>
          <w:rFonts w:ascii="Tahoma" w:hAnsi="Tahoma"/>
          <w:color w:val="000000" w:themeColor="text1"/>
          <w:sz w:val="16"/>
        </w:rPr>
        <w:br w:type="page"/>
      </w:r>
    </w:p>
    <w:tbl>
      <w:tblPr>
        <w:tblW w:w="10206" w:type="dxa"/>
        <w:tblInd w:w="-8" w:type="dxa"/>
        <w:tblLayout w:type="fixed"/>
        <w:tblCellMar>
          <w:left w:w="0" w:type="dxa"/>
          <w:right w:w="0" w:type="dxa"/>
        </w:tblCellMar>
        <w:tblLook w:val="0000" w:firstRow="0" w:lastRow="0" w:firstColumn="0" w:lastColumn="0" w:noHBand="0" w:noVBand="0"/>
      </w:tblPr>
      <w:tblGrid>
        <w:gridCol w:w="5954"/>
        <w:gridCol w:w="850"/>
        <w:gridCol w:w="1134"/>
        <w:gridCol w:w="1134"/>
        <w:gridCol w:w="1134"/>
      </w:tblGrid>
      <w:tr w:rsidR="00615190" w:rsidRPr="00A62E51" w14:paraId="2EE66025" w14:textId="77777777" w:rsidTr="00B663B8">
        <w:trPr>
          <w:trHeight w:val="60"/>
        </w:trPr>
        <w:tc>
          <w:tcPr>
            <w:tcW w:w="10206" w:type="dxa"/>
            <w:gridSpan w:val="5"/>
            <w:shd w:val="clear" w:color="auto" w:fill="auto"/>
            <w:tcMar>
              <w:top w:w="85" w:type="dxa"/>
              <w:left w:w="0" w:type="dxa"/>
              <w:bottom w:w="85" w:type="dxa"/>
              <w:right w:w="0" w:type="dxa"/>
            </w:tcMar>
            <w:vAlign w:val="bottom"/>
          </w:tcPr>
          <w:p w14:paraId="4E36FF20" w14:textId="77777777" w:rsidR="00A62E51" w:rsidRPr="00A62E51" w:rsidRDefault="002132EF" w:rsidP="00C00DCF">
            <w:pPr>
              <w:contextualSpacing/>
              <w:rPr>
                <w:rFonts w:ascii="Tahoma" w:hAnsi="Tahoma"/>
                <w:b/>
                <w:bCs/>
                <w:color w:val="000000" w:themeColor="text1"/>
                <w:sz w:val="20"/>
                <w:szCs w:val="20"/>
                <w:lang w:val="en-GB"/>
              </w:rPr>
            </w:pPr>
            <w:r w:rsidRPr="00A62E51">
              <w:rPr>
                <w:rFonts w:ascii="Tahoma" w:hAnsi="Tahoma"/>
                <w:b/>
                <w:bCs/>
                <w:color w:val="000000" w:themeColor="text1"/>
                <w:sz w:val="20"/>
                <w:szCs w:val="20"/>
                <w:lang w:val="en-GB"/>
              </w:rPr>
              <w:lastRenderedPageBreak/>
              <w:t>CONDENSED CONSOLIDATED STATEMENT OF FINANCIAL POSITION</w:t>
            </w:r>
          </w:p>
        </w:tc>
      </w:tr>
      <w:tr w:rsidR="00615190" w:rsidRPr="00A62E51" w14:paraId="350A4BDF" w14:textId="77777777" w:rsidTr="0070518B">
        <w:trPr>
          <w:trHeight w:val="60"/>
        </w:trPr>
        <w:tc>
          <w:tcPr>
            <w:tcW w:w="5954" w:type="dxa"/>
            <w:shd w:val="clear" w:color="auto" w:fill="auto"/>
            <w:tcMar>
              <w:top w:w="85" w:type="dxa"/>
              <w:left w:w="0" w:type="dxa"/>
              <w:bottom w:w="85" w:type="dxa"/>
              <w:right w:w="0" w:type="dxa"/>
            </w:tcMar>
            <w:vAlign w:val="bottom"/>
          </w:tcPr>
          <w:p w14:paraId="57032609" w14:textId="77777777" w:rsidR="00A62E51" w:rsidRPr="00A62E51" w:rsidRDefault="00A62E51" w:rsidP="00C00DCF">
            <w:pPr>
              <w:contextualSpacing/>
              <w:rPr>
                <w:rFonts w:ascii="Tahoma" w:hAnsi="Tahoma"/>
                <w:color w:val="000000" w:themeColor="text1"/>
                <w:sz w:val="16"/>
                <w:lang w:val="en-GB"/>
              </w:rPr>
            </w:pPr>
          </w:p>
        </w:tc>
        <w:tc>
          <w:tcPr>
            <w:tcW w:w="850" w:type="dxa"/>
            <w:shd w:val="clear" w:color="auto" w:fill="auto"/>
            <w:tcMar>
              <w:top w:w="85" w:type="dxa"/>
              <w:left w:w="0" w:type="dxa"/>
              <w:bottom w:w="85" w:type="dxa"/>
              <w:right w:w="0" w:type="dxa"/>
            </w:tcMar>
            <w:vAlign w:val="bottom"/>
          </w:tcPr>
          <w:p w14:paraId="2ED702C2" w14:textId="77777777" w:rsidR="00A62E51" w:rsidRPr="00A62E51" w:rsidRDefault="00A62E51" w:rsidP="00C00DCF">
            <w:pPr>
              <w:contextualSpacing/>
              <w:rPr>
                <w:rFonts w:ascii="Tahoma" w:hAnsi="Tahoma"/>
                <w:color w:val="000000" w:themeColor="text1"/>
                <w:sz w:val="16"/>
                <w:lang w:val="en-GB"/>
              </w:rPr>
            </w:pPr>
          </w:p>
        </w:tc>
        <w:tc>
          <w:tcPr>
            <w:tcW w:w="2268" w:type="dxa"/>
            <w:gridSpan w:val="2"/>
            <w:shd w:val="clear" w:color="auto" w:fill="auto"/>
            <w:tcMar>
              <w:top w:w="85" w:type="dxa"/>
              <w:left w:w="0" w:type="dxa"/>
              <w:bottom w:w="85" w:type="dxa"/>
              <w:right w:w="0" w:type="dxa"/>
            </w:tcMar>
            <w:vAlign w:val="bottom"/>
          </w:tcPr>
          <w:p w14:paraId="09919E01" w14:textId="77777777" w:rsidR="00A62E51" w:rsidRPr="00A62E51" w:rsidRDefault="00A62E51" w:rsidP="00C00DCF">
            <w:pPr>
              <w:contextualSpacing/>
              <w:jc w:val="center"/>
              <w:rPr>
                <w:rFonts w:ascii="Tahoma" w:hAnsi="Tahoma"/>
                <w:b/>
                <w:bCs/>
                <w:color w:val="000000" w:themeColor="text1"/>
                <w:sz w:val="16"/>
                <w:lang w:val="en-GB"/>
              </w:rPr>
            </w:pPr>
            <w:r w:rsidRPr="00A62E51">
              <w:rPr>
                <w:rFonts w:ascii="Tahoma" w:hAnsi="Tahoma"/>
                <w:b/>
                <w:bCs/>
                <w:color w:val="000000" w:themeColor="text1"/>
                <w:sz w:val="16"/>
                <w:lang w:val="en-GB"/>
              </w:rPr>
              <w:t>As at</w:t>
            </w:r>
          </w:p>
          <w:p w14:paraId="32673174" w14:textId="77777777" w:rsidR="00A62E51" w:rsidRPr="00A62E51" w:rsidRDefault="00A62E51" w:rsidP="00C00DCF">
            <w:pPr>
              <w:contextualSpacing/>
              <w:jc w:val="center"/>
              <w:rPr>
                <w:rFonts w:ascii="Tahoma" w:hAnsi="Tahoma"/>
                <w:color w:val="000000" w:themeColor="text1"/>
                <w:sz w:val="16"/>
                <w:lang w:val="en-GB"/>
              </w:rPr>
            </w:pPr>
            <w:r w:rsidRPr="00A62E51">
              <w:rPr>
                <w:rFonts w:ascii="Tahoma" w:hAnsi="Tahoma"/>
                <w:b/>
                <w:bCs/>
                <w:color w:val="000000" w:themeColor="text1"/>
                <w:sz w:val="16"/>
                <w:lang w:val="en-GB"/>
              </w:rPr>
              <w:t>30 September</w:t>
            </w:r>
          </w:p>
        </w:tc>
        <w:tc>
          <w:tcPr>
            <w:tcW w:w="1134" w:type="dxa"/>
            <w:shd w:val="clear" w:color="auto" w:fill="auto"/>
            <w:tcMar>
              <w:top w:w="85" w:type="dxa"/>
              <w:left w:w="0" w:type="dxa"/>
              <w:bottom w:w="85" w:type="dxa"/>
              <w:right w:w="0" w:type="dxa"/>
            </w:tcMar>
            <w:vAlign w:val="bottom"/>
          </w:tcPr>
          <w:p w14:paraId="3BE1059C" w14:textId="77777777" w:rsidR="00A62E51" w:rsidRPr="00A62E51" w:rsidRDefault="00A62E51" w:rsidP="00C00DCF">
            <w:pPr>
              <w:ind w:right="113"/>
              <w:contextualSpacing/>
              <w:jc w:val="right"/>
              <w:rPr>
                <w:rFonts w:ascii="Tahoma" w:hAnsi="Tahoma"/>
                <w:color w:val="000000" w:themeColor="text1"/>
                <w:sz w:val="16"/>
                <w:lang w:val="en-GB"/>
              </w:rPr>
            </w:pPr>
            <w:r w:rsidRPr="00A62E51">
              <w:rPr>
                <w:rFonts w:ascii="Tahoma" w:hAnsi="Tahoma"/>
                <w:color w:val="000000" w:themeColor="text1"/>
                <w:sz w:val="16"/>
                <w:lang w:val="en-GB"/>
              </w:rPr>
              <w:t>As at</w:t>
            </w:r>
          </w:p>
          <w:p w14:paraId="42A0FCAD" w14:textId="77777777" w:rsidR="00A62E51" w:rsidRPr="00A62E51" w:rsidRDefault="00A62E51" w:rsidP="00C00DCF">
            <w:pPr>
              <w:ind w:right="113"/>
              <w:contextualSpacing/>
              <w:jc w:val="right"/>
              <w:rPr>
                <w:rFonts w:ascii="Tahoma" w:hAnsi="Tahoma"/>
                <w:color w:val="000000" w:themeColor="text1"/>
                <w:sz w:val="16"/>
                <w:lang w:val="en-GB"/>
              </w:rPr>
            </w:pPr>
            <w:r w:rsidRPr="00A62E51">
              <w:rPr>
                <w:rFonts w:ascii="Tahoma" w:hAnsi="Tahoma"/>
                <w:color w:val="000000" w:themeColor="text1"/>
                <w:sz w:val="16"/>
                <w:lang w:val="en-GB"/>
              </w:rPr>
              <w:t>31 March</w:t>
            </w:r>
          </w:p>
        </w:tc>
      </w:tr>
      <w:tr w:rsidR="00615190" w:rsidRPr="00A62E51" w14:paraId="37AF855A" w14:textId="77777777" w:rsidTr="0070518B">
        <w:trPr>
          <w:trHeight w:val="60"/>
        </w:trPr>
        <w:tc>
          <w:tcPr>
            <w:tcW w:w="5954" w:type="dxa"/>
            <w:tcBorders>
              <w:bottom w:val="single" w:sz="12" w:space="0" w:color="auto"/>
            </w:tcBorders>
            <w:shd w:val="clear" w:color="auto" w:fill="auto"/>
            <w:tcMar>
              <w:top w:w="113" w:type="dxa"/>
              <w:left w:w="0" w:type="dxa"/>
              <w:bottom w:w="113" w:type="dxa"/>
              <w:right w:w="0" w:type="dxa"/>
            </w:tcMar>
            <w:vAlign w:val="bottom"/>
          </w:tcPr>
          <w:p w14:paraId="670D6760" w14:textId="77777777" w:rsidR="00A62E51" w:rsidRPr="00A62E51" w:rsidRDefault="00A62E51" w:rsidP="00C00DCF">
            <w:pPr>
              <w:contextualSpacing/>
              <w:rPr>
                <w:rFonts w:ascii="Tahoma" w:hAnsi="Tahoma"/>
                <w:color w:val="000000" w:themeColor="text1"/>
                <w:sz w:val="16"/>
                <w:lang w:val="en-GB"/>
              </w:rPr>
            </w:pPr>
          </w:p>
        </w:tc>
        <w:tc>
          <w:tcPr>
            <w:tcW w:w="850" w:type="dxa"/>
            <w:tcBorders>
              <w:bottom w:val="single" w:sz="12" w:space="0" w:color="auto"/>
            </w:tcBorders>
            <w:shd w:val="clear" w:color="auto" w:fill="auto"/>
            <w:tcMar>
              <w:top w:w="113" w:type="dxa"/>
              <w:left w:w="0" w:type="dxa"/>
              <w:bottom w:w="113" w:type="dxa"/>
              <w:right w:w="0" w:type="dxa"/>
            </w:tcMar>
            <w:vAlign w:val="bottom"/>
          </w:tcPr>
          <w:p w14:paraId="0843C504" w14:textId="77777777" w:rsidR="00A62E51" w:rsidRPr="00A62E51" w:rsidRDefault="00A62E51" w:rsidP="00C00DCF">
            <w:pPr>
              <w:ind w:right="113"/>
              <w:contextualSpacing/>
              <w:jc w:val="right"/>
              <w:rPr>
                <w:rFonts w:ascii="Tahoma" w:hAnsi="Tahoma"/>
                <w:color w:val="000000" w:themeColor="text1"/>
                <w:sz w:val="16"/>
                <w:lang w:val="en-GB"/>
              </w:rPr>
            </w:pPr>
            <w:r w:rsidRPr="00A62E51">
              <w:rPr>
                <w:rFonts w:ascii="Tahoma" w:hAnsi="Tahoma"/>
                <w:color w:val="000000" w:themeColor="text1"/>
                <w:sz w:val="16"/>
                <w:lang w:val="en-GB"/>
              </w:rPr>
              <w:t>Notes</w:t>
            </w:r>
          </w:p>
        </w:tc>
        <w:tc>
          <w:tcPr>
            <w:tcW w:w="1134" w:type="dxa"/>
            <w:tcBorders>
              <w:bottom w:val="single" w:sz="12" w:space="0" w:color="auto"/>
            </w:tcBorders>
            <w:shd w:val="clear" w:color="auto" w:fill="auto"/>
            <w:tcMar>
              <w:top w:w="113" w:type="dxa"/>
              <w:left w:w="0" w:type="dxa"/>
              <w:bottom w:w="113" w:type="dxa"/>
              <w:right w:w="0" w:type="dxa"/>
            </w:tcMar>
            <w:vAlign w:val="bottom"/>
          </w:tcPr>
          <w:p w14:paraId="2AE9D696" w14:textId="77777777" w:rsidR="00A62E51" w:rsidRPr="00A62E51" w:rsidRDefault="00A62E51" w:rsidP="00C00DCF">
            <w:pPr>
              <w:contextualSpacing/>
              <w:jc w:val="right"/>
              <w:rPr>
                <w:rFonts w:ascii="Tahoma" w:hAnsi="Tahoma"/>
                <w:b/>
                <w:bCs/>
                <w:color w:val="000000" w:themeColor="text1"/>
                <w:sz w:val="16"/>
                <w:lang w:val="en-GB"/>
              </w:rPr>
            </w:pPr>
            <w:r w:rsidRPr="00A62E51">
              <w:rPr>
                <w:rFonts w:ascii="Tahoma" w:hAnsi="Tahoma"/>
                <w:b/>
                <w:bCs/>
                <w:color w:val="000000" w:themeColor="text1"/>
                <w:sz w:val="16"/>
                <w:lang w:val="en-GB"/>
              </w:rPr>
              <w:t>2022</w:t>
            </w:r>
          </w:p>
          <w:p w14:paraId="67DA11CE" w14:textId="77777777" w:rsidR="00A62E51" w:rsidRPr="00A62E51" w:rsidRDefault="00A62E51" w:rsidP="00C00DCF">
            <w:pPr>
              <w:contextualSpacing/>
              <w:jc w:val="right"/>
              <w:rPr>
                <w:rFonts w:ascii="Tahoma" w:hAnsi="Tahoma"/>
                <w:b/>
                <w:bCs/>
                <w:color w:val="000000" w:themeColor="text1"/>
                <w:sz w:val="16"/>
                <w:lang w:val="en-GB"/>
              </w:rPr>
            </w:pPr>
            <w:proofErr w:type="spellStart"/>
            <w:r w:rsidRPr="00A62E51">
              <w:rPr>
                <w:rFonts w:ascii="Tahoma" w:hAnsi="Tahoma"/>
                <w:b/>
                <w:bCs/>
                <w:color w:val="000000" w:themeColor="text1"/>
                <w:sz w:val="16"/>
                <w:lang w:val="en-GB"/>
              </w:rPr>
              <w:t>US$’m</w:t>
            </w:r>
            <w:proofErr w:type="spellEnd"/>
          </w:p>
        </w:tc>
        <w:tc>
          <w:tcPr>
            <w:tcW w:w="1134" w:type="dxa"/>
            <w:tcBorders>
              <w:bottom w:val="single" w:sz="12" w:space="0" w:color="auto"/>
            </w:tcBorders>
            <w:shd w:val="clear" w:color="auto" w:fill="auto"/>
            <w:tcMar>
              <w:top w:w="113" w:type="dxa"/>
              <w:left w:w="0" w:type="dxa"/>
              <w:bottom w:w="113" w:type="dxa"/>
              <w:right w:w="0" w:type="dxa"/>
            </w:tcMar>
            <w:vAlign w:val="bottom"/>
          </w:tcPr>
          <w:p w14:paraId="33E9F975" w14:textId="77777777" w:rsidR="00A62E51" w:rsidRPr="00A62E51" w:rsidRDefault="00A62E51" w:rsidP="00C00DCF">
            <w:pPr>
              <w:contextualSpacing/>
              <w:jc w:val="right"/>
              <w:rPr>
                <w:rFonts w:ascii="Tahoma" w:hAnsi="Tahoma"/>
                <w:color w:val="000000" w:themeColor="text1"/>
                <w:sz w:val="16"/>
                <w:lang w:val="en-GB"/>
              </w:rPr>
            </w:pPr>
            <w:r w:rsidRPr="00A62E51">
              <w:rPr>
                <w:rFonts w:ascii="Tahoma" w:hAnsi="Tahoma"/>
                <w:color w:val="000000" w:themeColor="text1"/>
                <w:sz w:val="16"/>
                <w:lang w:val="en-GB"/>
              </w:rPr>
              <w:t>2021</w:t>
            </w:r>
          </w:p>
          <w:p w14:paraId="3213CD61" w14:textId="77777777" w:rsidR="00A62E51" w:rsidRPr="00A62E51" w:rsidRDefault="00A62E51" w:rsidP="00C00DCF">
            <w:pPr>
              <w:contextualSpacing/>
              <w:jc w:val="right"/>
              <w:rPr>
                <w:rFonts w:ascii="Tahoma" w:hAnsi="Tahoma"/>
                <w:color w:val="000000" w:themeColor="text1"/>
                <w:sz w:val="16"/>
                <w:lang w:val="en-GB"/>
              </w:rPr>
            </w:pPr>
            <w:proofErr w:type="spellStart"/>
            <w:r w:rsidRPr="00A62E51">
              <w:rPr>
                <w:rFonts w:ascii="Tahoma" w:hAnsi="Tahoma"/>
                <w:color w:val="000000" w:themeColor="text1"/>
                <w:sz w:val="16"/>
                <w:lang w:val="en-GB"/>
              </w:rPr>
              <w:t>US$’m</w:t>
            </w:r>
            <w:proofErr w:type="spellEnd"/>
          </w:p>
        </w:tc>
        <w:tc>
          <w:tcPr>
            <w:tcW w:w="1134" w:type="dxa"/>
            <w:tcBorders>
              <w:bottom w:val="single" w:sz="12" w:space="0" w:color="auto"/>
            </w:tcBorders>
            <w:shd w:val="clear" w:color="auto" w:fill="auto"/>
            <w:tcMar>
              <w:top w:w="113" w:type="dxa"/>
              <w:left w:w="0" w:type="dxa"/>
              <w:bottom w:w="113" w:type="dxa"/>
              <w:right w:w="0" w:type="dxa"/>
            </w:tcMar>
            <w:vAlign w:val="bottom"/>
          </w:tcPr>
          <w:p w14:paraId="3CBACDD7" w14:textId="77777777" w:rsidR="00A62E51" w:rsidRPr="00A62E51" w:rsidRDefault="00A62E51" w:rsidP="00C00DCF">
            <w:pPr>
              <w:ind w:right="113"/>
              <w:contextualSpacing/>
              <w:jc w:val="right"/>
              <w:rPr>
                <w:rFonts w:ascii="Tahoma" w:hAnsi="Tahoma"/>
                <w:color w:val="000000" w:themeColor="text1"/>
                <w:sz w:val="16"/>
                <w:lang w:val="en-GB"/>
              </w:rPr>
            </w:pPr>
            <w:r w:rsidRPr="00A62E51">
              <w:rPr>
                <w:rFonts w:ascii="Tahoma" w:hAnsi="Tahoma"/>
                <w:color w:val="000000" w:themeColor="text1"/>
                <w:sz w:val="16"/>
                <w:lang w:val="en-GB"/>
              </w:rPr>
              <w:t>2022</w:t>
            </w:r>
          </w:p>
          <w:p w14:paraId="65779582" w14:textId="77777777" w:rsidR="00A62E51" w:rsidRPr="00A62E51" w:rsidRDefault="00A62E51" w:rsidP="00C00DCF">
            <w:pPr>
              <w:ind w:right="113"/>
              <w:contextualSpacing/>
              <w:jc w:val="right"/>
              <w:rPr>
                <w:rFonts w:ascii="Tahoma" w:hAnsi="Tahoma"/>
                <w:color w:val="000000" w:themeColor="text1"/>
                <w:sz w:val="16"/>
                <w:lang w:val="en-GB"/>
              </w:rPr>
            </w:pPr>
            <w:proofErr w:type="spellStart"/>
            <w:r w:rsidRPr="00A62E51">
              <w:rPr>
                <w:rFonts w:ascii="Tahoma" w:hAnsi="Tahoma"/>
                <w:color w:val="000000" w:themeColor="text1"/>
                <w:sz w:val="16"/>
                <w:lang w:val="en-GB"/>
              </w:rPr>
              <w:t>US$’m</w:t>
            </w:r>
            <w:proofErr w:type="spellEnd"/>
          </w:p>
        </w:tc>
      </w:tr>
      <w:tr w:rsidR="00615190" w:rsidRPr="00A62E51" w14:paraId="23417F6B" w14:textId="77777777" w:rsidTr="0070518B">
        <w:trPr>
          <w:trHeight w:val="60"/>
        </w:trPr>
        <w:tc>
          <w:tcPr>
            <w:tcW w:w="5954" w:type="dxa"/>
            <w:tcBorders>
              <w:top w:val="single" w:sz="12" w:space="0" w:color="auto"/>
            </w:tcBorders>
            <w:shd w:val="clear" w:color="auto" w:fill="auto"/>
            <w:tcMar>
              <w:top w:w="142" w:type="dxa"/>
              <w:left w:w="0" w:type="dxa"/>
              <w:bottom w:w="23" w:type="dxa"/>
              <w:right w:w="0" w:type="dxa"/>
            </w:tcMar>
            <w:vAlign w:val="bottom"/>
          </w:tcPr>
          <w:p w14:paraId="639BA177" w14:textId="77777777" w:rsidR="00A62E51" w:rsidRPr="00A62E51" w:rsidRDefault="00B663B8" w:rsidP="00C00DCF">
            <w:pPr>
              <w:contextualSpacing/>
              <w:rPr>
                <w:rFonts w:ascii="Tahoma" w:hAnsi="Tahoma"/>
                <w:b/>
                <w:bCs/>
                <w:color w:val="000000" w:themeColor="text1"/>
                <w:sz w:val="16"/>
                <w:lang w:val="en-GB"/>
              </w:rPr>
            </w:pPr>
            <w:r w:rsidRPr="00A62E51">
              <w:rPr>
                <w:rFonts w:ascii="Tahoma" w:hAnsi="Tahoma"/>
                <w:b/>
                <w:bCs/>
                <w:color w:val="000000" w:themeColor="text1"/>
                <w:sz w:val="16"/>
                <w:lang w:val="en-GB"/>
              </w:rPr>
              <w:t>ASSETS</w:t>
            </w:r>
          </w:p>
        </w:tc>
        <w:tc>
          <w:tcPr>
            <w:tcW w:w="850" w:type="dxa"/>
            <w:tcBorders>
              <w:top w:val="single" w:sz="12" w:space="0" w:color="auto"/>
            </w:tcBorders>
            <w:shd w:val="clear" w:color="auto" w:fill="auto"/>
            <w:tcMar>
              <w:top w:w="142" w:type="dxa"/>
              <w:left w:w="0" w:type="dxa"/>
              <w:bottom w:w="23" w:type="dxa"/>
              <w:right w:w="0" w:type="dxa"/>
            </w:tcMar>
            <w:vAlign w:val="bottom"/>
          </w:tcPr>
          <w:p w14:paraId="648E2EEA" w14:textId="77777777" w:rsidR="00A62E51" w:rsidRPr="00A62E51" w:rsidRDefault="00A62E51" w:rsidP="00C00DCF">
            <w:pPr>
              <w:ind w:right="113"/>
              <w:contextualSpacing/>
              <w:jc w:val="right"/>
              <w:rPr>
                <w:rFonts w:ascii="Tahoma" w:hAnsi="Tahoma"/>
                <w:color w:val="000000" w:themeColor="text1"/>
                <w:sz w:val="16"/>
                <w:lang w:val="en-GB"/>
              </w:rPr>
            </w:pPr>
          </w:p>
        </w:tc>
        <w:tc>
          <w:tcPr>
            <w:tcW w:w="1134" w:type="dxa"/>
            <w:tcBorders>
              <w:top w:val="single" w:sz="12" w:space="0" w:color="auto"/>
            </w:tcBorders>
            <w:shd w:val="clear" w:color="auto" w:fill="auto"/>
            <w:tcMar>
              <w:top w:w="142" w:type="dxa"/>
              <w:left w:w="0" w:type="dxa"/>
              <w:bottom w:w="23" w:type="dxa"/>
              <w:right w:w="0" w:type="dxa"/>
            </w:tcMar>
            <w:vAlign w:val="bottom"/>
          </w:tcPr>
          <w:p w14:paraId="3DAABB4C" w14:textId="77777777" w:rsidR="00A62E51" w:rsidRPr="00A62E51" w:rsidRDefault="00A62E51" w:rsidP="00C00DCF">
            <w:pPr>
              <w:contextualSpacing/>
              <w:jc w:val="right"/>
              <w:rPr>
                <w:rFonts w:ascii="Tahoma" w:hAnsi="Tahoma"/>
                <w:b/>
                <w:bCs/>
                <w:color w:val="000000" w:themeColor="text1"/>
                <w:sz w:val="16"/>
                <w:lang w:val="en-GB"/>
              </w:rPr>
            </w:pPr>
          </w:p>
        </w:tc>
        <w:tc>
          <w:tcPr>
            <w:tcW w:w="1134" w:type="dxa"/>
            <w:tcBorders>
              <w:top w:val="single" w:sz="12" w:space="0" w:color="auto"/>
            </w:tcBorders>
            <w:shd w:val="clear" w:color="auto" w:fill="auto"/>
            <w:tcMar>
              <w:top w:w="142" w:type="dxa"/>
              <w:left w:w="0" w:type="dxa"/>
              <w:bottom w:w="23" w:type="dxa"/>
              <w:right w:w="0" w:type="dxa"/>
            </w:tcMar>
            <w:vAlign w:val="bottom"/>
          </w:tcPr>
          <w:p w14:paraId="59E028DA" w14:textId="77777777" w:rsidR="00A62E51" w:rsidRPr="00A62E51" w:rsidRDefault="00A62E51" w:rsidP="00C00DCF">
            <w:pPr>
              <w:contextualSpacing/>
              <w:jc w:val="right"/>
              <w:rPr>
                <w:rFonts w:ascii="Tahoma" w:hAnsi="Tahoma"/>
                <w:color w:val="000000" w:themeColor="text1"/>
                <w:sz w:val="16"/>
                <w:lang w:val="en-GB"/>
              </w:rPr>
            </w:pPr>
          </w:p>
        </w:tc>
        <w:tc>
          <w:tcPr>
            <w:tcW w:w="1134" w:type="dxa"/>
            <w:tcBorders>
              <w:top w:val="single" w:sz="12" w:space="0" w:color="auto"/>
            </w:tcBorders>
            <w:shd w:val="clear" w:color="auto" w:fill="auto"/>
            <w:tcMar>
              <w:top w:w="142" w:type="dxa"/>
              <w:left w:w="0" w:type="dxa"/>
              <w:bottom w:w="23" w:type="dxa"/>
              <w:right w:w="0" w:type="dxa"/>
            </w:tcMar>
            <w:vAlign w:val="bottom"/>
          </w:tcPr>
          <w:p w14:paraId="078C0FA9" w14:textId="77777777" w:rsidR="00A62E51" w:rsidRPr="00A62E51" w:rsidRDefault="00A62E51" w:rsidP="00C00DCF">
            <w:pPr>
              <w:ind w:right="113"/>
              <w:contextualSpacing/>
              <w:jc w:val="right"/>
              <w:rPr>
                <w:rFonts w:ascii="Tahoma" w:hAnsi="Tahoma"/>
                <w:color w:val="000000" w:themeColor="text1"/>
                <w:sz w:val="16"/>
                <w:lang w:val="en-GB"/>
              </w:rPr>
            </w:pPr>
          </w:p>
        </w:tc>
      </w:tr>
      <w:tr w:rsidR="00615190" w:rsidRPr="00A62E51" w14:paraId="6917AA73" w14:textId="77777777" w:rsidTr="00100D94">
        <w:trPr>
          <w:trHeight w:val="60"/>
        </w:trPr>
        <w:tc>
          <w:tcPr>
            <w:tcW w:w="5954" w:type="dxa"/>
            <w:shd w:val="clear" w:color="auto" w:fill="auto"/>
            <w:tcMar>
              <w:top w:w="23" w:type="dxa"/>
              <w:left w:w="0" w:type="dxa"/>
              <w:bottom w:w="23" w:type="dxa"/>
              <w:right w:w="0" w:type="dxa"/>
            </w:tcMar>
            <w:vAlign w:val="bottom"/>
          </w:tcPr>
          <w:p w14:paraId="22C1E81E" w14:textId="77777777" w:rsidR="00A62E51" w:rsidRPr="00A62E51" w:rsidRDefault="00A62E51" w:rsidP="00C00DCF">
            <w:pPr>
              <w:contextualSpacing/>
              <w:rPr>
                <w:rFonts w:ascii="Tahoma" w:hAnsi="Tahoma"/>
                <w:b/>
                <w:bCs/>
                <w:color w:val="000000" w:themeColor="text1"/>
                <w:sz w:val="16"/>
                <w:lang w:val="en-GB"/>
              </w:rPr>
            </w:pPr>
            <w:r w:rsidRPr="00A62E51">
              <w:rPr>
                <w:rFonts w:ascii="Tahoma" w:hAnsi="Tahoma"/>
                <w:b/>
                <w:bCs/>
                <w:color w:val="000000" w:themeColor="text1"/>
                <w:sz w:val="16"/>
                <w:lang w:val="en-GB"/>
              </w:rPr>
              <w:t>Non-current assets</w:t>
            </w:r>
          </w:p>
        </w:tc>
        <w:tc>
          <w:tcPr>
            <w:tcW w:w="850" w:type="dxa"/>
            <w:shd w:val="clear" w:color="auto" w:fill="auto"/>
            <w:tcMar>
              <w:top w:w="23" w:type="dxa"/>
              <w:left w:w="0" w:type="dxa"/>
              <w:bottom w:w="23" w:type="dxa"/>
              <w:right w:w="0" w:type="dxa"/>
            </w:tcMar>
            <w:vAlign w:val="bottom"/>
          </w:tcPr>
          <w:p w14:paraId="03F27BE0" w14:textId="77777777" w:rsidR="00A62E51" w:rsidRPr="00A62E51" w:rsidRDefault="00A62E51" w:rsidP="00C00DCF">
            <w:pPr>
              <w:ind w:right="113"/>
              <w:contextualSpacing/>
              <w:jc w:val="right"/>
              <w:rPr>
                <w:rFonts w:ascii="Tahoma" w:hAnsi="Tahoma"/>
                <w:color w:val="000000" w:themeColor="text1"/>
                <w:sz w:val="16"/>
                <w:lang w:val="en-GB"/>
              </w:rPr>
            </w:pPr>
          </w:p>
        </w:tc>
        <w:tc>
          <w:tcPr>
            <w:tcW w:w="1134" w:type="dxa"/>
            <w:tcBorders>
              <w:bottom w:val="single" w:sz="4" w:space="0" w:color="auto"/>
            </w:tcBorders>
            <w:shd w:val="clear" w:color="auto" w:fill="auto"/>
            <w:tcMar>
              <w:top w:w="23" w:type="dxa"/>
              <w:left w:w="0" w:type="dxa"/>
              <w:bottom w:w="23" w:type="dxa"/>
              <w:right w:w="0" w:type="dxa"/>
            </w:tcMar>
            <w:vAlign w:val="bottom"/>
          </w:tcPr>
          <w:p w14:paraId="088703F7" w14:textId="77777777" w:rsidR="00A62E51" w:rsidRPr="00A62E51" w:rsidRDefault="00A62E51" w:rsidP="00C00DCF">
            <w:pPr>
              <w:contextualSpacing/>
              <w:jc w:val="right"/>
              <w:rPr>
                <w:rFonts w:ascii="Tahoma" w:hAnsi="Tahoma"/>
                <w:b/>
                <w:bCs/>
                <w:color w:val="000000" w:themeColor="text1"/>
                <w:sz w:val="16"/>
                <w:lang w:val="en-GB"/>
              </w:rPr>
            </w:pPr>
            <w:r w:rsidRPr="00A62E51">
              <w:rPr>
                <w:rFonts w:ascii="Tahoma" w:hAnsi="Tahoma"/>
                <w:b/>
                <w:bCs/>
                <w:color w:val="000000" w:themeColor="text1"/>
                <w:sz w:val="16"/>
                <w:lang w:val="en-GB"/>
              </w:rPr>
              <w:t>42 039</w:t>
            </w:r>
          </w:p>
        </w:tc>
        <w:tc>
          <w:tcPr>
            <w:tcW w:w="1134" w:type="dxa"/>
            <w:tcBorders>
              <w:bottom w:val="single" w:sz="4" w:space="0" w:color="auto"/>
            </w:tcBorders>
            <w:shd w:val="clear" w:color="auto" w:fill="auto"/>
            <w:tcMar>
              <w:top w:w="23" w:type="dxa"/>
              <w:left w:w="0" w:type="dxa"/>
              <w:bottom w:w="23" w:type="dxa"/>
              <w:right w:w="0" w:type="dxa"/>
            </w:tcMar>
            <w:vAlign w:val="bottom"/>
          </w:tcPr>
          <w:p w14:paraId="3EAFC810" w14:textId="77777777" w:rsidR="00A62E51" w:rsidRPr="00A62E51" w:rsidRDefault="00A62E51" w:rsidP="00C00DCF">
            <w:pPr>
              <w:contextualSpacing/>
              <w:jc w:val="right"/>
              <w:rPr>
                <w:rFonts w:ascii="Tahoma" w:hAnsi="Tahoma"/>
                <w:color w:val="000000" w:themeColor="text1"/>
                <w:sz w:val="16"/>
                <w:lang w:val="en-GB"/>
              </w:rPr>
            </w:pPr>
            <w:r w:rsidRPr="00A62E51">
              <w:rPr>
                <w:rFonts w:ascii="Tahoma" w:hAnsi="Tahoma"/>
                <w:color w:val="000000" w:themeColor="text1"/>
                <w:sz w:val="16"/>
                <w:lang w:val="en-GB"/>
              </w:rPr>
              <w:t>55 879</w:t>
            </w:r>
          </w:p>
        </w:tc>
        <w:tc>
          <w:tcPr>
            <w:tcW w:w="1134" w:type="dxa"/>
            <w:tcBorders>
              <w:bottom w:val="single" w:sz="4" w:space="0" w:color="auto"/>
            </w:tcBorders>
            <w:shd w:val="clear" w:color="auto" w:fill="auto"/>
            <w:tcMar>
              <w:top w:w="23" w:type="dxa"/>
              <w:left w:w="0" w:type="dxa"/>
              <w:bottom w:w="23" w:type="dxa"/>
              <w:right w:w="0" w:type="dxa"/>
            </w:tcMar>
            <w:vAlign w:val="bottom"/>
          </w:tcPr>
          <w:p w14:paraId="789AE387" w14:textId="77777777" w:rsidR="00A62E51" w:rsidRPr="00A62E51" w:rsidRDefault="00A62E51" w:rsidP="00C00DCF">
            <w:pPr>
              <w:ind w:right="113"/>
              <w:contextualSpacing/>
              <w:jc w:val="right"/>
              <w:rPr>
                <w:rFonts w:ascii="Tahoma" w:hAnsi="Tahoma"/>
                <w:color w:val="000000" w:themeColor="text1"/>
                <w:sz w:val="16"/>
                <w:lang w:val="en-GB"/>
              </w:rPr>
            </w:pPr>
            <w:r w:rsidRPr="00A62E51">
              <w:rPr>
                <w:rFonts w:ascii="Tahoma" w:hAnsi="Tahoma"/>
                <w:color w:val="000000" w:themeColor="text1"/>
                <w:sz w:val="16"/>
                <w:lang w:val="en-GB"/>
              </w:rPr>
              <w:t>56 073</w:t>
            </w:r>
          </w:p>
        </w:tc>
      </w:tr>
      <w:tr w:rsidR="00615190" w:rsidRPr="00A62E51" w14:paraId="46A9D33E" w14:textId="77777777" w:rsidTr="00100D94">
        <w:trPr>
          <w:trHeight w:val="60"/>
        </w:trPr>
        <w:tc>
          <w:tcPr>
            <w:tcW w:w="5954" w:type="dxa"/>
            <w:shd w:val="clear" w:color="auto" w:fill="auto"/>
            <w:tcMar>
              <w:top w:w="23" w:type="dxa"/>
              <w:left w:w="113" w:type="dxa"/>
              <w:bottom w:w="23" w:type="dxa"/>
              <w:right w:w="0" w:type="dxa"/>
            </w:tcMar>
            <w:vAlign w:val="bottom"/>
          </w:tcPr>
          <w:p w14:paraId="4BF2FA15" w14:textId="77777777" w:rsidR="00A62E51" w:rsidRPr="00A62E51" w:rsidRDefault="00A62E51" w:rsidP="00C00DCF">
            <w:pPr>
              <w:contextualSpacing/>
              <w:rPr>
                <w:rFonts w:ascii="Tahoma" w:hAnsi="Tahoma"/>
                <w:color w:val="000000" w:themeColor="text1"/>
                <w:sz w:val="16"/>
                <w:lang w:val="en-GB"/>
              </w:rPr>
            </w:pPr>
            <w:r w:rsidRPr="00A62E51">
              <w:rPr>
                <w:rFonts w:ascii="Tahoma" w:hAnsi="Tahoma"/>
                <w:color w:val="000000" w:themeColor="text1"/>
                <w:sz w:val="16"/>
                <w:lang w:val="en-GB"/>
              </w:rPr>
              <w:t>Property, plant and equipment</w:t>
            </w:r>
          </w:p>
        </w:tc>
        <w:tc>
          <w:tcPr>
            <w:tcW w:w="850" w:type="dxa"/>
            <w:tcBorders>
              <w:right w:val="single" w:sz="4" w:space="0" w:color="auto"/>
            </w:tcBorders>
            <w:shd w:val="clear" w:color="auto" w:fill="auto"/>
            <w:tcMar>
              <w:top w:w="23" w:type="dxa"/>
              <w:left w:w="0" w:type="dxa"/>
              <w:bottom w:w="23" w:type="dxa"/>
              <w:right w:w="0" w:type="dxa"/>
            </w:tcMar>
            <w:vAlign w:val="bottom"/>
          </w:tcPr>
          <w:p w14:paraId="4370DE95" w14:textId="77777777" w:rsidR="00A62E51" w:rsidRPr="00A62E51" w:rsidRDefault="00A62E51" w:rsidP="00C00DCF">
            <w:pPr>
              <w:ind w:right="113"/>
              <w:contextualSpacing/>
              <w:jc w:val="right"/>
              <w:rPr>
                <w:rFonts w:ascii="Tahoma" w:hAnsi="Tahoma"/>
                <w:color w:val="000000" w:themeColor="text1"/>
                <w:sz w:val="16"/>
                <w:lang w:val="en-GB"/>
              </w:rPr>
            </w:pPr>
          </w:p>
        </w:tc>
        <w:tc>
          <w:tcPr>
            <w:tcW w:w="1134" w:type="dxa"/>
            <w:tcBorders>
              <w:top w:val="single" w:sz="4" w:space="0" w:color="auto"/>
              <w:left w:val="single" w:sz="4" w:space="0" w:color="auto"/>
            </w:tcBorders>
            <w:shd w:val="clear" w:color="auto" w:fill="auto"/>
            <w:tcMar>
              <w:top w:w="23" w:type="dxa"/>
              <w:left w:w="0" w:type="dxa"/>
              <w:bottom w:w="23" w:type="dxa"/>
              <w:right w:w="0" w:type="dxa"/>
            </w:tcMar>
            <w:vAlign w:val="bottom"/>
          </w:tcPr>
          <w:p w14:paraId="5C17C3A2" w14:textId="77777777" w:rsidR="00A62E51" w:rsidRPr="00A62E51" w:rsidRDefault="00A62E51" w:rsidP="00C00DCF">
            <w:pPr>
              <w:contextualSpacing/>
              <w:jc w:val="right"/>
              <w:rPr>
                <w:rFonts w:ascii="Tahoma" w:hAnsi="Tahoma"/>
                <w:b/>
                <w:bCs/>
                <w:color w:val="000000" w:themeColor="text1"/>
                <w:sz w:val="16"/>
                <w:lang w:val="en-GB"/>
              </w:rPr>
            </w:pPr>
            <w:r w:rsidRPr="00A62E51">
              <w:rPr>
                <w:rFonts w:ascii="Tahoma" w:hAnsi="Tahoma"/>
                <w:b/>
                <w:bCs/>
                <w:color w:val="000000" w:themeColor="text1"/>
                <w:sz w:val="16"/>
                <w:lang w:val="en-GB"/>
              </w:rPr>
              <w:t>541</w:t>
            </w:r>
          </w:p>
        </w:tc>
        <w:tc>
          <w:tcPr>
            <w:tcW w:w="1134" w:type="dxa"/>
            <w:tcBorders>
              <w:top w:val="single" w:sz="4" w:space="0" w:color="auto"/>
            </w:tcBorders>
            <w:shd w:val="clear" w:color="auto" w:fill="auto"/>
            <w:tcMar>
              <w:top w:w="23" w:type="dxa"/>
              <w:left w:w="0" w:type="dxa"/>
              <w:bottom w:w="23" w:type="dxa"/>
              <w:right w:w="0" w:type="dxa"/>
            </w:tcMar>
            <w:vAlign w:val="bottom"/>
          </w:tcPr>
          <w:p w14:paraId="16B8FEF6" w14:textId="77777777" w:rsidR="00A62E51" w:rsidRPr="00A62E51" w:rsidRDefault="00A62E51" w:rsidP="00C00DCF">
            <w:pPr>
              <w:contextualSpacing/>
              <w:jc w:val="right"/>
              <w:rPr>
                <w:rFonts w:ascii="Tahoma" w:hAnsi="Tahoma"/>
                <w:color w:val="000000" w:themeColor="text1"/>
                <w:sz w:val="16"/>
                <w:lang w:val="en-GB"/>
              </w:rPr>
            </w:pPr>
            <w:r w:rsidRPr="00A62E51">
              <w:rPr>
                <w:rFonts w:ascii="Tahoma" w:hAnsi="Tahoma"/>
                <w:color w:val="000000" w:themeColor="text1"/>
                <w:sz w:val="16"/>
                <w:lang w:val="en-GB"/>
              </w:rPr>
              <w:t>488</w:t>
            </w:r>
          </w:p>
        </w:tc>
        <w:tc>
          <w:tcPr>
            <w:tcW w:w="1134" w:type="dxa"/>
            <w:tcBorders>
              <w:top w:val="single" w:sz="4" w:space="0" w:color="auto"/>
              <w:right w:val="single" w:sz="4" w:space="0" w:color="auto"/>
            </w:tcBorders>
            <w:shd w:val="clear" w:color="auto" w:fill="auto"/>
            <w:tcMar>
              <w:top w:w="23" w:type="dxa"/>
              <w:left w:w="0" w:type="dxa"/>
              <w:bottom w:w="23" w:type="dxa"/>
              <w:right w:w="0" w:type="dxa"/>
            </w:tcMar>
            <w:vAlign w:val="bottom"/>
          </w:tcPr>
          <w:p w14:paraId="5219E66D" w14:textId="77777777" w:rsidR="00A62E51" w:rsidRPr="00A62E51" w:rsidRDefault="00A62E51" w:rsidP="00C00DCF">
            <w:pPr>
              <w:ind w:right="113"/>
              <w:contextualSpacing/>
              <w:jc w:val="right"/>
              <w:rPr>
                <w:rFonts w:ascii="Tahoma" w:hAnsi="Tahoma"/>
                <w:color w:val="000000" w:themeColor="text1"/>
                <w:sz w:val="16"/>
                <w:lang w:val="en-GB"/>
              </w:rPr>
            </w:pPr>
            <w:r w:rsidRPr="00A62E51">
              <w:rPr>
                <w:rFonts w:ascii="Tahoma" w:hAnsi="Tahoma"/>
                <w:color w:val="000000" w:themeColor="text1"/>
                <w:sz w:val="16"/>
                <w:lang w:val="en-GB"/>
              </w:rPr>
              <w:t>604</w:t>
            </w:r>
          </w:p>
        </w:tc>
      </w:tr>
      <w:tr w:rsidR="00615190" w:rsidRPr="00A62E51" w14:paraId="138D4D4D" w14:textId="77777777" w:rsidTr="00100D94">
        <w:trPr>
          <w:trHeight w:val="60"/>
        </w:trPr>
        <w:tc>
          <w:tcPr>
            <w:tcW w:w="5954" w:type="dxa"/>
            <w:shd w:val="clear" w:color="auto" w:fill="auto"/>
            <w:tcMar>
              <w:top w:w="23" w:type="dxa"/>
              <w:left w:w="113" w:type="dxa"/>
              <w:bottom w:w="23" w:type="dxa"/>
              <w:right w:w="0" w:type="dxa"/>
            </w:tcMar>
            <w:vAlign w:val="bottom"/>
          </w:tcPr>
          <w:p w14:paraId="7C19BDB9" w14:textId="77777777" w:rsidR="00A62E51" w:rsidRPr="00A62E51" w:rsidRDefault="00A62E51" w:rsidP="00C00DCF">
            <w:pPr>
              <w:contextualSpacing/>
              <w:rPr>
                <w:rFonts w:ascii="Tahoma" w:hAnsi="Tahoma"/>
                <w:color w:val="000000" w:themeColor="text1"/>
                <w:sz w:val="16"/>
                <w:lang w:val="en-GB"/>
              </w:rPr>
            </w:pPr>
            <w:r w:rsidRPr="00A62E51">
              <w:rPr>
                <w:rFonts w:ascii="Tahoma" w:hAnsi="Tahoma"/>
                <w:color w:val="000000" w:themeColor="text1"/>
                <w:sz w:val="16"/>
                <w:lang w:val="en-GB"/>
              </w:rPr>
              <w:t>Goodwill</w:t>
            </w:r>
          </w:p>
        </w:tc>
        <w:tc>
          <w:tcPr>
            <w:tcW w:w="850" w:type="dxa"/>
            <w:tcBorders>
              <w:right w:val="single" w:sz="4" w:space="0" w:color="auto"/>
            </w:tcBorders>
            <w:shd w:val="clear" w:color="auto" w:fill="auto"/>
            <w:tcMar>
              <w:top w:w="23" w:type="dxa"/>
              <w:left w:w="0" w:type="dxa"/>
              <w:bottom w:w="23" w:type="dxa"/>
              <w:right w:w="0" w:type="dxa"/>
            </w:tcMar>
            <w:vAlign w:val="bottom"/>
          </w:tcPr>
          <w:p w14:paraId="02905800" w14:textId="77777777" w:rsidR="00A62E51" w:rsidRPr="00A62E51" w:rsidRDefault="00A62E51" w:rsidP="00C00DCF">
            <w:pPr>
              <w:ind w:right="113"/>
              <w:contextualSpacing/>
              <w:jc w:val="right"/>
              <w:rPr>
                <w:rFonts w:ascii="Tahoma" w:hAnsi="Tahoma"/>
                <w:color w:val="000000" w:themeColor="text1"/>
                <w:sz w:val="16"/>
                <w:lang w:val="en-GB"/>
              </w:rPr>
            </w:pPr>
            <w:r w:rsidRPr="00A62E51">
              <w:rPr>
                <w:rFonts w:ascii="Tahoma" w:hAnsi="Tahoma"/>
                <w:color w:val="000000" w:themeColor="text1"/>
                <w:sz w:val="16"/>
                <w:lang w:val="en-GB"/>
              </w:rPr>
              <w:t>10</w:t>
            </w:r>
          </w:p>
        </w:tc>
        <w:tc>
          <w:tcPr>
            <w:tcW w:w="1134" w:type="dxa"/>
            <w:tcBorders>
              <w:left w:val="single" w:sz="4" w:space="0" w:color="auto"/>
            </w:tcBorders>
            <w:shd w:val="clear" w:color="auto" w:fill="auto"/>
            <w:tcMar>
              <w:top w:w="23" w:type="dxa"/>
              <w:left w:w="0" w:type="dxa"/>
              <w:bottom w:w="23" w:type="dxa"/>
              <w:right w:w="0" w:type="dxa"/>
            </w:tcMar>
            <w:vAlign w:val="bottom"/>
          </w:tcPr>
          <w:p w14:paraId="768C99CA" w14:textId="77777777" w:rsidR="00A62E51" w:rsidRPr="00A62E51" w:rsidRDefault="00A62E51" w:rsidP="00C00DCF">
            <w:pPr>
              <w:contextualSpacing/>
              <w:jc w:val="right"/>
              <w:rPr>
                <w:rFonts w:ascii="Tahoma" w:hAnsi="Tahoma"/>
                <w:b/>
                <w:bCs/>
                <w:color w:val="000000" w:themeColor="text1"/>
                <w:sz w:val="16"/>
                <w:lang w:val="en-GB"/>
              </w:rPr>
            </w:pPr>
            <w:r w:rsidRPr="00A62E51">
              <w:rPr>
                <w:rFonts w:ascii="Tahoma" w:hAnsi="Tahoma"/>
                <w:b/>
                <w:bCs/>
                <w:color w:val="000000" w:themeColor="text1"/>
                <w:sz w:val="16"/>
                <w:lang w:val="en-GB"/>
              </w:rPr>
              <w:t>2 336</w:t>
            </w:r>
          </w:p>
        </w:tc>
        <w:tc>
          <w:tcPr>
            <w:tcW w:w="1134" w:type="dxa"/>
            <w:shd w:val="clear" w:color="auto" w:fill="auto"/>
            <w:tcMar>
              <w:top w:w="23" w:type="dxa"/>
              <w:left w:w="0" w:type="dxa"/>
              <w:bottom w:w="23" w:type="dxa"/>
              <w:right w:w="0" w:type="dxa"/>
            </w:tcMar>
            <w:vAlign w:val="bottom"/>
          </w:tcPr>
          <w:p w14:paraId="0AF4D785" w14:textId="77777777" w:rsidR="00A62E51" w:rsidRPr="00A62E51" w:rsidRDefault="00A62E51" w:rsidP="00C00DCF">
            <w:pPr>
              <w:contextualSpacing/>
              <w:jc w:val="right"/>
              <w:rPr>
                <w:rFonts w:ascii="Tahoma" w:hAnsi="Tahoma"/>
                <w:color w:val="000000" w:themeColor="text1"/>
                <w:sz w:val="16"/>
                <w:lang w:val="en-GB"/>
              </w:rPr>
            </w:pPr>
            <w:r w:rsidRPr="00A62E51">
              <w:rPr>
                <w:rFonts w:ascii="Tahoma" w:hAnsi="Tahoma"/>
                <w:color w:val="000000" w:themeColor="text1"/>
                <w:sz w:val="16"/>
                <w:lang w:val="en-GB"/>
              </w:rPr>
              <w:t>3 830</w:t>
            </w:r>
          </w:p>
        </w:tc>
        <w:tc>
          <w:tcPr>
            <w:tcW w:w="1134" w:type="dxa"/>
            <w:tcBorders>
              <w:right w:val="single" w:sz="4" w:space="0" w:color="auto"/>
            </w:tcBorders>
            <w:shd w:val="clear" w:color="auto" w:fill="auto"/>
            <w:tcMar>
              <w:top w:w="23" w:type="dxa"/>
              <w:left w:w="0" w:type="dxa"/>
              <w:bottom w:w="23" w:type="dxa"/>
              <w:right w:w="0" w:type="dxa"/>
            </w:tcMar>
            <w:vAlign w:val="bottom"/>
          </w:tcPr>
          <w:p w14:paraId="6DFCBA8B" w14:textId="77777777" w:rsidR="00A62E51" w:rsidRPr="00A62E51" w:rsidRDefault="00A62E51" w:rsidP="00C00DCF">
            <w:pPr>
              <w:ind w:right="113"/>
              <w:contextualSpacing/>
              <w:jc w:val="right"/>
              <w:rPr>
                <w:rFonts w:ascii="Tahoma" w:hAnsi="Tahoma"/>
                <w:color w:val="000000" w:themeColor="text1"/>
                <w:sz w:val="16"/>
                <w:lang w:val="en-GB"/>
              </w:rPr>
            </w:pPr>
            <w:r w:rsidRPr="00A62E51">
              <w:rPr>
                <w:rFonts w:ascii="Tahoma" w:hAnsi="Tahoma"/>
                <w:color w:val="000000" w:themeColor="text1"/>
                <w:sz w:val="16"/>
                <w:lang w:val="en-GB"/>
              </w:rPr>
              <w:t>3 372</w:t>
            </w:r>
          </w:p>
        </w:tc>
      </w:tr>
      <w:tr w:rsidR="00615190" w:rsidRPr="00A62E51" w14:paraId="7A980B5D" w14:textId="77777777" w:rsidTr="00100D94">
        <w:trPr>
          <w:trHeight w:val="60"/>
        </w:trPr>
        <w:tc>
          <w:tcPr>
            <w:tcW w:w="5954" w:type="dxa"/>
            <w:shd w:val="clear" w:color="auto" w:fill="auto"/>
            <w:tcMar>
              <w:top w:w="23" w:type="dxa"/>
              <w:left w:w="113" w:type="dxa"/>
              <w:bottom w:w="23" w:type="dxa"/>
              <w:right w:w="0" w:type="dxa"/>
            </w:tcMar>
            <w:vAlign w:val="bottom"/>
          </w:tcPr>
          <w:p w14:paraId="2EDB3E8B" w14:textId="77777777" w:rsidR="00A62E51" w:rsidRPr="00A62E51" w:rsidRDefault="00A62E51" w:rsidP="00C00DCF">
            <w:pPr>
              <w:contextualSpacing/>
              <w:rPr>
                <w:rFonts w:ascii="Tahoma" w:hAnsi="Tahoma"/>
                <w:color w:val="000000" w:themeColor="text1"/>
                <w:sz w:val="16"/>
                <w:lang w:val="en-GB"/>
              </w:rPr>
            </w:pPr>
            <w:r w:rsidRPr="00A62E51">
              <w:rPr>
                <w:rFonts w:ascii="Tahoma" w:hAnsi="Tahoma"/>
                <w:color w:val="000000" w:themeColor="text1"/>
                <w:sz w:val="16"/>
                <w:lang w:val="en-GB"/>
              </w:rPr>
              <w:t>Other intangible assets</w:t>
            </w:r>
          </w:p>
        </w:tc>
        <w:tc>
          <w:tcPr>
            <w:tcW w:w="850" w:type="dxa"/>
            <w:tcBorders>
              <w:right w:val="single" w:sz="4" w:space="0" w:color="auto"/>
            </w:tcBorders>
            <w:shd w:val="clear" w:color="auto" w:fill="auto"/>
            <w:tcMar>
              <w:top w:w="23" w:type="dxa"/>
              <w:left w:w="0" w:type="dxa"/>
              <w:bottom w:w="23" w:type="dxa"/>
              <w:right w:w="0" w:type="dxa"/>
            </w:tcMar>
            <w:vAlign w:val="bottom"/>
          </w:tcPr>
          <w:p w14:paraId="2BFB1D7C" w14:textId="77777777" w:rsidR="00A62E51" w:rsidRPr="00A62E51" w:rsidRDefault="00A62E51" w:rsidP="00C00DCF">
            <w:pPr>
              <w:ind w:right="113"/>
              <w:contextualSpacing/>
              <w:jc w:val="right"/>
              <w:rPr>
                <w:rFonts w:ascii="Tahoma" w:hAnsi="Tahoma"/>
                <w:color w:val="000000" w:themeColor="text1"/>
                <w:sz w:val="16"/>
                <w:lang w:val="en-GB"/>
              </w:rPr>
            </w:pPr>
          </w:p>
        </w:tc>
        <w:tc>
          <w:tcPr>
            <w:tcW w:w="1134" w:type="dxa"/>
            <w:tcBorders>
              <w:left w:val="single" w:sz="4" w:space="0" w:color="auto"/>
            </w:tcBorders>
            <w:shd w:val="clear" w:color="auto" w:fill="auto"/>
            <w:tcMar>
              <w:top w:w="23" w:type="dxa"/>
              <w:left w:w="0" w:type="dxa"/>
              <w:bottom w:w="23" w:type="dxa"/>
              <w:right w:w="0" w:type="dxa"/>
            </w:tcMar>
            <w:vAlign w:val="bottom"/>
          </w:tcPr>
          <w:p w14:paraId="5BA6E05B" w14:textId="77777777" w:rsidR="00A62E51" w:rsidRPr="00A62E51" w:rsidRDefault="00A62E51" w:rsidP="00C00DCF">
            <w:pPr>
              <w:contextualSpacing/>
              <w:jc w:val="right"/>
              <w:rPr>
                <w:rFonts w:ascii="Tahoma" w:hAnsi="Tahoma"/>
                <w:b/>
                <w:bCs/>
                <w:color w:val="000000" w:themeColor="text1"/>
                <w:sz w:val="16"/>
                <w:lang w:val="en-GB"/>
              </w:rPr>
            </w:pPr>
            <w:r w:rsidRPr="00A62E51">
              <w:rPr>
                <w:rFonts w:ascii="Tahoma" w:hAnsi="Tahoma"/>
                <w:b/>
                <w:bCs/>
                <w:color w:val="000000" w:themeColor="text1"/>
                <w:sz w:val="16"/>
                <w:lang w:val="en-GB"/>
              </w:rPr>
              <w:t>429</w:t>
            </w:r>
          </w:p>
        </w:tc>
        <w:tc>
          <w:tcPr>
            <w:tcW w:w="1134" w:type="dxa"/>
            <w:shd w:val="clear" w:color="auto" w:fill="auto"/>
            <w:tcMar>
              <w:top w:w="23" w:type="dxa"/>
              <w:left w:w="0" w:type="dxa"/>
              <w:bottom w:w="23" w:type="dxa"/>
              <w:right w:w="0" w:type="dxa"/>
            </w:tcMar>
            <w:vAlign w:val="bottom"/>
          </w:tcPr>
          <w:p w14:paraId="2BF9F9BF" w14:textId="77777777" w:rsidR="00A62E51" w:rsidRPr="00A62E51" w:rsidRDefault="00A62E51" w:rsidP="00C00DCF">
            <w:pPr>
              <w:contextualSpacing/>
              <w:jc w:val="right"/>
              <w:rPr>
                <w:rFonts w:ascii="Tahoma" w:hAnsi="Tahoma"/>
                <w:color w:val="000000" w:themeColor="text1"/>
                <w:sz w:val="16"/>
                <w:lang w:val="en-GB"/>
              </w:rPr>
            </w:pPr>
            <w:r w:rsidRPr="00A62E51">
              <w:rPr>
                <w:rFonts w:ascii="Tahoma" w:hAnsi="Tahoma"/>
                <w:color w:val="000000" w:themeColor="text1"/>
                <w:sz w:val="16"/>
                <w:lang w:val="en-GB"/>
              </w:rPr>
              <w:t>1 025</w:t>
            </w:r>
          </w:p>
        </w:tc>
        <w:tc>
          <w:tcPr>
            <w:tcW w:w="1134" w:type="dxa"/>
            <w:tcBorders>
              <w:right w:val="single" w:sz="4" w:space="0" w:color="auto"/>
            </w:tcBorders>
            <w:shd w:val="clear" w:color="auto" w:fill="auto"/>
            <w:tcMar>
              <w:top w:w="23" w:type="dxa"/>
              <w:left w:w="0" w:type="dxa"/>
              <w:bottom w:w="23" w:type="dxa"/>
              <w:right w:w="0" w:type="dxa"/>
            </w:tcMar>
            <w:vAlign w:val="bottom"/>
          </w:tcPr>
          <w:p w14:paraId="2FEEE370" w14:textId="77777777" w:rsidR="00A62E51" w:rsidRPr="00A62E51" w:rsidRDefault="00A62E51" w:rsidP="00C00DCF">
            <w:pPr>
              <w:ind w:right="113"/>
              <w:contextualSpacing/>
              <w:jc w:val="right"/>
              <w:rPr>
                <w:rFonts w:ascii="Tahoma" w:hAnsi="Tahoma"/>
                <w:color w:val="000000" w:themeColor="text1"/>
                <w:sz w:val="16"/>
                <w:lang w:val="en-GB"/>
              </w:rPr>
            </w:pPr>
            <w:r w:rsidRPr="00A62E51">
              <w:rPr>
                <w:rFonts w:ascii="Tahoma" w:hAnsi="Tahoma"/>
                <w:color w:val="000000" w:themeColor="text1"/>
                <w:sz w:val="16"/>
                <w:lang w:val="en-GB"/>
              </w:rPr>
              <w:t>928</w:t>
            </w:r>
          </w:p>
        </w:tc>
      </w:tr>
      <w:tr w:rsidR="00615190" w:rsidRPr="00A62E51" w14:paraId="38E0107A" w14:textId="77777777" w:rsidTr="00100D94">
        <w:trPr>
          <w:trHeight w:val="60"/>
        </w:trPr>
        <w:tc>
          <w:tcPr>
            <w:tcW w:w="5954" w:type="dxa"/>
            <w:shd w:val="clear" w:color="auto" w:fill="auto"/>
            <w:tcMar>
              <w:top w:w="23" w:type="dxa"/>
              <w:left w:w="113" w:type="dxa"/>
              <w:bottom w:w="23" w:type="dxa"/>
              <w:right w:w="0" w:type="dxa"/>
            </w:tcMar>
            <w:vAlign w:val="bottom"/>
          </w:tcPr>
          <w:p w14:paraId="35F8DA29" w14:textId="77777777" w:rsidR="00A62E51" w:rsidRPr="00A62E51" w:rsidRDefault="00A62E51" w:rsidP="00C00DCF">
            <w:pPr>
              <w:contextualSpacing/>
              <w:rPr>
                <w:rFonts w:ascii="Tahoma" w:hAnsi="Tahoma"/>
                <w:color w:val="000000" w:themeColor="text1"/>
                <w:sz w:val="16"/>
                <w:lang w:val="en-GB"/>
              </w:rPr>
            </w:pPr>
            <w:r w:rsidRPr="00A62E51">
              <w:rPr>
                <w:rFonts w:ascii="Tahoma" w:hAnsi="Tahoma"/>
                <w:color w:val="000000" w:themeColor="text1"/>
                <w:sz w:val="16"/>
                <w:lang w:val="en-GB"/>
              </w:rPr>
              <w:t>Investments in associates</w:t>
            </w:r>
          </w:p>
        </w:tc>
        <w:tc>
          <w:tcPr>
            <w:tcW w:w="850" w:type="dxa"/>
            <w:tcBorders>
              <w:right w:val="single" w:sz="4" w:space="0" w:color="auto"/>
            </w:tcBorders>
            <w:shd w:val="clear" w:color="auto" w:fill="auto"/>
            <w:tcMar>
              <w:top w:w="23" w:type="dxa"/>
              <w:left w:w="0" w:type="dxa"/>
              <w:bottom w:w="23" w:type="dxa"/>
              <w:right w:w="0" w:type="dxa"/>
            </w:tcMar>
            <w:vAlign w:val="bottom"/>
          </w:tcPr>
          <w:p w14:paraId="26D6159D" w14:textId="77777777" w:rsidR="00A62E51" w:rsidRPr="00A62E51" w:rsidRDefault="00A62E51" w:rsidP="00C00DCF">
            <w:pPr>
              <w:ind w:right="113"/>
              <w:contextualSpacing/>
              <w:jc w:val="right"/>
              <w:rPr>
                <w:rFonts w:ascii="Tahoma" w:hAnsi="Tahoma"/>
                <w:color w:val="000000" w:themeColor="text1"/>
                <w:sz w:val="16"/>
                <w:lang w:val="en-GB"/>
              </w:rPr>
            </w:pPr>
            <w:r w:rsidRPr="00A62E51">
              <w:rPr>
                <w:rFonts w:ascii="Tahoma" w:hAnsi="Tahoma"/>
                <w:color w:val="000000" w:themeColor="text1"/>
                <w:sz w:val="16"/>
                <w:lang w:val="en-GB"/>
              </w:rPr>
              <w:t>11</w:t>
            </w:r>
          </w:p>
        </w:tc>
        <w:tc>
          <w:tcPr>
            <w:tcW w:w="1134" w:type="dxa"/>
            <w:tcBorders>
              <w:left w:val="single" w:sz="4" w:space="0" w:color="auto"/>
            </w:tcBorders>
            <w:shd w:val="clear" w:color="auto" w:fill="auto"/>
            <w:tcMar>
              <w:top w:w="23" w:type="dxa"/>
              <w:left w:w="0" w:type="dxa"/>
              <w:bottom w:w="23" w:type="dxa"/>
              <w:right w:w="0" w:type="dxa"/>
            </w:tcMar>
            <w:vAlign w:val="bottom"/>
          </w:tcPr>
          <w:p w14:paraId="7E07DCC8" w14:textId="77777777" w:rsidR="00A62E51" w:rsidRPr="00A62E51" w:rsidRDefault="00A62E51" w:rsidP="00C00DCF">
            <w:pPr>
              <w:contextualSpacing/>
              <w:jc w:val="right"/>
              <w:rPr>
                <w:rFonts w:ascii="Tahoma" w:hAnsi="Tahoma"/>
                <w:b/>
                <w:bCs/>
                <w:color w:val="000000" w:themeColor="text1"/>
                <w:sz w:val="16"/>
                <w:lang w:val="en-GB"/>
              </w:rPr>
            </w:pPr>
            <w:r w:rsidRPr="00A62E51">
              <w:rPr>
                <w:rFonts w:ascii="Tahoma" w:hAnsi="Tahoma"/>
                <w:b/>
                <w:bCs/>
                <w:color w:val="000000" w:themeColor="text1"/>
                <w:sz w:val="16"/>
                <w:lang w:val="en-GB"/>
              </w:rPr>
              <w:t>35 176</w:t>
            </w:r>
          </w:p>
        </w:tc>
        <w:tc>
          <w:tcPr>
            <w:tcW w:w="1134" w:type="dxa"/>
            <w:shd w:val="clear" w:color="auto" w:fill="auto"/>
            <w:tcMar>
              <w:top w:w="23" w:type="dxa"/>
              <w:left w:w="0" w:type="dxa"/>
              <w:bottom w:w="23" w:type="dxa"/>
              <w:right w:w="0" w:type="dxa"/>
            </w:tcMar>
            <w:vAlign w:val="bottom"/>
          </w:tcPr>
          <w:p w14:paraId="0EADE011" w14:textId="77777777" w:rsidR="00A62E51" w:rsidRPr="00A62E51" w:rsidRDefault="00A62E51" w:rsidP="00C00DCF">
            <w:pPr>
              <w:contextualSpacing/>
              <w:jc w:val="right"/>
              <w:rPr>
                <w:rFonts w:ascii="Tahoma" w:hAnsi="Tahoma"/>
                <w:color w:val="000000" w:themeColor="text1"/>
                <w:sz w:val="16"/>
                <w:lang w:val="en-GB"/>
              </w:rPr>
            </w:pPr>
            <w:r w:rsidRPr="00A62E51">
              <w:rPr>
                <w:rFonts w:ascii="Tahoma" w:hAnsi="Tahoma"/>
                <w:color w:val="000000" w:themeColor="text1"/>
                <w:sz w:val="16"/>
                <w:lang w:val="en-GB"/>
              </w:rPr>
              <w:t>47 916</w:t>
            </w:r>
          </w:p>
        </w:tc>
        <w:tc>
          <w:tcPr>
            <w:tcW w:w="1134" w:type="dxa"/>
            <w:tcBorders>
              <w:right w:val="single" w:sz="4" w:space="0" w:color="auto"/>
            </w:tcBorders>
            <w:shd w:val="clear" w:color="auto" w:fill="auto"/>
            <w:tcMar>
              <w:top w:w="23" w:type="dxa"/>
              <w:left w:w="0" w:type="dxa"/>
              <w:bottom w:w="23" w:type="dxa"/>
              <w:right w:w="0" w:type="dxa"/>
            </w:tcMar>
            <w:vAlign w:val="bottom"/>
          </w:tcPr>
          <w:p w14:paraId="3F79A5F2" w14:textId="77777777" w:rsidR="00A62E51" w:rsidRPr="00A62E51" w:rsidRDefault="00A62E51" w:rsidP="00C00DCF">
            <w:pPr>
              <w:ind w:right="113"/>
              <w:contextualSpacing/>
              <w:jc w:val="right"/>
              <w:rPr>
                <w:rFonts w:ascii="Tahoma" w:hAnsi="Tahoma"/>
                <w:color w:val="000000" w:themeColor="text1"/>
                <w:sz w:val="16"/>
                <w:lang w:val="en-GB"/>
              </w:rPr>
            </w:pPr>
            <w:r w:rsidRPr="00A62E51">
              <w:rPr>
                <w:rFonts w:ascii="Tahoma" w:hAnsi="Tahoma"/>
                <w:color w:val="000000" w:themeColor="text1"/>
                <w:sz w:val="16"/>
                <w:lang w:val="en-GB"/>
              </w:rPr>
              <w:t>44 457</w:t>
            </w:r>
          </w:p>
        </w:tc>
      </w:tr>
      <w:tr w:rsidR="00615190" w:rsidRPr="00A62E51" w14:paraId="4AD94C63" w14:textId="77777777" w:rsidTr="00100D94">
        <w:trPr>
          <w:trHeight w:val="60"/>
        </w:trPr>
        <w:tc>
          <w:tcPr>
            <w:tcW w:w="5954" w:type="dxa"/>
            <w:shd w:val="clear" w:color="auto" w:fill="auto"/>
            <w:tcMar>
              <w:top w:w="23" w:type="dxa"/>
              <w:left w:w="113" w:type="dxa"/>
              <w:bottom w:w="23" w:type="dxa"/>
              <w:right w:w="0" w:type="dxa"/>
            </w:tcMar>
            <w:vAlign w:val="bottom"/>
          </w:tcPr>
          <w:p w14:paraId="06E4F0D0" w14:textId="77777777" w:rsidR="00A62E51" w:rsidRPr="00A62E51" w:rsidRDefault="00A62E51" w:rsidP="00C00DCF">
            <w:pPr>
              <w:contextualSpacing/>
              <w:rPr>
                <w:rFonts w:ascii="Tahoma" w:hAnsi="Tahoma"/>
                <w:color w:val="000000" w:themeColor="text1"/>
                <w:sz w:val="16"/>
                <w:lang w:val="en-GB"/>
              </w:rPr>
            </w:pPr>
            <w:r w:rsidRPr="00A62E51">
              <w:rPr>
                <w:rFonts w:ascii="Tahoma" w:hAnsi="Tahoma"/>
                <w:color w:val="000000" w:themeColor="text1"/>
                <w:sz w:val="16"/>
                <w:lang w:val="en-GB"/>
              </w:rPr>
              <w:t>Investments in joint ventures</w:t>
            </w:r>
          </w:p>
        </w:tc>
        <w:tc>
          <w:tcPr>
            <w:tcW w:w="850" w:type="dxa"/>
            <w:tcBorders>
              <w:right w:val="single" w:sz="4" w:space="0" w:color="auto"/>
            </w:tcBorders>
            <w:shd w:val="clear" w:color="auto" w:fill="auto"/>
            <w:tcMar>
              <w:top w:w="23" w:type="dxa"/>
              <w:left w:w="0" w:type="dxa"/>
              <w:bottom w:w="23" w:type="dxa"/>
              <w:right w:w="0" w:type="dxa"/>
            </w:tcMar>
            <w:vAlign w:val="bottom"/>
          </w:tcPr>
          <w:p w14:paraId="17F722E6" w14:textId="77777777" w:rsidR="00A62E51" w:rsidRPr="00A62E51" w:rsidRDefault="00A62E51" w:rsidP="00C00DCF">
            <w:pPr>
              <w:ind w:right="113"/>
              <w:contextualSpacing/>
              <w:jc w:val="right"/>
              <w:rPr>
                <w:rFonts w:ascii="Tahoma" w:hAnsi="Tahoma"/>
                <w:color w:val="000000" w:themeColor="text1"/>
                <w:sz w:val="16"/>
                <w:lang w:val="en-GB"/>
              </w:rPr>
            </w:pPr>
          </w:p>
        </w:tc>
        <w:tc>
          <w:tcPr>
            <w:tcW w:w="1134" w:type="dxa"/>
            <w:tcBorders>
              <w:left w:val="single" w:sz="4" w:space="0" w:color="auto"/>
            </w:tcBorders>
            <w:shd w:val="clear" w:color="auto" w:fill="auto"/>
            <w:tcMar>
              <w:top w:w="23" w:type="dxa"/>
              <w:left w:w="0" w:type="dxa"/>
              <w:bottom w:w="23" w:type="dxa"/>
              <w:right w:w="0" w:type="dxa"/>
            </w:tcMar>
            <w:vAlign w:val="bottom"/>
          </w:tcPr>
          <w:p w14:paraId="7F028208" w14:textId="77777777" w:rsidR="00A62E51" w:rsidRPr="00A62E51" w:rsidRDefault="00A62E51" w:rsidP="00C00DCF">
            <w:pPr>
              <w:contextualSpacing/>
              <w:jc w:val="right"/>
              <w:rPr>
                <w:rFonts w:ascii="Tahoma" w:hAnsi="Tahoma"/>
                <w:b/>
                <w:bCs/>
                <w:color w:val="000000" w:themeColor="text1"/>
                <w:sz w:val="16"/>
                <w:lang w:val="en-GB"/>
              </w:rPr>
            </w:pPr>
            <w:r w:rsidRPr="00A62E51">
              <w:rPr>
                <w:rFonts w:ascii="Tahoma" w:hAnsi="Tahoma"/>
                <w:b/>
                <w:bCs/>
                <w:color w:val="000000" w:themeColor="text1"/>
                <w:sz w:val="16"/>
                <w:lang w:val="en-GB"/>
              </w:rPr>
              <w:t>107</w:t>
            </w:r>
          </w:p>
        </w:tc>
        <w:tc>
          <w:tcPr>
            <w:tcW w:w="1134" w:type="dxa"/>
            <w:shd w:val="clear" w:color="auto" w:fill="auto"/>
            <w:tcMar>
              <w:top w:w="23" w:type="dxa"/>
              <w:left w:w="0" w:type="dxa"/>
              <w:bottom w:w="23" w:type="dxa"/>
              <w:right w:w="0" w:type="dxa"/>
            </w:tcMar>
            <w:vAlign w:val="bottom"/>
          </w:tcPr>
          <w:p w14:paraId="1E435AC1" w14:textId="77777777" w:rsidR="00A62E51" w:rsidRPr="00A62E51" w:rsidRDefault="00A62E51" w:rsidP="00C00DCF">
            <w:pPr>
              <w:contextualSpacing/>
              <w:jc w:val="right"/>
              <w:rPr>
                <w:rFonts w:ascii="Tahoma" w:hAnsi="Tahoma"/>
                <w:color w:val="000000" w:themeColor="text1"/>
                <w:sz w:val="16"/>
                <w:lang w:val="en-GB"/>
              </w:rPr>
            </w:pPr>
            <w:r w:rsidRPr="00A62E51">
              <w:rPr>
                <w:rFonts w:ascii="Tahoma" w:hAnsi="Tahoma"/>
                <w:color w:val="000000" w:themeColor="text1"/>
                <w:sz w:val="16"/>
                <w:lang w:val="en-GB"/>
              </w:rPr>
              <w:t>153</w:t>
            </w:r>
          </w:p>
        </w:tc>
        <w:tc>
          <w:tcPr>
            <w:tcW w:w="1134" w:type="dxa"/>
            <w:tcBorders>
              <w:right w:val="single" w:sz="4" w:space="0" w:color="auto"/>
            </w:tcBorders>
            <w:shd w:val="clear" w:color="auto" w:fill="auto"/>
            <w:tcMar>
              <w:top w:w="23" w:type="dxa"/>
              <w:left w:w="0" w:type="dxa"/>
              <w:bottom w:w="23" w:type="dxa"/>
              <w:right w:w="0" w:type="dxa"/>
            </w:tcMar>
            <w:vAlign w:val="bottom"/>
          </w:tcPr>
          <w:p w14:paraId="18FD5CAE" w14:textId="77777777" w:rsidR="00A62E51" w:rsidRPr="00A62E51" w:rsidRDefault="00A62E51" w:rsidP="00C00DCF">
            <w:pPr>
              <w:ind w:right="113"/>
              <w:contextualSpacing/>
              <w:jc w:val="right"/>
              <w:rPr>
                <w:rFonts w:ascii="Tahoma" w:hAnsi="Tahoma"/>
                <w:color w:val="000000" w:themeColor="text1"/>
                <w:sz w:val="16"/>
                <w:lang w:val="en-GB"/>
              </w:rPr>
            </w:pPr>
            <w:r w:rsidRPr="00A62E51">
              <w:rPr>
                <w:rFonts w:ascii="Tahoma" w:hAnsi="Tahoma"/>
                <w:color w:val="000000" w:themeColor="text1"/>
                <w:sz w:val="16"/>
                <w:lang w:val="en-GB"/>
              </w:rPr>
              <w:t>144</w:t>
            </w:r>
          </w:p>
        </w:tc>
      </w:tr>
      <w:tr w:rsidR="00615190" w:rsidRPr="00A62E51" w14:paraId="60BEBA2C" w14:textId="77777777" w:rsidTr="00100D94">
        <w:trPr>
          <w:trHeight w:val="60"/>
        </w:trPr>
        <w:tc>
          <w:tcPr>
            <w:tcW w:w="5954" w:type="dxa"/>
            <w:shd w:val="clear" w:color="auto" w:fill="auto"/>
            <w:tcMar>
              <w:top w:w="23" w:type="dxa"/>
              <w:left w:w="113" w:type="dxa"/>
              <w:bottom w:w="23" w:type="dxa"/>
              <w:right w:w="0" w:type="dxa"/>
            </w:tcMar>
            <w:vAlign w:val="bottom"/>
          </w:tcPr>
          <w:p w14:paraId="0D544F41" w14:textId="77777777" w:rsidR="00A62E51" w:rsidRPr="00A62E51" w:rsidRDefault="00A62E51" w:rsidP="00C00DCF">
            <w:pPr>
              <w:contextualSpacing/>
              <w:rPr>
                <w:rFonts w:ascii="Tahoma" w:hAnsi="Tahoma"/>
                <w:color w:val="000000" w:themeColor="text1"/>
                <w:sz w:val="16"/>
                <w:lang w:val="en-GB"/>
              </w:rPr>
            </w:pPr>
            <w:r w:rsidRPr="00A62E51">
              <w:rPr>
                <w:rFonts w:ascii="Tahoma" w:hAnsi="Tahoma"/>
                <w:color w:val="000000" w:themeColor="text1"/>
                <w:sz w:val="16"/>
                <w:lang w:val="en-GB"/>
              </w:rPr>
              <w:t>Other investments and loans</w:t>
            </w:r>
            <w:r w:rsidRPr="00A62E51">
              <w:rPr>
                <w:rFonts w:ascii="Tahoma" w:hAnsi="Tahoma"/>
                <w:color w:val="000000" w:themeColor="text1"/>
                <w:sz w:val="16"/>
                <w:vertAlign w:val="superscript"/>
                <w:lang w:val="en-GB"/>
              </w:rPr>
              <w:t>1</w:t>
            </w:r>
          </w:p>
        </w:tc>
        <w:tc>
          <w:tcPr>
            <w:tcW w:w="850" w:type="dxa"/>
            <w:tcBorders>
              <w:right w:val="single" w:sz="4" w:space="0" w:color="auto"/>
            </w:tcBorders>
            <w:shd w:val="clear" w:color="auto" w:fill="auto"/>
            <w:tcMar>
              <w:top w:w="23" w:type="dxa"/>
              <w:left w:w="0" w:type="dxa"/>
              <w:bottom w:w="23" w:type="dxa"/>
              <w:right w:w="0" w:type="dxa"/>
            </w:tcMar>
            <w:vAlign w:val="bottom"/>
          </w:tcPr>
          <w:p w14:paraId="7671298E" w14:textId="77777777" w:rsidR="00A62E51" w:rsidRPr="00A62E51" w:rsidRDefault="00A62E51" w:rsidP="00C00DCF">
            <w:pPr>
              <w:ind w:right="113"/>
              <w:contextualSpacing/>
              <w:jc w:val="right"/>
              <w:rPr>
                <w:rFonts w:ascii="Tahoma" w:hAnsi="Tahoma"/>
                <w:color w:val="000000" w:themeColor="text1"/>
                <w:sz w:val="16"/>
                <w:lang w:val="en-GB"/>
              </w:rPr>
            </w:pPr>
            <w:r w:rsidRPr="00A62E51">
              <w:rPr>
                <w:rFonts w:ascii="Tahoma" w:hAnsi="Tahoma"/>
                <w:color w:val="000000" w:themeColor="text1"/>
                <w:sz w:val="16"/>
                <w:lang w:val="en-GB"/>
              </w:rPr>
              <w:t>12</w:t>
            </w:r>
          </w:p>
        </w:tc>
        <w:tc>
          <w:tcPr>
            <w:tcW w:w="1134" w:type="dxa"/>
            <w:tcBorders>
              <w:left w:val="single" w:sz="4" w:space="0" w:color="auto"/>
            </w:tcBorders>
            <w:shd w:val="clear" w:color="auto" w:fill="auto"/>
            <w:tcMar>
              <w:top w:w="23" w:type="dxa"/>
              <w:left w:w="0" w:type="dxa"/>
              <w:bottom w:w="23" w:type="dxa"/>
              <w:right w:w="0" w:type="dxa"/>
            </w:tcMar>
            <w:vAlign w:val="bottom"/>
          </w:tcPr>
          <w:p w14:paraId="6E542E96" w14:textId="77777777" w:rsidR="00A62E51" w:rsidRPr="00A62E51" w:rsidRDefault="00A62E51" w:rsidP="00C00DCF">
            <w:pPr>
              <w:contextualSpacing/>
              <w:jc w:val="right"/>
              <w:rPr>
                <w:rFonts w:ascii="Tahoma" w:hAnsi="Tahoma"/>
                <w:b/>
                <w:bCs/>
                <w:color w:val="000000" w:themeColor="text1"/>
                <w:sz w:val="16"/>
                <w:lang w:val="en-GB"/>
              </w:rPr>
            </w:pPr>
            <w:r w:rsidRPr="00A62E51">
              <w:rPr>
                <w:rFonts w:ascii="Tahoma" w:hAnsi="Tahoma"/>
                <w:b/>
                <w:bCs/>
                <w:color w:val="000000" w:themeColor="text1"/>
                <w:sz w:val="16"/>
                <w:lang w:val="en-GB"/>
              </w:rPr>
              <w:t>3 286</w:t>
            </w:r>
          </w:p>
        </w:tc>
        <w:tc>
          <w:tcPr>
            <w:tcW w:w="1134" w:type="dxa"/>
            <w:shd w:val="clear" w:color="auto" w:fill="auto"/>
            <w:tcMar>
              <w:top w:w="23" w:type="dxa"/>
              <w:left w:w="0" w:type="dxa"/>
              <w:bottom w:w="23" w:type="dxa"/>
              <w:right w:w="0" w:type="dxa"/>
            </w:tcMar>
            <w:vAlign w:val="bottom"/>
          </w:tcPr>
          <w:p w14:paraId="2E8C1007" w14:textId="77777777" w:rsidR="00A62E51" w:rsidRPr="00A62E51" w:rsidRDefault="00A62E51" w:rsidP="00C00DCF">
            <w:pPr>
              <w:contextualSpacing/>
              <w:jc w:val="right"/>
              <w:rPr>
                <w:rFonts w:ascii="Tahoma" w:hAnsi="Tahoma"/>
                <w:color w:val="000000" w:themeColor="text1"/>
                <w:sz w:val="16"/>
                <w:lang w:val="en-GB"/>
              </w:rPr>
            </w:pPr>
            <w:r w:rsidRPr="00A62E51">
              <w:rPr>
                <w:rFonts w:ascii="Tahoma" w:hAnsi="Tahoma"/>
                <w:color w:val="000000" w:themeColor="text1"/>
                <w:sz w:val="16"/>
                <w:lang w:val="en-GB"/>
              </w:rPr>
              <w:t>2 367</w:t>
            </w:r>
          </w:p>
        </w:tc>
        <w:tc>
          <w:tcPr>
            <w:tcW w:w="1134" w:type="dxa"/>
            <w:tcBorders>
              <w:right w:val="single" w:sz="4" w:space="0" w:color="auto"/>
            </w:tcBorders>
            <w:shd w:val="clear" w:color="auto" w:fill="auto"/>
            <w:tcMar>
              <w:top w:w="23" w:type="dxa"/>
              <w:left w:w="0" w:type="dxa"/>
              <w:bottom w:w="23" w:type="dxa"/>
              <w:right w:w="0" w:type="dxa"/>
            </w:tcMar>
            <w:vAlign w:val="bottom"/>
          </w:tcPr>
          <w:p w14:paraId="4E4FA6CC" w14:textId="77777777" w:rsidR="00A62E51" w:rsidRPr="00A62E51" w:rsidRDefault="00A62E51" w:rsidP="00C00DCF">
            <w:pPr>
              <w:ind w:right="113"/>
              <w:contextualSpacing/>
              <w:jc w:val="right"/>
              <w:rPr>
                <w:rFonts w:ascii="Tahoma" w:hAnsi="Tahoma"/>
                <w:color w:val="000000" w:themeColor="text1"/>
                <w:sz w:val="16"/>
                <w:lang w:val="en-GB"/>
              </w:rPr>
            </w:pPr>
            <w:r w:rsidRPr="00A62E51">
              <w:rPr>
                <w:rFonts w:ascii="Tahoma" w:hAnsi="Tahoma"/>
                <w:color w:val="000000" w:themeColor="text1"/>
                <w:sz w:val="16"/>
                <w:lang w:val="en-GB"/>
              </w:rPr>
              <w:t>6 410</w:t>
            </w:r>
          </w:p>
        </w:tc>
      </w:tr>
      <w:tr w:rsidR="00615190" w:rsidRPr="00A62E51" w14:paraId="460BA141" w14:textId="77777777" w:rsidTr="00100D94">
        <w:trPr>
          <w:trHeight w:val="60"/>
        </w:trPr>
        <w:tc>
          <w:tcPr>
            <w:tcW w:w="5954" w:type="dxa"/>
            <w:shd w:val="clear" w:color="auto" w:fill="auto"/>
            <w:tcMar>
              <w:top w:w="23" w:type="dxa"/>
              <w:left w:w="113" w:type="dxa"/>
              <w:bottom w:w="23" w:type="dxa"/>
              <w:right w:w="0" w:type="dxa"/>
            </w:tcMar>
            <w:vAlign w:val="bottom"/>
          </w:tcPr>
          <w:p w14:paraId="0FF91091" w14:textId="77777777" w:rsidR="00A62E51" w:rsidRPr="00A62E51" w:rsidRDefault="00A62E51" w:rsidP="00C00DCF">
            <w:pPr>
              <w:contextualSpacing/>
              <w:rPr>
                <w:rFonts w:ascii="Tahoma" w:hAnsi="Tahoma"/>
                <w:color w:val="000000" w:themeColor="text1"/>
                <w:sz w:val="16"/>
                <w:lang w:val="en-GB"/>
              </w:rPr>
            </w:pPr>
            <w:r w:rsidRPr="00A62E51">
              <w:rPr>
                <w:rFonts w:ascii="Tahoma" w:hAnsi="Tahoma"/>
                <w:color w:val="000000" w:themeColor="text1"/>
                <w:sz w:val="16"/>
                <w:lang w:val="en-GB"/>
              </w:rPr>
              <w:t>Other receivables</w:t>
            </w:r>
          </w:p>
        </w:tc>
        <w:tc>
          <w:tcPr>
            <w:tcW w:w="850" w:type="dxa"/>
            <w:tcBorders>
              <w:right w:val="single" w:sz="4" w:space="0" w:color="auto"/>
            </w:tcBorders>
            <w:shd w:val="clear" w:color="auto" w:fill="auto"/>
            <w:tcMar>
              <w:top w:w="23" w:type="dxa"/>
              <w:left w:w="0" w:type="dxa"/>
              <w:bottom w:w="23" w:type="dxa"/>
              <w:right w:w="0" w:type="dxa"/>
            </w:tcMar>
            <w:vAlign w:val="bottom"/>
          </w:tcPr>
          <w:p w14:paraId="60FD3156" w14:textId="77777777" w:rsidR="00A62E51" w:rsidRPr="00A62E51" w:rsidRDefault="00A62E51" w:rsidP="00C00DCF">
            <w:pPr>
              <w:ind w:right="113"/>
              <w:contextualSpacing/>
              <w:jc w:val="right"/>
              <w:rPr>
                <w:rFonts w:ascii="Tahoma" w:hAnsi="Tahoma"/>
                <w:color w:val="000000" w:themeColor="text1"/>
                <w:sz w:val="16"/>
                <w:lang w:val="en-GB"/>
              </w:rPr>
            </w:pPr>
          </w:p>
        </w:tc>
        <w:tc>
          <w:tcPr>
            <w:tcW w:w="1134" w:type="dxa"/>
            <w:tcBorders>
              <w:left w:val="single" w:sz="4" w:space="0" w:color="auto"/>
            </w:tcBorders>
            <w:shd w:val="clear" w:color="auto" w:fill="auto"/>
            <w:tcMar>
              <w:top w:w="23" w:type="dxa"/>
              <w:left w:w="0" w:type="dxa"/>
              <w:bottom w:w="23" w:type="dxa"/>
              <w:right w:w="0" w:type="dxa"/>
            </w:tcMar>
            <w:vAlign w:val="bottom"/>
          </w:tcPr>
          <w:p w14:paraId="6C5AA5F4" w14:textId="77777777" w:rsidR="00A62E51" w:rsidRPr="00A62E51" w:rsidRDefault="00A62E51" w:rsidP="00C00DCF">
            <w:pPr>
              <w:contextualSpacing/>
              <w:jc w:val="right"/>
              <w:rPr>
                <w:rFonts w:ascii="Tahoma" w:hAnsi="Tahoma"/>
                <w:b/>
                <w:bCs/>
                <w:color w:val="000000" w:themeColor="text1"/>
                <w:sz w:val="16"/>
                <w:lang w:val="en-GB"/>
              </w:rPr>
            </w:pPr>
            <w:r w:rsidRPr="00A62E51">
              <w:rPr>
                <w:rFonts w:ascii="Tahoma" w:hAnsi="Tahoma"/>
                <w:b/>
                <w:bCs/>
                <w:color w:val="000000" w:themeColor="text1"/>
                <w:sz w:val="16"/>
                <w:lang w:val="en-GB"/>
              </w:rPr>
              <w:t>146</w:t>
            </w:r>
          </w:p>
        </w:tc>
        <w:tc>
          <w:tcPr>
            <w:tcW w:w="1134" w:type="dxa"/>
            <w:shd w:val="clear" w:color="auto" w:fill="auto"/>
            <w:tcMar>
              <w:top w:w="23" w:type="dxa"/>
              <w:left w:w="0" w:type="dxa"/>
              <w:bottom w:w="23" w:type="dxa"/>
              <w:right w:w="0" w:type="dxa"/>
            </w:tcMar>
            <w:vAlign w:val="bottom"/>
          </w:tcPr>
          <w:p w14:paraId="6C9D6930" w14:textId="77777777" w:rsidR="00A62E51" w:rsidRPr="00A62E51" w:rsidRDefault="00A62E51" w:rsidP="00C00DCF">
            <w:pPr>
              <w:contextualSpacing/>
              <w:jc w:val="right"/>
              <w:rPr>
                <w:rFonts w:ascii="Tahoma" w:hAnsi="Tahoma"/>
                <w:color w:val="000000" w:themeColor="text1"/>
                <w:sz w:val="16"/>
                <w:lang w:val="en-GB"/>
              </w:rPr>
            </w:pPr>
            <w:r w:rsidRPr="00A62E51">
              <w:rPr>
                <w:rFonts w:ascii="Tahoma" w:hAnsi="Tahoma"/>
                <w:color w:val="000000" w:themeColor="text1"/>
                <w:sz w:val="16"/>
                <w:lang w:val="en-GB"/>
              </w:rPr>
              <w:t>75</w:t>
            </w:r>
          </w:p>
        </w:tc>
        <w:tc>
          <w:tcPr>
            <w:tcW w:w="1134" w:type="dxa"/>
            <w:tcBorders>
              <w:right w:val="single" w:sz="4" w:space="0" w:color="auto"/>
            </w:tcBorders>
            <w:shd w:val="clear" w:color="auto" w:fill="auto"/>
            <w:tcMar>
              <w:top w:w="23" w:type="dxa"/>
              <w:left w:w="0" w:type="dxa"/>
              <w:bottom w:w="23" w:type="dxa"/>
              <w:right w:w="0" w:type="dxa"/>
            </w:tcMar>
            <w:vAlign w:val="bottom"/>
          </w:tcPr>
          <w:p w14:paraId="6DD957D6" w14:textId="77777777" w:rsidR="00A62E51" w:rsidRPr="00A62E51" w:rsidRDefault="00A62E51" w:rsidP="00C00DCF">
            <w:pPr>
              <w:ind w:right="113"/>
              <w:contextualSpacing/>
              <w:jc w:val="right"/>
              <w:rPr>
                <w:rFonts w:ascii="Tahoma" w:hAnsi="Tahoma"/>
                <w:color w:val="000000" w:themeColor="text1"/>
                <w:sz w:val="16"/>
                <w:lang w:val="en-GB"/>
              </w:rPr>
            </w:pPr>
            <w:r w:rsidRPr="00A62E51">
              <w:rPr>
                <w:rFonts w:ascii="Tahoma" w:hAnsi="Tahoma"/>
                <w:color w:val="000000" w:themeColor="text1"/>
                <w:sz w:val="16"/>
                <w:lang w:val="en-GB"/>
              </w:rPr>
              <w:t>132</w:t>
            </w:r>
          </w:p>
        </w:tc>
      </w:tr>
      <w:tr w:rsidR="00615190" w:rsidRPr="00A62E51" w14:paraId="78F6B6B0" w14:textId="77777777" w:rsidTr="00100D94">
        <w:trPr>
          <w:trHeight w:val="60"/>
        </w:trPr>
        <w:tc>
          <w:tcPr>
            <w:tcW w:w="5954" w:type="dxa"/>
            <w:shd w:val="clear" w:color="auto" w:fill="auto"/>
            <w:tcMar>
              <w:top w:w="23" w:type="dxa"/>
              <w:left w:w="113" w:type="dxa"/>
              <w:bottom w:w="23" w:type="dxa"/>
              <w:right w:w="0" w:type="dxa"/>
            </w:tcMar>
            <w:vAlign w:val="bottom"/>
          </w:tcPr>
          <w:p w14:paraId="473625D6" w14:textId="77777777" w:rsidR="00A62E51" w:rsidRPr="00A62E51" w:rsidRDefault="00A62E51" w:rsidP="00C00DCF">
            <w:pPr>
              <w:contextualSpacing/>
              <w:rPr>
                <w:rFonts w:ascii="Tahoma" w:hAnsi="Tahoma"/>
                <w:color w:val="000000" w:themeColor="text1"/>
                <w:sz w:val="16"/>
                <w:lang w:val="en-GB"/>
              </w:rPr>
            </w:pPr>
            <w:r w:rsidRPr="00A62E51">
              <w:rPr>
                <w:rFonts w:ascii="Tahoma" w:hAnsi="Tahoma"/>
                <w:color w:val="000000" w:themeColor="text1"/>
                <w:sz w:val="16"/>
                <w:lang w:val="en-GB"/>
              </w:rPr>
              <w:t>Deferred taxation</w:t>
            </w:r>
          </w:p>
        </w:tc>
        <w:tc>
          <w:tcPr>
            <w:tcW w:w="850" w:type="dxa"/>
            <w:tcBorders>
              <w:right w:val="single" w:sz="4" w:space="0" w:color="auto"/>
            </w:tcBorders>
            <w:shd w:val="clear" w:color="auto" w:fill="auto"/>
            <w:tcMar>
              <w:top w:w="23" w:type="dxa"/>
              <w:left w:w="0" w:type="dxa"/>
              <w:bottom w:w="23" w:type="dxa"/>
              <w:right w:w="0" w:type="dxa"/>
            </w:tcMar>
            <w:vAlign w:val="bottom"/>
          </w:tcPr>
          <w:p w14:paraId="035659D0" w14:textId="77777777" w:rsidR="00A62E51" w:rsidRPr="00A62E51" w:rsidRDefault="00A62E51" w:rsidP="00C00DCF">
            <w:pPr>
              <w:ind w:right="113"/>
              <w:contextualSpacing/>
              <w:jc w:val="right"/>
              <w:rPr>
                <w:rFonts w:ascii="Tahoma" w:hAnsi="Tahoma"/>
                <w:color w:val="000000" w:themeColor="text1"/>
                <w:sz w:val="16"/>
                <w:lang w:val="en-GB"/>
              </w:rPr>
            </w:pPr>
          </w:p>
        </w:tc>
        <w:tc>
          <w:tcPr>
            <w:tcW w:w="1134" w:type="dxa"/>
            <w:tcBorders>
              <w:left w:val="single" w:sz="4" w:space="0" w:color="auto"/>
              <w:bottom w:val="single" w:sz="4" w:space="0" w:color="auto"/>
            </w:tcBorders>
            <w:shd w:val="clear" w:color="auto" w:fill="auto"/>
            <w:tcMar>
              <w:top w:w="23" w:type="dxa"/>
              <w:left w:w="0" w:type="dxa"/>
              <w:bottom w:w="23" w:type="dxa"/>
              <w:right w:w="0" w:type="dxa"/>
            </w:tcMar>
            <w:vAlign w:val="bottom"/>
          </w:tcPr>
          <w:p w14:paraId="22C03697" w14:textId="77777777" w:rsidR="00A62E51" w:rsidRPr="00A62E51" w:rsidRDefault="00A62E51" w:rsidP="00C00DCF">
            <w:pPr>
              <w:contextualSpacing/>
              <w:jc w:val="right"/>
              <w:rPr>
                <w:rFonts w:ascii="Tahoma" w:hAnsi="Tahoma"/>
                <w:b/>
                <w:bCs/>
                <w:color w:val="000000" w:themeColor="text1"/>
                <w:sz w:val="16"/>
                <w:lang w:val="en-GB"/>
              </w:rPr>
            </w:pPr>
            <w:r w:rsidRPr="00A62E51">
              <w:rPr>
                <w:rFonts w:ascii="Tahoma" w:hAnsi="Tahoma"/>
                <w:b/>
                <w:bCs/>
                <w:color w:val="000000" w:themeColor="text1"/>
                <w:sz w:val="16"/>
                <w:lang w:val="en-GB"/>
              </w:rPr>
              <w:t>18</w:t>
            </w:r>
          </w:p>
        </w:tc>
        <w:tc>
          <w:tcPr>
            <w:tcW w:w="1134" w:type="dxa"/>
            <w:tcBorders>
              <w:bottom w:val="single" w:sz="4" w:space="0" w:color="auto"/>
            </w:tcBorders>
            <w:shd w:val="clear" w:color="auto" w:fill="auto"/>
            <w:tcMar>
              <w:top w:w="23" w:type="dxa"/>
              <w:left w:w="0" w:type="dxa"/>
              <w:bottom w:w="23" w:type="dxa"/>
              <w:right w:w="0" w:type="dxa"/>
            </w:tcMar>
            <w:vAlign w:val="bottom"/>
          </w:tcPr>
          <w:p w14:paraId="42FAF0E8" w14:textId="77777777" w:rsidR="00A62E51" w:rsidRPr="00A62E51" w:rsidRDefault="00A62E51" w:rsidP="00C00DCF">
            <w:pPr>
              <w:contextualSpacing/>
              <w:jc w:val="right"/>
              <w:rPr>
                <w:rFonts w:ascii="Tahoma" w:hAnsi="Tahoma"/>
                <w:color w:val="000000" w:themeColor="text1"/>
                <w:sz w:val="16"/>
                <w:lang w:val="en-GB"/>
              </w:rPr>
            </w:pPr>
            <w:r w:rsidRPr="00A62E51">
              <w:rPr>
                <w:rFonts w:ascii="Tahoma" w:hAnsi="Tahoma"/>
                <w:color w:val="000000" w:themeColor="text1"/>
                <w:sz w:val="16"/>
                <w:lang w:val="en-GB"/>
              </w:rPr>
              <w:t>25</w:t>
            </w:r>
          </w:p>
        </w:tc>
        <w:tc>
          <w:tcPr>
            <w:tcW w:w="1134" w:type="dxa"/>
            <w:tcBorders>
              <w:bottom w:val="single" w:sz="4" w:space="0" w:color="auto"/>
              <w:right w:val="single" w:sz="4" w:space="0" w:color="auto"/>
            </w:tcBorders>
            <w:shd w:val="clear" w:color="auto" w:fill="auto"/>
            <w:tcMar>
              <w:top w:w="23" w:type="dxa"/>
              <w:left w:w="0" w:type="dxa"/>
              <w:bottom w:w="23" w:type="dxa"/>
              <w:right w:w="0" w:type="dxa"/>
            </w:tcMar>
            <w:vAlign w:val="bottom"/>
          </w:tcPr>
          <w:p w14:paraId="2FF8DB02" w14:textId="77777777" w:rsidR="00A62E51" w:rsidRPr="00A62E51" w:rsidRDefault="00A62E51" w:rsidP="00C00DCF">
            <w:pPr>
              <w:ind w:right="113"/>
              <w:contextualSpacing/>
              <w:jc w:val="right"/>
              <w:rPr>
                <w:rFonts w:ascii="Tahoma" w:hAnsi="Tahoma"/>
                <w:color w:val="000000" w:themeColor="text1"/>
                <w:sz w:val="16"/>
                <w:lang w:val="en-GB"/>
              </w:rPr>
            </w:pPr>
            <w:r w:rsidRPr="00A62E51">
              <w:rPr>
                <w:rFonts w:ascii="Tahoma" w:hAnsi="Tahoma"/>
                <w:color w:val="000000" w:themeColor="text1"/>
                <w:sz w:val="16"/>
                <w:lang w:val="en-GB"/>
              </w:rPr>
              <w:t>26</w:t>
            </w:r>
          </w:p>
        </w:tc>
      </w:tr>
      <w:tr w:rsidR="00615190" w:rsidRPr="00A62E51" w14:paraId="0C9DAD18" w14:textId="77777777" w:rsidTr="00100D94">
        <w:trPr>
          <w:trHeight w:val="60"/>
        </w:trPr>
        <w:tc>
          <w:tcPr>
            <w:tcW w:w="5954" w:type="dxa"/>
            <w:shd w:val="clear" w:color="auto" w:fill="auto"/>
            <w:tcMar>
              <w:top w:w="23" w:type="dxa"/>
              <w:left w:w="0" w:type="dxa"/>
              <w:bottom w:w="23" w:type="dxa"/>
              <w:right w:w="0" w:type="dxa"/>
            </w:tcMar>
            <w:vAlign w:val="bottom"/>
          </w:tcPr>
          <w:p w14:paraId="2BCB6B69" w14:textId="77777777" w:rsidR="00A62E51" w:rsidRPr="00A62E51" w:rsidRDefault="00A62E51" w:rsidP="00C00DCF">
            <w:pPr>
              <w:contextualSpacing/>
              <w:rPr>
                <w:rFonts w:ascii="Tahoma" w:hAnsi="Tahoma"/>
                <w:b/>
                <w:bCs/>
                <w:color w:val="000000" w:themeColor="text1"/>
                <w:sz w:val="16"/>
                <w:lang w:val="en-GB"/>
              </w:rPr>
            </w:pPr>
            <w:r w:rsidRPr="00A62E51">
              <w:rPr>
                <w:rFonts w:ascii="Tahoma" w:hAnsi="Tahoma"/>
                <w:b/>
                <w:bCs/>
                <w:color w:val="000000" w:themeColor="text1"/>
                <w:sz w:val="16"/>
                <w:lang w:val="en-GB"/>
              </w:rPr>
              <w:t>Current assets</w:t>
            </w:r>
          </w:p>
        </w:tc>
        <w:tc>
          <w:tcPr>
            <w:tcW w:w="850" w:type="dxa"/>
            <w:shd w:val="clear" w:color="auto" w:fill="auto"/>
            <w:tcMar>
              <w:top w:w="23" w:type="dxa"/>
              <w:left w:w="0" w:type="dxa"/>
              <w:bottom w:w="23" w:type="dxa"/>
              <w:right w:w="0" w:type="dxa"/>
            </w:tcMar>
            <w:vAlign w:val="bottom"/>
          </w:tcPr>
          <w:p w14:paraId="35E45D28" w14:textId="77777777" w:rsidR="00A62E51" w:rsidRPr="00A62E51" w:rsidRDefault="00A62E51" w:rsidP="00C00DCF">
            <w:pPr>
              <w:ind w:right="113"/>
              <w:contextualSpacing/>
              <w:jc w:val="right"/>
              <w:rPr>
                <w:rFonts w:ascii="Tahoma" w:hAnsi="Tahoma"/>
                <w:color w:val="000000" w:themeColor="text1"/>
                <w:sz w:val="16"/>
                <w:lang w:val="en-GB"/>
              </w:rPr>
            </w:pPr>
          </w:p>
        </w:tc>
        <w:tc>
          <w:tcPr>
            <w:tcW w:w="1134" w:type="dxa"/>
            <w:tcBorders>
              <w:top w:val="single" w:sz="4" w:space="0" w:color="auto"/>
              <w:bottom w:val="single" w:sz="4" w:space="0" w:color="auto"/>
            </w:tcBorders>
            <w:shd w:val="clear" w:color="auto" w:fill="auto"/>
            <w:tcMar>
              <w:top w:w="23" w:type="dxa"/>
              <w:left w:w="0" w:type="dxa"/>
              <w:bottom w:w="23" w:type="dxa"/>
              <w:right w:w="0" w:type="dxa"/>
            </w:tcMar>
            <w:vAlign w:val="bottom"/>
          </w:tcPr>
          <w:p w14:paraId="14D6A259" w14:textId="77777777" w:rsidR="00A62E51" w:rsidRPr="00A62E51" w:rsidRDefault="00A62E51" w:rsidP="00C00DCF">
            <w:pPr>
              <w:contextualSpacing/>
              <w:jc w:val="right"/>
              <w:rPr>
                <w:rFonts w:ascii="Tahoma" w:hAnsi="Tahoma"/>
                <w:b/>
                <w:bCs/>
                <w:color w:val="000000" w:themeColor="text1"/>
                <w:sz w:val="16"/>
                <w:lang w:val="en-GB"/>
              </w:rPr>
            </w:pPr>
            <w:r w:rsidRPr="00A62E51">
              <w:rPr>
                <w:rFonts w:ascii="Tahoma" w:hAnsi="Tahoma"/>
                <w:b/>
                <w:bCs/>
                <w:color w:val="000000" w:themeColor="text1"/>
                <w:sz w:val="16"/>
                <w:lang w:val="en-GB"/>
              </w:rPr>
              <w:t>20 125</w:t>
            </w:r>
          </w:p>
        </w:tc>
        <w:tc>
          <w:tcPr>
            <w:tcW w:w="1134" w:type="dxa"/>
            <w:tcBorders>
              <w:top w:val="single" w:sz="4" w:space="0" w:color="auto"/>
              <w:bottom w:val="single" w:sz="4" w:space="0" w:color="auto"/>
            </w:tcBorders>
            <w:shd w:val="clear" w:color="auto" w:fill="auto"/>
            <w:tcMar>
              <w:top w:w="23" w:type="dxa"/>
              <w:left w:w="0" w:type="dxa"/>
              <w:bottom w:w="23" w:type="dxa"/>
              <w:right w:w="0" w:type="dxa"/>
            </w:tcMar>
            <w:vAlign w:val="bottom"/>
          </w:tcPr>
          <w:p w14:paraId="091EE982" w14:textId="77777777" w:rsidR="00A62E51" w:rsidRPr="00A62E51" w:rsidRDefault="00A62E51" w:rsidP="00C00DCF">
            <w:pPr>
              <w:contextualSpacing/>
              <w:jc w:val="right"/>
              <w:rPr>
                <w:rFonts w:ascii="Tahoma" w:hAnsi="Tahoma"/>
                <w:color w:val="000000" w:themeColor="text1"/>
                <w:sz w:val="16"/>
                <w:lang w:val="en-GB"/>
              </w:rPr>
            </w:pPr>
            <w:r w:rsidRPr="00A62E51">
              <w:rPr>
                <w:rFonts w:ascii="Tahoma" w:hAnsi="Tahoma"/>
                <w:color w:val="000000" w:themeColor="text1"/>
                <w:sz w:val="16"/>
                <w:lang w:val="en-GB"/>
              </w:rPr>
              <w:t>14 957</w:t>
            </w:r>
          </w:p>
        </w:tc>
        <w:tc>
          <w:tcPr>
            <w:tcW w:w="1134" w:type="dxa"/>
            <w:tcBorders>
              <w:top w:val="single" w:sz="4" w:space="0" w:color="auto"/>
              <w:bottom w:val="single" w:sz="4" w:space="0" w:color="auto"/>
            </w:tcBorders>
            <w:shd w:val="clear" w:color="auto" w:fill="auto"/>
            <w:tcMar>
              <w:top w:w="23" w:type="dxa"/>
              <w:left w:w="0" w:type="dxa"/>
              <w:bottom w:w="23" w:type="dxa"/>
              <w:right w:w="0" w:type="dxa"/>
            </w:tcMar>
            <w:vAlign w:val="bottom"/>
          </w:tcPr>
          <w:p w14:paraId="01F0C40C" w14:textId="77777777" w:rsidR="00A62E51" w:rsidRPr="00A62E51" w:rsidRDefault="00A62E51" w:rsidP="00C00DCF">
            <w:pPr>
              <w:ind w:right="113"/>
              <w:contextualSpacing/>
              <w:jc w:val="right"/>
              <w:rPr>
                <w:rFonts w:ascii="Tahoma" w:hAnsi="Tahoma"/>
                <w:color w:val="000000" w:themeColor="text1"/>
                <w:sz w:val="16"/>
                <w:lang w:val="en-GB"/>
              </w:rPr>
            </w:pPr>
            <w:r w:rsidRPr="00A62E51">
              <w:rPr>
                <w:rFonts w:ascii="Tahoma" w:hAnsi="Tahoma"/>
                <w:color w:val="000000" w:themeColor="text1"/>
                <w:sz w:val="16"/>
                <w:lang w:val="en-GB"/>
              </w:rPr>
              <w:t>15 265</w:t>
            </w:r>
          </w:p>
        </w:tc>
      </w:tr>
      <w:tr w:rsidR="00615190" w:rsidRPr="00A62E51" w14:paraId="658E6AAE" w14:textId="77777777" w:rsidTr="00100D94">
        <w:trPr>
          <w:trHeight w:val="60"/>
        </w:trPr>
        <w:tc>
          <w:tcPr>
            <w:tcW w:w="5954" w:type="dxa"/>
            <w:shd w:val="clear" w:color="auto" w:fill="auto"/>
            <w:tcMar>
              <w:top w:w="23" w:type="dxa"/>
              <w:left w:w="113" w:type="dxa"/>
              <w:bottom w:w="23" w:type="dxa"/>
              <w:right w:w="0" w:type="dxa"/>
            </w:tcMar>
            <w:vAlign w:val="bottom"/>
          </w:tcPr>
          <w:p w14:paraId="1806360F" w14:textId="77777777" w:rsidR="00A62E51" w:rsidRPr="00A62E51" w:rsidRDefault="00A62E51" w:rsidP="00C00DCF">
            <w:pPr>
              <w:contextualSpacing/>
              <w:rPr>
                <w:rFonts w:ascii="Tahoma" w:hAnsi="Tahoma"/>
                <w:color w:val="000000" w:themeColor="text1"/>
                <w:sz w:val="16"/>
                <w:lang w:val="en-GB"/>
              </w:rPr>
            </w:pPr>
            <w:r w:rsidRPr="00A62E51">
              <w:rPr>
                <w:rFonts w:ascii="Tahoma" w:hAnsi="Tahoma"/>
                <w:color w:val="000000" w:themeColor="text1"/>
                <w:sz w:val="16"/>
                <w:lang w:val="en-GB"/>
              </w:rPr>
              <w:t>Inventory</w:t>
            </w:r>
          </w:p>
        </w:tc>
        <w:tc>
          <w:tcPr>
            <w:tcW w:w="850" w:type="dxa"/>
            <w:tcBorders>
              <w:right w:val="single" w:sz="4" w:space="0" w:color="auto"/>
            </w:tcBorders>
            <w:shd w:val="clear" w:color="auto" w:fill="auto"/>
            <w:tcMar>
              <w:top w:w="23" w:type="dxa"/>
              <w:left w:w="0" w:type="dxa"/>
              <w:bottom w:w="23" w:type="dxa"/>
              <w:right w:w="0" w:type="dxa"/>
            </w:tcMar>
            <w:vAlign w:val="bottom"/>
          </w:tcPr>
          <w:p w14:paraId="41549ABB" w14:textId="77777777" w:rsidR="00A62E51" w:rsidRPr="00A62E51" w:rsidRDefault="00A62E51" w:rsidP="00C00DCF">
            <w:pPr>
              <w:ind w:right="113"/>
              <w:contextualSpacing/>
              <w:jc w:val="right"/>
              <w:rPr>
                <w:rFonts w:ascii="Tahoma" w:hAnsi="Tahoma"/>
                <w:color w:val="000000" w:themeColor="text1"/>
                <w:sz w:val="16"/>
                <w:lang w:val="en-GB"/>
              </w:rPr>
            </w:pPr>
          </w:p>
        </w:tc>
        <w:tc>
          <w:tcPr>
            <w:tcW w:w="1134" w:type="dxa"/>
            <w:tcBorders>
              <w:top w:val="single" w:sz="4" w:space="0" w:color="auto"/>
              <w:left w:val="single" w:sz="4" w:space="0" w:color="auto"/>
            </w:tcBorders>
            <w:shd w:val="clear" w:color="auto" w:fill="auto"/>
            <w:tcMar>
              <w:top w:w="23" w:type="dxa"/>
              <w:left w:w="0" w:type="dxa"/>
              <w:bottom w:w="23" w:type="dxa"/>
              <w:right w:w="0" w:type="dxa"/>
            </w:tcMar>
            <w:vAlign w:val="bottom"/>
          </w:tcPr>
          <w:p w14:paraId="65C0D8DA" w14:textId="77777777" w:rsidR="00A62E51" w:rsidRPr="00A62E51" w:rsidRDefault="00A62E51" w:rsidP="00C00DCF">
            <w:pPr>
              <w:contextualSpacing/>
              <w:jc w:val="right"/>
              <w:rPr>
                <w:rFonts w:ascii="Tahoma" w:hAnsi="Tahoma"/>
                <w:b/>
                <w:bCs/>
                <w:color w:val="000000" w:themeColor="text1"/>
                <w:sz w:val="16"/>
                <w:lang w:val="en-GB"/>
              </w:rPr>
            </w:pPr>
            <w:r w:rsidRPr="00A62E51">
              <w:rPr>
                <w:rFonts w:ascii="Tahoma" w:hAnsi="Tahoma"/>
                <w:b/>
                <w:bCs/>
                <w:color w:val="000000" w:themeColor="text1"/>
                <w:sz w:val="16"/>
                <w:lang w:val="en-GB"/>
              </w:rPr>
              <w:t>390</w:t>
            </w:r>
          </w:p>
        </w:tc>
        <w:tc>
          <w:tcPr>
            <w:tcW w:w="1134" w:type="dxa"/>
            <w:tcBorders>
              <w:top w:val="single" w:sz="4" w:space="0" w:color="auto"/>
            </w:tcBorders>
            <w:shd w:val="clear" w:color="auto" w:fill="auto"/>
            <w:tcMar>
              <w:top w:w="23" w:type="dxa"/>
              <w:left w:w="0" w:type="dxa"/>
              <w:bottom w:w="23" w:type="dxa"/>
              <w:right w:w="0" w:type="dxa"/>
            </w:tcMar>
            <w:vAlign w:val="bottom"/>
          </w:tcPr>
          <w:p w14:paraId="324C0E58" w14:textId="77777777" w:rsidR="00A62E51" w:rsidRPr="00A62E51" w:rsidRDefault="00A62E51" w:rsidP="00C00DCF">
            <w:pPr>
              <w:contextualSpacing/>
              <w:jc w:val="right"/>
              <w:rPr>
                <w:rFonts w:ascii="Tahoma" w:hAnsi="Tahoma"/>
                <w:color w:val="000000" w:themeColor="text1"/>
                <w:sz w:val="16"/>
                <w:lang w:val="en-GB"/>
              </w:rPr>
            </w:pPr>
            <w:r w:rsidRPr="00A62E51">
              <w:rPr>
                <w:rFonts w:ascii="Tahoma" w:hAnsi="Tahoma"/>
                <w:color w:val="000000" w:themeColor="text1"/>
                <w:sz w:val="16"/>
                <w:lang w:val="en-GB"/>
              </w:rPr>
              <w:t>385</w:t>
            </w:r>
          </w:p>
        </w:tc>
        <w:tc>
          <w:tcPr>
            <w:tcW w:w="1134" w:type="dxa"/>
            <w:tcBorders>
              <w:top w:val="single" w:sz="4" w:space="0" w:color="auto"/>
              <w:right w:val="single" w:sz="4" w:space="0" w:color="auto"/>
            </w:tcBorders>
            <w:shd w:val="clear" w:color="auto" w:fill="auto"/>
            <w:tcMar>
              <w:top w:w="23" w:type="dxa"/>
              <w:left w:w="0" w:type="dxa"/>
              <w:bottom w:w="23" w:type="dxa"/>
              <w:right w:w="0" w:type="dxa"/>
            </w:tcMar>
            <w:vAlign w:val="bottom"/>
          </w:tcPr>
          <w:p w14:paraId="2ACF1612" w14:textId="77777777" w:rsidR="00A62E51" w:rsidRPr="00A62E51" w:rsidRDefault="00A62E51" w:rsidP="00C00DCF">
            <w:pPr>
              <w:ind w:right="113"/>
              <w:contextualSpacing/>
              <w:jc w:val="right"/>
              <w:rPr>
                <w:rFonts w:ascii="Tahoma" w:hAnsi="Tahoma"/>
                <w:color w:val="000000" w:themeColor="text1"/>
                <w:sz w:val="16"/>
                <w:lang w:val="en-GB"/>
              </w:rPr>
            </w:pPr>
            <w:r w:rsidRPr="00A62E51">
              <w:rPr>
                <w:rFonts w:ascii="Tahoma" w:hAnsi="Tahoma"/>
                <w:color w:val="000000" w:themeColor="text1"/>
                <w:sz w:val="16"/>
                <w:lang w:val="en-GB"/>
              </w:rPr>
              <w:t>470</w:t>
            </w:r>
          </w:p>
        </w:tc>
      </w:tr>
      <w:tr w:rsidR="00615190" w:rsidRPr="00A62E51" w14:paraId="3848DA62" w14:textId="77777777" w:rsidTr="00100D94">
        <w:trPr>
          <w:trHeight w:val="60"/>
        </w:trPr>
        <w:tc>
          <w:tcPr>
            <w:tcW w:w="5954" w:type="dxa"/>
            <w:shd w:val="clear" w:color="auto" w:fill="auto"/>
            <w:tcMar>
              <w:top w:w="23" w:type="dxa"/>
              <w:left w:w="113" w:type="dxa"/>
              <w:bottom w:w="23" w:type="dxa"/>
              <w:right w:w="0" w:type="dxa"/>
            </w:tcMar>
            <w:vAlign w:val="bottom"/>
          </w:tcPr>
          <w:p w14:paraId="239F939E" w14:textId="77777777" w:rsidR="00A62E51" w:rsidRPr="00A62E51" w:rsidRDefault="00A62E51" w:rsidP="00C00DCF">
            <w:pPr>
              <w:contextualSpacing/>
              <w:rPr>
                <w:rFonts w:ascii="Tahoma" w:hAnsi="Tahoma"/>
                <w:color w:val="000000" w:themeColor="text1"/>
                <w:sz w:val="16"/>
                <w:lang w:val="en-GB"/>
              </w:rPr>
            </w:pPr>
            <w:r w:rsidRPr="00A62E51">
              <w:rPr>
                <w:rFonts w:ascii="Tahoma" w:hAnsi="Tahoma"/>
                <w:color w:val="000000" w:themeColor="text1"/>
                <w:sz w:val="16"/>
                <w:lang w:val="en-GB"/>
              </w:rPr>
              <w:t>Trade receivables</w:t>
            </w:r>
          </w:p>
        </w:tc>
        <w:tc>
          <w:tcPr>
            <w:tcW w:w="850" w:type="dxa"/>
            <w:tcBorders>
              <w:right w:val="single" w:sz="4" w:space="0" w:color="auto"/>
            </w:tcBorders>
            <w:shd w:val="clear" w:color="auto" w:fill="auto"/>
            <w:tcMar>
              <w:top w:w="23" w:type="dxa"/>
              <w:left w:w="0" w:type="dxa"/>
              <w:bottom w:w="23" w:type="dxa"/>
              <w:right w:w="0" w:type="dxa"/>
            </w:tcMar>
            <w:vAlign w:val="bottom"/>
          </w:tcPr>
          <w:p w14:paraId="3BEED849" w14:textId="77777777" w:rsidR="00A62E51" w:rsidRPr="00A62E51" w:rsidRDefault="00A62E51" w:rsidP="00C00DCF">
            <w:pPr>
              <w:ind w:right="113"/>
              <w:contextualSpacing/>
              <w:jc w:val="right"/>
              <w:rPr>
                <w:rFonts w:ascii="Tahoma" w:hAnsi="Tahoma"/>
                <w:color w:val="000000" w:themeColor="text1"/>
                <w:sz w:val="16"/>
                <w:lang w:val="en-GB"/>
              </w:rPr>
            </w:pPr>
          </w:p>
        </w:tc>
        <w:tc>
          <w:tcPr>
            <w:tcW w:w="1134" w:type="dxa"/>
            <w:tcBorders>
              <w:left w:val="single" w:sz="4" w:space="0" w:color="auto"/>
            </w:tcBorders>
            <w:shd w:val="clear" w:color="auto" w:fill="auto"/>
            <w:tcMar>
              <w:top w:w="23" w:type="dxa"/>
              <w:left w:w="0" w:type="dxa"/>
              <w:bottom w:w="23" w:type="dxa"/>
              <w:right w:w="0" w:type="dxa"/>
            </w:tcMar>
            <w:vAlign w:val="bottom"/>
          </w:tcPr>
          <w:p w14:paraId="54EC31B9" w14:textId="77777777" w:rsidR="00A62E51" w:rsidRPr="00A62E51" w:rsidRDefault="00A62E51" w:rsidP="00C00DCF">
            <w:pPr>
              <w:contextualSpacing/>
              <w:jc w:val="right"/>
              <w:rPr>
                <w:rFonts w:ascii="Tahoma" w:hAnsi="Tahoma"/>
                <w:b/>
                <w:bCs/>
                <w:color w:val="000000" w:themeColor="text1"/>
                <w:sz w:val="16"/>
                <w:lang w:val="en-GB"/>
              </w:rPr>
            </w:pPr>
            <w:r w:rsidRPr="00A62E51">
              <w:rPr>
                <w:rFonts w:ascii="Tahoma" w:hAnsi="Tahoma"/>
                <w:b/>
                <w:bCs/>
                <w:color w:val="000000" w:themeColor="text1"/>
                <w:sz w:val="16"/>
                <w:lang w:val="en-GB"/>
              </w:rPr>
              <w:t>479</w:t>
            </w:r>
          </w:p>
        </w:tc>
        <w:tc>
          <w:tcPr>
            <w:tcW w:w="1134" w:type="dxa"/>
            <w:shd w:val="clear" w:color="auto" w:fill="auto"/>
            <w:tcMar>
              <w:top w:w="23" w:type="dxa"/>
              <w:left w:w="0" w:type="dxa"/>
              <w:bottom w:w="23" w:type="dxa"/>
              <w:right w:w="0" w:type="dxa"/>
            </w:tcMar>
            <w:vAlign w:val="bottom"/>
          </w:tcPr>
          <w:p w14:paraId="043C71CF" w14:textId="77777777" w:rsidR="00A62E51" w:rsidRPr="00A62E51" w:rsidRDefault="00A62E51" w:rsidP="00C00DCF">
            <w:pPr>
              <w:contextualSpacing/>
              <w:jc w:val="right"/>
              <w:rPr>
                <w:rFonts w:ascii="Tahoma" w:hAnsi="Tahoma"/>
                <w:color w:val="000000" w:themeColor="text1"/>
                <w:sz w:val="16"/>
                <w:lang w:val="en-GB"/>
              </w:rPr>
            </w:pPr>
            <w:r w:rsidRPr="00A62E51">
              <w:rPr>
                <w:rFonts w:ascii="Tahoma" w:hAnsi="Tahoma"/>
                <w:color w:val="000000" w:themeColor="text1"/>
                <w:sz w:val="16"/>
                <w:lang w:val="en-GB"/>
              </w:rPr>
              <w:t>174</w:t>
            </w:r>
          </w:p>
        </w:tc>
        <w:tc>
          <w:tcPr>
            <w:tcW w:w="1134" w:type="dxa"/>
            <w:tcBorders>
              <w:right w:val="single" w:sz="4" w:space="0" w:color="auto"/>
            </w:tcBorders>
            <w:shd w:val="clear" w:color="auto" w:fill="auto"/>
            <w:tcMar>
              <w:top w:w="23" w:type="dxa"/>
              <w:left w:w="0" w:type="dxa"/>
              <w:bottom w:w="23" w:type="dxa"/>
              <w:right w:w="0" w:type="dxa"/>
            </w:tcMar>
            <w:vAlign w:val="bottom"/>
          </w:tcPr>
          <w:p w14:paraId="1DE6BF62" w14:textId="77777777" w:rsidR="00A62E51" w:rsidRPr="00A62E51" w:rsidRDefault="00A62E51" w:rsidP="00C00DCF">
            <w:pPr>
              <w:ind w:right="113"/>
              <w:contextualSpacing/>
              <w:jc w:val="right"/>
              <w:rPr>
                <w:rFonts w:ascii="Tahoma" w:hAnsi="Tahoma"/>
                <w:color w:val="000000" w:themeColor="text1"/>
                <w:sz w:val="16"/>
                <w:lang w:val="en-GB"/>
              </w:rPr>
            </w:pPr>
            <w:r w:rsidRPr="00A62E51">
              <w:rPr>
                <w:rFonts w:ascii="Tahoma" w:hAnsi="Tahoma"/>
                <w:color w:val="000000" w:themeColor="text1"/>
                <w:sz w:val="16"/>
                <w:lang w:val="en-GB"/>
              </w:rPr>
              <w:t>276</w:t>
            </w:r>
          </w:p>
        </w:tc>
      </w:tr>
      <w:tr w:rsidR="00615190" w:rsidRPr="00A62E51" w14:paraId="6F3FC9CC" w14:textId="77777777" w:rsidTr="00100D94">
        <w:trPr>
          <w:trHeight w:val="60"/>
        </w:trPr>
        <w:tc>
          <w:tcPr>
            <w:tcW w:w="5954" w:type="dxa"/>
            <w:shd w:val="clear" w:color="auto" w:fill="auto"/>
            <w:tcMar>
              <w:top w:w="23" w:type="dxa"/>
              <w:left w:w="113" w:type="dxa"/>
              <w:bottom w:w="23" w:type="dxa"/>
              <w:right w:w="0" w:type="dxa"/>
            </w:tcMar>
            <w:vAlign w:val="bottom"/>
          </w:tcPr>
          <w:p w14:paraId="5DEEBBE3" w14:textId="77777777" w:rsidR="00A62E51" w:rsidRPr="00A62E51" w:rsidRDefault="00A62E51" w:rsidP="00C00DCF">
            <w:pPr>
              <w:contextualSpacing/>
              <w:rPr>
                <w:rFonts w:ascii="Tahoma" w:hAnsi="Tahoma"/>
                <w:color w:val="000000" w:themeColor="text1"/>
                <w:sz w:val="16"/>
                <w:lang w:val="en-GB"/>
              </w:rPr>
            </w:pPr>
            <w:r w:rsidRPr="00A62E51">
              <w:rPr>
                <w:rFonts w:ascii="Tahoma" w:hAnsi="Tahoma"/>
                <w:color w:val="000000" w:themeColor="text1"/>
                <w:sz w:val="16"/>
                <w:lang w:val="en-GB"/>
              </w:rPr>
              <w:t>Other receivables and loans</w:t>
            </w:r>
          </w:p>
        </w:tc>
        <w:tc>
          <w:tcPr>
            <w:tcW w:w="850" w:type="dxa"/>
            <w:tcBorders>
              <w:right w:val="single" w:sz="4" w:space="0" w:color="auto"/>
            </w:tcBorders>
            <w:shd w:val="clear" w:color="auto" w:fill="auto"/>
            <w:tcMar>
              <w:top w:w="23" w:type="dxa"/>
              <w:left w:w="0" w:type="dxa"/>
              <w:bottom w:w="23" w:type="dxa"/>
              <w:right w:w="0" w:type="dxa"/>
            </w:tcMar>
            <w:vAlign w:val="bottom"/>
          </w:tcPr>
          <w:p w14:paraId="2AAAEEF3" w14:textId="77777777" w:rsidR="00A62E51" w:rsidRPr="00A62E51" w:rsidRDefault="00A62E51" w:rsidP="00C00DCF">
            <w:pPr>
              <w:ind w:right="113"/>
              <w:contextualSpacing/>
              <w:jc w:val="right"/>
              <w:rPr>
                <w:rFonts w:ascii="Tahoma" w:hAnsi="Tahoma"/>
                <w:color w:val="000000" w:themeColor="text1"/>
                <w:sz w:val="16"/>
                <w:lang w:val="en-GB"/>
              </w:rPr>
            </w:pPr>
          </w:p>
        </w:tc>
        <w:tc>
          <w:tcPr>
            <w:tcW w:w="1134" w:type="dxa"/>
            <w:tcBorders>
              <w:left w:val="single" w:sz="4" w:space="0" w:color="auto"/>
            </w:tcBorders>
            <w:shd w:val="clear" w:color="auto" w:fill="auto"/>
            <w:tcMar>
              <w:top w:w="23" w:type="dxa"/>
              <w:left w:w="0" w:type="dxa"/>
              <w:bottom w:w="23" w:type="dxa"/>
              <w:right w:w="0" w:type="dxa"/>
            </w:tcMar>
            <w:vAlign w:val="bottom"/>
          </w:tcPr>
          <w:p w14:paraId="7A9DA0F0" w14:textId="77777777" w:rsidR="00A62E51" w:rsidRPr="00A62E51" w:rsidRDefault="00A62E51" w:rsidP="00C00DCF">
            <w:pPr>
              <w:contextualSpacing/>
              <w:jc w:val="right"/>
              <w:rPr>
                <w:rFonts w:ascii="Tahoma" w:hAnsi="Tahoma"/>
                <w:b/>
                <w:bCs/>
                <w:color w:val="000000" w:themeColor="text1"/>
                <w:sz w:val="16"/>
                <w:lang w:val="en-GB"/>
              </w:rPr>
            </w:pPr>
            <w:r w:rsidRPr="00A62E51">
              <w:rPr>
                <w:rFonts w:ascii="Tahoma" w:hAnsi="Tahoma"/>
                <w:b/>
                <w:bCs/>
                <w:color w:val="000000" w:themeColor="text1"/>
                <w:sz w:val="16"/>
                <w:lang w:val="en-GB"/>
              </w:rPr>
              <w:t>738</w:t>
            </w:r>
          </w:p>
        </w:tc>
        <w:tc>
          <w:tcPr>
            <w:tcW w:w="1134" w:type="dxa"/>
            <w:shd w:val="clear" w:color="auto" w:fill="auto"/>
            <w:tcMar>
              <w:top w:w="23" w:type="dxa"/>
              <w:left w:w="0" w:type="dxa"/>
              <w:bottom w:w="23" w:type="dxa"/>
              <w:right w:w="0" w:type="dxa"/>
            </w:tcMar>
            <w:vAlign w:val="bottom"/>
          </w:tcPr>
          <w:p w14:paraId="0C340E07" w14:textId="77777777" w:rsidR="00A62E51" w:rsidRPr="00A62E51" w:rsidRDefault="00A62E51" w:rsidP="00C00DCF">
            <w:pPr>
              <w:contextualSpacing/>
              <w:jc w:val="right"/>
              <w:rPr>
                <w:rFonts w:ascii="Tahoma" w:hAnsi="Tahoma"/>
                <w:color w:val="000000" w:themeColor="text1"/>
                <w:sz w:val="16"/>
                <w:lang w:val="en-GB"/>
              </w:rPr>
            </w:pPr>
            <w:r w:rsidRPr="00A62E51">
              <w:rPr>
                <w:rFonts w:ascii="Tahoma" w:hAnsi="Tahoma"/>
                <w:color w:val="000000" w:themeColor="text1"/>
                <w:sz w:val="16"/>
                <w:lang w:val="en-GB"/>
              </w:rPr>
              <w:t>717</w:t>
            </w:r>
          </w:p>
        </w:tc>
        <w:tc>
          <w:tcPr>
            <w:tcW w:w="1134" w:type="dxa"/>
            <w:tcBorders>
              <w:right w:val="single" w:sz="4" w:space="0" w:color="auto"/>
            </w:tcBorders>
            <w:shd w:val="clear" w:color="auto" w:fill="auto"/>
            <w:tcMar>
              <w:top w:w="23" w:type="dxa"/>
              <w:left w:w="0" w:type="dxa"/>
              <w:bottom w:w="23" w:type="dxa"/>
              <w:right w:w="0" w:type="dxa"/>
            </w:tcMar>
            <w:vAlign w:val="bottom"/>
          </w:tcPr>
          <w:p w14:paraId="440AD951" w14:textId="77777777" w:rsidR="00A62E51" w:rsidRPr="00A62E51" w:rsidRDefault="00A62E51" w:rsidP="00C00DCF">
            <w:pPr>
              <w:ind w:right="113"/>
              <w:contextualSpacing/>
              <w:jc w:val="right"/>
              <w:rPr>
                <w:rFonts w:ascii="Tahoma" w:hAnsi="Tahoma"/>
                <w:color w:val="000000" w:themeColor="text1"/>
                <w:sz w:val="16"/>
                <w:lang w:val="en-GB"/>
              </w:rPr>
            </w:pPr>
            <w:r w:rsidRPr="00A62E51">
              <w:rPr>
                <w:rFonts w:ascii="Tahoma" w:hAnsi="Tahoma"/>
                <w:color w:val="000000" w:themeColor="text1"/>
                <w:sz w:val="16"/>
                <w:lang w:val="en-GB"/>
              </w:rPr>
              <w:t>884</w:t>
            </w:r>
          </w:p>
        </w:tc>
      </w:tr>
      <w:tr w:rsidR="00615190" w:rsidRPr="00A62E51" w14:paraId="06FE2715" w14:textId="77777777" w:rsidTr="00100D94">
        <w:trPr>
          <w:trHeight w:val="60"/>
        </w:trPr>
        <w:tc>
          <w:tcPr>
            <w:tcW w:w="5954" w:type="dxa"/>
            <w:shd w:val="clear" w:color="auto" w:fill="auto"/>
            <w:tcMar>
              <w:top w:w="23" w:type="dxa"/>
              <w:left w:w="113" w:type="dxa"/>
              <w:bottom w:w="23" w:type="dxa"/>
              <w:right w:w="0" w:type="dxa"/>
            </w:tcMar>
            <w:vAlign w:val="bottom"/>
          </w:tcPr>
          <w:p w14:paraId="7D2D7AFC" w14:textId="77777777" w:rsidR="00A62E51" w:rsidRPr="00A62E51" w:rsidRDefault="00A62E51" w:rsidP="00C00DCF">
            <w:pPr>
              <w:contextualSpacing/>
              <w:rPr>
                <w:rFonts w:ascii="Tahoma" w:hAnsi="Tahoma"/>
                <w:color w:val="000000" w:themeColor="text1"/>
                <w:sz w:val="16"/>
                <w:lang w:val="en-GB"/>
              </w:rPr>
            </w:pPr>
            <w:r w:rsidRPr="00A62E51">
              <w:rPr>
                <w:rFonts w:ascii="Tahoma" w:hAnsi="Tahoma"/>
                <w:color w:val="000000" w:themeColor="text1"/>
                <w:sz w:val="16"/>
                <w:lang w:val="en-GB"/>
              </w:rPr>
              <w:t>Derivative financial instruments</w:t>
            </w:r>
          </w:p>
        </w:tc>
        <w:tc>
          <w:tcPr>
            <w:tcW w:w="850" w:type="dxa"/>
            <w:tcBorders>
              <w:right w:val="single" w:sz="4" w:space="0" w:color="auto"/>
            </w:tcBorders>
            <w:shd w:val="clear" w:color="auto" w:fill="auto"/>
            <w:tcMar>
              <w:top w:w="23" w:type="dxa"/>
              <w:left w:w="0" w:type="dxa"/>
              <w:bottom w:w="23" w:type="dxa"/>
              <w:right w:w="0" w:type="dxa"/>
            </w:tcMar>
            <w:vAlign w:val="bottom"/>
          </w:tcPr>
          <w:p w14:paraId="54D41AB2" w14:textId="77777777" w:rsidR="00A62E51" w:rsidRPr="00A62E51" w:rsidRDefault="00A62E51" w:rsidP="00C00DCF">
            <w:pPr>
              <w:ind w:right="113"/>
              <w:contextualSpacing/>
              <w:jc w:val="right"/>
              <w:rPr>
                <w:rFonts w:ascii="Tahoma" w:hAnsi="Tahoma"/>
                <w:color w:val="000000" w:themeColor="text1"/>
                <w:sz w:val="16"/>
                <w:lang w:val="en-GB"/>
              </w:rPr>
            </w:pPr>
          </w:p>
        </w:tc>
        <w:tc>
          <w:tcPr>
            <w:tcW w:w="1134" w:type="dxa"/>
            <w:tcBorders>
              <w:left w:val="single" w:sz="4" w:space="0" w:color="auto"/>
            </w:tcBorders>
            <w:shd w:val="clear" w:color="auto" w:fill="auto"/>
            <w:tcMar>
              <w:top w:w="23" w:type="dxa"/>
              <w:left w:w="0" w:type="dxa"/>
              <w:bottom w:w="23" w:type="dxa"/>
              <w:right w:w="0" w:type="dxa"/>
            </w:tcMar>
            <w:vAlign w:val="bottom"/>
          </w:tcPr>
          <w:p w14:paraId="6810EFF6" w14:textId="77777777" w:rsidR="00A62E51" w:rsidRPr="00A62E51" w:rsidRDefault="00A62E51" w:rsidP="00C00DCF">
            <w:pPr>
              <w:contextualSpacing/>
              <w:jc w:val="right"/>
              <w:rPr>
                <w:rFonts w:ascii="Tahoma" w:hAnsi="Tahoma"/>
                <w:b/>
                <w:bCs/>
                <w:color w:val="000000" w:themeColor="text1"/>
                <w:sz w:val="16"/>
                <w:lang w:val="en-GB"/>
              </w:rPr>
            </w:pPr>
            <w:r w:rsidRPr="00A62E51">
              <w:rPr>
                <w:rFonts w:ascii="Tahoma" w:hAnsi="Tahoma"/>
                <w:b/>
                <w:bCs/>
                <w:color w:val="000000" w:themeColor="text1"/>
                <w:sz w:val="16"/>
                <w:lang w:val="en-GB"/>
              </w:rPr>
              <w:t>1</w:t>
            </w:r>
          </w:p>
        </w:tc>
        <w:tc>
          <w:tcPr>
            <w:tcW w:w="1134" w:type="dxa"/>
            <w:shd w:val="clear" w:color="auto" w:fill="auto"/>
            <w:tcMar>
              <w:top w:w="23" w:type="dxa"/>
              <w:left w:w="0" w:type="dxa"/>
              <w:bottom w:w="23" w:type="dxa"/>
              <w:right w:w="0" w:type="dxa"/>
            </w:tcMar>
            <w:vAlign w:val="bottom"/>
          </w:tcPr>
          <w:p w14:paraId="6CD28D47" w14:textId="77777777" w:rsidR="00A62E51" w:rsidRPr="00A62E51" w:rsidRDefault="00A62E51" w:rsidP="00C00DCF">
            <w:pPr>
              <w:contextualSpacing/>
              <w:jc w:val="right"/>
              <w:rPr>
                <w:rFonts w:ascii="Tahoma" w:hAnsi="Tahoma"/>
                <w:color w:val="000000" w:themeColor="text1"/>
                <w:sz w:val="16"/>
                <w:lang w:val="en-GB"/>
              </w:rPr>
            </w:pPr>
            <w:r w:rsidRPr="00A62E51">
              <w:rPr>
                <w:rFonts w:ascii="Tahoma" w:hAnsi="Tahoma"/>
                <w:color w:val="000000" w:themeColor="text1"/>
                <w:sz w:val="16"/>
                <w:lang w:val="en-GB"/>
              </w:rPr>
              <w:t>1</w:t>
            </w:r>
          </w:p>
        </w:tc>
        <w:tc>
          <w:tcPr>
            <w:tcW w:w="1134" w:type="dxa"/>
            <w:tcBorders>
              <w:right w:val="single" w:sz="4" w:space="0" w:color="auto"/>
            </w:tcBorders>
            <w:shd w:val="clear" w:color="auto" w:fill="auto"/>
            <w:tcMar>
              <w:top w:w="23" w:type="dxa"/>
              <w:left w:w="0" w:type="dxa"/>
              <w:bottom w:w="23" w:type="dxa"/>
              <w:right w:w="0" w:type="dxa"/>
            </w:tcMar>
            <w:vAlign w:val="bottom"/>
          </w:tcPr>
          <w:p w14:paraId="6482BF9F" w14:textId="77777777" w:rsidR="00A62E51" w:rsidRPr="00A62E51" w:rsidRDefault="00A62E51" w:rsidP="00C00DCF">
            <w:pPr>
              <w:ind w:right="113"/>
              <w:contextualSpacing/>
              <w:jc w:val="right"/>
              <w:rPr>
                <w:rFonts w:ascii="Tahoma" w:hAnsi="Tahoma"/>
                <w:color w:val="000000" w:themeColor="text1"/>
                <w:sz w:val="16"/>
                <w:lang w:val="en-GB"/>
              </w:rPr>
            </w:pPr>
            <w:r w:rsidRPr="00A62E51">
              <w:rPr>
                <w:rFonts w:ascii="Tahoma" w:hAnsi="Tahoma"/>
                <w:color w:val="000000" w:themeColor="text1"/>
                <w:sz w:val="16"/>
                <w:lang w:val="en-GB"/>
              </w:rPr>
              <w:t>27</w:t>
            </w:r>
          </w:p>
        </w:tc>
      </w:tr>
      <w:tr w:rsidR="00615190" w:rsidRPr="00A62E51" w14:paraId="5C72F59F" w14:textId="77777777" w:rsidTr="00100D94">
        <w:trPr>
          <w:trHeight w:val="60"/>
        </w:trPr>
        <w:tc>
          <w:tcPr>
            <w:tcW w:w="5954" w:type="dxa"/>
            <w:shd w:val="clear" w:color="auto" w:fill="auto"/>
            <w:tcMar>
              <w:top w:w="23" w:type="dxa"/>
              <w:left w:w="113" w:type="dxa"/>
              <w:bottom w:w="23" w:type="dxa"/>
              <w:right w:w="0" w:type="dxa"/>
            </w:tcMar>
            <w:vAlign w:val="bottom"/>
          </w:tcPr>
          <w:p w14:paraId="5F2E0ED1" w14:textId="77777777" w:rsidR="00A62E51" w:rsidRPr="00A62E51" w:rsidRDefault="00A62E51" w:rsidP="00C00DCF">
            <w:pPr>
              <w:contextualSpacing/>
              <w:rPr>
                <w:rFonts w:ascii="Tahoma" w:hAnsi="Tahoma"/>
                <w:color w:val="000000" w:themeColor="text1"/>
                <w:sz w:val="16"/>
                <w:lang w:val="en-GB"/>
              </w:rPr>
            </w:pPr>
            <w:r w:rsidRPr="00A62E51">
              <w:rPr>
                <w:rFonts w:ascii="Tahoma" w:hAnsi="Tahoma"/>
                <w:color w:val="000000" w:themeColor="text1"/>
                <w:sz w:val="16"/>
                <w:lang w:val="en-GB"/>
              </w:rPr>
              <w:t xml:space="preserve">Current portion of other investments </w:t>
            </w:r>
          </w:p>
        </w:tc>
        <w:tc>
          <w:tcPr>
            <w:tcW w:w="850" w:type="dxa"/>
            <w:tcBorders>
              <w:right w:val="single" w:sz="4" w:space="0" w:color="auto"/>
            </w:tcBorders>
            <w:shd w:val="clear" w:color="auto" w:fill="auto"/>
            <w:tcMar>
              <w:top w:w="23" w:type="dxa"/>
              <w:left w:w="0" w:type="dxa"/>
              <w:bottom w:w="23" w:type="dxa"/>
              <w:right w:w="0" w:type="dxa"/>
            </w:tcMar>
            <w:vAlign w:val="bottom"/>
          </w:tcPr>
          <w:p w14:paraId="04FB5EFE" w14:textId="77777777" w:rsidR="00A62E51" w:rsidRPr="00A62E51" w:rsidRDefault="00A62E51" w:rsidP="00C00DCF">
            <w:pPr>
              <w:ind w:right="113"/>
              <w:contextualSpacing/>
              <w:jc w:val="right"/>
              <w:rPr>
                <w:rFonts w:ascii="Tahoma" w:hAnsi="Tahoma"/>
                <w:color w:val="000000" w:themeColor="text1"/>
                <w:sz w:val="16"/>
                <w:lang w:val="en-GB"/>
              </w:rPr>
            </w:pPr>
            <w:r w:rsidRPr="00A62E51">
              <w:rPr>
                <w:rFonts w:ascii="Tahoma" w:hAnsi="Tahoma"/>
                <w:color w:val="000000" w:themeColor="text1"/>
                <w:sz w:val="16"/>
                <w:lang w:val="en-GB"/>
              </w:rPr>
              <w:t>12</w:t>
            </w:r>
          </w:p>
        </w:tc>
        <w:tc>
          <w:tcPr>
            <w:tcW w:w="1134" w:type="dxa"/>
            <w:tcBorders>
              <w:left w:val="single" w:sz="4" w:space="0" w:color="auto"/>
            </w:tcBorders>
            <w:shd w:val="clear" w:color="auto" w:fill="auto"/>
            <w:tcMar>
              <w:top w:w="23" w:type="dxa"/>
              <w:left w:w="0" w:type="dxa"/>
              <w:bottom w:w="23" w:type="dxa"/>
              <w:right w:w="0" w:type="dxa"/>
            </w:tcMar>
            <w:vAlign w:val="bottom"/>
          </w:tcPr>
          <w:p w14:paraId="3A77DB70" w14:textId="77777777" w:rsidR="00A62E51" w:rsidRPr="00A62E51" w:rsidRDefault="00A62E51" w:rsidP="00C00DCF">
            <w:pPr>
              <w:contextualSpacing/>
              <w:jc w:val="right"/>
              <w:rPr>
                <w:rFonts w:ascii="Tahoma" w:hAnsi="Tahoma"/>
                <w:b/>
                <w:bCs/>
                <w:color w:val="000000" w:themeColor="text1"/>
                <w:sz w:val="16"/>
                <w:lang w:val="en-GB"/>
              </w:rPr>
            </w:pPr>
            <w:r w:rsidRPr="00A62E51">
              <w:rPr>
                <w:rFonts w:ascii="Tahoma" w:hAnsi="Tahoma"/>
                <w:b/>
                <w:bCs/>
                <w:color w:val="000000" w:themeColor="text1"/>
                <w:sz w:val="16"/>
                <w:lang w:val="en-GB"/>
              </w:rPr>
              <w:t>—</w:t>
            </w:r>
          </w:p>
        </w:tc>
        <w:tc>
          <w:tcPr>
            <w:tcW w:w="1134" w:type="dxa"/>
            <w:shd w:val="clear" w:color="auto" w:fill="auto"/>
            <w:tcMar>
              <w:top w:w="23" w:type="dxa"/>
              <w:left w:w="0" w:type="dxa"/>
              <w:bottom w:w="23" w:type="dxa"/>
              <w:right w:w="0" w:type="dxa"/>
            </w:tcMar>
            <w:vAlign w:val="bottom"/>
          </w:tcPr>
          <w:p w14:paraId="232A3520" w14:textId="77777777" w:rsidR="00A62E51" w:rsidRPr="00A62E51" w:rsidRDefault="00A62E51" w:rsidP="00C00DCF">
            <w:pPr>
              <w:contextualSpacing/>
              <w:jc w:val="right"/>
              <w:rPr>
                <w:rFonts w:ascii="Tahoma" w:hAnsi="Tahoma"/>
                <w:color w:val="000000" w:themeColor="text1"/>
                <w:sz w:val="16"/>
                <w:lang w:val="en-GB"/>
              </w:rPr>
            </w:pPr>
            <w:r w:rsidRPr="00A62E51">
              <w:rPr>
                <w:rFonts w:ascii="Tahoma" w:hAnsi="Tahoma"/>
                <w:color w:val="000000" w:themeColor="text1"/>
                <w:sz w:val="16"/>
                <w:lang w:val="en-GB"/>
              </w:rPr>
              <w:t>27</w:t>
            </w:r>
          </w:p>
        </w:tc>
        <w:tc>
          <w:tcPr>
            <w:tcW w:w="1134" w:type="dxa"/>
            <w:tcBorders>
              <w:right w:val="single" w:sz="4" w:space="0" w:color="auto"/>
            </w:tcBorders>
            <w:shd w:val="clear" w:color="auto" w:fill="auto"/>
            <w:tcMar>
              <w:top w:w="23" w:type="dxa"/>
              <w:left w:w="0" w:type="dxa"/>
              <w:bottom w:w="23" w:type="dxa"/>
              <w:right w:w="0" w:type="dxa"/>
            </w:tcMar>
            <w:vAlign w:val="bottom"/>
          </w:tcPr>
          <w:p w14:paraId="2544D382" w14:textId="77777777" w:rsidR="00A62E51" w:rsidRPr="00A62E51" w:rsidRDefault="00A62E51" w:rsidP="00C00DCF">
            <w:pPr>
              <w:ind w:right="113"/>
              <w:contextualSpacing/>
              <w:jc w:val="right"/>
              <w:rPr>
                <w:rFonts w:ascii="Tahoma" w:hAnsi="Tahoma"/>
                <w:color w:val="000000" w:themeColor="text1"/>
                <w:sz w:val="16"/>
                <w:lang w:val="en-GB"/>
              </w:rPr>
            </w:pPr>
            <w:r w:rsidRPr="00A62E51">
              <w:rPr>
                <w:rFonts w:ascii="Tahoma" w:hAnsi="Tahoma"/>
                <w:color w:val="000000" w:themeColor="text1"/>
                <w:sz w:val="16"/>
                <w:lang w:val="en-GB"/>
              </w:rPr>
              <w:t>—</w:t>
            </w:r>
          </w:p>
        </w:tc>
      </w:tr>
      <w:tr w:rsidR="00615190" w:rsidRPr="00A62E51" w14:paraId="47BAC87E" w14:textId="77777777" w:rsidTr="00100D94">
        <w:trPr>
          <w:trHeight w:val="60"/>
        </w:trPr>
        <w:tc>
          <w:tcPr>
            <w:tcW w:w="5954" w:type="dxa"/>
            <w:shd w:val="clear" w:color="auto" w:fill="auto"/>
            <w:tcMar>
              <w:top w:w="23" w:type="dxa"/>
              <w:left w:w="113" w:type="dxa"/>
              <w:bottom w:w="23" w:type="dxa"/>
              <w:right w:w="0" w:type="dxa"/>
            </w:tcMar>
            <w:vAlign w:val="bottom"/>
          </w:tcPr>
          <w:p w14:paraId="4145B4F8" w14:textId="77777777" w:rsidR="00A62E51" w:rsidRPr="00A62E51" w:rsidRDefault="00A62E51" w:rsidP="00C00DCF">
            <w:pPr>
              <w:contextualSpacing/>
              <w:rPr>
                <w:rFonts w:ascii="Tahoma" w:hAnsi="Tahoma"/>
                <w:color w:val="000000" w:themeColor="text1"/>
                <w:sz w:val="16"/>
                <w:lang w:val="en-GB"/>
              </w:rPr>
            </w:pPr>
            <w:r w:rsidRPr="00A62E51">
              <w:rPr>
                <w:rFonts w:ascii="Tahoma" w:hAnsi="Tahoma"/>
                <w:color w:val="000000" w:themeColor="text1"/>
                <w:sz w:val="16"/>
                <w:lang w:val="en-GB"/>
              </w:rPr>
              <w:t>Short-term investments</w:t>
            </w:r>
          </w:p>
        </w:tc>
        <w:tc>
          <w:tcPr>
            <w:tcW w:w="850" w:type="dxa"/>
            <w:tcBorders>
              <w:right w:val="single" w:sz="4" w:space="0" w:color="auto"/>
            </w:tcBorders>
            <w:shd w:val="clear" w:color="auto" w:fill="auto"/>
            <w:tcMar>
              <w:top w:w="23" w:type="dxa"/>
              <w:left w:w="0" w:type="dxa"/>
              <w:bottom w:w="23" w:type="dxa"/>
              <w:right w:w="0" w:type="dxa"/>
            </w:tcMar>
            <w:vAlign w:val="bottom"/>
          </w:tcPr>
          <w:p w14:paraId="2A3C70A0" w14:textId="77777777" w:rsidR="00A62E51" w:rsidRPr="00A62E51" w:rsidRDefault="00A62E51" w:rsidP="00C00DCF">
            <w:pPr>
              <w:ind w:right="113"/>
              <w:contextualSpacing/>
              <w:jc w:val="right"/>
              <w:rPr>
                <w:rFonts w:ascii="Tahoma" w:hAnsi="Tahoma"/>
                <w:color w:val="000000" w:themeColor="text1"/>
                <w:sz w:val="16"/>
                <w:lang w:val="en-GB"/>
              </w:rPr>
            </w:pPr>
          </w:p>
        </w:tc>
        <w:tc>
          <w:tcPr>
            <w:tcW w:w="1134" w:type="dxa"/>
            <w:tcBorders>
              <w:left w:val="single" w:sz="4" w:space="0" w:color="auto"/>
            </w:tcBorders>
            <w:shd w:val="clear" w:color="auto" w:fill="auto"/>
            <w:tcMar>
              <w:top w:w="23" w:type="dxa"/>
              <w:left w:w="0" w:type="dxa"/>
              <w:bottom w:w="23" w:type="dxa"/>
              <w:right w:w="0" w:type="dxa"/>
            </w:tcMar>
            <w:vAlign w:val="bottom"/>
          </w:tcPr>
          <w:p w14:paraId="6BB97E7E" w14:textId="77777777" w:rsidR="00A62E51" w:rsidRPr="00A62E51" w:rsidRDefault="00A62E51" w:rsidP="00C00DCF">
            <w:pPr>
              <w:contextualSpacing/>
              <w:jc w:val="right"/>
              <w:rPr>
                <w:rFonts w:ascii="Tahoma" w:hAnsi="Tahoma"/>
                <w:b/>
                <w:bCs/>
                <w:color w:val="000000" w:themeColor="text1"/>
                <w:sz w:val="16"/>
                <w:lang w:val="en-GB"/>
              </w:rPr>
            </w:pPr>
            <w:r w:rsidRPr="00A62E51">
              <w:rPr>
                <w:rFonts w:ascii="Tahoma" w:hAnsi="Tahoma"/>
                <w:b/>
                <w:bCs/>
                <w:color w:val="000000" w:themeColor="text1"/>
                <w:sz w:val="16"/>
                <w:lang w:val="en-GB"/>
              </w:rPr>
              <w:t>7 391</w:t>
            </w:r>
          </w:p>
        </w:tc>
        <w:tc>
          <w:tcPr>
            <w:tcW w:w="1134" w:type="dxa"/>
            <w:shd w:val="clear" w:color="auto" w:fill="auto"/>
            <w:tcMar>
              <w:top w:w="23" w:type="dxa"/>
              <w:left w:w="0" w:type="dxa"/>
              <w:bottom w:w="23" w:type="dxa"/>
              <w:right w:w="0" w:type="dxa"/>
            </w:tcMar>
            <w:vAlign w:val="bottom"/>
          </w:tcPr>
          <w:p w14:paraId="463695D8" w14:textId="77777777" w:rsidR="00A62E51" w:rsidRPr="00A62E51" w:rsidRDefault="00A62E51" w:rsidP="00C00DCF">
            <w:pPr>
              <w:contextualSpacing/>
              <w:jc w:val="right"/>
              <w:rPr>
                <w:rFonts w:ascii="Tahoma" w:hAnsi="Tahoma"/>
                <w:color w:val="000000" w:themeColor="text1"/>
                <w:sz w:val="16"/>
                <w:lang w:val="en-GB"/>
              </w:rPr>
            </w:pPr>
            <w:r w:rsidRPr="00A62E51">
              <w:rPr>
                <w:rFonts w:ascii="Tahoma" w:hAnsi="Tahoma"/>
                <w:color w:val="000000" w:themeColor="text1"/>
                <w:sz w:val="16"/>
                <w:lang w:val="en-GB"/>
              </w:rPr>
              <w:t>7 464</w:t>
            </w:r>
          </w:p>
        </w:tc>
        <w:tc>
          <w:tcPr>
            <w:tcW w:w="1134" w:type="dxa"/>
            <w:tcBorders>
              <w:right w:val="single" w:sz="4" w:space="0" w:color="auto"/>
            </w:tcBorders>
            <w:shd w:val="clear" w:color="auto" w:fill="auto"/>
            <w:tcMar>
              <w:top w:w="23" w:type="dxa"/>
              <w:left w:w="0" w:type="dxa"/>
              <w:bottom w:w="23" w:type="dxa"/>
              <w:right w:w="0" w:type="dxa"/>
            </w:tcMar>
            <w:vAlign w:val="bottom"/>
          </w:tcPr>
          <w:p w14:paraId="371F52DD" w14:textId="77777777" w:rsidR="00A62E51" w:rsidRPr="00A62E51" w:rsidRDefault="00A62E51" w:rsidP="00C00DCF">
            <w:pPr>
              <w:ind w:right="113"/>
              <w:contextualSpacing/>
              <w:jc w:val="right"/>
              <w:rPr>
                <w:rFonts w:ascii="Tahoma" w:hAnsi="Tahoma"/>
                <w:color w:val="000000" w:themeColor="text1"/>
                <w:sz w:val="16"/>
                <w:lang w:val="en-GB"/>
              </w:rPr>
            </w:pPr>
            <w:r w:rsidRPr="00A62E51">
              <w:rPr>
                <w:rFonts w:ascii="Tahoma" w:hAnsi="Tahoma"/>
                <w:color w:val="000000" w:themeColor="text1"/>
                <w:sz w:val="16"/>
                <w:lang w:val="en-GB"/>
              </w:rPr>
              <w:t>3 924</w:t>
            </w:r>
          </w:p>
        </w:tc>
      </w:tr>
      <w:tr w:rsidR="00615190" w:rsidRPr="00A62E51" w14:paraId="234DCA80" w14:textId="77777777" w:rsidTr="00100D94">
        <w:trPr>
          <w:trHeight w:val="60"/>
        </w:trPr>
        <w:tc>
          <w:tcPr>
            <w:tcW w:w="5954" w:type="dxa"/>
            <w:shd w:val="clear" w:color="auto" w:fill="auto"/>
            <w:tcMar>
              <w:top w:w="23" w:type="dxa"/>
              <w:left w:w="113" w:type="dxa"/>
              <w:bottom w:w="51" w:type="dxa"/>
              <w:right w:w="0" w:type="dxa"/>
            </w:tcMar>
            <w:vAlign w:val="bottom"/>
          </w:tcPr>
          <w:p w14:paraId="63AA6C4D" w14:textId="77777777" w:rsidR="00A62E51" w:rsidRPr="00A62E51" w:rsidRDefault="00A62E51" w:rsidP="00C00DCF">
            <w:pPr>
              <w:contextualSpacing/>
              <w:rPr>
                <w:rFonts w:ascii="Tahoma" w:hAnsi="Tahoma"/>
                <w:color w:val="000000" w:themeColor="text1"/>
                <w:sz w:val="16"/>
                <w:lang w:val="en-GB"/>
              </w:rPr>
            </w:pPr>
            <w:r w:rsidRPr="00A62E51">
              <w:rPr>
                <w:rFonts w:ascii="Tahoma" w:hAnsi="Tahoma"/>
                <w:color w:val="000000" w:themeColor="text1"/>
                <w:sz w:val="16"/>
                <w:lang w:val="en-GB"/>
              </w:rPr>
              <w:t>Cash and cash equivalents</w:t>
            </w:r>
          </w:p>
        </w:tc>
        <w:tc>
          <w:tcPr>
            <w:tcW w:w="850" w:type="dxa"/>
            <w:tcBorders>
              <w:right w:val="single" w:sz="4" w:space="0" w:color="auto"/>
            </w:tcBorders>
            <w:shd w:val="clear" w:color="auto" w:fill="auto"/>
            <w:tcMar>
              <w:top w:w="23" w:type="dxa"/>
              <w:left w:w="0" w:type="dxa"/>
              <w:bottom w:w="51" w:type="dxa"/>
              <w:right w:w="0" w:type="dxa"/>
            </w:tcMar>
            <w:vAlign w:val="bottom"/>
          </w:tcPr>
          <w:p w14:paraId="1C09C0B5" w14:textId="77777777" w:rsidR="00A62E51" w:rsidRPr="00A62E51" w:rsidRDefault="00A62E51" w:rsidP="00C00DCF">
            <w:pPr>
              <w:ind w:right="113"/>
              <w:contextualSpacing/>
              <w:jc w:val="right"/>
              <w:rPr>
                <w:rFonts w:ascii="Tahoma" w:hAnsi="Tahoma"/>
                <w:color w:val="000000" w:themeColor="text1"/>
                <w:sz w:val="16"/>
                <w:lang w:val="en-GB"/>
              </w:rPr>
            </w:pPr>
          </w:p>
        </w:tc>
        <w:tc>
          <w:tcPr>
            <w:tcW w:w="1134" w:type="dxa"/>
            <w:tcBorders>
              <w:left w:val="single" w:sz="4" w:space="0" w:color="auto"/>
              <w:bottom w:val="single" w:sz="4" w:space="0" w:color="auto"/>
            </w:tcBorders>
            <w:shd w:val="clear" w:color="auto" w:fill="auto"/>
            <w:tcMar>
              <w:top w:w="23" w:type="dxa"/>
              <w:left w:w="0" w:type="dxa"/>
              <w:bottom w:w="51" w:type="dxa"/>
              <w:right w:w="0" w:type="dxa"/>
            </w:tcMar>
            <w:vAlign w:val="bottom"/>
          </w:tcPr>
          <w:p w14:paraId="3D32A776" w14:textId="77777777" w:rsidR="00A62E51" w:rsidRPr="00A62E51" w:rsidRDefault="00A62E51" w:rsidP="00C00DCF">
            <w:pPr>
              <w:contextualSpacing/>
              <w:jc w:val="right"/>
              <w:rPr>
                <w:rFonts w:ascii="Tahoma" w:hAnsi="Tahoma"/>
                <w:b/>
                <w:bCs/>
                <w:color w:val="000000" w:themeColor="text1"/>
                <w:sz w:val="16"/>
                <w:lang w:val="en-GB"/>
              </w:rPr>
            </w:pPr>
            <w:r w:rsidRPr="00A62E51">
              <w:rPr>
                <w:rFonts w:ascii="Tahoma" w:hAnsi="Tahoma"/>
                <w:b/>
                <w:bCs/>
                <w:color w:val="000000" w:themeColor="text1"/>
                <w:sz w:val="16"/>
                <w:lang w:val="en-GB"/>
              </w:rPr>
              <w:t>8 483</w:t>
            </w:r>
          </w:p>
        </w:tc>
        <w:tc>
          <w:tcPr>
            <w:tcW w:w="1134" w:type="dxa"/>
            <w:tcBorders>
              <w:bottom w:val="single" w:sz="4" w:space="0" w:color="auto"/>
            </w:tcBorders>
            <w:shd w:val="clear" w:color="auto" w:fill="auto"/>
            <w:tcMar>
              <w:top w:w="23" w:type="dxa"/>
              <w:left w:w="0" w:type="dxa"/>
              <w:bottom w:w="51" w:type="dxa"/>
              <w:right w:w="0" w:type="dxa"/>
            </w:tcMar>
            <w:vAlign w:val="bottom"/>
          </w:tcPr>
          <w:p w14:paraId="5B4F2D30" w14:textId="77777777" w:rsidR="00A62E51" w:rsidRPr="00A62E51" w:rsidRDefault="00A62E51" w:rsidP="00C00DCF">
            <w:pPr>
              <w:contextualSpacing/>
              <w:jc w:val="right"/>
              <w:rPr>
                <w:rFonts w:ascii="Tahoma" w:hAnsi="Tahoma"/>
                <w:color w:val="000000" w:themeColor="text1"/>
                <w:sz w:val="16"/>
                <w:lang w:val="en-GB"/>
              </w:rPr>
            </w:pPr>
            <w:r w:rsidRPr="00A62E51">
              <w:rPr>
                <w:rFonts w:ascii="Tahoma" w:hAnsi="Tahoma"/>
                <w:color w:val="000000" w:themeColor="text1"/>
                <w:sz w:val="16"/>
                <w:lang w:val="en-GB"/>
              </w:rPr>
              <w:t>6 189</w:t>
            </w:r>
          </w:p>
        </w:tc>
        <w:tc>
          <w:tcPr>
            <w:tcW w:w="1134" w:type="dxa"/>
            <w:tcBorders>
              <w:bottom w:val="single" w:sz="4" w:space="0" w:color="auto"/>
              <w:right w:val="single" w:sz="4" w:space="0" w:color="auto"/>
            </w:tcBorders>
            <w:shd w:val="clear" w:color="auto" w:fill="auto"/>
            <w:tcMar>
              <w:top w:w="23" w:type="dxa"/>
              <w:left w:w="0" w:type="dxa"/>
              <w:bottom w:w="51" w:type="dxa"/>
              <w:right w:w="0" w:type="dxa"/>
            </w:tcMar>
            <w:vAlign w:val="bottom"/>
          </w:tcPr>
          <w:p w14:paraId="078563AE" w14:textId="77777777" w:rsidR="00A62E51" w:rsidRPr="00A62E51" w:rsidRDefault="00A62E51" w:rsidP="00C00DCF">
            <w:pPr>
              <w:ind w:right="113"/>
              <w:contextualSpacing/>
              <w:jc w:val="right"/>
              <w:rPr>
                <w:rFonts w:ascii="Tahoma" w:hAnsi="Tahoma"/>
                <w:color w:val="000000" w:themeColor="text1"/>
                <w:sz w:val="16"/>
                <w:lang w:val="en-GB"/>
              </w:rPr>
            </w:pPr>
            <w:r w:rsidRPr="00A62E51">
              <w:rPr>
                <w:rFonts w:ascii="Tahoma" w:hAnsi="Tahoma"/>
                <w:color w:val="000000" w:themeColor="text1"/>
                <w:sz w:val="16"/>
                <w:lang w:val="en-GB"/>
              </w:rPr>
              <w:t>9 646</w:t>
            </w:r>
          </w:p>
        </w:tc>
      </w:tr>
      <w:tr w:rsidR="00615190" w:rsidRPr="00A62E51" w14:paraId="4BD5E8D8" w14:textId="77777777" w:rsidTr="00100D94">
        <w:trPr>
          <w:trHeight w:val="60"/>
        </w:trPr>
        <w:tc>
          <w:tcPr>
            <w:tcW w:w="5954" w:type="dxa"/>
            <w:shd w:val="clear" w:color="auto" w:fill="auto"/>
            <w:tcMar>
              <w:top w:w="51" w:type="dxa"/>
              <w:left w:w="113" w:type="dxa"/>
              <w:bottom w:w="23" w:type="dxa"/>
              <w:right w:w="0" w:type="dxa"/>
            </w:tcMar>
            <w:vAlign w:val="bottom"/>
          </w:tcPr>
          <w:p w14:paraId="7A5E647E" w14:textId="77777777" w:rsidR="00A62E51" w:rsidRPr="00A62E51" w:rsidRDefault="00A62E51" w:rsidP="00C00DCF">
            <w:pPr>
              <w:contextualSpacing/>
              <w:rPr>
                <w:rFonts w:ascii="Tahoma" w:hAnsi="Tahoma"/>
                <w:color w:val="000000" w:themeColor="text1"/>
                <w:sz w:val="16"/>
                <w:lang w:val="en-GB"/>
              </w:rPr>
            </w:pPr>
          </w:p>
        </w:tc>
        <w:tc>
          <w:tcPr>
            <w:tcW w:w="850" w:type="dxa"/>
            <w:tcBorders>
              <w:right w:val="single" w:sz="4" w:space="0" w:color="auto"/>
            </w:tcBorders>
            <w:shd w:val="clear" w:color="auto" w:fill="auto"/>
            <w:tcMar>
              <w:top w:w="51" w:type="dxa"/>
              <w:left w:w="0" w:type="dxa"/>
              <w:bottom w:w="23" w:type="dxa"/>
              <w:right w:w="0" w:type="dxa"/>
            </w:tcMar>
            <w:vAlign w:val="bottom"/>
          </w:tcPr>
          <w:p w14:paraId="1242275E" w14:textId="77777777" w:rsidR="00A62E51" w:rsidRPr="00A62E51" w:rsidRDefault="00A62E51" w:rsidP="00C00DCF">
            <w:pPr>
              <w:ind w:right="113"/>
              <w:contextualSpacing/>
              <w:jc w:val="right"/>
              <w:rPr>
                <w:rFonts w:ascii="Tahoma" w:hAnsi="Tahoma"/>
                <w:color w:val="000000" w:themeColor="text1"/>
                <w:sz w:val="16"/>
                <w:lang w:val="en-GB"/>
              </w:rPr>
            </w:pPr>
          </w:p>
        </w:tc>
        <w:tc>
          <w:tcPr>
            <w:tcW w:w="1134" w:type="dxa"/>
            <w:tcBorders>
              <w:top w:val="single" w:sz="4" w:space="0" w:color="auto"/>
              <w:left w:val="single" w:sz="4" w:space="0" w:color="auto"/>
            </w:tcBorders>
            <w:shd w:val="clear" w:color="auto" w:fill="auto"/>
            <w:tcMar>
              <w:top w:w="51" w:type="dxa"/>
              <w:left w:w="0" w:type="dxa"/>
              <w:bottom w:w="23" w:type="dxa"/>
              <w:right w:w="0" w:type="dxa"/>
            </w:tcMar>
            <w:vAlign w:val="bottom"/>
          </w:tcPr>
          <w:p w14:paraId="0EED02B7" w14:textId="77777777" w:rsidR="00A62E51" w:rsidRPr="00A62E51" w:rsidRDefault="00A62E51" w:rsidP="00C00DCF">
            <w:pPr>
              <w:contextualSpacing/>
              <w:jc w:val="right"/>
              <w:rPr>
                <w:rFonts w:ascii="Tahoma" w:hAnsi="Tahoma"/>
                <w:b/>
                <w:bCs/>
                <w:color w:val="000000" w:themeColor="text1"/>
                <w:sz w:val="16"/>
                <w:lang w:val="en-GB"/>
              </w:rPr>
            </w:pPr>
            <w:r w:rsidRPr="00A62E51">
              <w:rPr>
                <w:rFonts w:ascii="Tahoma" w:hAnsi="Tahoma"/>
                <w:b/>
                <w:bCs/>
                <w:color w:val="000000" w:themeColor="text1"/>
                <w:sz w:val="16"/>
                <w:lang w:val="en-GB"/>
              </w:rPr>
              <w:t>17 482</w:t>
            </w:r>
          </w:p>
        </w:tc>
        <w:tc>
          <w:tcPr>
            <w:tcW w:w="1134" w:type="dxa"/>
            <w:tcBorders>
              <w:top w:val="single" w:sz="4" w:space="0" w:color="auto"/>
            </w:tcBorders>
            <w:shd w:val="clear" w:color="auto" w:fill="auto"/>
            <w:tcMar>
              <w:top w:w="51" w:type="dxa"/>
              <w:left w:w="0" w:type="dxa"/>
              <w:bottom w:w="23" w:type="dxa"/>
              <w:right w:w="0" w:type="dxa"/>
            </w:tcMar>
            <w:vAlign w:val="bottom"/>
          </w:tcPr>
          <w:p w14:paraId="358DD77C" w14:textId="77777777" w:rsidR="00A62E51" w:rsidRPr="00A62E51" w:rsidRDefault="00A62E51" w:rsidP="00C00DCF">
            <w:pPr>
              <w:contextualSpacing/>
              <w:jc w:val="right"/>
              <w:rPr>
                <w:rFonts w:ascii="Tahoma" w:hAnsi="Tahoma"/>
                <w:color w:val="000000" w:themeColor="text1"/>
                <w:sz w:val="16"/>
                <w:lang w:val="en-GB"/>
              </w:rPr>
            </w:pPr>
            <w:r w:rsidRPr="00A62E51">
              <w:rPr>
                <w:rFonts w:ascii="Tahoma" w:hAnsi="Tahoma"/>
                <w:color w:val="000000" w:themeColor="text1"/>
                <w:sz w:val="16"/>
                <w:lang w:val="en-GB"/>
              </w:rPr>
              <w:t>14 957</w:t>
            </w:r>
          </w:p>
        </w:tc>
        <w:tc>
          <w:tcPr>
            <w:tcW w:w="1134" w:type="dxa"/>
            <w:tcBorders>
              <w:top w:val="single" w:sz="4" w:space="0" w:color="auto"/>
              <w:right w:val="single" w:sz="4" w:space="0" w:color="auto"/>
            </w:tcBorders>
            <w:shd w:val="clear" w:color="auto" w:fill="auto"/>
            <w:tcMar>
              <w:top w:w="51" w:type="dxa"/>
              <w:left w:w="0" w:type="dxa"/>
              <w:bottom w:w="23" w:type="dxa"/>
              <w:right w:w="0" w:type="dxa"/>
            </w:tcMar>
            <w:vAlign w:val="bottom"/>
          </w:tcPr>
          <w:p w14:paraId="1D9081F2" w14:textId="77777777" w:rsidR="00A62E51" w:rsidRPr="00A62E51" w:rsidRDefault="00A62E51" w:rsidP="00C00DCF">
            <w:pPr>
              <w:ind w:right="113"/>
              <w:contextualSpacing/>
              <w:jc w:val="right"/>
              <w:rPr>
                <w:rFonts w:ascii="Tahoma" w:hAnsi="Tahoma"/>
                <w:color w:val="000000" w:themeColor="text1"/>
                <w:sz w:val="16"/>
                <w:lang w:val="en-GB"/>
              </w:rPr>
            </w:pPr>
            <w:r w:rsidRPr="00A62E51">
              <w:rPr>
                <w:rFonts w:ascii="Tahoma" w:hAnsi="Tahoma"/>
                <w:color w:val="000000" w:themeColor="text1"/>
                <w:sz w:val="16"/>
                <w:lang w:val="en-GB"/>
              </w:rPr>
              <w:t>15 227</w:t>
            </w:r>
          </w:p>
        </w:tc>
      </w:tr>
      <w:tr w:rsidR="00615190" w:rsidRPr="00A62E51" w14:paraId="195AF02E" w14:textId="77777777" w:rsidTr="00100D94">
        <w:trPr>
          <w:trHeight w:val="60"/>
        </w:trPr>
        <w:tc>
          <w:tcPr>
            <w:tcW w:w="5954" w:type="dxa"/>
            <w:shd w:val="clear" w:color="auto" w:fill="auto"/>
            <w:tcMar>
              <w:top w:w="23" w:type="dxa"/>
              <w:left w:w="113" w:type="dxa"/>
              <w:bottom w:w="51" w:type="dxa"/>
              <w:right w:w="0" w:type="dxa"/>
            </w:tcMar>
            <w:vAlign w:val="bottom"/>
          </w:tcPr>
          <w:p w14:paraId="68528EB1" w14:textId="77777777" w:rsidR="00A62E51" w:rsidRPr="00A62E51" w:rsidRDefault="00A62E51" w:rsidP="00C00DCF">
            <w:pPr>
              <w:contextualSpacing/>
              <w:rPr>
                <w:rFonts w:ascii="Tahoma" w:hAnsi="Tahoma"/>
                <w:color w:val="000000" w:themeColor="text1"/>
                <w:sz w:val="16"/>
                <w:lang w:val="en-GB"/>
              </w:rPr>
            </w:pPr>
            <w:r w:rsidRPr="00A62E51">
              <w:rPr>
                <w:rFonts w:ascii="Tahoma" w:hAnsi="Tahoma"/>
                <w:color w:val="000000" w:themeColor="text1"/>
                <w:sz w:val="16"/>
                <w:lang w:val="en-GB"/>
              </w:rPr>
              <w:t>Assets classified as held for sale</w:t>
            </w:r>
          </w:p>
        </w:tc>
        <w:tc>
          <w:tcPr>
            <w:tcW w:w="850" w:type="dxa"/>
            <w:tcBorders>
              <w:right w:val="single" w:sz="4" w:space="0" w:color="auto"/>
            </w:tcBorders>
            <w:shd w:val="clear" w:color="auto" w:fill="auto"/>
            <w:tcMar>
              <w:top w:w="23" w:type="dxa"/>
              <w:left w:w="0" w:type="dxa"/>
              <w:bottom w:w="51" w:type="dxa"/>
              <w:right w:w="0" w:type="dxa"/>
            </w:tcMar>
            <w:vAlign w:val="bottom"/>
          </w:tcPr>
          <w:p w14:paraId="42390F8A" w14:textId="77777777" w:rsidR="00A62E51" w:rsidRPr="00A62E51" w:rsidRDefault="00A62E51" w:rsidP="00C00DCF">
            <w:pPr>
              <w:ind w:right="113"/>
              <w:contextualSpacing/>
              <w:jc w:val="right"/>
              <w:rPr>
                <w:rFonts w:ascii="Tahoma" w:hAnsi="Tahoma"/>
                <w:color w:val="000000" w:themeColor="text1"/>
                <w:sz w:val="16"/>
                <w:lang w:val="en-GB"/>
              </w:rPr>
            </w:pPr>
            <w:r w:rsidRPr="00A62E51">
              <w:rPr>
                <w:rFonts w:ascii="Tahoma" w:hAnsi="Tahoma"/>
                <w:color w:val="000000" w:themeColor="text1"/>
                <w:sz w:val="16"/>
                <w:lang w:val="en-GB"/>
              </w:rPr>
              <w:t>14</w:t>
            </w:r>
          </w:p>
        </w:tc>
        <w:tc>
          <w:tcPr>
            <w:tcW w:w="1134" w:type="dxa"/>
            <w:tcBorders>
              <w:left w:val="single" w:sz="4" w:space="0" w:color="auto"/>
              <w:bottom w:val="single" w:sz="4" w:space="0" w:color="auto"/>
            </w:tcBorders>
            <w:shd w:val="clear" w:color="auto" w:fill="auto"/>
            <w:tcMar>
              <w:top w:w="23" w:type="dxa"/>
              <w:left w:w="0" w:type="dxa"/>
              <w:bottom w:w="51" w:type="dxa"/>
              <w:right w:w="0" w:type="dxa"/>
            </w:tcMar>
            <w:vAlign w:val="bottom"/>
          </w:tcPr>
          <w:p w14:paraId="221608E9" w14:textId="77777777" w:rsidR="00A62E51" w:rsidRPr="00A62E51" w:rsidRDefault="00A62E51" w:rsidP="00C00DCF">
            <w:pPr>
              <w:contextualSpacing/>
              <w:jc w:val="right"/>
              <w:rPr>
                <w:rFonts w:ascii="Tahoma" w:hAnsi="Tahoma"/>
                <w:b/>
                <w:bCs/>
                <w:color w:val="000000" w:themeColor="text1"/>
                <w:sz w:val="16"/>
                <w:lang w:val="en-GB"/>
              </w:rPr>
            </w:pPr>
            <w:r w:rsidRPr="00A62E51">
              <w:rPr>
                <w:rFonts w:ascii="Tahoma" w:hAnsi="Tahoma"/>
                <w:b/>
                <w:bCs/>
                <w:color w:val="000000" w:themeColor="text1"/>
                <w:sz w:val="16"/>
                <w:lang w:val="en-GB"/>
              </w:rPr>
              <w:t>2 643</w:t>
            </w:r>
          </w:p>
        </w:tc>
        <w:tc>
          <w:tcPr>
            <w:tcW w:w="1134" w:type="dxa"/>
            <w:tcBorders>
              <w:bottom w:val="single" w:sz="4" w:space="0" w:color="auto"/>
            </w:tcBorders>
            <w:shd w:val="clear" w:color="auto" w:fill="auto"/>
            <w:tcMar>
              <w:top w:w="23" w:type="dxa"/>
              <w:left w:w="0" w:type="dxa"/>
              <w:bottom w:w="51" w:type="dxa"/>
              <w:right w:w="0" w:type="dxa"/>
            </w:tcMar>
            <w:vAlign w:val="bottom"/>
          </w:tcPr>
          <w:p w14:paraId="42609C13" w14:textId="77777777" w:rsidR="00A62E51" w:rsidRPr="00A62E51" w:rsidRDefault="00A62E51" w:rsidP="00C00DCF">
            <w:pPr>
              <w:contextualSpacing/>
              <w:jc w:val="right"/>
              <w:rPr>
                <w:rFonts w:ascii="Tahoma" w:hAnsi="Tahoma"/>
                <w:color w:val="000000" w:themeColor="text1"/>
                <w:sz w:val="16"/>
                <w:lang w:val="en-GB"/>
              </w:rPr>
            </w:pPr>
            <w:r w:rsidRPr="00A62E51">
              <w:rPr>
                <w:rFonts w:ascii="Tahoma" w:hAnsi="Tahoma"/>
                <w:color w:val="000000" w:themeColor="text1"/>
                <w:sz w:val="16"/>
                <w:lang w:val="en-GB"/>
              </w:rPr>
              <w:t>—</w:t>
            </w:r>
          </w:p>
        </w:tc>
        <w:tc>
          <w:tcPr>
            <w:tcW w:w="1134" w:type="dxa"/>
            <w:tcBorders>
              <w:bottom w:val="single" w:sz="4" w:space="0" w:color="auto"/>
              <w:right w:val="single" w:sz="4" w:space="0" w:color="auto"/>
            </w:tcBorders>
            <w:shd w:val="clear" w:color="auto" w:fill="auto"/>
            <w:tcMar>
              <w:top w:w="23" w:type="dxa"/>
              <w:left w:w="0" w:type="dxa"/>
              <w:bottom w:w="51" w:type="dxa"/>
              <w:right w:w="0" w:type="dxa"/>
            </w:tcMar>
            <w:vAlign w:val="bottom"/>
          </w:tcPr>
          <w:p w14:paraId="0F505F0B" w14:textId="77777777" w:rsidR="00A62E51" w:rsidRPr="00A62E51" w:rsidRDefault="00A62E51" w:rsidP="00C00DCF">
            <w:pPr>
              <w:ind w:right="113"/>
              <w:contextualSpacing/>
              <w:jc w:val="right"/>
              <w:rPr>
                <w:rFonts w:ascii="Tahoma" w:hAnsi="Tahoma"/>
                <w:color w:val="000000" w:themeColor="text1"/>
                <w:sz w:val="16"/>
                <w:lang w:val="en-GB"/>
              </w:rPr>
            </w:pPr>
            <w:r w:rsidRPr="00A62E51">
              <w:rPr>
                <w:rFonts w:ascii="Tahoma" w:hAnsi="Tahoma"/>
                <w:color w:val="000000" w:themeColor="text1"/>
                <w:sz w:val="16"/>
                <w:lang w:val="en-GB"/>
              </w:rPr>
              <w:t>38</w:t>
            </w:r>
          </w:p>
        </w:tc>
      </w:tr>
      <w:tr w:rsidR="00615190" w:rsidRPr="00A62E51" w14:paraId="5049B293" w14:textId="77777777" w:rsidTr="00100D94">
        <w:trPr>
          <w:trHeight w:hRule="exact" w:val="60"/>
        </w:trPr>
        <w:tc>
          <w:tcPr>
            <w:tcW w:w="5954" w:type="dxa"/>
            <w:tcBorders>
              <w:bottom w:val="single" w:sz="4" w:space="0" w:color="auto"/>
            </w:tcBorders>
            <w:shd w:val="clear" w:color="auto" w:fill="auto"/>
            <w:tcMar>
              <w:top w:w="23" w:type="dxa"/>
              <w:left w:w="113" w:type="dxa"/>
              <w:bottom w:w="23" w:type="dxa"/>
              <w:right w:w="0" w:type="dxa"/>
            </w:tcMar>
            <w:vAlign w:val="bottom"/>
          </w:tcPr>
          <w:p w14:paraId="50BCDD9E" w14:textId="77777777" w:rsidR="00A62E51" w:rsidRPr="00A62E51" w:rsidRDefault="00A62E51" w:rsidP="00C00DCF">
            <w:pPr>
              <w:contextualSpacing/>
              <w:rPr>
                <w:rFonts w:ascii="Tahoma" w:hAnsi="Tahoma"/>
                <w:color w:val="000000" w:themeColor="text1"/>
                <w:sz w:val="16"/>
                <w:lang w:val="en-GB"/>
              </w:rPr>
            </w:pPr>
          </w:p>
        </w:tc>
        <w:tc>
          <w:tcPr>
            <w:tcW w:w="850" w:type="dxa"/>
            <w:tcBorders>
              <w:bottom w:val="single" w:sz="4" w:space="0" w:color="auto"/>
            </w:tcBorders>
            <w:shd w:val="clear" w:color="auto" w:fill="auto"/>
            <w:tcMar>
              <w:top w:w="23" w:type="dxa"/>
              <w:left w:w="0" w:type="dxa"/>
              <w:bottom w:w="23" w:type="dxa"/>
              <w:right w:w="0" w:type="dxa"/>
            </w:tcMar>
            <w:vAlign w:val="bottom"/>
          </w:tcPr>
          <w:p w14:paraId="788EC61E" w14:textId="77777777" w:rsidR="00A62E51" w:rsidRPr="00A62E51" w:rsidRDefault="00A62E51" w:rsidP="00C00DCF">
            <w:pPr>
              <w:ind w:right="113"/>
              <w:contextualSpacing/>
              <w:jc w:val="right"/>
              <w:rPr>
                <w:rFonts w:ascii="Tahoma" w:hAnsi="Tahoma"/>
                <w:color w:val="000000" w:themeColor="text1"/>
                <w:sz w:val="16"/>
                <w:lang w:val="en-GB"/>
              </w:rPr>
            </w:pPr>
          </w:p>
        </w:tc>
        <w:tc>
          <w:tcPr>
            <w:tcW w:w="1134" w:type="dxa"/>
            <w:tcBorders>
              <w:top w:val="single" w:sz="4" w:space="0" w:color="auto"/>
              <w:bottom w:val="single" w:sz="4" w:space="0" w:color="auto"/>
            </w:tcBorders>
            <w:shd w:val="clear" w:color="auto" w:fill="auto"/>
            <w:tcMar>
              <w:top w:w="23" w:type="dxa"/>
              <w:left w:w="0" w:type="dxa"/>
              <w:bottom w:w="23" w:type="dxa"/>
              <w:right w:w="0" w:type="dxa"/>
            </w:tcMar>
            <w:vAlign w:val="bottom"/>
          </w:tcPr>
          <w:p w14:paraId="1853774B" w14:textId="77777777" w:rsidR="00A62E51" w:rsidRPr="00A62E51" w:rsidRDefault="00A62E51" w:rsidP="00C00DCF">
            <w:pPr>
              <w:contextualSpacing/>
              <w:jc w:val="right"/>
              <w:rPr>
                <w:rFonts w:ascii="Tahoma" w:hAnsi="Tahoma"/>
                <w:b/>
                <w:bCs/>
                <w:color w:val="000000" w:themeColor="text1"/>
                <w:sz w:val="16"/>
                <w:lang w:val="en-GB"/>
              </w:rPr>
            </w:pPr>
          </w:p>
        </w:tc>
        <w:tc>
          <w:tcPr>
            <w:tcW w:w="1134" w:type="dxa"/>
            <w:tcBorders>
              <w:top w:val="single" w:sz="4" w:space="0" w:color="auto"/>
              <w:bottom w:val="single" w:sz="4" w:space="0" w:color="auto"/>
            </w:tcBorders>
            <w:shd w:val="clear" w:color="auto" w:fill="auto"/>
            <w:tcMar>
              <w:top w:w="23" w:type="dxa"/>
              <w:left w:w="0" w:type="dxa"/>
              <w:bottom w:w="23" w:type="dxa"/>
              <w:right w:w="0" w:type="dxa"/>
            </w:tcMar>
            <w:vAlign w:val="bottom"/>
          </w:tcPr>
          <w:p w14:paraId="55143E9A" w14:textId="77777777" w:rsidR="00A62E51" w:rsidRPr="00A62E51" w:rsidRDefault="00A62E51" w:rsidP="00C00DCF">
            <w:pPr>
              <w:contextualSpacing/>
              <w:jc w:val="right"/>
              <w:rPr>
                <w:rFonts w:ascii="Tahoma" w:hAnsi="Tahoma"/>
                <w:color w:val="000000" w:themeColor="text1"/>
                <w:sz w:val="16"/>
                <w:lang w:val="en-GB"/>
              </w:rPr>
            </w:pPr>
          </w:p>
        </w:tc>
        <w:tc>
          <w:tcPr>
            <w:tcW w:w="1134" w:type="dxa"/>
            <w:tcBorders>
              <w:top w:val="single" w:sz="4" w:space="0" w:color="auto"/>
              <w:bottom w:val="single" w:sz="4" w:space="0" w:color="auto"/>
            </w:tcBorders>
            <w:shd w:val="clear" w:color="auto" w:fill="auto"/>
            <w:tcMar>
              <w:top w:w="23" w:type="dxa"/>
              <w:left w:w="0" w:type="dxa"/>
              <w:bottom w:w="23" w:type="dxa"/>
              <w:right w:w="0" w:type="dxa"/>
            </w:tcMar>
            <w:vAlign w:val="bottom"/>
          </w:tcPr>
          <w:p w14:paraId="04B2894B" w14:textId="77777777" w:rsidR="00A62E51" w:rsidRPr="00A62E51" w:rsidRDefault="00A62E51" w:rsidP="00C00DCF">
            <w:pPr>
              <w:ind w:right="113"/>
              <w:contextualSpacing/>
              <w:jc w:val="right"/>
              <w:rPr>
                <w:rFonts w:ascii="Tahoma" w:hAnsi="Tahoma"/>
                <w:color w:val="000000" w:themeColor="text1"/>
                <w:sz w:val="16"/>
                <w:lang w:val="en-GB"/>
              </w:rPr>
            </w:pPr>
          </w:p>
        </w:tc>
      </w:tr>
      <w:tr w:rsidR="00615190" w:rsidRPr="00A62E51" w14:paraId="0A6190D4" w14:textId="77777777" w:rsidTr="00100D94">
        <w:trPr>
          <w:trHeight w:val="60"/>
        </w:trPr>
        <w:tc>
          <w:tcPr>
            <w:tcW w:w="5954" w:type="dxa"/>
            <w:tcBorders>
              <w:top w:val="single" w:sz="4" w:space="0" w:color="auto"/>
              <w:bottom w:val="single" w:sz="12" w:space="0" w:color="auto"/>
            </w:tcBorders>
            <w:shd w:val="clear" w:color="auto" w:fill="auto"/>
            <w:tcMar>
              <w:top w:w="51" w:type="dxa"/>
              <w:left w:w="0" w:type="dxa"/>
              <w:bottom w:w="51" w:type="dxa"/>
              <w:right w:w="0" w:type="dxa"/>
            </w:tcMar>
            <w:vAlign w:val="bottom"/>
          </w:tcPr>
          <w:p w14:paraId="36549150" w14:textId="77777777" w:rsidR="00A62E51" w:rsidRPr="00A62E51" w:rsidRDefault="00A62E51" w:rsidP="00C00DCF">
            <w:pPr>
              <w:contextualSpacing/>
              <w:rPr>
                <w:rFonts w:ascii="Tahoma" w:hAnsi="Tahoma"/>
                <w:b/>
                <w:bCs/>
                <w:color w:val="000000" w:themeColor="text1"/>
                <w:sz w:val="16"/>
                <w:lang w:val="en-GB"/>
              </w:rPr>
            </w:pPr>
            <w:r w:rsidRPr="00A62E51">
              <w:rPr>
                <w:rFonts w:ascii="Tahoma" w:hAnsi="Tahoma"/>
                <w:b/>
                <w:bCs/>
                <w:color w:val="000000" w:themeColor="text1"/>
                <w:sz w:val="16"/>
                <w:lang w:val="en-GB"/>
              </w:rPr>
              <w:t>Total assets</w:t>
            </w:r>
          </w:p>
        </w:tc>
        <w:tc>
          <w:tcPr>
            <w:tcW w:w="850" w:type="dxa"/>
            <w:tcBorders>
              <w:top w:val="single" w:sz="4" w:space="0" w:color="auto"/>
              <w:bottom w:val="single" w:sz="12" w:space="0" w:color="auto"/>
            </w:tcBorders>
            <w:shd w:val="clear" w:color="auto" w:fill="auto"/>
            <w:tcMar>
              <w:top w:w="51" w:type="dxa"/>
              <w:left w:w="0" w:type="dxa"/>
              <w:bottom w:w="51" w:type="dxa"/>
              <w:right w:w="0" w:type="dxa"/>
            </w:tcMar>
            <w:vAlign w:val="bottom"/>
          </w:tcPr>
          <w:p w14:paraId="655770B8" w14:textId="77777777" w:rsidR="00A62E51" w:rsidRPr="00A62E51" w:rsidRDefault="00A62E51" w:rsidP="00C00DCF">
            <w:pPr>
              <w:ind w:right="113"/>
              <w:contextualSpacing/>
              <w:jc w:val="right"/>
              <w:rPr>
                <w:rFonts w:ascii="Tahoma" w:hAnsi="Tahoma"/>
                <w:color w:val="000000" w:themeColor="text1"/>
                <w:sz w:val="16"/>
                <w:lang w:val="en-GB"/>
              </w:rPr>
            </w:pPr>
          </w:p>
        </w:tc>
        <w:tc>
          <w:tcPr>
            <w:tcW w:w="1134" w:type="dxa"/>
            <w:tcBorders>
              <w:top w:val="single" w:sz="4" w:space="0" w:color="auto"/>
              <w:bottom w:val="single" w:sz="12" w:space="0" w:color="auto"/>
            </w:tcBorders>
            <w:shd w:val="clear" w:color="auto" w:fill="auto"/>
            <w:tcMar>
              <w:top w:w="51" w:type="dxa"/>
              <w:left w:w="0" w:type="dxa"/>
              <w:bottom w:w="51" w:type="dxa"/>
              <w:right w:w="0" w:type="dxa"/>
            </w:tcMar>
            <w:vAlign w:val="bottom"/>
          </w:tcPr>
          <w:p w14:paraId="668C27B2" w14:textId="77777777" w:rsidR="00A62E51" w:rsidRPr="00A62E51" w:rsidRDefault="00A62E51" w:rsidP="00C00DCF">
            <w:pPr>
              <w:contextualSpacing/>
              <w:jc w:val="right"/>
              <w:rPr>
                <w:rFonts w:ascii="Tahoma" w:hAnsi="Tahoma"/>
                <w:b/>
                <w:bCs/>
                <w:color w:val="000000" w:themeColor="text1"/>
                <w:sz w:val="16"/>
                <w:lang w:val="en-GB"/>
              </w:rPr>
            </w:pPr>
            <w:r w:rsidRPr="00A62E51">
              <w:rPr>
                <w:rFonts w:ascii="Tahoma" w:hAnsi="Tahoma"/>
                <w:b/>
                <w:bCs/>
                <w:color w:val="000000" w:themeColor="text1"/>
                <w:sz w:val="16"/>
                <w:lang w:val="en-GB"/>
              </w:rPr>
              <w:t>62 164</w:t>
            </w:r>
          </w:p>
        </w:tc>
        <w:tc>
          <w:tcPr>
            <w:tcW w:w="1134" w:type="dxa"/>
            <w:tcBorders>
              <w:top w:val="single" w:sz="4" w:space="0" w:color="auto"/>
              <w:bottom w:val="single" w:sz="12" w:space="0" w:color="auto"/>
            </w:tcBorders>
            <w:shd w:val="clear" w:color="auto" w:fill="auto"/>
            <w:tcMar>
              <w:top w:w="51" w:type="dxa"/>
              <w:left w:w="0" w:type="dxa"/>
              <w:bottom w:w="51" w:type="dxa"/>
              <w:right w:w="0" w:type="dxa"/>
            </w:tcMar>
            <w:vAlign w:val="bottom"/>
          </w:tcPr>
          <w:p w14:paraId="29DBC43D" w14:textId="77777777" w:rsidR="00A62E51" w:rsidRPr="00A62E51" w:rsidRDefault="00A62E51" w:rsidP="00C00DCF">
            <w:pPr>
              <w:contextualSpacing/>
              <w:jc w:val="right"/>
              <w:rPr>
                <w:rFonts w:ascii="Tahoma" w:hAnsi="Tahoma"/>
                <w:color w:val="000000" w:themeColor="text1"/>
                <w:sz w:val="16"/>
                <w:lang w:val="en-GB"/>
              </w:rPr>
            </w:pPr>
            <w:r w:rsidRPr="00A62E51">
              <w:rPr>
                <w:rFonts w:ascii="Tahoma" w:hAnsi="Tahoma"/>
                <w:color w:val="000000" w:themeColor="text1"/>
                <w:sz w:val="16"/>
                <w:lang w:val="en-GB"/>
              </w:rPr>
              <w:t>70 836</w:t>
            </w:r>
          </w:p>
        </w:tc>
        <w:tc>
          <w:tcPr>
            <w:tcW w:w="1134" w:type="dxa"/>
            <w:tcBorders>
              <w:top w:val="single" w:sz="4" w:space="0" w:color="auto"/>
              <w:bottom w:val="single" w:sz="12" w:space="0" w:color="auto"/>
            </w:tcBorders>
            <w:shd w:val="clear" w:color="auto" w:fill="auto"/>
            <w:tcMar>
              <w:top w:w="51" w:type="dxa"/>
              <w:left w:w="0" w:type="dxa"/>
              <w:bottom w:w="51" w:type="dxa"/>
              <w:right w:w="0" w:type="dxa"/>
            </w:tcMar>
            <w:vAlign w:val="bottom"/>
          </w:tcPr>
          <w:p w14:paraId="6F041333" w14:textId="77777777" w:rsidR="00A62E51" w:rsidRPr="00A62E51" w:rsidRDefault="00A62E51" w:rsidP="00C00DCF">
            <w:pPr>
              <w:ind w:right="113"/>
              <w:contextualSpacing/>
              <w:jc w:val="right"/>
              <w:rPr>
                <w:rFonts w:ascii="Tahoma" w:hAnsi="Tahoma"/>
                <w:color w:val="000000" w:themeColor="text1"/>
                <w:sz w:val="16"/>
                <w:lang w:val="en-GB"/>
              </w:rPr>
            </w:pPr>
            <w:r w:rsidRPr="00A62E51">
              <w:rPr>
                <w:rFonts w:ascii="Tahoma" w:hAnsi="Tahoma"/>
                <w:color w:val="000000" w:themeColor="text1"/>
                <w:sz w:val="16"/>
                <w:lang w:val="en-GB"/>
              </w:rPr>
              <w:t>71 338</w:t>
            </w:r>
          </w:p>
        </w:tc>
      </w:tr>
      <w:tr w:rsidR="00615190" w:rsidRPr="00A62E51" w14:paraId="06F1EAFF" w14:textId="77777777" w:rsidTr="00100D94">
        <w:trPr>
          <w:trHeight w:val="60"/>
        </w:trPr>
        <w:tc>
          <w:tcPr>
            <w:tcW w:w="5954" w:type="dxa"/>
            <w:tcBorders>
              <w:top w:val="single" w:sz="12" w:space="0" w:color="auto"/>
            </w:tcBorders>
            <w:shd w:val="clear" w:color="auto" w:fill="auto"/>
            <w:tcMar>
              <w:top w:w="68" w:type="dxa"/>
              <w:left w:w="0" w:type="dxa"/>
              <w:bottom w:w="34" w:type="dxa"/>
              <w:right w:w="0" w:type="dxa"/>
            </w:tcMar>
            <w:vAlign w:val="bottom"/>
          </w:tcPr>
          <w:p w14:paraId="5BFDCDE3" w14:textId="77777777" w:rsidR="00A62E51" w:rsidRPr="00A62E51" w:rsidRDefault="00B663B8" w:rsidP="00C00DCF">
            <w:pPr>
              <w:contextualSpacing/>
              <w:rPr>
                <w:rFonts w:ascii="Tahoma" w:hAnsi="Tahoma"/>
                <w:b/>
                <w:bCs/>
                <w:color w:val="000000" w:themeColor="text1"/>
                <w:sz w:val="16"/>
                <w:lang w:val="en-GB"/>
              </w:rPr>
            </w:pPr>
            <w:r w:rsidRPr="00A62E51">
              <w:rPr>
                <w:rFonts w:ascii="Tahoma" w:hAnsi="Tahoma"/>
                <w:b/>
                <w:bCs/>
                <w:color w:val="000000" w:themeColor="text1"/>
                <w:sz w:val="16"/>
                <w:lang w:val="en-GB"/>
              </w:rPr>
              <w:t>EQUITY AND LIABILITIES</w:t>
            </w:r>
          </w:p>
        </w:tc>
        <w:tc>
          <w:tcPr>
            <w:tcW w:w="850" w:type="dxa"/>
            <w:tcBorders>
              <w:top w:val="single" w:sz="12" w:space="0" w:color="auto"/>
            </w:tcBorders>
            <w:shd w:val="clear" w:color="auto" w:fill="auto"/>
            <w:tcMar>
              <w:top w:w="68" w:type="dxa"/>
              <w:left w:w="0" w:type="dxa"/>
              <w:bottom w:w="34" w:type="dxa"/>
              <w:right w:w="0" w:type="dxa"/>
            </w:tcMar>
            <w:vAlign w:val="bottom"/>
          </w:tcPr>
          <w:p w14:paraId="32D05223" w14:textId="77777777" w:rsidR="00A62E51" w:rsidRPr="00A62E51" w:rsidRDefault="00A62E51" w:rsidP="00C00DCF">
            <w:pPr>
              <w:ind w:right="113"/>
              <w:contextualSpacing/>
              <w:jc w:val="right"/>
              <w:rPr>
                <w:rFonts w:ascii="Tahoma" w:hAnsi="Tahoma"/>
                <w:color w:val="000000" w:themeColor="text1"/>
                <w:sz w:val="16"/>
                <w:lang w:val="en-GB"/>
              </w:rPr>
            </w:pPr>
          </w:p>
        </w:tc>
        <w:tc>
          <w:tcPr>
            <w:tcW w:w="1134" w:type="dxa"/>
            <w:tcBorders>
              <w:top w:val="single" w:sz="12" w:space="0" w:color="auto"/>
            </w:tcBorders>
            <w:shd w:val="clear" w:color="auto" w:fill="auto"/>
            <w:tcMar>
              <w:top w:w="68" w:type="dxa"/>
              <w:left w:w="0" w:type="dxa"/>
              <w:bottom w:w="34" w:type="dxa"/>
              <w:right w:w="0" w:type="dxa"/>
            </w:tcMar>
            <w:vAlign w:val="bottom"/>
          </w:tcPr>
          <w:p w14:paraId="7CEBC5EE" w14:textId="77777777" w:rsidR="00A62E51" w:rsidRPr="00A62E51" w:rsidRDefault="00A62E51" w:rsidP="00C00DCF">
            <w:pPr>
              <w:contextualSpacing/>
              <w:jc w:val="right"/>
              <w:rPr>
                <w:rFonts w:ascii="Tahoma" w:hAnsi="Tahoma"/>
                <w:b/>
                <w:bCs/>
                <w:color w:val="000000" w:themeColor="text1"/>
                <w:sz w:val="16"/>
                <w:lang w:val="en-GB"/>
              </w:rPr>
            </w:pPr>
          </w:p>
        </w:tc>
        <w:tc>
          <w:tcPr>
            <w:tcW w:w="1134" w:type="dxa"/>
            <w:tcBorders>
              <w:top w:val="single" w:sz="12" w:space="0" w:color="auto"/>
            </w:tcBorders>
            <w:shd w:val="clear" w:color="auto" w:fill="auto"/>
            <w:tcMar>
              <w:top w:w="68" w:type="dxa"/>
              <w:left w:w="0" w:type="dxa"/>
              <w:bottom w:w="34" w:type="dxa"/>
              <w:right w:w="0" w:type="dxa"/>
            </w:tcMar>
            <w:vAlign w:val="bottom"/>
          </w:tcPr>
          <w:p w14:paraId="7C1524A8" w14:textId="77777777" w:rsidR="00A62E51" w:rsidRPr="00A62E51" w:rsidRDefault="00A62E51" w:rsidP="00C00DCF">
            <w:pPr>
              <w:contextualSpacing/>
              <w:jc w:val="right"/>
              <w:rPr>
                <w:rFonts w:ascii="Tahoma" w:hAnsi="Tahoma"/>
                <w:color w:val="000000" w:themeColor="text1"/>
                <w:sz w:val="16"/>
                <w:lang w:val="en-GB"/>
              </w:rPr>
            </w:pPr>
          </w:p>
        </w:tc>
        <w:tc>
          <w:tcPr>
            <w:tcW w:w="1134" w:type="dxa"/>
            <w:tcBorders>
              <w:top w:val="single" w:sz="12" w:space="0" w:color="auto"/>
            </w:tcBorders>
            <w:shd w:val="clear" w:color="auto" w:fill="auto"/>
            <w:tcMar>
              <w:top w:w="68" w:type="dxa"/>
              <w:left w:w="0" w:type="dxa"/>
              <w:bottom w:w="34" w:type="dxa"/>
              <w:right w:w="0" w:type="dxa"/>
            </w:tcMar>
            <w:vAlign w:val="bottom"/>
          </w:tcPr>
          <w:p w14:paraId="522C4222" w14:textId="77777777" w:rsidR="00A62E51" w:rsidRPr="00A62E51" w:rsidRDefault="00A62E51" w:rsidP="00C00DCF">
            <w:pPr>
              <w:ind w:right="113"/>
              <w:contextualSpacing/>
              <w:jc w:val="right"/>
              <w:rPr>
                <w:rFonts w:ascii="Tahoma" w:hAnsi="Tahoma"/>
                <w:color w:val="000000" w:themeColor="text1"/>
                <w:sz w:val="16"/>
                <w:lang w:val="en-GB"/>
              </w:rPr>
            </w:pPr>
          </w:p>
        </w:tc>
      </w:tr>
      <w:tr w:rsidR="00615190" w:rsidRPr="00A62E51" w14:paraId="7983E6B5" w14:textId="77777777" w:rsidTr="0039188C">
        <w:trPr>
          <w:trHeight w:val="60"/>
        </w:trPr>
        <w:tc>
          <w:tcPr>
            <w:tcW w:w="5954" w:type="dxa"/>
            <w:shd w:val="clear" w:color="auto" w:fill="auto"/>
            <w:tcMar>
              <w:top w:w="23" w:type="dxa"/>
              <w:left w:w="0" w:type="dxa"/>
              <w:bottom w:w="23" w:type="dxa"/>
              <w:right w:w="0" w:type="dxa"/>
            </w:tcMar>
            <w:vAlign w:val="bottom"/>
          </w:tcPr>
          <w:p w14:paraId="09D0E78C" w14:textId="77777777" w:rsidR="00A62E51" w:rsidRPr="00A62E51" w:rsidRDefault="00A62E51" w:rsidP="00C00DCF">
            <w:pPr>
              <w:contextualSpacing/>
              <w:rPr>
                <w:rFonts w:ascii="Tahoma" w:hAnsi="Tahoma"/>
                <w:b/>
                <w:bCs/>
                <w:color w:val="000000" w:themeColor="text1"/>
                <w:sz w:val="16"/>
                <w:lang w:val="en-GB"/>
              </w:rPr>
            </w:pPr>
            <w:r w:rsidRPr="00A62E51">
              <w:rPr>
                <w:rFonts w:ascii="Tahoma" w:hAnsi="Tahoma"/>
                <w:b/>
                <w:bCs/>
                <w:color w:val="000000" w:themeColor="text1"/>
                <w:sz w:val="16"/>
                <w:lang w:val="en-GB"/>
              </w:rPr>
              <w:t>Capital and reserves attributable to the group’s equity holders</w:t>
            </w:r>
          </w:p>
        </w:tc>
        <w:tc>
          <w:tcPr>
            <w:tcW w:w="850" w:type="dxa"/>
            <w:shd w:val="clear" w:color="auto" w:fill="auto"/>
            <w:tcMar>
              <w:top w:w="23" w:type="dxa"/>
              <w:left w:w="0" w:type="dxa"/>
              <w:bottom w:w="23" w:type="dxa"/>
              <w:right w:w="0" w:type="dxa"/>
            </w:tcMar>
            <w:vAlign w:val="bottom"/>
          </w:tcPr>
          <w:p w14:paraId="2E4F8E19" w14:textId="77777777" w:rsidR="00A62E51" w:rsidRPr="00A62E51" w:rsidRDefault="00A62E51" w:rsidP="00C00DCF">
            <w:pPr>
              <w:ind w:right="113"/>
              <w:contextualSpacing/>
              <w:jc w:val="right"/>
              <w:rPr>
                <w:rFonts w:ascii="Tahoma" w:hAnsi="Tahoma"/>
                <w:color w:val="000000" w:themeColor="text1"/>
                <w:sz w:val="16"/>
                <w:lang w:val="en-GB"/>
              </w:rPr>
            </w:pPr>
          </w:p>
        </w:tc>
        <w:tc>
          <w:tcPr>
            <w:tcW w:w="1134" w:type="dxa"/>
            <w:tcBorders>
              <w:bottom w:val="single" w:sz="4" w:space="0" w:color="auto"/>
            </w:tcBorders>
            <w:shd w:val="clear" w:color="auto" w:fill="auto"/>
            <w:tcMar>
              <w:top w:w="23" w:type="dxa"/>
              <w:left w:w="0" w:type="dxa"/>
              <w:bottom w:w="23" w:type="dxa"/>
              <w:right w:w="0" w:type="dxa"/>
            </w:tcMar>
            <w:vAlign w:val="bottom"/>
          </w:tcPr>
          <w:p w14:paraId="3D0B1D50" w14:textId="77777777" w:rsidR="00A62E51" w:rsidRPr="00A62E51" w:rsidRDefault="00A62E51" w:rsidP="00C00DCF">
            <w:pPr>
              <w:contextualSpacing/>
              <w:jc w:val="right"/>
              <w:rPr>
                <w:rFonts w:ascii="Tahoma" w:hAnsi="Tahoma"/>
                <w:b/>
                <w:bCs/>
                <w:color w:val="000000" w:themeColor="text1"/>
                <w:sz w:val="16"/>
                <w:lang w:val="en-GB"/>
              </w:rPr>
            </w:pPr>
            <w:r w:rsidRPr="00A62E51">
              <w:rPr>
                <w:rFonts w:ascii="Tahoma" w:hAnsi="Tahoma"/>
                <w:b/>
                <w:bCs/>
                <w:color w:val="000000" w:themeColor="text1"/>
                <w:sz w:val="16"/>
                <w:lang w:val="en-GB"/>
              </w:rPr>
              <w:t>40 927</w:t>
            </w:r>
          </w:p>
        </w:tc>
        <w:tc>
          <w:tcPr>
            <w:tcW w:w="1134" w:type="dxa"/>
            <w:tcBorders>
              <w:bottom w:val="single" w:sz="4" w:space="0" w:color="auto"/>
            </w:tcBorders>
            <w:shd w:val="clear" w:color="auto" w:fill="auto"/>
            <w:tcMar>
              <w:top w:w="23" w:type="dxa"/>
              <w:left w:w="0" w:type="dxa"/>
              <w:bottom w:w="23" w:type="dxa"/>
              <w:right w:w="0" w:type="dxa"/>
            </w:tcMar>
            <w:vAlign w:val="bottom"/>
          </w:tcPr>
          <w:p w14:paraId="6E7063CC" w14:textId="77777777" w:rsidR="00A62E51" w:rsidRPr="00A62E51" w:rsidRDefault="00A62E51" w:rsidP="00C00DCF">
            <w:pPr>
              <w:contextualSpacing/>
              <w:jc w:val="right"/>
              <w:rPr>
                <w:rFonts w:ascii="Tahoma" w:hAnsi="Tahoma"/>
                <w:color w:val="000000" w:themeColor="text1"/>
                <w:sz w:val="16"/>
                <w:lang w:val="en-GB"/>
              </w:rPr>
            </w:pPr>
            <w:r w:rsidRPr="00A62E51">
              <w:rPr>
                <w:rFonts w:ascii="Tahoma" w:hAnsi="Tahoma"/>
                <w:color w:val="000000" w:themeColor="text1"/>
                <w:sz w:val="16"/>
                <w:lang w:val="en-GB"/>
              </w:rPr>
              <w:t>54 648</w:t>
            </w:r>
          </w:p>
        </w:tc>
        <w:tc>
          <w:tcPr>
            <w:tcW w:w="1134" w:type="dxa"/>
            <w:tcBorders>
              <w:bottom w:val="single" w:sz="4" w:space="0" w:color="auto"/>
            </w:tcBorders>
            <w:shd w:val="clear" w:color="auto" w:fill="auto"/>
            <w:tcMar>
              <w:top w:w="23" w:type="dxa"/>
              <w:left w:w="0" w:type="dxa"/>
              <w:bottom w:w="23" w:type="dxa"/>
              <w:right w:w="0" w:type="dxa"/>
            </w:tcMar>
            <w:vAlign w:val="bottom"/>
          </w:tcPr>
          <w:p w14:paraId="68B16BDD" w14:textId="77777777" w:rsidR="00A62E51" w:rsidRPr="00A62E51" w:rsidRDefault="00A62E51" w:rsidP="00C00DCF">
            <w:pPr>
              <w:ind w:right="113"/>
              <w:contextualSpacing/>
              <w:jc w:val="right"/>
              <w:rPr>
                <w:rFonts w:ascii="Tahoma" w:hAnsi="Tahoma"/>
                <w:color w:val="000000" w:themeColor="text1"/>
                <w:sz w:val="16"/>
                <w:lang w:val="en-GB"/>
              </w:rPr>
            </w:pPr>
            <w:r w:rsidRPr="00A62E51">
              <w:rPr>
                <w:rFonts w:ascii="Tahoma" w:hAnsi="Tahoma"/>
                <w:color w:val="000000" w:themeColor="text1"/>
                <w:sz w:val="16"/>
                <w:lang w:val="en-GB"/>
              </w:rPr>
              <w:t>50 421</w:t>
            </w:r>
          </w:p>
        </w:tc>
      </w:tr>
      <w:tr w:rsidR="00615190" w:rsidRPr="00A62E51" w14:paraId="7A3AD93B" w14:textId="77777777" w:rsidTr="0039188C">
        <w:trPr>
          <w:trHeight w:val="60"/>
        </w:trPr>
        <w:tc>
          <w:tcPr>
            <w:tcW w:w="5954" w:type="dxa"/>
            <w:shd w:val="clear" w:color="auto" w:fill="auto"/>
            <w:tcMar>
              <w:top w:w="23" w:type="dxa"/>
              <w:left w:w="113" w:type="dxa"/>
              <w:bottom w:w="23" w:type="dxa"/>
              <w:right w:w="0" w:type="dxa"/>
            </w:tcMar>
            <w:vAlign w:val="bottom"/>
          </w:tcPr>
          <w:p w14:paraId="54369D65" w14:textId="77777777" w:rsidR="00A62E51" w:rsidRPr="00A62E51" w:rsidRDefault="00A62E51" w:rsidP="00C00DCF">
            <w:pPr>
              <w:contextualSpacing/>
              <w:rPr>
                <w:rFonts w:ascii="Tahoma" w:hAnsi="Tahoma"/>
                <w:color w:val="000000" w:themeColor="text1"/>
                <w:sz w:val="16"/>
                <w:lang w:val="en-GB"/>
              </w:rPr>
            </w:pPr>
            <w:r w:rsidRPr="00A62E51">
              <w:rPr>
                <w:rFonts w:ascii="Tahoma" w:hAnsi="Tahoma"/>
                <w:color w:val="000000" w:themeColor="text1"/>
                <w:sz w:val="16"/>
                <w:lang w:val="en-GB"/>
              </w:rPr>
              <w:t>Share capital and premium</w:t>
            </w:r>
          </w:p>
        </w:tc>
        <w:tc>
          <w:tcPr>
            <w:tcW w:w="850" w:type="dxa"/>
            <w:tcBorders>
              <w:right w:val="single" w:sz="4" w:space="0" w:color="auto"/>
            </w:tcBorders>
            <w:shd w:val="clear" w:color="auto" w:fill="auto"/>
            <w:tcMar>
              <w:top w:w="23" w:type="dxa"/>
              <w:left w:w="0" w:type="dxa"/>
              <w:bottom w:w="23" w:type="dxa"/>
              <w:right w:w="0" w:type="dxa"/>
            </w:tcMar>
            <w:vAlign w:val="bottom"/>
          </w:tcPr>
          <w:p w14:paraId="4E411E68" w14:textId="77777777" w:rsidR="00A62E51" w:rsidRPr="00A62E51" w:rsidRDefault="00A62E51" w:rsidP="00C00DCF">
            <w:pPr>
              <w:ind w:right="113"/>
              <w:contextualSpacing/>
              <w:jc w:val="right"/>
              <w:rPr>
                <w:rFonts w:ascii="Tahoma" w:hAnsi="Tahoma"/>
                <w:color w:val="000000" w:themeColor="text1"/>
                <w:sz w:val="16"/>
                <w:lang w:val="en-GB"/>
              </w:rPr>
            </w:pPr>
          </w:p>
        </w:tc>
        <w:tc>
          <w:tcPr>
            <w:tcW w:w="1134" w:type="dxa"/>
            <w:tcBorders>
              <w:top w:val="single" w:sz="4" w:space="0" w:color="auto"/>
              <w:left w:val="single" w:sz="4" w:space="0" w:color="auto"/>
            </w:tcBorders>
            <w:shd w:val="clear" w:color="auto" w:fill="auto"/>
            <w:tcMar>
              <w:top w:w="23" w:type="dxa"/>
              <w:left w:w="0" w:type="dxa"/>
              <w:bottom w:w="23" w:type="dxa"/>
              <w:right w:w="0" w:type="dxa"/>
            </w:tcMar>
            <w:vAlign w:val="bottom"/>
          </w:tcPr>
          <w:p w14:paraId="33385925" w14:textId="77777777" w:rsidR="00A62E51" w:rsidRPr="00A62E51" w:rsidRDefault="00A62E51" w:rsidP="00C00DCF">
            <w:pPr>
              <w:contextualSpacing/>
              <w:jc w:val="right"/>
              <w:rPr>
                <w:rFonts w:ascii="Tahoma" w:hAnsi="Tahoma"/>
                <w:b/>
                <w:bCs/>
                <w:color w:val="000000" w:themeColor="text1"/>
                <w:sz w:val="16"/>
                <w:lang w:val="en-GB"/>
              </w:rPr>
            </w:pPr>
            <w:r w:rsidRPr="00A62E51">
              <w:rPr>
                <w:rFonts w:ascii="Tahoma" w:hAnsi="Tahoma"/>
                <w:b/>
                <w:bCs/>
                <w:color w:val="000000" w:themeColor="text1"/>
                <w:sz w:val="16"/>
                <w:lang w:val="en-GB"/>
              </w:rPr>
              <w:t>39 170</w:t>
            </w:r>
          </w:p>
        </w:tc>
        <w:tc>
          <w:tcPr>
            <w:tcW w:w="1134" w:type="dxa"/>
            <w:tcBorders>
              <w:top w:val="single" w:sz="4" w:space="0" w:color="auto"/>
            </w:tcBorders>
            <w:shd w:val="clear" w:color="auto" w:fill="auto"/>
            <w:tcMar>
              <w:top w:w="23" w:type="dxa"/>
              <w:left w:w="0" w:type="dxa"/>
              <w:bottom w:w="23" w:type="dxa"/>
              <w:right w:w="0" w:type="dxa"/>
            </w:tcMar>
            <w:vAlign w:val="bottom"/>
          </w:tcPr>
          <w:p w14:paraId="13C0A05C" w14:textId="77777777" w:rsidR="00A62E51" w:rsidRPr="00A62E51" w:rsidRDefault="00A62E51" w:rsidP="00C00DCF">
            <w:pPr>
              <w:contextualSpacing/>
              <w:jc w:val="right"/>
              <w:rPr>
                <w:rFonts w:ascii="Tahoma" w:hAnsi="Tahoma"/>
                <w:color w:val="000000" w:themeColor="text1"/>
                <w:sz w:val="16"/>
                <w:lang w:val="en-GB"/>
              </w:rPr>
            </w:pPr>
            <w:r w:rsidRPr="00A62E51">
              <w:rPr>
                <w:rFonts w:ascii="Tahoma" w:hAnsi="Tahoma"/>
                <w:color w:val="000000" w:themeColor="text1"/>
                <w:sz w:val="16"/>
                <w:lang w:val="en-GB"/>
              </w:rPr>
              <w:t>39 192</w:t>
            </w:r>
          </w:p>
        </w:tc>
        <w:tc>
          <w:tcPr>
            <w:tcW w:w="1134" w:type="dxa"/>
            <w:tcBorders>
              <w:top w:val="single" w:sz="4" w:space="0" w:color="auto"/>
              <w:right w:val="single" w:sz="4" w:space="0" w:color="auto"/>
            </w:tcBorders>
            <w:shd w:val="clear" w:color="auto" w:fill="auto"/>
            <w:tcMar>
              <w:top w:w="23" w:type="dxa"/>
              <w:left w:w="0" w:type="dxa"/>
              <w:bottom w:w="23" w:type="dxa"/>
              <w:right w:w="0" w:type="dxa"/>
            </w:tcMar>
            <w:vAlign w:val="bottom"/>
          </w:tcPr>
          <w:p w14:paraId="5FD49A93" w14:textId="77777777" w:rsidR="00A62E51" w:rsidRPr="00A62E51" w:rsidRDefault="00A62E51" w:rsidP="00C00DCF">
            <w:pPr>
              <w:ind w:right="113"/>
              <w:contextualSpacing/>
              <w:jc w:val="right"/>
              <w:rPr>
                <w:rFonts w:ascii="Tahoma" w:hAnsi="Tahoma"/>
                <w:color w:val="000000" w:themeColor="text1"/>
                <w:sz w:val="16"/>
                <w:lang w:val="en-GB"/>
              </w:rPr>
            </w:pPr>
            <w:r w:rsidRPr="00A62E51">
              <w:rPr>
                <w:rFonts w:ascii="Tahoma" w:hAnsi="Tahoma"/>
                <w:color w:val="000000" w:themeColor="text1"/>
                <w:sz w:val="16"/>
                <w:lang w:val="en-GB"/>
              </w:rPr>
              <w:t>39 190</w:t>
            </w:r>
          </w:p>
        </w:tc>
      </w:tr>
      <w:tr w:rsidR="00615190" w:rsidRPr="00A62E51" w14:paraId="159A3CB2" w14:textId="77777777" w:rsidTr="0039188C">
        <w:trPr>
          <w:trHeight w:val="60"/>
        </w:trPr>
        <w:tc>
          <w:tcPr>
            <w:tcW w:w="5954" w:type="dxa"/>
            <w:shd w:val="clear" w:color="auto" w:fill="auto"/>
            <w:tcMar>
              <w:top w:w="23" w:type="dxa"/>
              <w:left w:w="113" w:type="dxa"/>
              <w:bottom w:w="23" w:type="dxa"/>
              <w:right w:w="0" w:type="dxa"/>
            </w:tcMar>
            <w:vAlign w:val="bottom"/>
          </w:tcPr>
          <w:p w14:paraId="3EACB8DA" w14:textId="77777777" w:rsidR="00A62E51" w:rsidRPr="00A62E51" w:rsidRDefault="00A62E51" w:rsidP="00C00DCF">
            <w:pPr>
              <w:contextualSpacing/>
              <w:rPr>
                <w:rFonts w:ascii="Tahoma" w:hAnsi="Tahoma"/>
                <w:color w:val="000000" w:themeColor="text1"/>
                <w:sz w:val="16"/>
                <w:lang w:val="en-GB"/>
              </w:rPr>
            </w:pPr>
            <w:r w:rsidRPr="00A62E51">
              <w:rPr>
                <w:rFonts w:ascii="Tahoma" w:hAnsi="Tahoma"/>
                <w:color w:val="000000" w:themeColor="text1"/>
                <w:sz w:val="16"/>
                <w:lang w:val="en-GB"/>
              </w:rPr>
              <w:t>Treasury shares</w:t>
            </w:r>
          </w:p>
        </w:tc>
        <w:tc>
          <w:tcPr>
            <w:tcW w:w="850" w:type="dxa"/>
            <w:tcBorders>
              <w:right w:val="single" w:sz="4" w:space="0" w:color="auto"/>
            </w:tcBorders>
            <w:shd w:val="clear" w:color="auto" w:fill="auto"/>
            <w:tcMar>
              <w:top w:w="23" w:type="dxa"/>
              <w:left w:w="0" w:type="dxa"/>
              <w:bottom w:w="23" w:type="dxa"/>
              <w:right w:w="0" w:type="dxa"/>
            </w:tcMar>
            <w:vAlign w:val="bottom"/>
          </w:tcPr>
          <w:p w14:paraId="033C45F6" w14:textId="77777777" w:rsidR="00A62E51" w:rsidRPr="00A62E51" w:rsidRDefault="00A62E51" w:rsidP="00C00DCF">
            <w:pPr>
              <w:ind w:right="113"/>
              <w:contextualSpacing/>
              <w:jc w:val="right"/>
              <w:rPr>
                <w:rFonts w:ascii="Tahoma" w:hAnsi="Tahoma"/>
                <w:color w:val="000000" w:themeColor="text1"/>
                <w:sz w:val="16"/>
                <w:lang w:val="en-GB"/>
              </w:rPr>
            </w:pPr>
          </w:p>
        </w:tc>
        <w:tc>
          <w:tcPr>
            <w:tcW w:w="1134" w:type="dxa"/>
            <w:tcBorders>
              <w:left w:val="single" w:sz="4" w:space="0" w:color="auto"/>
            </w:tcBorders>
            <w:shd w:val="clear" w:color="auto" w:fill="auto"/>
            <w:tcMar>
              <w:top w:w="23" w:type="dxa"/>
              <w:left w:w="0" w:type="dxa"/>
              <w:bottom w:w="23" w:type="dxa"/>
              <w:right w:w="0" w:type="dxa"/>
            </w:tcMar>
            <w:vAlign w:val="bottom"/>
          </w:tcPr>
          <w:p w14:paraId="3A549BC6" w14:textId="77777777" w:rsidR="00A62E51" w:rsidRPr="00A62E51" w:rsidRDefault="00A62E51" w:rsidP="00C00DCF">
            <w:pPr>
              <w:contextualSpacing/>
              <w:jc w:val="right"/>
              <w:rPr>
                <w:rFonts w:ascii="Tahoma" w:hAnsi="Tahoma"/>
                <w:b/>
                <w:bCs/>
                <w:color w:val="000000" w:themeColor="text1"/>
                <w:sz w:val="16"/>
                <w:lang w:val="en-GB"/>
              </w:rPr>
            </w:pPr>
            <w:r w:rsidRPr="00A62E51">
              <w:rPr>
                <w:rFonts w:ascii="Tahoma" w:hAnsi="Tahoma"/>
                <w:b/>
                <w:bCs/>
                <w:color w:val="000000" w:themeColor="text1"/>
                <w:sz w:val="16"/>
                <w:lang w:val="en-GB"/>
              </w:rPr>
              <w:t>(3 491)</w:t>
            </w:r>
          </w:p>
        </w:tc>
        <w:tc>
          <w:tcPr>
            <w:tcW w:w="1134" w:type="dxa"/>
            <w:shd w:val="clear" w:color="auto" w:fill="auto"/>
            <w:tcMar>
              <w:top w:w="23" w:type="dxa"/>
              <w:left w:w="0" w:type="dxa"/>
              <w:bottom w:w="23" w:type="dxa"/>
              <w:right w:w="0" w:type="dxa"/>
            </w:tcMar>
            <w:vAlign w:val="bottom"/>
          </w:tcPr>
          <w:p w14:paraId="5AE8D79E" w14:textId="77777777" w:rsidR="00A62E51" w:rsidRPr="00A62E51" w:rsidRDefault="00A62E51" w:rsidP="00C00DCF">
            <w:pPr>
              <w:contextualSpacing/>
              <w:jc w:val="right"/>
              <w:rPr>
                <w:rFonts w:ascii="Tahoma" w:hAnsi="Tahoma"/>
                <w:color w:val="000000" w:themeColor="text1"/>
                <w:sz w:val="16"/>
                <w:lang w:val="en-GB"/>
              </w:rPr>
            </w:pPr>
            <w:r w:rsidRPr="00A62E51">
              <w:rPr>
                <w:rFonts w:ascii="Tahoma" w:hAnsi="Tahoma"/>
                <w:color w:val="000000" w:themeColor="text1"/>
                <w:sz w:val="16"/>
                <w:lang w:val="en-GB"/>
              </w:rPr>
              <w:t>(3 092)</w:t>
            </w:r>
          </w:p>
        </w:tc>
        <w:tc>
          <w:tcPr>
            <w:tcW w:w="1134" w:type="dxa"/>
            <w:tcBorders>
              <w:right w:val="single" w:sz="4" w:space="0" w:color="auto"/>
            </w:tcBorders>
            <w:shd w:val="clear" w:color="auto" w:fill="auto"/>
            <w:tcMar>
              <w:top w:w="23" w:type="dxa"/>
              <w:left w:w="0" w:type="dxa"/>
              <w:bottom w:w="23" w:type="dxa"/>
              <w:right w:w="0" w:type="dxa"/>
            </w:tcMar>
            <w:vAlign w:val="bottom"/>
          </w:tcPr>
          <w:p w14:paraId="31A4AD54" w14:textId="77777777" w:rsidR="00A62E51" w:rsidRPr="00A62E51" w:rsidRDefault="00A62E51" w:rsidP="00C00DCF">
            <w:pPr>
              <w:ind w:right="113"/>
              <w:contextualSpacing/>
              <w:jc w:val="right"/>
              <w:rPr>
                <w:rFonts w:ascii="Tahoma" w:hAnsi="Tahoma"/>
                <w:color w:val="000000" w:themeColor="text1"/>
                <w:sz w:val="16"/>
                <w:lang w:val="en-GB"/>
              </w:rPr>
            </w:pPr>
            <w:r w:rsidRPr="00A62E51">
              <w:rPr>
                <w:rFonts w:ascii="Tahoma" w:hAnsi="Tahoma"/>
                <w:color w:val="000000" w:themeColor="text1"/>
                <w:sz w:val="16"/>
                <w:lang w:val="en-GB"/>
              </w:rPr>
              <w:t>(6 411)</w:t>
            </w:r>
          </w:p>
        </w:tc>
      </w:tr>
      <w:tr w:rsidR="00615190" w:rsidRPr="00A62E51" w14:paraId="03124808" w14:textId="77777777" w:rsidTr="0039188C">
        <w:trPr>
          <w:trHeight w:val="60"/>
        </w:trPr>
        <w:tc>
          <w:tcPr>
            <w:tcW w:w="5954" w:type="dxa"/>
            <w:shd w:val="clear" w:color="auto" w:fill="auto"/>
            <w:tcMar>
              <w:top w:w="23" w:type="dxa"/>
              <w:left w:w="113" w:type="dxa"/>
              <w:bottom w:w="23" w:type="dxa"/>
              <w:right w:w="0" w:type="dxa"/>
            </w:tcMar>
            <w:vAlign w:val="bottom"/>
          </w:tcPr>
          <w:p w14:paraId="59172F96" w14:textId="77777777" w:rsidR="00A62E51" w:rsidRPr="00A62E51" w:rsidRDefault="00A62E51" w:rsidP="00C00DCF">
            <w:pPr>
              <w:contextualSpacing/>
              <w:rPr>
                <w:rFonts w:ascii="Tahoma" w:hAnsi="Tahoma"/>
                <w:color w:val="000000" w:themeColor="text1"/>
                <w:sz w:val="16"/>
                <w:lang w:val="en-GB"/>
              </w:rPr>
            </w:pPr>
            <w:r w:rsidRPr="00A62E51">
              <w:rPr>
                <w:rFonts w:ascii="Tahoma" w:hAnsi="Tahoma"/>
                <w:color w:val="000000" w:themeColor="text1"/>
                <w:sz w:val="16"/>
                <w:lang w:val="en-GB"/>
              </w:rPr>
              <w:t>Other reserves</w:t>
            </w:r>
          </w:p>
        </w:tc>
        <w:tc>
          <w:tcPr>
            <w:tcW w:w="850" w:type="dxa"/>
            <w:tcBorders>
              <w:right w:val="single" w:sz="4" w:space="0" w:color="auto"/>
            </w:tcBorders>
            <w:shd w:val="clear" w:color="auto" w:fill="auto"/>
            <w:tcMar>
              <w:top w:w="23" w:type="dxa"/>
              <w:left w:w="0" w:type="dxa"/>
              <w:bottom w:w="23" w:type="dxa"/>
              <w:right w:w="0" w:type="dxa"/>
            </w:tcMar>
            <w:vAlign w:val="bottom"/>
          </w:tcPr>
          <w:p w14:paraId="69896CCC" w14:textId="77777777" w:rsidR="00A62E51" w:rsidRPr="00A62E51" w:rsidRDefault="00A62E51" w:rsidP="00C00DCF">
            <w:pPr>
              <w:ind w:right="113"/>
              <w:contextualSpacing/>
              <w:jc w:val="right"/>
              <w:rPr>
                <w:rFonts w:ascii="Tahoma" w:hAnsi="Tahoma"/>
                <w:color w:val="000000" w:themeColor="text1"/>
                <w:sz w:val="16"/>
                <w:lang w:val="en-GB"/>
              </w:rPr>
            </w:pPr>
          </w:p>
        </w:tc>
        <w:tc>
          <w:tcPr>
            <w:tcW w:w="1134" w:type="dxa"/>
            <w:tcBorders>
              <w:left w:val="single" w:sz="4" w:space="0" w:color="auto"/>
            </w:tcBorders>
            <w:shd w:val="clear" w:color="auto" w:fill="auto"/>
            <w:tcMar>
              <w:top w:w="23" w:type="dxa"/>
              <w:left w:w="0" w:type="dxa"/>
              <w:bottom w:w="23" w:type="dxa"/>
              <w:right w:w="0" w:type="dxa"/>
            </w:tcMar>
            <w:vAlign w:val="bottom"/>
          </w:tcPr>
          <w:p w14:paraId="581FD01C" w14:textId="77777777" w:rsidR="00A62E51" w:rsidRPr="00A62E51" w:rsidRDefault="00A62E51" w:rsidP="00C00DCF">
            <w:pPr>
              <w:contextualSpacing/>
              <w:jc w:val="right"/>
              <w:rPr>
                <w:rFonts w:ascii="Tahoma" w:hAnsi="Tahoma"/>
                <w:b/>
                <w:bCs/>
                <w:color w:val="000000" w:themeColor="text1"/>
                <w:sz w:val="16"/>
                <w:lang w:val="en-GB"/>
              </w:rPr>
            </w:pPr>
            <w:r w:rsidRPr="00A62E51">
              <w:rPr>
                <w:rFonts w:ascii="Tahoma" w:hAnsi="Tahoma"/>
                <w:b/>
                <w:bCs/>
                <w:color w:val="000000" w:themeColor="text1"/>
                <w:sz w:val="16"/>
                <w:lang w:val="en-GB"/>
              </w:rPr>
              <w:t>(48 474)</w:t>
            </w:r>
          </w:p>
        </w:tc>
        <w:tc>
          <w:tcPr>
            <w:tcW w:w="1134" w:type="dxa"/>
            <w:shd w:val="clear" w:color="auto" w:fill="auto"/>
            <w:tcMar>
              <w:top w:w="23" w:type="dxa"/>
              <w:left w:w="0" w:type="dxa"/>
              <w:bottom w:w="23" w:type="dxa"/>
              <w:right w:w="0" w:type="dxa"/>
            </w:tcMar>
            <w:vAlign w:val="bottom"/>
          </w:tcPr>
          <w:p w14:paraId="577FA1A1" w14:textId="77777777" w:rsidR="00A62E51" w:rsidRPr="00A62E51" w:rsidRDefault="00A62E51" w:rsidP="00C00DCF">
            <w:pPr>
              <w:contextualSpacing/>
              <w:jc w:val="right"/>
              <w:rPr>
                <w:rFonts w:ascii="Tahoma" w:hAnsi="Tahoma"/>
                <w:color w:val="000000" w:themeColor="text1"/>
                <w:sz w:val="16"/>
                <w:lang w:val="en-GB"/>
              </w:rPr>
            </w:pPr>
            <w:r w:rsidRPr="00A62E51">
              <w:rPr>
                <w:rFonts w:ascii="Tahoma" w:hAnsi="Tahoma"/>
                <w:color w:val="000000" w:themeColor="text1"/>
                <w:sz w:val="16"/>
                <w:lang w:val="en-GB"/>
              </w:rPr>
              <w:t>(35 665)</w:t>
            </w:r>
          </w:p>
        </w:tc>
        <w:tc>
          <w:tcPr>
            <w:tcW w:w="1134" w:type="dxa"/>
            <w:tcBorders>
              <w:right w:val="single" w:sz="4" w:space="0" w:color="auto"/>
            </w:tcBorders>
            <w:shd w:val="clear" w:color="auto" w:fill="auto"/>
            <w:tcMar>
              <w:top w:w="23" w:type="dxa"/>
              <w:left w:w="0" w:type="dxa"/>
              <w:bottom w:w="23" w:type="dxa"/>
              <w:right w:w="0" w:type="dxa"/>
            </w:tcMar>
            <w:vAlign w:val="bottom"/>
          </w:tcPr>
          <w:p w14:paraId="56688710" w14:textId="77777777" w:rsidR="00A62E51" w:rsidRPr="00A62E51" w:rsidRDefault="00A62E51" w:rsidP="00C00DCF">
            <w:pPr>
              <w:ind w:right="113"/>
              <w:contextualSpacing/>
              <w:jc w:val="right"/>
              <w:rPr>
                <w:rFonts w:ascii="Tahoma" w:hAnsi="Tahoma"/>
                <w:color w:val="000000" w:themeColor="text1"/>
                <w:sz w:val="16"/>
                <w:lang w:val="en-GB"/>
              </w:rPr>
            </w:pPr>
            <w:r w:rsidRPr="00A62E51">
              <w:rPr>
                <w:rFonts w:ascii="Tahoma" w:hAnsi="Tahoma"/>
                <w:color w:val="000000" w:themeColor="text1"/>
                <w:sz w:val="16"/>
                <w:lang w:val="en-GB"/>
              </w:rPr>
              <w:t>(40 557)</w:t>
            </w:r>
          </w:p>
        </w:tc>
      </w:tr>
      <w:tr w:rsidR="00615190" w:rsidRPr="00A62E51" w14:paraId="56013B99" w14:textId="77777777" w:rsidTr="0039188C">
        <w:trPr>
          <w:trHeight w:val="60"/>
        </w:trPr>
        <w:tc>
          <w:tcPr>
            <w:tcW w:w="5954" w:type="dxa"/>
            <w:shd w:val="clear" w:color="auto" w:fill="auto"/>
            <w:tcMar>
              <w:top w:w="23" w:type="dxa"/>
              <w:left w:w="113" w:type="dxa"/>
              <w:bottom w:w="23" w:type="dxa"/>
              <w:right w:w="0" w:type="dxa"/>
            </w:tcMar>
            <w:vAlign w:val="bottom"/>
          </w:tcPr>
          <w:p w14:paraId="6F621EDD" w14:textId="77777777" w:rsidR="00A62E51" w:rsidRPr="00A62E51" w:rsidRDefault="00A62E51" w:rsidP="00C00DCF">
            <w:pPr>
              <w:contextualSpacing/>
              <w:rPr>
                <w:rFonts w:ascii="Tahoma" w:hAnsi="Tahoma"/>
                <w:color w:val="000000" w:themeColor="text1"/>
                <w:sz w:val="16"/>
                <w:lang w:val="en-GB"/>
              </w:rPr>
            </w:pPr>
            <w:r w:rsidRPr="00A62E51">
              <w:rPr>
                <w:rFonts w:ascii="Tahoma" w:hAnsi="Tahoma"/>
                <w:color w:val="000000" w:themeColor="text1"/>
                <w:sz w:val="16"/>
                <w:lang w:val="en-GB"/>
              </w:rPr>
              <w:t>Retained earnings</w:t>
            </w:r>
          </w:p>
        </w:tc>
        <w:tc>
          <w:tcPr>
            <w:tcW w:w="850" w:type="dxa"/>
            <w:tcBorders>
              <w:right w:val="single" w:sz="4" w:space="0" w:color="auto"/>
            </w:tcBorders>
            <w:shd w:val="clear" w:color="auto" w:fill="auto"/>
            <w:tcMar>
              <w:top w:w="23" w:type="dxa"/>
              <w:left w:w="0" w:type="dxa"/>
              <w:bottom w:w="23" w:type="dxa"/>
              <w:right w:w="0" w:type="dxa"/>
            </w:tcMar>
            <w:vAlign w:val="bottom"/>
          </w:tcPr>
          <w:p w14:paraId="2246FAD4" w14:textId="77777777" w:rsidR="00A62E51" w:rsidRPr="00A62E51" w:rsidRDefault="00A62E51" w:rsidP="00C00DCF">
            <w:pPr>
              <w:ind w:right="113"/>
              <w:contextualSpacing/>
              <w:jc w:val="right"/>
              <w:rPr>
                <w:rFonts w:ascii="Tahoma" w:hAnsi="Tahoma"/>
                <w:color w:val="000000" w:themeColor="text1"/>
                <w:sz w:val="16"/>
                <w:lang w:val="en-GB"/>
              </w:rPr>
            </w:pPr>
          </w:p>
        </w:tc>
        <w:tc>
          <w:tcPr>
            <w:tcW w:w="1134" w:type="dxa"/>
            <w:tcBorders>
              <w:left w:val="single" w:sz="4" w:space="0" w:color="auto"/>
              <w:bottom w:val="single" w:sz="4" w:space="0" w:color="auto"/>
            </w:tcBorders>
            <w:shd w:val="clear" w:color="auto" w:fill="auto"/>
            <w:tcMar>
              <w:top w:w="23" w:type="dxa"/>
              <w:left w:w="0" w:type="dxa"/>
              <w:bottom w:w="23" w:type="dxa"/>
              <w:right w:w="0" w:type="dxa"/>
            </w:tcMar>
            <w:vAlign w:val="bottom"/>
          </w:tcPr>
          <w:p w14:paraId="181148D9" w14:textId="77777777" w:rsidR="00A62E51" w:rsidRPr="00A62E51" w:rsidRDefault="00A62E51" w:rsidP="00C00DCF">
            <w:pPr>
              <w:contextualSpacing/>
              <w:jc w:val="right"/>
              <w:rPr>
                <w:rFonts w:ascii="Tahoma" w:hAnsi="Tahoma"/>
                <w:b/>
                <w:bCs/>
                <w:color w:val="000000" w:themeColor="text1"/>
                <w:sz w:val="16"/>
                <w:lang w:val="en-GB"/>
              </w:rPr>
            </w:pPr>
            <w:r w:rsidRPr="00A62E51">
              <w:rPr>
                <w:rFonts w:ascii="Tahoma" w:hAnsi="Tahoma"/>
                <w:b/>
                <w:bCs/>
                <w:color w:val="000000" w:themeColor="text1"/>
                <w:sz w:val="16"/>
                <w:lang w:val="en-GB"/>
              </w:rPr>
              <w:t>53 722</w:t>
            </w:r>
          </w:p>
        </w:tc>
        <w:tc>
          <w:tcPr>
            <w:tcW w:w="1134" w:type="dxa"/>
            <w:tcBorders>
              <w:bottom w:val="single" w:sz="4" w:space="0" w:color="auto"/>
            </w:tcBorders>
            <w:shd w:val="clear" w:color="auto" w:fill="auto"/>
            <w:tcMar>
              <w:top w:w="23" w:type="dxa"/>
              <w:left w:w="0" w:type="dxa"/>
              <w:bottom w:w="23" w:type="dxa"/>
              <w:right w:w="0" w:type="dxa"/>
            </w:tcMar>
            <w:vAlign w:val="bottom"/>
          </w:tcPr>
          <w:p w14:paraId="6A24584A" w14:textId="77777777" w:rsidR="00A62E51" w:rsidRPr="00A62E51" w:rsidRDefault="00A62E51" w:rsidP="00C00DCF">
            <w:pPr>
              <w:contextualSpacing/>
              <w:jc w:val="right"/>
              <w:rPr>
                <w:rFonts w:ascii="Tahoma" w:hAnsi="Tahoma"/>
                <w:color w:val="000000" w:themeColor="text1"/>
                <w:sz w:val="16"/>
                <w:lang w:val="en-GB"/>
              </w:rPr>
            </w:pPr>
            <w:r w:rsidRPr="00A62E51">
              <w:rPr>
                <w:rFonts w:ascii="Tahoma" w:hAnsi="Tahoma"/>
                <w:color w:val="000000" w:themeColor="text1"/>
                <w:sz w:val="16"/>
                <w:lang w:val="en-GB"/>
              </w:rPr>
              <w:t>54 213</w:t>
            </w:r>
          </w:p>
        </w:tc>
        <w:tc>
          <w:tcPr>
            <w:tcW w:w="1134" w:type="dxa"/>
            <w:tcBorders>
              <w:bottom w:val="single" w:sz="4" w:space="0" w:color="auto"/>
              <w:right w:val="single" w:sz="4" w:space="0" w:color="auto"/>
            </w:tcBorders>
            <w:shd w:val="clear" w:color="auto" w:fill="auto"/>
            <w:tcMar>
              <w:top w:w="23" w:type="dxa"/>
              <w:left w:w="0" w:type="dxa"/>
              <w:bottom w:w="23" w:type="dxa"/>
              <w:right w:w="0" w:type="dxa"/>
            </w:tcMar>
            <w:vAlign w:val="bottom"/>
          </w:tcPr>
          <w:p w14:paraId="0F5BF636" w14:textId="77777777" w:rsidR="00A62E51" w:rsidRPr="00A62E51" w:rsidRDefault="00A62E51" w:rsidP="00C00DCF">
            <w:pPr>
              <w:ind w:right="113"/>
              <w:contextualSpacing/>
              <w:jc w:val="right"/>
              <w:rPr>
                <w:rFonts w:ascii="Tahoma" w:hAnsi="Tahoma"/>
                <w:color w:val="000000" w:themeColor="text1"/>
                <w:sz w:val="16"/>
                <w:lang w:val="en-GB"/>
              </w:rPr>
            </w:pPr>
            <w:r w:rsidRPr="00A62E51">
              <w:rPr>
                <w:rFonts w:ascii="Tahoma" w:hAnsi="Tahoma"/>
                <w:color w:val="000000" w:themeColor="text1"/>
                <w:sz w:val="16"/>
                <w:lang w:val="en-GB"/>
              </w:rPr>
              <w:t>58 199</w:t>
            </w:r>
          </w:p>
        </w:tc>
      </w:tr>
      <w:tr w:rsidR="00615190" w:rsidRPr="00A62E51" w14:paraId="3DD0F1BE" w14:textId="77777777" w:rsidTr="00F13EEC">
        <w:trPr>
          <w:trHeight w:val="60"/>
        </w:trPr>
        <w:tc>
          <w:tcPr>
            <w:tcW w:w="5954" w:type="dxa"/>
            <w:tcBorders>
              <w:bottom w:val="single" w:sz="4" w:space="0" w:color="auto"/>
            </w:tcBorders>
            <w:shd w:val="clear" w:color="auto" w:fill="auto"/>
            <w:tcMar>
              <w:top w:w="23" w:type="dxa"/>
              <w:left w:w="113" w:type="dxa"/>
              <w:bottom w:w="51" w:type="dxa"/>
              <w:right w:w="0" w:type="dxa"/>
            </w:tcMar>
            <w:vAlign w:val="bottom"/>
          </w:tcPr>
          <w:p w14:paraId="08584F73" w14:textId="77777777" w:rsidR="00A62E51" w:rsidRPr="00A62E51" w:rsidRDefault="00A62E51" w:rsidP="00C00DCF">
            <w:pPr>
              <w:contextualSpacing/>
              <w:rPr>
                <w:rFonts w:ascii="Tahoma" w:hAnsi="Tahoma"/>
                <w:color w:val="000000" w:themeColor="text1"/>
                <w:sz w:val="16"/>
                <w:lang w:val="en-GB"/>
              </w:rPr>
            </w:pPr>
            <w:r w:rsidRPr="00A62E51">
              <w:rPr>
                <w:rFonts w:ascii="Tahoma" w:hAnsi="Tahoma"/>
                <w:color w:val="000000" w:themeColor="text1"/>
                <w:sz w:val="16"/>
                <w:lang w:val="en-GB"/>
              </w:rPr>
              <w:t>Non-controlling interests</w:t>
            </w:r>
          </w:p>
        </w:tc>
        <w:tc>
          <w:tcPr>
            <w:tcW w:w="850" w:type="dxa"/>
            <w:tcBorders>
              <w:bottom w:val="single" w:sz="4" w:space="0" w:color="auto"/>
            </w:tcBorders>
            <w:shd w:val="clear" w:color="auto" w:fill="auto"/>
            <w:tcMar>
              <w:top w:w="23" w:type="dxa"/>
              <w:left w:w="0" w:type="dxa"/>
              <w:bottom w:w="51" w:type="dxa"/>
              <w:right w:w="0" w:type="dxa"/>
            </w:tcMar>
            <w:vAlign w:val="bottom"/>
          </w:tcPr>
          <w:p w14:paraId="3EECB3B6" w14:textId="77777777" w:rsidR="00A62E51" w:rsidRPr="00A62E51" w:rsidRDefault="00A62E51" w:rsidP="00C00DCF">
            <w:pPr>
              <w:ind w:right="113"/>
              <w:contextualSpacing/>
              <w:jc w:val="right"/>
              <w:rPr>
                <w:rFonts w:ascii="Tahoma" w:hAnsi="Tahoma"/>
                <w:color w:val="000000" w:themeColor="text1"/>
                <w:sz w:val="16"/>
                <w:lang w:val="en-GB"/>
              </w:rPr>
            </w:pPr>
          </w:p>
        </w:tc>
        <w:tc>
          <w:tcPr>
            <w:tcW w:w="1134" w:type="dxa"/>
            <w:tcBorders>
              <w:top w:val="single" w:sz="4" w:space="0" w:color="auto"/>
              <w:bottom w:val="single" w:sz="4" w:space="0" w:color="auto"/>
            </w:tcBorders>
            <w:shd w:val="clear" w:color="auto" w:fill="auto"/>
            <w:tcMar>
              <w:top w:w="23" w:type="dxa"/>
              <w:left w:w="0" w:type="dxa"/>
              <w:bottom w:w="51" w:type="dxa"/>
              <w:right w:w="0" w:type="dxa"/>
            </w:tcMar>
            <w:vAlign w:val="bottom"/>
          </w:tcPr>
          <w:p w14:paraId="19B72B28" w14:textId="77777777" w:rsidR="00A62E51" w:rsidRPr="00A62E51" w:rsidRDefault="00A62E51" w:rsidP="00C00DCF">
            <w:pPr>
              <w:contextualSpacing/>
              <w:jc w:val="right"/>
              <w:rPr>
                <w:rFonts w:ascii="Tahoma" w:hAnsi="Tahoma"/>
                <w:b/>
                <w:bCs/>
                <w:color w:val="000000" w:themeColor="text1"/>
                <w:sz w:val="16"/>
                <w:lang w:val="en-GB"/>
              </w:rPr>
            </w:pPr>
            <w:r w:rsidRPr="00A62E51">
              <w:rPr>
                <w:rFonts w:ascii="Tahoma" w:hAnsi="Tahoma"/>
                <w:b/>
                <w:bCs/>
                <w:color w:val="000000" w:themeColor="text1"/>
                <w:sz w:val="16"/>
                <w:lang w:val="en-GB"/>
              </w:rPr>
              <w:t>144</w:t>
            </w:r>
          </w:p>
        </w:tc>
        <w:tc>
          <w:tcPr>
            <w:tcW w:w="1134" w:type="dxa"/>
            <w:tcBorders>
              <w:top w:val="single" w:sz="4" w:space="0" w:color="auto"/>
              <w:bottom w:val="single" w:sz="4" w:space="0" w:color="auto"/>
            </w:tcBorders>
            <w:shd w:val="clear" w:color="auto" w:fill="auto"/>
            <w:tcMar>
              <w:top w:w="23" w:type="dxa"/>
              <w:left w:w="0" w:type="dxa"/>
              <w:bottom w:w="51" w:type="dxa"/>
              <w:right w:w="0" w:type="dxa"/>
            </w:tcMar>
            <w:vAlign w:val="bottom"/>
          </w:tcPr>
          <w:p w14:paraId="22FF4F70" w14:textId="77777777" w:rsidR="00A62E51" w:rsidRPr="00A62E51" w:rsidRDefault="00A62E51" w:rsidP="00C00DCF">
            <w:pPr>
              <w:contextualSpacing/>
              <w:jc w:val="right"/>
              <w:rPr>
                <w:rFonts w:ascii="Tahoma" w:hAnsi="Tahoma"/>
                <w:color w:val="000000" w:themeColor="text1"/>
                <w:sz w:val="16"/>
                <w:lang w:val="en-GB"/>
              </w:rPr>
            </w:pPr>
            <w:r w:rsidRPr="00A62E51">
              <w:rPr>
                <w:rFonts w:ascii="Tahoma" w:hAnsi="Tahoma"/>
                <w:color w:val="000000" w:themeColor="text1"/>
                <w:sz w:val="16"/>
                <w:lang w:val="en-GB"/>
              </w:rPr>
              <w:t>20</w:t>
            </w:r>
          </w:p>
        </w:tc>
        <w:tc>
          <w:tcPr>
            <w:tcW w:w="1134" w:type="dxa"/>
            <w:tcBorders>
              <w:top w:val="single" w:sz="4" w:space="0" w:color="auto"/>
              <w:bottom w:val="single" w:sz="4" w:space="0" w:color="auto"/>
            </w:tcBorders>
            <w:shd w:val="clear" w:color="auto" w:fill="auto"/>
            <w:tcMar>
              <w:top w:w="23" w:type="dxa"/>
              <w:left w:w="0" w:type="dxa"/>
              <w:bottom w:w="51" w:type="dxa"/>
              <w:right w:w="0" w:type="dxa"/>
            </w:tcMar>
            <w:vAlign w:val="bottom"/>
          </w:tcPr>
          <w:p w14:paraId="37972E1D" w14:textId="77777777" w:rsidR="00A62E51" w:rsidRPr="00A62E51" w:rsidRDefault="00A62E51" w:rsidP="00C00DCF">
            <w:pPr>
              <w:ind w:right="113"/>
              <w:contextualSpacing/>
              <w:jc w:val="right"/>
              <w:rPr>
                <w:rFonts w:ascii="Tahoma" w:hAnsi="Tahoma"/>
                <w:color w:val="000000" w:themeColor="text1"/>
                <w:sz w:val="16"/>
                <w:lang w:val="en-GB"/>
              </w:rPr>
            </w:pPr>
            <w:r w:rsidRPr="00A62E51">
              <w:rPr>
                <w:rFonts w:ascii="Tahoma" w:hAnsi="Tahoma"/>
                <w:color w:val="000000" w:themeColor="text1"/>
                <w:sz w:val="16"/>
                <w:lang w:val="en-GB"/>
              </w:rPr>
              <w:t>102</w:t>
            </w:r>
          </w:p>
        </w:tc>
      </w:tr>
      <w:tr w:rsidR="00615190" w:rsidRPr="00A62E51" w14:paraId="45098CED" w14:textId="77777777" w:rsidTr="00F13EEC">
        <w:trPr>
          <w:trHeight w:val="60"/>
        </w:trPr>
        <w:tc>
          <w:tcPr>
            <w:tcW w:w="5954" w:type="dxa"/>
            <w:tcBorders>
              <w:top w:val="single" w:sz="4" w:space="0" w:color="auto"/>
            </w:tcBorders>
            <w:shd w:val="clear" w:color="auto" w:fill="auto"/>
            <w:tcMar>
              <w:top w:w="51" w:type="dxa"/>
              <w:left w:w="0" w:type="dxa"/>
              <w:bottom w:w="23" w:type="dxa"/>
              <w:right w:w="0" w:type="dxa"/>
            </w:tcMar>
            <w:vAlign w:val="bottom"/>
          </w:tcPr>
          <w:p w14:paraId="13D6CC62" w14:textId="77777777" w:rsidR="00A62E51" w:rsidRPr="00A62E51" w:rsidRDefault="00A62E51" w:rsidP="00C00DCF">
            <w:pPr>
              <w:contextualSpacing/>
              <w:rPr>
                <w:rFonts w:ascii="Tahoma" w:hAnsi="Tahoma"/>
                <w:b/>
                <w:bCs/>
                <w:color w:val="000000" w:themeColor="text1"/>
                <w:sz w:val="16"/>
                <w:lang w:val="en-GB"/>
              </w:rPr>
            </w:pPr>
            <w:r w:rsidRPr="00A62E51">
              <w:rPr>
                <w:rFonts w:ascii="Tahoma" w:hAnsi="Tahoma"/>
                <w:b/>
                <w:bCs/>
                <w:color w:val="000000" w:themeColor="text1"/>
                <w:sz w:val="16"/>
                <w:lang w:val="en-GB"/>
              </w:rPr>
              <w:t>Total equity</w:t>
            </w:r>
          </w:p>
        </w:tc>
        <w:tc>
          <w:tcPr>
            <w:tcW w:w="850" w:type="dxa"/>
            <w:tcBorders>
              <w:top w:val="single" w:sz="4" w:space="0" w:color="auto"/>
            </w:tcBorders>
            <w:shd w:val="clear" w:color="auto" w:fill="auto"/>
            <w:tcMar>
              <w:top w:w="51" w:type="dxa"/>
              <w:left w:w="0" w:type="dxa"/>
              <w:bottom w:w="23" w:type="dxa"/>
              <w:right w:w="0" w:type="dxa"/>
            </w:tcMar>
            <w:vAlign w:val="bottom"/>
          </w:tcPr>
          <w:p w14:paraId="326B9495" w14:textId="77777777" w:rsidR="00A62E51" w:rsidRPr="00A62E51" w:rsidRDefault="00A62E51" w:rsidP="00C00DCF">
            <w:pPr>
              <w:ind w:right="113"/>
              <w:contextualSpacing/>
              <w:jc w:val="right"/>
              <w:rPr>
                <w:rFonts w:ascii="Tahoma" w:hAnsi="Tahoma"/>
                <w:color w:val="000000" w:themeColor="text1"/>
                <w:sz w:val="16"/>
                <w:lang w:val="en-GB"/>
              </w:rPr>
            </w:pPr>
          </w:p>
        </w:tc>
        <w:tc>
          <w:tcPr>
            <w:tcW w:w="1134" w:type="dxa"/>
            <w:tcBorders>
              <w:top w:val="single" w:sz="4" w:space="0" w:color="auto"/>
            </w:tcBorders>
            <w:shd w:val="clear" w:color="auto" w:fill="auto"/>
            <w:tcMar>
              <w:top w:w="51" w:type="dxa"/>
              <w:left w:w="0" w:type="dxa"/>
              <w:bottom w:w="23" w:type="dxa"/>
              <w:right w:w="0" w:type="dxa"/>
            </w:tcMar>
            <w:vAlign w:val="bottom"/>
          </w:tcPr>
          <w:p w14:paraId="642FEED2" w14:textId="77777777" w:rsidR="00A62E51" w:rsidRPr="00A62E51" w:rsidRDefault="00A62E51" w:rsidP="00C00DCF">
            <w:pPr>
              <w:contextualSpacing/>
              <w:jc w:val="right"/>
              <w:rPr>
                <w:rFonts w:ascii="Tahoma" w:hAnsi="Tahoma"/>
                <w:b/>
                <w:bCs/>
                <w:color w:val="000000" w:themeColor="text1"/>
                <w:sz w:val="16"/>
                <w:lang w:val="en-GB"/>
              </w:rPr>
            </w:pPr>
            <w:r w:rsidRPr="00A62E51">
              <w:rPr>
                <w:rFonts w:ascii="Tahoma" w:hAnsi="Tahoma"/>
                <w:b/>
                <w:bCs/>
                <w:color w:val="000000" w:themeColor="text1"/>
                <w:sz w:val="16"/>
                <w:lang w:val="en-GB"/>
              </w:rPr>
              <w:t>41 071</w:t>
            </w:r>
          </w:p>
        </w:tc>
        <w:tc>
          <w:tcPr>
            <w:tcW w:w="1134" w:type="dxa"/>
            <w:tcBorders>
              <w:top w:val="single" w:sz="4" w:space="0" w:color="auto"/>
            </w:tcBorders>
            <w:shd w:val="clear" w:color="auto" w:fill="auto"/>
            <w:tcMar>
              <w:top w:w="51" w:type="dxa"/>
              <w:left w:w="0" w:type="dxa"/>
              <w:bottom w:w="23" w:type="dxa"/>
              <w:right w:w="0" w:type="dxa"/>
            </w:tcMar>
            <w:vAlign w:val="bottom"/>
          </w:tcPr>
          <w:p w14:paraId="1DE9CE33" w14:textId="77777777" w:rsidR="00A62E51" w:rsidRPr="00A62E51" w:rsidRDefault="00A62E51" w:rsidP="00C00DCF">
            <w:pPr>
              <w:contextualSpacing/>
              <w:jc w:val="right"/>
              <w:rPr>
                <w:rFonts w:ascii="Tahoma" w:hAnsi="Tahoma"/>
                <w:color w:val="000000" w:themeColor="text1"/>
                <w:sz w:val="16"/>
                <w:lang w:val="en-GB"/>
              </w:rPr>
            </w:pPr>
            <w:r w:rsidRPr="00A62E51">
              <w:rPr>
                <w:rFonts w:ascii="Tahoma" w:hAnsi="Tahoma"/>
                <w:color w:val="000000" w:themeColor="text1"/>
                <w:sz w:val="16"/>
                <w:lang w:val="en-GB"/>
              </w:rPr>
              <w:t>54 668</w:t>
            </w:r>
          </w:p>
        </w:tc>
        <w:tc>
          <w:tcPr>
            <w:tcW w:w="1134" w:type="dxa"/>
            <w:tcBorders>
              <w:top w:val="single" w:sz="4" w:space="0" w:color="auto"/>
            </w:tcBorders>
            <w:shd w:val="clear" w:color="auto" w:fill="auto"/>
            <w:tcMar>
              <w:top w:w="51" w:type="dxa"/>
              <w:left w:w="0" w:type="dxa"/>
              <w:bottom w:w="23" w:type="dxa"/>
              <w:right w:w="0" w:type="dxa"/>
            </w:tcMar>
            <w:vAlign w:val="bottom"/>
          </w:tcPr>
          <w:p w14:paraId="2D984130" w14:textId="77777777" w:rsidR="00A62E51" w:rsidRPr="00A62E51" w:rsidRDefault="00A62E51" w:rsidP="00C00DCF">
            <w:pPr>
              <w:ind w:right="113"/>
              <w:contextualSpacing/>
              <w:jc w:val="right"/>
              <w:rPr>
                <w:rFonts w:ascii="Tahoma" w:hAnsi="Tahoma"/>
                <w:color w:val="000000" w:themeColor="text1"/>
                <w:sz w:val="16"/>
                <w:lang w:val="en-GB"/>
              </w:rPr>
            </w:pPr>
            <w:r w:rsidRPr="00A62E51">
              <w:rPr>
                <w:rFonts w:ascii="Tahoma" w:hAnsi="Tahoma"/>
                <w:color w:val="000000" w:themeColor="text1"/>
                <w:sz w:val="16"/>
                <w:lang w:val="en-GB"/>
              </w:rPr>
              <w:t>50 523</w:t>
            </w:r>
          </w:p>
        </w:tc>
      </w:tr>
      <w:tr w:rsidR="00615190" w:rsidRPr="00A62E51" w14:paraId="46CB2ECD" w14:textId="77777777" w:rsidTr="00505D53">
        <w:trPr>
          <w:trHeight w:val="60"/>
        </w:trPr>
        <w:tc>
          <w:tcPr>
            <w:tcW w:w="5954" w:type="dxa"/>
            <w:shd w:val="clear" w:color="auto" w:fill="auto"/>
            <w:tcMar>
              <w:top w:w="23" w:type="dxa"/>
              <w:left w:w="0" w:type="dxa"/>
              <w:bottom w:w="23" w:type="dxa"/>
              <w:right w:w="0" w:type="dxa"/>
            </w:tcMar>
            <w:vAlign w:val="bottom"/>
          </w:tcPr>
          <w:p w14:paraId="1A704CAC" w14:textId="77777777" w:rsidR="00A62E51" w:rsidRPr="00A62E51" w:rsidRDefault="00A62E51" w:rsidP="00C00DCF">
            <w:pPr>
              <w:contextualSpacing/>
              <w:rPr>
                <w:rFonts w:ascii="Tahoma" w:hAnsi="Tahoma"/>
                <w:b/>
                <w:bCs/>
                <w:color w:val="000000" w:themeColor="text1"/>
                <w:sz w:val="16"/>
                <w:lang w:val="en-GB"/>
              </w:rPr>
            </w:pPr>
            <w:r w:rsidRPr="00A62E51">
              <w:rPr>
                <w:rFonts w:ascii="Tahoma" w:hAnsi="Tahoma"/>
                <w:b/>
                <w:bCs/>
                <w:color w:val="000000" w:themeColor="text1"/>
                <w:sz w:val="16"/>
                <w:lang w:val="en-GB"/>
              </w:rPr>
              <w:t>Non-current liabilities</w:t>
            </w:r>
          </w:p>
        </w:tc>
        <w:tc>
          <w:tcPr>
            <w:tcW w:w="850" w:type="dxa"/>
            <w:shd w:val="clear" w:color="auto" w:fill="auto"/>
            <w:tcMar>
              <w:top w:w="23" w:type="dxa"/>
              <w:left w:w="0" w:type="dxa"/>
              <w:bottom w:w="23" w:type="dxa"/>
              <w:right w:w="0" w:type="dxa"/>
            </w:tcMar>
            <w:vAlign w:val="bottom"/>
          </w:tcPr>
          <w:p w14:paraId="613A1D87" w14:textId="77777777" w:rsidR="00A62E51" w:rsidRPr="00A62E51" w:rsidRDefault="00A62E51" w:rsidP="00C00DCF">
            <w:pPr>
              <w:ind w:right="113"/>
              <w:contextualSpacing/>
              <w:jc w:val="right"/>
              <w:rPr>
                <w:rFonts w:ascii="Tahoma" w:hAnsi="Tahoma"/>
                <w:color w:val="000000" w:themeColor="text1"/>
                <w:sz w:val="16"/>
                <w:lang w:val="en-GB"/>
              </w:rPr>
            </w:pPr>
          </w:p>
        </w:tc>
        <w:tc>
          <w:tcPr>
            <w:tcW w:w="1134" w:type="dxa"/>
            <w:tcBorders>
              <w:bottom w:val="single" w:sz="4" w:space="0" w:color="auto"/>
            </w:tcBorders>
            <w:shd w:val="clear" w:color="auto" w:fill="auto"/>
            <w:tcMar>
              <w:top w:w="23" w:type="dxa"/>
              <w:left w:w="0" w:type="dxa"/>
              <w:bottom w:w="23" w:type="dxa"/>
              <w:right w:w="0" w:type="dxa"/>
            </w:tcMar>
            <w:vAlign w:val="bottom"/>
          </w:tcPr>
          <w:p w14:paraId="0D8BA2FB" w14:textId="77777777" w:rsidR="00A62E51" w:rsidRPr="00A62E51" w:rsidRDefault="00A62E51" w:rsidP="00C00DCF">
            <w:pPr>
              <w:contextualSpacing/>
              <w:jc w:val="right"/>
              <w:rPr>
                <w:rFonts w:ascii="Tahoma" w:hAnsi="Tahoma"/>
                <w:b/>
                <w:bCs/>
                <w:color w:val="000000" w:themeColor="text1"/>
                <w:sz w:val="16"/>
                <w:lang w:val="en-GB"/>
              </w:rPr>
            </w:pPr>
            <w:r w:rsidRPr="00A62E51">
              <w:rPr>
                <w:rFonts w:ascii="Tahoma" w:hAnsi="Tahoma"/>
                <w:b/>
                <w:bCs/>
                <w:color w:val="000000" w:themeColor="text1"/>
                <w:sz w:val="16"/>
                <w:lang w:val="en-GB"/>
              </w:rPr>
              <w:t>15 500</w:t>
            </w:r>
          </w:p>
        </w:tc>
        <w:tc>
          <w:tcPr>
            <w:tcW w:w="1134" w:type="dxa"/>
            <w:tcBorders>
              <w:bottom w:val="single" w:sz="4" w:space="0" w:color="auto"/>
            </w:tcBorders>
            <w:shd w:val="clear" w:color="auto" w:fill="auto"/>
            <w:tcMar>
              <w:top w:w="23" w:type="dxa"/>
              <w:left w:w="0" w:type="dxa"/>
              <w:bottom w:w="23" w:type="dxa"/>
              <w:right w:w="0" w:type="dxa"/>
            </w:tcMar>
            <w:vAlign w:val="bottom"/>
          </w:tcPr>
          <w:p w14:paraId="40F82FFB" w14:textId="77777777" w:rsidR="00A62E51" w:rsidRPr="00A62E51" w:rsidRDefault="00A62E51" w:rsidP="00C00DCF">
            <w:pPr>
              <w:contextualSpacing/>
              <w:jc w:val="right"/>
              <w:rPr>
                <w:rFonts w:ascii="Tahoma" w:hAnsi="Tahoma"/>
                <w:color w:val="000000" w:themeColor="text1"/>
                <w:sz w:val="16"/>
                <w:lang w:val="en-GB"/>
              </w:rPr>
            </w:pPr>
            <w:r w:rsidRPr="00A62E51">
              <w:rPr>
                <w:rFonts w:ascii="Tahoma" w:hAnsi="Tahoma"/>
                <w:color w:val="000000" w:themeColor="text1"/>
                <w:sz w:val="16"/>
                <w:lang w:val="en-GB"/>
              </w:rPr>
              <w:t>11 380</w:t>
            </w:r>
          </w:p>
        </w:tc>
        <w:tc>
          <w:tcPr>
            <w:tcW w:w="1134" w:type="dxa"/>
            <w:tcBorders>
              <w:bottom w:val="single" w:sz="4" w:space="0" w:color="auto"/>
            </w:tcBorders>
            <w:shd w:val="clear" w:color="auto" w:fill="auto"/>
            <w:tcMar>
              <w:top w:w="23" w:type="dxa"/>
              <w:left w:w="0" w:type="dxa"/>
              <w:bottom w:w="23" w:type="dxa"/>
              <w:right w:w="0" w:type="dxa"/>
            </w:tcMar>
            <w:vAlign w:val="bottom"/>
          </w:tcPr>
          <w:p w14:paraId="0C557DE3" w14:textId="77777777" w:rsidR="00A62E51" w:rsidRPr="00A62E51" w:rsidRDefault="00A62E51" w:rsidP="00C00DCF">
            <w:pPr>
              <w:ind w:right="113"/>
              <w:contextualSpacing/>
              <w:jc w:val="right"/>
              <w:rPr>
                <w:rFonts w:ascii="Tahoma" w:hAnsi="Tahoma"/>
                <w:color w:val="000000" w:themeColor="text1"/>
                <w:sz w:val="16"/>
                <w:lang w:val="en-GB"/>
              </w:rPr>
            </w:pPr>
            <w:r w:rsidRPr="00A62E51">
              <w:rPr>
                <w:rFonts w:ascii="Tahoma" w:hAnsi="Tahoma"/>
                <w:color w:val="000000" w:themeColor="text1"/>
                <w:sz w:val="16"/>
                <w:lang w:val="en-GB"/>
              </w:rPr>
              <w:t>16 402</w:t>
            </w:r>
          </w:p>
        </w:tc>
      </w:tr>
      <w:tr w:rsidR="00615190" w:rsidRPr="00A62E51" w14:paraId="42398CC3" w14:textId="77777777" w:rsidTr="00505D53">
        <w:trPr>
          <w:trHeight w:val="60"/>
        </w:trPr>
        <w:tc>
          <w:tcPr>
            <w:tcW w:w="5954" w:type="dxa"/>
            <w:shd w:val="clear" w:color="auto" w:fill="auto"/>
            <w:tcMar>
              <w:top w:w="23" w:type="dxa"/>
              <w:left w:w="113" w:type="dxa"/>
              <w:bottom w:w="23" w:type="dxa"/>
              <w:right w:w="0" w:type="dxa"/>
            </w:tcMar>
            <w:vAlign w:val="bottom"/>
          </w:tcPr>
          <w:p w14:paraId="7BCF574B" w14:textId="77777777" w:rsidR="00A62E51" w:rsidRPr="00A62E51" w:rsidRDefault="00A62E51" w:rsidP="00C00DCF">
            <w:pPr>
              <w:contextualSpacing/>
              <w:rPr>
                <w:rFonts w:ascii="Tahoma" w:hAnsi="Tahoma"/>
                <w:color w:val="000000" w:themeColor="text1"/>
                <w:sz w:val="16"/>
                <w:lang w:val="en-GB"/>
              </w:rPr>
            </w:pPr>
            <w:r w:rsidRPr="00A62E51">
              <w:rPr>
                <w:rFonts w:ascii="Tahoma" w:hAnsi="Tahoma"/>
                <w:color w:val="000000" w:themeColor="text1"/>
                <w:sz w:val="16"/>
                <w:lang w:val="en-GB"/>
              </w:rPr>
              <w:t>Capitalised lease liabilities</w:t>
            </w:r>
          </w:p>
        </w:tc>
        <w:tc>
          <w:tcPr>
            <w:tcW w:w="850" w:type="dxa"/>
            <w:tcBorders>
              <w:right w:val="single" w:sz="4" w:space="0" w:color="auto"/>
            </w:tcBorders>
            <w:shd w:val="clear" w:color="auto" w:fill="auto"/>
            <w:tcMar>
              <w:top w:w="23" w:type="dxa"/>
              <w:left w:w="0" w:type="dxa"/>
              <w:bottom w:w="23" w:type="dxa"/>
              <w:right w:w="0" w:type="dxa"/>
            </w:tcMar>
            <w:vAlign w:val="bottom"/>
          </w:tcPr>
          <w:p w14:paraId="5C54DCDE" w14:textId="77777777" w:rsidR="00A62E51" w:rsidRPr="00A62E51" w:rsidRDefault="00A62E51" w:rsidP="00C00DCF">
            <w:pPr>
              <w:ind w:right="113"/>
              <w:contextualSpacing/>
              <w:jc w:val="right"/>
              <w:rPr>
                <w:rFonts w:ascii="Tahoma" w:hAnsi="Tahoma"/>
                <w:color w:val="000000" w:themeColor="text1"/>
                <w:sz w:val="16"/>
                <w:lang w:val="en-GB"/>
              </w:rPr>
            </w:pPr>
          </w:p>
        </w:tc>
        <w:tc>
          <w:tcPr>
            <w:tcW w:w="1134" w:type="dxa"/>
            <w:tcBorders>
              <w:top w:val="single" w:sz="4" w:space="0" w:color="auto"/>
              <w:left w:val="single" w:sz="4" w:space="0" w:color="auto"/>
            </w:tcBorders>
            <w:shd w:val="clear" w:color="auto" w:fill="auto"/>
            <w:tcMar>
              <w:top w:w="23" w:type="dxa"/>
              <w:left w:w="0" w:type="dxa"/>
              <w:bottom w:w="23" w:type="dxa"/>
              <w:right w:w="0" w:type="dxa"/>
            </w:tcMar>
            <w:vAlign w:val="bottom"/>
          </w:tcPr>
          <w:p w14:paraId="3EAA1DF8" w14:textId="77777777" w:rsidR="00A62E51" w:rsidRPr="00A62E51" w:rsidRDefault="00A62E51" w:rsidP="00C00DCF">
            <w:pPr>
              <w:contextualSpacing/>
              <w:jc w:val="right"/>
              <w:rPr>
                <w:rFonts w:ascii="Tahoma" w:hAnsi="Tahoma"/>
                <w:b/>
                <w:bCs/>
                <w:color w:val="000000" w:themeColor="text1"/>
                <w:sz w:val="16"/>
                <w:lang w:val="en-GB"/>
              </w:rPr>
            </w:pPr>
            <w:r w:rsidRPr="00A62E51">
              <w:rPr>
                <w:rFonts w:ascii="Tahoma" w:hAnsi="Tahoma"/>
                <w:b/>
                <w:bCs/>
                <w:color w:val="000000" w:themeColor="text1"/>
                <w:sz w:val="16"/>
                <w:lang w:val="en-GB"/>
              </w:rPr>
              <w:t>147</w:t>
            </w:r>
          </w:p>
        </w:tc>
        <w:tc>
          <w:tcPr>
            <w:tcW w:w="1134" w:type="dxa"/>
            <w:tcBorders>
              <w:top w:val="single" w:sz="4" w:space="0" w:color="auto"/>
            </w:tcBorders>
            <w:shd w:val="clear" w:color="auto" w:fill="auto"/>
            <w:tcMar>
              <w:top w:w="23" w:type="dxa"/>
              <w:left w:w="0" w:type="dxa"/>
              <w:bottom w:w="23" w:type="dxa"/>
              <w:right w:w="0" w:type="dxa"/>
            </w:tcMar>
            <w:vAlign w:val="bottom"/>
          </w:tcPr>
          <w:p w14:paraId="1F4C8D76" w14:textId="77777777" w:rsidR="00A62E51" w:rsidRPr="00A62E51" w:rsidRDefault="00A62E51" w:rsidP="00C00DCF">
            <w:pPr>
              <w:contextualSpacing/>
              <w:jc w:val="right"/>
              <w:rPr>
                <w:rFonts w:ascii="Tahoma" w:hAnsi="Tahoma"/>
                <w:color w:val="000000" w:themeColor="text1"/>
                <w:sz w:val="16"/>
                <w:lang w:val="en-GB"/>
              </w:rPr>
            </w:pPr>
            <w:r w:rsidRPr="00A62E51">
              <w:rPr>
                <w:rFonts w:ascii="Tahoma" w:hAnsi="Tahoma"/>
                <w:color w:val="000000" w:themeColor="text1"/>
                <w:sz w:val="16"/>
                <w:lang w:val="en-GB"/>
              </w:rPr>
              <w:t>163</w:t>
            </w:r>
          </w:p>
        </w:tc>
        <w:tc>
          <w:tcPr>
            <w:tcW w:w="1134" w:type="dxa"/>
            <w:tcBorders>
              <w:top w:val="single" w:sz="4" w:space="0" w:color="auto"/>
              <w:right w:val="single" w:sz="4" w:space="0" w:color="auto"/>
            </w:tcBorders>
            <w:shd w:val="clear" w:color="auto" w:fill="auto"/>
            <w:tcMar>
              <w:top w:w="23" w:type="dxa"/>
              <w:left w:w="0" w:type="dxa"/>
              <w:bottom w:w="23" w:type="dxa"/>
              <w:right w:w="0" w:type="dxa"/>
            </w:tcMar>
            <w:vAlign w:val="bottom"/>
          </w:tcPr>
          <w:p w14:paraId="56DB9D97" w14:textId="77777777" w:rsidR="00A62E51" w:rsidRPr="00A62E51" w:rsidRDefault="00A62E51" w:rsidP="00C00DCF">
            <w:pPr>
              <w:ind w:right="113"/>
              <w:contextualSpacing/>
              <w:jc w:val="right"/>
              <w:rPr>
                <w:rFonts w:ascii="Tahoma" w:hAnsi="Tahoma"/>
                <w:color w:val="000000" w:themeColor="text1"/>
                <w:sz w:val="16"/>
                <w:lang w:val="en-GB"/>
              </w:rPr>
            </w:pPr>
            <w:r w:rsidRPr="00A62E51">
              <w:rPr>
                <w:rFonts w:ascii="Tahoma" w:hAnsi="Tahoma"/>
                <w:color w:val="000000" w:themeColor="text1"/>
                <w:sz w:val="16"/>
                <w:lang w:val="en-GB"/>
              </w:rPr>
              <w:t>200</w:t>
            </w:r>
          </w:p>
        </w:tc>
      </w:tr>
      <w:tr w:rsidR="00615190" w:rsidRPr="00A62E51" w14:paraId="4EBA6E52" w14:textId="77777777" w:rsidTr="00505D53">
        <w:trPr>
          <w:trHeight w:val="60"/>
        </w:trPr>
        <w:tc>
          <w:tcPr>
            <w:tcW w:w="5954" w:type="dxa"/>
            <w:shd w:val="clear" w:color="auto" w:fill="auto"/>
            <w:tcMar>
              <w:top w:w="23" w:type="dxa"/>
              <w:left w:w="113" w:type="dxa"/>
              <w:bottom w:w="23" w:type="dxa"/>
              <w:right w:w="0" w:type="dxa"/>
            </w:tcMar>
            <w:vAlign w:val="bottom"/>
          </w:tcPr>
          <w:p w14:paraId="34D9E5B0" w14:textId="77777777" w:rsidR="00A62E51" w:rsidRPr="00A62E51" w:rsidRDefault="00A62E51" w:rsidP="00C00DCF">
            <w:pPr>
              <w:contextualSpacing/>
              <w:rPr>
                <w:rFonts w:ascii="Tahoma" w:hAnsi="Tahoma"/>
                <w:color w:val="000000" w:themeColor="text1"/>
                <w:sz w:val="16"/>
                <w:lang w:val="en-GB"/>
              </w:rPr>
            </w:pPr>
            <w:r w:rsidRPr="00A62E51">
              <w:rPr>
                <w:rFonts w:ascii="Tahoma" w:hAnsi="Tahoma"/>
                <w:color w:val="000000" w:themeColor="text1"/>
                <w:sz w:val="16"/>
                <w:lang w:val="en-GB"/>
              </w:rPr>
              <w:t>Liabilities</w:t>
            </w:r>
            <w:r w:rsidRPr="00A62E51">
              <w:rPr>
                <w:rFonts w:ascii="Tahoma" w:hAnsi="Tahoma"/>
                <w:color w:val="000000" w:themeColor="text1"/>
                <w:sz w:val="16"/>
                <w:lang w:val="en-GB"/>
              </w:rPr>
              <w:tab/>
              <w:t>– interest bearing</w:t>
            </w:r>
            <w:r w:rsidRPr="00A62E51">
              <w:rPr>
                <w:rFonts w:ascii="Tahoma" w:hAnsi="Tahoma"/>
                <w:color w:val="000000" w:themeColor="text1"/>
                <w:sz w:val="16"/>
                <w:vertAlign w:val="superscript"/>
                <w:lang w:val="en-GB"/>
              </w:rPr>
              <w:t>2</w:t>
            </w:r>
          </w:p>
        </w:tc>
        <w:tc>
          <w:tcPr>
            <w:tcW w:w="850" w:type="dxa"/>
            <w:tcBorders>
              <w:right w:val="single" w:sz="4" w:space="0" w:color="auto"/>
            </w:tcBorders>
            <w:shd w:val="clear" w:color="auto" w:fill="auto"/>
            <w:tcMar>
              <w:top w:w="23" w:type="dxa"/>
              <w:left w:w="0" w:type="dxa"/>
              <w:bottom w:w="23" w:type="dxa"/>
              <w:right w:w="0" w:type="dxa"/>
            </w:tcMar>
            <w:vAlign w:val="bottom"/>
          </w:tcPr>
          <w:p w14:paraId="264D6A67" w14:textId="77777777" w:rsidR="00A62E51" w:rsidRPr="00A62E51" w:rsidRDefault="00A62E51" w:rsidP="00C00DCF">
            <w:pPr>
              <w:ind w:right="113"/>
              <w:contextualSpacing/>
              <w:jc w:val="right"/>
              <w:rPr>
                <w:rFonts w:ascii="Tahoma" w:hAnsi="Tahoma"/>
                <w:color w:val="000000" w:themeColor="text1"/>
                <w:sz w:val="16"/>
                <w:lang w:val="en-GB"/>
              </w:rPr>
            </w:pPr>
          </w:p>
        </w:tc>
        <w:tc>
          <w:tcPr>
            <w:tcW w:w="1134" w:type="dxa"/>
            <w:tcBorders>
              <w:left w:val="single" w:sz="4" w:space="0" w:color="auto"/>
            </w:tcBorders>
            <w:shd w:val="clear" w:color="auto" w:fill="auto"/>
            <w:tcMar>
              <w:top w:w="23" w:type="dxa"/>
              <w:left w:w="0" w:type="dxa"/>
              <w:bottom w:w="23" w:type="dxa"/>
              <w:right w:w="0" w:type="dxa"/>
            </w:tcMar>
            <w:vAlign w:val="bottom"/>
          </w:tcPr>
          <w:p w14:paraId="02F7C69E" w14:textId="77777777" w:rsidR="00A62E51" w:rsidRPr="00A62E51" w:rsidRDefault="00A62E51" w:rsidP="00C00DCF">
            <w:pPr>
              <w:contextualSpacing/>
              <w:jc w:val="right"/>
              <w:rPr>
                <w:rFonts w:ascii="Tahoma" w:hAnsi="Tahoma"/>
                <w:b/>
                <w:bCs/>
                <w:color w:val="000000" w:themeColor="text1"/>
                <w:sz w:val="16"/>
                <w:lang w:val="en-GB"/>
              </w:rPr>
            </w:pPr>
            <w:r w:rsidRPr="00A62E51">
              <w:rPr>
                <w:rFonts w:ascii="Tahoma" w:hAnsi="Tahoma"/>
                <w:b/>
                <w:bCs/>
                <w:color w:val="000000" w:themeColor="text1"/>
                <w:sz w:val="16"/>
                <w:lang w:val="en-GB"/>
              </w:rPr>
              <w:t>14 999</w:t>
            </w:r>
          </w:p>
        </w:tc>
        <w:tc>
          <w:tcPr>
            <w:tcW w:w="1134" w:type="dxa"/>
            <w:shd w:val="clear" w:color="auto" w:fill="auto"/>
            <w:tcMar>
              <w:top w:w="23" w:type="dxa"/>
              <w:left w:w="0" w:type="dxa"/>
              <w:bottom w:w="23" w:type="dxa"/>
              <w:right w:w="0" w:type="dxa"/>
            </w:tcMar>
            <w:vAlign w:val="bottom"/>
          </w:tcPr>
          <w:p w14:paraId="768B3CAA" w14:textId="77777777" w:rsidR="00A62E51" w:rsidRPr="00A62E51" w:rsidRDefault="00A62E51" w:rsidP="00C00DCF">
            <w:pPr>
              <w:contextualSpacing/>
              <w:jc w:val="right"/>
              <w:rPr>
                <w:rFonts w:ascii="Tahoma" w:hAnsi="Tahoma"/>
                <w:color w:val="000000" w:themeColor="text1"/>
                <w:sz w:val="16"/>
                <w:lang w:val="en-GB"/>
              </w:rPr>
            </w:pPr>
            <w:r w:rsidRPr="00A62E51">
              <w:rPr>
                <w:rFonts w:ascii="Tahoma" w:hAnsi="Tahoma"/>
                <w:color w:val="000000" w:themeColor="text1"/>
                <w:sz w:val="16"/>
                <w:lang w:val="en-GB"/>
              </w:rPr>
              <w:t>10 501</w:t>
            </w:r>
          </w:p>
        </w:tc>
        <w:tc>
          <w:tcPr>
            <w:tcW w:w="1134" w:type="dxa"/>
            <w:tcBorders>
              <w:right w:val="single" w:sz="4" w:space="0" w:color="auto"/>
            </w:tcBorders>
            <w:shd w:val="clear" w:color="auto" w:fill="auto"/>
            <w:tcMar>
              <w:top w:w="23" w:type="dxa"/>
              <w:left w:w="0" w:type="dxa"/>
              <w:bottom w:w="23" w:type="dxa"/>
              <w:right w:w="0" w:type="dxa"/>
            </w:tcMar>
            <w:vAlign w:val="bottom"/>
          </w:tcPr>
          <w:p w14:paraId="56A33879" w14:textId="77777777" w:rsidR="00A62E51" w:rsidRPr="00A62E51" w:rsidRDefault="00A62E51" w:rsidP="00C00DCF">
            <w:pPr>
              <w:ind w:right="113"/>
              <w:contextualSpacing/>
              <w:jc w:val="right"/>
              <w:rPr>
                <w:rFonts w:ascii="Tahoma" w:hAnsi="Tahoma"/>
                <w:color w:val="000000" w:themeColor="text1"/>
                <w:sz w:val="16"/>
                <w:lang w:val="en-GB"/>
              </w:rPr>
            </w:pPr>
            <w:r w:rsidRPr="00A62E51">
              <w:rPr>
                <w:rFonts w:ascii="Tahoma" w:hAnsi="Tahoma"/>
                <w:color w:val="000000" w:themeColor="text1"/>
                <w:sz w:val="16"/>
                <w:lang w:val="en-GB"/>
              </w:rPr>
              <w:t>15 611</w:t>
            </w:r>
          </w:p>
        </w:tc>
      </w:tr>
      <w:tr w:rsidR="00615190" w:rsidRPr="00A62E51" w14:paraId="0BC8ADD9" w14:textId="77777777" w:rsidTr="00505D53">
        <w:trPr>
          <w:trHeight w:val="60"/>
        </w:trPr>
        <w:tc>
          <w:tcPr>
            <w:tcW w:w="5954" w:type="dxa"/>
            <w:shd w:val="clear" w:color="auto" w:fill="auto"/>
            <w:tcMar>
              <w:top w:w="23" w:type="dxa"/>
              <w:left w:w="113" w:type="dxa"/>
              <w:bottom w:w="23" w:type="dxa"/>
              <w:right w:w="0" w:type="dxa"/>
            </w:tcMar>
            <w:vAlign w:val="bottom"/>
          </w:tcPr>
          <w:p w14:paraId="61271D00" w14:textId="77777777" w:rsidR="00A62E51" w:rsidRPr="00A62E51" w:rsidRDefault="00A62E51" w:rsidP="00C00DCF">
            <w:pPr>
              <w:contextualSpacing/>
              <w:rPr>
                <w:rFonts w:ascii="Tahoma" w:hAnsi="Tahoma"/>
                <w:color w:val="000000" w:themeColor="text1"/>
                <w:sz w:val="16"/>
                <w:lang w:val="en-GB"/>
              </w:rPr>
            </w:pPr>
            <w:r w:rsidRPr="00A62E51">
              <w:rPr>
                <w:rFonts w:ascii="Tahoma" w:hAnsi="Tahoma"/>
                <w:color w:val="000000" w:themeColor="text1"/>
                <w:sz w:val="16"/>
                <w:lang w:val="en-GB"/>
              </w:rPr>
              <w:tab/>
              <w:t>– non-interest bearing</w:t>
            </w:r>
          </w:p>
        </w:tc>
        <w:tc>
          <w:tcPr>
            <w:tcW w:w="850" w:type="dxa"/>
            <w:tcBorders>
              <w:right w:val="single" w:sz="4" w:space="0" w:color="auto"/>
            </w:tcBorders>
            <w:shd w:val="clear" w:color="auto" w:fill="auto"/>
            <w:tcMar>
              <w:top w:w="23" w:type="dxa"/>
              <w:left w:w="0" w:type="dxa"/>
              <w:bottom w:w="23" w:type="dxa"/>
              <w:right w:w="0" w:type="dxa"/>
            </w:tcMar>
            <w:vAlign w:val="bottom"/>
          </w:tcPr>
          <w:p w14:paraId="34906157" w14:textId="77777777" w:rsidR="00A62E51" w:rsidRPr="00A62E51" w:rsidRDefault="00A62E51" w:rsidP="00C00DCF">
            <w:pPr>
              <w:ind w:right="113"/>
              <w:contextualSpacing/>
              <w:jc w:val="right"/>
              <w:rPr>
                <w:rFonts w:ascii="Tahoma" w:hAnsi="Tahoma"/>
                <w:color w:val="000000" w:themeColor="text1"/>
                <w:sz w:val="16"/>
                <w:lang w:val="en-GB"/>
              </w:rPr>
            </w:pPr>
          </w:p>
        </w:tc>
        <w:tc>
          <w:tcPr>
            <w:tcW w:w="1134" w:type="dxa"/>
            <w:tcBorders>
              <w:left w:val="single" w:sz="4" w:space="0" w:color="auto"/>
            </w:tcBorders>
            <w:shd w:val="clear" w:color="auto" w:fill="auto"/>
            <w:tcMar>
              <w:top w:w="23" w:type="dxa"/>
              <w:left w:w="0" w:type="dxa"/>
              <w:bottom w:w="23" w:type="dxa"/>
              <w:right w:w="0" w:type="dxa"/>
            </w:tcMar>
            <w:vAlign w:val="bottom"/>
          </w:tcPr>
          <w:p w14:paraId="21F3265E" w14:textId="77777777" w:rsidR="00A62E51" w:rsidRPr="00A62E51" w:rsidRDefault="00A62E51" w:rsidP="00C00DCF">
            <w:pPr>
              <w:contextualSpacing/>
              <w:jc w:val="right"/>
              <w:rPr>
                <w:rFonts w:ascii="Tahoma" w:hAnsi="Tahoma"/>
                <w:b/>
                <w:bCs/>
                <w:color w:val="000000" w:themeColor="text1"/>
                <w:sz w:val="16"/>
                <w:lang w:val="en-GB"/>
              </w:rPr>
            </w:pPr>
            <w:r w:rsidRPr="00A62E51">
              <w:rPr>
                <w:rFonts w:ascii="Tahoma" w:hAnsi="Tahoma"/>
                <w:b/>
                <w:bCs/>
                <w:color w:val="000000" w:themeColor="text1"/>
                <w:sz w:val="16"/>
                <w:lang w:val="en-GB"/>
              </w:rPr>
              <w:t>20</w:t>
            </w:r>
          </w:p>
        </w:tc>
        <w:tc>
          <w:tcPr>
            <w:tcW w:w="1134" w:type="dxa"/>
            <w:shd w:val="clear" w:color="auto" w:fill="auto"/>
            <w:tcMar>
              <w:top w:w="23" w:type="dxa"/>
              <w:left w:w="0" w:type="dxa"/>
              <w:bottom w:w="23" w:type="dxa"/>
              <w:right w:w="0" w:type="dxa"/>
            </w:tcMar>
            <w:vAlign w:val="bottom"/>
          </w:tcPr>
          <w:p w14:paraId="08139CDF" w14:textId="77777777" w:rsidR="00A62E51" w:rsidRPr="00A62E51" w:rsidRDefault="00A62E51" w:rsidP="00C00DCF">
            <w:pPr>
              <w:contextualSpacing/>
              <w:jc w:val="right"/>
              <w:rPr>
                <w:rFonts w:ascii="Tahoma" w:hAnsi="Tahoma"/>
                <w:color w:val="000000" w:themeColor="text1"/>
                <w:sz w:val="16"/>
                <w:lang w:val="en-GB"/>
              </w:rPr>
            </w:pPr>
            <w:r w:rsidRPr="00A62E51">
              <w:rPr>
                <w:rFonts w:ascii="Tahoma" w:hAnsi="Tahoma"/>
                <w:color w:val="000000" w:themeColor="text1"/>
                <w:sz w:val="16"/>
                <w:lang w:val="en-GB"/>
              </w:rPr>
              <w:t>64</w:t>
            </w:r>
          </w:p>
        </w:tc>
        <w:tc>
          <w:tcPr>
            <w:tcW w:w="1134" w:type="dxa"/>
            <w:tcBorders>
              <w:right w:val="single" w:sz="4" w:space="0" w:color="auto"/>
            </w:tcBorders>
            <w:shd w:val="clear" w:color="auto" w:fill="auto"/>
            <w:tcMar>
              <w:top w:w="23" w:type="dxa"/>
              <w:left w:w="0" w:type="dxa"/>
              <w:bottom w:w="23" w:type="dxa"/>
              <w:right w:w="0" w:type="dxa"/>
            </w:tcMar>
            <w:vAlign w:val="bottom"/>
          </w:tcPr>
          <w:p w14:paraId="7375DDBE" w14:textId="77777777" w:rsidR="00A62E51" w:rsidRPr="00A62E51" w:rsidRDefault="00A62E51" w:rsidP="00C00DCF">
            <w:pPr>
              <w:ind w:right="113"/>
              <w:contextualSpacing/>
              <w:jc w:val="right"/>
              <w:rPr>
                <w:rFonts w:ascii="Tahoma" w:hAnsi="Tahoma"/>
                <w:color w:val="000000" w:themeColor="text1"/>
                <w:sz w:val="16"/>
                <w:lang w:val="en-GB"/>
              </w:rPr>
            </w:pPr>
            <w:r w:rsidRPr="00A62E51">
              <w:rPr>
                <w:rFonts w:ascii="Tahoma" w:hAnsi="Tahoma"/>
                <w:color w:val="000000" w:themeColor="text1"/>
                <w:sz w:val="16"/>
                <w:lang w:val="en-GB"/>
              </w:rPr>
              <w:t>50</w:t>
            </w:r>
          </w:p>
        </w:tc>
      </w:tr>
      <w:tr w:rsidR="00615190" w:rsidRPr="00A62E51" w14:paraId="12B938CF" w14:textId="77777777" w:rsidTr="00505D53">
        <w:trPr>
          <w:trHeight w:val="60"/>
        </w:trPr>
        <w:tc>
          <w:tcPr>
            <w:tcW w:w="5954" w:type="dxa"/>
            <w:shd w:val="clear" w:color="auto" w:fill="auto"/>
            <w:tcMar>
              <w:top w:w="23" w:type="dxa"/>
              <w:left w:w="113" w:type="dxa"/>
              <w:bottom w:w="23" w:type="dxa"/>
              <w:right w:w="0" w:type="dxa"/>
            </w:tcMar>
            <w:vAlign w:val="bottom"/>
          </w:tcPr>
          <w:p w14:paraId="2CC21FFF" w14:textId="77777777" w:rsidR="00A62E51" w:rsidRPr="00A62E51" w:rsidRDefault="00A62E51" w:rsidP="00C00DCF">
            <w:pPr>
              <w:contextualSpacing/>
              <w:rPr>
                <w:rFonts w:ascii="Tahoma" w:hAnsi="Tahoma"/>
                <w:color w:val="000000" w:themeColor="text1"/>
                <w:sz w:val="16"/>
                <w:lang w:val="en-GB"/>
              </w:rPr>
            </w:pPr>
            <w:r w:rsidRPr="00A62E51">
              <w:rPr>
                <w:rFonts w:ascii="Tahoma" w:hAnsi="Tahoma"/>
                <w:color w:val="000000" w:themeColor="text1"/>
                <w:sz w:val="16"/>
                <w:lang w:val="en-GB"/>
              </w:rPr>
              <w:t>Other non-current liabilities</w:t>
            </w:r>
            <w:r w:rsidRPr="00A62E51">
              <w:rPr>
                <w:rFonts w:ascii="Tahoma" w:hAnsi="Tahoma"/>
                <w:color w:val="000000" w:themeColor="text1"/>
                <w:sz w:val="16"/>
                <w:vertAlign w:val="superscript"/>
                <w:lang w:val="en-GB"/>
              </w:rPr>
              <w:t>1</w:t>
            </w:r>
          </w:p>
        </w:tc>
        <w:tc>
          <w:tcPr>
            <w:tcW w:w="850" w:type="dxa"/>
            <w:tcBorders>
              <w:right w:val="single" w:sz="4" w:space="0" w:color="auto"/>
            </w:tcBorders>
            <w:shd w:val="clear" w:color="auto" w:fill="auto"/>
            <w:tcMar>
              <w:top w:w="23" w:type="dxa"/>
              <w:left w:w="0" w:type="dxa"/>
              <w:bottom w:w="23" w:type="dxa"/>
              <w:right w:w="0" w:type="dxa"/>
            </w:tcMar>
            <w:vAlign w:val="bottom"/>
          </w:tcPr>
          <w:p w14:paraId="2E523C06" w14:textId="77777777" w:rsidR="00A62E51" w:rsidRPr="00A62E51" w:rsidRDefault="00A62E51" w:rsidP="00C00DCF">
            <w:pPr>
              <w:ind w:right="113"/>
              <w:contextualSpacing/>
              <w:jc w:val="right"/>
              <w:rPr>
                <w:rFonts w:ascii="Tahoma" w:hAnsi="Tahoma"/>
                <w:color w:val="000000" w:themeColor="text1"/>
                <w:sz w:val="16"/>
                <w:lang w:val="en-GB"/>
              </w:rPr>
            </w:pPr>
          </w:p>
        </w:tc>
        <w:tc>
          <w:tcPr>
            <w:tcW w:w="1134" w:type="dxa"/>
            <w:tcBorders>
              <w:left w:val="single" w:sz="4" w:space="0" w:color="auto"/>
            </w:tcBorders>
            <w:shd w:val="clear" w:color="auto" w:fill="auto"/>
            <w:tcMar>
              <w:top w:w="23" w:type="dxa"/>
              <w:left w:w="0" w:type="dxa"/>
              <w:bottom w:w="23" w:type="dxa"/>
              <w:right w:w="0" w:type="dxa"/>
            </w:tcMar>
            <w:vAlign w:val="bottom"/>
          </w:tcPr>
          <w:p w14:paraId="23D58979" w14:textId="77777777" w:rsidR="00A62E51" w:rsidRPr="00A62E51" w:rsidRDefault="00A62E51" w:rsidP="00C00DCF">
            <w:pPr>
              <w:contextualSpacing/>
              <w:jc w:val="right"/>
              <w:rPr>
                <w:rFonts w:ascii="Tahoma" w:hAnsi="Tahoma"/>
                <w:b/>
                <w:bCs/>
                <w:color w:val="000000" w:themeColor="text1"/>
                <w:sz w:val="16"/>
                <w:lang w:val="en-GB"/>
              </w:rPr>
            </w:pPr>
            <w:r w:rsidRPr="00A62E51">
              <w:rPr>
                <w:rFonts w:ascii="Tahoma" w:hAnsi="Tahoma"/>
                <w:b/>
                <w:bCs/>
                <w:color w:val="000000" w:themeColor="text1"/>
                <w:sz w:val="16"/>
                <w:lang w:val="en-GB"/>
              </w:rPr>
              <w:t>146</w:t>
            </w:r>
          </w:p>
        </w:tc>
        <w:tc>
          <w:tcPr>
            <w:tcW w:w="1134" w:type="dxa"/>
            <w:shd w:val="clear" w:color="auto" w:fill="auto"/>
            <w:tcMar>
              <w:top w:w="23" w:type="dxa"/>
              <w:left w:w="0" w:type="dxa"/>
              <w:bottom w:w="23" w:type="dxa"/>
              <w:right w:w="0" w:type="dxa"/>
            </w:tcMar>
            <w:vAlign w:val="bottom"/>
          </w:tcPr>
          <w:p w14:paraId="5207B1E2" w14:textId="77777777" w:rsidR="00A62E51" w:rsidRPr="00A62E51" w:rsidRDefault="00A62E51" w:rsidP="00C00DCF">
            <w:pPr>
              <w:contextualSpacing/>
              <w:jc w:val="right"/>
              <w:rPr>
                <w:rFonts w:ascii="Tahoma" w:hAnsi="Tahoma"/>
                <w:color w:val="000000" w:themeColor="text1"/>
                <w:sz w:val="16"/>
                <w:lang w:val="en-GB"/>
              </w:rPr>
            </w:pPr>
            <w:r w:rsidRPr="00A62E51">
              <w:rPr>
                <w:rFonts w:ascii="Tahoma" w:hAnsi="Tahoma"/>
                <w:color w:val="000000" w:themeColor="text1"/>
                <w:sz w:val="16"/>
                <w:lang w:val="en-GB"/>
              </w:rPr>
              <w:t>223</w:t>
            </w:r>
          </w:p>
        </w:tc>
        <w:tc>
          <w:tcPr>
            <w:tcW w:w="1134" w:type="dxa"/>
            <w:tcBorders>
              <w:right w:val="single" w:sz="4" w:space="0" w:color="auto"/>
            </w:tcBorders>
            <w:shd w:val="clear" w:color="auto" w:fill="auto"/>
            <w:tcMar>
              <w:top w:w="23" w:type="dxa"/>
              <w:left w:w="0" w:type="dxa"/>
              <w:bottom w:w="23" w:type="dxa"/>
              <w:right w:w="0" w:type="dxa"/>
            </w:tcMar>
            <w:vAlign w:val="bottom"/>
          </w:tcPr>
          <w:p w14:paraId="0C401D85" w14:textId="77777777" w:rsidR="00A62E51" w:rsidRPr="00A62E51" w:rsidRDefault="00A62E51" w:rsidP="00C00DCF">
            <w:pPr>
              <w:ind w:right="113"/>
              <w:contextualSpacing/>
              <w:jc w:val="right"/>
              <w:rPr>
                <w:rFonts w:ascii="Tahoma" w:hAnsi="Tahoma"/>
                <w:color w:val="000000" w:themeColor="text1"/>
                <w:sz w:val="16"/>
                <w:lang w:val="en-GB"/>
              </w:rPr>
            </w:pPr>
            <w:r w:rsidRPr="00A62E51">
              <w:rPr>
                <w:rFonts w:ascii="Tahoma" w:hAnsi="Tahoma"/>
                <w:color w:val="000000" w:themeColor="text1"/>
                <w:sz w:val="16"/>
                <w:lang w:val="en-GB"/>
              </w:rPr>
              <w:t>170</w:t>
            </w:r>
          </w:p>
        </w:tc>
      </w:tr>
      <w:tr w:rsidR="00615190" w:rsidRPr="00A62E51" w14:paraId="5A4C82F4" w14:textId="77777777" w:rsidTr="00505D53">
        <w:trPr>
          <w:trHeight w:val="60"/>
        </w:trPr>
        <w:tc>
          <w:tcPr>
            <w:tcW w:w="5954" w:type="dxa"/>
            <w:shd w:val="clear" w:color="auto" w:fill="auto"/>
            <w:tcMar>
              <w:top w:w="23" w:type="dxa"/>
              <w:left w:w="113" w:type="dxa"/>
              <w:bottom w:w="23" w:type="dxa"/>
              <w:right w:w="0" w:type="dxa"/>
            </w:tcMar>
            <w:vAlign w:val="bottom"/>
          </w:tcPr>
          <w:p w14:paraId="66C5073B" w14:textId="77777777" w:rsidR="00A62E51" w:rsidRPr="00A62E51" w:rsidRDefault="00A62E51" w:rsidP="00C00DCF">
            <w:pPr>
              <w:contextualSpacing/>
              <w:rPr>
                <w:rFonts w:ascii="Tahoma" w:hAnsi="Tahoma"/>
                <w:color w:val="000000" w:themeColor="text1"/>
                <w:sz w:val="16"/>
                <w:lang w:val="en-GB"/>
              </w:rPr>
            </w:pPr>
            <w:r w:rsidRPr="00A62E51">
              <w:rPr>
                <w:rFonts w:ascii="Tahoma" w:hAnsi="Tahoma"/>
                <w:color w:val="000000" w:themeColor="text1"/>
                <w:sz w:val="16"/>
                <w:lang w:val="en-GB"/>
              </w:rPr>
              <w:t>Cash-settled share-based payment liabilities</w:t>
            </w:r>
          </w:p>
        </w:tc>
        <w:tc>
          <w:tcPr>
            <w:tcW w:w="850" w:type="dxa"/>
            <w:tcBorders>
              <w:right w:val="single" w:sz="4" w:space="0" w:color="auto"/>
            </w:tcBorders>
            <w:shd w:val="clear" w:color="auto" w:fill="auto"/>
            <w:tcMar>
              <w:top w:w="23" w:type="dxa"/>
              <w:left w:w="0" w:type="dxa"/>
              <w:bottom w:w="23" w:type="dxa"/>
              <w:right w:w="0" w:type="dxa"/>
            </w:tcMar>
            <w:vAlign w:val="bottom"/>
          </w:tcPr>
          <w:p w14:paraId="2FB35ED1" w14:textId="77777777" w:rsidR="00A62E51" w:rsidRPr="00A62E51" w:rsidRDefault="00A62E51" w:rsidP="00C00DCF">
            <w:pPr>
              <w:ind w:right="113"/>
              <w:contextualSpacing/>
              <w:jc w:val="right"/>
              <w:rPr>
                <w:rFonts w:ascii="Tahoma" w:hAnsi="Tahoma"/>
                <w:color w:val="000000" w:themeColor="text1"/>
                <w:sz w:val="16"/>
                <w:lang w:val="en-GB"/>
              </w:rPr>
            </w:pPr>
            <w:r w:rsidRPr="00A62E51">
              <w:rPr>
                <w:rFonts w:ascii="Tahoma" w:hAnsi="Tahoma"/>
                <w:color w:val="000000" w:themeColor="text1"/>
                <w:sz w:val="16"/>
                <w:lang w:val="en-GB"/>
              </w:rPr>
              <w:t>15</w:t>
            </w:r>
          </w:p>
        </w:tc>
        <w:tc>
          <w:tcPr>
            <w:tcW w:w="1134" w:type="dxa"/>
            <w:tcBorders>
              <w:left w:val="single" w:sz="4" w:space="0" w:color="auto"/>
            </w:tcBorders>
            <w:shd w:val="clear" w:color="auto" w:fill="auto"/>
            <w:tcMar>
              <w:top w:w="23" w:type="dxa"/>
              <w:left w:w="0" w:type="dxa"/>
              <w:bottom w:w="23" w:type="dxa"/>
              <w:right w:w="0" w:type="dxa"/>
            </w:tcMar>
            <w:vAlign w:val="bottom"/>
          </w:tcPr>
          <w:p w14:paraId="0F493F7C" w14:textId="77777777" w:rsidR="00A62E51" w:rsidRPr="00A62E51" w:rsidRDefault="00A62E51" w:rsidP="00C00DCF">
            <w:pPr>
              <w:contextualSpacing/>
              <w:jc w:val="right"/>
              <w:rPr>
                <w:rFonts w:ascii="Tahoma" w:hAnsi="Tahoma"/>
                <w:b/>
                <w:bCs/>
                <w:color w:val="000000" w:themeColor="text1"/>
                <w:sz w:val="16"/>
                <w:lang w:val="en-GB"/>
              </w:rPr>
            </w:pPr>
            <w:r w:rsidRPr="00A62E51">
              <w:rPr>
                <w:rFonts w:ascii="Tahoma" w:hAnsi="Tahoma"/>
                <w:b/>
                <w:bCs/>
                <w:color w:val="000000" w:themeColor="text1"/>
                <w:sz w:val="16"/>
                <w:lang w:val="en-GB"/>
              </w:rPr>
              <w:t>75</w:t>
            </w:r>
          </w:p>
        </w:tc>
        <w:tc>
          <w:tcPr>
            <w:tcW w:w="1134" w:type="dxa"/>
            <w:shd w:val="clear" w:color="auto" w:fill="auto"/>
            <w:tcMar>
              <w:top w:w="23" w:type="dxa"/>
              <w:left w:w="0" w:type="dxa"/>
              <w:bottom w:w="23" w:type="dxa"/>
              <w:right w:w="0" w:type="dxa"/>
            </w:tcMar>
            <w:vAlign w:val="bottom"/>
          </w:tcPr>
          <w:p w14:paraId="08153D6F" w14:textId="77777777" w:rsidR="00A62E51" w:rsidRPr="00A62E51" w:rsidRDefault="00A62E51" w:rsidP="00C00DCF">
            <w:pPr>
              <w:contextualSpacing/>
              <w:jc w:val="right"/>
              <w:rPr>
                <w:rFonts w:ascii="Tahoma" w:hAnsi="Tahoma"/>
                <w:color w:val="000000" w:themeColor="text1"/>
                <w:sz w:val="16"/>
                <w:lang w:val="en-GB"/>
              </w:rPr>
            </w:pPr>
            <w:r w:rsidRPr="00A62E51">
              <w:rPr>
                <w:rFonts w:ascii="Tahoma" w:hAnsi="Tahoma"/>
                <w:color w:val="000000" w:themeColor="text1"/>
                <w:sz w:val="16"/>
                <w:lang w:val="en-GB"/>
              </w:rPr>
              <w:t>198</w:t>
            </w:r>
          </w:p>
        </w:tc>
        <w:tc>
          <w:tcPr>
            <w:tcW w:w="1134" w:type="dxa"/>
            <w:tcBorders>
              <w:right w:val="single" w:sz="4" w:space="0" w:color="auto"/>
            </w:tcBorders>
            <w:shd w:val="clear" w:color="auto" w:fill="auto"/>
            <w:tcMar>
              <w:top w:w="23" w:type="dxa"/>
              <w:left w:w="0" w:type="dxa"/>
              <w:bottom w:w="23" w:type="dxa"/>
              <w:right w:w="0" w:type="dxa"/>
            </w:tcMar>
            <w:vAlign w:val="bottom"/>
          </w:tcPr>
          <w:p w14:paraId="31E28672" w14:textId="77777777" w:rsidR="00A62E51" w:rsidRPr="00A62E51" w:rsidRDefault="00A62E51" w:rsidP="00C00DCF">
            <w:pPr>
              <w:ind w:right="113"/>
              <w:contextualSpacing/>
              <w:jc w:val="right"/>
              <w:rPr>
                <w:rFonts w:ascii="Tahoma" w:hAnsi="Tahoma"/>
                <w:color w:val="000000" w:themeColor="text1"/>
                <w:sz w:val="16"/>
                <w:lang w:val="en-GB"/>
              </w:rPr>
            </w:pPr>
            <w:r w:rsidRPr="00A62E51">
              <w:rPr>
                <w:rFonts w:ascii="Tahoma" w:hAnsi="Tahoma"/>
                <w:color w:val="000000" w:themeColor="text1"/>
                <w:sz w:val="16"/>
                <w:lang w:val="en-GB"/>
              </w:rPr>
              <w:t>163</w:t>
            </w:r>
          </w:p>
        </w:tc>
      </w:tr>
      <w:tr w:rsidR="00615190" w:rsidRPr="00A62E51" w14:paraId="7A64BD73" w14:textId="77777777" w:rsidTr="00505D53">
        <w:trPr>
          <w:trHeight w:val="60"/>
        </w:trPr>
        <w:tc>
          <w:tcPr>
            <w:tcW w:w="5954" w:type="dxa"/>
            <w:shd w:val="clear" w:color="auto" w:fill="auto"/>
            <w:tcMar>
              <w:top w:w="23" w:type="dxa"/>
              <w:left w:w="113" w:type="dxa"/>
              <w:bottom w:w="23" w:type="dxa"/>
              <w:right w:w="0" w:type="dxa"/>
            </w:tcMar>
            <w:vAlign w:val="bottom"/>
          </w:tcPr>
          <w:p w14:paraId="4448A5AE" w14:textId="77777777" w:rsidR="00A62E51" w:rsidRPr="00A62E51" w:rsidRDefault="00A62E51" w:rsidP="00C00DCF">
            <w:pPr>
              <w:contextualSpacing/>
              <w:rPr>
                <w:rFonts w:ascii="Tahoma" w:hAnsi="Tahoma"/>
                <w:color w:val="000000" w:themeColor="text1"/>
                <w:sz w:val="16"/>
                <w:lang w:val="en-GB"/>
              </w:rPr>
            </w:pPr>
            <w:r w:rsidRPr="00A62E51">
              <w:rPr>
                <w:rFonts w:ascii="Tahoma" w:hAnsi="Tahoma"/>
                <w:color w:val="000000" w:themeColor="text1"/>
                <w:sz w:val="16"/>
                <w:lang w:val="en-GB"/>
              </w:rPr>
              <w:t>Deferred taxation</w:t>
            </w:r>
          </w:p>
        </w:tc>
        <w:tc>
          <w:tcPr>
            <w:tcW w:w="850" w:type="dxa"/>
            <w:tcBorders>
              <w:right w:val="single" w:sz="4" w:space="0" w:color="auto"/>
            </w:tcBorders>
            <w:shd w:val="clear" w:color="auto" w:fill="auto"/>
            <w:tcMar>
              <w:top w:w="23" w:type="dxa"/>
              <w:left w:w="0" w:type="dxa"/>
              <w:bottom w:w="23" w:type="dxa"/>
              <w:right w:w="0" w:type="dxa"/>
            </w:tcMar>
            <w:vAlign w:val="bottom"/>
          </w:tcPr>
          <w:p w14:paraId="3208D24A" w14:textId="77777777" w:rsidR="00A62E51" w:rsidRPr="00A62E51" w:rsidRDefault="00A62E51" w:rsidP="00C00DCF">
            <w:pPr>
              <w:ind w:right="113"/>
              <w:contextualSpacing/>
              <w:jc w:val="right"/>
              <w:rPr>
                <w:rFonts w:ascii="Tahoma" w:hAnsi="Tahoma"/>
                <w:color w:val="000000" w:themeColor="text1"/>
                <w:sz w:val="16"/>
                <w:lang w:val="en-GB"/>
              </w:rPr>
            </w:pPr>
          </w:p>
        </w:tc>
        <w:tc>
          <w:tcPr>
            <w:tcW w:w="1134" w:type="dxa"/>
            <w:tcBorders>
              <w:left w:val="single" w:sz="4" w:space="0" w:color="auto"/>
              <w:bottom w:val="single" w:sz="4" w:space="0" w:color="auto"/>
            </w:tcBorders>
            <w:shd w:val="clear" w:color="auto" w:fill="auto"/>
            <w:tcMar>
              <w:top w:w="23" w:type="dxa"/>
              <w:left w:w="0" w:type="dxa"/>
              <w:bottom w:w="23" w:type="dxa"/>
              <w:right w:w="0" w:type="dxa"/>
            </w:tcMar>
            <w:vAlign w:val="bottom"/>
          </w:tcPr>
          <w:p w14:paraId="17781EB4" w14:textId="77777777" w:rsidR="00A62E51" w:rsidRPr="00A62E51" w:rsidRDefault="00A62E51" w:rsidP="00C00DCF">
            <w:pPr>
              <w:contextualSpacing/>
              <w:jc w:val="right"/>
              <w:rPr>
                <w:rFonts w:ascii="Tahoma" w:hAnsi="Tahoma"/>
                <w:b/>
                <w:bCs/>
                <w:color w:val="000000" w:themeColor="text1"/>
                <w:sz w:val="16"/>
                <w:lang w:val="en-GB"/>
              </w:rPr>
            </w:pPr>
            <w:r w:rsidRPr="00A62E51">
              <w:rPr>
                <w:rFonts w:ascii="Tahoma" w:hAnsi="Tahoma"/>
                <w:b/>
                <w:bCs/>
                <w:color w:val="000000" w:themeColor="text1"/>
                <w:sz w:val="16"/>
                <w:lang w:val="en-GB"/>
              </w:rPr>
              <w:t>113</w:t>
            </w:r>
          </w:p>
        </w:tc>
        <w:tc>
          <w:tcPr>
            <w:tcW w:w="1134" w:type="dxa"/>
            <w:tcBorders>
              <w:bottom w:val="single" w:sz="4" w:space="0" w:color="auto"/>
            </w:tcBorders>
            <w:shd w:val="clear" w:color="auto" w:fill="auto"/>
            <w:tcMar>
              <w:top w:w="23" w:type="dxa"/>
              <w:left w:w="0" w:type="dxa"/>
              <w:bottom w:w="23" w:type="dxa"/>
              <w:right w:w="0" w:type="dxa"/>
            </w:tcMar>
            <w:vAlign w:val="bottom"/>
          </w:tcPr>
          <w:p w14:paraId="763E8D3E" w14:textId="77777777" w:rsidR="00A62E51" w:rsidRPr="00A62E51" w:rsidRDefault="00A62E51" w:rsidP="00C00DCF">
            <w:pPr>
              <w:contextualSpacing/>
              <w:jc w:val="right"/>
              <w:rPr>
                <w:rFonts w:ascii="Tahoma" w:hAnsi="Tahoma"/>
                <w:color w:val="000000" w:themeColor="text1"/>
                <w:sz w:val="16"/>
                <w:lang w:val="en-GB"/>
              </w:rPr>
            </w:pPr>
            <w:r w:rsidRPr="00A62E51">
              <w:rPr>
                <w:rFonts w:ascii="Tahoma" w:hAnsi="Tahoma"/>
                <w:color w:val="000000" w:themeColor="text1"/>
                <w:sz w:val="16"/>
                <w:lang w:val="en-GB"/>
              </w:rPr>
              <w:t>231</w:t>
            </w:r>
          </w:p>
        </w:tc>
        <w:tc>
          <w:tcPr>
            <w:tcW w:w="1134" w:type="dxa"/>
            <w:tcBorders>
              <w:bottom w:val="single" w:sz="4" w:space="0" w:color="auto"/>
              <w:right w:val="single" w:sz="4" w:space="0" w:color="auto"/>
            </w:tcBorders>
            <w:shd w:val="clear" w:color="auto" w:fill="auto"/>
            <w:tcMar>
              <w:top w:w="23" w:type="dxa"/>
              <w:left w:w="0" w:type="dxa"/>
              <w:bottom w:w="23" w:type="dxa"/>
              <w:right w:w="0" w:type="dxa"/>
            </w:tcMar>
            <w:vAlign w:val="bottom"/>
          </w:tcPr>
          <w:p w14:paraId="58BD8A05" w14:textId="77777777" w:rsidR="00A62E51" w:rsidRPr="00A62E51" w:rsidRDefault="00A62E51" w:rsidP="00C00DCF">
            <w:pPr>
              <w:ind w:right="113"/>
              <w:contextualSpacing/>
              <w:jc w:val="right"/>
              <w:rPr>
                <w:rFonts w:ascii="Tahoma" w:hAnsi="Tahoma"/>
                <w:color w:val="000000" w:themeColor="text1"/>
                <w:sz w:val="16"/>
                <w:lang w:val="en-GB"/>
              </w:rPr>
            </w:pPr>
            <w:r w:rsidRPr="00A62E51">
              <w:rPr>
                <w:rFonts w:ascii="Tahoma" w:hAnsi="Tahoma"/>
                <w:color w:val="000000" w:themeColor="text1"/>
                <w:sz w:val="16"/>
                <w:lang w:val="en-GB"/>
              </w:rPr>
              <w:t>208</w:t>
            </w:r>
          </w:p>
        </w:tc>
      </w:tr>
      <w:tr w:rsidR="00615190" w:rsidRPr="00A62E51" w14:paraId="4A2A61E1" w14:textId="77777777" w:rsidTr="008258F3">
        <w:trPr>
          <w:trHeight w:val="60"/>
        </w:trPr>
        <w:tc>
          <w:tcPr>
            <w:tcW w:w="5954" w:type="dxa"/>
            <w:shd w:val="clear" w:color="auto" w:fill="auto"/>
            <w:tcMar>
              <w:top w:w="23" w:type="dxa"/>
              <w:left w:w="0" w:type="dxa"/>
              <w:bottom w:w="23" w:type="dxa"/>
              <w:right w:w="0" w:type="dxa"/>
            </w:tcMar>
            <w:vAlign w:val="bottom"/>
          </w:tcPr>
          <w:p w14:paraId="05C4EA9A" w14:textId="77777777" w:rsidR="00A62E51" w:rsidRPr="00A62E51" w:rsidRDefault="00A62E51" w:rsidP="00C00DCF">
            <w:pPr>
              <w:contextualSpacing/>
              <w:rPr>
                <w:rFonts w:ascii="Tahoma" w:hAnsi="Tahoma"/>
                <w:b/>
                <w:bCs/>
                <w:color w:val="000000" w:themeColor="text1"/>
                <w:sz w:val="16"/>
                <w:lang w:val="en-GB"/>
              </w:rPr>
            </w:pPr>
            <w:r w:rsidRPr="00A62E51">
              <w:rPr>
                <w:rFonts w:ascii="Tahoma" w:hAnsi="Tahoma"/>
                <w:b/>
                <w:bCs/>
                <w:color w:val="000000" w:themeColor="text1"/>
                <w:sz w:val="16"/>
                <w:lang w:val="en-GB"/>
              </w:rPr>
              <w:t>Current liabilities</w:t>
            </w:r>
          </w:p>
        </w:tc>
        <w:tc>
          <w:tcPr>
            <w:tcW w:w="850" w:type="dxa"/>
            <w:shd w:val="clear" w:color="auto" w:fill="auto"/>
            <w:tcMar>
              <w:top w:w="23" w:type="dxa"/>
              <w:left w:w="0" w:type="dxa"/>
              <w:bottom w:w="23" w:type="dxa"/>
              <w:right w:w="0" w:type="dxa"/>
            </w:tcMar>
            <w:vAlign w:val="bottom"/>
          </w:tcPr>
          <w:p w14:paraId="6E68D94E" w14:textId="77777777" w:rsidR="00A62E51" w:rsidRPr="00A62E51" w:rsidRDefault="00A62E51" w:rsidP="00C00DCF">
            <w:pPr>
              <w:ind w:right="113"/>
              <w:contextualSpacing/>
              <w:jc w:val="right"/>
              <w:rPr>
                <w:rFonts w:ascii="Tahoma" w:hAnsi="Tahoma"/>
                <w:color w:val="000000" w:themeColor="text1"/>
                <w:sz w:val="16"/>
                <w:lang w:val="en-GB"/>
              </w:rPr>
            </w:pPr>
          </w:p>
        </w:tc>
        <w:tc>
          <w:tcPr>
            <w:tcW w:w="1134" w:type="dxa"/>
            <w:tcBorders>
              <w:top w:val="single" w:sz="4" w:space="0" w:color="auto"/>
              <w:bottom w:val="single" w:sz="4" w:space="0" w:color="auto"/>
            </w:tcBorders>
            <w:shd w:val="clear" w:color="auto" w:fill="auto"/>
            <w:tcMar>
              <w:top w:w="23" w:type="dxa"/>
              <w:left w:w="0" w:type="dxa"/>
              <w:bottom w:w="23" w:type="dxa"/>
              <w:right w:w="0" w:type="dxa"/>
            </w:tcMar>
            <w:vAlign w:val="bottom"/>
          </w:tcPr>
          <w:p w14:paraId="47656A7D" w14:textId="77777777" w:rsidR="00A62E51" w:rsidRPr="00A62E51" w:rsidRDefault="00A62E51" w:rsidP="00C00DCF">
            <w:pPr>
              <w:contextualSpacing/>
              <w:jc w:val="right"/>
              <w:rPr>
                <w:rFonts w:ascii="Tahoma" w:hAnsi="Tahoma"/>
                <w:b/>
                <w:bCs/>
                <w:color w:val="000000" w:themeColor="text1"/>
                <w:sz w:val="16"/>
                <w:lang w:val="en-GB"/>
              </w:rPr>
            </w:pPr>
            <w:r w:rsidRPr="00A62E51">
              <w:rPr>
                <w:rFonts w:ascii="Tahoma" w:hAnsi="Tahoma"/>
                <w:b/>
                <w:bCs/>
                <w:color w:val="000000" w:themeColor="text1"/>
                <w:sz w:val="16"/>
                <w:lang w:val="en-GB"/>
              </w:rPr>
              <w:t>5 593</w:t>
            </w:r>
          </w:p>
        </w:tc>
        <w:tc>
          <w:tcPr>
            <w:tcW w:w="1134" w:type="dxa"/>
            <w:tcBorders>
              <w:top w:val="single" w:sz="4" w:space="0" w:color="auto"/>
              <w:bottom w:val="single" w:sz="4" w:space="0" w:color="auto"/>
            </w:tcBorders>
            <w:shd w:val="clear" w:color="auto" w:fill="auto"/>
            <w:tcMar>
              <w:top w:w="23" w:type="dxa"/>
              <w:left w:w="0" w:type="dxa"/>
              <w:bottom w:w="23" w:type="dxa"/>
              <w:right w:w="0" w:type="dxa"/>
            </w:tcMar>
            <w:vAlign w:val="bottom"/>
          </w:tcPr>
          <w:p w14:paraId="18B31FA5" w14:textId="77777777" w:rsidR="00A62E51" w:rsidRPr="00A62E51" w:rsidRDefault="00A62E51" w:rsidP="00C00DCF">
            <w:pPr>
              <w:contextualSpacing/>
              <w:jc w:val="right"/>
              <w:rPr>
                <w:rFonts w:ascii="Tahoma" w:hAnsi="Tahoma"/>
                <w:color w:val="000000" w:themeColor="text1"/>
                <w:sz w:val="16"/>
                <w:lang w:val="en-GB"/>
              </w:rPr>
            </w:pPr>
            <w:r w:rsidRPr="00A62E51">
              <w:rPr>
                <w:rFonts w:ascii="Tahoma" w:hAnsi="Tahoma"/>
                <w:color w:val="000000" w:themeColor="text1"/>
                <w:sz w:val="16"/>
                <w:lang w:val="en-GB"/>
              </w:rPr>
              <w:t>4 788</w:t>
            </w:r>
          </w:p>
        </w:tc>
        <w:tc>
          <w:tcPr>
            <w:tcW w:w="1134" w:type="dxa"/>
            <w:tcBorders>
              <w:top w:val="single" w:sz="4" w:space="0" w:color="auto"/>
              <w:bottom w:val="single" w:sz="4" w:space="0" w:color="auto"/>
            </w:tcBorders>
            <w:shd w:val="clear" w:color="auto" w:fill="auto"/>
            <w:tcMar>
              <w:top w:w="23" w:type="dxa"/>
              <w:left w:w="0" w:type="dxa"/>
              <w:bottom w:w="23" w:type="dxa"/>
              <w:right w:w="0" w:type="dxa"/>
            </w:tcMar>
            <w:vAlign w:val="bottom"/>
          </w:tcPr>
          <w:p w14:paraId="2AD1B570" w14:textId="77777777" w:rsidR="00A62E51" w:rsidRPr="00A62E51" w:rsidRDefault="00A62E51" w:rsidP="00C00DCF">
            <w:pPr>
              <w:ind w:right="113"/>
              <w:contextualSpacing/>
              <w:jc w:val="right"/>
              <w:rPr>
                <w:rFonts w:ascii="Tahoma" w:hAnsi="Tahoma"/>
                <w:color w:val="000000" w:themeColor="text1"/>
                <w:sz w:val="16"/>
                <w:lang w:val="en-GB"/>
              </w:rPr>
            </w:pPr>
            <w:r w:rsidRPr="00A62E51">
              <w:rPr>
                <w:rFonts w:ascii="Tahoma" w:hAnsi="Tahoma"/>
                <w:color w:val="000000" w:themeColor="text1"/>
                <w:sz w:val="16"/>
                <w:lang w:val="en-GB"/>
              </w:rPr>
              <w:t>4 413</w:t>
            </w:r>
          </w:p>
        </w:tc>
      </w:tr>
      <w:tr w:rsidR="00615190" w:rsidRPr="00A62E51" w14:paraId="1031CCE8" w14:textId="77777777" w:rsidTr="008258F3">
        <w:trPr>
          <w:trHeight w:val="60"/>
        </w:trPr>
        <w:tc>
          <w:tcPr>
            <w:tcW w:w="5954" w:type="dxa"/>
            <w:shd w:val="clear" w:color="auto" w:fill="auto"/>
            <w:tcMar>
              <w:top w:w="23" w:type="dxa"/>
              <w:left w:w="113" w:type="dxa"/>
              <w:bottom w:w="23" w:type="dxa"/>
              <w:right w:w="0" w:type="dxa"/>
            </w:tcMar>
            <w:vAlign w:val="bottom"/>
          </w:tcPr>
          <w:p w14:paraId="56F9C68F" w14:textId="77777777" w:rsidR="00A62E51" w:rsidRPr="00A62E51" w:rsidRDefault="00A62E51" w:rsidP="00C00DCF">
            <w:pPr>
              <w:contextualSpacing/>
              <w:rPr>
                <w:rFonts w:ascii="Tahoma" w:hAnsi="Tahoma"/>
                <w:color w:val="000000" w:themeColor="text1"/>
                <w:sz w:val="16"/>
                <w:lang w:val="en-GB"/>
              </w:rPr>
            </w:pPr>
            <w:r w:rsidRPr="00A62E51">
              <w:rPr>
                <w:rFonts w:ascii="Tahoma" w:hAnsi="Tahoma"/>
                <w:color w:val="000000" w:themeColor="text1"/>
                <w:sz w:val="16"/>
                <w:lang w:val="en-GB"/>
              </w:rPr>
              <w:t>Current portion of long-term debt</w:t>
            </w:r>
          </w:p>
        </w:tc>
        <w:tc>
          <w:tcPr>
            <w:tcW w:w="850" w:type="dxa"/>
            <w:tcBorders>
              <w:right w:val="single" w:sz="4" w:space="0" w:color="auto"/>
            </w:tcBorders>
            <w:shd w:val="clear" w:color="auto" w:fill="auto"/>
            <w:tcMar>
              <w:top w:w="23" w:type="dxa"/>
              <w:left w:w="0" w:type="dxa"/>
              <w:bottom w:w="23" w:type="dxa"/>
              <w:right w:w="0" w:type="dxa"/>
            </w:tcMar>
            <w:vAlign w:val="bottom"/>
          </w:tcPr>
          <w:p w14:paraId="47434346" w14:textId="77777777" w:rsidR="00A62E51" w:rsidRPr="00A62E51" w:rsidRDefault="00A62E51" w:rsidP="00C00DCF">
            <w:pPr>
              <w:ind w:right="113"/>
              <w:contextualSpacing/>
              <w:jc w:val="right"/>
              <w:rPr>
                <w:rFonts w:ascii="Tahoma" w:hAnsi="Tahoma"/>
                <w:color w:val="000000" w:themeColor="text1"/>
                <w:sz w:val="16"/>
                <w:lang w:val="en-GB"/>
              </w:rPr>
            </w:pPr>
          </w:p>
        </w:tc>
        <w:tc>
          <w:tcPr>
            <w:tcW w:w="1134" w:type="dxa"/>
            <w:tcBorders>
              <w:top w:val="single" w:sz="4" w:space="0" w:color="auto"/>
              <w:left w:val="single" w:sz="4" w:space="0" w:color="auto"/>
            </w:tcBorders>
            <w:shd w:val="clear" w:color="auto" w:fill="auto"/>
            <w:tcMar>
              <w:top w:w="23" w:type="dxa"/>
              <w:left w:w="0" w:type="dxa"/>
              <w:bottom w:w="23" w:type="dxa"/>
              <w:right w:w="0" w:type="dxa"/>
            </w:tcMar>
            <w:vAlign w:val="bottom"/>
          </w:tcPr>
          <w:p w14:paraId="7A78C0C6" w14:textId="77777777" w:rsidR="00A62E51" w:rsidRPr="00A62E51" w:rsidRDefault="00A62E51" w:rsidP="00C00DCF">
            <w:pPr>
              <w:contextualSpacing/>
              <w:jc w:val="right"/>
              <w:rPr>
                <w:rFonts w:ascii="Tahoma" w:hAnsi="Tahoma"/>
                <w:b/>
                <w:bCs/>
                <w:color w:val="000000" w:themeColor="text1"/>
                <w:sz w:val="16"/>
                <w:lang w:val="en-GB"/>
              </w:rPr>
            </w:pPr>
            <w:r w:rsidRPr="00A62E51">
              <w:rPr>
                <w:rFonts w:ascii="Tahoma" w:hAnsi="Tahoma"/>
                <w:b/>
                <w:bCs/>
                <w:color w:val="000000" w:themeColor="text1"/>
                <w:sz w:val="16"/>
                <w:lang w:val="en-GB"/>
              </w:rPr>
              <w:t>277</w:t>
            </w:r>
          </w:p>
        </w:tc>
        <w:tc>
          <w:tcPr>
            <w:tcW w:w="1134" w:type="dxa"/>
            <w:tcBorders>
              <w:top w:val="single" w:sz="4" w:space="0" w:color="auto"/>
            </w:tcBorders>
            <w:shd w:val="clear" w:color="auto" w:fill="auto"/>
            <w:tcMar>
              <w:top w:w="23" w:type="dxa"/>
              <w:left w:w="0" w:type="dxa"/>
              <w:bottom w:w="23" w:type="dxa"/>
              <w:right w:w="0" w:type="dxa"/>
            </w:tcMar>
            <w:vAlign w:val="bottom"/>
          </w:tcPr>
          <w:p w14:paraId="05885ECC" w14:textId="77777777" w:rsidR="00A62E51" w:rsidRPr="00A62E51" w:rsidRDefault="00A62E51" w:rsidP="00C00DCF">
            <w:pPr>
              <w:contextualSpacing/>
              <w:jc w:val="right"/>
              <w:rPr>
                <w:rFonts w:ascii="Tahoma" w:hAnsi="Tahoma"/>
                <w:color w:val="000000" w:themeColor="text1"/>
                <w:sz w:val="16"/>
                <w:lang w:val="en-GB"/>
              </w:rPr>
            </w:pPr>
            <w:r w:rsidRPr="00A62E51">
              <w:rPr>
                <w:rFonts w:ascii="Tahoma" w:hAnsi="Tahoma"/>
                <w:color w:val="000000" w:themeColor="text1"/>
                <w:sz w:val="16"/>
                <w:lang w:val="en-GB"/>
              </w:rPr>
              <w:t>116</w:t>
            </w:r>
          </w:p>
        </w:tc>
        <w:tc>
          <w:tcPr>
            <w:tcW w:w="1134" w:type="dxa"/>
            <w:tcBorders>
              <w:top w:val="single" w:sz="4" w:space="0" w:color="auto"/>
              <w:right w:val="single" w:sz="4" w:space="0" w:color="auto"/>
            </w:tcBorders>
            <w:shd w:val="clear" w:color="auto" w:fill="auto"/>
            <w:tcMar>
              <w:top w:w="23" w:type="dxa"/>
              <w:left w:w="0" w:type="dxa"/>
              <w:bottom w:w="23" w:type="dxa"/>
              <w:right w:w="0" w:type="dxa"/>
            </w:tcMar>
            <w:vAlign w:val="bottom"/>
          </w:tcPr>
          <w:p w14:paraId="5BA97D1E" w14:textId="77777777" w:rsidR="00A62E51" w:rsidRPr="00A62E51" w:rsidRDefault="00A62E51" w:rsidP="00C00DCF">
            <w:pPr>
              <w:ind w:right="113"/>
              <w:contextualSpacing/>
              <w:jc w:val="right"/>
              <w:rPr>
                <w:rFonts w:ascii="Tahoma" w:hAnsi="Tahoma"/>
                <w:color w:val="000000" w:themeColor="text1"/>
                <w:sz w:val="16"/>
                <w:lang w:val="en-GB"/>
              </w:rPr>
            </w:pPr>
            <w:r w:rsidRPr="00A62E51">
              <w:rPr>
                <w:rFonts w:ascii="Tahoma" w:hAnsi="Tahoma"/>
                <w:color w:val="000000" w:themeColor="text1"/>
                <w:sz w:val="16"/>
                <w:lang w:val="en-GB"/>
              </w:rPr>
              <w:t>188</w:t>
            </w:r>
          </w:p>
        </w:tc>
      </w:tr>
      <w:tr w:rsidR="00615190" w:rsidRPr="00A62E51" w14:paraId="145D5AB8" w14:textId="77777777" w:rsidTr="008258F3">
        <w:trPr>
          <w:trHeight w:val="60"/>
        </w:trPr>
        <w:tc>
          <w:tcPr>
            <w:tcW w:w="5954" w:type="dxa"/>
            <w:shd w:val="clear" w:color="auto" w:fill="auto"/>
            <w:tcMar>
              <w:top w:w="23" w:type="dxa"/>
              <w:left w:w="113" w:type="dxa"/>
              <w:bottom w:w="23" w:type="dxa"/>
              <w:right w:w="0" w:type="dxa"/>
            </w:tcMar>
            <w:vAlign w:val="bottom"/>
          </w:tcPr>
          <w:p w14:paraId="618E8E10" w14:textId="77777777" w:rsidR="00A62E51" w:rsidRPr="00A62E51" w:rsidRDefault="00A62E51" w:rsidP="00C00DCF">
            <w:pPr>
              <w:contextualSpacing/>
              <w:rPr>
                <w:rFonts w:ascii="Tahoma" w:hAnsi="Tahoma"/>
                <w:color w:val="000000" w:themeColor="text1"/>
                <w:sz w:val="16"/>
                <w:lang w:val="en-GB"/>
              </w:rPr>
            </w:pPr>
            <w:r w:rsidRPr="00A62E51">
              <w:rPr>
                <w:rFonts w:ascii="Tahoma" w:hAnsi="Tahoma"/>
                <w:color w:val="000000" w:themeColor="text1"/>
                <w:sz w:val="16"/>
                <w:lang w:val="en-GB"/>
              </w:rPr>
              <w:t>Trade payables</w:t>
            </w:r>
          </w:p>
        </w:tc>
        <w:tc>
          <w:tcPr>
            <w:tcW w:w="850" w:type="dxa"/>
            <w:tcBorders>
              <w:right w:val="single" w:sz="4" w:space="0" w:color="auto"/>
            </w:tcBorders>
            <w:shd w:val="clear" w:color="auto" w:fill="auto"/>
            <w:tcMar>
              <w:top w:w="23" w:type="dxa"/>
              <w:left w:w="0" w:type="dxa"/>
              <w:bottom w:w="23" w:type="dxa"/>
              <w:right w:w="0" w:type="dxa"/>
            </w:tcMar>
            <w:vAlign w:val="bottom"/>
          </w:tcPr>
          <w:p w14:paraId="34ECD4FA" w14:textId="77777777" w:rsidR="00A62E51" w:rsidRPr="00A62E51" w:rsidRDefault="00A62E51" w:rsidP="00C00DCF">
            <w:pPr>
              <w:ind w:right="113"/>
              <w:contextualSpacing/>
              <w:jc w:val="right"/>
              <w:rPr>
                <w:rFonts w:ascii="Tahoma" w:hAnsi="Tahoma"/>
                <w:color w:val="000000" w:themeColor="text1"/>
                <w:sz w:val="16"/>
                <w:lang w:val="en-GB"/>
              </w:rPr>
            </w:pPr>
          </w:p>
        </w:tc>
        <w:tc>
          <w:tcPr>
            <w:tcW w:w="1134" w:type="dxa"/>
            <w:tcBorders>
              <w:left w:val="single" w:sz="4" w:space="0" w:color="auto"/>
            </w:tcBorders>
            <w:shd w:val="clear" w:color="auto" w:fill="auto"/>
            <w:tcMar>
              <w:top w:w="23" w:type="dxa"/>
              <w:left w:w="0" w:type="dxa"/>
              <w:bottom w:w="23" w:type="dxa"/>
              <w:right w:w="0" w:type="dxa"/>
            </w:tcMar>
            <w:vAlign w:val="bottom"/>
          </w:tcPr>
          <w:p w14:paraId="7CB35A80" w14:textId="77777777" w:rsidR="00A62E51" w:rsidRPr="00A62E51" w:rsidRDefault="00A62E51" w:rsidP="00C00DCF">
            <w:pPr>
              <w:contextualSpacing/>
              <w:jc w:val="right"/>
              <w:rPr>
                <w:rFonts w:ascii="Tahoma" w:hAnsi="Tahoma"/>
                <w:b/>
                <w:bCs/>
                <w:color w:val="000000" w:themeColor="text1"/>
                <w:sz w:val="16"/>
                <w:lang w:val="en-GB"/>
              </w:rPr>
            </w:pPr>
            <w:r w:rsidRPr="00A62E51">
              <w:rPr>
                <w:rFonts w:ascii="Tahoma" w:hAnsi="Tahoma"/>
                <w:b/>
                <w:bCs/>
                <w:color w:val="000000" w:themeColor="text1"/>
                <w:sz w:val="16"/>
                <w:lang w:val="en-GB"/>
              </w:rPr>
              <w:t>332</w:t>
            </w:r>
          </w:p>
        </w:tc>
        <w:tc>
          <w:tcPr>
            <w:tcW w:w="1134" w:type="dxa"/>
            <w:shd w:val="clear" w:color="auto" w:fill="auto"/>
            <w:tcMar>
              <w:top w:w="23" w:type="dxa"/>
              <w:left w:w="0" w:type="dxa"/>
              <w:bottom w:w="23" w:type="dxa"/>
              <w:right w:w="0" w:type="dxa"/>
            </w:tcMar>
            <w:vAlign w:val="bottom"/>
          </w:tcPr>
          <w:p w14:paraId="07A3DEFC" w14:textId="77777777" w:rsidR="00A62E51" w:rsidRPr="00A62E51" w:rsidRDefault="00A62E51" w:rsidP="00C00DCF">
            <w:pPr>
              <w:contextualSpacing/>
              <w:jc w:val="right"/>
              <w:rPr>
                <w:rFonts w:ascii="Tahoma" w:hAnsi="Tahoma"/>
                <w:color w:val="000000" w:themeColor="text1"/>
                <w:sz w:val="16"/>
                <w:lang w:val="en-GB"/>
              </w:rPr>
            </w:pPr>
            <w:r w:rsidRPr="00A62E51">
              <w:rPr>
                <w:rFonts w:ascii="Tahoma" w:hAnsi="Tahoma"/>
                <w:color w:val="000000" w:themeColor="text1"/>
                <w:sz w:val="16"/>
                <w:lang w:val="en-GB"/>
              </w:rPr>
              <w:t>391</w:t>
            </w:r>
          </w:p>
        </w:tc>
        <w:tc>
          <w:tcPr>
            <w:tcW w:w="1134" w:type="dxa"/>
            <w:tcBorders>
              <w:right w:val="single" w:sz="4" w:space="0" w:color="auto"/>
            </w:tcBorders>
            <w:shd w:val="clear" w:color="auto" w:fill="auto"/>
            <w:tcMar>
              <w:top w:w="23" w:type="dxa"/>
              <w:left w:w="0" w:type="dxa"/>
              <w:bottom w:w="23" w:type="dxa"/>
              <w:right w:w="0" w:type="dxa"/>
            </w:tcMar>
            <w:vAlign w:val="bottom"/>
          </w:tcPr>
          <w:p w14:paraId="34AE0E0A" w14:textId="77777777" w:rsidR="00A62E51" w:rsidRPr="00A62E51" w:rsidRDefault="00A62E51" w:rsidP="00C00DCF">
            <w:pPr>
              <w:ind w:right="113"/>
              <w:contextualSpacing/>
              <w:jc w:val="right"/>
              <w:rPr>
                <w:rFonts w:ascii="Tahoma" w:hAnsi="Tahoma"/>
                <w:color w:val="000000" w:themeColor="text1"/>
                <w:sz w:val="16"/>
                <w:lang w:val="en-GB"/>
              </w:rPr>
            </w:pPr>
            <w:r w:rsidRPr="00A62E51">
              <w:rPr>
                <w:rFonts w:ascii="Tahoma" w:hAnsi="Tahoma"/>
                <w:color w:val="000000" w:themeColor="text1"/>
                <w:sz w:val="16"/>
                <w:lang w:val="en-GB"/>
              </w:rPr>
              <w:t>549</w:t>
            </w:r>
          </w:p>
        </w:tc>
      </w:tr>
      <w:tr w:rsidR="00615190" w:rsidRPr="00A62E51" w14:paraId="3BEE5047" w14:textId="77777777" w:rsidTr="008258F3">
        <w:trPr>
          <w:trHeight w:val="60"/>
        </w:trPr>
        <w:tc>
          <w:tcPr>
            <w:tcW w:w="5954" w:type="dxa"/>
            <w:shd w:val="clear" w:color="auto" w:fill="auto"/>
            <w:tcMar>
              <w:top w:w="23" w:type="dxa"/>
              <w:left w:w="113" w:type="dxa"/>
              <w:bottom w:w="23" w:type="dxa"/>
              <w:right w:w="0" w:type="dxa"/>
            </w:tcMar>
            <w:vAlign w:val="bottom"/>
          </w:tcPr>
          <w:p w14:paraId="5C6E0A73" w14:textId="77777777" w:rsidR="00A62E51" w:rsidRPr="00A62E51" w:rsidRDefault="00A62E51" w:rsidP="00C00DCF">
            <w:pPr>
              <w:contextualSpacing/>
              <w:rPr>
                <w:rFonts w:ascii="Tahoma" w:hAnsi="Tahoma"/>
                <w:color w:val="000000" w:themeColor="text1"/>
                <w:sz w:val="16"/>
                <w:lang w:val="en-GB"/>
              </w:rPr>
            </w:pPr>
            <w:r w:rsidRPr="00A62E51">
              <w:rPr>
                <w:rFonts w:ascii="Tahoma" w:hAnsi="Tahoma"/>
                <w:color w:val="000000" w:themeColor="text1"/>
                <w:sz w:val="16"/>
                <w:lang w:val="en-GB"/>
              </w:rPr>
              <w:t>Accrued expenses</w:t>
            </w:r>
          </w:p>
        </w:tc>
        <w:tc>
          <w:tcPr>
            <w:tcW w:w="850" w:type="dxa"/>
            <w:tcBorders>
              <w:right w:val="single" w:sz="4" w:space="0" w:color="auto"/>
            </w:tcBorders>
            <w:shd w:val="clear" w:color="auto" w:fill="auto"/>
            <w:tcMar>
              <w:top w:w="23" w:type="dxa"/>
              <w:left w:w="0" w:type="dxa"/>
              <w:bottom w:w="23" w:type="dxa"/>
              <w:right w:w="0" w:type="dxa"/>
            </w:tcMar>
            <w:vAlign w:val="bottom"/>
          </w:tcPr>
          <w:p w14:paraId="0493D42B" w14:textId="77777777" w:rsidR="00A62E51" w:rsidRPr="00A62E51" w:rsidRDefault="00A62E51" w:rsidP="00C00DCF">
            <w:pPr>
              <w:ind w:right="113"/>
              <w:contextualSpacing/>
              <w:jc w:val="right"/>
              <w:rPr>
                <w:rFonts w:ascii="Tahoma" w:hAnsi="Tahoma"/>
                <w:color w:val="000000" w:themeColor="text1"/>
                <w:sz w:val="16"/>
                <w:lang w:val="en-GB"/>
              </w:rPr>
            </w:pPr>
          </w:p>
        </w:tc>
        <w:tc>
          <w:tcPr>
            <w:tcW w:w="1134" w:type="dxa"/>
            <w:tcBorders>
              <w:left w:val="single" w:sz="4" w:space="0" w:color="auto"/>
            </w:tcBorders>
            <w:shd w:val="clear" w:color="auto" w:fill="auto"/>
            <w:tcMar>
              <w:top w:w="23" w:type="dxa"/>
              <w:left w:w="0" w:type="dxa"/>
              <w:bottom w:w="23" w:type="dxa"/>
              <w:right w:w="0" w:type="dxa"/>
            </w:tcMar>
            <w:vAlign w:val="bottom"/>
          </w:tcPr>
          <w:p w14:paraId="363F28CC" w14:textId="77777777" w:rsidR="00A62E51" w:rsidRPr="00A62E51" w:rsidRDefault="00A62E51" w:rsidP="00C00DCF">
            <w:pPr>
              <w:contextualSpacing/>
              <w:jc w:val="right"/>
              <w:rPr>
                <w:rFonts w:ascii="Tahoma" w:hAnsi="Tahoma"/>
                <w:b/>
                <w:bCs/>
                <w:color w:val="000000" w:themeColor="text1"/>
                <w:sz w:val="16"/>
                <w:lang w:val="en-GB"/>
              </w:rPr>
            </w:pPr>
            <w:r w:rsidRPr="00A62E51">
              <w:rPr>
                <w:rFonts w:ascii="Tahoma" w:hAnsi="Tahoma"/>
                <w:b/>
                <w:bCs/>
                <w:color w:val="000000" w:themeColor="text1"/>
                <w:sz w:val="16"/>
                <w:lang w:val="en-GB"/>
              </w:rPr>
              <w:t>1 573</w:t>
            </w:r>
          </w:p>
        </w:tc>
        <w:tc>
          <w:tcPr>
            <w:tcW w:w="1134" w:type="dxa"/>
            <w:shd w:val="clear" w:color="auto" w:fill="auto"/>
            <w:tcMar>
              <w:top w:w="23" w:type="dxa"/>
              <w:left w:w="0" w:type="dxa"/>
              <w:bottom w:w="23" w:type="dxa"/>
              <w:right w:w="0" w:type="dxa"/>
            </w:tcMar>
            <w:vAlign w:val="bottom"/>
          </w:tcPr>
          <w:p w14:paraId="300CF646" w14:textId="77777777" w:rsidR="00A62E51" w:rsidRPr="00A62E51" w:rsidRDefault="00A62E51" w:rsidP="00C00DCF">
            <w:pPr>
              <w:contextualSpacing/>
              <w:jc w:val="right"/>
              <w:rPr>
                <w:rFonts w:ascii="Tahoma" w:hAnsi="Tahoma"/>
                <w:color w:val="000000" w:themeColor="text1"/>
                <w:sz w:val="16"/>
                <w:lang w:val="en-GB"/>
              </w:rPr>
            </w:pPr>
            <w:r w:rsidRPr="00A62E51">
              <w:rPr>
                <w:rFonts w:ascii="Tahoma" w:hAnsi="Tahoma"/>
                <w:color w:val="000000" w:themeColor="text1"/>
                <w:sz w:val="16"/>
                <w:lang w:val="en-GB"/>
              </w:rPr>
              <w:t>1 696</w:t>
            </w:r>
          </w:p>
        </w:tc>
        <w:tc>
          <w:tcPr>
            <w:tcW w:w="1134" w:type="dxa"/>
            <w:tcBorders>
              <w:right w:val="single" w:sz="4" w:space="0" w:color="auto"/>
            </w:tcBorders>
            <w:shd w:val="clear" w:color="auto" w:fill="auto"/>
            <w:tcMar>
              <w:top w:w="23" w:type="dxa"/>
              <w:left w:w="0" w:type="dxa"/>
              <w:bottom w:w="23" w:type="dxa"/>
              <w:right w:w="0" w:type="dxa"/>
            </w:tcMar>
            <w:vAlign w:val="bottom"/>
          </w:tcPr>
          <w:p w14:paraId="7C509EF0" w14:textId="77777777" w:rsidR="00A62E51" w:rsidRPr="00A62E51" w:rsidRDefault="00A62E51" w:rsidP="00C00DCF">
            <w:pPr>
              <w:ind w:right="113"/>
              <w:contextualSpacing/>
              <w:jc w:val="right"/>
              <w:rPr>
                <w:rFonts w:ascii="Tahoma" w:hAnsi="Tahoma"/>
                <w:color w:val="000000" w:themeColor="text1"/>
                <w:sz w:val="16"/>
                <w:lang w:val="en-GB"/>
              </w:rPr>
            </w:pPr>
            <w:r w:rsidRPr="00A62E51">
              <w:rPr>
                <w:rFonts w:ascii="Tahoma" w:hAnsi="Tahoma"/>
                <w:color w:val="000000" w:themeColor="text1"/>
                <w:sz w:val="16"/>
                <w:lang w:val="en-GB"/>
              </w:rPr>
              <w:t>1 680</w:t>
            </w:r>
          </w:p>
        </w:tc>
      </w:tr>
      <w:tr w:rsidR="00615190" w:rsidRPr="00A62E51" w14:paraId="43C00BFB" w14:textId="77777777" w:rsidTr="008258F3">
        <w:trPr>
          <w:trHeight w:val="60"/>
        </w:trPr>
        <w:tc>
          <w:tcPr>
            <w:tcW w:w="5954" w:type="dxa"/>
            <w:shd w:val="clear" w:color="auto" w:fill="auto"/>
            <w:tcMar>
              <w:top w:w="23" w:type="dxa"/>
              <w:left w:w="113" w:type="dxa"/>
              <w:bottom w:w="23" w:type="dxa"/>
              <w:right w:w="0" w:type="dxa"/>
            </w:tcMar>
            <w:vAlign w:val="bottom"/>
          </w:tcPr>
          <w:p w14:paraId="408A8DA2" w14:textId="77777777" w:rsidR="00A62E51" w:rsidRPr="00A62E51" w:rsidRDefault="00A62E51" w:rsidP="00C00DCF">
            <w:pPr>
              <w:contextualSpacing/>
              <w:rPr>
                <w:rFonts w:ascii="Tahoma" w:hAnsi="Tahoma"/>
                <w:color w:val="000000" w:themeColor="text1"/>
                <w:sz w:val="16"/>
                <w:lang w:val="en-GB"/>
              </w:rPr>
            </w:pPr>
            <w:r w:rsidRPr="00A62E51">
              <w:rPr>
                <w:rFonts w:ascii="Tahoma" w:hAnsi="Tahoma"/>
                <w:color w:val="000000" w:themeColor="text1"/>
                <w:sz w:val="16"/>
                <w:lang w:val="en-GB"/>
              </w:rPr>
              <w:t>Other current liabilities</w:t>
            </w:r>
          </w:p>
        </w:tc>
        <w:tc>
          <w:tcPr>
            <w:tcW w:w="850" w:type="dxa"/>
            <w:tcBorders>
              <w:right w:val="single" w:sz="4" w:space="0" w:color="auto"/>
            </w:tcBorders>
            <w:shd w:val="clear" w:color="auto" w:fill="auto"/>
            <w:tcMar>
              <w:top w:w="23" w:type="dxa"/>
              <w:left w:w="0" w:type="dxa"/>
              <w:bottom w:w="23" w:type="dxa"/>
              <w:right w:w="0" w:type="dxa"/>
            </w:tcMar>
            <w:vAlign w:val="bottom"/>
          </w:tcPr>
          <w:p w14:paraId="1E685187" w14:textId="77777777" w:rsidR="00A62E51" w:rsidRPr="00A62E51" w:rsidRDefault="00A62E51" w:rsidP="00C00DCF">
            <w:pPr>
              <w:ind w:right="113"/>
              <w:contextualSpacing/>
              <w:jc w:val="right"/>
              <w:rPr>
                <w:rFonts w:ascii="Tahoma" w:hAnsi="Tahoma"/>
                <w:color w:val="000000" w:themeColor="text1"/>
                <w:sz w:val="16"/>
                <w:lang w:val="en-GB"/>
              </w:rPr>
            </w:pPr>
            <w:r w:rsidRPr="00A62E51">
              <w:rPr>
                <w:rFonts w:ascii="Tahoma" w:hAnsi="Tahoma"/>
                <w:color w:val="000000" w:themeColor="text1"/>
                <w:sz w:val="16"/>
                <w:lang w:val="en-GB"/>
              </w:rPr>
              <w:t>3</w:t>
            </w:r>
          </w:p>
        </w:tc>
        <w:tc>
          <w:tcPr>
            <w:tcW w:w="1134" w:type="dxa"/>
            <w:tcBorders>
              <w:left w:val="single" w:sz="4" w:space="0" w:color="auto"/>
            </w:tcBorders>
            <w:shd w:val="clear" w:color="auto" w:fill="auto"/>
            <w:tcMar>
              <w:top w:w="23" w:type="dxa"/>
              <w:left w:w="0" w:type="dxa"/>
              <w:bottom w:w="23" w:type="dxa"/>
              <w:right w:w="0" w:type="dxa"/>
            </w:tcMar>
            <w:vAlign w:val="bottom"/>
          </w:tcPr>
          <w:p w14:paraId="230C5B12" w14:textId="77777777" w:rsidR="00A62E51" w:rsidRPr="00A62E51" w:rsidRDefault="00A62E51" w:rsidP="00C00DCF">
            <w:pPr>
              <w:contextualSpacing/>
              <w:jc w:val="right"/>
              <w:rPr>
                <w:rFonts w:ascii="Tahoma" w:hAnsi="Tahoma"/>
                <w:b/>
                <w:bCs/>
                <w:color w:val="000000" w:themeColor="text1"/>
                <w:sz w:val="16"/>
                <w:lang w:val="en-GB"/>
              </w:rPr>
            </w:pPr>
            <w:r w:rsidRPr="00A62E51">
              <w:rPr>
                <w:rFonts w:ascii="Tahoma" w:hAnsi="Tahoma"/>
                <w:b/>
                <w:bCs/>
                <w:color w:val="000000" w:themeColor="text1"/>
                <w:sz w:val="16"/>
                <w:lang w:val="en-GB"/>
              </w:rPr>
              <w:t>2 207</w:t>
            </w:r>
          </w:p>
        </w:tc>
        <w:tc>
          <w:tcPr>
            <w:tcW w:w="1134" w:type="dxa"/>
            <w:shd w:val="clear" w:color="auto" w:fill="auto"/>
            <w:tcMar>
              <w:top w:w="23" w:type="dxa"/>
              <w:left w:w="0" w:type="dxa"/>
              <w:bottom w:w="23" w:type="dxa"/>
              <w:right w:w="0" w:type="dxa"/>
            </w:tcMar>
            <w:vAlign w:val="bottom"/>
          </w:tcPr>
          <w:p w14:paraId="2C0E8FC4" w14:textId="77777777" w:rsidR="00A62E51" w:rsidRPr="00A62E51" w:rsidRDefault="00A62E51" w:rsidP="00C00DCF">
            <w:pPr>
              <w:contextualSpacing/>
              <w:jc w:val="right"/>
              <w:rPr>
                <w:rFonts w:ascii="Tahoma" w:hAnsi="Tahoma"/>
                <w:color w:val="000000" w:themeColor="text1"/>
                <w:sz w:val="16"/>
                <w:lang w:val="en-GB"/>
              </w:rPr>
            </w:pPr>
            <w:r w:rsidRPr="00A62E51">
              <w:rPr>
                <w:rFonts w:ascii="Tahoma" w:hAnsi="Tahoma"/>
                <w:color w:val="000000" w:themeColor="text1"/>
                <w:sz w:val="16"/>
                <w:lang w:val="en-GB"/>
              </w:rPr>
              <w:t>1 123</w:t>
            </w:r>
          </w:p>
        </w:tc>
        <w:tc>
          <w:tcPr>
            <w:tcW w:w="1134" w:type="dxa"/>
            <w:tcBorders>
              <w:right w:val="single" w:sz="4" w:space="0" w:color="auto"/>
            </w:tcBorders>
            <w:shd w:val="clear" w:color="auto" w:fill="auto"/>
            <w:tcMar>
              <w:top w:w="23" w:type="dxa"/>
              <w:left w:w="0" w:type="dxa"/>
              <w:bottom w:w="23" w:type="dxa"/>
              <w:right w:w="0" w:type="dxa"/>
            </w:tcMar>
            <w:vAlign w:val="bottom"/>
          </w:tcPr>
          <w:p w14:paraId="45AE1DF5" w14:textId="77777777" w:rsidR="00A62E51" w:rsidRPr="00A62E51" w:rsidRDefault="00A62E51" w:rsidP="00C00DCF">
            <w:pPr>
              <w:ind w:right="113"/>
              <w:contextualSpacing/>
              <w:jc w:val="right"/>
              <w:rPr>
                <w:rFonts w:ascii="Tahoma" w:hAnsi="Tahoma"/>
                <w:color w:val="000000" w:themeColor="text1"/>
                <w:sz w:val="16"/>
                <w:lang w:val="en-GB"/>
              </w:rPr>
            </w:pPr>
            <w:r w:rsidRPr="00A62E51">
              <w:rPr>
                <w:rFonts w:ascii="Tahoma" w:hAnsi="Tahoma"/>
                <w:color w:val="000000" w:themeColor="text1"/>
                <w:sz w:val="16"/>
                <w:lang w:val="en-GB"/>
              </w:rPr>
              <w:t>1 014</w:t>
            </w:r>
          </w:p>
        </w:tc>
      </w:tr>
      <w:tr w:rsidR="00615190" w:rsidRPr="00A62E51" w14:paraId="79CE31C3" w14:textId="77777777" w:rsidTr="008258F3">
        <w:trPr>
          <w:trHeight w:val="60"/>
        </w:trPr>
        <w:tc>
          <w:tcPr>
            <w:tcW w:w="5954" w:type="dxa"/>
            <w:shd w:val="clear" w:color="auto" w:fill="auto"/>
            <w:tcMar>
              <w:top w:w="23" w:type="dxa"/>
              <w:left w:w="113" w:type="dxa"/>
              <w:bottom w:w="23" w:type="dxa"/>
              <w:right w:w="0" w:type="dxa"/>
            </w:tcMar>
            <w:vAlign w:val="bottom"/>
          </w:tcPr>
          <w:p w14:paraId="39987D11" w14:textId="77777777" w:rsidR="00A62E51" w:rsidRPr="00A62E51" w:rsidRDefault="00A62E51" w:rsidP="00C00DCF">
            <w:pPr>
              <w:contextualSpacing/>
              <w:rPr>
                <w:rFonts w:ascii="Tahoma" w:hAnsi="Tahoma"/>
                <w:color w:val="000000" w:themeColor="text1"/>
                <w:sz w:val="16"/>
                <w:lang w:val="en-GB"/>
              </w:rPr>
            </w:pPr>
            <w:r w:rsidRPr="00A62E51">
              <w:rPr>
                <w:rFonts w:ascii="Tahoma" w:hAnsi="Tahoma"/>
                <w:color w:val="000000" w:themeColor="text1"/>
                <w:sz w:val="16"/>
                <w:lang w:val="en-GB"/>
              </w:rPr>
              <w:t>Cash-settled share-based payment liabilities</w:t>
            </w:r>
          </w:p>
        </w:tc>
        <w:tc>
          <w:tcPr>
            <w:tcW w:w="850" w:type="dxa"/>
            <w:tcBorders>
              <w:right w:val="single" w:sz="4" w:space="0" w:color="auto"/>
            </w:tcBorders>
            <w:shd w:val="clear" w:color="auto" w:fill="auto"/>
            <w:tcMar>
              <w:top w:w="23" w:type="dxa"/>
              <w:left w:w="0" w:type="dxa"/>
              <w:bottom w:w="23" w:type="dxa"/>
              <w:right w:w="0" w:type="dxa"/>
            </w:tcMar>
            <w:vAlign w:val="bottom"/>
          </w:tcPr>
          <w:p w14:paraId="2A02C9B2" w14:textId="77777777" w:rsidR="00A62E51" w:rsidRPr="00A62E51" w:rsidRDefault="00A62E51" w:rsidP="00C00DCF">
            <w:pPr>
              <w:ind w:right="113"/>
              <w:contextualSpacing/>
              <w:jc w:val="right"/>
              <w:rPr>
                <w:rFonts w:ascii="Tahoma" w:hAnsi="Tahoma"/>
                <w:color w:val="000000" w:themeColor="text1"/>
                <w:sz w:val="16"/>
                <w:lang w:val="en-GB"/>
              </w:rPr>
            </w:pPr>
            <w:r w:rsidRPr="00A62E51">
              <w:rPr>
                <w:rFonts w:ascii="Tahoma" w:hAnsi="Tahoma"/>
                <w:color w:val="000000" w:themeColor="text1"/>
                <w:sz w:val="16"/>
                <w:lang w:val="en-GB"/>
              </w:rPr>
              <w:t>15</w:t>
            </w:r>
          </w:p>
        </w:tc>
        <w:tc>
          <w:tcPr>
            <w:tcW w:w="1134" w:type="dxa"/>
            <w:tcBorders>
              <w:left w:val="single" w:sz="4" w:space="0" w:color="auto"/>
            </w:tcBorders>
            <w:shd w:val="clear" w:color="auto" w:fill="auto"/>
            <w:tcMar>
              <w:top w:w="23" w:type="dxa"/>
              <w:left w:w="0" w:type="dxa"/>
              <w:bottom w:w="23" w:type="dxa"/>
              <w:right w:w="0" w:type="dxa"/>
            </w:tcMar>
            <w:vAlign w:val="bottom"/>
          </w:tcPr>
          <w:p w14:paraId="4800874F" w14:textId="77777777" w:rsidR="00A62E51" w:rsidRPr="00A62E51" w:rsidRDefault="00A62E51" w:rsidP="00C00DCF">
            <w:pPr>
              <w:contextualSpacing/>
              <w:jc w:val="right"/>
              <w:rPr>
                <w:rFonts w:ascii="Tahoma" w:hAnsi="Tahoma"/>
                <w:b/>
                <w:bCs/>
                <w:color w:val="000000" w:themeColor="text1"/>
                <w:sz w:val="16"/>
                <w:lang w:val="en-GB"/>
              </w:rPr>
            </w:pPr>
            <w:r w:rsidRPr="00A62E51">
              <w:rPr>
                <w:rFonts w:ascii="Tahoma" w:hAnsi="Tahoma"/>
                <w:b/>
                <w:bCs/>
                <w:color w:val="000000" w:themeColor="text1"/>
                <w:sz w:val="16"/>
                <w:lang w:val="en-GB"/>
              </w:rPr>
              <w:t>648</w:t>
            </w:r>
          </w:p>
        </w:tc>
        <w:tc>
          <w:tcPr>
            <w:tcW w:w="1134" w:type="dxa"/>
            <w:shd w:val="clear" w:color="auto" w:fill="auto"/>
            <w:tcMar>
              <w:top w:w="23" w:type="dxa"/>
              <w:left w:w="0" w:type="dxa"/>
              <w:bottom w:w="23" w:type="dxa"/>
              <w:right w:w="0" w:type="dxa"/>
            </w:tcMar>
            <w:vAlign w:val="bottom"/>
          </w:tcPr>
          <w:p w14:paraId="5753ACC7" w14:textId="77777777" w:rsidR="00A62E51" w:rsidRPr="00A62E51" w:rsidRDefault="00A62E51" w:rsidP="00C00DCF">
            <w:pPr>
              <w:contextualSpacing/>
              <w:jc w:val="right"/>
              <w:rPr>
                <w:rFonts w:ascii="Tahoma" w:hAnsi="Tahoma"/>
                <w:color w:val="000000" w:themeColor="text1"/>
                <w:sz w:val="16"/>
                <w:lang w:val="en-GB"/>
              </w:rPr>
            </w:pPr>
            <w:r w:rsidRPr="00A62E51">
              <w:rPr>
                <w:rFonts w:ascii="Tahoma" w:hAnsi="Tahoma"/>
                <w:color w:val="000000" w:themeColor="text1"/>
                <w:sz w:val="16"/>
                <w:lang w:val="en-GB"/>
              </w:rPr>
              <w:t>1 191</w:t>
            </w:r>
          </w:p>
        </w:tc>
        <w:tc>
          <w:tcPr>
            <w:tcW w:w="1134" w:type="dxa"/>
            <w:tcBorders>
              <w:right w:val="single" w:sz="4" w:space="0" w:color="auto"/>
            </w:tcBorders>
            <w:shd w:val="clear" w:color="auto" w:fill="auto"/>
            <w:tcMar>
              <w:top w:w="23" w:type="dxa"/>
              <w:left w:w="0" w:type="dxa"/>
              <w:bottom w:w="23" w:type="dxa"/>
              <w:right w:w="0" w:type="dxa"/>
            </w:tcMar>
            <w:vAlign w:val="bottom"/>
          </w:tcPr>
          <w:p w14:paraId="40182848" w14:textId="77777777" w:rsidR="00A62E51" w:rsidRPr="00A62E51" w:rsidRDefault="00A62E51" w:rsidP="00C00DCF">
            <w:pPr>
              <w:ind w:right="113"/>
              <w:contextualSpacing/>
              <w:jc w:val="right"/>
              <w:rPr>
                <w:rFonts w:ascii="Tahoma" w:hAnsi="Tahoma"/>
                <w:color w:val="000000" w:themeColor="text1"/>
                <w:sz w:val="16"/>
                <w:lang w:val="en-GB"/>
              </w:rPr>
            </w:pPr>
            <w:r w:rsidRPr="00A62E51">
              <w:rPr>
                <w:rFonts w:ascii="Tahoma" w:hAnsi="Tahoma"/>
                <w:color w:val="000000" w:themeColor="text1"/>
                <w:sz w:val="16"/>
                <w:lang w:val="en-GB"/>
              </w:rPr>
              <w:t>964</w:t>
            </w:r>
          </w:p>
        </w:tc>
      </w:tr>
      <w:tr w:rsidR="00615190" w:rsidRPr="00A62E51" w14:paraId="3360375B" w14:textId="77777777" w:rsidTr="008258F3">
        <w:trPr>
          <w:trHeight w:val="60"/>
        </w:trPr>
        <w:tc>
          <w:tcPr>
            <w:tcW w:w="5954" w:type="dxa"/>
            <w:shd w:val="clear" w:color="auto" w:fill="auto"/>
            <w:tcMar>
              <w:top w:w="23" w:type="dxa"/>
              <w:left w:w="113" w:type="dxa"/>
              <w:bottom w:w="23" w:type="dxa"/>
              <w:right w:w="0" w:type="dxa"/>
            </w:tcMar>
            <w:vAlign w:val="bottom"/>
          </w:tcPr>
          <w:p w14:paraId="7657FD59" w14:textId="77777777" w:rsidR="00A62E51" w:rsidRPr="00A62E51" w:rsidRDefault="00A62E51" w:rsidP="00C00DCF">
            <w:pPr>
              <w:contextualSpacing/>
              <w:rPr>
                <w:rFonts w:ascii="Tahoma" w:hAnsi="Tahoma"/>
                <w:color w:val="000000" w:themeColor="text1"/>
                <w:sz w:val="16"/>
                <w:lang w:val="en-GB"/>
              </w:rPr>
            </w:pPr>
            <w:r w:rsidRPr="00A62E51">
              <w:rPr>
                <w:rFonts w:ascii="Tahoma" w:hAnsi="Tahoma"/>
                <w:color w:val="000000" w:themeColor="text1"/>
                <w:sz w:val="16"/>
                <w:lang w:val="en-GB"/>
              </w:rPr>
              <w:t>Dividend payable</w:t>
            </w:r>
          </w:p>
        </w:tc>
        <w:tc>
          <w:tcPr>
            <w:tcW w:w="850" w:type="dxa"/>
            <w:tcBorders>
              <w:right w:val="single" w:sz="4" w:space="0" w:color="auto"/>
            </w:tcBorders>
            <w:shd w:val="clear" w:color="auto" w:fill="auto"/>
            <w:tcMar>
              <w:top w:w="23" w:type="dxa"/>
              <w:left w:w="0" w:type="dxa"/>
              <w:bottom w:w="23" w:type="dxa"/>
              <w:right w:w="0" w:type="dxa"/>
            </w:tcMar>
            <w:vAlign w:val="bottom"/>
          </w:tcPr>
          <w:p w14:paraId="289F34BF" w14:textId="77777777" w:rsidR="00A62E51" w:rsidRPr="00A62E51" w:rsidRDefault="00A62E51" w:rsidP="00C00DCF">
            <w:pPr>
              <w:ind w:right="113"/>
              <w:contextualSpacing/>
              <w:jc w:val="right"/>
              <w:rPr>
                <w:rFonts w:ascii="Tahoma" w:hAnsi="Tahoma"/>
                <w:color w:val="000000" w:themeColor="text1"/>
                <w:sz w:val="16"/>
                <w:lang w:val="en-GB"/>
              </w:rPr>
            </w:pPr>
          </w:p>
        </w:tc>
        <w:tc>
          <w:tcPr>
            <w:tcW w:w="1134" w:type="dxa"/>
            <w:tcBorders>
              <w:left w:val="single" w:sz="4" w:space="0" w:color="auto"/>
            </w:tcBorders>
            <w:shd w:val="clear" w:color="auto" w:fill="auto"/>
            <w:tcMar>
              <w:top w:w="23" w:type="dxa"/>
              <w:left w:w="0" w:type="dxa"/>
              <w:bottom w:w="23" w:type="dxa"/>
              <w:right w:w="0" w:type="dxa"/>
            </w:tcMar>
            <w:vAlign w:val="bottom"/>
          </w:tcPr>
          <w:p w14:paraId="7EB74F23" w14:textId="77777777" w:rsidR="00A62E51" w:rsidRPr="00A62E51" w:rsidRDefault="00A62E51" w:rsidP="00C00DCF">
            <w:pPr>
              <w:contextualSpacing/>
              <w:jc w:val="right"/>
              <w:rPr>
                <w:rFonts w:ascii="Tahoma" w:hAnsi="Tahoma"/>
                <w:b/>
                <w:bCs/>
                <w:color w:val="000000" w:themeColor="text1"/>
                <w:sz w:val="16"/>
                <w:lang w:val="en-GB"/>
              </w:rPr>
            </w:pPr>
            <w:r w:rsidRPr="00A62E51">
              <w:rPr>
                <w:rFonts w:ascii="Tahoma" w:hAnsi="Tahoma"/>
                <w:b/>
                <w:bCs/>
                <w:color w:val="000000" w:themeColor="text1"/>
                <w:sz w:val="16"/>
                <w:lang w:val="en-GB"/>
              </w:rPr>
              <w:t>—</w:t>
            </w:r>
          </w:p>
        </w:tc>
        <w:tc>
          <w:tcPr>
            <w:tcW w:w="1134" w:type="dxa"/>
            <w:shd w:val="clear" w:color="auto" w:fill="auto"/>
            <w:tcMar>
              <w:top w:w="23" w:type="dxa"/>
              <w:left w:w="0" w:type="dxa"/>
              <w:bottom w:w="23" w:type="dxa"/>
              <w:right w:w="0" w:type="dxa"/>
            </w:tcMar>
            <w:vAlign w:val="bottom"/>
          </w:tcPr>
          <w:p w14:paraId="5963E40E" w14:textId="77777777" w:rsidR="00A62E51" w:rsidRPr="00A62E51" w:rsidRDefault="00A62E51" w:rsidP="00C00DCF">
            <w:pPr>
              <w:contextualSpacing/>
              <w:jc w:val="right"/>
              <w:rPr>
                <w:rFonts w:ascii="Tahoma" w:hAnsi="Tahoma"/>
                <w:color w:val="000000" w:themeColor="text1"/>
                <w:sz w:val="16"/>
                <w:lang w:val="en-GB"/>
              </w:rPr>
            </w:pPr>
            <w:r w:rsidRPr="00A62E51">
              <w:rPr>
                <w:rFonts w:ascii="Tahoma" w:hAnsi="Tahoma"/>
                <w:color w:val="000000" w:themeColor="text1"/>
                <w:sz w:val="16"/>
                <w:lang w:val="en-GB"/>
              </w:rPr>
              <w:t>238</w:t>
            </w:r>
          </w:p>
        </w:tc>
        <w:tc>
          <w:tcPr>
            <w:tcW w:w="1134" w:type="dxa"/>
            <w:tcBorders>
              <w:right w:val="single" w:sz="4" w:space="0" w:color="auto"/>
            </w:tcBorders>
            <w:shd w:val="clear" w:color="auto" w:fill="auto"/>
            <w:tcMar>
              <w:top w:w="23" w:type="dxa"/>
              <w:left w:w="0" w:type="dxa"/>
              <w:bottom w:w="23" w:type="dxa"/>
              <w:right w:w="0" w:type="dxa"/>
            </w:tcMar>
            <w:vAlign w:val="bottom"/>
          </w:tcPr>
          <w:p w14:paraId="6830CE1E" w14:textId="77777777" w:rsidR="00A62E51" w:rsidRPr="00A62E51" w:rsidRDefault="00A62E51" w:rsidP="00C00DCF">
            <w:pPr>
              <w:ind w:right="113"/>
              <w:contextualSpacing/>
              <w:jc w:val="right"/>
              <w:rPr>
                <w:rFonts w:ascii="Tahoma" w:hAnsi="Tahoma"/>
                <w:color w:val="000000" w:themeColor="text1"/>
                <w:sz w:val="16"/>
                <w:lang w:val="en-GB"/>
              </w:rPr>
            </w:pPr>
            <w:r w:rsidRPr="00A62E51">
              <w:rPr>
                <w:rFonts w:ascii="Tahoma" w:hAnsi="Tahoma"/>
                <w:color w:val="000000" w:themeColor="text1"/>
                <w:sz w:val="16"/>
                <w:lang w:val="en-GB"/>
              </w:rPr>
              <w:t>—</w:t>
            </w:r>
          </w:p>
        </w:tc>
      </w:tr>
      <w:tr w:rsidR="00615190" w:rsidRPr="00A62E51" w14:paraId="04B47A78" w14:textId="77777777" w:rsidTr="008258F3">
        <w:trPr>
          <w:trHeight w:val="60"/>
        </w:trPr>
        <w:tc>
          <w:tcPr>
            <w:tcW w:w="5954" w:type="dxa"/>
            <w:shd w:val="clear" w:color="auto" w:fill="auto"/>
            <w:tcMar>
              <w:top w:w="23" w:type="dxa"/>
              <w:left w:w="113" w:type="dxa"/>
              <w:bottom w:w="51" w:type="dxa"/>
              <w:right w:w="0" w:type="dxa"/>
            </w:tcMar>
            <w:vAlign w:val="bottom"/>
          </w:tcPr>
          <w:p w14:paraId="0D386B77" w14:textId="77777777" w:rsidR="00A62E51" w:rsidRPr="00A62E51" w:rsidRDefault="00A62E51" w:rsidP="00C00DCF">
            <w:pPr>
              <w:contextualSpacing/>
              <w:rPr>
                <w:rFonts w:ascii="Tahoma" w:hAnsi="Tahoma"/>
                <w:color w:val="000000" w:themeColor="text1"/>
                <w:sz w:val="16"/>
                <w:lang w:val="en-GB"/>
              </w:rPr>
            </w:pPr>
            <w:r w:rsidRPr="00A62E51">
              <w:rPr>
                <w:rFonts w:ascii="Tahoma" w:hAnsi="Tahoma"/>
                <w:color w:val="000000" w:themeColor="text1"/>
                <w:sz w:val="16"/>
                <w:lang w:val="en-GB"/>
              </w:rPr>
              <w:t>Bank overdrafts</w:t>
            </w:r>
          </w:p>
        </w:tc>
        <w:tc>
          <w:tcPr>
            <w:tcW w:w="850" w:type="dxa"/>
            <w:tcBorders>
              <w:right w:val="single" w:sz="4" w:space="0" w:color="auto"/>
            </w:tcBorders>
            <w:shd w:val="clear" w:color="auto" w:fill="auto"/>
            <w:tcMar>
              <w:top w:w="23" w:type="dxa"/>
              <w:left w:w="0" w:type="dxa"/>
              <w:bottom w:w="51" w:type="dxa"/>
              <w:right w:w="0" w:type="dxa"/>
            </w:tcMar>
            <w:vAlign w:val="bottom"/>
          </w:tcPr>
          <w:p w14:paraId="487F59B2" w14:textId="77777777" w:rsidR="00A62E51" w:rsidRPr="00A62E51" w:rsidRDefault="00A62E51" w:rsidP="00C00DCF">
            <w:pPr>
              <w:ind w:right="113"/>
              <w:contextualSpacing/>
              <w:jc w:val="right"/>
              <w:rPr>
                <w:rFonts w:ascii="Tahoma" w:hAnsi="Tahoma"/>
                <w:color w:val="000000" w:themeColor="text1"/>
                <w:sz w:val="16"/>
                <w:lang w:val="en-GB"/>
              </w:rPr>
            </w:pPr>
          </w:p>
        </w:tc>
        <w:tc>
          <w:tcPr>
            <w:tcW w:w="1134" w:type="dxa"/>
            <w:tcBorders>
              <w:left w:val="single" w:sz="4" w:space="0" w:color="auto"/>
              <w:bottom w:val="single" w:sz="4" w:space="0" w:color="auto"/>
            </w:tcBorders>
            <w:shd w:val="clear" w:color="auto" w:fill="auto"/>
            <w:tcMar>
              <w:top w:w="23" w:type="dxa"/>
              <w:left w:w="0" w:type="dxa"/>
              <w:bottom w:w="51" w:type="dxa"/>
              <w:right w:w="0" w:type="dxa"/>
            </w:tcMar>
            <w:vAlign w:val="bottom"/>
          </w:tcPr>
          <w:p w14:paraId="58A0D49C" w14:textId="77777777" w:rsidR="00A62E51" w:rsidRPr="00A62E51" w:rsidRDefault="00A62E51" w:rsidP="00C00DCF">
            <w:pPr>
              <w:contextualSpacing/>
              <w:jc w:val="right"/>
              <w:rPr>
                <w:rFonts w:ascii="Tahoma" w:hAnsi="Tahoma"/>
                <w:b/>
                <w:bCs/>
                <w:color w:val="000000" w:themeColor="text1"/>
                <w:sz w:val="16"/>
                <w:lang w:val="en-GB"/>
              </w:rPr>
            </w:pPr>
            <w:r w:rsidRPr="00A62E51">
              <w:rPr>
                <w:rFonts w:ascii="Tahoma" w:hAnsi="Tahoma"/>
                <w:b/>
                <w:bCs/>
                <w:color w:val="000000" w:themeColor="text1"/>
                <w:sz w:val="16"/>
                <w:lang w:val="en-GB"/>
              </w:rPr>
              <w:t>31</w:t>
            </w:r>
          </w:p>
        </w:tc>
        <w:tc>
          <w:tcPr>
            <w:tcW w:w="1134" w:type="dxa"/>
            <w:tcBorders>
              <w:bottom w:val="single" w:sz="4" w:space="0" w:color="auto"/>
            </w:tcBorders>
            <w:shd w:val="clear" w:color="auto" w:fill="auto"/>
            <w:tcMar>
              <w:top w:w="23" w:type="dxa"/>
              <w:left w:w="0" w:type="dxa"/>
              <w:bottom w:w="51" w:type="dxa"/>
              <w:right w:w="0" w:type="dxa"/>
            </w:tcMar>
            <w:vAlign w:val="bottom"/>
          </w:tcPr>
          <w:p w14:paraId="2D09416F" w14:textId="77777777" w:rsidR="00A62E51" w:rsidRPr="00A62E51" w:rsidRDefault="00A62E51" w:rsidP="00C00DCF">
            <w:pPr>
              <w:contextualSpacing/>
              <w:jc w:val="right"/>
              <w:rPr>
                <w:rFonts w:ascii="Tahoma" w:hAnsi="Tahoma"/>
                <w:color w:val="000000" w:themeColor="text1"/>
                <w:sz w:val="16"/>
                <w:lang w:val="en-GB"/>
              </w:rPr>
            </w:pPr>
            <w:r w:rsidRPr="00A62E51">
              <w:rPr>
                <w:rFonts w:ascii="Tahoma" w:hAnsi="Tahoma"/>
                <w:color w:val="000000" w:themeColor="text1"/>
                <w:sz w:val="16"/>
                <w:lang w:val="en-GB"/>
              </w:rPr>
              <w:t>33</w:t>
            </w:r>
          </w:p>
        </w:tc>
        <w:tc>
          <w:tcPr>
            <w:tcW w:w="1134" w:type="dxa"/>
            <w:tcBorders>
              <w:bottom w:val="single" w:sz="4" w:space="0" w:color="auto"/>
              <w:right w:val="single" w:sz="4" w:space="0" w:color="auto"/>
            </w:tcBorders>
            <w:shd w:val="clear" w:color="auto" w:fill="auto"/>
            <w:tcMar>
              <w:top w:w="23" w:type="dxa"/>
              <w:left w:w="0" w:type="dxa"/>
              <w:bottom w:w="51" w:type="dxa"/>
              <w:right w:w="0" w:type="dxa"/>
            </w:tcMar>
            <w:vAlign w:val="bottom"/>
          </w:tcPr>
          <w:p w14:paraId="57201438" w14:textId="77777777" w:rsidR="00A62E51" w:rsidRPr="00A62E51" w:rsidRDefault="00A62E51" w:rsidP="00C00DCF">
            <w:pPr>
              <w:ind w:right="113"/>
              <w:contextualSpacing/>
              <w:jc w:val="right"/>
              <w:rPr>
                <w:rFonts w:ascii="Tahoma" w:hAnsi="Tahoma"/>
                <w:color w:val="000000" w:themeColor="text1"/>
                <w:sz w:val="16"/>
                <w:lang w:val="en-GB"/>
              </w:rPr>
            </w:pPr>
            <w:r w:rsidRPr="00A62E51">
              <w:rPr>
                <w:rFonts w:ascii="Tahoma" w:hAnsi="Tahoma"/>
                <w:color w:val="000000" w:themeColor="text1"/>
                <w:sz w:val="16"/>
                <w:lang w:val="en-GB"/>
              </w:rPr>
              <w:t>18</w:t>
            </w:r>
          </w:p>
        </w:tc>
      </w:tr>
      <w:tr w:rsidR="00615190" w:rsidRPr="00A62E51" w14:paraId="4A9208D1" w14:textId="77777777" w:rsidTr="008258F3">
        <w:trPr>
          <w:trHeight w:val="60"/>
        </w:trPr>
        <w:tc>
          <w:tcPr>
            <w:tcW w:w="5954" w:type="dxa"/>
            <w:shd w:val="clear" w:color="auto" w:fill="auto"/>
            <w:tcMar>
              <w:top w:w="51" w:type="dxa"/>
              <w:left w:w="113" w:type="dxa"/>
              <w:bottom w:w="23" w:type="dxa"/>
              <w:right w:w="0" w:type="dxa"/>
            </w:tcMar>
            <w:vAlign w:val="bottom"/>
          </w:tcPr>
          <w:p w14:paraId="1ACB0412" w14:textId="77777777" w:rsidR="00A62E51" w:rsidRPr="00A62E51" w:rsidRDefault="00A62E51" w:rsidP="00C00DCF">
            <w:pPr>
              <w:contextualSpacing/>
              <w:rPr>
                <w:rFonts w:ascii="Tahoma" w:hAnsi="Tahoma"/>
                <w:color w:val="000000" w:themeColor="text1"/>
                <w:sz w:val="16"/>
                <w:lang w:val="en-GB"/>
              </w:rPr>
            </w:pPr>
          </w:p>
        </w:tc>
        <w:tc>
          <w:tcPr>
            <w:tcW w:w="850" w:type="dxa"/>
            <w:tcBorders>
              <w:right w:val="single" w:sz="4" w:space="0" w:color="auto"/>
            </w:tcBorders>
            <w:shd w:val="clear" w:color="auto" w:fill="auto"/>
            <w:tcMar>
              <w:top w:w="51" w:type="dxa"/>
              <w:left w:w="0" w:type="dxa"/>
              <w:bottom w:w="23" w:type="dxa"/>
              <w:right w:w="0" w:type="dxa"/>
            </w:tcMar>
            <w:vAlign w:val="bottom"/>
          </w:tcPr>
          <w:p w14:paraId="7967DC09" w14:textId="77777777" w:rsidR="00A62E51" w:rsidRPr="00A62E51" w:rsidRDefault="00A62E51" w:rsidP="00C00DCF">
            <w:pPr>
              <w:ind w:right="113"/>
              <w:contextualSpacing/>
              <w:jc w:val="right"/>
              <w:rPr>
                <w:rFonts w:ascii="Tahoma" w:hAnsi="Tahoma"/>
                <w:color w:val="000000" w:themeColor="text1"/>
                <w:sz w:val="16"/>
                <w:lang w:val="en-GB"/>
              </w:rPr>
            </w:pPr>
          </w:p>
        </w:tc>
        <w:tc>
          <w:tcPr>
            <w:tcW w:w="1134" w:type="dxa"/>
            <w:tcBorders>
              <w:top w:val="single" w:sz="4" w:space="0" w:color="auto"/>
              <w:left w:val="single" w:sz="4" w:space="0" w:color="auto"/>
            </w:tcBorders>
            <w:shd w:val="clear" w:color="auto" w:fill="auto"/>
            <w:tcMar>
              <w:top w:w="51" w:type="dxa"/>
              <w:left w:w="0" w:type="dxa"/>
              <w:bottom w:w="23" w:type="dxa"/>
              <w:right w:w="0" w:type="dxa"/>
            </w:tcMar>
            <w:vAlign w:val="bottom"/>
          </w:tcPr>
          <w:p w14:paraId="207139A3" w14:textId="77777777" w:rsidR="00A62E51" w:rsidRPr="00A62E51" w:rsidRDefault="00A62E51" w:rsidP="00C00DCF">
            <w:pPr>
              <w:contextualSpacing/>
              <w:jc w:val="right"/>
              <w:rPr>
                <w:rFonts w:ascii="Tahoma" w:hAnsi="Tahoma"/>
                <w:b/>
                <w:bCs/>
                <w:color w:val="000000" w:themeColor="text1"/>
                <w:sz w:val="16"/>
                <w:lang w:val="en-GB"/>
              </w:rPr>
            </w:pPr>
            <w:r w:rsidRPr="00A62E51">
              <w:rPr>
                <w:rFonts w:ascii="Tahoma" w:hAnsi="Tahoma"/>
                <w:b/>
                <w:bCs/>
                <w:color w:val="000000" w:themeColor="text1"/>
                <w:sz w:val="16"/>
                <w:lang w:val="en-GB"/>
              </w:rPr>
              <w:t>5 068</w:t>
            </w:r>
          </w:p>
        </w:tc>
        <w:tc>
          <w:tcPr>
            <w:tcW w:w="1134" w:type="dxa"/>
            <w:tcBorders>
              <w:top w:val="single" w:sz="4" w:space="0" w:color="auto"/>
            </w:tcBorders>
            <w:shd w:val="clear" w:color="auto" w:fill="auto"/>
            <w:tcMar>
              <w:top w:w="51" w:type="dxa"/>
              <w:left w:w="0" w:type="dxa"/>
              <w:bottom w:w="23" w:type="dxa"/>
              <w:right w:w="0" w:type="dxa"/>
            </w:tcMar>
            <w:vAlign w:val="bottom"/>
          </w:tcPr>
          <w:p w14:paraId="32BCD923" w14:textId="77777777" w:rsidR="00A62E51" w:rsidRPr="00A62E51" w:rsidRDefault="00A62E51" w:rsidP="00C00DCF">
            <w:pPr>
              <w:contextualSpacing/>
              <w:jc w:val="right"/>
              <w:rPr>
                <w:rFonts w:ascii="Tahoma" w:hAnsi="Tahoma"/>
                <w:color w:val="000000" w:themeColor="text1"/>
                <w:sz w:val="16"/>
                <w:lang w:val="en-GB"/>
              </w:rPr>
            </w:pPr>
            <w:r w:rsidRPr="00A62E51">
              <w:rPr>
                <w:rFonts w:ascii="Tahoma" w:hAnsi="Tahoma"/>
                <w:color w:val="000000" w:themeColor="text1"/>
                <w:sz w:val="16"/>
                <w:lang w:val="en-GB"/>
              </w:rPr>
              <w:t>4 788</w:t>
            </w:r>
          </w:p>
        </w:tc>
        <w:tc>
          <w:tcPr>
            <w:tcW w:w="1134" w:type="dxa"/>
            <w:tcBorders>
              <w:top w:val="single" w:sz="4" w:space="0" w:color="auto"/>
              <w:right w:val="single" w:sz="4" w:space="0" w:color="auto"/>
            </w:tcBorders>
            <w:shd w:val="clear" w:color="auto" w:fill="auto"/>
            <w:tcMar>
              <w:top w:w="51" w:type="dxa"/>
              <w:left w:w="0" w:type="dxa"/>
              <w:bottom w:w="23" w:type="dxa"/>
              <w:right w:w="0" w:type="dxa"/>
            </w:tcMar>
            <w:vAlign w:val="bottom"/>
          </w:tcPr>
          <w:p w14:paraId="11E2F307" w14:textId="77777777" w:rsidR="00A62E51" w:rsidRPr="00A62E51" w:rsidRDefault="00A62E51" w:rsidP="00C00DCF">
            <w:pPr>
              <w:ind w:right="113"/>
              <w:contextualSpacing/>
              <w:jc w:val="right"/>
              <w:rPr>
                <w:rFonts w:ascii="Tahoma" w:hAnsi="Tahoma"/>
                <w:color w:val="000000" w:themeColor="text1"/>
                <w:sz w:val="16"/>
                <w:lang w:val="en-GB"/>
              </w:rPr>
            </w:pPr>
            <w:r w:rsidRPr="00A62E51">
              <w:rPr>
                <w:rFonts w:ascii="Tahoma" w:hAnsi="Tahoma"/>
                <w:color w:val="000000" w:themeColor="text1"/>
                <w:sz w:val="16"/>
                <w:lang w:val="en-GB"/>
              </w:rPr>
              <w:t>4 413</w:t>
            </w:r>
          </w:p>
        </w:tc>
      </w:tr>
      <w:tr w:rsidR="00615190" w:rsidRPr="00A62E51" w14:paraId="4554CB71" w14:textId="77777777" w:rsidTr="008258F3">
        <w:trPr>
          <w:trHeight w:val="60"/>
        </w:trPr>
        <w:tc>
          <w:tcPr>
            <w:tcW w:w="5954" w:type="dxa"/>
            <w:shd w:val="clear" w:color="auto" w:fill="auto"/>
            <w:tcMar>
              <w:top w:w="23" w:type="dxa"/>
              <w:left w:w="113" w:type="dxa"/>
              <w:bottom w:w="51" w:type="dxa"/>
              <w:right w:w="0" w:type="dxa"/>
            </w:tcMar>
            <w:vAlign w:val="bottom"/>
          </w:tcPr>
          <w:p w14:paraId="5F691962" w14:textId="77777777" w:rsidR="00A62E51" w:rsidRPr="00A62E51" w:rsidRDefault="00A62E51" w:rsidP="00C00DCF">
            <w:pPr>
              <w:contextualSpacing/>
              <w:rPr>
                <w:rFonts w:ascii="Tahoma" w:hAnsi="Tahoma"/>
                <w:color w:val="000000" w:themeColor="text1"/>
                <w:sz w:val="16"/>
                <w:lang w:val="en-GB"/>
              </w:rPr>
            </w:pPr>
            <w:r w:rsidRPr="00A62E51">
              <w:rPr>
                <w:rFonts w:ascii="Tahoma" w:hAnsi="Tahoma"/>
                <w:color w:val="000000" w:themeColor="text1"/>
                <w:sz w:val="16"/>
                <w:lang w:val="en-GB"/>
              </w:rPr>
              <w:t>Liabilities classified as held for sale</w:t>
            </w:r>
          </w:p>
        </w:tc>
        <w:tc>
          <w:tcPr>
            <w:tcW w:w="850" w:type="dxa"/>
            <w:tcBorders>
              <w:right w:val="single" w:sz="4" w:space="0" w:color="auto"/>
            </w:tcBorders>
            <w:shd w:val="clear" w:color="auto" w:fill="auto"/>
            <w:tcMar>
              <w:top w:w="23" w:type="dxa"/>
              <w:left w:w="0" w:type="dxa"/>
              <w:bottom w:w="51" w:type="dxa"/>
              <w:right w:w="0" w:type="dxa"/>
            </w:tcMar>
            <w:vAlign w:val="bottom"/>
          </w:tcPr>
          <w:p w14:paraId="5DFFAE2D" w14:textId="77777777" w:rsidR="00A62E51" w:rsidRPr="00A62E51" w:rsidRDefault="00A62E51" w:rsidP="00C00DCF">
            <w:pPr>
              <w:ind w:right="113"/>
              <w:contextualSpacing/>
              <w:jc w:val="right"/>
              <w:rPr>
                <w:rFonts w:ascii="Tahoma" w:hAnsi="Tahoma"/>
                <w:color w:val="000000" w:themeColor="text1"/>
                <w:sz w:val="16"/>
                <w:lang w:val="en-GB"/>
              </w:rPr>
            </w:pPr>
            <w:r w:rsidRPr="00A62E51">
              <w:rPr>
                <w:rFonts w:ascii="Tahoma" w:hAnsi="Tahoma"/>
                <w:color w:val="000000" w:themeColor="text1"/>
                <w:sz w:val="16"/>
                <w:lang w:val="en-GB"/>
              </w:rPr>
              <w:t>14</w:t>
            </w:r>
          </w:p>
        </w:tc>
        <w:tc>
          <w:tcPr>
            <w:tcW w:w="1134" w:type="dxa"/>
            <w:tcBorders>
              <w:left w:val="single" w:sz="4" w:space="0" w:color="auto"/>
              <w:bottom w:val="single" w:sz="4" w:space="0" w:color="auto"/>
            </w:tcBorders>
            <w:shd w:val="clear" w:color="auto" w:fill="auto"/>
            <w:tcMar>
              <w:top w:w="23" w:type="dxa"/>
              <w:left w:w="0" w:type="dxa"/>
              <w:bottom w:w="51" w:type="dxa"/>
              <w:right w:w="0" w:type="dxa"/>
            </w:tcMar>
            <w:vAlign w:val="bottom"/>
          </w:tcPr>
          <w:p w14:paraId="34C9CB91" w14:textId="77777777" w:rsidR="00A62E51" w:rsidRPr="00A62E51" w:rsidRDefault="00A62E51" w:rsidP="00C00DCF">
            <w:pPr>
              <w:contextualSpacing/>
              <w:jc w:val="right"/>
              <w:rPr>
                <w:rFonts w:ascii="Tahoma" w:hAnsi="Tahoma"/>
                <w:b/>
                <w:bCs/>
                <w:color w:val="000000" w:themeColor="text1"/>
                <w:sz w:val="16"/>
                <w:lang w:val="en-GB"/>
              </w:rPr>
            </w:pPr>
            <w:r w:rsidRPr="00A62E51">
              <w:rPr>
                <w:rFonts w:ascii="Tahoma" w:hAnsi="Tahoma"/>
                <w:b/>
                <w:bCs/>
                <w:color w:val="000000" w:themeColor="text1"/>
                <w:sz w:val="16"/>
                <w:lang w:val="en-GB"/>
              </w:rPr>
              <w:t>525</w:t>
            </w:r>
          </w:p>
        </w:tc>
        <w:tc>
          <w:tcPr>
            <w:tcW w:w="1134" w:type="dxa"/>
            <w:tcBorders>
              <w:bottom w:val="single" w:sz="4" w:space="0" w:color="auto"/>
            </w:tcBorders>
            <w:shd w:val="clear" w:color="auto" w:fill="auto"/>
            <w:tcMar>
              <w:top w:w="23" w:type="dxa"/>
              <w:left w:w="0" w:type="dxa"/>
              <w:bottom w:w="51" w:type="dxa"/>
              <w:right w:w="0" w:type="dxa"/>
            </w:tcMar>
            <w:vAlign w:val="bottom"/>
          </w:tcPr>
          <w:p w14:paraId="3C933DA3" w14:textId="77777777" w:rsidR="00A62E51" w:rsidRPr="00A62E51" w:rsidRDefault="00A62E51" w:rsidP="00C00DCF">
            <w:pPr>
              <w:contextualSpacing/>
              <w:jc w:val="right"/>
              <w:rPr>
                <w:rFonts w:ascii="Tahoma" w:hAnsi="Tahoma"/>
                <w:color w:val="000000" w:themeColor="text1"/>
                <w:sz w:val="16"/>
                <w:lang w:val="en-GB"/>
              </w:rPr>
            </w:pPr>
            <w:r w:rsidRPr="00A62E51">
              <w:rPr>
                <w:rFonts w:ascii="Tahoma" w:hAnsi="Tahoma"/>
                <w:color w:val="000000" w:themeColor="text1"/>
                <w:sz w:val="16"/>
                <w:lang w:val="en-GB"/>
              </w:rPr>
              <w:t>—</w:t>
            </w:r>
          </w:p>
        </w:tc>
        <w:tc>
          <w:tcPr>
            <w:tcW w:w="1134" w:type="dxa"/>
            <w:tcBorders>
              <w:bottom w:val="single" w:sz="4" w:space="0" w:color="auto"/>
              <w:right w:val="single" w:sz="4" w:space="0" w:color="auto"/>
            </w:tcBorders>
            <w:shd w:val="clear" w:color="auto" w:fill="auto"/>
            <w:tcMar>
              <w:top w:w="23" w:type="dxa"/>
              <w:left w:w="0" w:type="dxa"/>
              <w:bottom w:w="51" w:type="dxa"/>
              <w:right w:w="0" w:type="dxa"/>
            </w:tcMar>
            <w:vAlign w:val="bottom"/>
          </w:tcPr>
          <w:p w14:paraId="77B06663" w14:textId="77777777" w:rsidR="00A62E51" w:rsidRPr="00A62E51" w:rsidRDefault="00A62E51" w:rsidP="00C00DCF">
            <w:pPr>
              <w:ind w:right="113"/>
              <w:contextualSpacing/>
              <w:jc w:val="right"/>
              <w:rPr>
                <w:rFonts w:ascii="Tahoma" w:hAnsi="Tahoma"/>
                <w:color w:val="000000" w:themeColor="text1"/>
                <w:sz w:val="16"/>
                <w:lang w:val="en-GB"/>
              </w:rPr>
            </w:pPr>
            <w:r w:rsidRPr="00A62E51">
              <w:rPr>
                <w:rFonts w:ascii="Tahoma" w:hAnsi="Tahoma"/>
                <w:color w:val="000000" w:themeColor="text1"/>
                <w:sz w:val="16"/>
                <w:lang w:val="en-GB"/>
              </w:rPr>
              <w:t>—</w:t>
            </w:r>
          </w:p>
        </w:tc>
      </w:tr>
      <w:tr w:rsidR="00615190" w:rsidRPr="00A62E51" w14:paraId="587DD074" w14:textId="77777777" w:rsidTr="008258F3">
        <w:trPr>
          <w:trHeight w:hRule="exact" w:val="60"/>
        </w:trPr>
        <w:tc>
          <w:tcPr>
            <w:tcW w:w="5954" w:type="dxa"/>
            <w:tcBorders>
              <w:bottom w:val="single" w:sz="4" w:space="0" w:color="auto"/>
            </w:tcBorders>
            <w:shd w:val="clear" w:color="auto" w:fill="auto"/>
            <w:tcMar>
              <w:top w:w="23" w:type="dxa"/>
              <w:left w:w="113" w:type="dxa"/>
              <w:bottom w:w="23" w:type="dxa"/>
              <w:right w:w="0" w:type="dxa"/>
            </w:tcMar>
            <w:vAlign w:val="bottom"/>
          </w:tcPr>
          <w:p w14:paraId="610D820B" w14:textId="77777777" w:rsidR="00A62E51" w:rsidRPr="00A62E51" w:rsidRDefault="00A62E51" w:rsidP="00C00DCF">
            <w:pPr>
              <w:contextualSpacing/>
              <w:rPr>
                <w:rFonts w:ascii="Tahoma" w:hAnsi="Tahoma"/>
                <w:color w:val="000000" w:themeColor="text1"/>
                <w:sz w:val="16"/>
                <w:lang w:val="en-GB"/>
              </w:rPr>
            </w:pPr>
          </w:p>
        </w:tc>
        <w:tc>
          <w:tcPr>
            <w:tcW w:w="850" w:type="dxa"/>
            <w:tcBorders>
              <w:bottom w:val="single" w:sz="4" w:space="0" w:color="auto"/>
            </w:tcBorders>
            <w:shd w:val="clear" w:color="auto" w:fill="auto"/>
            <w:tcMar>
              <w:top w:w="23" w:type="dxa"/>
              <w:left w:w="0" w:type="dxa"/>
              <w:bottom w:w="23" w:type="dxa"/>
              <w:right w:w="0" w:type="dxa"/>
            </w:tcMar>
            <w:vAlign w:val="bottom"/>
          </w:tcPr>
          <w:p w14:paraId="5E42D196" w14:textId="77777777" w:rsidR="00A62E51" w:rsidRPr="00A62E51" w:rsidRDefault="00A62E51" w:rsidP="00C00DCF">
            <w:pPr>
              <w:contextualSpacing/>
              <w:jc w:val="right"/>
              <w:rPr>
                <w:rFonts w:ascii="Tahoma" w:hAnsi="Tahoma"/>
                <w:color w:val="000000" w:themeColor="text1"/>
                <w:sz w:val="16"/>
                <w:lang w:val="en-GB"/>
              </w:rPr>
            </w:pPr>
          </w:p>
        </w:tc>
        <w:tc>
          <w:tcPr>
            <w:tcW w:w="1134" w:type="dxa"/>
            <w:tcBorders>
              <w:top w:val="single" w:sz="4" w:space="0" w:color="auto"/>
              <w:bottom w:val="single" w:sz="4" w:space="0" w:color="auto"/>
            </w:tcBorders>
            <w:shd w:val="clear" w:color="auto" w:fill="auto"/>
            <w:tcMar>
              <w:top w:w="23" w:type="dxa"/>
              <w:left w:w="0" w:type="dxa"/>
              <w:bottom w:w="23" w:type="dxa"/>
              <w:right w:w="0" w:type="dxa"/>
            </w:tcMar>
            <w:vAlign w:val="bottom"/>
          </w:tcPr>
          <w:p w14:paraId="446F4F6B" w14:textId="77777777" w:rsidR="00A62E51" w:rsidRPr="00A62E51" w:rsidRDefault="00A62E51" w:rsidP="00C00DCF">
            <w:pPr>
              <w:contextualSpacing/>
              <w:jc w:val="right"/>
              <w:rPr>
                <w:rFonts w:ascii="Tahoma" w:hAnsi="Tahoma"/>
                <w:b/>
                <w:bCs/>
                <w:color w:val="000000" w:themeColor="text1"/>
                <w:sz w:val="16"/>
                <w:lang w:val="en-GB"/>
              </w:rPr>
            </w:pPr>
          </w:p>
        </w:tc>
        <w:tc>
          <w:tcPr>
            <w:tcW w:w="1134" w:type="dxa"/>
            <w:tcBorders>
              <w:top w:val="single" w:sz="4" w:space="0" w:color="auto"/>
              <w:bottom w:val="single" w:sz="4" w:space="0" w:color="auto"/>
            </w:tcBorders>
            <w:shd w:val="clear" w:color="auto" w:fill="auto"/>
            <w:tcMar>
              <w:top w:w="23" w:type="dxa"/>
              <w:left w:w="0" w:type="dxa"/>
              <w:bottom w:w="23" w:type="dxa"/>
              <w:right w:w="0" w:type="dxa"/>
            </w:tcMar>
            <w:vAlign w:val="bottom"/>
          </w:tcPr>
          <w:p w14:paraId="7D46933C" w14:textId="77777777" w:rsidR="00A62E51" w:rsidRPr="00A62E51" w:rsidRDefault="00A62E51" w:rsidP="00C00DCF">
            <w:pPr>
              <w:contextualSpacing/>
              <w:jc w:val="right"/>
              <w:rPr>
                <w:rFonts w:ascii="Tahoma" w:hAnsi="Tahoma"/>
                <w:color w:val="000000" w:themeColor="text1"/>
                <w:sz w:val="16"/>
                <w:lang w:val="en-GB"/>
              </w:rPr>
            </w:pPr>
          </w:p>
        </w:tc>
        <w:tc>
          <w:tcPr>
            <w:tcW w:w="1134" w:type="dxa"/>
            <w:tcBorders>
              <w:top w:val="single" w:sz="4" w:space="0" w:color="auto"/>
              <w:bottom w:val="single" w:sz="4" w:space="0" w:color="auto"/>
            </w:tcBorders>
            <w:shd w:val="clear" w:color="auto" w:fill="auto"/>
            <w:tcMar>
              <w:top w:w="23" w:type="dxa"/>
              <w:left w:w="0" w:type="dxa"/>
              <w:bottom w:w="23" w:type="dxa"/>
              <w:right w:w="0" w:type="dxa"/>
            </w:tcMar>
            <w:vAlign w:val="bottom"/>
          </w:tcPr>
          <w:p w14:paraId="178B5D0F" w14:textId="77777777" w:rsidR="00A62E51" w:rsidRPr="00A62E51" w:rsidRDefault="00A62E51" w:rsidP="00C00DCF">
            <w:pPr>
              <w:ind w:right="113"/>
              <w:contextualSpacing/>
              <w:jc w:val="right"/>
              <w:rPr>
                <w:rFonts w:ascii="Tahoma" w:hAnsi="Tahoma"/>
                <w:color w:val="000000" w:themeColor="text1"/>
                <w:sz w:val="16"/>
                <w:lang w:val="en-GB"/>
              </w:rPr>
            </w:pPr>
          </w:p>
        </w:tc>
      </w:tr>
      <w:tr w:rsidR="00615190" w:rsidRPr="00A62E51" w14:paraId="39E06536" w14:textId="77777777" w:rsidTr="008258F3">
        <w:trPr>
          <w:trHeight w:val="60"/>
        </w:trPr>
        <w:tc>
          <w:tcPr>
            <w:tcW w:w="5954" w:type="dxa"/>
            <w:tcBorders>
              <w:top w:val="single" w:sz="4" w:space="0" w:color="auto"/>
              <w:bottom w:val="single" w:sz="12" w:space="0" w:color="auto"/>
            </w:tcBorders>
            <w:shd w:val="clear" w:color="auto" w:fill="auto"/>
            <w:tcMar>
              <w:top w:w="51" w:type="dxa"/>
              <w:left w:w="0" w:type="dxa"/>
              <w:bottom w:w="51" w:type="dxa"/>
              <w:right w:w="0" w:type="dxa"/>
            </w:tcMar>
            <w:vAlign w:val="bottom"/>
          </w:tcPr>
          <w:p w14:paraId="6DB2E155" w14:textId="77777777" w:rsidR="00A62E51" w:rsidRPr="00A62E51" w:rsidRDefault="00A62E51" w:rsidP="00C00DCF">
            <w:pPr>
              <w:contextualSpacing/>
              <w:rPr>
                <w:rFonts w:ascii="Tahoma" w:hAnsi="Tahoma"/>
                <w:b/>
                <w:bCs/>
                <w:color w:val="000000" w:themeColor="text1"/>
                <w:sz w:val="16"/>
                <w:lang w:val="en-GB"/>
              </w:rPr>
            </w:pPr>
            <w:r w:rsidRPr="00A62E51">
              <w:rPr>
                <w:rFonts w:ascii="Tahoma" w:hAnsi="Tahoma"/>
                <w:b/>
                <w:bCs/>
                <w:color w:val="000000" w:themeColor="text1"/>
                <w:sz w:val="16"/>
                <w:lang w:val="en-GB"/>
              </w:rPr>
              <w:t>Total equity and liabilities</w:t>
            </w:r>
          </w:p>
        </w:tc>
        <w:tc>
          <w:tcPr>
            <w:tcW w:w="850" w:type="dxa"/>
            <w:tcBorders>
              <w:top w:val="single" w:sz="4" w:space="0" w:color="auto"/>
              <w:bottom w:val="single" w:sz="12" w:space="0" w:color="auto"/>
            </w:tcBorders>
            <w:shd w:val="clear" w:color="auto" w:fill="auto"/>
            <w:tcMar>
              <w:top w:w="51" w:type="dxa"/>
              <w:left w:w="0" w:type="dxa"/>
              <w:bottom w:w="51" w:type="dxa"/>
              <w:right w:w="0" w:type="dxa"/>
            </w:tcMar>
            <w:vAlign w:val="bottom"/>
          </w:tcPr>
          <w:p w14:paraId="027B6900" w14:textId="77777777" w:rsidR="00A62E51" w:rsidRPr="00A62E51" w:rsidRDefault="00A62E51" w:rsidP="00C00DCF">
            <w:pPr>
              <w:contextualSpacing/>
              <w:jc w:val="right"/>
              <w:rPr>
                <w:rFonts w:ascii="Tahoma" w:hAnsi="Tahoma"/>
                <w:color w:val="000000" w:themeColor="text1"/>
                <w:sz w:val="16"/>
                <w:lang w:val="en-GB"/>
              </w:rPr>
            </w:pPr>
          </w:p>
        </w:tc>
        <w:tc>
          <w:tcPr>
            <w:tcW w:w="1134" w:type="dxa"/>
            <w:tcBorders>
              <w:top w:val="single" w:sz="4" w:space="0" w:color="auto"/>
              <w:bottom w:val="single" w:sz="12" w:space="0" w:color="auto"/>
            </w:tcBorders>
            <w:shd w:val="clear" w:color="auto" w:fill="auto"/>
            <w:tcMar>
              <w:top w:w="51" w:type="dxa"/>
              <w:left w:w="0" w:type="dxa"/>
              <w:bottom w:w="51" w:type="dxa"/>
              <w:right w:w="0" w:type="dxa"/>
            </w:tcMar>
            <w:vAlign w:val="bottom"/>
          </w:tcPr>
          <w:p w14:paraId="5377E6DC" w14:textId="77777777" w:rsidR="00A62E51" w:rsidRPr="00A62E51" w:rsidRDefault="00A62E51" w:rsidP="00C00DCF">
            <w:pPr>
              <w:contextualSpacing/>
              <w:jc w:val="right"/>
              <w:rPr>
                <w:rFonts w:ascii="Tahoma" w:hAnsi="Tahoma"/>
                <w:b/>
                <w:bCs/>
                <w:color w:val="000000" w:themeColor="text1"/>
                <w:sz w:val="16"/>
                <w:lang w:val="en-GB"/>
              </w:rPr>
            </w:pPr>
            <w:r w:rsidRPr="00A62E51">
              <w:rPr>
                <w:rFonts w:ascii="Tahoma" w:hAnsi="Tahoma"/>
                <w:b/>
                <w:bCs/>
                <w:color w:val="000000" w:themeColor="text1"/>
                <w:sz w:val="16"/>
                <w:lang w:val="en-GB"/>
              </w:rPr>
              <w:t>62 164</w:t>
            </w:r>
          </w:p>
        </w:tc>
        <w:tc>
          <w:tcPr>
            <w:tcW w:w="1134" w:type="dxa"/>
            <w:tcBorders>
              <w:top w:val="single" w:sz="4" w:space="0" w:color="auto"/>
              <w:bottom w:val="single" w:sz="12" w:space="0" w:color="auto"/>
            </w:tcBorders>
            <w:shd w:val="clear" w:color="auto" w:fill="auto"/>
            <w:tcMar>
              <w:top w:w="51" w:type="dxa"/>
              <w:left w:w="0" w:type="dxa"/>
              <w:bottom w:w="51" w:type="dxa"/>
              <w:right w:w="0" w:type="dxa"/>
            </w:tcMar>
            <w:vAlign w:val="bottom"/>
          </w:tcPr>
          <w:p w14:paraId="39E0792A" w14:textId="77777777" w:rsidR="00A62E51" w:rsidRPr="00A62E51" w:rsidRDefault="00A62E51" w:rsidP="00C00DCF">
            <w:pPr>
              <w:contextualSpacing/>
              <w:jc w:val="right"/>
              <w:rPr>
                <w:rFonts w:ascii="Tahoma" w:hAnsi="Tahoma"/>
                <w:color w:val="000000" w:themeColor="text1"/>
                <w:sz w:val="16"/>
                <w:lang w:val="en-GB"/>
              </w:rPr>
            </w:pPr>
            <w:r w:rsidRPr="00A62E51">
              <w:rPr>
                <w:rFonts w:ascii="Tahoma" w:hAnsi="Tahoma"/>
                <w:color w:val="000000" w:themeColor="text1"/>
                <w:sz w:val="16"/>
                <w:lang w:val="en-GB"/>
              </w:rPr>
              <w:t>70 836</w:t>
            </w:r>
          </w:p>
        </w:tc>
        <w:tc>
          <w:tcPr>
            <w:tcW w:w="1134" w:type="dxa"/>
            <w:tcBorders>
              <w:top w:val="single" w:sz="4" w:space="0" w:color="auto"/>
              <w:bottom w:val="single" w:sz="12" w:space="0" w:color="auto"/>
            </w:tcBorders>
            <w:shd w:val="clear" w:color="auto" w:fill="auto"/>
            <w:tcMar>
              <w:top w:w="51" w:type="dxa"/>
              <w:left w:w="0" w:type="dxa"/>
              <w:bottom w:w="51" w:type="dxa"/>
              <w:right w:w="0" w:type="dxa"/>
            </w:tcMar>
            <w:vAlign w:val="bottom"/>
          </w:tcPr>
          <w:p w14:paraId="739518AC" w14:textId="77777777" w:rsidR="00A62E51" w:rsidRPr="00A62E51" w:rsidRDefault="00A62E51" w:rsidP="00C00DCF">
            <w:pPr>
              <w:ind w:right="113"/>
              <w:contextualSpacing/>
              <w:jc w:val="right"/>
              <w:rPr>
                <w:rFonts w:ascii="Tahoma" w:hAnsi="Tahoma"/>
                <w:color w:val="000000" w:themeColor="text1"/>
                <w:sz w:val="16"/>
                <w:lang w:val="en-GB"/>
              </w:rPr>
            </w:pPr>
            <w:r w:rsidRPr="00A62E51">
              <w:rPr>
                <w:rFonts w:ascii="Tahoma" w:hAnsi="Tahoma"/>
                <w:color w:val="000000" w:themeColor="text1"/>
                <w:sz w:val="16"/>
                <w:lang w:val="en-GB"/>
              </w:rPr>
              <w:t>71 338</w:t>
            </w:r>
          </w:p>
        </w:tc>
      </w:tr>
      <w:tr w:rsidR="00615190" w:rsidRPr="00A62E51" w14:paraId="12851A24" w14:textId="77777777" w:rsidTr="0070518B">
        <w:trPr>
          <w:trHeight w:val="60"/>
        </w:trPr>
        <w:tc>
          <w:tcPr>
            <w:tcW w:w="10206" w:type="dxa"/>
            <w:gridSpan w:val="5"/>
            <w:tcBorders>
              <w:top w:val="single" w:sz="12" w:space="0" w:color="auto"/>
            </w:tcBorders>
            <w:shd w:val="clear" w:color="auto" w:fill="auto"/>
            <w:tcMar>
              <w:top w:w="85" w:type="dxa"/>
              <w:left w:w="0" w:type="dxa"/>
              <w:bottom w:w="57" w:type="dxa"/>
              <w:right w:w="0" w:type="dxa"/>
            </w:tcMar>
            <w:vAlign w:val="bottom"/>
          </w:tcPr>
          <w:p w14:paraId="7097A3A7" w14:textId="77777777" w:rsidR="00A62E51" w:rsidRPr="00A62E51" w:rsidRDefault="00A62E51" w:rsidP="00C00DCF">
            <w:pPr>
              <w:pStyle w:val="FootnotesProsus2022FrontStylesProsus2022"/>
              <w:spacing w:line="240" w:lineRule="auto"/>
              <w:contextualSpacing/>
            </w:pPr>
            <w:r w:rsidRPr="00A62E51">
              <w:t>1</w:t>
            </w:r>
            <w:r w:rsidRPr="00A62E51">
              <w:tab/>
            </w:r>
            <w:proofErr w:type="gramStart"/>
            <w:r w:rsidRPr="00A62E51">
              <w:t>Non-current</w:t>
            </w:r>
            <w:proofErr w:type="gramEnd"/>
            <w:r w:rsidRPr="00A62E51">
              <w:t xml:space="preserve"> derivative assets have been aggregated with other investments and loans, and non-current derivative liabilities with other non-current liabilities as a result of them being immaterial. </w:t>
            </w:r>
          </w:p>
          <w:p w14:paraId="046E321C" w14:textId="77777777" w:rsidR="00A62E51" w:rsidRPr="00A62E51" w:rsidRDefault="00A62E51" w:rsidP="00C00DCF">
            <w:pPr>
              <w:pStyle w:val="FootnotesProsus2022FrontStylesProsus2022"/>
              <w:spacing w:line="240" w:lineRule="auto"/>
              <w:contextualSpacing/>
            </w:pPr>
            <w:r w:rsidRPr="00A62E51">
              <w:t>2</w:t>
            </w:r>
            <w:r w:rsidRPr="00A62E51">
              <w:tab/>
              <w:t xml:space="preserve">The significant movement in interest-bearing liabilities relates to the foreign currency translation gain on the group’s euro-denominated bonds. </w:t>
            </w:r>
          </w:p>
        </w:tc>
      </w:tr>
    </w:tbl>
    <w:p w14:paraId="174892E0" w14:textId="77777777" w:rsidR="00F57DEB" w:rsidRDefault="00F57DEB" w:rsidP="00615190">
      <w:pPr>
        <w:spacing w:line="240" w:lineRule="atLeast"/>
        <w:rPr>
          <w:rFonts w:ascii="Tahoma" w:hAnsi="Tahoma"/>
          <w:color w:val="000000" w:themeColor="text1"/>
          <w:sz w:val="16"/>
        </w:rPr>
      </w:pPr>
    </w:p>
    <w:p w14:paraId="56374CE7" w14:textId="77777777" w:rsidR="00EA2899" w:rsidRDefault="00EA2899" w:rsidP="00615190">
      <w:pPr>
        <w:spacing w:line="240" w:lineRule="atLeast"/>
        <w:rPr>
          <w:rFonts w:ascii="Tahoma" w:hAnsi="Tahoma"/>
          <w:color w:val="000000" w:themeColor="text1"/>
          <w:sz w:val="16"/>
        </w:rPr>
      </w:pPr>
    </w:p>
    <w:p w14:paraId="228E163B" w14:textId="77777777" w:rsidR="00CD42E5" w:rsidRPr="00615190" w:rsidRDefault="00CD42E5" w:rsidP="00615190">
      <w:pPr>
        <w:spacing w:line="240" w:lineRule="atLeast"/>
        <w:rPr>
          <w:rFonts w:ascii="Tahoma" w:hAnsi="Tahoma"/>
          <w:color w:val="000000" w:themeColor="text1"/>
          <w:sz w:val="16"/>
        </w:rPr>
      </w:pPr>
    </w:p>
    <w:tbl>
      <w:tblPr>
        <w:tblW w:w="10206" w:type="dxa"/>
        <w:tblInd w:w="-8" w:type="dxa"/>
        <w:tblLayout w:type="fixed"/>
        <w:tblCellMar>
          <w:left w:w="0" w:type="dxa"/>
          <w:right w:w="0" w:type="dxa"/>
        </w:tblCellMar>
        <w:tblLook w:val="0000" w:firstRow="0" w:lastRow="0" w:firstColumn="0" w:lastColumn="0" w:noHBand="0" w:noVBand="0"/>
      </w:tblPr>
      <w:tblGrid>
        <w:gridCol w:w="3694"/>
        <w:gridCol w:w="567"/>
        <w:gridCol w:w="567"/>
        <w:gridCol w:w="709"/>
        <w:gridCol w:w="708"/>
        <w:gridCol w:w="567"/>
        <w:gridCol w:w="709"/>
        <w:gridCol w:w="709"/>
        <w:gridCol w:w="567"/>
        <w:gridCol w:w="709"/>
        <w:gridCol w:w="700"/>
      </w:tblGrid>
      <w:tr w:rsidR="005356D2" w:rsidRPr="00C22CDE" w14:paraId="1AC9F097" w14:textId="77777777" w:rsidTr="00611470">
        <w:trPr>
          <w:trHeight w:val="60"/>
        </w:trPr>
        <w:tc>
          <w:tcPr>
            <w:tcW w:w="10206" w:type="dxa"/>
            <w:gridSpan w:val="11"/>
            <w:tcMar>
              <w:top w:w="0" w:type="dxa"/>
              <w:left w:w="0" w:type="dxa"/>
              <w:bottom w:w="113" w:type="dxa"/>
              <w:right w:w="0" w:type="dxa"/>
            </w:tcMar>
            <w:vAlign w:val="bottom"/>
          </w:tcPr>
          <w:p w14:paraId="3FF7A6E2" w14:textId="77777777" w:rsidR="005356D2" w:rsidRPr="00C22CDE" w:rsidRDefault="005356D2" w:rsidP="00615190">
            <w:pPr>
              <w:spacing w:line="240" w:lineRule="atLeast"/>
              <w:rPr>
                <w:rFonts w:ascii="Tahoma" w:hAnsi="Tahoma"/>
                <w:color w:val="000000" w:themeColor="text1"/>
                <w:sz w:val="16"/>
                <w:lang w:val="en-GB"/>
              </w:rPr>
            </w:pPr>
            <w:r w:rsidRPr="00C22CDE">
              <w:rPr>
                <w:rFonts w:ascii="Tahoma" w:hAnsi="Tahoma"/>
                <w:b/>
                <w:bCs/>
                <w:color w:val="000000" w:themeColor="text1"/>
                <w:sz w:val="20"/>
                <w:szCs w:val="20"/>
                <w:lang w:val="en-GB"/>
              </w:rPr>
              <w:lastRenderedPageBreak/>
              <w:t>CONDENSED CONSOLIDATED STATEMENT OF CHANGES IN EQUITY</w:t>
            </w:r>
          </w:p>
        </w:tc>
      </w:tr>
      <w:tr w:rsidR="005001CB" w:rsidRPr="00C22CDE" w14:paraId="218A1B80" w14:textId="77777777" w:rsidTr="00611470">
        <w:trPr>
          <w:trHeight w:val="60"/>
        </w:trPr>
        <w:tc>
          <w:tcPr>
            <w:tcW w:w="3694" w:type="dxa"/>
            <w:tcBorders>
              <w:bottom w:val="single" w:sz="12" w:space="0" w:color="auto"/>
            </w:tcBorders>
            <w:tcMar>
              <w:top w:w="0" w:type="dxa"/>
              <w:left w:w="0" w:type="dxa"/>
              <w:bottom w:w="113" w:type="dxa"/>
              <w:right w:w="0" w:type="dxa"/>
            </w:tcMar>
            <w:vAlign w:val="bottom"/>
          </w:tcPr>
          <w:p w14:paraId="501F8514" w14:textId="77777777" w:rsidR="00C22CDE" w:rsidRPr="00C22CDE" w:rsidRDefault="00C22CDE" w:rsidP="00615190">
            <w:pPr>
              <w:spacing w:line="240" w:lineRule="atLeast"/>
              <w:rPr>
                <w:rFonts w:ascii="Tahoma" w:hAnsi="Tahoma"/>
                <w:color w:val="000000" w:themeColor="text1"/>
                <w:sz w:val="16"/>
                <w:lang w:val="en-GB"/>
              </w:rPr>
            </w:pPr>
          </w:p>
        </w:tc>
        <w:tc>
          <w:tcPr>
            <w:tcW w:w="567" w:type="dxa"/>
            <w:tcBorders>
              <w:bottom w:val="single" w:sz="12" w:space="0" w:color="auto"/>
            </w:tcBorders>
            <w:tcMar>
              <w:top w:w="0" w:type="dxa"/>
              <w:left w:w="0" w:type="dxa"/>
              <w:bottom w:w="113" w:type="dxa"/>
              <w:right w:w="0" w:type="dxa"/>
            </w:tcMar>
            <w:vAlign w:val="bottom"/>
          </w:tcPr>
          <w:p w14:paraId="64414141"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 xml:space="preserve">Share </w:t>
            </w:r>
          </w:p>
          <w:p w14:paraId="36715785"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capital</w:t>
            </w:r>
          </w:p>
          <w:p w14:paraId="35375B4A"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and</w:t>
            </w:r>
          </w:p>
          <w:p w14:paraId="27B5F4C9"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premium</w:t>
            </w:r>
          </w:p>
          <w:p w14:paraId="0A7C80C4"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ordinary</w:t>
            </w:r>
          </w:p>
          <w:p w14:paraId="65648617"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 xml:space="preserve"> shares</w:t>
            </w:r>
          </w:p>
          <w:p w14:paraId="5C79049C" w14:textId="77777777" w:rsidR="00C22CDE" w:rsidRPr="00C22CDE" w:rsidRDefault="00C22CDE" w:rsidP="00414621">
            <w:pPr>
              <w:spacing w:line="240" w:lineRule="atLeast"/>
              <w:jc w:val="right"/>
              <w:rPr>
                <w:rFonts w:ascii="Tahoma" w:hAnsi="Tahoma"/>
                <w:color w:val="000000" w:themeColor="text1"/>
                <w:w w:val="70"/>
                <w:sz w:val="16"/>
                <w:lang w:val="en-GB"/>
              </w:rPr>
            </w:pPr>
            <w:proofErr w:type="spellStart"/>
            <w:r w:rsidRPr="00C22CDE">
              <w:rPr>
                <w:rFonts w:ascii="Tahoma" w:hAnsi="Tahoma"/>
                <w:color w:val="000000" w:themeColor="text1"/>
                <w:w w:val="70"/>
                <w:sz w:val="16"/>
                <w:lang w:val="en-GB"/>
              </w:rPr>
              <w:t>US$’m</w:t>
            </w:r>
            <w:proofErr w:type="spellEnd"/>
          </w:p>
        </w:tc>
        <w:tc>
          <w:tcPr>
            <w:tcW w:w="567" w:type="dxa"/>
            <w:tcBorders>
              <w:bottom w:val="single" w:sz="12" w:space="0" w:color="auto"/>
            </w:tcBorders>
            <w:tcMar>
              <w:top w:w="0" w:type="dxa"/>
              <w:left w:w="0" w:type="dxa"/>
              <w:bottom w:w="113" w:type="dxa"/>
              <w:right w:w="0" w:type="dxa"/>
            </w:tcMar>
            <w:vAlign w:val="bottom"/>
          </w:tcPr>
          <w:p w14:paraId="29B2AFDC"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Treasury</w:t>
            </w:r>
          </w:p>
          <w:p w14:paraId="471166EF"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shares</w:t>
            </w:r>
          </w:p>
          <w:p w14:paraId="01A6BAC4" w14:textId="77777777" w:rsidR="00C22CDE" w:rsidRPr="00C22CDE" w:rsidRDefault="00C22CDE" w:rsidP="00414621">
            <w:pPr>
              <w:spacing w:line="240" w:lineRule="atLeast"/>
              <w:jc w:val="right"/>
              <w:rPr>
                <w:rFonts w:ascii="Tahoma" w:hAnsi="Tahoma"/>
                <w:color w:val="000000" w:themeColor="text1"/>
                <w:w w:val="70"/>
                <w:sz w:val="16"/>
                <w:lang w:val="en-GB"/>
              </w:rPr>
            </w:pPr>
            <w:proofErr w:type="spellStart"/>
            <w:r w:rsidRPr="00C22CDE">
              <w:rPr>
                <w:rFonts w:ascii="Tahoma" w:hAnsi="Tahoma"/>
                <w:color w:val="000000" w:themeColor="text1"/>
                <w:w w:val="70"/>
                <w:sz w:val="16"/>
                <w:lang w:val="en-GB"/>
              </w:rPr>
              <w:t>US$’m</w:t>
            </w:r>
            <w:proofErr w:type="spellEnd"/>
          </w:p>
        </w:tc>
        <w:tc>
          <w:tcPr>
            <w:tcW w:w="709" w:type="dxa"/>
            <w:tcBorders>
              <w:bottom w:val="single" w:sz="12" w:space="0" w:color="auto"/>
            </w:tcBorders>
            <w:tcMar>
              <w:top w:w="0" w:type="dxa"/>
              <w:left w:w="0" w:type="dxa"/>
              <w:bottom w:w="113" w:type="dxa"/>
              <w:right w:w="0" w:type="dxa"/>
            </w:tcMar>
            <w:vAlign w:val="bottom"/>
          </w:tcPr>
          <w:p w14:paraId="74579FCE"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Foreign</w:t>
            </w:r>
          </w:p>
          <w:p w14:paraId="609AA14A"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currency</w:t>
            </w:r>
          </w:p>
          <w:p w14:paraId="272A7837" w14:textId="77777777" w:rsidR="00C22CDE" w:rsidRPr="005356D2" w:rsidRDefault="00C22CDE" w:rsidP="00414621">
            <w:pPr>
              <w:spacing w:line="240" w:lineRule="atLeast"/>
              <w:jc w:val="right"/>
              <w:rPr>
                <w:rFonts w:ascii="Tahoma" w:hAnsi="Tahoma"/>
                <w:color w:val="000000" w:themeColor="text1"/>
                <w:w w:val="70"/>
                <w:sz w:val="16"/>
              </w:rPr>
            </w:pPr>
            <w:r w:rsidRPr="00C22CDE">
              <w:rPr>
                <w:rFonts w:ascii="Tahoma" w:hAnsi="Tahoma"/>
                <w:color w:val="000000" w:themeColor="text1"/>
                <w:w w:val="70"/>
                <w:sz w:val="16"/>
                <w:lang w:val="en-GB"/>
              </w:rPr>
              <w:t>trans</w:t>
            </w:r>
            <w:r w:rsidRPr="005356D2">
              <w:rPr>
                <w:rFonts w:ascii="Tahoma" w:hAnsi="Tahoma"/>
                <w:color w:val="000000" w:themeColor="text1"/>
                <w:w w:val="70"/>
                <w:sz w:val="16"/>
              </w:rPr>
              <w:t>-</w:t>
            </w:r>
          </w:p>
          <w:p w14:paraId="235291C6" w14:textId="77777777" w:rsidR="00C22CDE" w:rsidRPr="00C22CDE" w:rsidRDefault="00C22CDE" w:rsidP="00414621">
            <w:pPr>
              <w:spacing w:line="240" w:lineRule="atLeast"/>
              <w:jc w:val="right"/>
              <w:rPr>
                <w:rFonts w:ascii="Tahoma" w:hAnsi="Tahoma"/>
                <w:color w:val="000000" w:themeColor="text1"/>
                <w:w w:val="70"/>
                <w:sz w:val="16"/>
                <w:lang w:val="en-GB"/>
              </w:rPr>
            </w:pPr>
            <w:proofErr w:type="spellStart"/>
            <w:r w:rsidRPr="00C22CDE">
              <w:rPr>
                <w:rFonts w:ascii="Tahoma" w:hAnsi="Tahoma"/>
                <w:color w:val="000000" w:themeColor="text1"/>
                <w:w w:val="70"/>
                <w:sz w:val="16"/>
                <w:lang w:val="en-GB"/>
              </w:rPr>
              <w:t>lation</w:t>
            </w:r>
            <w:proofErr w:type="spellEnd"/>
          </w:p>
          <w:p w14:paraId="31AF30D2"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reserve</w:t>
            </w:r>
          </w:p>
          <w:p w14:paraId="28F0C49A" w14:textId="77777777" w:rsidR="00C22CDE" w:rsidRPr="00C22CDE" w:rsidRDefault="00C22CDE" w:rsidP="00414621">
            <w:pPr>
              <w:spacing w:line="240" w:lineRule="atLeast"/>
              <w:jc w:val="right"/>
              <w:rPr>
                <w:rFonts w:ascii="Tahoma" w:hAnsi="Tahoma"/>
                <w:color w:val="000000" w:themeColor="text1"/>
                <w:w w:val="70"/>
                <w:sz w:val="16"/>
                <w:lang w:val="en-GB"/>
              </w:rPr>
            </w:pPr>
            <w:proofErr w:type="spellStart"/>
            <w:r w:rsidRPr="00C22CDE">
              <w:rPr>
                <w:rFonts w:ascii="Tahoma" w:hAnsi="Tahoma"/>
                <w:color w:val="000000" w:themeColor="text1"/>
                <w:w w:val="70"/>
                <w:sz w:val="16"/>
                <w:lang w:val="en-GB"/>
              </w:rPr>
              <w:t>US$’m</w:t>
            </w:r>
            <w:proofErr w:type="spellEnd"/>
          </w:p>
        </w:tc>
        <w:tc>
          <w:tcPr>
            <w:tcW w:w="708" w:type="dxa"/>
            <w:tcBorders>
              <w:bottom w:val="single" w:sz="12" w:space="0" w:color="auto"/>
            </w:tcBorders>
            <w:tcMar>
              <w:top w:w="0" w:type="dxa"/>
              <w:left w:w="0" w:type="dxa"/>
              <w:bottom w:w="113" w:type="dxa"/>
              <w:right w:w="0" w:type="dxa"/>
            </w:tcMar>
            <w:vAlign w:val="bottom"/>
          </w:tcPr>
          <w:p w14:paraId="37B31965"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Valuation</w:t>
            </w:r>
          </w:p>
          <w:p w14:paraId="6CE1FC2C"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reserve</w:t>
            </w:r>
          </w:p>
          <w:p w14:paraId="349424F0" w14:textId="77777777" w:rsidR="00C22CDE" w:rsidRPr="00C22CDE" w:rsidRDefault="00C22CDE" w:rsidP="00414621">
            <w:pPr>
              <w:spacing w:line="240" w:lineRule="atLeast"/>
              <w:jc w:val="right"/>
              <w:rPr>
                <w:rFonts w:ascii="Tahoma" w:hAnsi="Tahoma"/>
                <w:color w:val="000000" w:themeColor="text1"/>
                <w:w w:val="70"/>
                <w:sz w:val="16"/>
                <w:lang w:val="en-GB"/>
              </w:rPr>
            </w:pPr>
            <w:proofErr w:type="spellStart"/>
            <w:r w:rsidRPr="00C22CDE">
              <w:rPr>
                <w:rFonts w:ascii="Tahoma" w:hAnsi="Tahoma"/>
                <w:color w:val="000000" w:themeColor="text1"/>
                <w:w w:val="70"/>
                <w:sz w:val="16"/>
                <w:lang w:val="en-GB"/>
              </w:rPr>
              <w:t>US$’m</w:t>
            </w:r>
            <w:proofErr w:type="spellEnd"/>
          </w:p>
        </w:tc>
        <w:tc>
          <w:tcPr>
            <w:tcW w:w="567" w:type="dxa"/>
            <w:tcBorders>
              <w:bottom w:val="single" w:sz="12" w:space="0" w:color="auto"/>
            </w:tcBorders>
            <w:tcMar>
              <w:top w:w="0" w:type="dxa"/>
              <w:left w:w="0" w:type="dxa"/>
              <w:bottom w:w="113" w:type="dxa"/>
              <w:right w:w="0" w:type="dxa"/>
            </w:tcMar>
            <w:vAlign w:val="bottom"/>
          </w:tcPr>
          <w:p w14:paraId="3259D5E4"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Existing</w:t>
            </w:r>
          </w:p>
          <w:p w14:paraId="3B6F6957"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control</w:t>
            </w:r>
          </w:p>
          <w:p w14:paraId="3C28FC75"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business</w:t>
            </w:r>
          </w:p>
          <w:p w14:paraId="0B69E3C8"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combi-</w:t>
            </w:r>
          </w:p>
          <w:p w14:paraId="785429DF"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nation</w:t>
            </w:r>
          </w:p>
          <w:p w14:paraId="4FD75562"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reserve</w:t>
            </w:r>
          </w:p>
          <w:p w14:paraId="12F376BB" w14:textId="77777777" w:rsidR="00C22CDE" w:rsidRPr="00C22CDE" w:rsidRDefault="00C22CDE" w:rsidP="00414621">
            <w:pPr>
              <w:spacing w:line="240" w:lineRule="atLeast"/>
              <w:jc w:val="right"/>
              <w:rPr>
                <w:rFonts w:ascii="Tahoma" w:hAnsi="Tahoma"/>
                <w:color w:val="000000" w:themeColor="text1"/>
                <w:w w:val="70"/>
                <w:sz w:val="16"/>
                <w:lang w:val="en-GB"/>
              </w:rPr>
            </w:pPr>
            <w:proofErr w:type="spellStart"/>
            <w:r w:rsidRPr="00C22CDE">
              <w:rPr>
                <w:rFonts w:ascii="Tahoma" w:hAnsi="Tahoma"/>
                <w:color w:val="000000" w:themeColor="text1"/>
                <w:w w:val="70"/>
                <w:sz w:val="16"/>
                <w:lang w:val="en-GB"/>
              </w:rPr>
              <w:t>US$’m</w:t>
            </w:r>
            <w:proofErr w:type="spellEnd"/>
          </w:p>
        </w:tc>
        <w:tc>
          <w:tcPr>
            <w:tcW w:w="709" w:type="dxa"/>
            <w:tcBorders>
              <w:bottom w:val="single" w:sz="12" w:space="0" w:color="auto"/>
            </w:tcBorders>
            <w:tcMar>
              <w:top w:w="0" w:type="dxa"/>
              <w:left w:w="0" w:type="dxa"/>
              <w:bottom w:w="113" w:type="dxa"/>
              <w:right w:w="0" w:type="dxa"/>
            </w:tcMar>
            <w:vAlign w:val="bottom"/>
          </w:tcPr>
          <w:p w14:paraId="211EAD84"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Share-</w:t>
            </w:r>
          </w:p>
          <w:p w14:paraId="30F362AB"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based</w:t>
            </w:r>
          </w:p>
          <w:p w14:paraId="041CF911" w14:textId="77777777" w:rsidR="00C22CDE" w:rsidRPr="00C22CDE" w:rsidRDefault="00C22CDE" w:rsidP="00414621">
            <w:pPr>
              <w:spacing w:line="240" w:lineRule="atLeast"/>
              <w:jc w:val="right"/>
              <w:rPr>
                <w:rFonts w:ascii="Tahoma" w:hAnsi="Tahoma"/>
                <w:color w:val="000000" w:themeColor="text1"/>
                <w:w w:val="70"/>
                <w:sz w:val="16"/>
                <w:lang w:val="en-GB"/>
              </w:rPr>
            </w:pPr>
            <w:proofErr w:type="spellStart"/>
            <w:r w:rsidRPr="00C22CDE">
              <w:rPr>
                <w:rFonts w:ascii="Tahoma" w:hAnsi="Tahoma"/>
                <w:color w:val="000000" w:themeColor="text1"/>
                <w:w w:val="70"/>
                <w:sz w:val="16"/>
                <w:lang w:val="en-GB"/>
              </w:rPr>
              <w:t>compen</w:t>
            </w:r>
            <w:proofErr w:type="spellEnd"/>
            <w:r w:rsidRPr="00C22CDE">
              <w:rPr>
                <w:rFonts w:ascii="Tahoma" w:hAnsi="Tahoma"/>
                <w:color w:val="000000" w:themeColor="text1"/>
                <w:w w:val="70"/>
                <w:sz w:val="16"/>
                <w:lang w:val="en-GB"/>
              </w:rPr>
              <w:t>-</w:t>
            </w:r>
          </w:p>
          <w:p w14:paraId="668BA477" w14:textId="77777777" w:rsidR="00C22CDE" w:rsidRPr="00C22CDE" w:rsidRDefault="00C22CDE" w:rsidP="00414621">
            <w:pPr>
              <w:spacing w:line="240" w:lineRule="atLeast"/>
              <w:jc w:val="right"/>
              <w:rPr>
                <w:rFonts w:ascii="Tahoma" w:hAnsi="Tahoma"/>
                <w:color w:val="000000" w:themeColor="text1"/>
                <w:w w:val="70"/>
                <w:sz w:val="16"/>
                <w:lang w:val="en-GB"/>
              </w:rPr>
            </w:pPr>
            <w:proofErr w:type="spellStart"/>
            <w:r w:rsidRPr="00C22CDE">
              <w:rPr>
                <w:rFonts w:ascii="Tahoma" w:hAnsi="Tahoma"/>
                <w:color w:val="000000" w:themeColor="text1"/>
                <w:w w:val="70"/>
                <w:sz w:val="16"/>
                <w:lang w:val="en-GB"/>
              </w:rPr>
              <w:t>sation</w:t>
            </w:r>
            <w:proofErr w:type="spellEnd"/>
          </w:p>
          <w:p w14:paraId="16315847"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reserve</w:t>
            </w:r>
          </w:p>
          <w:p w14:paraId="7E14569C" w14:textId="77777777" w:rsidR="00C22CDE" w:rsidRPr="00C22CDE" w:rsidRDefault="00C22CDE" w:rsidP="00414621">
            <w:pPr>
              <w:spacing w:line="240" w:lineRule="atLeast"/>
              <w:jc w:val="right"/>
              <w:rPr>
                <w:rFonts w:ascii="Tahoma" w:hAnsi="Tahoma"/>
                <w:color w:val="000000" w:themeColor="text1"/>
                <w:w w:val="70"/>
                <w:sz w:val="16"/>
                <w:lang w:val="en-GB"/>
              </w:rPr>
            </w:pPr>
            <w:proofErr w:type="spellStart"/>
            <w:r w:rsidRPr="00C22CDE">
              <w:rPr>
                <w:rFonts w:ascii="Tahoma" w:hAnsi="Tahoma"/>
                <w:color w:val="000000" w:themeColor="text1"/>
                <w:w w:val="70"/>
                <w:sz w:val="16"/>
                <w:lang w:val="en-GB"/>
              </w:rPr>
              <w:t>US$’m</w:t>
            </w:r>
            <w:proofErr w:type="spellEnd"/>
          </w:p>
        </w:tc>
        <w:tc>
          <w:tcPr>
            <w:tcW w:w="709" w:type="dxa"/>
            <w:tcBorders>
              <w:bottom w:val="single" w:sz="12" w:space="0" w:color="auto"/>
            </w:tcBorders>
            <w:tcMar>
              <w:top w:w="0" w:type="dxa"/>
              <w:left w:w="0" w:type="dxa"/>
              <w:bottom w:w="113" w:type="dxa"/>
              <w:right w:w="0" w:type="dxa"/>
            </w:tcMar>
            <w:vAlign w:val="bottom"/>
          </w:tcPr>
          <w:p w14:paraId="6D4B8F10"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Retained</w:t>
            </w:r>
          </w:p>
          <w:p w14:paraId="06BC4457"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earnings</w:t>
            </w:r>
          </w:p>
          <w:p w14:paraId="7F9663E4" w14:textId="77777777" w:rsidR="00C22CDE" w:rsidRPr="00C22CDE" w:rsidRDefault="00C22CDE" w:rsidP="00414621">
            <w:pPr>
              <w:spacing w:line="240" w:lineRule="atLeast"/>
              <w:jc w:val="right"/>
              <w:rPr>
                <w:rFonts w:ascii="Tahoma" w:hAnsi="Tahoma"/>
                <w:color w:val="000000" w:themeColor="text1"/>
                <w:w w:val="70"/>
                <w:sz w:val="16"/>
                <w:lang w:val="en-GB"/>
              </w:rPr>
            </w:pPr>
            <w:proofErr w:type="spellStart"/>
            <w:r w:rsidRPr="00C22CDE">
              <w:rPr>
                <w:rFonts w:ascii="Tahoma" w:hAnsi="Tahoma"/>
                <w:color w:val="000000" w:themeColor="text1"/>
                <w:w w:val="70"/>
                <w:sz w:val="16"/>
                <w:lang w:val="en-GB"/>
              </w:rPr>
              <w:t>US$’m</w:t>
            </w:r>
            <w:proofErr w:type="spellEnd"/>
          </w:p>
        </w:tc>
        <w:tc>
          <w:tcPr>
            <w:tcW w:w="567" w:type="dxa"/>
            <w:tcBorders>
              <w:bottom w:val="single" w:sz="12" w:space="0" w:color="auto"/>
            </w:tcBorders>
            <w:tcMar>
              <w:top w:w="0" w:type="dxa"/>
              <w:left w:w="0" w:type="dxa"/>
              <w:bottom w:w="113" w:type="dxa"/>
              <w:right w:w="0" w:type="dxa"/>
            </w:tcMar>
            <w:vAlign w:val="bottom"/>
          </w:tcPr>
          <w:p w14:paraId="47831B10"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Share-</w:t>
            </w:r>
          </w:p>
          <w:p w14:paraId="0BB20AC2"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holders’</w:t>
            </w:r>
          </w:p>
          <w:p w14:paraId="48537511"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funds</w:t>
            </w:r>
          </w:p>
          <w:p w14:paraId="44BED6AE" w14:textId="77777777" w:rsidR="00C22CDE" w:rsidRPr="00C22CDE" w:rsidRDefault="00C22CDE" w:rsidP="00414621">
            <w:pPr>
              <w:spacing w:line="240" w:lineRule="atLeast"/>
              <w:jc w:val="right"/>
              <w:rPr>
                <w:rFonts w:ascii="Tahoma" w:hAnsi="Tahoma"/>
                <w:color w:val="000000" w:themeColor="text1"/>
                <w:w w:val="70"/>
                <w:sz w:val="16"/>
                <w:lang w:val="en-GB"/>
              </w:rPr>
            </w:pPr>
            <w:proofErr w:type="spellStart"/>
            <w:r w:rsidRPr="00C22CDE">
              <w:rPr>
                <w:rFonts w:ascii="Tahoma" w:hAnsi="Tahoma"/>
                <w:color w:val="000000" w:themeColor="text1"/>
                <w:w w:val="70"/>
                <w:sz w:val="16"/>
                <w:lang w:val="en-GB"/>
              </w:rPr>
              <w:t>US$’m</w:t>
            </w:r>
            <w:proofErr w:type="spellEnd"/>
          </w:p>
        </w:tc>
        <w:tc>
          <w:tcPr>
            <w:tcW w:w="709" w:type="dxa"/>
            <w:tcBorders>
              <w:bottom w:val="single" w:sz="12" w:space="0" w:color="auto"/>
            </w:tcBorders>
            <w:tcMar>
              <w:top w:w="0" w:type="dxa"/>
              <w:left w:w="0" w:type="dxa"/>
              <w:bottom w:w="113" w:type="dxa"/>
              <w:right w:w="0" w:type="dxa"/>
            </w:tcMar>
            <w:vAlign w:val="bottom"/>
          </w:tcPr>
          <w:p w14:paraId="683EB251"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Non-</w:t>
            </w:r>
          </w:p>
          <w:p w14:paraId="484BB6DA"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controlling</w:t>
            </w:r>
          </w:p>
          <w:p w14:paraId="1BB2927A"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interests</w:t>
            </w:r>
          </w:p>
          <w:p w14:paraId="2CAA1E86" w14:textId="77777777" w:rsidR="00C22CDE" w:rsidRPr="00C22CDE" w:rsidRDefault="00C22CDE" w:rsidP="00414621">
            <w:pPr>
              <w:spacing w:line="240" w:lineRule="atLeast"/>
              <w:jc w:val="right"/>
              <w:rPr>
                <w:rFonts w:ascii="Tahoma" w:hAnsi="Tahoma"/>
                <w:color w:val="000000" w:themeColor="text1"/>
                <w:w w:val="70"/>
                <w:sz w:val="16"/>
                <w:lang w:val="en-GB"/>
              </w:rPr>
            </w:pPr>
            <w:proofErr w:type="spellStart"/>
            <w:r w:rsidRPr="00C22CDE">
              <w:rPr>
                <w:rFonts w:ascii="Tahoma" w:hAnsi="Tahoma"/>
                <w:color w:val="000000" w:themeColor="text1"/>
                <w:w w:val="70"/>
                <w:sz w:val="16"/>
                <w:lang w:val="en-GB"/>
              </w:rPr>
              <w:t>US$’m</w:t>
            </w:r>
            <w:proofErr w:type="spellEnd"/>
          </w:p>
        </w:tc>
        <w:tc>
          <w:tcPr>
            <w:tcW w:w="700" w:type="dxa"/>
            <w:tcBorders>
              <w:bottom w:val="single" w:sz="12" w:space="0" w:color="auto"/>
            </w:tcBorders>
            <w:tcMar>
              <w:top w:w="0" w:type="dxa"/>
              <w:left w:w="0" w:type="dxa"/>
              <w:bottom w:w="113" w:type="dxa"/>
              <w:right w:w="0" w:type="dxa"/>
            </w:tcMar>
            <w:vAlign w:val="bottom"/>
          </w:tcPr>
          <w:p w14:paraId="1561CA1B" w14:textId="77777777" w:rsidR="00C22CDE" w:rsidRPr="00C22CDE" w:rsidRDefault="00C22CDE" w:rsidP="00414621">
            <w:pPr>
              <w:spacing w:line="240" w:lineRule="atLeast"/>
              <w:ind w:right="113"/>
              <w:jc w:val="right"/>
              <w:rPr>
                <w:rFonts w:ascii="Tahoma" w:hAnsi="Tahoma"/>
                <w:color w:val="000000" w:themeColor="text1"/>
                <w:w w:val="70"/>
                <w:sz w:val="16"/>
                <w:lang w:val="en-GB"/>
              </w:rPr>
            </w:pPr>
            <w:r w:rsidRPr="00C22CDE">
              <w:rPr>
                <w:rFonts w:ascii="Tahoma" w:hAnsi="Tahoma"/>
                <w:color w:val="000000" w:themeColor="text1"/>
                <w:w w:val="70"/>
                <w:sz w:val="16"/>
                <w:lang w:val="en-GB"/>
              </w:rPr>
              <w:t>Total</w:t>
            </w:r>
          </w:p>
          <w:p w14:paraId="639335F6" w14:textId="77777777" w:rsidR="00C22CDE" w:rsidRPr="00C22CDE" w:rsidRDefault="00C22CDE" w:rsidP="00414621">
            <w:pPr>
              <w:spacing w:line="240" w:lineRule="atLeast"/>
              <w:ind w:right="113"/>
              <w:jc w:val="right"/>
              <w:rPr>
                <w:rFonts w:ascii="Tahoma" w:hAnsi="Tahoma"/>
                <w:color w:val="000000" w:themeColor="text1"/>
                <w:w w:val="70"/>
                <w:sz w:val="16"/>
                <w:lang w:val="en-GB"/>
              </w:rPr>
            </w:pPr>
            <w:proofErr w:type="spellStart"/>
            <w:r w:rsidRPr="00C22CDE">
              <w:rPr>
                <w:rFonts w:ascii="Tahoma" w:hAnsi="Tahoma"/>
                <w:color w:val="000000" w:themeColor="text1"/>
                <w:w w:val="70"/>
                <w:sz w:val="16"/>
                <w:lang w:val="en-GB"/>
              </w:rPr>
              <w:t>US$’m</w:t>
            </w:r>
            <w:proofErr w:type="spellEnd"/>
          </w:p>
        </w:tc>
      </w:tr>
      <w:tr w:rsidR="005001CB" w:rsidRPr="00C22CDE" w14:paraId="5C7B8494" w14:textId="77777777" w:rsidTr="00611470">
        <w:trPr>
          <w:trHeight w:val="60"/>
        </w:trPr>
        <w:tc>
          <w:tcPr>
            <w:tcW w:w="3694" w:type="dxa"/>
            <w:tcBorders>
              <w:top w:val="single" w:sz="12" w:space="0" w:color="auto"/>
            </w:tcBorders>
            <w:tcMar>
              <w:top w:w="142" w:type="dxa"/>
              <w:left w:w="0" w:type="dxa"/>
              <w:bottom w:w="57" w:type="dxa"/>
              <w:right w:w="0" w:type="dxa"/>
            </w:tcMar>
            <w:vAlign w:val="bottom"/>
          </w:tcPr>
          <w:p w14:paraId="4A4DBE03" w14:textId="77777777" w:rsidR="00C22CDE" w:rsidRPr="00C22CDE" w:rsidRDefault="00C22CDE" w:rsidP="00615190">
            <w:pPr>
              <w:spacing w:line="240" w:lineRule="atLeast"/>
              <w:rPr>
                <w:rFonts w:ascii="Tahoma" w:hAnsi="Tahoma"/>
                <w:b/>
                <w:bCs/>
                <w:color w:val="000000" w:themeColor="text1"/>
                <w:sz w:val="16"/>
                <w:lang w:val="en-GB"/>
              </w:rPr>
            </w:pPr>
            <w:r w:rsidRPr="00C22CDE">
              <w:rPr>
                <w:rFonts w:ascii="Tahoma" w:hAnsi="Tahoma"/>
                <w:b/>
                <w:bCs/>
                <w:color w:val="000000" w:themeColor="text1"/>
                <w:sz w:val="16"/>
                <w:lang w:val="en-GB"/>
              </w:rPr>
              <w:t>Balance at 1 April 2021</w:t>
            </w:r>
          </w:p>
        </w:tc>
        <w:tc>
          <w:tcPr>
            <w:tcW w:w="567" w:type="dxa"/>
            <w:tcBorders>
              <w:top w:val="single" w:sz="12" w:space="0" w:color="auto"/>
            </w:tcBorders>
            <w:tcMar>
              <w:top w:w="142" w:type="dxa"/>
              <w:left w:w="0" w:type="dxa"/>
              <w:bottom w:w="57" w:type="dxa"/>
              <w:right w:w="0" w:type="dxa"/>
            </w:tcMar>
            <w:vAlign w:val="bottom"/>
          </w:tcPr>
          <w:p w14:paraId="237F61FE"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612</w:t>
            </w:r>
          </w:p>
        </w:tc>
        <w:tc>
          <w:tcPr>
            <w:tcW w:w="567" w:type="dxa"/>
            <w:tcBorders>
              <w:top w:val="single" w:sz="12" w:space="0" w:color="auto"/>
            </w:tcBorders>
            <w:tcMar>
              <w:top w:w="142" w:type="dxa"/>
              <w:left w:w="0" w:type="dxa"/>
              <w:bottom w:w="57" w:type="dxa"/>
              <w:right w:w="0" w:type="dxa"/>
            </w:tcMar>
            <w:vAlign w:val="bottom"/>
          </w:tcPr>
          <w:p w14:paraId="68DF0C23"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(1 415)</w:t>
            </w:r>
          </w:p>
        </w:tc>
        <w:tc>
          <w:tcPr>
            <w:tcW w:w="709" w:type="dxa"/>
            <w:tcBorders>
              <w:top w:val="single" w:sz="12" w:space="0" w:color="auto"/>
            </w:tcBorders>
            <w:tcMar>
              <w:top w:w="142" w:type="dxa"/>
              <w:left w:w="0" w:type="dxa"/>
              <w:bottom w:w="57" w:type="dxa"/>
              <w:right w:w="0" w:type="dxa"/>
            </w:tcMar>
            <w:vAlign w:val="bottom"/>
          </w:tcPr>
          <w:p w14:paraId="4FE183C3"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(1 123)</w:t>
            </w:r>
          </w:p>
        </w:tc>
        <w:tc>
          <w:tcPr>
            <w:tcW w:w="708" w:type="dxa"/>
            <w:tcBorders>
              <w:top w:val="single" w:sz="12" w:space="0" w:color="auto"/>
            </w:tcBorders>
            <w:tcMar>
              <w:top w:w="142" w:type="dxa"/>
              <w:left w:w="0" w:type="dxa"/>
              <w:bottom w:w="57" w:type="dxa"/>
              <w:right w:w="0" w:type="dxa"/>
            </w:tcMar>
            <w:vAlign w:val="bottom"/>
          </w:tcPr>
          <w:p w14:paraId="1988C302"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6 707</w:t>
            </w:r>
          </w:p>
        </w:tc>
        <w:tc>
          <w:tcPr>
            <w:tcW w:w="567" w:type="dxa"/>
            <w:tcBorders>
              <w:top w:val="single" w:sz="12" w:space="0" w:color="auto"/>
            </w:tcBorders>
            <w:tcMar>
              <w:top w:w="142" w:type="dxa"/>
              <w:left w:w="0" w:type="dxa"/>
              <w:bottom w:w="57" w:type="dxa"/>
              <w:right w:w="0" w:type="dxa"/>
            </w:tcMar>
            <w:vAlign w:val="bottom"/>
          </w:tcPr>
          <w:p w14:paraId="2EADDE2C"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(2 212)</w:t>
            </w:r>
          </w:p>
        </w:tc>
        <w:tc>
          <w:tcPr>
            <w:tcW w:w="709" w:type="dxa"/>
            <w:tcBorders>
              <w:top w:val="single" w:sz="12" w:space="0" w:color="auto"/>
            </w:tcBorders>
            <w:tcMar>
              <w:top w:w="142" w:type="dxa"/>
              <w:left w:w="0" w:type="dxa"/>
              <w:bottom w:w="57" w:type="dxa"/>
              <w:right w:w="0" w:type="dxa"/>
            </w:tcMar>
            <w:vAlign w:val="bottom"/>
          </w:tcPr>
          <w:p w14:paraId="5F310B89"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2 446</w:t>
            </w:r>
          </w:p>
        </w:tc>
        <w:tc>
          <w:tcPr>
            <w:tcW w:w="709" w:type="dxa"/>
            <w:tcBorders>
              <w:top w:val="single" w:sz="12" w:space="0" w:color="auto"/>
            </w:tcBorders>
            <w:tcMar>
              <w:top w:w="142" w:type="dxa"/>
              <w:left w:w="0" w:type="dxa"/>
              <w:bottom w:w="57" w:type="dxa"/>
              <w:right w:w="0" w:type="dxa"/>
            </w:tcMar>
            <w:vAlign w:val="bottom"/>
          </w:tcPr>
          <w:p w14:paraId="77946088"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38 054</w:t>
            </w:r>
          </w:p>
        </w:tc>
        <w:tc>
          <w:tcPr>
            <w:tcW w:w="567" w:type="dxa"/>
            <w:tcBorders>
              <w:top w:val="single" w:sz="12" w:space="0" w:color="auto"/>
            </w:tcBorders>
            <w:tcMar>
              <w:top w:w="142" w:type="dxa"/>
              <w:left w:w="0" w:type="dxa"/>
              <w:bottom w:w="57" w:type="dxa"/>
              <w:right w:w="0" w:type="dxa"/>
            </w:tcMar>
            <w:vAlign w:val="bottom"/>
          </w:tcPr>
          <w:p w14:paraId="1248327A"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43 069</w:t>
            </w:r>
          </w:p>
        </w:tc>
        <w:tc>
          <w:tcPr>
            <w:tcW w:w="709" w:type="dxa"/>
            <w:tcBorders>
              <w:top w:val="single" w:sz="12" w:space="0" w:color="auto"/>
            </w:tcBorders>
            <w:tcMar>
              <w:top w:w="142" w:type="dxa"/>
              <w:left w:w="0" w:type="dxa"/>
              <w:bottom w:w="57" w:type="dxa"/>
              <w:right w:w="0" w:type="dxa"/>
            </w:tcMar>
            <w:vAlign w:val="bottom"/>
          </w:tcPr>
          <w:p w14:paraId="76C5298A"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117</w:t>
            </w:r>
          </w:p>
        </w:tc>
        <w:tc>
          <w:tcPr>
            <w:tcW w:w="700" w:type="dxa"/>
            <w:tcBorders>
              <w:top w:val="single" w:sz="12" w:space="0" w:color="auto"/>
            </w:tcBorders>
            <w:tcMar>
              <w:top w:w="142" w:type="dxa"/>
              <w:left w:w="0" w:type="dxa"/>
              <w:bottom w:w="57" w:type="dxa"/>
              <w:right w:w="0" w:type="dxa"/>
            </w:tcMar>
            <w:vAlign w:val="bottom"/>
          </w:tcPr>
          <w:p w14:paraId="04D78E52" w14:textId="77777777" w:rsidR="00C22CDE" w:rsidRPr="00C22CDE" w:rsidRDefault="00C22CDE" w:rsidP="00414621">
            <w:pPr>
              <w:spacing w:line="240" w:lineRule="atLeast"/>
              <w:ind w:right="113"/>
              <w:jc w:val="right"/>
              <w:rPr>
                <w:rFonts w:ascii="Tahoma" w:hAnsi="Tahoma"/>
                <w:color w:val="000000" w:themeColor="text1"/>
                <w:w w:val="70"/>
                <w:sz w:val="16"/>
                <w:lang w:val="en-GB"/>
              </w:rPr>
            </w:pPr>
            <w:r w:rsidRPr="00C22CDE">
              <w:rPr>
                <w:rFonts w:ascii="Tahoma" w:hAnsi="Tahoma"/>
                <w:color w:val="000000" w:themeColor="text1"/>
                <w:w w:val="70"/>
                <w:sz w:val="16"/>
                <w:lang w:val="en-GB"/>
              </w:rPr>
              <w:t>43 186</w:t>
            </w:r>
          </w:p>
        </w:tc>
      </w:tr>
      <w:tr w:rsidR="005001CB" w:rsidRPr="00C22CDE" w14:paraId="5AADEEE4" w14:textId="77777777" w:rsidTr="00DF6C86">
        <w:trPr>
          <w:trHeight w:val="60"/>
        </w:trPr>
        <w:tc>
          <w:tcPr>
            <w:tcW w:w="3694" w:type="dxa"/>
            <w:tcMar>
              <w:top w:w="57" w:type="dxa"/>
              <w:left w:w="0" w:type="dxa"/>
              <w:bottom w:w="57" w:type="dxa"/>
              <w:right w:w="0" w:type="dxa"/>
            </w:tcMar>
            <w:vAlign w:val="bottom"/>
          </w:tcPr>
          <w:p w14:paraId="099A02BA" w14:textId="77777777" w:rsidR="00C22CDE" w:rsidRPr="00C22CDE" w:rsidRDefault="00C22CDE" w:rsidP="00615190">
            <w:pPr>
              <w:spacing w:line="240" w:lineRule="atLeast"/>
              <w:rPr>
                <w:rFonts w:ascii="Tahoma" w:hAnsi="Tahoma"/>
                <w:color w:val="000000" w:themeColor="text1"/>
                <w:sz w:val="16"/>
                <w:lang w:val="en-GB"/>
              </w:rPr>
            </w:pPr>
            <w:r w:rsidRPr="00C22CDE">
              <w:rPr>
                <w:rFonts w:ascii="Tahoma" w:hAnsi="Tahoma"/>
                <w:color w:val="000000" w:themeColor="text1"/>
                <w:sz w:val="16"/>
                <w:lang w:val="en-GB"/>
              </w:rPr>
              <w:t>Total comprehensive income for the period</w:t>
            </w:r>
          </w:p>
        </w:tc>
        <w:tc>
          <w:tcPr>
            <w:tcW w:w="567" w:type="dxa"/>
            <w:tcBorders>
              <w:bottom w:val="single" w:sz="4" w:space="0" w:color="auto"/>
            </w:tcBorders>
            <w:tcMar>
              <w:top w:w="57" w:type="dxa"/>
              <w:left w:w="0" w:type="dxa"/>
              <w:bottom w:w="57" w:type="dxa"/>
              <w:right w:w="0" w:type="dxa"/>
            </w:tcMar>
            <w:vAlign w:val="bottom"/>
          </w:tcPr>
          <w:p w14:paraId="74674EB1"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567" w:type="dxa"/>
            <w:tcBorders>
              <w:bottom w:val="single" w:sz="4" w:space="0" w:color="auto"/>
            </w:tcBorders>
            <w:tcMar>
              <w:top w:w="57" w:type="dxa"/>
              <w:left w:w="0" w:type="dxa"/>
              <w:bottom w:w="57" w:type="dxa"/>
              <w:right w:w="0" w:type="dxa"/>
            </w:tcMar>
            <w:vAlign w:val="bottom"/>
          </w:tcPr>
          <w:p w14:paraId="3A42D430"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9" w:type="dxa"/>
            <w:tcBorders>
              <w:bottom w:val="single" w:sz="4" w:space="0" w:color="auto"/>
            </w:tcBorders>
            <w:tcMar>
              <w:top w:w="57" w:type="dxa"/>
              <w:left w:w="0" w:type="dxa"/>
              <w:bottom w:w="57" w:type="dxa"/>
              <w:right w:w="0" w:type="dxa"/>
            </w:tcMar>
            <w:vAlign w:val="bottom"/>
          </w:tcPr>
          <w:p w14:paraId="30D300E4"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211</w:t>
            </w:r>
          </w:p>
        </w:tc>
        <w:tc>
          <w:tcPr>
            <w:tcW w:w="708" w:type="dxa"/>
            <w:tcBorders>
              <w:bottom w:val="single" w:sz="4" w:space="0" w:color="auto"/>
            </w:tcBorders>
            <w:tcMar>
              <w:top w:w="57" w:type="dxa"/>
              <w:left w:w="0" w:type="dxa"/>
              <w:bottom w:w="57" w:type="dxa"/>
              <w:right w:w="0" w:type="dxa"/>
            </w:tcMar>
            <w:vAlign w:val="bottom"/>
          </w:tcPr>
          <w:p w14:paraId="29D6014C"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207</w:t>
            </w:r>
          </w:p>
        </w:tc>
        <w:tc>
          <w:tcPr>
            <w:tcW w:w="567" w:type="dxa"/>
            <w:tcBorders>
              <w:bottom w:val="single" w:sz="4" w:space="0" w:color="auto"/>
            </w:tcBorders>
            <w:tcMar>
              <w:top w:w="57" w:type="dxa"/>
              <w:left w:w="0" w:type="dxa"/>
              <w:bottom w:w="57" w:type="dxa"/>
              <w:right w:w="0" w:type="dxa"/>
            </w:tcMar>
            <w:vAlign w:val="bottom"/>
          </w:tcPr>
          <w:p w14:paraId="11FC8B9E"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9" w:type="dxa"/>
            <w:tcBorders>
              <w:bottom w:val="single" w:sz="4" w:space="0" w:color="auto"/>
            </w:tcBorders>
            <w:tcMar>
              <w:top w:w="57" w:type="dxa"/>
              <w:left w:w="0" w:type="dxa"/>
              <w:bottom w:w="57" w:type="dxa"/>
              <w:right w:w="0" w:type="dxa"/>
            </w:tcMar>
            <w:vAlign w:val="bottom"/>
          </w:tcPr>
          <w:p w14:paraId="2084D90F"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425</w:t>
            </w:r>
          </w:p>
        </w:tc>
        <w:tc>
          <w:tcPr>
            <w:tcW w:w="709" w:type="dxa"/>
            <w:tcBorders>
              <w:bottom w:val="single" w:sz="4" w:space="0" w:color="auto"/>
            </w:tcBorders>
            <w:tcMar>
              <w:top w:w="57" w:type="dxa"/>
              <w:left w:w="0" w:type="dxa"/>
              <w:bottom w:w="57" w:type="dxa"/>
              <w:right w:w="0" w:type="dxa"/>
            </w:tcMar>
            <w:vAlign w:val="bottom"/>
          </w:tcPr>
          <w:p w14:paraId="2387D1D1"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15 891</w:t>
            </w:r>
          </w:p>
        </w:tc>
        <w:tc>
          <w:tcPr>
            <w:tcW w:w="567" w:type="dxa"/>
            <w:tcBorders>
              <w:bottom w:val="single" w:sz="4" w:space="0" w:color="auto"/>
            </w:tcBorders>
            <w:tcMar>
              <w:top w:w="57" w:type="dxa"/>
              <w:left w:w="0" w:type="dxa"/>
              <w:bottom w:w="57" w:type="dxa"/>
              <w:right w:w="0" w:type="dxa"/>
            </w:tcMar>
            <w:vAlign w:val="bottom"/>
          </w:tcPr>
          <w:p w14:paraId="2C890FB3"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16 734</w:t>
            </w:r>
          </w:p>
        </w:tc>
        <w:tc>
          <w:tcPr>
            <w:tcW w:w="709" w:type="dxa"/>
            <w:tcBorders>
              <w:bottom w:val="single" w:sz="4" w:space="0" w:color="auto"/>
            </w:tcBorders>
            <w:tcMar>
              <w:top w:w="57" w:type="dxa"/>
              <w:left w:w="0" w:type="dxa"/>
              <w:bottom w:w="57" w:type="dxa"/>
              <w:right w:w="0" w:type="dxa"/>
            </w:tcMar>
            <w:vAlign w:val="bottom"/>
          </w:tcPr>
          <w:p w14:paraId="212C1887"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(63)</w:t>
            </w:r>
          </w:p>
        </w:tc>
        <w:tc>
          <w:tcPr>
            <w:tcW w:w="700" w:type="dxa"/>
            <w:tcBorders>
              <w:bottom w:val="single" w:sz="4" w:space="0" w:color="auto"/>
            </w:tcBorders>
            <w:tcMar>
              <w:top w:w="57" w:type="dxa"/>
              <w:left w:w="0" w:type="dxa"/>
              <w:bottom w:w="57" w:type="dxa"/>
              <w:right w:w="0" w:type="dxa"/>
            </w:tcMar>
            <w:vAlign w:val="bottom"/>
          </w:tcPr>
          <w:p w14:paraId="33B5A5FF" w14:textId="77777777" w:rsidR="00C22CDE" w:rsidRPr="00C22CDE" w:rsidRDefault="00C22CDE" w:rsidP="00414621">
            <w:pPr>
              <w:spacing w:line="240" w:lineRule="atLeast"/>
              <w:ind w:right="113"/>
              <w:jc w:val="right"/>
              <w:rPr>
                <w:rFonts w:ascii="Tahoma" w:hAnsi="Tahoma"/>
                <w:color w:val="000000" w:themeColor="text1"/>
                <w:w w:val="70"/>
                <w:sz w:val="16"/>
                <w:lang w:val="en-GB"/>
              </w:rPr>
            </w:pPr>
            <w:r w:rsidRPr="00C22CDE">
              <w:rPr>
                <w:rFonts w:ascii="Tahoma" w:hAnsi="Tahoma"/>
                <w:color w:val="000000" w:themeColor="text1"/>
                <w:w w:val="70"/>
                <w:sz w:val="16"/>
                <w:lang w:val="en-GB"/>
              </w:rPr>
              <w:t>16 671</w:t>
            </w:r>
          </w:p>
        </w:tc>
      </w:tr>
      <w:tr w:rsidR="005001CB" w:rsidRPr="00C22CDE" w14:paraId="414F5F1C" w14:textId="77777777" w:rsidTr="00DF6C86">
        <w:trPr>
          <w:trHeight w:val="60"/>
        </w:trPr>
        <w:tc>
          <w:tcPr>
            <w:tcW w:w="3694" w:type="dxa"/>
            <w:tcBorders>
              <w:right w:val="single" w:sz="4" w:space="0" w:color="auto"/>
            </w:tcBorders>
            <w:tcMar>
              <w:top w:w="57" w:type="dxa"/>
              <w:left w:w="113" w:type="dxa"/>
              <w:bottom w:w="57" w:type="dxa"/>
              <w:right w:w="0" w:type="dxa"/>
            </w:tcMar>
            <w:vAlign w:val="bottom"/>
          </w:tcPr>
          <w:p w14:paraId="5DB29710" w14:textId="77777777" w:rsidR="00C22CDE" w:rsidRPr="00C22CDE" w:rsidRDefault="00C22CDE" w:rsidP="00615190">
            <w:pPr>
              <w:spacing w:line="240" w:lineRule="atLeast"/>
              <w:rPr>
                <w:rFonts w:ascii="Tahoma" w:hAnsi="Tahoma"/>
                <w:color w:val="000000" w:themeColor="text1"/>
                <w:sz w:val="16"/>
                <w:lang w:val="en-GB"/>
              </w:rPr>
            </w:pPr>
            <w:r w:rsidRPr="00C22CDE">
              <w:rPr>
                <w:rFonts w:ascii="Tahoma" w:hAnsi="Tahoma"/>
                <w:color w:val="000000" w:themeColor="text1"/>
                <w:sz w:val="16"/>
                <w:lang w:val="en-GB"/>
              </w:rPr>
              <w:t xml:space="preserve">Profit for the period </w:t>
            </w:r>
          </w:p>
        </w:tc>
        <w:tc>
          <w:tcPr>
            <w:tcW w:w="567" w:type="dxa"/>
            <w:tcBorders>
              <w:top w:val="single" w:sz="4" w:space="0" w:color="auto"/>
              <w:left w:val="single" w:sz="4" w:space="0" w:color="auto"/>
            </w:tcBorders>
            <w:tcMar>
              <w:top w:w="57" w:type="dxa"/>
              <w:left w:w="0" w:type="dxa"/>
              <w:bottom w:w="57" w:type="dxa"/>
              <w:right w:w="0" w:type="dxa"/>
            </w:tcMar>
            <w:vAlign w:val="bottom"/>
          </w:tcPr>
          <w:p w14:paraId="275A32C8"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567" w:type="dxa"/>
            <w:tcBorders>
              <w:top w:val="single" w:sz="4" w:space="0" w:color="auto"/>
            </w:tcBorders>
            <w:tcMar>
              <w:top w:w="57" w:type="dxa"/>
              <w:left w:w="0" w:type="dxa"/>
              <w:bottom w:w="57" w:type="dxa"/>
              <w:right w:w="0" w:type="dxa"/>
            </w:tcMar>
            <w:vAlign w:val="bottom"/>
          </w:tcPr>
          <w:p w14:paraId="4A5AE0B2"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9" w:type="dxa"/>
            <w:tcBorders>
              <w:top w:val="single" w:sz="4" w:space="0" w:color="auto"/>
            </w:tcBorders>
            <w:tcMar>
              <w:top w:w="57" w:type="dxa"/>
              <w:left w:w="0" w:type="dxa"/>
              <w:bottom w:w="57" w:type="dxa"/>
              <w:right w:w="0" w:type="dxa"/>
            </w:tcMar>
            <w:vAlign w:val="bottom"/>
          </w:tcPr>
          <w:p w14:paraId="1B6AF5CA"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8" w:type="dxa"/>
            <w:tcBorders>
              <w:top w:val="single" w:sz="4" w:space="0" w:color="auto"/>
            </w:tcBorders>
            <w:tcMar>
              <w:top w:w="57" w:type="dxa"/>
              <w:left w:w="0" w:type="dxa"/>
              <w:bottom w:w="57" w:type="dxa"/>
              <w:right w:w="0" w:type="dxa"/>
            </w:tcMar>
            <w:vAlign w:val="bottom"/>
          </w:tcPr>
          <w:p w14:paraId="71641A26"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567" w:type="dxa"/>
            <w:tcBorders>
              <w:top w:val="single" w:sz="4" w:space="0" w:color="auto"/>
            </w:tcBorders>
            <w:tcMar>
              <w:top w:w="57" w:type="dxa"/>
              <w:left w:w="0" w:type="dxa"/>
              <w:bottom w:w="57" w:type="dxa"/>
              <w:right w:w="0" w:type="dxa"/>
            </w:tcMar>
            <w:vAlign w:val="bottom"/>
          </w:tcPr>
          <w:p w14:paraId="284C26DB"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9" w:type="dxa"/>
            <w:tcBorders>
              <w:top w:val="single" w:sz="4" w:space="0" w:color="auto"/>
            </w:tcBorders>
            <w:tcMar>
              <w:top w:w="57" w:type="dxa"/>
              <w:left w:w="0" w:type="dxa"/>
              <w:bottom w:w="57" w:type="dxa"/>
              <w:right w:w="0" w:type="dxa"/>
            </w:tcMar>
            <w:vAlign w:val="bottom"/>
          </w:tcPr>
          <w:p w14:paraId="0C7B6D90"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9" w:type="dxa"/>
            <w:tcBorders>
              <w:top w:val="single" w:sz="4" w:space="0" w:color="auto"/>
            </w:tcBorders>
            <w:tcMar>
              <w:top w:w="57" w:type="dxa"/>
              <w:left w:w="0" w:type="dxa"/>
              <w:bottom w:w="57" w:type="dxa"/>
              <w:right w:w="0" w:type="dxa"/>
            </w:tcMar>
            <w:vAlign w:val="bottom"/>
          </w:tcPr>
          <w:p w14:paraId="7626E428"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15 891</w:t>
            </w:r>
          </w:p>
        </w:tc>
        <w:tc>
          <w:tcPr>
            <w:tcW w:w="567" w:type="dxa"/>
            <w:tcBorders>
              <w:top w:val="single" w:sz="4" w:space="0" w:color="auto"/>
            </w:tcBorders>
            <w:tcMar>
              <w:top w:w="57" w:type="dxa"/>
              <w:left w:w="0" w:type="dxa"/>
              <w:bottom w:w="57" w:type="dxa"/>
              <w:right w:w="0" w:type="dxa"/>
            </w:tcMar>
            <w:vAlign w:val="bottom"/>
          </w:tcPr>
          <w:p w14:paraId="4D0BD13C"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15 891</w:t>
            </w:r>
          </w:p>
        </w:tc>
        <w:tc>
          <w:tcPr>
            <w:tcW w:w="709" w:type="dxa"/>
            <w:tcBorders>
              <w:top w:val="single" w:sz="4" w:space="0" w:color="auto"/>
            </w:tcBorders>
            <w:tcMar>
              <w:top w:w="57" w:type="dxa"/>
              <w:left w:w="0" w:type="dxa"/>
              <w:bottom w:w="57" w:type="dxa"/>
              <w:right w:w="0" w:type="dxa"/>
            </w:tcMar>
            <w:vAlign w:val="bottom"/>
          </w:tcPr>
          <w:p w14:paraId="5966CAA1"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(72)</w:t>
            </w:r>
          </w:p>
        </w:tc>
        <w:tc>
          <w:tcPr>
            <w:tcW w:w="700" w:type="dxa"/>
            <w:tcBorders>
              <w:top w:val="single" w:sz="4" w:space="0" w:color="auto"/>
              <w:right w:val="single" w:sz="4" w:space="0" w:color="auto"/>
            </w:tcBorders>
            <w:tcMar>
              <w:top w:w="57" w:type="dxa"/>
              <w:left w:w="0" w:type="dxa"/>
              <w:bottom w:w="57" w:type="dxa"/>
              <w:right w:w="0" w:type="dxa"/>
            </w:tcMar>
            <w:vAlign w:val="bottom"/>
          </w:tcPr>
          <w:p w14:paraId="5778688A" w14:textId="77777777" w:rsidR="00C22CDE" w:rsidRPr="00C22CDE" w:rsidRDefault="00C22CDE" w:rsidP="00414621">
            <w:pPr>
              <w:spacing w:line="240" w:lineRule="atLeast"/>
              <w:ind w:right="113"/>
              <w:jc w:val="right"/>
              <w:rPr>
                <w:rFonts w:ascii="Tahoma" w:hAnsi="Tahoma"/>
                <w:color w:val="000000" w:themeColor="text1"/>
                <w:w w:val="70"/>
                <w:sz w:val="16"/>
                <w:lang w:val="en-GB"/>
              </w:rPr>
            </w:pPr>
            <w:r w:rsidRPr="00C22CDE">
              <w:rPr>
                <w:rFonts w:ascii="Tahoma" w:hAnsi="Tahoma"/>
                <w:color w:val="000000" w:themeColor="text1"/>
                <w:w w:val="70"/>
                <w:sz w:val="16"/>
                <w:lang w:val="en-GB"/>
              </w:rPr>
              <w:t>15 819</w:t>
            </w:r>
          </w:p>
        </w:tc>
      </w:tr>
      <w:tr w:rsidR="005001CB" w:rsidRPr="00C22CDE" w14:paraId="793BF812" w14:textId="77777777" w:rsidTr="00DF6C86">
        <w:trPr>
          <w:trHeight w:val="60"/>
        </w:trPr>
        <w:tc>
          <w:tcPr>
            <w:tcW w:w="3694" w:type="dxa"/>
            <w:tcBorders>
              <w:right w:val="single" w:sz="4" w:space="0" w:color="auto"/>
            </w:tcBorders>
            <w:tcMar>
              <w:top w:w="57" w:type="dxa"/>
              <w:left w:w="113" w:type="dxa"/>
              <w:bottom w:w="57" w:type="dxa"/>
              <w:right w:w="0" w:type="dxa"/>
            </w:tcMar>
            <w:vAlign w:val="bottom"/>
          </w:tcPr>
          <w:p w14:paraId="1D007B02" w14:textId="77777777" w:rsidR="00C22CDE" w:rsidRPr="00C22CDE" w:rsidRDefault="00C22CDE" w:rsidP="00615190">
            <w:pPr>
              <w:spacing w:line="240" w:lineRule="atLeast"/>
              <w:rPr>
                <w:rFonts w:ascii="Tahoma" w:hAnsi="Tahoma"/>
                <w:color w:val="000000" w:themeColor="text1"/>
                <w:sz w:val="16"/>
                <w:lang w:val="en-GB"/>
              </w:rPr>
            </w:pPr>
            <w:r w:rsidRPr="00C22CDE">
              <w:rPr>
                <w:rFonts w:ascii="Tahoma" w:hAnsi="Tahoma"/>
                <w:color w:val="000000" w:themeColor="text1"/>
                <w:sz w:val="16"/>
                <w:lang w:val="en-GB"/>
              </w:rPr>
              <w:t>Total other comprehensive income for the period</w:t>
            </w:r>
          </w:p>
        </w:tc>
        <w:tc>
          <w:tcPr>
            <w:tcW w:w="567" w:type="dxa"/>
            <w:tcBorders>
              <w:left w:val="single" w:sz="4" w:space="0" w:color="auto"/>
              <w:bottom w:val="single" w:sz="4" w:space="0" w:color="auto"/>
            </w:tcBorders>
            <w:tcMar>
              <w:top w:w="57" w:type="dxa"/>
              <w:left w:w="0" w:type="dxa"/>
              <w:bottom w:w="57" w:type="dxa"/>
              <w:right w:w="0" w:type="dxa"/>
            </w:tcMar>
            <w:vAlign w:val="bottom"/>
          </w:tcPr>
          <w:p w14:paraId="367BBA4B"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567" w:type="dxa"/>
            <w:tcBorders>
              <w:bottom w:val="single" w:sz="4" w:space="0" w:color="auto"/>
            </w:tcBorders>
            <w:tcMar>
              <w:top w:w="57" w:type="dxa"/>
              <w:left w:w="0" w:type="dxa"/>
              <w:bottom w:w="57" w:type="dxa"/>
              <w:right w:w="0" w:type="dxa"/>
            </w:tcMar>
            <w:vAlign w:val="bottom"/>
          </w:tcPr>
          <w:p w14:paraId="43A69C6C"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9" w:type="dxa"/>
            <w:tcBorders>
              <w:bottom w:val="single" w:sz="4" w:space="0" w:color="auto"/>
            </w:tcBorders>
            <w:tcMar>
              <w:top w:w="57" w:type="dxa"/>
              <w:left w:w="0" w:type="dxa"/>
              <w:bottom w:w="57" w:type="dxa"/>
              <w:right w:w="0" w:type="dxa"/>
            </w:tcMar>
            <w:vAlign w:val="bottom"/>
          </w:tcPr>
          <w:p w14:paraId="69CBB885"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211</w:t>
            </w:r>
          </w:p>
        </w:tc>
        <w:tc>
          <w:tcPr>
            <w:tcW w:w="708" w:type="dxa"/>
            <w:tcBorders>
              <w:bottom w:val="single" w:sz="4" w:space="0" w:color="auto"/>
            </w:tcBorders>
            <w:tcMar>
              <w:top w:w="57" w:type="dxa"/>
              <w:left w:w="0" w:type="dxa"/>
              <w:bottom w:w="57" w:type="dxa"/>
              <w:right w:w="0" w:type="dxa"/>
            </w:tcMar>
            <w:vAlign w:val="bottom"/>
          </w:tcPr>
          <w:p w14:paraId="4772A5A0"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207</w:t>
            </w:r>
          </w:p>
        </w:tc>
        <w:tc>
          <w:tcPr>
            <w:tcW w:w="567" w:type="dxa"/>
            <w:tcBorders>
              <w:bottom w:val="single" w:sz="4" w:space="0" w:color="auto"/>
            </w:tcBorders>
            <w:tcMar>
              <w:top w:w="57" w:type="dxa"/>
              <w:left w:w="0" w:type="dxa"/>
              <w:bottom w:w="57" w:type="dxa"/>
              <w:right w:w="0" w:type="dxa"/>
            </w:tcMar>
            <w:vAlign w:val="bottom"/>
          </w:tcPr>
          <w:p w14:paraId="1448C6C4"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9" w:type="dxa"/>
            <w:tcBorders>
              <w:bottom w:val="single" w:sz="4" w:space="0" w:color="auto"/>
            </w:tcBorders>
            <w:tcMar>
              <w:top w:w="57" w:type="dxa"/>
              <w:left w:w="0" w:type="dxa"/>
              <w:bottom w:w="57" w:type="dxa"/>
              <w:right w:w="0" w:type="dxa"/>
            </w:tcMar>
            <w:vAlign w:val="bottom"/>
          </w:tcPr>
          <w:p w14:paraId="46FE064C"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425</w:t>
            </w:r>
          </w:p>
        </w:tc>
        <w:tc>
          <w:tcPr>
            <w:tcW w:w="709" w:type="dxa"/>
            <w:tcBorders>
              <w:bottom w:val="single" w:sz="4" w:space="0" w:color="auto"/>
            </w:tcBorders>
            <w:tcMar>
              <w:top w:w="57" w:type="dxa"/>
              <w:left w:w="0" w:type="dxa"/>
              <w:bottom w:w="57" w:type="dxa"/>
              <w:right w:w="0" w:type="dxa"/>
            </w:tcMar>
            <w:vAlign w:val="bottom"/>
          </w:tcPr>
          <w:p w14:paraId="1A447B30"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567" w:type="dxa"/>
            <w:tcBorders>
              <w:bottom w:val="single" w:sz="4" w:space="0" w:color="auto"/>
            </w:tcBorders>
            <w:tcMar>
              <w:top w:w="57" w:type="dxa"/>
              <w:left w:w="0" w:type="dxa"/>
              <w:bottom w:w="57" w:type="dxa"/>
              <w:right w:w="0" w:type="dxa"/>
            </w:tcMar>
            <w:vAlign w:val="bottom"/>
          </w:tcPr>
          <w:p w14:paraId="5036914A"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843</w:t>
            </w:r>
          </w:p>
        </w:tc>
        <w:tc>
          <w:tcPr>
            <w:tcW w:w="709" w:type="dxa"/>
            <w:tcBorders>
              <w:bottom w:val="single" w:sz="4" w:space="0" w:color="auto"/>
            </w:tcBorders>
            <w:tcMar>
              <w:top w:w="57" w:type="dxa"/>
              <w:left w:w="0" w:type="dxa"/>
              <w:bottom w:w="57" w:type="dxa"/>
              <w:right w:w="0" w:type="dxa"/>
            </w:tcMar>
            <w:vAlign w:val="bottom"/>
          </w:tcPr>
          <w:p w14:paraId="5870AE34"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9</w:t>
            </w:r>
          </w:p>
        </w:tc>
        <w:tc>
          <w:tcPr>
            <w:tcW w:w="700" w:type="dxa"/>
            <w:tcBorders>
              <w:bottom w:val="single" w:sz="4" w:space="0" w:color="auto"/>
              <w:right w:val="single" w:sz="4" w:space="0" w:color="auto"/>
            </w:tcBorders>
            <w:tcMar>
              <w:top w:w="57" w:type="dxa"/>
              <w:left w:w="0" w:type="dxa"/>
              <w:bottom w:w="57" w:type="dxa"/>
              <w:right w:w="0" w:type="dxa"/>
            </w:tcMar>
            <w:vAlign w:val="bottom"/>
          </w:tcPr>
          <w:p w14:paraId="75D7F76D" w14:textId="77777777" w:rsidR="00C22CDE" w:rsidRPr="00C22CDE" w:rsidRDefault="00C22CDE" w:rsidP="00414621">
            <w:pPr>
              <w:spacing w:line="240" w:lineRule="atLeast"/>
              <w:ind w:right="113"/>
              <w:jc w:val="right"/>
              <w:rPr>
                <w:rFonts w:ascii="Tahoma" w:hAnsi="Tahoma"/>
                <w:color w:val="000000" w:themeColor="text1"/>
                <w:w w:val="70"/>
                <w:sz w:val="16"/>
                <w:lang w:val="en-GB"/>
              </w:rPr>
            </w:pPr>
            <w:r w:rsidRPr="00C22CDE">
              <w:rPr>
                <w:rFonts w:ascii="Tahoma" w:hAnsi="Tahoma"/>
                <w:color w:val="000000" w:themeColor="text1"/>
                <w:w w:val="70"/>
                <w:sz w:val="16"/>
                <w:lang w:val="en-GB"/>
              </w:rPr>
              <w:t>852</w:t>
            </w:r>
          </w:p>
        </w:tc>
      </w:tr>
      <w:tr w:rsidR="005001CB" w:rsidRPr="00C22CDE" w14:paraId="560D6D12" w14:textId="77777777" w:rsidTr="00DF6C86">
        <w:trPr>
          <w:trHeight w:val="60"/>
        </w:trPr>
        <w:tc>
          <w:tcPr>
            <w:tcW w:w="3694" w:type="dxa"/>
            <w:tcMar>
              <w:top w:w="57" w:type="dxa"/>
              <w:left w:w="0" w:type="dxa"/>
              <w:bottom w:w="57" w:type="dxa"/>
              <w:right w:w="0" w:type="dxa"/>
            </w:tcMar>
            <w:vAlign w:val="bottom"/>
          </w:tcPr>
          <w:p w14:paraId="0CA8C4E7" w14:textId="77777777" w:rsidR="00C22CDE" w:rsidRPr="00C22CDE" w:rsidRDefault="00C22CDE" w:rsidP="00615190">
            <w:pPr>
              <w:spacing w:line="240" w:lineRule="atLeast"/>
              <w:rPr>
                <w:rFonts w:ascii="Tahoma" w:hAnsi="Tahoma"/>
                <w:color w:val="000000" w:themeColor="text1"/>
                <w:sz w:val="16"/>
                <w:lang w:val="en-GB"/>
              </w:rPr>
            </w:pPr>
            <w:r w:rsidRPr="00C22CDE">
              <w:rPr>
                <w:rFonts w:ascii="Tahoma" w:hAnsi="Tahoma"/>
                <w:color w:val="000000" w:themeColor="text1"/>
                <w:sz w:val="16"/>
                <w:lang w:val="en-GB"/>
              </w:rPr>
              <w:t>Movement due to share exchange</w:t>
            </w:r>
            <w:r w:rsidRPr="00C22CDE">
              <w:rPr>
                <w:rFonts w:ascii="Tahoma" w:hAnsi="Tahoma"/>
                <w:color w:val="000000" w:themeColor="text1"/>
                <w:sz w:val="16"/>
                <w:vertAlign w:val="superscript"/>
                <w:lang w:val="en-GB"/>
              </w:rPr>
              <w:t>1</w:t>
            </w:r>
          </w:p>
        </w:tc>
        <w:tc>
          <w:tcPr>
            <w:tcW w:w="567" w:type="dxa"/>
            <w:tcBorders>
              <w:top w:val="single" w:sz="4" w:space="0" w:color="auto"/>
            </w:tcBorders>
            <w:tcMar>
              <w:top w:w="57" w:type="dxa"/>
              <w:left w:w="0" w:type="dxa"/>
              <w:bottom w:w="57" w:type="dxa"/>
              <w:right w:w="0" w:type="dxa"/>
            </w:tcMar>
            <w:vAlign w:val="bottom"/>
          </w:tcPr>
          <w:p w14:paraId="419676DC"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38 517</w:t>
            </w:r>
          </w:p>
        </w:tc>
        <w:tc>
          <w:tcPr>
            <w:tcW w:w="567" w:type="dxa"/>
            <w:tcBorders>
              <w:top w:val="single" w:sz="4" w:space="0" w:color="auto"/>
            </w:tcBorders>
            <w:tcMar>
              <w:top w:w="57" w:type="dxa"/>
              <w:left w:w="0" w:type="dxa"/>
              <w:bottom w:w="57" w:type="dxa"/>
              <w:right w:w="0" w:type="dxa"/>
            </w:tcMar>
            <w:vAlign w:val="bottom"/>
          </w:tcPr>
          <w:p w14:paraId="445A9E74"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9" w:type="dxa"/>
            <w:tcBorders>
              <w:top w:val="single" w:sz="4" w:space="0" w:color="auto"/>
            </w:tcBorders>
            <w:tcMar>
              <w:top w:w="57" w:type="dxa"/>
              <w:left w:w="0" w:type="dxa"/>
              <w:bottom w:w="57" w:type="dxa"/>
              <w:right w:w="0" w:type="dxa"/>
            </w:tcMar>
            <w:vAlign w:val="bottom"/>
          </w:tcPr>
          <w:p w14:paraId="637D9B62"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8" w:type="dxa"/>
            <w:tcBorders>
              <w:top w:val="single" w:sz="4" w:space="0" w:color="auto"/>
            </w:tcBorders>
            <w:tcMar>
              <w:top w:w="57" w:type="dxa"/>
              <w:left w:w="0" w:type="dxa"/>
              <w:bottom w:w="57" w:type="dxa"/>
              <w:right w:w="0" w:type="dxa"/>
            </w:tcMar>
            <w:vAlign w:val="bottom"/>
          </w:tcPr>
          <w:p w14:paraId="64BEF73C"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567" w:type="dxa"/>
            <w:tcBorders>
              <w:top w:val="single" w:sz="4" w:space="0" w:color="auto"/>
            </w:tcBorders>
            <w:tcMar>
              <w:top w:w="57" w:type="dxa"/>
              <w:left w:w="0" w:type="dxa"/>
              <w:bottom w:w="57" w:type="dxa"/>
              <w:right w:w="0" w:type="dxa"/>
            </w:tcMar>
            <w:vAlign w:val="bottom"/>
          </w:tcPr>
          <w:p w14:paraId="0D1FA393"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(41 279)</w:t>
            </w:r>
          </w:p>
        </w:tc>
        <w:tc>
          <w:tcPr>
            <w:tcW w:w="709" w:type="dxa"/>
            <w:tcBorders>
              <w:top w:val="single" w:sz="4" w:space="0" w:color="auto"/>
            </w:tcBorders>
            <w:tcMar>
              <w:top w:w="57" w:type="dxa"/>
              <w:left w:w="0" w:type="dxa"/>
              <w:bottom w:w="57" w:type="dxa"/>
              <w:right w:w="0" w:type="dxa"/>
            </w:tcMar>
            <w:vAlign w:val="bottom"/>
          </w:tcPr>
          <w:p w14:paraId="11D2EBAA"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9" w:type="dxa"/>
            <w:tcBorders>
              <w:top w:val="single" w:sz="4" w:space="0" w:color="auto"/>
            </w:tcBorders>
            <w:tcMar>
              <w:top w:w="57" w:type="dxa"/>
              <w:left w:w="0" w:type="dxa"/>
              <w:bottom w:w="57" w:type="dxa"/>
              <w:right w:w="0" w:type="dxa"/>
            </w:tcMar>
            <w:vAlign w:val="bottom"/>
          </w:tcPr>
          <w:p w14:paraId="63A78124"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567" w:type="dxa"/>
            <w:tcBorders>
              <w:top w:val="single" w:sz="4" w:space="0" w:color="auto"/>
            </w:tcBorders>
            <w:tcMar>
              <w:top w:w="57" w:type="dxa"/>
              <w:left w:w="0" w:type="dxa"/>
              <w:bottom w:w="57" w:type="dxa"/>
              <w:right w:w="0" w:type="dxa"/>
            </w:tcMar>
            <w:vAlign w:val="bottom"/>
          </w:tcPr>
          <w:p w14:paraId="2C123E9C"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(2 762)</w:t>
            </w:r>
          </w:p>
        </w:tc>
        <w:tc>
          <w:tcPr>
            <w:tcW w:w="709" w:type="dxa"/>
            <w:tcBorders>
              <w:top w:val="single" w:sz="4" w:space="0" w:color="auto"/>
            </w:tcBorders>
            <w:tcMar>
              <w:top w:w="57" w:type="dxa"/>
              <w:left w:w="0" w:type="dxa"/>
              <w:bottom w:w="57" w:type="dxa"/>
              <w:right w:w="0" w:type="dxa"/>
            </w:tcMar>
            <w:vAlign w:val="bottom"/>
          </w:tcPr>
          <w:p w14:paraId="52F8BC2A"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0" w:type="dxa"/>
            <w:tcBorders>
              <w:top w:val="single" w:sz="4" w:space="0" w:color="auto"/>
            </w:tcBorders>
            <w:tcMar>
              <w:top w:w="57" w:type="dxa"/>
              <w:left w:w="0" w:type="dxa"/>
              <w:bottom w:w="57" w:type="dxa"/>
              <w:right w:w="0" w:type="dxa"/>
            </w:tcMar>
            <w:vAlign w:val="bottom"/>
          </w:tcPr>
          <w:p w14:paraId="2B577AC4" w14:textId="77777777" w:rsidR="00C22CDE" w:rsidRPr="00C22CDE" w:rsidRDefault="00C22CDE" w:rsidP="00414621">
            <w:pPr>
              <w:spacing w:line="240" w:lineRule="atLeast"/>
              <w:ind w:right="113"/>
              <w:jc w:val="right"/>
              <w:rPr>
                <w:rFonts w:ascii="Tahoma" w:hAnsi="Tahoma"/>
                <w:color w:val="000000" w:themeColor="text1"/>
                <w:w w:val="70"/>
                <w:sz w:val="16"/>
                <w:lang w:val="en-GB"/>
              </w:rPr>
            </w:pPr>
            <w:r w:rsidRPr="00C22CDE">
              <w:rPr>
                <w:rFonts w:ascii="Tahoma" w:hAnsi="Tahoma"/>
                <w:color w:val="000000" w:themeColor="text1"/>
                <w:w w:val="70"/>
                <w:sz w:val="16"/>
                <w:lang w:val="en-GB"/>
              </w:rPr>
              <w:t>(2 762)</w:t>
            </w:r>
          </w:p>
        </w:tc>
      </w:tr>
      <w:tr w:rsidR="005001CB" w:rsidRPr="00C22CDE" w14:paraId="1BB565A1" w14:textId="77777777" w:rsidTr="000906A7">
        <w:trPr>
          <w:trHeight w:val="60"/>
        </w:trPr>
        <w:tc>
          <w:tcPr>
            <w:tcW w:w="3694" w:type="dxa"/>
            <w:tcMar>
              <w:top w:w="57" w:type="dxa"/>
              <w:left w:w="0" w:type="dxa"/>
              <w:bottom w:w="57" w:type="dxa"/>
              <w:right w:w="0" w:type="dxa"/>
            </w:tcMar>
            <w:vAlign w:val="bottom"/>
          </w:tcPr>
          <w:p w14:paraId="5C1E2A66" w14:textId="77777777" w:rsidR="00C22CDE" w:rsidRPr="00C22CDE" w:rsidRDefault="00C22CDE" w:rsidP="00615190">
            <w:pPr>
              <w:spacing w:line="240" w:lineRule="atLeast"/>
              <w:rPr>
                <w:rFonts w:ascii="Tahoma" w:hAnsi="Tahoma"/>
                <w:color w:val="000000" w:themeColor="text1"/>
                <w:sz w:val="16"/>
                <w:lang w:val="en-GB"/>
              </w:rPr>
            </w:pPr>
            <w:proofErr w:type="spellStart"/>
            <w:r w:rsidRPr="00C22CDE">
              <w:rPr>
                <w:rFonts w:ascii="Tahoma" w:hAnsi="Tahoma"/>
                <w:color w:val="000000" w:themeColor="text1"/>
                <w:sz w:val="16"/>
                <w:lang w:val="en-GB"/>
              </w:rPr>
              <w:t>Prosus</w:t>
            </w:r>
            <w:proofErr w:type="spellEnd"/>
            <w:r w:rsidRPr="00C22CDE">
              <w:rPr>
                <w:rFonts w:ascii="Tahoma" w:hAnsi="Tahoma"/>
                <w:color w:val="000000" w:themeColor="text1"/>
                <w:sz w:val="16"/>
                <w:lang w:val="en-GB"/>
              </w:rPr>
              <w:t xml:space="preserve"> B ordinary shares issued</w:t>
            </w:r>
            <w:r w:rsidRPr="00C22CDE">
              <w:rPr>
                <w:rFonts w:ascii="Tahoma" w:hAnsi="Tahoma"/>
                <w:color w:val="000000" w:themeColor="text1"/>
                <w:sz w:val="16"/>
                <w:vertAlign w:val="superscript"/>
                <w:lang w:val="en-GB"/>
              </w:rPr>
              <w:t>1</w:t>
            </w:r>
          </w:p>
        </w:tc>
        <w:tc>
          <w:tcPr>
            <w:tcW w:w="567" w:type="dxa"/>
            <w:tcMar>
              <w:top w:w="57" w:type="dxa"/>
              <w:left w:w="0" w:type="dxa"/>
              <w:bottom w:w="57" w:type="dxa"/>
              <w:right w:w="0" w:type="dxa"/>
            </w:tcMar>
            <w:vAlign w:val="bottom"/>
          </w:tcPr>
          <w:p w14:paraId="0C4D6340"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66</w:t>
            </w:r>
          </w:p>
        </w:tc>
        <w:tc>
          <w:tcPr>
            <w:tcW w:w="567" w:type="dxa"/>
            <w:tcMar>
              <w:top w:w="57" w:type="dxa"/>
              <w:left w:w="0" w:type="dxa"/>
              <w:bottom w:w="57" w:type="dxa"/>
              <w:right w:w="0" w:type="dxa"/>
            </w:tcMar>
            <w:vAlign w:val="bottom"/>
          </w:tcPr>
          <w:p w14:paraId="0FE539B6"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9" w:type="dxa"/>
            <w:tcMar>
              <w:top w:w="57" w:type="dxa"/>
              <w:left w:w="0" w:type="dxa"/>
              <w:bottom w:w="57" w:type="dxa"/>
              <w:right w:w="0" w:type="dxa"/>
            </w:tcMar>
            <w:vAlign w:val="bottom"/>
          </w:tcPr>
          <w:p w14:paraId="67E3BC14"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8" w:type="dxa"/>
            <w:tcMar>
              <w:top w:w="57" w:type="dxa"/>
              <w:left w:w="0" w:type="dxa"/>
              <w:bottom w:w="57" w:type="dxa"/>
              <w:right w:w="0" w:type="dxa"/>
            </w:tcMar>
            <w:vAlign w:val="bottom"/>
          </w:tcPr>
          <w:p w14:paraId="26B3379D"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567" w:type="dxa"/>
            <w:tcMar>
              <w:top w:w="57" w:type="dxa"/>
              <w:left w:w="0" w:type="dxa"/>
              <w:bottom w:w="57" w:type="dxa"/>
              <w:right w:w="0" w:type="dxa"/>
            </w:tcMar>
            <w:vAlign w:val="bottom"/>
          </w:tcPr>
          <w:p w14:paraId="44694E89"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9" w:type="dxa"/>
            <w:tcMar>
              <w:top w:w="57" w:type="dxa"/>
              <w:left w:w="0" w:type="dxa"/>
              <w:bottom w:w="57" w:type="dxa"/>
              <w:right w:w="0" w:type="dxa"/>
            </w:tcMar>
            <w:vAlign w:val="bottom"/>
          </w:tcPr>
          <w:p w14:paraId="16F6C912"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9" w:type="dxa"/>
            <w:tcMar>
              <w:top w:w="57" w:type="dxa"/>
              <w:left w:w="0" w:type="dxa"/>
              <w:bottom w:w="57" w:type="dxa"/>
              <w:right w:w="0" w:type="dxa"/>
            </w:tcMar>
            <w:vAlign w:val="bottom"/>
          </w:tcPr>
          <w:p w14:paraId="148C6F37"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567" w:type="dxa"/>
            <w:tcMar>
              <w:top w:w="57" w:type="dxa"/>
              <w:left w:w="0" w:type="dxa"/>
              <w:bottom w:w="57" w:type="dxa"/>
              <w:right w:w="0" w:type="dxa"/>
            </w:tcMar>
            <w:vAlign w:val="bottom"/>
          </w:tcPr>
          <w:p w14:paraId="6A9342E1"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66</w:t>
            </w:r>
          </w:p>
        </w:tc>
        <w:tc>
          <w:tcPr>
            <w:tcW w:w="709" w:type="dxa"/>
            <w:tcMar>
              <w:top w:w="57" w:type="dxa"/>
              <w:left w:w="0" w:type="dxa"/>
              <w:bottom w:w="57" w:type="dxa"/>
              <w:right w:w="0" w:type="dxa"/>
            </w:tcMar>
            <w:vAlign w:val="bottom"/>
          </w:tcPr>
          <w:p w14:paraId="2E79B0E5"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0" w:type="dxa"/>
            <w:tcMar>
              <w:top w:w="57" w:type="dxa"/>
              <w:left w:w="0" w:type="dxa"/>
              <w:bottom w:w="57" w:type="dxa"/>
              <w:right w:w="0" w:type="dxa"/>
            </w:tcMar>
            <w:vAlign w:val="bottom"/>
          </w:tcPr>
          <w:p w14:paraId="0D83FE09" w14:textId="77777777" w:rsidR="00C22CDE" w:rsidRPr="00C22CDE" w:rsidRDefault="00C22CDE" w:rsidP="00414621">
            <w:pPr>
              <w:spacing w:line="240" w:lineRule="atLeast"/>
              <w:ind w:right="113"/>
              <w:jc w:val="right"/>
              <w:rPr>
                <w:rFonts w:ascii="Tahoma" w:hAnsi="Tahoma"/>
                <w:color w:val="000000" w:themeColor="text1"/>
                <w:w w:val="70"/>
                <w:sz w:val="16"/>
                <w:lang w:val="en-GB"/>
              </w:rPr>
            </w:pPr>
            <w:r w:rsidRPr="00C22CDE">
              <w:rPr>
                <w:rFonts w:ascii="Tahoma" w:hAnsi="Tahoma"/>
                <w:color w:val="000000" w:themeColor="text1"/>
                <w:w w:val="70"/>
                <w:sz w:val="16"/>
                <w:lang w:val="en-GB"/>
              </w:rPr>
              <w:t>66</w:t>
            </w:r>
          </w:p>
        </w:tc>
      </w:tr>
      <w:tr w:rsidR="005001CB" w:rsidRPr="00C22CDE" w14:paraId="7C788707" w14:textId="77777777" w:rsidTr="000906A7">
        <w:trPr>
          <w:trHeight w:val="60"/>
        </w:trPr>
        <w:tc>
          <w:tcPr>
            <w:tcW w:w="3694" w:type="dxa"/>
            <w:tcMar>
              <w:top w:w="57" w:type="dxa"/>
              <w:left w:w="0" w:type="dxa"/>
              <w:bottom w:w="57" w:type="dxa"/>
              <w:right w:w="0" w:type="dxa"/>
            </w:tcMar>
            <w:vAlign w:val="bottom"/>
          </w:tcPr>
          <w:p w14:paraId="19089A79" w14:textId="77777777" w:rsidR="00C22CDE" w:rsidRPr="00C22CDE" w:rsidRDefault="00C22CDE" w:rsidP="00615190">
            <w:pPr>
              <w:spacing w:line="240" w:lineRule="atLeast"/>
              <w:rPr>
                <w:rFonts w:ascii="Tahoma" w:hAnsi="Tahoma"/>
                <w:color w:val="000000" w:themeColor="text1"/>
                <w:sz w:val="16"/>
                <w:lang w:val="en-GB"/>
              </w:rPr>
            </w:pPr>
            <w:r w:rsidRPr="00C22CDE">
              <w:rPr>
                <w:rFonts w:ascii="Tahoma" w:hAnsi="Tahoma"/>
                <w:color w:val="000000" w:themeColor="text1"/>
                <w:sz w:val="16"/>
                <w:lang w:val="en-GB"/>
              </w:rPr>
              <w:t>Repurchase of own shares</w:t>
            </w:r>
          </w:p>
        </w:tc>
        <w:tc>
          <w:tcPr>
            <w:tcW w:w="567" w:type="dxa"/>
            <w:tcMar>
              <w:top w:w="57" w:type="dxa"/>
              <w:left w:w="0" w:type="dxa"/>
              <w:bottom w:w="57" w:type="dxa"/>
              <w:right w:w="0" w:type="dxa"/>
            </w:tcMar>
            <w:vAlign w:val="bottom"/>
          </w:tcPr>
          <w:p w14:paraId="7A1AC448"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567" w:type="dxa"/>
            <w:tcMar>
              <w:top w:w="57" w:type="dxa"/>
              <w:left w:w="0" w:type="dxa"/>
              <w:bottom w:w="57" w:type="dxa"/>
              <w:right w:w="0" w:type="dxa"/>
            </w:tcMar>
            <w:vAlign w:val="bottom"/>
          </w:tcPr>
          <w:p w14:paraId="6FE9046D"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(1 677)</w:t>
            </w:r>
          </w:p>
        </w:tc>
        <w:tc>
          <w:tcPr>
            <w:tcW w:w="709" w:type="dxa"/>
            <w:tcMar>
              <w:top w:w="57" w:type="dxa"/>
              <w:left w:w="0" w:type="dxa"/>
              <w:bottom w:w="57" w:type="dxa"/>
              <w:right w:w="0" w:type="dxa"/>
            </w:tcMar>
            <w:vAlign w:val="bottom"/>
          </w:tcPr>
          <w:p w14:paraId="595BB69E"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8" w:type="dxa"/>
            <w:tcMar>
              <w:top w:w="57" w:type="dxa"/>
              <w:left w:w="0" w:type="dxa"/>
              <w:bottom w:w="57" w:type="dxa"/>
              <w:right w:w="0" w:type="dxa"/>
            </w:tcMar>
            <w:vAlign w:val="bottom"/>
          </w:tcPr>
          <w:p w14:paraId="2E79B054"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567" w:type="dxa"/>
            <w:tcMar>
              <w:top w:w="57" w:type="dxa"/>
              <w:left w:w="0" w:type="dxa"/>
              <w:bottom w:w="57" w:type="dxa"/>
              <w:right w:w="0" w:type="dxa"/>
            </w:tcMar>
            <w:vAlign w:val="bottom"/>
          </w:tcPr>
          <w:p w14:paraId="0D6E53B2"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9" w:type="dxa"/>
            <w:tcMar>
              <w:top w:w="57" w:type="dxa"/>
              <w:left w:w="0" w:type="dxa"/>
              <w:bottom w:w="57" w:type="dxa"/>
              <w:right w:w="0" w:type="dxa"/>
            </w:tcMar>
            <w:vAlign w:val="bottom"/>
          </w:tcPr>
          <w:p w14:paraId="5C8D8A96"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9" w:type="dxa"/>
            <w:tcMar>
              <w:top w:w="57" w:type="dxa"/>
              <w:left w:w="0" w:type="dxa"/>
              <w:bottom w:w="57" w:type="dxa"/>
              <w:right w:w="0" w:type="dxa"/>
            </w:tcMar>
            <w:vAlign w:val="bottom"/>
          </w:tcPr>
          <w:p w14:paraId="3D0A7BCD"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567" w:type="dxa"/>
            <w:tcMar>
              <w:top w:w="57" w:type="dxa"/>
              <w:left w:w="0" w:type="dxa"/>
              <w:bottom w:w="57" w:type="dxa"/>
              <w:right w:w="0" w:type="dxa"/>
            </w:tcMar>
            <w:vAlign w:val="bottom"/>
          </w:tcPr>
          <w:p w14:paraId="563C431C"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(1 677)</w:t>
            </w:r>
          </w:p>
        </w:tc>
        <w:tc>
          <w:tcPr>
            <w:tcW w:w="709" w:type="dxa"/>
            <w:tcMar>
              <w:top w:w="57" w:type="dxa"/>
              <w:left w:w="0" w:type="dxa"/>
              <w:bottom w:w="57" w:type="dxa"/>
              <w:right w:w="0" w:type="dxa"/>
            </w:tcMar>
            <w:vAlign w:val="bottom"/>
          </w:tcPr>
          <w:p w14:paraId="60E768A1"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0" w:type="dxa"/>
            <w:tcMar>
              <w:top w:w="57" w:type="dxa"/>
              <w:left w:w="0" w:type="dxa"/>
              <w:bottom w:w="57" w:type="dxa"/>
              <w:right w:w="0" w:type="dxa"/>
            </w:tcMar>
            <w:vAlign w:val="bottom"/>
          </w:tcPr>
          <w:p w14:paraId="28A5D210" w14:textId="77777777" w:rsidR="00C22CDE" w:rsidRPr="00C22CDE" w:rsidRDefault="00C22CDE" w:rsidP="00414621">
            <w:pPr>
              <w:spacing w:line="240" w:lineRule="atLeast"/>
              <w:ind w:right="113"/>
              <w:jc w:val="right"/>
              <w:rPr>
                <w:rFonts w:ascii="Tahoma" w:hAnsi="Tahoma"/>
                <w:color w:val="000000" w:themeColor="text1"/>
                <w:w w:val="70"/>
                <w:sz w:val="16"/>
                <w:lang w:val="en-GB"/>
              </w:rPr>
            </w:pPr>
            <w:r w:rsidRPr="00C22CDE">
              <w:rPr>
                <w:rFonts w:ascii="Tahoma" w:hAnsi="Tahoma"/>
                <w:color w:val="000000" w:themeColor="text1"/>
                <w:w w:val="70"/>
                <w:sz w:val="16"/>
                <w:lang w:val="en-GB"/>
              </w:rPr>
              <w:t>(1 677)</w:t>
            </w:r>
          </w:p>
        </w:tc>
      </w:tr>
      <w:tr w:rsidR="005001CB" w:rsidRPr="00C22CDE" w14:paraId="0F75633A" w14:textId="77777777" w:rsidTr="00482AC7">
        <w:trPr>
          <w:trHeight w:val="60"/>
        </w:trPr>
        <w:tc>
          <w:tcPr>
            <w:tcW w:w="3694" w:type="dxa"/>
            <w:tcMar>
              <w:top w:w="57" w:type="dxa"/>
              <w:left w:w="0" w:type="dxa"/>
              <w:bottom w:w="57" w:type="dxa"/>
              <w:right w:w="0" w:type="dxa"/>
            </w:tcMar>
            <w:vAlign w:val="bottom"/>
          </w:tcPr>
          <w:p w14:paraId="36E101DE" w14:textId="77777777" w:rsidR="00C22CDE" w:rsidRPr="00C22CDE" w:rsidRDefault="00C22CDE" w:rsidP="00615190">
            <w:pPr>
              <w:spacing w:line="240" w:lineRule="atLeast"/>
              <w:rPr>
                <w:rFonts w:ascii="Tahoma" w:hAnsi="Tahoma"/>
                <w:color w:val="000000" w:themeColor="text1"/>
                <w:sz w:val="16"/>
                <w:lang w:val="en-GB"/>
              </w:rPr>
            </w:pPr>
            <w:r w:rsidRPr="00C22CDE">
              <w:rPr>
                <w:rFonts w:ascii="Tahoma" w:hAnsi="Tahoma"/>
                <w:color w:val="000000" w:themeColor="text1"/>
                <w:sz w:val="16"/>
                <w:lang w:val="en-GB"/>
              </w:rPr>
              <w:t>Share-based compensation movements</w:t>
            </w:r>
          </w:p>
        </w:tc>
        <w:tc>
          <w:tcPr>
            <w:tcW w:w="567" w:type="dxa"/>
            <w:tcBorders>
              <w:bottom w:val="single" w:sz="4" w:space="0" w:color="auto"/>
            </w:tcBorders>
            <w:tcMar>
              <w:top w:w="57" w:type="dxa"/>
              <w:left w:w="0" w:type="dxa"/>
              <w:bottom w:w="57" w:type="dxa"/>
              <w:right w:w="0" w:type="dxa"/>
            </w:tcMar>
            <w:vAlign w:val="bottom"/>
          </w:tcPr>
          <w:p w14:paraId="711171E5"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567" w:type="dxa"/>
            <w:tcBorders>
              <w:bottom w:val="single" w:sz="4" w:space="0" w:color="auto"/>
            </w:tcBorders>
            <w:tcMar>
              <w:top w:w="57" w:type="dxa"/>
              <w:left w:w="0" w:type="dxa"/>
              <w:bottom w:w="57" w:type="dxa"/>
              <w:right w:w="0" w:type="dxa"/>
            </w:tcMar>
            <w:vAlign w:val="bottom"/>
          </w:tcPr>
          <w:p w14:paraId="454B4CA3"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9" w:type="dxa"/>
            <w:tcBorders>
              <w:bottom w:val="single" w:sz="4" w:space="0" w:color="auto"/>
            </w:tcBorders>
            <w:tcMar>
              <w:top w:w="57" w:type="dxa"/>
              <w:left w:w="0" w:type="dxa"/>
              <w:bottom w:w="57" w:type="dxa"/>
              <w:right w:w="0" w:type="dxa"/>
            </w:tcMar>
            <w:vAlign w:val="bottom"/>
          </w:tcPr>
          <w:p w14:paraId="74C7D929"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8" w:type="dxa"/>
            <w:tcBorders>
              <w:bottom w:val="single" w:sz="4" w:space="0" w:color="auto"/>
            </w:tcBorders>
            <w:tcMar>
              <w:top w:w="57" w:type="dxa"/>
              <w:left w:w="0" w:type="dxa"/>
              <w:bottom w:w="57" w:type="dxa"/>
              <w:right w:w="0" w:type="dxa"/>
            </w:tcMar>
            <w:vAlign w:val="bottom"/>
          </w:tcPr>
          <w:p w14:paraId="31E2F2D4"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567" w:type="dxa"/>
            <w:tcBorders>
              <w:bottom w:val="single" w:sz="4" w:space="0" w:color="auto"/>
            </w:tcBorders>
            <w:tcMar>
              <w:top w:w="57" w:type="dxa"/>
              <w:left w:w="0" w:type="dxa"/>
              <w:bottom w:w="57" w:type="dxa"/>
              <w:right w:w="0" w:type="dxa"/>
            </w:tcMar>
            <w:vAlign w:val="bottom"/>
          </w:tcPr>
          <w:p w14:paraId="6A8A8F72"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9" w:type="dxa"/>
            <w:tcBorders>
              <w:bottom w:val="single" w:sz="4" w:space="0" w:color="auto"/>
            </w:tcBorders>
            <w:tcMar>
              <w:top w:w="57" w:type="dxa"/>
              <w:left w:w="0" w:type="dxa"/>
              <w:bottom w:w="57" w:type="dxa"/>
              <w:right w:w="0" w:type="dxa"/>
            </w:tcMar>
            <w:vAlign w:val="bottom"/>
          </w:tcPr>
          <w:p w14:paraId="60ADFFD9"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(145)</w:t>
            </w:r>
          </w:p>
        </w:tc>
        <w:tc>
          <w:tcPr>
            <w:tcW w:w="709" w:type="dxa"/>
            <w:tcBorders>
              <w:bottom w:val="single" w:sz="4" w:space="0" w:color="auto"/>
            </w:tcBorders>
            <w:tcMar>
              <w:top w:w="57" w:type="dxa"/>
              <w:left w:w="0" w:type="dxa"/>
              <w:bottom w:w="57" w:type="dxa"/>
              <w:right w:w="0" w:type="dxa"/>
            </w:tcMar>
            <w:vAlign w:val="bottom"/>
          </w:tcPr>
          <w:p w14:paraId="0E3D1634"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(308)</w:t>
            </w:r>
          </w:p>
        </w:tc>
        <w:tc>
          <w:tcPr>
            <w:tcW w:w="567" w:type="dxa"/>
            <w:tcBorders>
              <w:bottom w:val="single" w:sz="4" w:space="0" w:color="auto"/>
            </w:tcBorders>
            <w:tcMar>
              <w:top w:w="57" w:type="dxa"/>
              <w:left w:w="0" w:type="dxa"/>
              <w:bottom w:w="57" w:type="dxa"/>
              <w:right w:w="0" w:type="dxa"/>
            </w:tcMar>
            <w:vAlign w:val="bottom"/>
          </w:tcPr>
          <w:p w14:paraId="588991B8"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(453)</w:t>
            </w:r>
          </w:p>
        </w:tc>
        <w:tc>
          <w:tcPr>
            <w:tcW w:w="709" w:type="dxa"/>
            <w:tcBorders>
              <w:bottom w:val="single" w:sz="4" w:space="0" w:color="auto"/>
            </w:tcBorders>
            <w:tcMar>
              <w:top w:w="57" w:type="dxa"/>
              <w:left w:w="0" w:type="dxa"/>
              <w:bottom w:w="57" w:type="dxa"/>
              <w:right w:w="0" w:type="dxa"/>
            </w:tcMar>
            <w:vAlign w:val="bottom"/>
          </w:tcPr>
          <w:p w14:paraId="30A82EF7"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0" w:type="dxa"/>
            <w:tcBorders>
              <w:bottom w:val="single" w:sz="4" w:space="0" w:color="auto"/>
            </w:tcBorders>
            <w:tcMar>
              <w:top w:w="57" w:type="dxa"/>
              <w:left w:w="0" w:type="dxa"/>
              <w:bottom w:w="57" w:type="dxa"/>
              <w:right w:w="0" w:type="dxa"/>
            </w:tcMar>
            <w:vAlign w:val="bottom"/>
          </w:tcPr>
          <w:p w14:paraId="3F1E7B85" w14:textId="77777777" w:rsidR="00C22CDE" w:rsidRPr="00C22CDE" w:rsidRDefault="00C22CDE" w:rsidP="00414621">
            <w:pPr>
              <w:spacing w:line="240" w:lineRule="atLeast"/>
              <w:ind w:right="113"/>
              <w:jc w:val="right"/>
              <w:rPr>
                <w:rFonts w:ascii="Tahoma" w:hAnsi="Tahoma"/>
                <w:color w:val="000000" w:themeColor="text1"/>
                <w:w w:val="70"/>
                <w:sz w:val="16"/>
                <w:lang w:val="en-GB"/>
              </w:rPr>
            </w:pPr>
            <w:r w:rsidRPr="00C22CDE">
              <w:rPr>
                <w:rFonts w:ascii="Tahoma" w:hAnsi="Tahoma"/>
                <w:color w:val="000000" w:themeColor="text1"/>
                <w:w w:val="70"/>
                <w:sz w:val="16"/>
                <w:lang w:val="en-GB"/>
              </w:rPr>
              <w:t>(453)</w:t>
            </w:r>
          </w:p>
        </w:tc>
      </w:tr>
      <w:tr w:rsidR="005001CB" w:rsidRPr="00C22CDE" w14:paraId="7DA8AE4B" w14:textId="77777777" w:rsidTr="00482AC7">
        <w:trPr>
          <w:trHeight w:val="60"/>
        </w:trPr>
        <w:tc>
          <w:tcPr>
            <w:tcW w:w="3694" w:type="dxa"/>
            <w:tcBorders>
              <w:right w:val="single" w:sz="4" w:space="0" w:color="auto"/>
            </w:tcBorders>
            <w:tcMar>
              <w:top w:w="57" w:type="dxa"/>
              <w:left w:w="113" w:type="dxa"/>
              <w:bottom w:w="57" w:type="dxa"/>
              <w:right w:w="0" w:type="dxa"/>
            </w:tcMar>
            <w:vAlign w:val="bottom"/>
          </w:tcPr>
          <w:p w14:paraId="256C6D9B" w14:textId="77777777" w:rsidR="00C22CDE" w:rsidRPr="00C22CDE" w:rsidRDefault="00C22CDE" w:rsidP="00615190">
            <w:pPr>
              <w:spacing w:line="240" w:lineRule="atLeast"/>
              <w:rPr>
                <w:rFonts w:ascii="Tahoma" w:hAnsi="Tahoma"/>
                <w:color w:val="000000" w:themeColor="text1"/>
                <w:sz w:val="16"/>
                <w:lang w:val="en-GB"/>
              </w:rPr>
            </w:pPr>
            <w:r w:rsidRPr="00C22CDE">
              <w:rPr>
                <w:rFonts w:ascii="Tahoma" w:hAnsi="Tahoma"/>
                <w:color w:val="000000" w:themeColor="text1"/>
                <w:sz w:val="16"/>
                <w:lang w:val="en-GB"/>
              </w:rPr>
              <w:t>Share-based compensation expense</w:t>
            </w:r>
          </w:p>
        </w:tc>
        <w:tc>
          <w:tcPr>
            <w:tcW w:w="567" w:type="dxa"/>
            <w:tcBorders>
              <w:top w:val="single" w:sz="4" w:space="0" w:color="auto"/>
              <w:left w:val="single" w:sz="4" w:space="0" w:color="auto"/>
            </w:tcBorders>
            <w:tcMar>
              <w:top w:w="57" w:type="dxa"/>
              <w:left w:w="0" w:type="dxa"/>
              <w:bottom w:w="57" w:type="dxa"/>
              <w:right w:w="0" w:type="dxa"/>
            </w:tcMar>
            <w:vAlign w:val="bottom"/>
          </w:tcPr>
          <w:p w14:paraId="4BB59C5D"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567" w:type="dxa"/>
            <w:tcBorders>
              <w:top w:val="single" w:sz="4" w:space="0" w:color="auto"/>
            </w:tcBorders>
            <w:tcMar>
              <w:top w:w="57" w:type="dxa"/>
              <w:left w:w="0" w:type="dxa"/>
              <w:bottom w:w="57" w:type="dxa"/>
              <w:right w:w="0" w:type="dxa"/>
            </w:tcMar>
            <w:vAlign w:val="bottom"/>
          </w:tcPr>
          <w:p w14:paraId="113C7973"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9" w:type="dxa"/>
            <w:tcBorders>
              <w:top w:val="single" w:sz="4" w:space="0" w:color="auto"/>
            </w:tcBorders>
            <w:tcMar>
              <w:top w:w="57" w:type="dxa"/>
              <w:left w:w="0" w:type="dxa"/>
              <w:bottom w:w="57" w:type="dxa"/>
              <w:right w:w="0" w:type="dxa"/>
            </w:tcMar>
            <w:vAlign w:val="bottom"/>
          </w:tcPr>
          <w:p w14:paraId="580BE633"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8" w:type="dxa"/>
            <w:tcBorders>
              <w:top w:val="single" w:sz="4" w:space="0" w:color="auto"/>
            </w:tcBorders>
            <w:tcMar>
              <w:top w:w="57" w:type="dxa"/>
              <w:left w:w="0" w:type="dxa"/>
              <w:bottom w:w="57" w:type="dxa"/>
              <w:right w:w="0" w:type="dxa"/>
            </w:tcMar>
            <w:vAlign w:val="bottom"/>
          </w:tcPr>
          <w:p w14:paraId="5B8B1FEC"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567" w:type="dxa"/>
            <w:tcBorders>
              <w:top w:val="single" w:sz="4" w:space="0" w:color="auto"/>
            </w:tcBorders>
            <w:tcMar>
              <w:top w:w="57" w:type="dxa"/>
              <w:left w:w="0" w:type="dxa"/>
              <w:bottom w:w="57" w:type="dxa"/>
              <w:right w:w="0" w:type="dxa"/>
            </w:tcMar>
            <w:vAlign w:val="bottom"/>
          </w:tcPr>
          <w:p w14:paraId="03548212"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9" w:type="dxa"/>
            <w:tcBorders>
              <w:top w:val="single" w:sz="4" w:space="0" w:color="auto"/>
            </w:tcBorders>
            <w:tcMar>
              <w:top w:w="57" w:type="dxa"/>
              <w:left w:w="0" w:type="dxa"/>
              <w:bottom w:w="57" w:type="dxa"/>
              <w:right w:w="0" w:type="dxa"/>
            </w:tcMar>
            <w:vAlign w:val="bottom"/>
          </w:tcPr>
          <w:p w14:paraId="5C0E9E24"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53</w:t>
            </w:r>
          </w:p>
        </w:tc>
        <w:tc>
          <w:tcPr>
            <w:tcW w:w="709" w:type="dxa"/>
            <w:tcBorders>
              <w:top w:val="single" w:sz="4" w:space="0" w:color="auto"/>
            </w:tcBorders>
            <w:tcMar>
              <w:top w:w="57" w:type="dxa"/>
              <w:left w:w="0" w:type="dxa"/>
              <w:bottom w:w="57" w:type="dxa"/>
              <w:right w:w="0" w:type="dxa"/>
            </w:tcMar>
            <w:vAlign w:val="bottom"/>
          </w:tcPr>
          <w:p w14:paraId="37D5AE5C"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567" w:type="dxa"/>
            <w:tcBorders>
              <w:top w:val="single" w:sz="4" w:space="0" w:color="auto"/>
            </w:tcBorders>
            <w:tcMar>
              <w:top w:w="57" w:type="dxa"/>
              <w:left w:w="0" w:type="dxa"/>
              <w:bottom w:w="57" w:type="dxa"/>
              <w:right w:w="0" w:type="dxa"/>
            </w:tcMar>
            <w:vAlign w:val="bottom"/>
          </w:tcPr>
          <w:p w14:paraId="1B8EE3C1"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53</w:t>
            </w:r>
          </w:p>
        </w:tc>
        <w:tc>
          <w:tcPr>
            <w:tcW w:w="709" w:type="dxa"/>
            <w:tcBorders>
              <w:top w:val="single" w:sz="4" w:space="0" w:color="auto"/>
            </w:tcBorders>
            <w:tcMar>
              <w:top w:w="57" w:type="dxa"/>
              <w:left w:w="0" w:type="dxa"/>
              <w:bottom w:w="57" w:type="dxa"/>
              <w:right w:w="0" w:type="dxa"/>
            </w:tcMar>
            <w:vAlign w:val="bottom"/>
          </w:tcPr>
          <w:p w14:paraId="53C41EE8"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0" w:type="dxa"/>
            <w:tcBorders>
              <w:top w:val="single" w:sz="4" w:space="0" w:color="auto"/>
              <w:right w:val="single" w:sz="4" w:space="0" w:color="auto"/>
            </w:tcBorders>
            <w:tcMar>
              <w:top w:w="57" w:type="dxa"/>
              <w:left w:w="0" w:type="dxa"/>
              <w:bottom w:w="57" w:type="dxa"/>
              <w:right w:w="0" w:type="dxa"/>
            </w:tcMar>
            <w:vAlign w:val="bottom"/>
          </w:tcPr>
          <w:p w14:paraId="25E2822D" w14:textId="77777777" w:rsidR="00C22CDE" w:rsidRPr="00C22CDE" w:rsidRDefault="00C22CDE" w:rsidP="00414621">
            <w:pPr>
              <w:spacing w:line="240" w:lineRule="atLeast"/>
              <w:ind w:right="113"/>
              <w:jc w:val="right"/>
              <w:rPr>
                <w:rFonts w:ascii="Tahoma" w:hAnsi="Tahoma"/>
                <w:color w:val="000000" w:themeColor="text1"/>
                <w:w w:val="70"/>
                <w:sz w:val="16"/>
                <w:lang w:val="en-GB"/>
              </w:rPr>
            </w:pPr>
            <w:r w:rsidRPr="00C22CDE">
              <w:rPr>
                <w:rFonts w:ascii="Tahoma" w:hAnsi="Tahoma"/>
                <w:color w:val="000000" w:themeColor="text1"/>
                <w:w w:val="70"/>
                <w:sz w:val="16"/>
                <w:lang w:val="en-GB"/>
              </w:rPr>
              <w:t>53</w:t>
            </w:r>
          </w:p>
        </w:tc>
      </w:tr>
      <w:tr w:rsidR="005001CB" w:rsidRPr="00C22CDE" w14:paraId="07A2FA9C" w14:textId="77777777" w:rsidTr="00482AC7">
        <w:trPr>
          <w:trHeight w:val="60"/>
        </w:trPr>
        <w:tc>
          <w:tcPr>
            <w:tcW w:w="3694" w:type="dxa"/>
            <w:tcBorders>
              <w:right w:val="single" w:sz="4" w:space="0" w:color="auto"/>
            </w:tcBorders>
            <w:tcMar>
              <w:top w:w="57" w:type="dxa"/>
              <w:left w:w="113" w:type="dxa"/>
              <w:bottom w:w="57" w:type="dxa"/>
              <w:right w:w="0" w:type="dxa"/>
            </w:tcMar>
            <w:vAlign w:val="bottom"/>
          </w:tcPr>
          <w:p w14:paraId="4B336B0E" w14:textId="77777777" w:rsidR="00C22CDE" w:rsidRPr="00C22CDE" w:rsidRDefault="00C22CDE" w:rsidP="00615190">
            <w:pPr>
              <w:spacing w:line="240" w:lineRule="atLeast"/>
              <w:rPr>
                <w:rFonts w:ascii="Tahoma" w:hAnsi="Tahoma"/>
                <w:color w:val="000000" w:themeColor="text1"/>
                <w:sz w:val="16"/>
                <w:lang w:val="en-GB"/>
              </w:rPr>
            </w:pPr>
            <w:r w:rsidRPr="00C22CDE">
              <w:rPr>
                <w:rFonts w:ascii="Tahoma" w:hAnsi="Tahoma"/>
                <w:color w:val="000000" w:themeColor="text1"/>
                <w:sz w:val="16"/>
                <w:lang w:val="en-GB"/>
              </w:rPr>
              <w:t>Contributions made to Naspers share trusts</w:t>
            </w:r>
          </w:p>
        </w:tc>
        <w:tc>
          <w:tcPr>
            <w:tcW w:w="567" w:type="dxa"/>
            <w:tcBorders>
              <w:left w:val="single" w:sz="4" w:space="0" w:color="auto"/>
            </w:tcBorders>
            <w:tcMar>
              <w:top w:w="57" w:type="dxa"/>
              <w:left w:w="0" w:type="dxa"/>
              <w:bottom w:w="57" w:type="dxa"/>
              <w:right w:w="0" w:type="dxa"/>
            </w:tcMar>
            <w:vAlign w:val="bottom"/>
          </w:tcPr>
          <w:p w14:paraId="0E9EE303"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567" w:type="dxa"/>
            <w:tcMar>
              <w:top w:w="57" w:type="dxa"/>
              <w:left w:w="0" w:type="dxa"/>
              <w:bottom w:w="57" w:type="dxa"/>
              <w:right w:w="0" w:type="dxa"/>
            </w:tcMar>
            <w:vAlign w:val="bottom"/>
          </w:tcPr>
          <w:p w14:paraId="0077A54A"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9" w:type="dxa"/>
            <w:tcMar>
              <w:top w:w="57" w:type="dxa"/>
              <w:left w:w="0" w:type="dxa"/>
              <w:bottom w:w="57" w:type="dxa"/>
              <w:right w:w="0" w:type="dxa"/>
            </w:tcMar>
            <w:vAlign w:val="bottom"/>
          </w:tcPr>
          <w:p w14:paraId="090CA808"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8" w:type="dxa"/>
            <w:tcMar>
              <w:top w:w="57" w:type="dxa"/>
              <w:left w:w="0" w:type="dxa"/>
              <w:bottom w:w="57" w:type="dxa"/>
              <w:right w:w="0" w:type="dxa"/>
            </w:tcMar>
            <w:vAlign w:val="bottom"/>
          </w:tcPr>
          <w:p w14:paraId="4596EB76"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567" w:type="dxa"/>
            <w:tcMar>
              <w:top w:w="57" w:type="dxa"/>
              <w:left w:w="0" w:type="dxa"/>
              <w:bottom w:w="57" w:type="dxa"/>
              <w:right w:w="0" w:type="dxa"/>
            </w:tcMar>
            <w:vAlign w:val="bottom"/>
          </w:tcPr>
          <w:p w14:paraId="49D3E7D1"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9" w:type="dxa"/>
            <w:tcMar>
              <w:top w:w="57" w:type="dxa"/>
              <w:left w:w="0" w:type="dxa"/>
              <w:bottom w:w="57" w:type="dxa"/>
              <w:right w:w="0" w:type="dxa"/>
            </w:tcMar>
            <w:vAlign w:val="bottom"/>
          </w:tcPr>
          <w:p w14:paraId="61712C44"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(151)</w:t>
            </w:r>
          </w:p>
        </w:tc>
        <w:tc>
          <w:tcPr>
            <w:tcW w:w="709" w:type="dxa"/>
            <w:tcMar>
              <w:top w:w="57" w:type="dxa"/>
              <w:left w:w="0" w:type="dxa"/>
              <w:bottom w:w="57" w:type="dxa"/>
              <w:right w:w="0" w:type="dxa"/>
            </w:tcMar>
            <w:vAlign w:val="bottom"/>
          </w:tcPr>
          <w:p w14:paraId="4DBC29C2"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567" w:type="dxa"/>
            <w:tcMar>
              <w:top w:w="57" w:type="dxa"/>
              <w:left w:w="0" w:type="dxa"/>
              <w:bottom w:w="57" w:type="dxa"/>
              <w:right w:w="0" w:type="dxa"/>
            </w:tcMar>
            <w:vAlign w:val="bottom"/>
          </w:tcPr>
          <w:p w14:paraId="469AD762"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(151)</w:t>
            </w:r>
          </w:p>
        </w:tc>
        <w:tc>
          <w:tcPr>
            <w:tcW w:w="709" w:type="dxa"/>
            <w:tcMar>
              <w:top w:w="57" w:type="dxa"/>
              <w:left w:w="0" w:type="dxa"/>
              <w:bottom w:w="57" w:type="dxa"/>
              <w:right w:w="0" w:type="dxa"/>
            </w:tcMar>
            <w:vAlign w:val="bottom"/>
          </w:tcPr>
          <w:p w14:paraId="3D45B79F"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0" w:type="dxa"/>
            <w:tcBorders>
              <w:right w:val="single" w:sz="4" w:space="0" w:color="auto"/>
            </w:tcBorders>
            <w:tcMar>
              <w:top w:w="57" w:type="dxa"/>
              <w:left w:w="0" w:type="dxa"/>
              <w:bottom w:w="57" w:type="dxa"/>
              <w:right w:w="0" w:type="dxa"/>
            </w:tcMar>
            <w:vAlign w:val="bottom"/>
          </w:tcPr>
          <w:p w14:paraId="36A2339E" w14:textId="77777777" w:rsidR="00C22CDE" w:rsidRPr="00C22CDE" w:rsidRDefault="00C22CDE" w:rsidP="00414621">
            <w:pPr>
              <w:spacing w:line="240" w:lineRule="atLeast"/>
              <w:ind w:right="113"/>
              <w:jc w:val="right"/>
              <w:rPr>
                <w:rFonts w:ascii="Tahoma" w:hAnsi="Tahoma"/>
                <w:color w:val="000000" w:themeColor="text1"/>
                <w:w w:val="70"/>
                <w:sz w:val="16"/>
                <w:lang w:val="en-GB"/>
              </w:rPr>
            </w:pPr>
            <w:r w:rsidRPr="00C22CDE">
              <w:rPr>
                <w:rFonts w:ascii="Tahoma" w:hAnsi="Tahoma"/>
                <w:color w:val="000000" w:themeColor="text1"/>
                <w:w w:val="70"/>
                <w:sz w:val="16"/>
                <w:lang w:val="en-GB"/>
              </w:rPr>
              <w:t>(151)</w:t>
            </w:r>
          </w:p>
        </w:tc>
      </w:tr>
      <w:tr w:rsidR="005001CB" w:rsidRPr="00C22CDE" w14:paraId="642A8CA0" w14:textId="77777777" w:rsidTr="00482AC7">
        <w:trPr>
          <w:trHeight w:val="60"/>
        </w:trPr>
        <w:tc>
          <w:tcPr>
            <w:tcW w:w="3694" w:type="dxa"/>
            <w:tcBorders>
              <w:right w:val="single" w:sz="4" w:space="0" w:color="auto"/>
            </w:tcBorders>
            <w:tcMar>
              <w:top w:w="57" w:type="dxa"/>
              <w:left w:w="113" w:type="dxa"/>
              <w:bottom w:w="57" w:type="dxa"/>
              <w:right w:w="0" w:type="dxa"/>
            </w:tcMar>
            <w:vAlign w:val="bottom"/>
          </w:tcPr>
          <w:p w14:paraId="1274EDB8" w14:textId="77777777" w:rsidR="00C22CDE" w:rsidRPr="00C22CDE" w:rsidRDefault="00C22CDE" w:rsidP="00615190">
            <w:pPr>
              <w:spacing w:line="240" w:lineRule="atLeast"/>
              <w:rPr>
                <w:rFonts w:ascii="Tahoma" w:hAnsi="Tahoma"/>
                <w:color w:val="000000" w:themeColor="text1"/>
                <w:sz w:val="16"/>
                <w:lang w:val="en-GB"/>
              </w:rPr>
            </w:pPr>
            <w:r w:rsidRPr="00C22CDE">
              <w:rPr>
                <w:rFonts w:ascii="Tahoma" w:hAnsi="Tahoma"/>
                <w:color w:val="000000" w:themeColor="text1"/>
                <w:sz w:val="16"/>
                <w:lang w:val="en-GB"/>
              </w:rPr>
              <w:t>Modification of share-based compensation benefits</w:t>
            </w:r>
          </w:p>
        </w:tc>
        <w:tc>
          <w:tcPr>
            <w:tcW w:w="567" w:type="dxa"/>
            <w:tcBorders>
              <w:left w:val="single" w:sz="4" w:space="0" w:color="auto"/>
            </w:tcBorders>
            <w:tcMar>
              <w:top w:w="57" w:type="dxa"/>
              <w:left w:w="0" w:type="dxa"/>
              <w:bottom w:w="57" w:type="dxa"/>
              <w:right w:w="0" w:type="dxa"/>
            </w:tcMar>
            <w:vAlign w:val="bottom"/>
          </w:tcPr>
          <w:p w14:paraId="2AD0646B"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567" w:type="dxa"/>
            <w:tcMar>
              <w:top w:w="57" w:type="dxa"/>
              <w:left w:w="0" w:type="dxa"/>
              <w:bottom w:w="57" w:type="dxa"/>
              <w:right w:w="0" w:type="dxa"/>
            </w:tcMar>
            <w:vAlign w:val="bottom"/>
          </w:tcPr>
          <w:p w14:paraId="17A915AB"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9" w:type="dxa"/>
            <w:tcMar>
              <w:top w:w="57" w:type="dxa"/>
              <w:left w:w="0" w:type="dxa"/>
              <w:bottom w:w="57" w:type="dxa"/>
              <w:right w:w="0" w:type="dxa"/>
            </w:tcMar>
            <w:vAlign w:val="bottom"/>
          </w:tcPr>
          <w:p w14:paraId="4CB10ED2"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8" w:type="dxa"/>
            <w:tcMar>
              <w:top w:w="57" w:type="dxa"/>
              <w:left w:w="0" w:type="dxa"/>
              <w:bottom w:w="57" w:type="dxa"/>
              <w:right w:w="0" w:type="dxa"/>
            </w:tcMar>
            <w:vAlign w:val="bottom"/>
          </w:tcPr>
          <w:p w14:paraId="3F9275FD"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567" w:type="dxa"/>
            <w:tcMar>
              <w:top w:w="57" w:type="dxa"/>
              <w:left w:w="0" w:type="dxa"/>
              <w:bottom w:w="57" w:type="dxa"/>
              <w:right w:w="0" w:type="dxa"/>
            </w:tcMar>
            <w:vAlign w:val="bottom"/>
          </w:tcPr>
          <w:p w14:paraId="70C553BB"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9" w:type="dxa"/>
            <w:tcMar>
              <w:top w:w="57" w:type="dxa"/>
              <w:left w:w="0" w:type="dxa"/>
              <w:bottom w:w="57" w:type="dxa"/>
              <w:right w:w="0" w:type="dxa"/>
            </w:tcMar>
            <w:vAlign w:val="bottom"/>
          </w:tcPr>
          <w:p w14:paraId="5D2A318E"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(16)</w:t>
            </w:r>
          </w:p>
        </w:tc>
        <w:tc>
          <w:tcPr>
            <w:tcW w:w="709" w:type="dxa"/>
            <w:tcMar>
              <w:top w:w="57" w:type="dxa"/>
              <w:left w:w="0" w:type="dxa"/>
              <w:bottom w:w="57" w:type="dxa"/>
              <w:right w:w="0" w:type="dxa"/>
            </w:tcMar>
            <w:vAlign w:val="bottom"/>
          </w:tcPr>
          <w:p w14:paraId="36BC01E8"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(339)</w:t>
            </w:r>
          </w:p>
        </w:tc>
        <w:tc>
          <w:tcPr>
            <w:tcW w:w="567" w:type="dxa"/>
            <w:tcMar>
              <w:top w:w="57" w:type="dxa"/>
              <w:left w:w="0" w:type="dxa"/>
              <w:bottom w:w="57" w:type="dxa"/>
              <w:right w:w="0" w:type="dxa"/>
            </w:tcMar>
            <w:vAlign w:val="bottom"/>
          </w:tcPr>
          <w:p w14:paraId="65A1FBA5"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(355)</w:t>
            </w:r>
          </w:p>
        </w:tc>
        <w:tc>
          <w:tcPr>
            <w:tcW w:w="709" w:type="dxa"/>
            <w:tcMar>
              <w:top w:w="57" w:type="dxa"/>
              <w:left w:w="0" w:type="dxa"/>
              <w:bottom w:w="57" w:type="dxa"/>
              <w:right w:w="0" w:type="dxa"/>
            </w:tcMar>
            <w:vAlign w:val="bottom"/>
          </w:tcPr>
          <w:p w14:paraId="123FC508"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0" w:type="dxa"/>
            <w:tcBorders>
              <w:right w:val="single" w:sz="4" w:space="0" w:color="auto"/>
            </w:tcBorders>
            <w:tcMar>
              <w:top w:w="57" w:type="dxa"/>
              <w:left w:w="0" w:type="dxa"/>
              <w:bottom w:w="57" w:type="dxa"/>
              <w:right w:w="0" w:type="dxa"/>
            </w:tcMar>
            <w:vAlign w:val="bottom"/>
          </w:tcPr>
          <w:p w14:paraId="33768073" w14:textId="77777777" w:rsidR="00C22CDE" w:rsidRPr="00C22CDE" w:rsidRDefault="00C22CDE" w:rsidP="00414621">
            <w:pPr>
              <w:spacing w:line="240" w:lineRule="atLeast"/>
              <w:ind w:right="113"/>
              <w:jc w:val="right"/>
              <w:rPr>
                <w:rFonts w:ascii="Tahoma" w:hAnsi="Tahoma"/>
                <w:color w:val="000000" w:themeColor="text1"/>
                <w:w w:val="70"/>
                <w:sz w:val="16"/>
                <w:lang w:val="en-GB"/>
              </w:rPr>
            </w:pPr>
            <w:r w:rsidRPr="00C22CDE">
              <w:rPr>
                <w:rFonts w:ascii="Tahoma" w:hAnsi="Tahoma"/>
                <w:color w:val="000000" w:themeColor="text1"/>
                <w:w w:val="70"/>
                <w:sz w:val="16"/>
                <w:lang w:val="en-GB"/>
              </w:rPr>
              <w:t>(355)</w:t>
            </w:r>
          </w:p>
        </w:tc>
      </w:tr>
      <w:tr w:rsidR="005001CB" w:rsidRPr="00C22CDE" w14:paraId="11135077" w14:textId="77777777" w:rsidTr="00482AC7">
        <w:trPr>
          <w:trHeight w:val="60"/>
        </w:trPr>
        <w:tc>
          <w:tcPr>
            <w:tcW w:w="3694" w:type="dxa"/>
            <w:tcBorders>
              <w:right w:val="single" w:sz="4" w:space="0" w:color="auto"/>
            </w:tcBorders>
            <w:tcMar>
              <w:top w:w="57" w:type="dxa"/>
              <w:left w:w="113" w:type="dxa"/>
              <w:bottom w:w="57" w:type="dxa"/>
              <w:right w:w="0" w:type="dxa"/>
            </w:tcMar>
            <w:vAlign w:val="bottom"/>
          </w:tcPr>
          <w:p w14:paraId="4F61AF97" w14:textId="77777777" w:rsidR="00C22CDE" w:rsidRPr="00C22CDE" w:rsidRDefault="00C22CDE" w:rsidP="00615190">
            <w:pPr>
              <w:spacing w:line="240" w:lineRule="atLeast"/>
              <w:rPr>
                <w:rFonts w:ascii="Tahoma" w:hAnsi="Tahoma"/>
                <w:color w:val="000000" w:themeColor="text1"/>
                <w:sz w:val="16"/>
                <w:lang w:val="en-GB"/>
              </w:rPr>
            </w:pPr>
            <w:r w:rsidRPr="00C22CDE">
              <w:rPr>
                <w:rFonts w:ascii="Tahoma" w:hAnsi="Tahoma"/>
                <w:color w:val="000000" w:themeColor="text1"/>
                <w:sz w:val="16"/>
                <w:lang w:val="en-GB"/>
              </w:rPr>
              <w:t>Transfers to retained earnings</w:t>
            </w:r>
          </w:p>
        </w:tc>
        <w:tc>
          <w:tcPr>
            <w:tcW w:w="567" w:type="dxa"/>
            <w:tcBorders>
              <w:left w:val="single" w:sz="4" w:space="0" w:color="auto"/>
              <w:bottom w:val="single" w:sz="4" w:space="0" w:color="auto"/>
            </w:tcBorders>
            <w:tcMar>
              <w:top w:w="57" w:type="dxa"/>
              <w:left w:w="0" w:type="dxa"/>
              <w:bottom w:w="57" w:type="dxa"/>
              <w:right w:w="0" w:type="dxa"/>
            </w:tcMar>
            <w:vAlign w:val="bottom"/>
          </w:tcPr>
          <w:p w14:paraId="719A090C"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567" w:type="dxa"/>
            <w:tcBorders>
              <w:bottom w:val="single" w:sz="4" w:space="0" w:color="auto"/>
            </w:tcBorders>
            <w:tcMar>
              <w:top w:w="57" w:type="dxa"/>
              <w:left w:w="0" w:type="dxa"/>
              <w:bottom w:w="57" w:type="dxa"/>
              <w:right w:w="0" w:type="dxa"/>
            </w:tcMar>
            <w:vAlign w:val="bottom"/>
          </w:tcPr>
          <w:p w14:paraId="3D59FF5B"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9" w:type="dxa"/>
            <w:tcBorders>
              <w:bottom w:val="single" w:sz="4" w:space="0" w:color="auto"/>
            </w:tcBorders>
            <w:tcMar>
              <w:top w:w="57" w:type="dxa"/>
              <w:left w:w="0" w:type="dxa"/>
              <w:bottom w:w="57" w:type="dxa"/>
              <w:right w:w="0" w:type="dxa"/>
            </w:tcMar>
            <w:vAlign w:val="bottom"/>
          </w:tcPr>
          <w:p w14:paraId="40A61269"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8" w:type="dxa"/>
            <w:tcBorders>
              <w:bottom w:val="single" w:sz="4" w:space="0" w:color="auto"/>
            </w:tcBorders>
            <w:tcMar>
              <w:top w:w="57" w:type="dxa"/>
              <w:left w:w="0" w:type="dxa"/>
              <w:bottom w:w="57" w:type="dxa"/>
              <w:right w:w="0" w:type="dxa"/>
            </w:tcMar>
            <w:vAlign w:val="bottom"/>
          </w:tcPr>
          <w:p w14:paraId="3E1D2381"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567" w:type="dxa"/>
            <w:tcBorders>
              <w:bottom w:val="single" w:sz="4" w:space="0" w:color="auto"/>
            </w:tcBorders>
            <w:tcMar>
              <w:top w:w="57" w:type="dxa"/>
              <w:left w:w="0" w:type="dxa"/>
              <w:bottom w:w="57" w:type="dxa"/>
              <w:right w:w="0" w:type="dxa"/>
            </w:tcMar>
            <w:vAlign w:val="bottom"/>
          </w:tcPr>
          <w:p w14:paraId="7EE7F223"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9" w:type="dxa"/>
            <w:tcBorders>
              <w:bottom w:val="single" w:sz="4" w:space="0" w:color="auto"/>
            </w:tcBorders>
            <w:tcMar>
              <w:top w:w="57" w:type="dxa"/>
              <w:left w:w="0" w:type="dxa"/>
              <w:bottom w:w="57" w:type="dxa"/>
              <w:right w:w="0" w:type="dxa"/>
            </w:tcMar>
            <w:vAlign w:val="bottom"/>
          </w:tcPr>
          <w:p w14:paraId="23412699"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(31)</w:t>
            </w:r>
          </w:p>
        </w:tc>
        <w:tc>
          <w:tcPr>
            <w:tcW w:w="709" w:type="dxa"/>
            <w:tcBorders>
              <w:bottom w:val="single" w:sz="4" w:space="0" w:color="auto"/>
            </w:tcBorders>
            <w:tcMar>
              <w:top w:w="57" w:type="dxa"/>
              <w:left w:w="0" w:type="dxa"/>
              <w:bottom w:w="57" w:type="dxa"/>
              <w:right w:w="0" w:type="dxa"/>
            </w:tcMar>
            <w:vAlign w:val="bottom"/>
          </w:tcPr>
          <w:p w14:paraId="1572750E"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31</w:t>
            </w:r>
          </w:p>
        </w:tc>
        <w:tc>
          <w:tcPr>
            <w:tcW w:w="567" w:type="dxa"/>
            <w:tcBorders>
              <w:bottom w:val="single" w:sz="4" w:space="0" w:color="auto"/>
            </w:tcBorders>
            <w:tcMar>
              <w:top w:w="57" w:type="dxa"/>
              <w:left w:w="0" w:type="dxa"/>
              <w:bottom w:w="57" w:type="dxa"/>
              <w:right w:w="0" w:type="dxa"/>
            </w:tcMar>
            <w:vAlign w:val="bottom"/>
          </w:tcPr>
          <w:p w14:paraId="630159C6"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9" w:type="dxa"/>
            <w:tcBorders>
              <w:bottom w:val="single" w:sz="4" w:space="0" w:color="auto"/>
            </w:tcBorders>
            <w:tcMar>
              <w:top w:w="57" w:type="dxa"/>
              <w:left w:w="0" w:type="dxa"/>
              <w:bottom w:w="57" w:type="dxa"/>
              <w:right w:w="0" w:type="dxa"/>
            </w:tcMar>
            <w:vAlign w:val="bottom"/>
          </w:tcPr>
          <w:p w14:paraId="45DDE9E7"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0" w:type="dxa"/>
            <w:tcBorders>
              <w:bottom w:val="single" w:sz="4" w:space="0" w:color="auto"/>
              <w:right w:val="single" w:sz="4" w:space="0" w:color="auto"/>
            </w:tcBorders>
            <w:tcMar>
              <w:top w:w="57" w:type="dxa"/>
              <w:left w:w="0" w:type="dxa"/>
              <w:bottom w:w="57" w:type="dxa"/>
              <w:right w:w="0" w:type="dxa"/>
            </w:tcMar>
            <w:vAlign w:val="bottom"/>
          </w:tcPr>
          <w:p w14:paraId="6D632F1D" w14:textId="77777777" w:rsidR="00C22CDE" w:rsidRPr="00C22CDE" w:rsidRDefault="00C22CDE" w:rsidP="00414621">
            <w:pPr>
              <w:spacing w:line="240" w:lineRule="atLeast"/>
              <w:ind w:right="113"/>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r>
      <w:tr w:rsidR="005001CB" w:rsidRPr="00C22CDE" w14:paraId="24DB2106" w14:textId="77777777" w:rsidTr="00F6354A">
        <w:trPr>
          <w:trHeight w:val="60"/>
        </w:trPr>
        <w:tc>
          <w:tcPr>
            <w:tcW w:w="3694" w:type="dxa"/>
            <w:tcMar>
              <w:top w:w="57" w:type="dxa"/>
              <w:left w:w="0" w:type="dxa"/>
              <w:bottom w:w="57" w:type="dxa"/>
              <w:right w:w="0" w:type="dxa"/>
            </w:tcMar>
            <w:vAlign w:val="bottom"/>
          </w:tcPr>
          <w:p w14:paraId="2D02B27C" w14:textId="77777777" w:rsidR="00C22CDE" w:rsidRPr="00C22CDE" w:rsidRDefault="00C22CDE" w:rsidP="00615190">
            <w:pPr>
              <w:spacing w:line="240" w:lineRule="atLeast"/>
              <w:rPr>
                <w:rFonts w:ascii="Tahoma" w:hAnsi="Tahoma"/>
                <w:color w:val="000000" w:themeColor="text1"/>
                <w:sz w:val="16"/>
                <w:lang w:val="en-GB"/>
              </w:rPr>
            </w:pPr>
            <w:r w:rsidRPr="00C22CDE">
              <w:rPr>
                <w:rFonts w:ascii="Tahoma" w:hAnsi="Tahoma"/>
                <w:color w:val="000000" w:themeColor="text1"/>
                <w:sz w:val="16"/>
                <w:lang w:val="en-GB"/>
              </w:rPr>
              <w:t>Direct equity movements</w:t>
            </w:r>
          </w:p>
        </w:tc>
        <w:tc>
          <w:tcPr>
            <w:tcW w:w="567" w:type="dxa"/>
            <w:tcBorders>
              <w:top w:val="single" w:sz="4" w:space="0" w:color="auto"/>
              <w:bottom w:val="single" w:sz="4" w:space="0" w:color="auto"/>
            </w:tcBorders>
            <w:tcMar>
              <w:top w:w="57" w:type="dxa"/>
              <w:left w:w="0" w:type="dxa"/>
              <w:bottom w:w="57" w:type="dxa"/>
              <w:right w:w="0" w:type="dxa"/>
            </w:tcMar>
            <w:vAlign w:val="bottom"/>
          </w:tcPr>
          <w:p w14:paraId="5B85FCF0"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(3)</w:t>
            </w:r>
          </w:p>
        </w:tc>
        <w:tc>
          <w:tcPr>
            <w:tcW w:w="567" w:type="dxa"/>
            <w:tcBorders>
              <w:top w:val="single" w:sz="4" w:space="0" w:color="auto"/>
              <w:bottom w:val="single" w:sz="4" w:space="0" w:color="auto"/>
            </w:tcBorders>
            <w:tcMar>
              <w:top w:w="57" w:type="dxa"/>
              <w:left w:w="0" w:type="dxa"/>
              <w:bottom w:w="57" w:type="dxa"/>
              <w:right w:w="0" w:type="dxa"/>
            </w:tcMar>
            <w:vAlign w:val="bottom"/>
          </w:tcPr>
          <w:p w14:paraId="3E455E60"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9" w:type="dxa"/>
            <w:tcBorders>
              <w:top w:val="single" w:sz="4" w:space="0" w:color="auto"/>
              <w:bottom w:val="single" w:sz="4" w:space="0" w:color="auto"/>
            </w:tcBorders>
            <w:tcMar>
              <w:top w:w="57" w:type="dxa"/>
              <w:left w:w="0" w:type="dxa"/>
              <w:bottom w:w="57" w:type="dxa"/>
              <w:right w:w="0" w:type="dxa"/>
            </w:tcMar>
            <w:vAlign w:val="bottom"/>
          </w:tcPr>
          <w:p w14:paraId="064264E4"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46</w:t>
            </w:r>
          </w:p>
        </w:tc>
        <w:tc>
          <w:tcPr>
            <w:tcW w:w="708" w:type="dxa"/>
            <w:tcBorders>
              <w:top w:val="single" w:sz="4" w:space="0" w:color="auto"/>
              <w:bottom w:val="single" w:sz="4" w:space="0" w:color="auto"/>
            </w:tcBorders>
            <w:tcMar>
              <w:top w:w="57" w:type="dxa"/>
              <w:left w:w="0" w:type="dxa"/>
              <w:bottom w:w="57" w:type="dxa"/>
              <w:right w:w="0" w:type="dxa"/>
            </w:tcMar>
            <w:vAlign w:val="bottom"/>
          </w:tcPr>
          <w:p w14:paraId="3C253467"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(640)</w:t>
            </w:r>
          </w:p>
        </w:tc>
        <w:tc>
          <w:tcPr>
            <w:tcW w:w="567" w:type="dxa"/>
            <w:tcBorders>
              <w:top w:val="single" w:sz="4" w:space="0" w:color="auto"/>
              <w:bottom w:val="single" w:sz="4" w:space="0" w:color="auto"/>
            </w:tcBorders>
            <w:tcMar>
              <w:top w:w="57" w:type="dxa"/>
              <w:left w:w="0" w:type="dxa"/>
              <w:bottom w:w="57" w:type="dxa"/>
              <w:right w:w="0" w:type="dxa"/>
            </w:tcMar>
            <w:vAlign w:val="bottom"/>
          </w:tcPr>
          <w:p w14:paraId="7A582862"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8</w:t>
            </w:r>
          </w:p>
        </w:tc>
        <w:tc>
          <w:tcPr>
            <w:tcW w:w="709" w:type="dxa"/>
            <w:tcBorders>
              <w:top w:val="single" w:sz="4" w:space="0" w:color="auto"/>
              <w:bottom w:val="single" w:sz="4" w:space="0" w:color="auto"/>
            </w:tcBorders>
            <w:tcMar>
              <w:top w:w="57" w:type="dxa"/>
              <w:left w:w="0" w:type="dxa"/>
              <w:bottom w:w="57" w:type="dxa"/>
              <w:right w:w="0" w:type="dxa"/>
            </w:tcMar>
            <w:vAlign w:val="bottom"/>
          </w:tcPr>
          <w:p w14:paraId="2312370F"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(160)</w:t>
            </w:r>
          </w:p>
        </w:tc>
        <w:tc>
          <w:tcPr>
            <w:tcW w:w="709" w:type="dxa"/>
            <w:tcBorders>
              <w:top w:val="single" w:sz="4" w:space="0" w:color="auto"/>
              <w:bottom w:val="single" w:sz="4" w:space="0" w:color="auto"/>
            </w:tcBorders>
            <w:tcMar>
              <w:top w:w="57" w:type="dxa"/>
              <w:left w:w="0" w:type="dxa"/>
              <w:bottom w:w="57" w:type="dxa"/>
              <w:right w:w="0" w:type="dxa"/>
            </w:tcMar>
            <w:vAlign w:val="bottom"/>
          </w:tcPr>
          <w:p w14:paraId="0CD6ECE1"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749</w:t>
            </w:r>
          </w:p>
        </w:tc>
        <w:tc>
          <w:tcPr>
            <w:tcW w:w="567" w:type="dxa"/>
            <w:tcBorders>
              <w:top w:val="single" w:sz="4" w:space="0" w:color="auto"/>
              <w:bottom w:val="single" w:sz="4" w:space="0" w:color="auto"/>
            </w:tcBorders>
            <w:tcMar>
              <w:top w:w="57" w:type="dxa"/>
              <w:left w:w="0" w:type="dxa"/>
              <w:bottom w:w="57" w:type="dxa"/>
              <w:right w:w="0" w:type="dxa"/>
            </w:tcMar>
            <w:vAlign w:val="bottom"/>
          </w:tcPr>
          <w:p w14:paraId="2C4A3095"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9" w:type="dxa"/>
            <w:tcBorders>
              <w:top w:val="single" w:sz="4" w:space="0" w:color="auto"/>
              <w:bottom w:val="single" w:sz="4" w:space="0" w:color="auto"/>
            </w:tcBorders>
            <w:tcMar>
              <w:top w:w="57" w:type="dxa"/>
              <w:left w:w="0" w:type="dxa"/>
              <w:bottom w:w="57" w:type="dxa"/>
              <w:right w:w="0" w:type="dxa"/>
            </w:tcMar>
            <w:vAlign w:val="bottom"/>
          </w:tcPr>
          <w:p w14:paraId="35368A7D"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0" w:type="dxa"/>
            <w:tcBorders>
              <w:top w:val="single" w:sz="4" w:space="0" w:color="auto"/>
              <w:bottom w:val="single" w:sz="4" w:space="0" w:color="auto"/>
            </w:tcBorders>
            <w:tcMar>
              <w:top w:w="57" w:type="dxa"/>
              <w:left w:w="0" w:type="dxa"/>
              <w:bottom w:w="57" w:type="dxa"/>
              <w:right w:w="0" w:type="dxa"/>
            </w:tcMar>
            <w:vAlign w:val="bottom"/>
          </w:tcPr>
          <w:p w14:paraId="086BA665" w14:textId="77777777" w:rsidR="00C22CDE" w:rsidRPr="00C22CDE" w:rsidRDefault="00C22CDE" w:rsidP="00414621">
            <w:pPr>
              <w:spacing w:line="240" w:lineRule="atLeast"/>
              <w:ind w:right="113"/>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r>
      <w:tr w:rsidR="005001CB" w:rsidRPr="00C22CDE" w14:paraId="0BC58C56" w14:textId="77777777" w:rsidTr="00F6354A">
        <w:trPr>
          <w:trHeight w:val="60"/>
        </w:trPr>
        <w:tc>
          <w:tcPr>
            <w:tcW w:w="3694" w:type="dxa"/>
            <w:tcBorders>
              <w:right w:val="single" w:sz="4" w:space="0" w:color="auto"/>
            </w:tcBorders>
            <w:tcMar>
              <w:top w:w="57" w:type="dxa"/>
              <w:left w:w="113" w:type="dxa"/>
              <w:bottom w:w="57" w:type="dxa"/>
              <w:right w:w="0" w:type="dxa"/>
            </w:tcMar>
            <w:vAlign w:val="bottom"/>
          </w:tcPr>
          <w:p w14:paraId="058E9CBA" w14:textId="77777777" w:rsidR="00C22CDE" w:rsidRPr="00C22CDE" w:rsidRDefault="00C22CDE" w:rsidP="00615190">
            <w:pPr>
              <w:spacing w:line="240" w:lineRule="atLeast"/>
              <w:rPr>
                <w:rFonts w:ascii="Tahoma" w:hAnsi="Tahoma"/>
                <w:color w:val="000000" w:themeColor="text1"/>
                <w:sz w:val="16"/>
                <w:lang w:val="en-GB"/>
              </w:rPr>
            </w:pPr>
            <w:r w:rsidRPr="00C22CDE">
              <w:rPr>
                <w:rFonts w:ascii="Tahoma" w:hAnsi="Tahoma"/>
                <w:color w:val="000000" w:themeColor="text1"/>
                <w:sz w:val="16"/>
                <w:lang w:val="en-GB"/>
              </w:rPr>
              <w:t>Direct movements from associates</w:t>
            </w:r>
          </w:p>
        </w:tc>
        <w:tc>
          <w:tcPr>
            <w:tcW w:w="567" w:type="dxa"/>
            <w:tcBorders>
              <w:top w:val="single" w:sz="4" w:space="0" w:color="auto"/>
              <w:left w:val="single" w:sz="4" w:space="0" w:color="auto"/>
            </w:tcBorders>
            <w:tcMar>
              <w:top w:w="57" w:type="dxa"/>
              <w:left w:w="0" w:type="dxa"/>
              <w:bottom w:w="57" w:type="dxa"/>
              <w:right w:w="0" w:type="dxa"/>
            </w:tcMar>
            <w:vAlign w:val="bottom"/>
          </w:tcPr>
          <w:p w14:paraId="4B1F523A"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567" w:type="dxa"/>
            <w:tcBorders>
              <w:top w:val="single" w:sz="4" w:space="0" w:color="auto"/>
            </w:tcBorders>
            <w:tcMar>
              <w:top w:w="57" w:type="dxa"/>
              <w:left w:w="0" w:type="dxa"/>
              <w:bottom w:w="57" w:type="dxa"/>
              <w:right w:w="0" w:type="dxa"/>
            </w:tcMar>
            <w:vAlign w:val="bottom"/>
          </w:tcPr>
          <w:p w14:paraId="0BA25FED"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9" w:type="dxa"/>
            <w:tcBorders>
              <w:top w:val="single" w:sz="4" w:space="0" w:color="auto"/>
            </w:tcBorders>
            <w:tcMar>
              <w:top w:w="57" w:type="dxa"/>
              <w:left w:w="0" w:type="dxa"/>
              <w:bottom w:w="57" w:type="dxa"/>
              <w:right w:w="0" w:type="dxa"/>
            </w:tcMar>
            <w:vAlign w:val="bottom"/>
          </w:tcPr>
          <w:p w14:paraId="6F46CD4E"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8" w:type="dxa"/>
            <w:tcBorders>
              <w:top w:val="single" w:sz="4" w:space="0" w:color="auto"/>
            </w:tcBorders>
            <w:tcMar>
              <w:top w:w="57" w:type="dxa"/>
              <w:left w:w="0" w:type="dxa"/>
              <w:bottom w:w="57" w:type="dxa"/>
              <w:right w:w="0" w:type="dxa"/>
            </w:tcMar>
            <w:vAlign w:val="bottom"/>
          </w:tcPr>
          <w:p w14:paraId="0A3F0ABF"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(183)</w:t>
            </w:r>
          </w:p>
        </w:tc>
        <w:tc>
          <w:tcPr>
            <w:tcW w:w="567" w:type="dxa"/>
            <w:tcBorders>
              <w:top w:val="single" w:sz="4" w:space="0" w:color="auto"/>
            </w:tcBorders>
            <w:tcMar>
              <w:top w:w="57" w:type="dxa"/>
              <w:left w:w="0" w:type="dxa"/>
              <w:bottom w:w="57" w:type="dxa"/>
              <w:right w:w="0" w:type="dxa"/>
            </w:tcMar>
            <w:vAlign w:val="bottom"/>
          </w:tcPr>
          <w:p w14:paraId="2F8BF9F5"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9" w:type="dxa"/>
            <w:tcBorders>
              <w:top w:val="single" w:sz="4" w:space="0" w:color="auto"/>
            </w:tcBorders>
            <w:tcMar>
              <w:top w:w="57" w:type="dxa"/>
              <w:left w:w="0" w:type="dxa"/>
              <w:bottom w:w="57" w:type="dxa"/>
              <w:right w:w="0" w:type="dxa"/>
            </w:tcMar>
            <w:vAlign w:val="bottom"/>
          </w:tcPr>
          <w:p w14:paraId="28010B2A"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9" w:type="dxa"/>
            <w:tcBorders>
              <w:top w:val="single" w:sz="4" w:space="0" w:color="auto"/>
            </w:tcBorders>
            <w:tcMar>
              <w:top w:w="57" w:type="dxa"/>
              <w:left w:w="0" w:type="dxa"/>
              <w:bottom w:w="57" w:type="dxa"/>
              <w:right w:w="0" w:type="dxa"/>
            </w:tcMar>
            <w:vAlign w:val="bottom"/>
          </w:tcPr>
          <w:p w14:paraId="4B1617F5"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183</w:t>
            </w:r>
          </w:p>
        </w:tc>
        <w:tc>
          <w:tcPr>
            <w:tcW w:w="567" w:type="dxa"/>
            <w:tcBorders>
              <w:top w:val="single" w:sz="4" w:space="0" w:color="auto"/>
            </w:tcBorders>
            <w:tcMar>
              <w:top w:w="57" w:type="dxa"/>
              <w:left w:w="0" w:type="dxa"/>
              <w:bottom w:w="57" w:type="dxa"/>
              <w:right w:w="0" w:type="dxa"/>
            </w:tcMar>
            <w:vAlign w:val="bottom"/>
          </w:tcPr>
          <w:p w14:paraId="29A1F9B5"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9" w:type="dxa"/>
            <w:tcBorders>
              <w:top w:val="single" w:sz="4" w:space="0" w:color="auto"/>
            </w:tcBorders>
            <w:tcMar>
              <w:top w:w="57" w:type="dxa"/>
              <w:left w:w="0" w:type="dxa"/>
              <w:bottom w:w="57" w:type="dxa"/>
              <w:right w:w="0" w:type="dxa"/>
            </w:tcMar>
            <w:vAlign w:val="bottom"/>
          </w:tcPr>
          <w:p w14:paraId="45F55737"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0" w:type="dxa"/>
            <w:tcBorders>
              <w:top w:val="single" w:sz="4" w:space="0" w:color="auto"/>
              <w:right w:val="single" w:sz="4" w:space="0" w:color="auto"/>
            </w:tcBorders>
            <w:tcMar>
              <w:top w:w="57" w:type="dxa"/>
              <w:left w:w="0" w:type="dxa"/>
              <w:bottom w:w="57" w:type="dxa"/>
              <w:right w:w="0" w:type="dxa"/>
            </w:tcMar>
            <w:vAlign w:val="bottom"/>
          </w:tcPr>
          <w:p w14:paraId="701FB73D" w14:textId="77777777" w:rsidR="00C22CDE" w:rsidRPr="00C22CDE" w:rsidRDefault="00C22CDE" w:rsidP="00414621">
            <w:pPr>
              <w:spacing w:line="240" w:lineRule="atLeast"/>
              <w:ind w:right="113"/>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r>
      <w:tr w:rsidR="005001CB" w:rsidRPr="00C22CDE" w14:paraId="1B1E39FA" w14:textId="77777777" w:rsidTr="00F6354A">
        <w:trPr>
          <w:trHeight w:val="60"/>
        </w:trPr>
        <w:tc>
          <w:tcPr>
            <w:tcW w:w="3694" w:type="dxa"/>
            <w:tcBorders>
              <w:right w:val="single" w:sz="4" w:space="0" w:color="auto"/>
            </w:tcBorders>
            <w:tcMar>
              <w:top w:w="57" w:type="dxa"/>
              <w:left w:w="113" w:type="dxa"/>
              <w:bottom w:w="57" w:type="dxa"/>
              <w:right w:w="0" w:type="dxa"/>
            </w:tcMar>
            <w:vAlign w:val="bottom"/>
          </w:tcPr>
          <w:p w14:paraId="34A56562" w14:textId="77777777" w:rsidR="00C22CDE" w:rsidRPr="00C22CDE" w:rsidRDefault="00C22CDE" w:rsidP="00615190">
            <w:pPr>
              <w:spacing w:line="240" w:lineRule="atLeast"/>
              <w:rPr>
                <w:rFonts w:ascii="Tahoma" w:hAnsi="Tahoma"/>
                <w:color w:val="000000" w:themeColor="text1"/>
                <w:sz w:val="16"/>
                <w:lang w:val="en-GB"/>
              </w:rPr>
            </w:pPr>
            <w:r w:rsidRPr="00C22CDE">
              <w:rPr>
                <w:rFonts w:ascii="Tahoma" w:hAnsi="Tahoma"/>
                <w:color w:val="000000" w:themeColor="text1"/>
                <w:sz w:val="16"/>
                <w:lang w:val="en-GB"/>
              </w:rPr>
              <w:t>Realisation of reserves as a result of partial disposal of associate</w:t>
            </w:r>
          </w:p>
        </w:tc>
        <w:tc>
          <w:tcPr>
            <w:tcW w:w="567" w:type="dxa"/>
            <w:tcBorders>
              <w:left w:val="single" w:sz="4" w:space="0" w:color="auto"/>
            </w:tcBorders>
            <w:tcMar>
              <w:top w:w="57" w:type="dxa"/>
              <w:left w:w="0" w:type="dxa"/>
              <w:bottom w:w="57" w:type="dxa"/>
              <w:right w:w="0" w:type="dxa"/>
            </w:tcMar>
            <w:vAlign w:val="bottom"/>
          </w:tcPr>
          <w:p w14:paraId="482F2589"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567" w:type="dxa"/>
            <w:tcMar>
              <w:top w:w="57" w:type="dxa"/>
              <w:left w:w="0" w:type="dxa"/>
              <w:bottom w:w="57" w:type="dxa"/>
              <w:right w:w="0" w:type="dxa"/>
            </w:tcMar>
            <w:vAlign w:val="bottom"/>
          </w:tcPr>
          <w:p w14:paraId="53BFD6CE"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9" w:type="dxa"/>
            <w:tcMar>
              <w:top w:w="57" w:type="dxa"/>
              <w:left w:w="0" w:type="dxa"/>
              <w:bottom w:w="57" w:type="dxa"/>
              <w:right w:w="0" w:type="dxa"/>
            </w:tcMar>
            <w:vAlign w:val="bottom"/>
          </w:tcPr>
          <w:p w14:paraId="01A0751B"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8" w:type="dxa"/>
            <w:tcMar>
              <w:top w:w="57" w:type="dxa"/>
              <w:left w:w="0" w:type="dxa"/>
              <w:bottom w:w="57" w:type="dxa"/>
              <w:right w:w="0" w:type="dxa"/>
            </w:tcMar>
            <w:vAlign w:val="bottom"/>
          </w:tcPr>
          <w:p w14:paraId="03B93F3D"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(455)</w:t>
            </w:r>
          </w:p>
        </w:tc>
        <w:tc>
          <w:tcPr>
            <w:tcW w:w="567" w:type="dxa"/>
            <w:tcMar>
              <w:top w:w="57" w:type="dxa"/>
              <w:left w:w="0" w:type="dxa"/>
              <w:bottom w:w="57" w:type="dxa"/>
              <w:right w:w="0" w:type="dxa"/>
            </w:tcMar>
            <w:vAlign w:val="bottom"/>
          </w:tcPr>
          <w:p w14:paraId="74BBC400"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9" w:type="dxa"/>
            <w:tcMar>
              <w:top w:w="57" w:type="dxa"/>
              <w:left w:w="0" w:type="dxa"/>
              <w:bottom w:w="57" w:type="dxa"/>
              <w:right w:w="0" w:type="dxa"/>
            </w:tcMar>
            <w:vAlign w:val="bottom"/>
          </w:tcPr>
          <w:p w14:paraId="625B2C37"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(160)</w:t>
            </w:r>
          </w:p>
        </w:tc>
        <w:tc>
          <w:tcPr>
            <w:tcW w:w="709" w:type="dxa"/>
            <w:tcMar>
              <w:top w:w="57" w:type="dxa"/>
              <w:left w:w="0" w:type="dxa"/>
              <w:bottom w:w="57" w:type="dxa"/>
              <w:right w:w="0" w:type="dxa"/>
            </w:tcMar>
            <w:vAlign w:val="bottom"/>
          </w:tcPr>
          <w:p w14:paraId="5EBC3071"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615</w:t>
            </w:r>
          </w:p>
        </w:tc>
        <w:tc>
          <w:tcPr>
            <w:tcW w:w="567" w:type="dxa"/>
            <w:tcMar>
              <w:top w:w="57" w:type="dxa"/>
              <w:left w:w="0" w:type="dxa"/>
              <w:bottom w:w="57" w:type="dxa"/>
              <w:right w:w="0" w:type="dxa"/>
            </w:tcMar>
            <w:vAlign w:val="bottom"/>
          </w:tcPr>
          <w:p w14:paraId="749B3F8E"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9" w:type="dxa"/>
            <w:tcMar>
              <w:top w:w="57" w:type="dxa"/>
              <w:left w:w="0" w:type="dxa"/>
              <w:bottom w:w="57" w:type="dxa"/>
              <w:right w:w="0" w:type="dxa"/>
            </w:tcMar>
            <w:vAlign w:val="bottom"/>
          </w:tcPr>
          <w:p w14:paraId="02E228FE"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0" w:type="dxa"/>
            <w:tcBorders>
              <w:right w:val="single" w:sz="4" w:space="0" w:color="auto"/>
            </w:tcBorders>
            <w:tcMar>
              <w:top w:w="57" w:type="dxa"/>
              <w:left w:w="0" w:type="dxa"/>
              <w:bottom w:w="57" w:type="dxa"/>
              <w:right w:w="0" w:type="dxa"/>
            </w:tcMar>
            <w:vAlign w:val="bottom"/>
          </w:tcPr>
          <w:p w14:paraId="394B5C3C" w14:textId="77777777" w:rsidR="00C22CDE" w:rsidRPr="00C22CDE" w:rsidRDefault="00C22CDE" w:rsidP="00414621">
            <w:pPr>
              <w:spacing w:line="240" w:lineRule="atLeast"/>
              <w:ind w:right="113"/>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r>
      <w:tr w:rsidR="005001CB" w:rsidRPr="00C22CDE" w14:paraId="3A6FE472" w14:textId="77777777" w:rsidTr="00F6354A">
        <w:trPr>
          <w:trHeight w:val="60"/>
        </w:trPr>
        <w:tc>
          <w:tcPr>
            <w:tcW w:w="3694" w:type="dxa"/>
            <w:tcBorders>
              <w:right w:val="single" w:sz="4" w:space="0" w:color="auto"/>
            </w:tcBorders>
            <w:tcMar>
              <w:top w:w="57" w:type="dxa"/>
              <w:left w:w="113" w:type="dxa"/>
              <w:bottom w:w="57" w:type="dxa"/>
              <w:right w:w="0" w:type="dxa"/>
            </w:tcMar>
            <w:vAlign w:val="bottom"/>
          </w:tcPr>
          <w:p w14:paraId="71A2DD92" w14:textId="77777777" w:rsidR="00C22CDE" w:rsidRPr="00C22CDE" w:rsidRDefault="00C22CDE" w:rsidP="00615190">
            <w:pPr>
              <w:spacing w:line="240" w:lineRule="atLeast"/>
              <w:rPr>
                <w:rFonts w:ascii="Tahoma" w:hAnsi="Tahoma"/>
                <w:color w:val="000000" w:themeColor="text1"/>
                <w:sz w:val="16"/>
                <w:lang w:val="en-GB"/>
              </w:rPr>
            </w:pPr>
            <w:r w:rsidRPr="00C22CDE">
              <w:rPr>
                <w:rFonts w:ascii="Tahoma" w:hAnsi="Tahoma"/>
                <w:color w:val="000000" w:themeColor="text1"/>
                <w:sz w:val="16"/>
                <w:lang w:val="en-GB"/>
              </w:rPr>
              <w:t>Realisation of reserves as a result of disposals</w:t>
            </w:r>
          </w:p>
        </w:tc>
        <w:tc>
          <w:tcPr>
            <w:tcW w:w="567" w:type="dxa"/>
            <w:tcBorders>
              <w:left w:val="single" w:sz="4" w:space="0" w:color="auto"/>
            </w:tcBorders>
            <w:tcMar>
              <w:top w:w="57" w:type="dxa"/>
              <w:left w:w="0" w:type="dxa"/>
              <w:bottom w:w="57" w:type="dxa"/>
              <w:right w:w="0" w:type="dxa"/>
            </w:tcMar>
            <w:vAlign w:val="bottom"/>
          </w:tcPr>
          <w:p w14:paraId="101B1B42" w14:textId="77777777" w:rsidR="00C22CDE" w:rsidRPr="00C22CDE" w:rsidRDefault="00C22CDE" w:rsidP="00414621">
            <w:pPr>
              <w:spacing w:line="240" w:lineRule="atLeast"/>
              <w:jc w:val="right"/>
              <w:rPr>
                <w:rFonts w:ascii="Tahoma" w:hAnsi="Tahoma"/>
                <w:color w:val="000000" w:themeColor="text1"/>
                <w:w w:val="70"/>
                <w:sz w:val="16"/>
                <w:lang w:val="en-GB"/>
              </w:rPr>
            </w:pPr>
          </w:p>
        </w:tc>
        <w:tc>
          <w:tcPr>
            <w:tcW w:w="567" w:type="dxa"/>
            <w:tcMar>
              <w:top w:w="57" w:type="dxa"/>
              <w:left w:w="0" w:type="dxa"/>
              <w:bottom w:w="57" w:type="dxa"/>
              <w:right w:w="0" w:type="dxa"/>
            </w:tcMar>
            <w:vAlign w:val="bottom"/>
          </w:tcPr>
          <w:p w14:paraId="7AF17822" w14:textId="77777777" w:rsidR="00C22CDE" w:rsidRPr="00C22CDE" w:rsidRDefault="00C22CDE" w:rsidP="00414621">
            <w:pPr>
              <w:spacing w:line="240" w:lineRule="atLeast"/>
              <w:jc w:val="right"/>
              <w:rPr>
                <w:rFonts w:ascii="Tahoma" w:hAnsi="Tahoma"/>
                <w:color w:val="000000" w:themeColor="text1"/>
                <w:w w:val="70"/>
                <w:sz w:val="16"/>
                <w:lang w:val="en-GB"/>
              </w:rPr>
            </w:pPr>
          </w:p>
        </w:tc>
        <w:tc>
          <w:tcPr>
            <w:tcW w:w="709" w:type="dxa"/>
            <w:tcMar>
              <w:top w:w="57" w:type="dxa"/>
              <w:left w:w="0" w:type="dxa"/>
              <w:bottom w:w="57" w:type="dxa"/>
              <w:right w:w="0" w:type="dxa"/>
            </w:tcMar>
            <w:vAlign w:val="bottom"/>
          </w:tcPr>
          <w:p w14:paraId="1C9AA34B"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43</w:t>
            </w:r>
          </w:p>
        </w:tc>
        <w:tc>
          <w:tcPr>
            <w:tcW w:w="708" w:type="dxa"/>
            <w:tcMar>
              <w:top w:w="57" w:type="dxa"/>
              <w:left w:w="0" w:type="dxa"/>
              <w:bottom w:w="57" w:type="dxa"/>
              <w:right w:w="0" w:type="dxa"/>
            </w:tcMar>
            <w:vAlign w:val="bottom"/>
          </w:tcPr>
          <w:p w14:paraId="7377404C"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(2)</w:t>
            </w:r>
          </w:p>
        </w:tc>
        <w:tc>
          <w:tcPr>
            <w:tcW w:w="567" w:type="dxa"/>
            <w:tcMar>
              <w:top w:w="57" w:type="dxa"/>
              <w:left w:w="0" w:type="dxa"/>
              <w:bottom w:w="57" w:type="dxa"/>
              <w:right w:w="0" w:type="dxa"/>
            </w:tcMar>
            <w:vAlign w:val="bottom"/>
          </w:tcPr>
          <w:p w14:paraId="40EA8B76"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8</w:t>
            </w:r>
          </w:p>
        </w:tc>
        <w:tc>
          <w:tcPr>
            <w:tcW w:w="709" w:type="dxa"/>
            <w:tcMar>
              <w:top w:w="57" w:type="dxa"/>
              <w:left w:w="0" w:type="dxa"/>
              <w:bottom w:w="57" w:type="dxa"/>
              <w:right w:w="0" w:type="dxa"/>
            </w:tcMar>
            <w:vAlign w:val="bottom"/>
          </w:tcPr>
          <w:p w14:paraId="00F4FE6B"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9" w:type="dxa"/>
            <w:tcMar>
              <w:top w:w="57" w:type="dxa"/>
              <w:left w:w="0" w:type="dxa"/>
              <w:bottom w:w="57" w:type="dxa"/>
              <w:right w:w="0" w:type="dxa"/>
            </w:tcMar>
            <w:vAlign w:val="bottom"/>
          </w:tcPr>
          <w:p w14:paraId="51D10C76"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(49)</w:t>
            </w:r>
          </w:p>
        </w:tc>
        <w:tc>
          <w:tcPr>
            <w:tcW w:w="567" w:type="dxa"/>
            <w:tcMar>
              <w:top w:w="57" w:type="dxa"/>
              <w:left w:w="0" w:type="dxa"/>
              <w:bottom w:w="57" w:type="dxa"/>
              <w:right w:w="0" w:type="dxa"/>
            </w:tcMar>
            <w:vAlign w:val="bottom"/>
          </w:tcPr>
          <w:p w14:paraId="5BD7F08B"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9" w:type="dxa"/>
            <w:tcMar>
              <w:top w:w="57" w:type="dxa"/>
              <w:left w:w="0" w:type="dxa"/>
              <w:bottom w:w="57" w:type="dxa"/>
              <w:right w:w="0" w:type="dxa"/>
            </w:tcMar>
            <w:vAlign w:val="bottom"/>
          </w:tcPr>
          <w:p w14:paraId="0633FC76"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0" w:type="dxa"/>
            <w:tcBorders>
              <w:right w:val="single" w:sz="4" w:space="0" w:color="auto"/>
            </w:tcBorders>
            <w:tcMar>
              <w:top w:w="57" w:type="dxa"/>
              <w:left w:w="0" w:type="dxa"/>
              <w:bottom w:w="57" w:type="dxa"/>
              <w:right w:w="0" w:type="dxa"/>
            </w:tcMar>
            <w:vAlign w:val="bottom"/>
          </w:tcPr>
          <w:p w14:paraId="1368E6EE" w14:textId="77777777" w:rsidR="00C22CDE" w:rsidRPr="00C22CDE" w:rsidRDefault="00C22CDE" w:rsidP="00414621">
            <w:pPr>
              <w:spacing w:line="240" w:lineRule="atLeast"/>
              <w:ind w:right="113"/>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r>
      <w:tr w:rsidR="005001CB" w:rsidRPr="00C22CDE" w14:paraId="078D2B93" w14:textId="77777777" w:rsidTr="00F6354A">
        <w:trPr>
          <w:trHeight w:val="60"/>
        </w:trPr>
        <w:tc>
          <w:tcPr>
            <w:tcW w:w="3694" w:type="dxa"/>
            <w:tcBorders>
              <w:right w:val="single" w:sz="4" w:space="0" w:color="auto"/>
            </w:tcBorders>
            <w:tcMar>
              <w:top w:w="57" w:type="dxa"/>
              <w:left w:w="113" w:type="dxa"/>
              <w:bottom w:w="57" w:type="dxa"/>
              <w:right w:w="0" w:type="dxa"/>
            </w:tcMar>
            <w:vAlign w:val="bottom"/>
          </w:tcPr>
          <w:p w14:paraId="719BB4CA" w14:textId="77777777" w:rsidR="00C22CDE" w:rsidRPr="00C22CDE" w:rsidRDefault="00C22CDE" w:rsidP="00615190">
            <w:pPr>
              <w:spacing w:line="240" w:lineRule="atLeast"/>
              <w:rPr>
                <w:rFonts w:ascii="Tahoma" w:hAnsi="Tahoma"/>
                <w:color w:val="000000" w:themeColor="text1"/>
                <w:sz w:val="16"/>
                <w:lang w:val="en-GB"/>
              </w:rPr>
            </w:pPr>
            <w:r w:rsidRPr="00C22CDE">
              <w:rPr>
                <w:rFonts w:ascii="Tahoma" w:hAnsi="Tahoma"/>
                <w:color w:val="000000" w:themeColor="text1"/>
                <w:sz w:val="16"/>
                <w:lang w:val="en-GB"/>
              </w:rPr>
              <w:t>Other direct movements</w:t>
            </w:r>
          </w:p>
        </w:tc>
        <w:tc>
          <w:tcPr>
            <w:tcW w:w="567" w:type="dxa"/>
            <w:tcBorders>
              <w:left w:val="single" w:sz="4" w:space="0" w:color="auto"/>
              <w:bottom w:val="single" w:sz="4" w:space="0" w:color="auto"/>
            </w:tcBorders>
            <w:tcMar>
              <w:top w:w="57" w:type="dxa"/>
              <w:left w:w="0" w:type="dxa"/>
              <w:bottom w:w="57" w:type="dxa"/>
              <w:right w:w="0" w:type="dxa"/>
            </w:tcMar>
            <w:vAlign w:val="bottom"/>
          </w:tcPr>
          <w:p w14:paraId="7D739F3E"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(3)</w:t>
            </w:r>
          </w:p>
        </w:tc>
        <w:tc>
          <w:tcPr>
            <w:tcW w:w="567" w:type="dxa"/>
            <w:tcBorders>
              <w:bottom w:val="single" w:sz="4" w:space="0" w:color="auto"/>
            </w:tcBorders>
            <w:tcMar>
              <w:top w:w="57" w:type="dxa"/>
              <w:left w:w="0" w:type="dxa"/>
              <w:bottom w:w="57" w:type="dxa"/>
              <w:right w:w="0" w:type="dxa"/>
            </w:tcMar>
            <w:vAlign w:val="bottom"/>
          </w:tcPr>
          <w:p w14:paraId="57B10316"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9" w:type="dxa"/>
            <w:tcBorders>
              <w:bottom w:val="single" w:sz="4" w:space="0" w:color="auto"/>
            </w:tcBorders>
            <w:tcMar>
              <w:top w:w="57" w:type="dxa"/>
              <w:left w:w="0" w:type="dxa"/>
              <w:bottom w:w="57" w:type="dxa"/>
              <w:right w:w="0" w:type="dxa"/>
            </w:tcMar>
            <w:vAlign w:val="bottom"/>
          </w:tcPr>
          <w:p w14:paraId="3CD03CAF"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3</w:t>
            </w:r>
          </w:p>
        </w:tc>
        <w:tc>
          <w:tcPr>
            <w:tcW w:w="708" w:type="dxa"/>
            <w:tcBorders>
              <w:bottom w:val="single" w:sz="4" w:space="0" w:color="auto"/>
            </w:tcBorders>
            <w:tcMar>
              <w:top w:w="57" w:type="dxa"/>
              <w:left w:w="0" w:type="dxa"/>
              <w:bottom w:w="57" w:type="dxa"/>
              <w:right w:w="0" w:type="dxa"/>
            </w:tcMar>
            <w:vAlign w:val="bottom"/>
          </w:tcPr>
          <w:p w14:paraId="1BB4C950"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567" w:type="dxa"/>
            <w:tcBorders>
              <w:bottom w:val="single" w:sz="4" w:space="0" w:color="auto"/>
            </w:tcBorders>
            <w:tcMar>
              <w:top w:w="57" w:type="dxa"/>
              <w:left w:w="0" w:type="dxa"/>
              <w:bottom w:w="57" w:type="dxa"/>
              <w:right w:w="0" w:type="dxa"/>
            </w:tcMar>
            <w:vAlign w:val="bottom"/>
          </w:tcPr>
          <w:p w14:paraId="019BBD56"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9" w:type="dxa"/>
            <w:tcBorders>
              <w:bottom w:val="single" w:sz="4" w:space="0" w:color="auto"/>
            </w:tcBorders>
            <w:tcMar>
              <w:top w:w="57" w:type="dxa"/>
              <w:left w:w="0" w:type="dxa"/>
              <w:bottom w:w="57" w:type="dxa"/>
              <w:right w:w="0" w:type="dxa"/>
            </w:tcMar>
            <w:vAlign w:val="bottom"/>
          </w:tcPr>
          <w:p w14:paraId="4EBB335B"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9" w:type="dxa"/>
            <w:tcBorders>
              <w:bottom w:val="single" w:sz="4" w:space="0" w:color="auto"/>
            </w:tcBorders>
            <w:tcMar>
              <w:top w:w="57" w:type="dxa"/>
              <w:left w:w="0" w:type="dxa"/>
              <w:bottom w:w="57" w:type="dxa"/>
              <w:right w:w="0" w:type="dxa"/>
            </w:tcMar>
            <w:vAlign w:val="bottom"/>
          </w:tcPr>
          <w:p w14:paraId="7EADFCDA"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567" w:type="dxa"/>
            <w:tcBorders>
              <w:bottom w:val="single" w:sz="4" w:space="0" w:color="auto"/>
            </w:tcBorders>
            <w:tcMar>
              <w:top w:w="57" w:type="dxa"/>
              <w:left w:w="0" w:type="dxa"/>
              <w:bottom w:w="57" w:type="dxa"/>
              <w:right w:w="0" w:type="dxa"/>
            </w:tcMar>
            <w:vAlign w:val="bottom"/>
          </w:tcPr>
          <w:p w14:paraId="73CA37D8"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9" w:type="dxa"/>
            <w:tcBorders>
              <w:bottom w:val="single" w:sz="4" w:space="0" w:color="auto"/>
            </w:tcBorders>
            <w:tcMar>
              <w:top w:w="57" w:type="dxa"/>
              <w:left w:w="0" w:type="dxa"/>
              <w:bottom w:w="57" w:type="dxa"/>
              <w:right w:w="0" w:type="dxa"/>
            </w:tcMar>
            <w:vAlign w:val="bottom"/>
          </w:tcPr>
          <w:p w14:paraId="2FCD5507"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0" w:type="dxa"/>
            <w:tcBorders>
              <w:bottom w:val="single" w:sz="4" w:space="0" w:color="auto"/>
              <w:right w:val="single" w:sz="4" w:space="0" w:color="auto"/>
            </w:tcBorders>
            <w:tcMar>
              <w:top w:w="57" w:type="dxa"/>
              <w:left w:w="0" w:type="dxa"/>
              <w:bottom w:w="57" w:type="dxa"/>
              <w:right w:w="0" w:type="dxa"/>
            </w:tcMar>
            <w:vAlign w:val="bottom"/>
          </w:tcPr>
          <w:p w14:paraId="7343B53F" w14:textId="77777777" w:rsidR="00C22CDE" w:rsidRPr="00C22CDE" w:rsidRDefault="00C22CDE" w:rsidP="00414621">
            <w:pPr>
              <w:spacing w:line="240" w:lineRule="atLeast"/>
              <w:ind w:right="113"/>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r>
      <w:tr w:rsidR="005001CB" w:rsidRPr="00C22CDE" w14:paraId="63BBE955" w14:textId="77777777" w:rsidTr="00F6354A">
        <w:trPr>
          <w:trHeight w:val="60"/>
        </w:trPr>
        <w:tc>
          <w:tcPr>
            <w:tcW w:w="3694" w:type="dxa"/>
            <w:tcMar>
              <w:top w:w="57" w:type="dxa"/>
              <w:left w:w="0" w:type="dxa"/>
              <w:bottom w:w="57" w:type="dxa"/>
              <w:right w:w="0" w:type="dxa"/>
            </w:tcMar>
            <w:vAlign w:val="bottom"/>
          </w:tcPr>
          <w:p w14:paraId="4DCD5947" w14:textId="77777777" w:rsidR="00C22CDE" w:rsidRPr="00C22CDE" w:rsidRDefault="00C22CDE" w:rsidP="00615190">
            <w:pPr>
              <w:spacing w:line="240" w:lineRule="atLeast"/>
              <w:rPr>
                <w:rFonts w:ascii="Tahoma" w:hAnsi="Tahoma"/>
                <w:color w:val="000000" w:themeColor="text1"/>
                <w:sz w:val="16"/>
                <w:lang w:val="en-GB"/>
              </w:rPr>
            </w:pPr>
            <w:r w:rsidRPr="00C22CDE">
              <w:rPr>
                <w:rFonts w:ascii="Tahoma" w:hAnsi="Tahoma"/>
                <w:color w:val="000000" w:themeColor="text1"/>
                <w:sz w:val="16"/>
                <w:lang w:val="en-GB"/>
              </w:rPr>
              <w:t>Remeasurement of written put option liabilities</w:t>
            </w:r>
          </w:p>
        </w:tc>
        <w:tc>
          <w:tcPr>
            <w:tcW w:w="567" w:type="dxa"/>
            <w:tcBorders>
              <w:top w:val="single" w:sz="4" w:space="0" w:color="auto"/>
            </w:tcBorders>
            <w:tcMar>
              <w:top w:w="57" w:type="dxa"/>
              <w:left w:w="0" w:type="dxa"/>
              <w:bottom w:w="57" w:type="dxa"/>
              <w:right w:w="0" w:type="dxa"/>
            </w:tcMar>
            <w:vAlign w:val="bottom"/>
          </w:tcPr>
          <w:p w14:paraId="59E6DF72"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567" w:type="dxa"/>
            <w:tcBorders>
              <w:top w:val="single" w:sz="4" w:space="0" w:color="auto"/>
            </w:tcBorders>
            <w:tcMar>
              <w:top w:w="57" w:type="dxa"/>
              <w:left w:w="0" w:type="dxa"/>
              <w:bottom w:w="57" w:type="dxa"/>
              <w:right w:w="0" w:type="dxa"/>
            </w:tcMar>
            <w:vAlign w:val="bottom"/>
          </w:tcPr>
          <w:p w14:paraId="0916EC6A"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9" w:type="dxa"/>
            <w:tcBorders>
              <w:top w:val="single" w:sz="4" w:space="0" w:color="auto"/>
            </w:tcBorders>
            <w:tcMar>
              <w:top w:w="57" w:type="dxa"/>
              <w:left w:w="0" w:type="dxa"/>
              <w:bottom w:w="57" w:type="dxa"/>
              <w:right w:w="0" w:type="dxa"/>
            </w:tcMar>
            <w:vAlign w:val="bottom"/>
          </w:tcPr>
          <w:p w14:paraId="4F78435F"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8" w:type="dxa"/>
            <w:tcBorders>
              <w:top w:val="single" w:sz="4" w:space="0" w:color="auto"/>
            </w:tcBorders>
            <w:tcMar>
              <w:top w:w="57" w:type="dxa"/>
              <w:left w:w="0" w:type="dxa"/>
              <w:bottom w:w="57" w:type="dxa"/>
              <w:right w:w="0" w:type="dxa"/>
            </w:tcMar>
            <w:vAlign w:val="bottom"/>
          </w:tcPr>
          <w:p w14:paraId="53BD7B70"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567" w:type="dxa"/>
            <w:tcBorders>
              <w:top w:val="single" w:sz="4" w:space="0" w:color="auto"/>
            </w:tcBorders>
            <w:tcMar>
              <w:top w:w="57" w:type="dxa"/>
              <w:left w:w="0" w:type="dxa"/>
              <w:bottom w:w="57" w:type="dxa"/>
              <w:right w:w="0" w:type="dxa"/>
            </w:tcMar>
            <w:vAlign w:val="bottom"/>
          </w:tcPr>
          <w:p w14:paraId="27354F0E"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16</w:t>
            </w:r>
          </w:p>
        </w:tc>
        <w:tc>
          <w:tcPr>
            <w:tcW w:w="709" w:type="dxa"/>
            <w:tcBorders>
              <w:top w:val="single" w:sz="4" w:space="0" w:color="auto"/>
            </w:tcBorders>
            <w:tcMar>
              <w:top w:w="57" w:type="dxa"/>
              <w:left w:w="0" w:type="dxa"/>
              <w:bottom w:w="57" w:type="dxa"/>
              <w:right w:w="0" w:type="dxa"/>
            </w:tcMar>
            <w:vAlign w:val="bottom"/>
          </w:tcPr>
          <w:p w14:paraId="43269DFC"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9" w:type="dxa"/>
            <w:tcBorders>
              <w:top w:val="single" w:sz="4" w:space="0" w:color="auto"/>
            </w:tcBorders>
            <w:tcMar>
              <w:top w:w="57" w:type="dxa"/>
              <w:left w:w="0" w:type="dxa"/>
              <w:bottom w:w="57" w:type="dxa"/>
              <w:right w:w="0" w:type="dxa"/>
            </w:tcMar>
            <w:vAlign w:val="bottom"/>
          </w:tcPr>
          <w:p w14:paraId="3B87947B"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567" w:type="dxa"/>
            <w:tcBorders>
              <w:top w:val="single" w:sz="4" w:space="0" w:color="auto"/>
            </w:tcBorders>
            <w:tcMar>
              <w:top w:w="57" w:type="dxa"/>
              <w:left w:w="0" w:type="dxa"/>
              <w:bottom w:w="57" w:type="dxa"/>
              <w:right w:w="0" w:type="dxa"/>
            </w:tcMar>
            <w:vAlign w:val="bottom"/>
          </w:tcPr>
          <w:p w14:paraId="5B57F48B"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16</w:t>
            </w:r>
          </w:p>
        </w:tc>
        <w:tc>
          <w:tcPr>
            <w:tcW w:w="709" w:type="dxa"/>
            <w:tcBorders>
              <w:top w:val="single" w:sz="4" w:space="0" w:color="auto"/>
            </w:tcBorders>
            <w:tcMar>
              <w:top w:w="57" w:type="dxa"/>
              <w:left w:w="0" w:type="dxa"/>
              <w:bottom w:w="57" w:type="dxa"/>
              <w:right w:w="0" w:type="dxa"/>
            </w:tcMar>
            <w:vAlign w:val="bottom"/>
          </w:tcPr>
          <w:p w14:paraId="584D6BBC"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0" w:type="dxa"/>
            <w:tcBorders>
              <w:top w:val="single" w:sz="4" w:space="0" w:color="auto"/>
            </w:tcBorders>
            <w:tcMar>
              <w:top w:w="57" w:type="dxa"/>
              <w:left w:w="0" w:type="dxa"/>
              <w:bottom w:w="57" w:type="dxa"/>
              <w:right w:w="0" w:type="dxa"/>
            </w:tcMar>
            <w:vAlign w:val="bottom"/>
          </w:tcPr>
          <w:p w14:paraId="2D2AF313" w14:textId="77777777" w:rsidR="00C22CDE" w:rsidRPr="00C22CDE" w:rsidRDefault="00C22CDE" w:rsidP="00414621">
            <w:pPr>
              <w:spacing w:line="240" w:lineRule="atLeast"/>
              <w:ind w:right="113"/>
              <w:jc w:val="right"/>
              <w:rPr>
                <w:rFonts w:ascii="Tahoma" w:hAnsi="Tahoma"/>
                <w:color w:val="000000" w:themeColor="text1"/>
                <w:w w:val="70"/>
                <w:sz w:val="16"/>
                <w:lang w:val="en-GB"/>
              </w:rPr>
            </w:pPr>
            <w:r w:rsidRPr="00C22CDE">
              <w:rPr>
                <w:rFonts w:ascii="Tahoma" w:hAnsi="Tahoma"/>
                <w:color w:val="000000" w:themeColor="text1"/>
                <w:w w:val="70"/>
                <w:sz w:val="16"/>
                <w:lang w:val="en-GB"/>
              </w:rPr>
              <w:t>16</w:t>
            </w:r>
          </w:p>
        </w:tc>
      </w:tr>
      <w:tr w:rsidR="005001CB" w:rsidRPr="00C22CDE" w14:paraId="19212E49" w14:textId="77777777" w:rsidTr="000906A7">
        <w:trPr>
          <w:trHeight w:val="60"/>
        </w:trPr>
        <w:tc>
          <w:tcPr>
            <w:tcW w:w="3694" w:type="dxa"/>
            <w:tcMar>
              <w:top w:w="57" w:type="dxa"/>
              <w:left w:w="0" w:type="dxa"/>
              <w:bottom w:w="57" w:type="dxa"/>
              <w:right w:w="0" w:type="dxa"/>
            </w:tcMar>
            <w:vAlign w:val="bottom"/>
          </w:tcPr>
          <w:p w14:paraId="3AF33C05" w14:textId="77777777" w:rsidR="00C22CDE" w:rsidRPr="00C22CDE" w:rsidRDefault="00C22CDE" w:rsidP="00615190">
            <w:pPr>
              <w:spacing w:line="240" w:lineRule="atLeast"/>
              <w:rPr>
                <w:rFonts w:ascii="Tahoma" w:hAnsi="Tahoma"/>
                <w:color w:val="000000" w:themeColor="text1"/>
                <w:sz w:val="16"/>
                <w:lang w:val="en-GB"/>
              </w:rPr>
            </w:pPr>
            <w:r w:rsidRPr="00C22CDE">
              <w:rPr>
                <w:rFonts w:ascii="Tahoma" w:hAnsi="Tahoma"/>
                <w:color w:val="000000" w:themeColor="text1"/>
                <w:sz w:val="16"/>
                <w:lang w:val="en-GB"/>
              </w:rPr>
              <w:t>Cancellation of written put option liabilities</w:t>
            </w:r>
          </w:p>
        </w:tc>
        <w:tc>
          <w:tcPr>
            <w:tcW w:w="567" w:type="dxa"/>
            <w:tcMar>
              <w:top w:w="57" w:type="dxa"/>
              <w:left w:w="0" w:type="dxa"/>
              <w:bottom w:w="57" w:type="dxa"/>
              <w:right w:w="0" w:type="dxa"/>
            </w:tcMar>
            <w:vAlign w:val="bottom"/>
          </w:tcPr>
          <w:p w14:paraId="20525300"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567" w:type="dxa"/>
            <w:tcMar>
              <w:top w:w="57" w:type="dxa"/>
              <w:left w:w="0" w:type="dxa"/>
              <w:bottom w:w="57" w:type="dxa"/>
              <w:right w:w="0" w:type="dxa"/>
            </w:tcMar>
            <w:vAlign w:val="bottom"/>
          </w:tcPr>
          <w:p w14:paraId="1146EFE9"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9" w:type="dxa"/>
            <w:tcMar>
              <w:top w:w="57" w:type="dxa"/>
              <w:left w:w="0" w:type="dxa"/>
              <w:bottom w:w="57" w:type="dxa"/>
              <w:right w:w="0" w:type="dxa"/>
            </w:tcMar>
            <w:vAlign w:val="bottom"/>
          </w:tcPr>
          <w:p w14:paraId="696E6701"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8" w:type="dxa"/>
            <w:tcMar>
              <w:top w:w="57" w:type="dxa"/>
              <w:left w:w="0" w:type="dxa"/>
              <w:bottom w:w="57" w:type="dxa"/>
              <w:right w:w="0" w:type="dxa"/>
            </w:tcMar>
            <w:vAlign w:val="bottom"/>
          </w:tcPr>
          <w:p w14:paraId="4B727564"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567" w:type="dxa"/>
            <w:tcMar>
              <w:top w:w="57" w:type="dxa"/>
              <w:left w:w="0" w:type="dxa"/>
              <w:bottom w:w="57" w:type="dxa"/>
              <w:right w:w="0" w:type="dxa"/>
            </w:tcMar>
            <w:vAlign w:val="bottom"/>
          </w:tcPr>
          <w:p w14:paraId="010E69FA"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75</w:t>
            </w:r>
          </w:p>
        </w:tc>
        <w:tc>
          <w:tcPr>
            <w:tcW w:w="709" w:type="dxa"/>
            <w:tcMar>
              <w:top w:w="57" w:type="dxa"/>
              <w:left w:w="0" w:type="dxa"/>
              <w:bottom w:w="57" w:type="dxa"/>
              <w:right w:w="0" w:type="dxa"/>
            </w:tcMar>
            <w:vAlign w:val="bottom"/>
          </w:tcPr>
          <w:p w14:paraId="21045DD6"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9" w:type="dxa"/>
            <w:tcMar>
              <w:top w:w="57" w:type="dxa"/>
              <w:left w:w="0" w:type="dxa"/>
              <w:bottom w:w="57" w:type="dxa"/>
              <w:right w:w="0" w:type="dxa"/>
            </w:tcMar>
            <w:vAlign w:val="bottom"/>
          </w:tcPr>
          <w:p w14:paraId="3F908F32"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6</w:t>
            </w:r>
          </w:p>
        </w:tc>
        <w:tc>
          <w:tcPr>
            <w:tcW w:w="567" w:type="dxa"/>
            <w:tcMar>
              <w:top w:w="57" w:type="dxa"/>
              <w:left w:w="0" w:type="dxa"/>
              <w:bottom w:w="57" w:type="dxa"/>
              <w:right w:w="0" w:type="dxa"/>
            </w:tcMar>
            <w:vAlign w:val="bottom"/>
          </w:tcPr>
          <w:p w14:paraId="27D235D6"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81</w:t>
            </w:r>
          </w:p>
        </w:tc>
        <w:tc>
          <w:tcPr>
            <w:tcW w:w="709" w:type="dxa"/>
            <w:tcMar>
              <w:top w:w="57" w:type="dxa"/>
              <w:left w:w="0" w:type="dxa"/>
              <w:bottom w:w="57" w:type="dxa"/>
              <w:right w:w="0" w:type="dxa"/>
            </w:tcMar>
            <w:vAlign w:val="bottom"/>
          </w:tcPr>
          <w:p w14:paraId="46682B9B"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0" w:type="dxa"/>
            <w:tcMar>
              <w:top w:w="57" w:type="dxa"/>
              <w:left w:w="0" w:type="dxa"/>
              <w:bottom w:w="57" w:type="dxa"/>
              <w:right w:w="0" w:type="dxa"/>
            </w:tcMar>
            <w:vAlign w:val="bottom"/>
          </w:tcPr>
          <w:p w14:paraId="255DC37C" w14:textId="77777777" w:rsidR="00C22CDE" w:rsidRPr="00C22CDE" w:rsidRDefault="00C22CDE" w:rsidP="00414621">
            <w:pPr>
              <w:spacing w:line="240" w:lineRule="atLeast"/>
              <w:ind w:right="113"/>
              <w:jc w:val="right"/>
              <w:rPr>
                <w:rFonts w:ascii="Tahoma" w:hAnsi="Tahoma"/>
                <w:color w:val="000000" w:themeColor="text1"/>
                <w:w w:val="70"/>
                <w:sz w:val="16"/>
                <w:lang w:val="en-GB"/>
              </w:rPr>
            </w:pPr>
            <w:r w:rsidRPr="00C22CDE">
              <w:rPr>
                <w:rFonts w:ascii="Tahoma" w:hAnsi="Tahoma"/>
                <w:color w:val="000000" w:themeColor="text1"/>
                <w:w w:val="70"/>
                <w:sz w:val="16"/>
                <w:lang w:val="en-GB"/>
              </w:rPr>
              <w:t>81</w:t>
            </w:r>
          </w:p>
        </w:tc>
      </w:tr>
      <w:tr w:rsidR="005001CB" w:rsidRPr="00C22CDE" w14:paraId="01016A7C" w14:textId="77777777" w:rsidTr="000906A7">
        <w:trPr>
          <w:trHeight w:val="60"/>
        </w:trPr>
        <w:tc>
          <w:tcPr>
            <w:tcW w:w="3694" w:type="dxa"/>
            <w:tcMar>
              <w:top w:w="57" w:type="dxa"/>
              <w:left w:w="0" w:type="dxa"/>
              <w:bottom w:w="57" w:type="dxa"/>
              <w:right w:w="0" w:type="dxa"/>
            </w:tcMar>
            <w:vAlign w:val="bottom"/>
          </w:tcPr>
          <w:p w14:paraId="28F96FE0" w14:textId="77777777" w:rsidR="00C22CDE" w:rsidRPr="00C22CDE" w:rsidRDefault="00C22CDE" w:rsidP="00615190">
            <w:pPr>
              <w:spacing w:line="240" w:lineRule="atLeast"/>
              <w:rPr>
                <w:rFonts w:ascii="Tahoma" w:hAnsi="Tahoma"/>
                <w:color w:val="000000" w:themeColor="text1"/>
                <w:sz w:val="16"/>
                <w:lang w:val="en-GB"/>
              </w:rPr>
            </w:pPr>
            <w:r w:rsidRPr="00C22CDE">
              <w:rPr>
                <w:rFonts w:ascii="Tahoma" w:hAnsi="Tahoma"/>
                <w:color w:val="000000" w:themeColor="text1"/>
                <w:sz w:val="16"/>
                <w:lang w:val="en-GB"/>
              </w:rPr>
              <w:t>Other movements</w:t>
            </w:r>
          </w:p>
        </w:tc>
        <w:tc>
          <w:tcPr>
            <w:tcW w:w="567" w:type="dxa"/>
            <w:tcMar>
              <w:top w:w="57" w:type="dxa"/>
              <w:left w:w="0" w:type="dxa"/>
              <w:bottom w:w="57" w:type="dxa"/>
              <w:right w:w="0" w:type="dxa"/>
            </w:tcMar>
            <w:vAlign w:val="bottom"/>
          </w:tcPr>
          <w:p w14:paraId="0445B78D"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567" w:type="dxa"/>
            <w:tcMar>
              <w:top w:w="57" w:type="dxa"/>
              <w:left w:w="0" w:type="dxa"/>
              <w:bottom w:w="57" w:type="dxa"/>
              <w:right w:w="0" w:type="dxa"/>
            </w:tcMar>
            <w:vAlign w:val="bottom"/>
          </w:tcPr>
          <w:p w14:paraId="019F412B"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9" w:type="dxa"/>
            <w:tcMar>
              <w:top w:w="57" w:type="dxa"/>
              <w:left w:w="0" w:type="dxa"/>
              <w:bottom w:w="57" w:type="dxa"/>
              <w:right w:w="0" w:type="dxa"/>
            </w:tcMar>
            <w:vAlign w:val="bottom"/>
          </w:tcPr>
          <w:p w14:paraId="5593B0CA"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8" w:type="dxa"/>
            <w:tcMar>
              <w:top w:w="57" w:type="dxa"/>
              <w:left w:w="0" w:type="dxa"/>
              <w:bottom w:w="57" w:type="dxa"/>
              <w:right w:w="0" w:type="dxa"/>
            </w:tcMar>
            <w:vAlign w:val="bottom"/>
          </w:tcPr>
          <w:p w14:paraId="1DF208A2"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567" w:type="dxa"/>
            <w:tcMar>
              <w:top w:w="57" w:type="dxa"/>
              <w:left w:w="0" w:type="dxa"/>
              <w:bottom w:w="57" w:type="dxa"/>
              <w:right w:w="0" w:type="dxa"/>
            </w:tcMar>
            <w:vAlign w:val="bottom"/>
          </w:tcPr>
          <w:p w14:paraId="6941E639"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9" w:type="dxa"/>
            <w:tcMar>
              <w:top w:w="57" w:type="dxa"/>
              <w:left w:w="0" w:type="dxa"/>
              <w:bottom w:w="57" w:type="dxa"/>
              <w:right w:w="0" w:type="dxa"/>
            </w:tcMar>
            <w:vAlign w:val="bottom"/>
          </w:tcPr>
          <w:p w14:paraId="2029FB77"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9" w:type="dxa"/>
            <w:tcMar>
              <w:top w:w="57" w:type="dxa"/>
              <w:left w:w="0" w:type="dxa"/>
              <w:bottom w:w="57" w:type="dxa"/>
              <w:right w:w="0" w:type="dxa"/>
            </w:tcMar>
            <w:vAlign w:val="bottom"/>
          </w:tcPr>
          <w:p w14:paraId="05A0C725"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(28)</w:t>
            </w:r>
          </w:p>
        </w:tc>
        <w:tc>
          <w:tcPr>
            <w:tcW w:w="567" w:type="dxa"/>
            <w:tcMar>
              <w:top w:w="57" w:type="dxa"/>
              <w:left w:w="0" w:type="dxa"/>
              <w:bottom w:w="57" w:type="dxa"/>
              <w:right w:w="0" w:type="dxa"/>
            </w:tcMar>
            <w:vAlign w:val="bottom"/>
          </w:tcPr>
          <w:p w14:paraId="040491CA"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(28)</w:t>
            </w:r>
          </w:p>
        </w:tc>
        <w:tc>
          <w:tcPr>
            <w:tcW w:w="709" w:type="dxa"/>
            <w:tcMar>
              <w:top w:w="57" w:type="dxa"/>
              <w:left w:w="0" w:type="dxa"/>
              <w:bottom w:w="57" w:type="dxa"/>
              <w:right w:w="0" w:type="dxa"/>
            </w:tcMar>
            <w:vAlign w:val="bottom"/>
          </w:tcPr>
          <w:p w14:paraId="3E59A077"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0" w:type="dxa"/>
            <w:tcMar>
              <w:top w:w="57" w:type="dxa"/>
              <w:left w:w="0" w:type="dxa"/>
              <w:bottom w:w="57" w:type="dxa"/>
              <w:right w:w="0" w:type="dxa"/>
            </w:tcMar>
            <w:vAlign w:val="bottom"/>
          </w:tcPr>
          <w:p w14:paraId="0F6DC3E9" w14:textId="77777777" w:rsidR="00C22CDE" w:rsidRPr="00C22CDE" w:rsidRDefault="00C22CDE" w:rsidP="00414621">
            <w:pPr>
              <w:spacing w:line="240" w:lineRule="atLeast"/>
              <w:ind w:right="113"/>
              <w:jc w:val="right"/>
              <w:rPr>
                <w:rFonts w:ascii="Tahoma" w:hAnsi="Tahoma"/>
                <w:color w:val="000000" w:themeColor="text1"/>
                <w:w w:val="70"/>
                <w:sz w:val="16"/>
                <w:lang w:val="en-GB"/>
              </w:rPr>
            </w:pPr>
            <w:r w:rsidRPr="00C22CDE">
              <w:rPr>
                <w:rFonts w:ascii="Tahoma" w:hAnsi="Tahoma"/>
                <w:color w:val="000000" w:themeColor="text1"/>
                <w:w w:val="70"/>
                <w:sz w:val="16"/>
                <w:lang w:val="en-GB"/>
              </w:rPr>
              <w:t>(28)</w:t>
            </w:r>
          </w:p>
        </w:tc>
      </w:tr>
      <w:tr w:rsidR="005001CB" w:rsidRPr="00C22CDE" w14:paraId="793B006D" w14:textId="77777777" w:rsidTr="00611470">
        <w:trPr>
          <w:trHeight w:val="60"/>
        </w:trPr>
        <w:tc>
          <w:tcPr>
            <w:tcW w:w="3694" w:type="dxa"/>
            <w:tcMar>
              <w:top w:w="57" w:type="dxa"/>
              <w:left w:w="0" w:type="dxa"/>
              <w:bottom w:w="57" w:type="dxa"/>
              <w:right w:w="0" w:type="dxa"/>
            </w:tcMar>
            <w:vAlign w:val="bottom"/>
          </w:tcPr>
          <w:p w14:paraId="2E5ECA4D" w14:textId="77777777" w:rsidR="00C22CDE" w:rsidRPr="00C22CDE" w:rsidRDefault="00C22CDE" w:rsidP="00615190">
            <w:pPr>
              <w:spacing w:line="240" w:lineRule="atLeast"/>
              <w:rPr>
                <w:rFonts w:ascii="Tahoma" w:hAnsi="Tahoma"/>
                <w:color w:val="000000" w:themeColor="text1"/>
                <w:sz w:val="16"/>
                <w:lang w:val="en-GB"/>
              </w:rPr>
            </w:pPr>
            <w:r w:rsidRPr="00C22CDE">
              <w:rPr>
                <w:rFonts w:ascii="Tahoma" w:hAnsi="Tahoma"/>
                <w:color w:val="000000" w:themeColor="text1"/>
                <w:sz w:val="16"/>
                <w:lang w:val="en-GB"/>
              </w:rPr>
              <w:t>Dividends declared</w:t>
            </w:r>
            <w:r w:rsidRPr="00C22CDE">
              <w:rPr>
                <w:rFonts w:ascii="Tahoma" w:hAnsi="Tahoma"/>
                <w:color w:val="000000" w:themeColor="text1"/>
                <w:sz w:val="16"/>
                <w:vertAlign w:val="superscript"/>
                <w:lang w:val="en-GB"/>
              </w:rPr>
              <w:t>2</w:t>
            </w:r>
          </w:p>
        </w:tc>
        <w:tc>
          <w:tcPr>
            <w:tcW w:w="567" w:type="dxa"/>
            <w:tcMar>
              <w:top w:w="57" w:type="dxa"/>
              <w:left w:w="0" w:type="dxa"/>
              <w:bottom w:w="57" w:type="dxa"/>
              <w:right w:w="0" w:type="dxa"/>
            </w:tcMar>
            <w:vAlign w:val="bottom"/>
          </w:tcPr>
          <w:p w14:paraId="0583A8BF"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567" w:type="dxa"/>
            <w:tcMar>
              <w:top w:w="57" w:type="dxa"/>
              <w:left w:w="0" w:type="dxa"/>
              <w:bottom w:w="57" w:type="dxa"/>
              <w:right w:w="0" w:type="dxa"/>
            </w:tcMar>
            <w:vAlign w:val="bottom"/>
          </w:tcPr>
          <w:p w14:paraId="26ED4BEB"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9" w:type="dxa"/>
            <w:tcMar>
              <w:top w:w="57" w:type="dxa"/>
              <w:left w:w="0" w:type="dxa"/>
              <w:bottom w:w="57" w:type="dxa"/>
              <w:right w:w="0" w:type="dxa"/>
            </w:tcMar>
            <w:vAlign w:val="bottom"/>
          </w:tcPr>
          <w:p w14:paraId="78862BC1"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8" w:type="dxa"/>
            <w:tcMar>
              <w:top w:w="57" w:type="dxa"/>
              <w:left w:w="0" w:type="dxa"/>
              <w:bottom w:w="57" w:type="dxa"/>
              <w:right w:w="0" w:type="dxa"/>
            </w:tcMar>
            <w:vAlign w:val="bottom"/>
          </w:tcPr>
          <w:p w14:paraId="4E498835"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567" w:type="dxa"/>
            <w:tcMar>
              <w:top w:w="57" w:type="dxa"/>
              <w:left w:w="0" w:type="dxa"/>
              <w:bottom w:w="57" w:type="dxa"/>
              <w:right w:w="0" w:type="dxa"/>
            </w:tcMar>
            <w:vAlign w:val="bottom"/>
          </w:tcPr>
          <w:p w14:paraId="75FB2980"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9" w:type="dxa"/>
            <w:tcMar>
              <w:top w:w="57" w:type="dxa"/>
              <w:left w:w="0" w:type="dxa"/>
              <w:bottom w:w="57" w:type="dxa"/>
              <w:right w:w="0" w:type="dxa"/>
            </w:tcMar>
            <w:vAlign w:val="bottom"/>
          </w:tcPr>
          <w:p w14:paraId="3F7401F2"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9" w:type="dxa"/>
            <w:tcMar>
              <w:top w:w="57" w:type="dxa"/>
              <w:left w:w="0" w:type="dxa"/>
              <w:bottom w:w="57" w:type="dxa"/>
              <w:right w:w="0" w:type="dxa"/>
            </w:tcMar>
            <w:vAlign w:val="bottom"/>
          </w:tcPr>
          <w:p w14:paraId="607B70DC"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(238)</w:t>
            </w:r>
          </w:p>
        </w:tc>
        <w:tc>
          <w:tcPr>
            <w:tcW w:w="567" w:type="dxa"/>
            <w:tcMar>
              <w:top w:w="57" w:type="dxa"/>
              <w:left w:w="0" w:type="dxa"/>
              <w:bottom w:w="57" w:type="dxa"/>
              <w:right w:w="0" w:type="dxa"/>
            </w:tcMar>
            <w:vAlign w:val="bottom"/>
          </w:tcPr>
          <w:p w14:paraId="7AA5A0DA"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(238)</w:t>
            </w:r>
          </w:p>
        </w:tc>
        <w:tc>
          <w:tcPr>
            <w:tcW w:w="709" w:type="dxa"/>
            <w:tcMar>
              <w:top w:w="57" w:type="dxa"/>
              <w:left w:w="0" w:type="dxa"/>
              <w:bottom w:w="57" w:type="dxa"/>
              <w:right w:w="0" w:type="dxa"/>
            </w:tcMar>
            <w:vAlign w:val="bottom"/>
          </w:tcPr>
          <w:p w14:paraId="3F18D1D8"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0" w:type="dxa"/>
            <w:tcMar>
              <w:top w:w="57" w:type="dxa"/>
              <w:left w:w="0" w:type="dxa"/>
              <w:bottom w:w="57" w:type="dxa"/>
              <w:right w:w="0" w:type="dxa"/>
            </w:tcMar>
            <w:vAlign w:val="bottom"/>
          </w:tcPr>
          <w:p w14:paraId="36370EAE" w14:textId="77777777" w:rsidR="00C22CDE" w:rsidRPr="00C22CDE" w:rsidRDefault="00C22CDE" w:rsidP="00414621">
            <w:pPr>
              <w:spacing w:line="240" w:lineRule="atLeast"/>
              <w:ind w:right="113"/>
              <w:jc w:val="right"/>
              <w:rPr>
                <w:rFonts w:ascii="Tahoma" w:hAnsi="Tahoma"/>
                <w:color w:val="000000" w:themeColor="text1"/>
                <w:w w:val="70"/>
                <w:sz w:val="16"/>
                <w:lang w:val="en-GB"/>
              </w:rPr>
            </w:pPr>
            <w:r w:rsidRPr="00C22CDE">
              <w:rPr>
                <w:rFonts w:ascii="Tahoma" w:hAnsi="Tahoma"/>
                <w:color w:val="000000" w:themeColor="text1"/>
                <w:w w:val="70"/>
                <w:sz w:val="16"/>
                <w:lang w:val="en-GB"/>
              </w:rPr>
              <w:t>(238)</w:t>
            </w:r>
          </w:p>
        </w:tc>
      </w:tr>
      <w:tr w:rsidR="005001CB" w:rsidRPr="00C22CDE" w14:paraId="3B52E954" w14:textId="77777777" w:rsidTr="00611470">
        <w:trPr>
          <w:trHeight w:val="60"/>
        </w:trPr>
        <w:tc>
          <w:tcPr>
            <w:tcW w:w="3694" w:type="dxa"/>
            <w:tcBorders>
              <w:bottom w:val="single" w:sz="4" w:space="0" w:color="auto"/>
            </w:tcBorders>
            <w:tcMar>
              <w:top w:w="57" w:type="dxa"/>
              <w:left w:w="0" w:type="dxa"/>
              <w:bottom w:w="85" w:type="dxa"/>
              <w:right w:w="0" w:type="dxa"/>
            </w:tcMar>
            <w:vAlign w:val="bottom"/>
          </w:tcPr>
          <w:p w14:paraId="678C3FEB" w14:textId="77777777" w:rsidR="00C22CDE" w:rsidRPr="00C22CDE" w:rsidRDefault="00C22CDE" w:rsidP="00615190">
            <w:pPr>
              <w:spacing w:line="240" w:lineRule="atLeast"/>
              <w:rPr>
                <w:rFonts w:ascii="Tahoma" w:hAnsi="Tahoma"/>
                <w:color w:val="000000" w:themeColor="text1"/>
                <w:sz w:val="16"/>
                <w:lang w:val="en-GB"/>
              </w:rPr>
            </w:pPr>
            <w:r w:rsidRPr="00C22CDE">
              <w:rPr>
                <w:rFonts w:ascii="Tahoma" w:hAnsi="Tahoma"/>
                <w:color w:val="000000" w:themeColor="text1"/>
                <w:sz w:val="16"/>
                <w:lang w:val="en-GB"/>
              </w:rPr>
              <w:t>Transactions with non-controlling shareholders</w:t>
            </w:r>
            <w:r w:rsidRPr="00C22CDE">
              <w:rPr>
                <w:rFonts w:ascii="Tahoma" w:hAnsi="Tahoma"/>
                <w:color w:val="000000" w:themeColor="text1"/>
                <w:sz w:val="16"/>
                <w:vertAlign w:val="superscript"/>
                <w:lang w:val="en-GB"/>
              </w:rPr>
              <w:t>3</w:t>
            </w:r>
          </w:p>
        </w:tc>
        <w:tc>
          <w:tcPr>
            <w:tcW w:w="567" w:type="dxa"/>
            <w:tcBorders>
              <w:bottom w:val="single" w:sz="4" w:space="0" w:color="auto"/>
            </w:tcBorders>
            <w:tcMar>
              <w:top w:w="57" w:type="dxa"/>
              <w:left w:w="0" w:type="dxa"/>
              <w:bottom w:w="85" w:type="dxa"/>
              <w:right w:w="0" w:type="dxa"/>
            </w:tcMar>
            <w:vAlign w:val="bottom"/>
          </w:tcPr>
          <w:p w14:paraId="0A7D10FC"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567" w:type="dxa"/>
            <w:tcBorders>
              <w:bottom w:val="single" w:sz="4" w:space="0" w:color="auto"/>
            </w:tcBorders>
            <w:tcMar>
              <w:top w:w="57" w:type="dxa"/>
              <w:left w:w="0" w:type="dxa"/>
              <w:bottom w:w="85" w:type="dxa"/>
              <w:right w:w="0" w:type="dxa"/>
            </w:tcMar>
            <w:vAlign w:val="bottom"/>
          </w:tcPr>
          <w:p w14:paraId="7B015BA0"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9" w:type="dxa"/>
            <w:tcBorders>
              <w:bottom w:val="single" w:sz="4" w:space="0" w:color="auto"/>
            </w:tcBorders>
            <w:tcMar>
              <w:top w:w="57" w:type="dxa"/>
              <w:left w:w="0" w:type="dxa"/>
              <w:bottom w:w="85" w:type="dxa"/>
              <w:right w:w="0" w:type="dxa"/>
            </w:tcMar>
            <w:vAlign w:val="bottom"/>
          </w:tcPr>
          <w:p w14:paraId="7E24FF49"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8" w:type="dxa"/>
            <w:tcBorders>
              <w:bottom w:val="single" w:sz="4" w:space="0" w:color="auto"/>
            </w:tcBorders>
            <w:tcMar>
              <w:top w:w="57" w:type="dxa"/>
              <w:left w:w="0" w:type="dxa"/>
              <w:bottom w:w="85" w:type="dxa"/>
              <w:right w:w="0" w:type="dxa"/>
            </w:tcMar>
            <w:vAlign w:val="bottom"/>
          </w:tcPr>
          <w:p w14:paraId="6C627E97"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567" w:type="dxa"/>
            <w:tcBorders>
              <w:bottom w:val="single" w:sz="4" w:space="0" w:color="auto"/>
            </w:tcBorders>
            <w:tcMar>
              <w:top w:w="57" w:type="dxa"/>
              <w:left w:w="0" w:type="dxa"/>
              <w:bottom w:w="85" w:type="dxa"/>
              <w:right w:w="0" w:type="dxa"/>
            </w:tcMar>
            <w:vAlign w:val="bottom"/>
          </w:tcPr>
          <w:p w14:paraId="199F566D"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(247)</w:t>
            </w:r>
          </w:p>
        </w:tc>
        <w:tc>
          <w:tcPr>
            <w:tcW w:w="709" w:type="dxa"/>
            <w:tcBorders>
              <w:bottom w:val="single" w:sz="4" w:space="0" w:color="auto"/>
            </w:tcBorders>
            <w:tcMar>
              <w:top w:w="57" w:type="dxa"/>
              <w:left w:w="0" w:type="dxa"/>
              <w:bottom w:w="85" w:type="dxa"/>
              <w:right w:w="0" w:type="dxa"/>
            </w:tcMar>
            <w:vAlign w:val="bottom"/>
          </w:tcPr>
          <w:p w14:paraId="10C358E9"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w:t>
            </w:r>
          </w:p>
        </w:tc>
        <w:tc>
          <w:tcPr>
            <w:tcW w:w="709" w:type="dxa"/>
            <w:tcBorders>
              <w:bottom w:val="single" w:sz="4" w:space="0" w:color="auto"/>
            </w:tcBorders>
            <w:tcMar>
              <w:top w:w="57" w:type="dxa"/>
              <w:left w:w="0" w:type="dxa"/>
              <w:bottom w:w="85" w:type="dxa"/>
              <w:right w:w="0" w:type="dxa"/>
            </w:tcMar>
            <w:vAlign w:val="bottom"/>
          </w:tcPr>
          <w:p w14:paraId="313696CC"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87</w:t>
            </w:r>
          </w:p>
        </w:tc>
        <w:tc>
          <w:tcPr>
            <w:tcW w:w="567" w:type="dxa"/>
            <w:tcBorders>
              <w:bottom w:val="single" w:sz="4" w:space="0" w:color="auto"/>
            </w:tcBorders>
            <w:tcMar>
              <w:top w:w="57" w:type="dxa"/>
              <w:left w:w="0" w:type="dxa"/>
              <w:bottom w:w="85" w:type="dxa"/>
              <w:right w:w="0" w:type="dxa"/>
            </w:tcMar>
            <w:vAlign w:val="bottom"/>
          </w:tcPr>
          <w:p w14:paraId="1643D3C6"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(160)</w:t>
            </w:r>
          </w:p>
        </w:tc>
        <w:tc>
          <w:tcPr>
            <w:tcW w:w="709" w:type="dxa"/>
            <w:tcBorders>
              <w:bottom w:val="single" w:sz="4" w:space="0" w:color="auto"/>
            </w:tcBorders>
            <w:tcMar>
              <w:top w:w="57" w:type="dxa"/>
              <w:left w:w="0" w:type="dxa"/>
              <w:bottom w:w="85" w:type="dxa"/>
              <w:right w:w="0" w:type="dxa"/>
            </w:tcMar>
            <w:vAlign w:val="bottom"/>
          </w:tcPr>
          <w:p w14:paraId="4320073B"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(34)</w:t>
            </w:r>
          </w:p>
        </w:tc>
        <w:tc>
          <w:tcPr>
            <w:tcW w:w="700" w:type="dxa"/>
            <w:tcBorders>
              <w:bottom w:val="single" w:sz="4" w:space="0" w:color="auto"/>
            </w:tcBorders>
            <w:tcMar>
              <w:top w:w="57" w:type="dxa"/>
              <w:left w:w="0" w:type="dxa"/>
              <w:bottom w:w="85" w:type="dxa"/>
              <w:right w:w="0" w:type="dxa"/>
            </w:tcMar>
            <w:vAlign w:val="bottom"/>
          </w:tcPr>
          <w:p w14:paraId="3EC23408" w14:textId="77777777" w:rsidR="00C22CDE" w:rsidRPr="00C22CDE" w:rsidRDefault="00C22CDE" w:rsidP="00414621">
            <w:pPr>
              <w:spacing w:line="240" w:lineRule="atLeast"/>
              <w:ind w:right="113"/>
              <w:jc w:val="right"/>
              <w:rPr>
                <w:rFonts w:ascii="Tahoma" w:hAnsi="Tahoma"/>
                <w:color w:val="000000" w:themeColor="text1"/>
                <w:w w:val="70"/>
                <w:sz w:val="16"/>
                <w:lang w:val="en-GB"/>
              </w:rPr>
            </w:pPr>
            <w:r w:rsidRPr="00C22CDE">
              <w:rPr>
                <w:rFonts w:ascii="Tahoma" w:hAnsi="Tahoma"/>
                <w:color w:val="000000" w:themeColor="text1"/>
                <w:w w:val="70"/>
                <w:sz w:val="16"/>
                <w:lang w:val="en-GB"/>
              </w:rPr>
              <w:t>(194)</w:t>
            </w:r>
          </w:p>
        </w:tc>
      </w:tr>
      <w:tr w:rsidR="005001CB" w:rsidRPr="00C22CDE" w14:paraId="31F4CFBA" w14:textId="77777777" w:rsidTr="00611470">
        <w:trPr>
          <w:trHeight w:val="60"/>
        </w:trPr>
        <w:tc>
          <w:tcPr>
            <w:tcW w:w="3694" w:type="dxa"/>
            <w:tcBorders>
              <w:top w:val="single" w:sz="4" w:space="0" w:color="auto"/>
              <w:bottom w:val="single" w:sz="12" w:space="0" w:color="auto"/>
            </w:tcBorders>
            <w:tcMar>
              <w:top w:w="85" w:type="dxa"/>
              <w:left w:w="0" w:type="dxa"/>
              <w:bottom w:w="85" w:type="dxa"/>
              <w:right w:w="0" w:type="dxa"/>
            </w:tcMar>
            <w:vAlign w:val="bottom"/>
          </w:tcPr>
          <w:p w14:paraId="76CE0DDC" w14:textId="77777777" w:rsidR="00C22CDE" w:rsidRPr="002F078E" w:rsidRDefault="00C22CDE" w:rsidP="00615190">
            <w:pPr>
              <w:spacing w:line="240" w:lineRule="atLeast"/>
              <w:rPr>
                <w:rFonts w:ascii="Tahoma" w:hAnsi="Tahoma"/>
                <w:b/>
                <w:bCs/>
                <w:color w:val="000000" w:themeColor="text1"/>
                <w:sz w:val="16"/>
                <w:lang w:val="en-GB"/>
              </w:rPr>
            </w:pPr>
            <w:r w:rsidRPr="002F078E">
              <w:rPr>
                <w:rFonts w:ascii="Tahoma" w:hAnsi="Tahoma"/>
                <w:b/>
                <w:bCs/>
                <w:color w:val="000000" w:themeColor="text1"/>
                <w:sz w:val="16"/>
                <w:lang w:val="en-GB"/>
              </w:rPr>
              <w:t>Balance at 30 September 2021</w:t>
            </w:r>
          </w:p>
        </w:tc>
        <w:tc>
          <w:tcPr>
            <w:tcW w:w="567" w:type="dxa"/>
            <w:tcBorders>
              <w:top w:val="single" w:sz="4" w:space="0" w:color="auto"/>
              <w:bottom w:val="single" w:sz="12" w:space="0" w:color="auto"/>
            </w:tcBorders>
            <w:tcMar>
              <w:top w:w="85" w:type="dxa"/>
              <w:left w:w="0" w:type="dxa"/>
              <w:bottom w:w="85" w:type="dxa"/>
              <w:right w:w="0" w:type="dxa"/>
            </w:tcMar>
            <w:vAlign w:val="bottom"/>
          </w:tcPr>
          <w:p w14:paraId="59F6A2A9"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39 192</w:t>
            </w:r>
          </w:p>
        </w:tc>
        <w:tc>
          <w:tcPr>
            <w:tcW w:w="567" w:type="dxa"/>
            <w:tcBorders>
              <w:top w:val="single" w:sz="4" w:space="0" w:color="auto"/>
              <w:bottom w:val="single" w:sz="12" w:space="0" w:color="auto"/>
            </w:tcBorders>
            <w:tcMar>
              <w:top w:w="85" w:type="dxa"/>
              <w:left w:w="0" w:type="dxa"/>
              <w:bottom w:w="85" w:type="dxa"/>
              <w:right w:w="0" w:type="dxa"/>
            </w:tcMar>
            <w:vAlign w:val="bottom"/>
          </w:tcPr>
          <w:p w14:paraId="65CB2368"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(3 092)</w:t>
            </w:r>
          </w:p>
        </w:tc>
        <w:tc>
          <w:tcPr>
            <w:tcW w:w="709" w:type="dxa"/>
            <w:tcBorders>
              <w:top w:val="single" w:sz="4" w:space="0" w:color="auto"/>
              <w:bottom w:val="single" w:sz="12" w:space="0" w:color="auto"/>
            </w:tcBorders>
            <w:tcMar>
              <w:top w:w="85" w:type="dxa"/>
              <w:left w:w="0" w:type="dxa"/>
              <w:bottom w:w="85" w:type="dxa"/>
              <w:right w:w="0" w:type="dxa"/>
            </w:tcMar>
            <w:vAlign w:val="bottom"/>
          </w:tcPr>
          <w:p w14:paraId="3D1A29D8"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(866)</w:t>
            </w:r>
          </w:p>
        </w:tc>
        <w:tc>
          <w:tcPr>
            <w:tcW w:w="708" w:type="dxa"/>
            <w:tcBorders>
              <w:top w:val="single" w:sz="4" w:space="0" w:color="auto"/>
              <w:bottom w:val="single" w:sz="12" w:space="0" w:color="auto"/>
            </w:tcBorders>
            <w:tcMar>
              <w:top w:w="85" w:type="dxa"/>
              <w:left w:w="0" w:type="dxa"/>
              <w:bottom w:w="85" w:type="dxa"/>
              <w:right w:w="0" w:type="dxa"/>
            </w:tcMar>
            <w:vAlign w:val="bottom"/>
          </w:tcPr>
          <w:p w14:paraId="2FC40DE0"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6 274</w:t>
            </w:r>
          </w:p>
        </w:tc>
        <w:tc>
          <w:tcPr>
            <w:tcW w:w="567" w:type="dxa"/>
            <w:tcBorders>
              <w:top w:val="single" w:sz="4" w:space="0" w:color="auto"/>
              <w:bottom w:val="single" w:sz="12" w:space="0" w:color="auto"/>
            </w:tcBorders>
            <w:tcMar>
              <w:top w:w="85" w:type="dxa"/>
              <w:left w:w="0" w:type="dxa"/>
              <w:bottom w:w="85" w:type="dxa"/>
              <w:right w:w="0" w:type="dxa"/>
            </w:tcMar>
            <w:vAlign w:val="bottom"/>
          </w:tcPr>
          <w:p w14:paraId="0F550C04"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(43 639)</w:t>
            </w:r>
          </w:p>
        </w:tc>
        <w:tc>
          <w:tcPr>
            <w:tcW w:w="709" w:type="dxa"/>
            <w:tcBorders>
              <w:top w:val="single" w:sz="4" w:space="0" w:color="auto"/>
              <w:bottom w:val="single" w:sz="12" w:space="0" w:color="auto"/>
            </w:tcBorders>
            <w:tcMar>
              <w:top w:w="85" w:type="dxa"/>
              <w:left w:w="0" w:type="dxa"/>
              <w:bottom w:w="85" w:type="dxa"/>
              <w:right w:w="0" w:type="dxa"/>
            </w:tcMar>
            <w:vAlign w:val="bottom"/>
          </w:tcPr>
          <w:p w14:paraId="4CBAAD6D"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2 566</w:t>
            </w:r>
          </w:p>
        </w:tc>
        <w:tc>
          <w:tcPr>
            <w:tcW w:w="709" w:type="dxa"/>
            <w:tcBorders>
              <w:top w:val="single" w:sz="4" w:space="0" w:color="auto"/>
              <w:bottom w:val="single" w:sz="12" w:space="0" w:color="auto"/>
            </w:tcBorders>
            <w:tcMar>
              <w:top w:w="85" w:type="dxa"/>
              <w:left w:w="0" w:type="dxa"/>
              <w:bottom w:w="85" w:type="dxa"/>
              <w:right w:w="0" w:type="dxa"/>
            </w:tcMar>
            <w:vAlign w:val="bottom"/>
          </w:tcPr>
          <w:p w14:paraId="309BFC60"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54 213</w:t>
            </w:r>
          </w:p>
        </w:tc>
        <w:tc>
          <w:tcPr>
            <w:tcW w:w="567" w:type="dxa"/>
            <w:tcBorders>
              <w:top w:val="single" w:sz="4" w:space="0" w:color="auto"/>
              <w:bottom w:val="single" w:sz="12" w:space="0" w:color="auto"/>
            </w:tcBorders>
            <w:tcMar>
              <w:top w:w="85" w:type="dxa"/>
              <w:left w:w="0" w:type="dxa"/>
              <w:bottom w:w="85" w:type="dxa"/>
              <w:right w:w="0" w:type="dxa"/>
            </w:tcMar>
            <w:vAlign w:val="bottom"/>
          </w:tcPr>
          <w:p w14:paraId="6B2DB72E"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54 648</w:t>
            </w:r>
          </w:p>
        </w:tc>
        <w:tc>
          <w:tcPr>
            <w:tcW w:w="709" w:type="dxa"/>
            <w:tcBorders>
              <w:top w:val="single" w:sz="4" w:space="0" w:color="auto"/>
              <w:bottom w:val="single" w:sz="12" w:space="0" w:color="auto"/>
            </w:tcBorders>
            <w:tcMar>
              <w:top w:w="85" w:type="dxa"/>
              <w:left w:w="0" w:type="dxa"/>
              <w:bottom w:w="85" w:type="dxa"/>
              <w:right w:w="0" w:type="dxa"/>
            </w:tcMar>
            <w:vAlign w:val="bottom"/>
          </w:tcPr>
          <w:p w14:paraId="53D9446A" w14:textId="77777777" w:rsidR="00C22CDE" w:rsidRPr="00C22CDE" w:rsidRDefault="00C22CDE" w:rsidP="00414621">
            <w:pPr>
              <w:spacing w:line="240" w:lineRule="atLeast"/>
              <w:jc w:val="right"/>
              <w:rPr>
                <w:rFonts w:ascii="Tahoma" w:hAnsi="Tahoma"/>
                <w:color w:val="000000" w:themeColor="text1"/>
                <w:w w:val="70"/>
                <w:sz w:val="16"/>
                <w:lang w:val="en-GB"/>
              </w:rPr>
            </w:pPr>
            <w:r w:rsidRPr="00C22CDE">
              <w:rPr>
                <w:rFonts w:ascii="Tahoma" w:hAnsi="Tahoma"/>
                <w:color w:val="000000" w:themeColor="text1"/>
                <w:w w:val="70"/>
                <w:sz w:val="16"/>
                <w:lang w:val="en-GB"/>
              </w:rPr>
              <w:t>20</w:t>
            </w:r>
          </w:p>
        </w:tc>
        <w:tc>
          <w:tcPr>
            <w:tcW w:w="700" w:type="dxa"/>
            <w:tcBorders>
              <w:top w:val="single" w:sz="4" w:space="0" w:color="auto"/>
              <w:bottom w:val="single" w:sz="12" w:space="0" w:color="auto"/>
            </w:tcBorders>
            <w:tcMar>
              <w:top w:w="85" w:type="dxa"/>
              <w:left w:w="0" w:type="dxa"/>
              <w:bottom w:w="85" w:type="dxa"/>
              <w:right w:w="0" w:type="dxa"/>
            </w:tcMar>
            <w:vAlign w:val="bottom"/>
          </w:tcPr>
          <w:p w14:paraId="51227524" w14:textId="77777777" w:rsidR="00C22CDE" w:rsidRPr="00C22CDE" w:rsidRDefault="00C22CDE" w:rsidP="00414621">
            <w:pPr>
              <w:spacing w:line="240" w:lineRule="atLeast"/>
              <w:ind w:right="113"/>
              <w:jc w:val="right"/>
              <w:rPr>
                <w:rFonts w:ascii="Tahoma" w:hAnsi="Tahoma"/>
                <w:color w:val="000000" w:themeColor="text1"/>
                <w:w w:val="70"/>
                <w:sz w:val="16"/>
                <w:lang w:val="en-GB"/>
              </w:rPr>
            </w:pPr>
            <w:r w:rsidRPr="00C22CDE">
              <w:rPr>
                <w:rFonts w:ascii="Tahoma" w:hAnsi="Tahoma"/>
                <w:color w:val="000000" w:themeColor="text1"/>
                <w:w w:val="70"/>
                <w:sz w:val="16"/>
                <w:lang w:val="en-GB"/>
              </w:rPr>
              <w:t>54 668</w:t>
            </w:r>
          </w:p>
        </w:tc>
      </w:tr>
      <w:tr w:rsidR="004271FC" w:rsidRPr="00C22CDE" w14:paraId="22E83AC5" w14:textId="77777777" w:rsidTr="00611470">
        <w:trPr>
          <w:trHeight w:val="60"/>
        </w:trPr>
        <w:tc>
          <w:tcPr>
            <w:tcW w:w="10206" w:type="dxa"/>
            <w:gridSpan w:val="11"/>
            <w:tcBorders>
              <w:top w:val="single" w:sz="12" w:space="0" w:color="auto"/>
            </w:tcBorders>
            <w:tcMar>
              <w:top w:w="85" w:type="dxa"/>
              <w:left w:w="0" w:type="dxa"/>
              <w:bottom w:w="57" w:type="dxa"/>
              <w:right w:w="0" w:type="dxa"/>
            </w:tcMar>
            <w:vAlign w:val="bottom"/>
          </w:tcPr>
          <w:p w14:paraId="17D1F0C2" w14:textId="77777777" w:rsidR="004271FC" w:rsidRPr="004271FC" w:rsidRDefault="004271FC" w:rsidP="004271FC">
            <w:pPr>
              <w:pStyle w:val="FootnotesProsus2022FrontStylesProsus2022"/>
            </w:pPr>
            <w:r w:rsidRPr="004271FC">
              <w:t>1</w:t>
            </w:r>
            <w:r w:rsidRPr="004271FC">
              <w:tab/>
              <w:t>Relates to the group’s share exchange transaction in August 2021.</w:t>
            </w:r>
          </w:p>
          <w:p w14:paraId="6C0E0250" w14:textId="77777777" w:rsidR="004271FC" w:rsidRPr="004271FC" w:rsidRDefault="004271FC" w:rsidP="004271FC">
            <w:pPr>
              <w:pStyle w:val="FootnotesProsus2022FrontStylesProsus2022"/>
            </w:pPr>
            <w:r w:rsidRPr="004271FC">
              <w:t>2</w:t>
            </w:r>
            <w:r w:rsidRPr="004271FC">
              <w:tab/>
              <w:t xml:space="preserve">Dividends paid consist of US$81.6m (2021: US$97.2m) attributable to Naspers and US$108.5m (2021: US$141.2m) attributable to </w:t>
            </w:r>
            <w:proofErr w:type="spellStart"/>
            <w:r w:rsidRPr="004271FC">
              <w:t>Prosus</w:t>
            </w:r>
            <w:proofErr w:type="spellEnd"/>
            <w:r w:rsidRPr="004271FC">
              <w:t xml:space="preserve"> free float shareholders.</w:t>
            </w:r>
          </w:p>
          <w:p w14:paraId="707BADF9" w14:textId="77777777" w:rsidR="004271FC" w:rsidRPr="004271FC" w:rsidRDefault="004271FC" w:rsidP="004271FC">
            <w:pPr>
              <w:pStyle w:val="FootnotesProsus2022FrontStylesProsus2022"/>
            </w:pPr>
            <w:r w:rsidRPr="004271FC">
              <w:t>3</w:t>
            </w:r>
            <w:r w:rsidRPr="004271FC">
              <w:tab/>
              <w:t xml:space="preserve">The current year relates mainly to the liability recognised for the non-controlling shareholders of </w:t>
            </w:r>
            <w:proofErr w:type="spellStart"/>
            <w:r w:rsidRPr="004271FC">
              <w:t>iFood</w:t>
            </w:r>
            <w:proofErr w:type="spellEnd"/>
            <w:r w:rsidRPr="004271FC">
              <w:t xml:space="preserve"> (2021: relates to the group’s various disposals and other transactions with non-controlling interest resulted in the derecognition of non-controlling interest of US$34.4m) (refer to note 3).</w:t>
            </w:r>
          </w:p>
          <w:p w14:paraId="53CE0D7C" w14:textId="77777777" w:rsidR="004271FC" w:rsidRPr="00C22CDE" w:rsidRDefault="004271FC" w:rsidP="004271FC">
            <w:pPr>
              <w:pStyle w:val="FootnotesProsus2022FrontStylesProsus2022"/>
            </w:pPr>
            <w:r w:rsidRPr="004271FC">
              <w:t>4</w:t>
            </w:r>
            <w:r w:rsidRPr="004271FC">
              <w:tab/>
              <w:t xml:space="preserve">Refer to note 3 for details of the </w:t>
            </w:r>
            <w:proofErr w:type="spellStart"/>
            <w:r w:rsidRPr="004271FC">
              <w:t>Prosus</w:t>
            </w:r>
            <w:proofErr w:type="spellEnd"/>
            <w:r w:rsidRPr="004271FC">
              <w:t>/Naspers share repurchase programme.</w:t>
            </w:r>
          </w:p>
        </w:tc>
      </w:tr>
    </w:tbl>
    <w:p w14:paraId="4223608C" w14:textId="77777777" w:rsidR="00C22CDE" w:rsidRPr="00615190" w:rsidRDefault="00C22CDE" w:rsidP="00615190">
      <w:pPr>
        <w:spacing w:line="240" w:lineRule="atLeast"/>
        <w:rPr>
          <w:rFonts w:ascii="Tahoma" w:hAnsi="Tahoma"/>
          <w:color w:val="000000" w:themeColor="text1"/>
          <w:sz w:val="16"/>
        </w:rPr>
      </w:pPr>
    </w:p>
    <w:p w14:paraId="623BB18D" w14:textId="77777777" w:rsidR="00D96A7C" w:rsidRDefault="00D96A7C">
      <w:pPr>
        <w:rPr>
          <w:rFonts w:ascii="Tahoma" w:hAnsi="Tahoma"/>
          <w:color w:val="000000" w:themeColor="text1"/>
          <w:sz w:val="16"/>
        </w:rPr>
      </w:pPr>
      <w:r>
        <w:rPr>
          <w:rFonts w:ascii="Tahoma" w:hAnsi="Tahoma"/>
          <w:color w:val="000000" w:themeColor="text1"/>
          <w:sz w:val="16"/>
        </w:rPr>
        <w:br w:type="page"/>
      </w:r>
    </w:p>
    <w:p w14:paraId="27174E22" w14:textId="77777777" w:rsidR="00062F0A" w:rsidRPr="00615190" w:rsidRDefault="00062F0A" w:rsidP="00615190">
      <w:pPr>
        <w:spacing w:line="240" w:lineRule="atLeast"/>
        <w:rPr>
          <w:rFonts w:ascii="Tahoma" w:hAnsi="Tahoma"/>
          <w:color w:val="000000" w:themeColor="text1"/>
          <w:sz w:val="16"/>
        </w:rPr>
      </w:pPr>
    </w:p>
    <w:tbl>
      <w:tblPr>
        <w:tblW w:w="10206" w:type="dxa"/>
        <w:tblInd w:w="-8" w:type="dxa"/>
        <w:tblLayout w:type="fixed"/>
        <w:tblCellMar>
          <w:left w:w="0" w:type="dxa"/>
          <w:right w:w="0" w:type="dxa"/>
        </w:tblCellMar>
        <w:tblLook w:val="0000" w:firstRow="0" w:lastRow="0" w:firstColumn="0" w:lastColumn="0" w:noHBand="0" w:noVBand="0"/>
      </w:tblPr>
      <w:tblGrid>
        <w:gridCol w:w="3127"/>
        <w:gridCol w:w="701"/>
        <w:gridCol w:w="850"/>
        <w:gridCol w:w="709"/>
        <w:gridCol w:w="709"/>
        <w:gridCol w:w="708"/>
        <w:gridCol w:w="709"/>
        <w:gridCol w:w="709"/>
        <w:gridCol w:w="567"/>
        <w:gridCol w:w="709"/>
        <w:gridCol w:w="708"/>
      </w:tblGrid>
      <w:tr w:rsidR="009E6263" w:rsidRPr="00062F0A" w14:paraId="2F877295" w14:textId="77777777" w:rsidTr="00D5749D">
        <w:trPr>
          <w:trHeight w:val="60"/>
        </w:trPr>
        <w:tc>
          <w:tcPr>
            <w:tcW w:w="10206" w:type="dxa"/>
            <w:gridSpan w:val="11"/>
            <w:shd w:val="clear" w:color="auto" w:fill="auto"/>
            <w:tcMar>
              <w:top w:w="0" w:type="dxa"/>
              <w:left w:w="0" w:type="dxa"/>
              <w:bottom w:w="113" w:type="dxa"/>
              <w:right w:w="0" w:type="dxa"/>
            </w:tcMar>
            <w:vAlign w:val="bottom"/>
          </w:tcPr>
          <w:p w14:paraId="441D3502" w14:textId="77777777" w:rsidR="009E6263" w:rsidRPr="00062F0A" w:rsidRDefault="009E6263" w:rsidP="00615190">
            <w:pPr>
              <w:spacing w:line="240" w:lineRule="atLeast"/>
              <w:rPr>
                <w:rFonts w:ascii="Tahoma" w:hAnsi="Tahoma"/>
                <w:b/>
                <w:bCs/>
                <w:color w:val="000000" w:themeColor="text1"/>
                <w:w w:val="70"/>
                <w:sz w:val="16"/>
                <w:lang w:val="en-GB"/>
              </w:rPr>
            </w:pPr>
            <w:r w:rsidRPr="00C22CDE">
              <w:rPr>
                <w:rFonts w:ascii="Tahoma" w:hAnsi="Tahoma"/>
                <w:b/>
                <w:bCs/>
                <w:color w:val="000000" w:themeColor="text1"/>
                <w:sz w:val="20"/>
                <w:szCs w:val="20"/>
                <w:lang w:val="en-GB"/>
              </w:rPr>
              <w:t>CONDENSED CONSOLIDATED STATEMENT OF CHANGES IN EQUITY</w:t>
            </w:r>
            <w:r w:rsidRPr="00062F0A">
              <w:rPr>
                <w:rFonts w:ascii="Tahoma" w:hAnsi="Tahoma"/>
                <w:color w:val="000000" w:themeColor="text1"/>
                <w:sz w:val="16"/>
                <w:lang w:val="en-GB"/>
              </w:rPr>
              <w:t xml:space="preserve"> </w:t>
            </w:r>
            <w:r w:rsidRPr="00062F0A">
              <w:rPr>
                <w:rFonts w:ascii="Tahoma" w:hAnsi="Tahoma"/>
                <w:b/>
                <w:bCs/>
                <w:color w:val="000000" w:themeColor="text1"/>
                <w:sz w:val="16"/>
                <w:lang w:val="en-GB"/>
              </w:rPr>
              <w:t>(continued)</w:t>
            </w:r>
          </w:p>
        </w:tc>
      </w:tr>
      <w:tr w:rsidR="00615190" w:rsidRPr="00062F0A" w14:paraId="47E762F0" w14:textId="77777777" w:rsidTr="00D5749D">
        <w:trPr>
          <w:trHeight w:val="60"/>
        </w:trPr>
        <w:tc>
          <w:tcPr>
            <w:tcW w:w="3127" w:type="dxa"/>
            <w:tcBorders>
              <w:bottom w:val="single" w:sz="12" w:space="0" w:color="auto"/>
            </w:tcBorders>
            <w:shd w:val="clear" w:color="auto" w:fill="auto"/>
            <w:tcMar>
              <w:top w:w="0" w:type="dxa"/>
              <w:left w:w="0" w:type="dxa"/>
              <w:bottom w:w="113" w:type="dxa"/>
              <w:right w:w="0" w:type="dxa"/>
            </w:tcMar>
            <w:vAlign w:val="bottom"/>
          </w:tcPr>
          <w:p w14:paraId="7A438455" w14:textId="77777777" w:rsidR="00062F0A" w:rsidRPr="00062F0A" w:rsidRDefault="00062F0A" w:rsidP="00615190">
            <w:pPr>
              <w:spacing w:line="240" w:lineRule="atLeast"/>
              <w:rPr>
                <w:rFonts w:ascii="Tahoma" w:hAnsi="Tahoma"/>
                <w:color w:val="000000" w:themeColor="text1"/>
                <w:sz w:val="16"/>
                <w:lang w:val="en-GB"/>
              </w:rPr>
            </w:pPr>
          </w:p>
        </w:tc>
        <w:tc>
          <w:tcPr>
            <w:tcW w:w="701" w:type="dxa"/>
            <w:tcBorders>
              <w:bottom w:val="single" w:sz="12" w:space="0" w:color="auto"/>
            </w:tcBorders>
            <w:shd w:val="clear" w:color="auto" w:fill="auto"/>
            <w:tcMar>
              <w:top w:w="0" w:type="dxa"/>
              <w:left w:w="0" w:type="dxa"/>
              <w:bottom w:w="113" w:type="dxa"/>
              <w:right w:w="0" w:type="dxa"/>
            </w:tcMar>
            <w:vAlign w:val="bottom"/>
          </w:tcPr>
          <w:p w14:paraId="0B38B8A7"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 xml:space="preserve">Share </w:t>
            </w:r>
          </w:p>
          <w:p w14:paraId="1A10973E"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capital</w:t>
            </w:r>
          </w:p>
          <w:p w14:paraId="0986DE53"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and</w:t>
            </w:r>
          </w:p>
          <w:p w14:paraId="160BBD7E"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premium</w:t>
            </w:r>
          </w:p>
          <w:p w14:paraId="5B714C1C"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ordinary</w:t>
            </w:r>
          </w:p>
          <w:p w14:paraId="2481B700"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 xml:space="preserve"> shares</w:t>
            </w:r>
          </w:p>
          <w:p w14:paraId="1F5632E6" w14:textId="77777777" w:rsidR="00062F0A" w:rsidRPr="00062F0A" w:rsidRDefault="00062F0A" w:rsidP="009E6263">
            <w:pPr>
              <w:spacing w:line="240" w:lineRule="atLeast"/>
              <w:jc w:val="right"/>
              <w:rPr>
                <w:rFonts w:ascii="Tahoma" w:hAnsi="Tahoma"/>
                <w:b/>
                <w:bCs/>
                <w:color w:val="000000" w:themeColor="text1"/>
                <w:w w:val="70"/>
                <w:sz w:val="16"/>
                <w:lang w:val="en-GB"/>
              </w:rPr>
            </w:pPr>
            <w:proofErr w:type="spellStart"/>
            <w:r w:rsidRPr="00062F0A">
              <w:rPr>
                <w:rFonts w:ascii="Tahoma" w:hAnsi="Tahoma"/>
                <w:b/>
                <w:bCs/>
                <w:color w:val="000000" w:themeColor="text1"/>
                <w:w w:val="70"/>
                <w:sz w:val="16"/>
                <w:lang w:val="en-GB"/>
              </w:rPr>
              <w:t>US$’m</w:t>
            </w:r>
            <w:proofErr w:type="spellEnd"/>
          </w:p>
        </w:tc>
        <w:tc>
          <w:tcPr>
            <w:tcW w:w="850" w:type="dxa"/>
            <w:tcBorders>
              <w:bottom w:val="single" w:sz="12" w:space="0" w:color="auto"/>
            </w:tcBorders>
            <w:shd w:val="clear" w:color="auto" w:fill="auto"/>
            <w:tcMar>
              <w:top w:w="0" w:type="dxa"/>
              <w:left w:w="0" w:type="dxa"/>
              <w:bottom w:w="113" w:type="dxa"/>
              <w:right w:w="0" w:type="dxa"/>
            </w:tcMar>
            <w:vAlign w:val="bottom"/>
          </w:tcPr>
          <w:p w14:paraId="48EB685D"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Treasury</w:t>
            </w:r>
          </w:p>
          <w:p w14:paraId="0A0F8437"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shares</w:t>
            </w:r>
          </w:p>
          <w:p w14:paraId="104FEFF3" w14:textId="77777777" w:rsidR="00062F0A" w:rsidRPr="00062F0A" w:rsidRDefault="00062F0A" w:rsidP="009E6263">
            <w:pPr>
              <w:spacing w:line="240" w:lineRule="atLeast"/>
              <w:jc w:val="right"/>
              <w:rPr>
                <w:rFonts w:ascii="Tahoma" w:hAnsi="Tahoma"/>
                <w:b/>
                <w:bCs/>
                <w:color w:val="000000" w:themeColor="text1"/>
                <w:w w:val="70"/>
                <w:sz w:val="16"/>
                <w:lang w:val="en-GB"/>
              </w:rPr>
            </w:pPr>
            <w:proofErr w:type="spellStart"/>
            <w:r w:rsidRPr="00062F0A">
              <w:rPr>
                <w:rFonts w:ascii="Tahoma" w:hAnsi="Tahoma"/>
                <w:b/>
                <w:bCs/>
                <w:color w:val="000000" w:themeColor="text1"/>
                <w:w w:val="70"/>
                <w:sz w:val="16"/>
                <w:lang w:val="en-GB"/>
              </w:rPr>
              <w:t>US$’m</w:t>
            </w:r>
            <w:proofErr w:type="spellEnd"/>
          </w:p>
        </w:tc>
        <w:tc>
          <w:tcPr>
            <w:tcW w:w="709" w:type="dxa"/>
            <w:tcBorders>
              <w:bottom w:val="single" w:sz="12" w:space="0" w:color="auto"/>
            </w:tcBorders>
            <w:shd w:val="clear" w:color="auto" w:fill="auto"/>
            <w:tcMar>
              <w:top w:w="0" w:type="dxa"/>
              <w:left w:w="0" w:type="dxa"/>
              <w:bottom w:w="113" w:type="dxa"/>
              <w:right w:w="0" w:type="dxa"/>
            </w:tcMar>
            <w:vAlign w:val="bottom"/>
          </w:tcPr>
          <w:p w14:paraId="65B4F911"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Foreign</w:t>
            </w:r>
          </w:p>
          <w:p w14:paraId="6AC3FF6D"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currency</w:t>
            </w:r>
          </w:p>
          <w:p w14:paraId="7C2AFB45"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trans-</w:t>
            </w:r>
          </w:p>
          <w:p w14:paraId="17F67DE1" w14:textId="77777777" w:rsidR="00062F0A" w:rsidRPr="00062F0A" w:rsidRDefault="00062F0A" w:rsidP="009E6263">
            <w:pPr>
              <w:spacing w:line="240" w:lineRule="atLeast"/>
              <w:jc w:val="right"/>
              <w:rPr>
                <w:rFonts w:ascii="Tahoma" w:hAnsi="Tahoma"/>
                <w:b/>
                <w:bCs/>
                <w:color w:val="000000" w:themeColor="text1"/>
                <w:w w:val="70"/>
                <w:sz w:val="16"/>
                <w:lang w:val="en-GB"/>
              </w:rPr>
            </w:pPr>
            <w:proofErr w:type="spellStart"/>
            <w:r w:rsidRPr="00062F0A">
              <w:rPr>
                <w:rFonts w:ascii="Tahoma" w:hAnsi="Tahoma"/>
                <w:b/>
                <w:bCs/>
                <w:color w:val="000000" w:themeColor="text1"/>
                <w:w w:val="70"/>
                <w:sz w:val="16"/>
                <w:lang w:val="en-GB"/>
              </w:rPr>
              <w:t>lation</w:t>
            </w:r>
            <w:proofErr w:type="spellEnd"/>
          </w:p>
          <w:p w14:paraId="6647E54C"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reserve</w:t>
            </w:r>
          </w:p>
          <w:p w14:paraId="6F34762A" w14:textId="77777777" w:rsidR="00062F0A" w:rsidRPr="00062F0A" w:rsidRDefault="00062F0A" w:rsidP="009E6263">
            <w:pPr>
              <w:spacing w:line="240" w:lineRule="atLeast"/>
              <w:jc w:val="right"/>
              <w:rPr>
                <w:rFonts w:ascii="Tahoma" w:hAnsi="Tahoma"/>
                <w:b/>
                <w:bCs/>
                <w:color w:val="000000" w:themeColor="text1"/>
                <w:w w:val="70"/>
                <w:sz w:val="16"/>
                <w:lang w:val="en-GB"/>
              </w:rPr>
            </w:pPr>
            <w:proofErr w:type="spellStart"/>
            <w:r w:rsidRPr="00062F0A">
              <w:rPr>
                <w:rFonts w:ascii="Tahoma" w:hAnsi="Tahoma"/>
                <w:b/>
                <w:bCs/>
                <w:color w:val="000000" w:themeColor="text1"/>
                <w:w w:val="70"/>
                <w:sz w:val="16"/>
                <w:lang w:val="en-GB"/>
              </w:rPr>
              <w:t>US$’m</w:t>
            </w:r>
            <w:proofErr w:type="spellEnd"/>
          </w:p>
        </w:tc>
        <w:tc>
          <w:tcPr>
            <w:tcW w:w="709" w:type="dxa"/>
            <w:tcBorders>
              <w:bottom w:val="single" w:sz="12" w:space="0" w:color="auto"/>
            </w:tcBorders>
            <w:shd w:val="clear" w:color="auto" w:fill="auto"/>
            <w:tcMar>
              <w:top w:w="0" w:type="dxa"/>
              <w:left w:w="0" w:type="dxa"/>
              <w:bottom w:w="113" w:type="dxa"/>
              <w:right w:w="0" w:type="dxa"/>
            </w:tcMar>
            <w:vAlign w:val="bottom"/>
          </w:tcPr>
          <w:p w14:paraId="4AA61621"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Valuation</w:t>
            </w:r>
          </w:p>
          <w:p w14:paraId="60ABC6FA"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reserve</w:t>
            </w:r>
          </w:p>
          <w:p w14:paraId="38FD609A" w14:textId="77777777" w:rsidR="00062F0A" w:rsidRPr="00062F0A" w:rsidRDefault="00062F0A" w:rsidP="009E6263">
            <w:pPr>
              <w:spacing w:line="240" w:lineRule="atLeast"/>
              <w:jc w:val="right"/>
              <w:rPr>
                <w:rFonts w:ascii="Tahoma" w:hAnsi="Tahoma"/>
                <w:b/>
                <w:bCs/>
                <w:color w:val="000000" w:themeColor="text1"/>
                <w:w w:val="70"/>
                <w:sz w:val="16"/>
                <w:lang w:val="en-GB"/>
              </w:rPr>
            </w:pPr>
            <w:proofErr w:type="spellStart"/>
            <w:r w:rsidRPr="00062F0A">
              <w:rPr>
                <w:rFonts w:ascii="Tahoma" w:hAnsi="Tahoma"/>
                <w:b/>
                <w:bCs/>
                <w:color w:val="000000" w:themeColor="text1"/>
                <w:w w:val="70"/>
                <w:sz w:val="16"/>
                <w:lang w:val="en-GB"/>
              </w:rPr>
              <w:t>US$’m</w:t>
            </w:r>
            <w:proofErr w:type="spellEnd"/>
          </w:p>
        </w:tc>
        <w:tc>
          <w:tcPr>
            <w:tcW w:w="708" w:type="dxa"/>
            <w:tcBorders>
              <w:bottom w:val="single" w:sz="12" w:space="0" w:color="auto"/>
            </w:tcBorders>
            <w:shd w:val="clear" w:color="auto" w:fill="auto"/>
            <w:tcMar>
              <w:top w:w="0" w:type="dxa"/>
              <w:left w:w="0" w:type="dxa"/>
              <w:bottom w:w="113" w:type="dxa"/>
              <w:right w:w="0" w:type="dxa"/>
            </w:tcMar>
            <w:vAlign w:val="bottom"/>
          </w:tcPr>
          <w:p w14:paraId="6B6FD07B"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Existing</w:t>
            </w:r>
          </w:p>
          <w:p w14:paraId="3B9DE509"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control</w:t>
            </w:r>
          </w:p>
          <w:p w14:paraId="336868E8"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business</w:t>
            </w:r>
          </w:p>
          <w:p w14:paraId="478D4F91"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combi-</w:t>
            </w:r>
          </w:p>
          <w:p w14:paraId="13324BDD"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nation</w:t>
            </w:r>
          </w:p>
          <w:p w14:paraId="0B951D21"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reserve</w:t>
            </w:r>
          </w:p>
          <w:p w14:paraId="728B252C" w14:textId="77777777" w:rsidR="00062F0A" w:rsidRPr="00062F0A" w:rsidRDefault="00062F0A" w:rsidP="009E6263">
            <w:pPr>
              <w:spacing w:line="240" w:lineRule="atLeast"/>
              <w:jc w:val="right"/>
              <w:rPr>
                <w:rFonts w:ascii="Tahoma" w:hAnsi="Tahoma"/>
                <w:b/>
                <w:bCs/>
                <w:color w:val="000000" w:themeColor="text1"/>
                <w:w w:val="70"/>
                <w:sz w:val="16"/>
                <w:lang w:val="en-GB"/>
              </w:rPr>
            </w:pPr>
            <w:proofErr w:type="spellStart"/>
            <w:r w:rsidRPr="00062F0A">
              <w:rPr>
                <w:rFonts w:ascii="Tahoma" w:hAnsi="Tahoma"/>
                <w:b/>
                <w:bCs/>
                <w:color w:val="000000" w:themeColor="text1"/>
                <w:w w:val="70"/>
                <w:sz w:val="16"/>
                <w:lang w:val="en-GB"/>
              </w:rPr>
              <w:t>US$’m</w:t>
            </w:r>
            <w:proofErr w:type="spellEnd"/>
          </w:p>
        </w:tc>
        <w:tc>
          <w:tcPr>
            <w:tcW w:w="709" w:type="dxa"/>
            <w:tcBorders>
              <w:bottom w:val="single" w:sz="12" w:space="0" w:color="auto"/>
            </w:tcBorders>
            <w:shd w:val="clear" w:color="auto" w:fill="auto"/>
            <w:tcMar>
              <w:top w:w="0" w:type="dxa"/>
              <w:left w:w="0" w:type="dxa"/>
              <w:bottom w:w="113" w:type="dxa"/>
              <w:right w:w="0" w:type="dxa"/>
            </w:tcMar>
            <w:vAlign w:val="bottom"/>
          </w:tcPr>
          <w:p w14:paraId="5F1DECF0"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Share-</w:t>
            </w:r>
          </w:p>
          <w:p w14:paraId="1A179905"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based</w:t>
            </w:r>
          </w:p>
          <w:p w14:paraId="16560287" w14:textId="77777777" w:rsidR="00062F0A" w:rsidRPr="00062F0A" w:rsidRDefault="00062F0A" w:rsidP="009E6263">
            <w:pPr>
              <w:spacing w:line="240" w:lineRule="atLeast"/>
              <w:jc w:val="right"/>
              <w:rPr>
                <w:rFonts w:ascii="Tahoma" w:hAnsi="Tahoma"/>
                <w:b/>
                <w:bCs/>
                <w:color w:val="000000" w:themeColor="text1"/>
                <w:w w:val="70"/>
                <w:sz w:val="16"/>
                <w:lang w:val="en-GB"/>
              </w:rPr>
            </w:pPr>
            <w:proofErr w:type="spellStart"/>
            <w:r w:rsidRPr="00062F0A">
              <w:rPr>
                <w:rFonts w:ascii="Tahoma" w:hAnsi="Tahoma"/>
                <w:b/>
                <w:bCs/>
                <w:color w:val="000000" w:themeColor="text1"/>
                <w:w w:val="70"/>
                <w:sz w:val="16"/>
                <w:lang w:val="en-GB"/>
              </w:rPr>
              <w:t>compen</w:t>
            </w:r>
            <w:proofErr w:type="spellEnd"/>
            <w:r w:rsidRPr="00062F0A">
              <w:rPr>
                <w:rFonts w:ascii="Tahoma" w:hAnsi="Tahoma"/>
                <w:b/>
                <w:bCs/>
                <w:color w:val="000000" w:themeColor="text1"/>
                <w:w w:val="70"/>
                <w:sz w:val="16"/>
                <w:lang w:val="en-GB"/>
              </w:rPr>
              <w:t>-</w:t>
            </w:r>
          </w:p>
          <w:p w14:paraId="7CABA0DF" w14:textId="77777777" w:rsidR="00062F0A" w:rsidRPr="00062F0A" w:rsidRDefault="00062F0A" w:rsidP="009E6263">
            <w:pPr>
              <w:spacing w:line="240" w:lineRule="atLeast"/>
              <w:jc w:val="right"/>
              <w:rPr>
                <w:rFonts w:ascii="Tahoma" w:hAnsi="Tahoma"/>
                <w:b/>
                <w:bCs/>
                <w:color w:val="000000" w:themeColor="text1"/>
                <w:w w:val="70"/>
                <w:sz w:val="16"/>
                <w:lang w:val="en-GB"/>
              </w:rPr>
            </w:pPr>
            <w:proofErr w:type="spellStart"/>
            <w:r w:rsidRPr="00062F0A">
              <w:rPr>
                <w:rFonts w:ascii="Tahoma" w:hAnsi="Tahoma"/>
                <w:b/>
                <w:bCs/>
                <w:color w:val="000000" w:themeColor="text1"/>
                <w:w w:val="70"/>
                <w:sz w:val="16"/>
                <w:lang w:val="en-GB"/>
              </w:rPr>
              <w:t>sation</w:t>
            </w:r>
            <w:proofErr w:type="spellEnd"/>
          </w:p>
          <w:p w14:paraId="5F47952E"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reserve</w:t>
            </w:r>
          </w:p>
          <w:p w14:paraId="5832DD73" w14:textId="77777777" w:rsidR="00062F0A" w:rsidRPr="00062F0A" w:rsidRDefault="00062F0A" w:rsidP="009E6263">
            <w:pPr>
              <w:spacing w:line="240" w:lineRule="atLeast"/>
              <w:jc w:val="right"/>
              <w:rPr>
                <w:rFonts w:ascii="Tahoma" w:hAnsi="Tahoma"/>
                <w:b/>
                <w:bCs/>
                <w:color w:val="000000" w:themeColor="text1"/>
                <w:w w:val="70"/>
                <w:sz w:val="16"/>
                <w:lang w:val="en-GB"/>
              </w:rPr>
            </w:pPr>
            <w:proofErr w:type="spellStart"/>
            <w:r w:rsidRPr="00062F0A">
              <w:rPr>
                <w:rFonts w:ascii="Tahoma" w:hAnsi="Tahoma"/>
                <w:b/>
                <w:bCs/>
                <w:color w:val="000000" w:themeColor="text1"/>
                <w:w w:val="70"/>
                <w:sz w:val="16"/>
                <w:lang w:val="en-GB"/>
              </w:rPr>
              <w:t>US$’m</w:t>
            </w:r>
            <w:proofErr w:type="spellEnd"/>
          </w:p>
        </w:tc>
        <w:tc>
          <w:tcPr>
            <w:tcW w:w="709" w:type="dxa"/>
            <w:tcBorders>
              <w:bottom w:val="single" w:sz="12" w:space="0" w:color="auto"/>
            </w:tcBorders>
            <w:shd w:val="clear" w:color="auto" w:fill="auto"/>
            <w:tcMar>
              <w:top w:w="0" w:type="dxa"/>
              <w:left w:w="0" w:type="dxa"/>
              <w:bottom w:w="113" w:type="dxa"/>
              <w:right w:w="0" w:type="dxa"/>
            </w:tcMar>
            <w:vAlign w:val="bottom"/>
          </w:tcPr>
          <w:p w14:paraId="32667984"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Retained</w:t>
            </w:r>
          </w:p>
          <w:p w14:paraId="205096A5"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earnings</w:t>
            </w:r>
          </w:p>
          <w:p w14:paraId="4EAFFBAD" w14:textId="77777777" w:rsidR="00062F0A" w:rsidRPr="00062F0A" w:rsidRDefault="00062F0A" w:rsidP="009E6263">
            <w:pPr>
              <w:spacing w:line="240" w:lineRule="atLeast"/>
              <w:jc w:val="right"/>
              <w:rPr>
                <w:rFonts w:ascii="Tahoma" w:hAnsi="Tahoma"/>
                <w:b/>
                <w:bCs/>
                <w:color w:val="000000" w:themeColor="text1"/>
                <w:w w:val="70"/>
                <w:sz w:val="16"/>
                <w:lang w:val="en-GB"/>
              </w:rPr>
            </w:pPr>
            <w:proofErr w:type="spellStart"/>
            <w:r w:rsidRPr="00062F0A">
              <w:rPr>
                <w:rFonts w:ascii="Tahoma" w:hAnsi="Tahoma"/>
                <w:b/>
                <w:bCs/>
                <w:color w:val="000000" w:themeColor="text1"/>
                <w:w w:val="70"/>
                <w:sz w:val="16"/>
                <w:lang w:val="en-GB"/>
              </w:rPr>
              <w:t>US$’m</w:t>
            </w:r>
            <w:proofErr w:type="spellEnd"/>
          </w:p>
        </w:tc>
        <w:tc>
          <w:tcPr>
            <w:tcW w:w="567" w:type="dxa"/>
            <w:tcBorders>
              <w:bottom w:val="single" w:sz="12" w:space="0" w:color="auto"/>
            </w:tcBorders>
            <w:shd w:val="clear" w:color="auto" w:fill="auto"/>
            <w:tcMar>
              <w:top w:w="0" w:type="dxa"/>
              <w:left w:w="0" w:type="dxa"/>
              <w:bottom w:w="113" w:type="dxa"/>
              <w:right w:w="0" w:type="dxa"/>
            </w:tcMar>
            <w:vAlign w:val="bottom"/>
          </w:tcPr>
          <w:p w14:paraId="5056FD7B"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Share-</w:t>
            </w:r>
          </w:p>
          <w:p w14:paraId="34472529"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holders’</w:t>
            </w:r>
          </w:p>
          <w:p w14:paraId="286968B1"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funds</w:t>
            </w:r>
          </w:p>
          <w:p w14:paraId="6EE21D1F" w14:textId="77777777" w:rsidR="00062F0A" w:rsidRPr="00062F0A" w:rsidRDefault="00062F0A" w:rsidP="009E6263">
            <w:pPr>
              <w:spacing w:line="240" w:lineRule="atLeast"/>
              <w:jc w:val="right"/>
              <w:rPr>
                <w:rFonts w:ascii="Tahoma" w:hAnsi="Tahoma"/>
                <w:b/>
                <w:bCs/>
                <w:color w:val="000000" w:themeColor="text1"/>
                <w:w w:val="70"/>
                <w:sz w:val="16"/>
                <w:lang w:val="en-GB"/>
              </w:rPr>
            </w:pPr>
            <w:proofErr w:type="spellStart"/>
            <w:r w:rsidRPr="00062F0A">
              <w:rPr>
                <w:rFonts w:ascii="Tahoma" w:hAnsi="Tahoma"/>
                <w:b/>
                <w:bCs/>
                <w:color w:val="000000" w:themeColor="text1"/>
                <w:w w:val="70"/>
                <w:sz w:val="16"/>
                <w:lang w:val="en-GB"/>
              </w:rPr>
              <w:t>US$’m</w:t>
            </w:r>
            <w:proofErr w:type="spellEnd"/>
          </w:p>
        </w:tc>
        <w:tc>
          <w:tcPr>
            <w:tcW w:w="709" w:type="dxa"/>
            <w:tcBorders>
              <w:bottom w:val="single" w:sz="12" w:space="0" w:color="auto"/>
            </w:tcBorders>
            <w:shd w:val="clear" w:color="auto" w:fill="auto"/>
            <w:tcMar>
              <w:top w:w="0" w:type="dxa"/>
              <w:left w:w="0" w:type="dxa"/>
              <w:bottom w:w="113" w:type="dxa"/>
              <w:right w:w="0" w:type="dxa"/>
            </w:tcMar>
            <w:vAlign w:val="bottom"/>
          </w:tcPr>
          <w:p w14:paraId="738431C2"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Non-</w:t>
            </w:r>
          </w:p>
          <w:p w14:paraId="3175D74A"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controlling</w:t>
            </w:r>
          </w:p>
          <w:p w14:paraId="10D0F672"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interests</w:t>
            </w:r>
          </w:p>
          <w:p w14:paraId="3B8B2E9C" w14:textId="77777777" w:rsidR="00062F0A" w:rsidRPr="00062F0A" w:rsidRDefault="00062F0A" w:rsidP="009E6263">
            <w:pPr>
              <w:spacing w:line="240" w:lineRule="atLeast"/>
              <w:jc w:val="right"/>
              <w:rPr>
                <w:rFonts w:ascii="Tahoma" w:hAnsi="Tahoma"/>
                <w:b/>
                <w:bCs/>
                <w:color w:val="000000" w:themeColor="text1"/>
                <w:w w:val="70"/>
                <w:sz w:val="16"/>
                <w:lang w:val="en-GB"/>
              </w:rPr>
            </w:pPr>
            <w:proofErr w:type="spellStart"/>
            <w:r w:rsidRPr="00062F0A">
              <w:rPr>
                <w:rFonts w:ascii="Tahoma" w:hAnsi="Tahoma"/>
                <w:b/>
                <w:bCs/>
                <w:color w:val="000000" w:themeColor="text1"/>
                <w:w w:val="70"/>
                <w:sz w:val="16"/>
                <w:lang w:val="en-GB"/>
              </w:rPr>
              <w:t>US$’m</w:t>
            </w:r>
            <w:proofErr w:type="spellEnd"/>
          </w:p>
        </w:tc>
        <w:tc>
          <w:tcPr>
            <w:tcW w:w="708" w:type="dxa"/>
            <w:tcBorders>
              <w:bottom w:val="single" w:sz="12" w:space="0" w:color="auto"/>
            </w:tcBorders>
            <w:shd w:val="clear" w:color="auto" w:fill="auto"/>
            <w:tcMar>
              <w:top w:w="0" w:type="dxa"/>
              <w:left w:w="0" w:type="dxa"/>
              <w:bottom w:w="113" w:type="dxa"/>
              <w:right w:w="0" w:type="dxa"/>
            </w:tcMar>
            <w:vAlign w:val="bottom"/>
          </w:tcPr>
          <w:p w14:paraId="6587DD2D" w14:textId="77777777" w:rsidR="00062F0A" w:rsidRPr="00062F0A" w:rsidRDefault="00062F0A" w:rsidP="000554B9">
            <w:pPr>
              <w:spacing w:line="240" w:lineRule="atLeast"/>
              <w:ind w:right="113"/>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Total</w:t>
            </w:r>
          </w:p>
          <w:p w14:paraId="283D04A1" w14:textId="77777777" w:rsidR="00062F0A" w:rsidRPr="00062F0A" w:rsidRDefault="00062F0A" w:rsidP="000554B9">
            <w:pPr>
              <w:spacing w:line="240" w:lineRule="atLeast"/>
              <w:ind w:right="113"/>
              <w:jc w:val="right"/>
              <w:rPr>
                <w:rFonts w:ascii="Tahoma" w:hAnsi="Tahoma"/>
                <w:b/>
                <w:bCs/>
                <w:color w:val="000000" w:themeColor="text1"/>
                <w:w w:val="70"/>
                <w:sz w:val="16"/>
                <w:lang w:val="en-GB"/>
              </w:rPr>
            </w:pPr>
            <w:proofErr w:type="spellStart"/>
            <w:r w:rsidRPr="00062F0A">
              <w:rPr>
                <w:rFonts w:ascii="Tahoma" w:hAnsi="Tahoma"/>
                <w:b/>
                <w:bCs/>
                <w:color w:val="000000" w:themeColor="text1"/>
                <w:w w:val="70"/>
                <w:sz w:val="16"/>
                <w:lang w:val="en-GB"/>
              </w:rPr>
              <w:t>US$’m</w:t>
            </w:r>
            <w:proofErr w:type="spellEnd"/>
          </w:p>
        </w:tc>
      </w:tr>
      <w:tr w:rsidR="00154C7C" w:rsidRPr="00062F0A" w14:paraId="0A191F0D" w14:textId="77777777" w:rsidTr="00D5749D">
        <w:trPr>
          <w:trHeight w:val="60"/>
        </w:trPr>
        <w:tc>
          <w:tcPr>
            <w:tcW w:w="3127" w:type="dxa"/>
            <w:tcBorders>
              <w:top w:val="single" w:sz="12" w:space="0" w:color="auto"/>
            </w:tcBorders>
            <w:shd w:val="clear" w:color="auto" w:fill="auto"/>
            <w:tcMar>
              <w:top w:w="142" w:type="dxa"/>
              <w:left w:w="0" w:type="dxa"/>
              <w:bottom w:w="57" w:type="dxa"/>
              <w:right w:w="0" w:type="dxa"/>
            </w:tcMar>
            <w:vAlign w:val="bottom"/>
          </w:tcPr>
          <w:p w14:paraId="12CB71D9" w14:textId="77777777" w:rsidR="00062F0A" w:rsidRPr="00062F0A" w:rsidRDefault="00062F0A" w:rsidP="00615190">
            <w:pPr>
              <w:spacing w:line="240" w:lineRule="atLeast"/>
              <w:rPr>
                <w:rFonts w:ascii="Tahoma" w:hAnsi="Tahoma"/>
                <w:b/>
                <w:bCs/>
                <w:color w:val="000000" w:themeColor="text1"/>
                <w:sz w:val="16"/>
                <w:lang w:val="en-GB"/>
              </w:rPr>
            </w:pPr>
            <w:r w:rsidRPr="00062F0A">
              <w:rPr>
                <w:rFonts w:ascii="Tahoma" w:hAnsi="Tahoma"/>
                <w:b/>
                <w:bCs/>
                <w:color w:val="000000" w:themeColor="text1"/>
                <w:sz w:val="16"/>
                <w:lang w:val="en-GB"/>
              </w:rPr>
              <w:t>Balance at 1 April 2022</w:t>
            </w:r>
          </w:p>
        </w:tc>
        <w:tc>
          <w:tcPr>
            <w:tcW w:w="701" w:type="dxa"/>
            <w:tcBorders>
              <w:top w:val="single" w:sz="12" w:space="0" w:color="auto"/>
            </w:tcBorders>
            <w:shd w:val="clear" w:color="auto" w:fill="auto"/>
            <w:tcMar>
              <w:top w:w="142" w:type="dxa"/>
              <w:left w:w="0" w:type="dxa"/>
              <w:bottom w:w="57" w:type="dxa"/>
              <w:right w:w="0" w:type="dxa"/>
            </w:tcMar>
            <w:vAlign w:val="bottom"/>
          </w:tcPr>
          <w:p w14:paraId="21DB5173"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39 190</w:t>
            </w:r>
          </w:p>
        </w:tc>
        <w:tc>
          <w:tcPr>
            <w:tcW w:w="850" w:type="dxa"/>
            <w:tcBorders>
              <w:top w:val="single" w:sz="12" w:space="0" w:color="auto"/>
            </w:tcBorders>
            <w:shd w:val="clear" w:color="auto" w:fill="auto"/>
            <w:tcMar>
              <w:top w:w="142" w:type="dxa"/>
              <w:left w:w="0" w:type="dxa"/>
              <w:bottom w:w="57" w:type="dxa"/>
              <w:right w:w="0" w:type="dxa"/>
            </w:tcMar>
            <w:vAlign w:val="bottom"/>
          </w:tcPr>
          <w:p w14:paraId="75D0646B"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(6 411)</w:t>
            </w:r>
          </w:p>
        </w:tc>
        <w:tc>
          <w:tcPr>
            <w:tcW w:w="709" w:type="dxa"/>
            <w:tcBorders>
              <w:top w:val="single" w:sz="12" w:space="0" w:color="auto"/>
            </w:tcBorders>
            <w:shd w:val="clear" w:color="auto" w:fill="auto"/>
            <w:tcMar>
              <w:top w:w="142" w:type="dxa"/>
              <w:left w:w="0" w:type="dxa"/>
              <w:bottom w:w="57" w:type="dxa"/>
              <w:right w:w="0" w:type="dxa"/>
            </w:tcMar>
            <w:vAlign w:val="bottom"/>
          </w:tcPr>
          <w:p w14:paraId="56A94D30"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(358)</w:t>
            </w:r>
          </w:p>
        </w:tc>
        <w:tc>
          <w:tcPr>
            <w:tcW w:w="709" w:type="dxa"/>
            <w:tcBorders>
              <w:top w:val="single" w:sz="12" w:space="0" w:color="auto"/>
            </w:tcBorders>
            <w:shd w:val="clear" w:color="auto" w:fill="auto"/>
            <w:tcMar>
              <w:top w:w="142" w:type="dxa"/>
              <w:left w:w="0" w:type="dxa"/>
              <w:bottom w:w="57" w:type="dxa"/>
              <w:right w:w="0" w:type="dxa"/>
            </w:tcMar>
            <w:vAlign w:val="bottom"/>
          </w:tcPr>
          <w:p w14:paraId="38030F11"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65</w:t>
            </w:r>
          </w:p>
        </w:tc>
        <w:tc>
          <w:tcPr>
            <w:tcW w:w="708" w:type="dxa"/>
            <w:tcBorders>
              <w:top w:val="single" w:sz="12" w:space="0" w:color="auto"/>
            </w:tcBorders>
            <w:shd w:val="clear" w:color="auto" w:fill="auto"/>
            <w:tcMar>
              <w:top w:w="142" w:type="dxa"/>
              <w:left w:w="0" w:type="dxa"/>
              <w:bottom w:w="57" w:type="dxa"/>
              <w:right w:w="0" w:type="dxa"/>
            </w:tcMar>
            <w:vAlign w:val="bottom"/>
          </w:tcPr>
          <w:p w14:paraId="6865D6D7" w14:textId="43A31241"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(43 48</w:t>
            </w:r>
            <w:r w:rsidR="008C55BB">
              <w:rPr>
                <w:rFonts w:ascii="Tahoma" w:hAnsi="Tahoma"/>
                <w:b/>
                <w:bCs/>
                <w:color w:val="000000" w:themeColor="text1"/>
                <w:w w:val="70"/>
                <w:sz w:val="16"/>
                <w:lang w:val="en-GB"/>
              </w:rPr>
              <w:t>7</w:t>
            </w:r>
            <w:r w:rsidRPr="00062F0A">
              <w:rPr>
                <w:rFonts w:ascii="Tahoma" w:hAnsi="Tahoma"/>
                <w:b/>
                <w:bCs/>
                <w:color w:val="000000" w:themeColor="text1"/>
                <w:w w:val="70"/>
                <w:sz w:val="16"/>
                <w:lang w:val="en-GB"/>
              </w:rPr>
              <w:t>)</w:t>
            </w:r>
          </w:p>
        </w:tc>
        <w:tc>
          <w:tcPr>
            <w:tcW w:w="709" w:type="dxa"/>
            <w:tcBorders>
              <w:top w:val="single" w:sz="12" w:space="0" w:color="auto"/>
            </w:tcBorders>
            <w:shd w:val="clear" w:color="auto" w:fill="auto"/>
            <w:tcMar>
              <w:top w:w="142" w:type="dxa"/>
              <w:left w:w="0" w:type="dxa"/>
              <w:bottom w:w="57" w:type="dxa"/>
              <w:right w:w="0" w:type="dxa"/>
            </w:tcMar>
            <w:vAlign w:val="bottom"/>
          </w:tcPr>
          <w:p w14:paraId="25EFE3E1" w14:textId="3713933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3 22</w:t>
            </w:r>
            <w:r w:rsidR="008C55BB">
              <w:rPr>
                <w:rFonts w:ascii="Tahoma" w:hAnsi="Tahoma"/>
                <w:b/>
                <w:bCs/>
                <w:color w:val="000000" w:themeColor="text1"/>
                <w:w w:val="70"/>
                <w:sz w:val="16"/>
                <w:lang w:val="en-GB"/>
              </w:rPr>
              <w:t>3</w:t>
            </w:r>
          </w:p>
        </w:tc>
        <w:tc>
          <w:tcPr>
            <w:tcW w:w="709" w:type="dxa"/>
            <w:tcBorders>
              <w:top w:val="single" w:sz="12" w:space="0" w:color="auto"/>
            </w:tcBorders>
            <w:shd w:val="clear" w:color="auto" w:fill="auto"/>
            <w:tcMar>
              <w:top w:w="142" w:type="dxa"/>
              <w:left w:w="0" w:type="dxa"/>
              <w:bottom w:w="57" w:type="dxa"/>
              <w:right w:w="0" w:type="dxa"/>
            </w:tcMar>
            <w:vAlign w:val="bottom"/>
          </w:tcPr>
          <w:p w14:paraId="7F05E62F"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58 199</w:t>
            </w:r>
          </w:p>
        </w:tc>
        <w:tc>
          <w:tcPr>
            <w:tcW w:w="567" w:type="dxa"/>
            <w:tcBorders>
              <w:top w:val="single" w:sz="12" w:space="0" w:color="auto"/>
            </w:tcBorders>
            <w:shd w:val="clear" w:color="auto" w:fill="auto"/>
            <w:tcMar>
              <w:top w:w="142" w:type="dxa"/>
              <w:left w:w="0" w:type="dxa"/>
              <w:bottom w:w="57" w:type="dxa"/>
              <w:right w:w="0" w:type="dxa"/>
            </w:tcMar>
            <w:vAlign w:val="bottom"/>
          </w:tcPr>
          <w:p w14:paraId="205C82CD"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50 421</w:t>
            </w:r>
          </w:p>
        </w:tc>
        <w:tc>
          <w:tcPr>
            <w:tcW w:w="709" w:type="dxa"/>
            <w:tcBorders>
              <w:top w:val="single" w:sz="12" w:space="0" w:color="auto"/>
            </w:tcBorders>
            <w:shd w:val="clear" w:color="auto" w:fill="auto"/>
            <w:tcMar>
              <w:top w:w="142" w:type="dxa"/>
              <w:left w:w="0" w:type="dxa"/>
              <w:bottom w:w="57" w:type="dxa"/>
              <w:right w:w="0" w:type="dxa"/>
            </w:tcMar>
            <w:vAlign w:val="bottom"/>
          </w:tcPr>
          <w:p w14:paraId="1812B157"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102</w:t>
            </w:r>
          </w:p>
        </w:tc>
        <w:tc>
          <w:tcPr>
            <w:tcW w:w="708" w:type="dxa"/>
            <w:tcBorders>
              <w:top w:val="single" w:sz="12" w:space="0" w:color="auto"/>
            </w:tcBorders>
            <w:shd w:val="clear" w:color="auto" w:fill="auto"/>
            <w:tcMar>
              <w:top w:w="142" w:type="dxa"/>
              <w:left w:w="0" w:type="dxa"/>
              <w:bottom w:w="57" w:type="dxa"/>
              <w:right w:w="0" w:type="dxa"/>
            </w:tcMar>
            <w:vAlign w:val="bottom"/>
          </w:tcPr>
          <w:p w14:paraId="202A194B" w14:textId="77777777" w:rsidR="00062F0A" w:rsidRPr="00062F0A" w:rsidRDefault="00062F0A" w:rsidP="00CA4314">
            <w:pPr>
              <w:spacing w:line="240" w:lineRule="atLeast"/>
              <w:ind w:right="113"/>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50 523</w:t>
            </w:r>
          </w:p>
        </w:tc>
      </w:tr>
      <w:tr w:rsidR="00154C7C" w:rsidRPr="00062F0A" w14:paraId="4151E2B4" w14:textId="77777777" w:rsidTr="008D5B08">
        <w:trPr>
          <w:trHeight w:val="60"/>
        </w:trPr>
        <w:tc>
          <w:tcPr>
            <w:tcW w:w="3127" w:type="dxa"/>
            <w:shd w:val="clear" w:color="auto" w:fill="auto"/>
            <w:tcMar>
              <w:top w:w="57" w:type="dxa"/>
              <w:left w:w="0" w:type="dxa"/>
              <w:bottom w:w="57" w:type="dxa"/>
              <w:right w:w="0" w:type="dxa"/>
            </w:tcMar>
            <w:vAlign w:val="bottom"/>
          </w:tcPr>
          <w:p w14:paraId="00C8F02C" w14:textId="77777777" w:rsidR="00062F0A" w:rsidRPr="00062F0A" w:rsidRDefault="00062F0A" w:rsidP="00615190">
            <w:pPr>
              <w:spacing w:line="240" w:lineRule="atLeast"/>
              <w:rPr>
                <w:rFonts w:ascii="Tahoma" w:hAnsi="Tahoma"/>
                <w:color w:val="000000" w:themeColor="text1"/>
                <w:sz w:val="16"/>
                <w:lang w:val="en-GB"/>
              </w:rPr>
            </w:pPr>
            <w:r w:rsidRPr="00062F0A">
              <w:rPr>
                <w:rFonts w:ascii="Tahoma" w:hAnsi="Tahoma"/>
                <w:color w:val="000000" w:themeColor="text1"/>
                <w:sz w:val="16"/>
                <w:lang w:val="en-GB"/>
              </w:rPr>
              <w:t>Total comprehensive income for the period</w:t>
            </w:r>
          </w:p>
        </w:tc>
        <w:tc>
          <w:tcPr>
            <w:tcW w:w="701" w:type="dxa"/>
            <w:tcBorders>
              <w:bottom w:val="single" w:sz="4" w:space="0" w:color="auto"/>
            </w:tcBorders>
            <w:shd w:val="clear" w:color="auto" w:fill="auto"/>
            <w:tcMar>
              <w:top w:w="57" w:type="dxa"/>
              <w:left w:w="0" w:type="dxa"/>
              <w:bottom w:w="57" w:type="dxa"/>
              <w:right w:w="0" w:type="dxa"/>
            </w:tcMar>
            <w:vAlign w:val="bottom"/>
          </w:tcPr>
          <w:p w14:paraId="37B26F2C"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850" w:type="dxa"/>
            <w:tcBorders>
              <w:bottom w:val="single" w:sz="4" w:space="0" w:color="auto"/>
            </w:tcBorders>
            <w:shd w:val="clear" w:color="auto" w:fill="auto"/>
            <w:tcMar>
              <w:top w:w="57" w:type="dxa"/>
              <w:left w:w="0" w:type="dxa"/>
              <w:bottom w:w="57" w:type="dxa"/>
              <w:right w:w="0" w:type="dxa"/>
            </w:tcMar>
            <w:vAlign w:val="bottom"/>
          </w:tcPr>
          <w:p w14:paraId="535FC4C0"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9" w:type="dxa"/>
            <w:tcBorders>
              <w:bottom w:val="single" w:sz="4" w:space="0" w:color="auto"/>
            </w:tcBorders>
            <w:shd w:val="clear" w:color="auto" w:fill="auto"/>
            <w:tcMar>
              <w:top w:w="57" w:type="dxa"/>
              <w:left w:w="0" w:type="dxa"/>
              <w:bottom w:w="57" w:type="dxa"/>
              <w:right w:w="0" w:type="dxa"/>
            </w:tcMar>
            <w:vAlign w:val="bottom"/>
          </w:tcPr>
          <w:p w14:paraId="1C0BCFEC"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(3 225)</w:t>
            </w:r>
          </w:p>
        </w:tc>
        <w:tc>
          <w:tcPr>
            <w:tcW w:w="709" w:type="dxa"/>
            <w:tcBorders>
              <w:bottom w:val="single" w:sz="4" w:space="0" w:color="auto"/>
            </w:tcBorders>
            <w:shd w:val="clear" w:color="auto" w:fill="auto"/>
            <w:tcMar>
              <w:top w:w="57" w:type="dxa"/>
              <w:left w:w="0" w:type="dxa"/>
              <w:bottom w:w="57" w:type="dxa"/>
              <w:right w:w="0" w:type="dxa"/>
            </w:tcMar>
            <w:vAlign w:val="bottom"/>
          </w:tcPr>
          <w:p w14:paraId="0C343FDE"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(3 710)</w:t>
            </w:r>
          </w:p>
        </w:tc>
        <w:tc>
          <w:tcPr>
            <w:tcW w:w="708" w:type="dxa"/>
            <w:tcBorders>
              <w:bottom w:val="single" w:sz="4" w:space="0" w:color="auto"/>
            </w:tcBorders>
            <w:shd w:val="clear" w:color="auto" w:fill="auto"/>
            <w:tcMar>
              <w:top w:w="57" w:type="dxa"/>
              <w:left w:w="0" w:type="dxa"/>
              <w:bottom w:w="57" w:type="dxa"/>
              <w:right w:w="0" w:type="dxa"/>
            </w:tcMar>
            <w:vAlign w:val="bottom"/>
          </w:tcPr>
          <w:p w14:paraId="4B82E4CA"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9" w:type="dxa"/>
            <w:tcBorders>
              <w:bottom w:val="single" w:sz="4" w:space="0" w:color="auto"/>
            </w:tcBorders>
            <w:shd w:val="clear" w:color="auto" w:fill="auto"/>
            <w:tcMar>
              <w:top w:w="57" w:type="dxa"/>
              <w:left w:w="0" w:type="dxa"/>
              <w:bottom w:w="57" w:type="dxa"/>
              <w:right w:w="0" w:type="dxa"/>
            </w:tcMar>
            <w:vAlign w:val="bottom"/>
          </w:tcPr>
          <w:p w14:paraId="778FFB9C"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595</w:t>
            </w:r>
          </w:p>
        </w:tc>
        <w:tc>
          <w:tcPr>
            <w:tcW w:w="709" w:type="dxa"/>
            <w:tcBorders>
              <w:bottom w:val="single" w:sz="4" w:space="0" w:color="auto"/>
            </w:tcBorders>
            <w:shd w:val="clear" w:color="auto" w:fill="auto"/>
            <w:tcMar>
              <w:top w:w="57" w:type="dxa"/>
              <w:left w:w="0" w:type="dxa"/>
              <w:bottom w:w="57" w:type="dxa"/>
              <w:right w:w="0" w:type="dxa"/>
            </w:tcMar>
            <w:vAlign w:val="bottom"/>
          </w:tcPr>
          <w:p w14:paraId="69B494E4"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2 535</w:t>
            </w:r>
          </w:p>
        </w:tc>
        <w:tc>
          <w:tcPr>
            <w:tcW w:w="567" w:type="dxa"/>
            <w:tcBorders>
              <w:bottom w:val="single" w:sz="4" w:space="0" w:color="auto"/>
            </w:tcBorders>
            <w:shd w:val="clear" w:color="auto" w:fill="auto"/>
            <w:tcMar>
              <w:top w:w="57" w:type="dxa"/>
              <w:left w:w="0" w:type="dxa"/>
              <w:bottom w:w="57" w:type="dxa"/>
              <w:right w:w="0" w:type="dxa"/>
            </w:tcMar>
            <w:vAlign w:val="bottom"/>
          </w:tcPr>
          <w:p w14:paraId="4FC0ED88"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(3 805)</w:t>
            </w:r>
          </w:p>
        </w:tc>
        <w:tc>
          <w:tcPr>
            <w:tcW w:w="709" w:type="dxa"/>
            <w:tcBorders>
              <w:bottom w:val="single" w:sz="4" w:space="0" w:color="auto"/>
            </w:tcBorders>
            <w:shd w:val="clear" w:color="auto" w:fill="auto"/>
            <w:tcMar>
              <w:top w:w="57" w:type="dxa"/>
              <w:left w:w="0" w:type="dxa"/>
              <w:bottom w:w="57" w:type="dxa"/>
              <w:right w:w="0" w:type="dxa"/>
            </w:tcMar>
            <w:vAlign w:val="bottom"/>
          </w:tcPr>
          <w:p w14:paraId="37655A2A"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(28)</w:t>
            </w:r>
          </w:p>
        </w:tc>
        <w:tc>
          <w:tcPr>
            <w:tcW w:w="708" w:type="dxa"/>
            <w:tcBorders>
              <w:bottom w:val="single" w:sz="4" w:space="0" w:color="auto"/>
            </w:tcBorders>
            <w:shd w:val="clear" w:color="auto" w:fill="auto"/>
            <w:tcMar>
              <w:top w:w="57" w:type="dxa"/>
              <w:left w:w="0" w:type="dxa"/>
              <w:bottom w:w="57" w:type="dxa"/>
              <w:right w:w="0" w:type="dxa"/>
            </w:tcMar>
            <w:vAlign w:val="bottom"/>
          </w:tcPr>
          <w:p w14:paraId="4640DC57" w14:textId="77777777" w:rsidR="00062F0A" w:rsidRPr="00062F0A" w:rsidRDefault="00062F0A" w:rsidP="00CA4314">
            <w:pPr>
              <w:spacing w:line="240" w:lineRule="atLeast"/>
              <w:ind w:right="113"/>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(3 833)</w:t>
            </w:r>
          </w:p>
        </w:tc>
      </w:tr>
      <w:tr w:rsidR="00154C7C" w:rsidRPr="00062F0A" w14:paraId="797B4A4A" w14:textId="77777777" w:rsidTr="008D5B08">
        <w:trPr>
          <w:trHeight w:val="60"/>
        </w:trPr>
        <w:tc>
          <w:tcPr>
            <w:tcW w:w="3127" w:type="dxa"/>
            <w:tcBorders>
              <w:right w:val="single" w:sz="4" w:space="0" w:color="auto"/>
            </w:tcBorders>
            <w:shd w:val="clear" w:color="auto" w:fill="auto"/>
            <w:tcMar>
              <w:top w:w="57" w:type="dxa"/>
              <w:left w:w="113" w:type="dxa"/>
              <w:bottom w:w="57" w:type="dxa"/>
              <w:right w:w="0" w:type="dxa"/>
            </w:tcMar>
            <w:vAlign w:val="bottom"/>
          </w:tcPr>
          <w:p w14:paraId="7D72D8D9" w14:textId="77777777" w:rsidR="00062F0A" w:rsidRPr="00062F0A" w:rsidRDefault="00062F0A" w:rsidP="00615190">
            <w:pPr>
              <w:spacing w:line="240" w:lineRule="atLeast"/>
              <w:rPr>
                <w:rFonts w:ascii="Tahoma" w:hAnsi="Tahoma"/>
                <w:color w:val="000000" w:themeColor="text1"/>
                <w:sz w:val="16"/>
                <w:lang w:val="en-GB"/>
              </w:rPr>
            </w:pPr>
            <w:r w:rsidRPr="00062F0A">
              <w:rPr>
                <w:rFonts w:ascii="Tahoma" w:hAnsi="Tahoma"/>
                <w:color w:val="000000" w:themeColor="text1"/>
                <w:sz w:val="16"/>
                <w:lang w:val="en-GB"/>
              </w:rPr>
              <w:t>Profit for the period</w:t>
            </w:r>
          </w:p>
        </w:tc>
        <w:tc>
          <w:tcPr>
            <w:tcW w:w="701" w:type="dxa"/>
            <w:tcBorders>
              <w:top w:val="single" w:sz="4" w:space="0" w:color="auto"/>
              <w:left w:val="single" w:sz="4" w:space="0" w:color="auto"/>
            </w:tcBorders>
            <w:shd w:val="clear" w:color="auto" w:fill="auto"/>
            <w:tcMar>
              <w:top w:w="57" w:type="dxa"/>
              <w:left w:w="0" w:type="dxa"/>
              <w:bottom w:w="57" w:type="dxa"/>
              <w:right w:w="0" w:type="dxa"/>
            </w:tcMar>
            <w:vAlign w:val="bottom"/>
          </w:tcPr>
          <w:p w14:paraId="39F5E548"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850" w:type="dxa"/>
            <w:tcBorders>
              <w:top w:val="single" w:sz="4" w:space="0" w:color="auto"/>
            </w:tcBorders>
            <w:shd w:val="clear" w:color="auto" w:fill="auto"/>
            <w:tcMar>
              <w:top w:w="57" w:type="dxa"/>
              <w:left w:w="0" w:type="dxa"/>
              <w:bottom w:w="57" w:type="dxa"/>
              <w:right w:w="0" w:type="dxa"/>
            </w:tcMar>
            <w:vAlign w:val="bottom"/>
          </w:tcPr>
          <w:p w14:paraId="2969DD17"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9" w:type="dxa"/>
            <w:tcBorders>
              <w:top w:val="single" w:sz="4" w:space="0" w:color="auto"/>
            </w:tcBorders>
            <w:shd w:val="clear" w:color="auto" w:fill="auto"/>
            <w:tcMar>
              <w:top w:w="57" w:type="dxa"/>
              <w:left w:w="0" w:type="dxa"/>
              <w:bottom w:w="57" w:type="dxa"/>
              <w:right w:w="0" w:type="dxa"/>
            </w:tcMar>
            <w:vAlign w:val="bottom"/>
          </w:tcPr>
          <w:p w14:paraId="5D537E57"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9" w:type="dxa"/>
            <w:tcBorders>
              <w:top w:val="single" w:sz="4" w:space="0" w:color="auto"/>
            </w:tcBorders>
            <w:shd w:val="clear" w:color="auto" w:fill="auto"/>
            <w:tcMar>
              <w:top w:w="57" w:type="dxa"/>
              <w:left w:w="0" w:type="dxa"/>
              <w:bottom w:w="57" w:type="dxa"/>
              <w:right w:w="0" w:type="dxa"/>
            </w:tcMar>
            <w:vAlign w:val="bottom"/>
          </w:tcPr>
          <w:p w14:paraId="6722B847"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8" w:type="dxa"/>
            <w:tcBorders>
              <w:top w:val="single" w:sz="4" w:space="0" w:color="auto"/>
            </w:tcBorders>
            <w:shd w:val="clear" w:color="auto" w:fill="auto"/>
            <w:tcMar>
              <w:top w:w="57" w:type="dxa"/>
              <w:left w:w="0" w:type="dxa"/>
              <w:bottom w:w="57" w:type="dxa"/>
              <w:right w:w="0" w:type="dxa"/>
            </w:tcMar>
            <w:vAlign w:val="bottom"/>
          </w:tcPr>
          <w:p w14:paraId="3A04727B"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9" w:type="dxa"/>
            <w:tcBorders>
              <w:top w:val="single" w:sz="4" w:space="0" w:color="auto"/>
            </w:tcBorders>
            <w:shd w:val="clear" w:color="auto" w:fill="auto"/>
            <w:tcMar>
              <w:top w:w="57" w:type="dxa"/>
              <w:left w:w="0" w:type="dxa"/>
              <w:bottom w:w="57" w:type="dxa"/>
              <w:right w:w="0" w:type="dxa"/>
            </w:tcMar>
            <w:vAlign w:val="bottom"/>
          </w:tcPr>
          <w:p w14:paraId="57A8A7BB"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9" w:type="dxa"/>
            <w:tcBorders>
              <w:top w:val="single" w:sz="4" w:space="0" w:color="auto"/>
            </w:tcBorders>
            <w:shd w:val="clear" w:color="auto" w:fill="auto"/>
            <w:tcMar>
              <w:top w:w="57" w:type="dxa"/>
              <w:left w:w="0" w:type="dxa"/>
              <w:bottom w:w="57" w:type="dxa"/>
              <w:right w:w="0" w:type="dxa"/>
            </w:tcMar>
            <w:vAlign w:val="bottom"/>
          </w:tcPr>
          <w:p w14:paraId="7C37A2F9"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2 535</w:t>
            </w:r>
          </w:p>
        </w:tc>
        <w:tc>
          <w:tcPr>
            <w:tcW w:w="567" w:type="dxa"/>
            <w:tcBorders>
              <w:top w:val="single" w:sz="4" w:space="0" w:color="auto"/>
            </w:tcBorders>
            <w:shd w:val="clear" w:color="auto" w:fill="auto"/>
            <w:tcMar>
              <w:top w:w="57" w:type="dxa"/>
              <w:left w:w="0" w:type="dxa"/>
              <w:bottom w:w="57" w:type="dxa"/>
              <w:right w:w="0" w:type="dxa"/>
            </w:tcMar>
            <w:vAlign w:val="bottom"/>
          </w:tcPr>
          <w:p w14:paraId="7D7415D3"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2 535</w:t>
            </w:r>
          </w:p>
        </w:tc>
        <w:tc>
          <w:tcPr>
            <w:tcW w:w="709" w:type="dxa"/>
            <w:tcBorders>
              <w:top w:val="single" w:sz="4" w:space="0" w:color="auto"/>
            </w:tcBorders>
            <w:shd w:val="clear" w:color="auto" w:fill="auto"/>
            <w:tcMar>
              <w:top w:w="57" w:type="dxa"/>
              <w:left w:w="0" w:type="dxa"/>
              <w:bottom w:w="57" w:type="dxa"/>
              <w:right w:w="0" w:type="dxa"/>
            </w:tcMar>
            <w:vAlign w:val="bottom"/>
          </w:tcPr>
          <w:p w14:paraId="69764B17"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(19)</w:t>
            </w:r>
          </w:p>
        </w:tc>
        <w:tc>
          <w:tcPr>
            <w:tcW w:w="708" w:type="dxa"/>
            <w:tcBorders>
              <w:top w:val="single" w:sz="4" w:space="0" w:color="auto"/>
              <w:right w:val="single" w:sz="4" w:space="0" w:color="auto"/>
            </w:tcBorders>
            <w:shd w:val="clear" w:color="auto" w:fill="auto"/>
            <w:tcMar>
              <w:top w:w="57" w:type="dxa"/>
              <w:left w:w="0" w:type="dxa"/>
              <w:bottom w:w="57" w:type="dxa"/>
              <w:right w:w="0" w:type="dxa"/>
            </w:tcMar>
            <w:vAlign w:val="bottom"/>
          </w:tcPr>
          <w:p w14:paraId="7A2BB2E7" w14:textId="77777777" w:rsidR="00062F0A" w:rsidRPr="00062F0A" w:rsidRDefault="00062F0A" w:rsidP="00CA4314">
            <w:pPr>
              <w:spacing w:line="240" w:lineRule="atLeast"/>
              <w:ind w:right="113"/>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2 516</w:t>
            </w:r>
          </w:p>
        </w:tc>
      </w:tr>
      <w:tr w:rsidR="00154C7C" w:rsidRPr="00062F0A" w14:paraId="01E30039" w14:textId="77777777" w:rsidTr="008D5B08">
        <w:trPr>
          <w:trHeight w:val="60"/>
        </w:trPr>
        <w:tc>
          <w:tcPr>
            <w:tcW w:w="3127" w:type="dxa"/>
            <w:tcBorders>
              <w:right w:val="single" w:sz="4" w:space="0" w:color="auto"/>
            </w:tcBorders>
            <w:shd w:val="clear" w:color="auto" w:fill="auto"/>
            <w:tcMar>
              <w:top w:w="57" w:type="dxa"/>
              <w:left w:w="113" w:type="dxa"/>
              <w:bottom w:w="57" w:type="dxa"/>
              <w:right w:w="0" w:type="dxa"/>
            </w:tcMar>
            <w:vAlign w:val="bottom"/>
          </w:tcPr>
          <w:p w14:paraId="09DDFB30" w14:textId="77777777" w:rsidR="00062F0A" w:rsidRPr="00062F0A" w:rsidRDefault="00062F0A" w:rsidP="00615190">
            <w:pPr>
              <w:spacing w:line="240" w:lineRule="atLeast"/>
              <w:rPr>
                <w:rFonts w:ascii="Tahoma" w:hAnsi="Tahoma"/>
                <w:color w:val="000000" w:themeColor="text1"/>
                <w:sz w:val="16"/>
                <w:lang w:val="en-GB"/>
              </w:rPr>
            </w:pPr>
            <w:r w:rsidRPr="00062F0A">
              <w:rPr>
                <w:rFonts w:ascii="Tahoma" w:hAnsi="Tahoma"/>
                <w:color w:val="000000" w:themeColor="text1"/>
                <w:sz w:val="16"/>
                <w:lang w:val="en-GB"/>
              </w:rPr>
              <w:t>Total other comprehensive (loss)/income for the period</w:t>
            </w:r>
          </w:p>
        </w:tc>
        <w:tc>
          <w:tcPr>
            <w:tcW w:w="701" w:type="dxa"/>
            <w:tcBorders>
              <w:left w:val="single" w:sz="4" w:space="0" w:color="auto"/>
              <w:bottom w:val="single" w:sz="4" w:space="0" w:color="auto"/>
            </w:tcBorders>
            <w:shd w:val="clear" w:color="auto" w:fill="auto"/>
            <w:tcMar>
              <w:top w:w="57" w:type="dxa"/>
              <w:left w:w="0" w:type="dxa"/>
              <w:bottom w:w="57" w:type="dxa"/>
              <w:right w:w="0" w:type="dxa"/>
            </w:tcMar>
            <w:vAlign w:val="bottom"/>
          </w:tcPr>
          <w:p w14:paraId="23FA0F1F"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850" w:type="dxa"/>
            <w:tcBorders>
              <w:bottom w:val="single" w:sz="4" w:space="0" w:color="auto"/>
            </w:tcBorders>
            <w:shd w:val="clear" w:color="auto" w:fill="auto"/>
            <w:tcMar>
              <w:top w:w="57" w:type="dxa"/>
              <w:left w:w="0" w:type="dxa"/>
              <w:bottom w:w="57" w:type="dxa"/>
              <w:right w:w="0" w:type="dxa"/>
            </w:tcMar>
            <w:vAlign w:val="bottom"/>
          </w:tcPr>
          <w:p w14:paraId="4B22D1F5"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9" w:type="dxa"/>
            <w:tcBorders>
              <w:bottom w:val="single" w:sz="4" w:space="0" w:color="auto"/>
            </w:tcBorders>
            <w:shd w:val="clear" w:color="auto" w:fill="auto"/>
            <w:tcMar>
              <w:top w:w="57" w:type="dxa"/>
              <w:left w:w="0" w:type="dxa"/>
              <w:bottom w:w="57" w:type="dxa"/>
              <w:right w:w="0" w:type="dxa"/>
            </w:tcMar>
            <w:vAlign w:val="bottom"/>
          </w:tcPr>
          <w:p w14:paraId="11DD789A"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(3 225)</w:t>
            </w:r>
          </w:p>
        </w:tc>
        <w:tc>
          <w:tcPr>
            <w:tcW w:w="709" w:type="dxa"/>
            <w:tcBorders>
              <w:bottom w:val="single" w:sz="4" w:space="0" w:color="auto"/>
            </w:tcBorders>
            <w:shd w:val="clear" w:color="auto" w:fill="auto"/>
            <w:tcMar>
              <w:top w:w="57" w:type="dxa"/>
              <w:left w:w="0" w:type="dxa"/>
              <w:bottom w:w="57" w:type="dxa"/>
              <w:right w:w="0" w:type="dxa"/>
            </w:tcMar>
            <w:vAlign w:val="bottom"/>
          </w:tcPr>
          <w:p w14:paraId="78686231"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(3 710)</w:t>
            </w:r>
          </w:p>
        </w:tc>
        <w:tc>
          <w:tcPr>
            <w:tcW w:w="708" w:type="dxa"/>
            <w:tcBorders>
              <w:bottom w:val="single" w:sz="4" w:space="0" w:color="auto"/>
            </w:tcBorders>
            <w:shd w:val="clear" w:color="auto" w:fill="auto"/>
            <w:tcMar>
              <w:top w:w="57" w:type="dxa"/>
              <w:left w:w="0" w:type="dxa"/>
              <w:bottom w:w="57" w:type="dxa"/>
              <w:right w:w="0" w:type="dxa"/>
            </w:tcMar>
            <w:vAlign w:val="bottom"/>
          </w:tcPr>
          <w:p w14:paraId="578BDF1F"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9" w:type="dxa"/>
            <w:tcBorders>
              <w:bottom w:val="single" w:sz="4" w:space="0" w:color="auto"/>
            </w:tcBorders>
            <w:shd w:val="clear" w:color="auto" w:fill="auto"/>
            <w:tcMar>
              <w:top w:w="57" w:type="dxa"/>
              <w:left w:w="0" w:type="dxa"/>
              <w:bottom w:w="57" w:type="dxa"/>
              <w:right w:w="0" w:type="dxa"/>
            </w:tcMar>
            <w:vAlign w:val="bottom"/>
          </w:tcPr>
          <w:p w14:paraId="2BFB82B4"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595</w:t>
            </w:r>
          </w:p>
        </w:tc>
        <w:tc>
          <w:tcPr>
            <w:tcW w:w="709" w:type="dxa"/>
            <w:tcBorders>
              <w:bottom w:val="single" w:sz="4" w:space="0" w:color="auto"/>
            </w:tcBorders>
            <w:shd w:val="clear" w:color="auto" w:fill="auto"/>
            <w:tcMar>
              <w:top w:w="57" w:type="dxa"/>
              <w:left w:w="0" w:type="dxa"/>
              <w:bottom w:w="57" w:type="dxa"/>
              <w:right w:w="0" w:type="dxa"/>
            </w:tcMar>
            <w:vAlign w:val="bottom"/>
          </w:tcPr>
          <w:p w14:paraId="6AD1F015"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567" w:type="dxa"/>
            <w:tcBorders>
              <w:bottom w:val="single" w:sz="4" w:space="0" w:color="auto"/>
            </w:tcBorders>
            <w:shd w:val="clear" w:color="auto" w:fill="auto"/>
            <w:tcMar>
              <w:top w:w="57" w:type="dxa"/>
              <w:left w:w="0" w:type="dxa"/>
              <w:bottom w:w="57" w:type="dxa"/>
              <w:right w:w="0" w:type="dxa"/>
            </w:tcMar>
            <w:vAlign w:val="bottom"/>
          </w:tcPr>
          <w:p w14:paraId="12F4346B"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(6 340)</w:t>
            </w:r>
          </w:p>
        </w:tc>
        <w:tc>
          <w:tcPr>
            <w:tcW w:w="709" w:type="dxa"/>
            <w:tcBorders>
              <w:bottom w:val="single" w:sz="4" w:space="0" w:color="auto"/>
            </w:tcBorders>
            <w:shd w:val="clear" w:color="auto" w:fill="auto"/>
            <w:tcMar>
              <w:top w:w="57" w:type="dxa"/>
              <w:left w:w="0" w:type="dxa"/>
              <w:bottom w:w="57" w:type="dxa"/>
              <w:right w:w="0" w:type="dxa"/>
            </w:tcMar>
            <w:vAlign w:val="bottom"/>
          </w:tcPr>
          <w:p w14:paraId="3D8B97CE"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(9)</w:t>
            </w:r>
          </w:p>
        </w:tc>
        <w:tc>
          <w:tcPr>
            <w:tcW w:w="708" w:type="dxa"/>
            <w:tcBorders>
              <w:bottom w:val="single" w:sz="4" w:space="0" w:color="auto"/>
              <w:right w:val="single" w:sz="4" w:space="0" w:color="auto"/>
            </w:tcBorders>
            <w:shd w:val="clear" w:color="auto" w:fill="auto"/>
            <w:tcMar>
              <w:top w:w="57" w:type="dxa"/>
              <w:left w:w="0" w:type="dxa"/>
              <w:bottom w:w="57" w:type="dxa"/>
              <w:right w:w="0" w:type="dxa"/>
            </w:tcMar>
            <w:vAlign w:val="bottom"/>
          </w:tcPr>
          <w:p w14:paraId="2F4B96C0" w14:textId="77777777" w:rsidR="00062F0A" w:rsidRPr="00062F0A" w:rsidRDefault="00062F0A" w:rsidP="00CA4314">
            <w:pPr>
              <w:spacing w:line="240" w:lineRule="atLeast"/>
              <w:ind w:right="113"/>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(6 349)</w:t>
            </w:r>
          </w:p>
        </w:tc>
      </w:tr>
      <w:tr w:rsidR="00154C7C" w:rsidRPr="00062F0A" w14:paraId="5764AA84" w14:textId="77777777" w:rsidTr="008D5B08">
        <w:trPr>
          <w:trHeight w:val="60"/>
        </w:trPr>
        <w:tc>
          <w:tcPr>
            <w:tcW w:w="3127" w:type="dxa"/>
            <w:shd w:val="clear" w:color="auto" w:fill="auto"/>
            <w:tcMar>
              <w:top w:w="57" w:type="dxa"/>
              <w:left w:w="0" w:type="dxa"/>
              <w:bottom w:w="57" w:type="dxa"/>
              <w:right w:w="0" w:type="dxa"/>
            </w:tcMar>
            <w:vAlign w:val="bottom"/>
          </w:tcPr>
          <w:p w14:paraId="7C8C2E38" w14:textId="77777777" w:rsidR="00062F0A" w:rsidRPr="00062F0A" w:rsidRDefault="00062F0A" w:rsidP="00615190">
            <w:pPr>
              <w:spacing w:line="240" w:lineRule="atLeast"/>
              <w:rPr>
                <w:rFonts w:ascii="Tahoma" w:hAnsi="Tahoma"/>
                <w:color w:val="000000" w:themeColor="text1"/>
                <w:sz w:val="16"/>
                <w:lang w:val="en-GB"/>
              </w:rPr>
            </w:pPr>
            <w:r w:rsidRPr="00062F0A">
              <w:rPr>
                <w:rFonts w:ascii="Tahoma" w:hAnsi="Tahoma"/>
                <w:color w:val="000000" w:themeColor="text1"/>
                <w:sz w:val="16"/>
                <w:lang w:val="en-GB"/>
              </w:rPr>
              <w:t>Cancellation of treasury shares</w:t>
            </w:r>
          </w:p>
        </w:tc>
        <w:tc>
          <w:tcPr>
            <w:tcW w:w="701" w:type="dxa"/>
            <w:tcBorders>
              <w:top w:val="single" w:sz="4" w:space="0" w:color="auto"/>
            </w:tcBorders>
            <w:shd w:val="clear" w:color="auto" w:fill="auto"/>
            <w:tcMar>
              <w:top w:w="57" w:type="dxa"/>
              <w:left w:w="0" w:type="dxa"/>
              <w:bottom w:w="57" w:type="dxa"/>
              <w:right w:w="0" w:type="dxa"/>
            </w:tcMar>
            <w:vAlign w:val="bottom"/>
          </w:tcPr>
          <w:p w14:paraId="28D61E4C"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(4)</w:t>
            </w:r>
          </w:p>
        </w:tc>
        <w:tc>
          <w:tcPr>
            <w:tcW w:w="850" w:type="dxa"/>
            <w:tcBorders>
              <w:top w:val="single" w:sz="4" w:space="0" w:color="auto"/>
            </w:tcBorders>
            <w:shd w:val="clear" w:color="auto" w:fill="auto"/>
            <w:tcMar>
              <w:top w:w="57" w:type="dxa"/>
              <w:left w:w="0" w:type="dxa"/>
              <w:bottom w:w="57" w:type="dxa"/>
              <w:right w:w="0" w:type="dxa"/>
            </w:tcMar>
            <w:vAlign w:val="bottom"/>
          </w:tcPr>
          <w:p w14:paraId="39550F12"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6 411</w:t>
            </w:r>
          </w:p>
        </w:tc>
        <w:tc>
          <w:tcPr>
            <w:tcW w:w="709" w:type="dxa"/>
            <w:tcBorders>
              <w:top w:val="single" w:sz="4" w:space="0" w:color="auto"/>
            </w:tcBorders>
            <w:shd w:val="clear" w:color="auto" w:fill="auto"/>
            <w:tcMar>
              <w:top w:w="57" w:type="dxa"/>
              <w:left w:w="0" w:type="dxa"/>
              <w:bottom w:w="57" w:type="dxa"/>
              <w:right w:w="0" w:type="dxa"/>
            </w:tcMar>
            <w:vAlign w:val="bottom"/>
          </w:tcPr>
          <w:p w14:paraId="0F2FE7A1"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9" w:type="dxa"/>
            <w:tcBorders>
              <w:top w:val="single" w:sz="4" w:space="0" w:color="auto"/>
            </w:tcBorders>
            <w:shd w:val="clear" w:color="auto" w:fill="auto"/>
            <w:tcMar>
              <w:top w:w="57" w:type="dxa"/>
              <w:left w:w="0" w:type="dxa"/>
              <w:bottom w:w="57" w:type="dxa"/>
              <w:right w:w="0" w:type="dxa"/>
            </w:tcMar>
            <w:vAlign w:val="bottom"/>
          </w:tcPr>
          <w:p w14:paraId="3BD5C6E8"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8" w:type="dxa"/>
            <w:tcBorders>
              <w:top w:val="single" w:sz="4" w:space="0" w:color="auto"/>
            </w:tcBorders>
            <w:shd w:val="clear" w:color="auto" w:fill="auto"/>
            <w:tcMar>
              <w:top w:w="57" w:type="dxa"/>
              <w:left w:w="0" w:type="dxa"/>
              <w:bottom w:w="57" w:type="dxa"/>
              <w:right w:w="0" w:type="dxa"/>
            </w:tcMar>
            <w:vAlign w:val="bottom"/>
          </w:tcPr>
          <w:p w14:paraId="133C8DB2"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9" w:type="dxa"/>
            <w:tcBorders>
              <w:top w:val="single" w:sz="4" w:space="0" w:color="auto"/>
            </w:tcBorders>
            <w:shd w:val="clear" w:color="auto" w:fill="auto"/>
            <w:tcMar>
              <w:top w:w="57" w:type="dxa"/>
              <w:left w:w="0" w:type="dxa"/>
              <w:bottom w:w="57" w:type="dxa"/>
              <w:right w:w="0" w:type="dxa"/>
            </w:tcMar>
            <w:vAlign w:val="bottom"/>
          </w:tcPr>
          <w:p w14:paraId="1514B038"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9" w:type="dxa"/>
            <w:tcBorders>
              <w:top w:val="single" w:sz="4" w:space="0" w:color="auto"/>
            </w:tcBorders>
            <w:shd w:val="clear" w:color="auto" w:fill="auto"/>
            <w:tcMar>
              <w:top w:w="57" w:type="dxa"/>
              <w:left w:w="0" w:type="dxa"/>
              <w:bottom w:w="57" w:type="dxa"/>
              <w:right w:w="0" w:type="dxa"/>
            </w:tcMar>
            <w:vAlign w:val="bottom"/>
          </w:tcPr>
          <w:p w14:paraId="55B923EB"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(6 407)</w:t>
            </w:r>
          </w:p>
        </w:tc>
        <w:tc>
          <w:tcPr>
            <w:tcW w:w="567" w:type="dxa"/>
            <w:tcBorders>
              <w:top w:val="single" w:sz="4" w:space="0" w:color="auto"/>
            </w:tcBorders>
            <w:shd w:val="clear" w:color="auto" w:fill="auto"/>
            <w:tcMar>
              <w:top w:w="57" w:type="dxa"/>
              <w:left w:w="0" w:type="dxa"/>
              <w:bottom w:w="57" w:type="dxa"/>
              <w:right w:w="0" w:type="dxa"/>
            </w:tcMar>
            <w:vAlign w:val="bottom"/>
          </w:tcPr>
          <w:p w14:paraId="3AA3C477"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9" w:type="dxa"/>
            <w:tcBorders>
              <w:top w:val="single" w:sz="4" w:space="0" w:color="auto"/>
            </w:tcBorders>
            <w:shd w:val="clear" w:color="auto" w:fill="auto"/>
            <w:tcMar>
              <w:top w:w="57" w:type="dxa"/>
              <w:left w:w="0" w:type="dxa"/>
              <w:bottom w:w="57" w:type="dxa"/>
              <w:right w:w="0" w:type="dxa"/>
            </w:tcMar>
            <w:vAlign w:val="bottom"/>
          </w:tcPr>
          <w:p w14:paraId="37B4D7C2"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8" w:type="dxa"/>
            <w:tcBorders>
              <w:top w:val="single" w:sz="4" w:space="0" w:color="auto"/>
            </w:tcBorders>
            <w:shd w:val="clear" w:color="auto" w:fill="auto"/>
            <w:tcMar>
              <w:top w:w="57" w:type="dxa"/>
              <w:left w:w="0" w:type="dxa"/>
              <w:bottom w:w="57" w:type="dxa"/>
              <w:right w:w="0" w:type="dxa"/>
            </w:tcMar>
            <w:vAlign w:val="bottom"/>
          </w:tcPr>
          <w:p w14:paraId="2FC5EEBE" w14:textId="77777777" w:rsidR="00062F0A" w:rsidRPr="00062F0A" w:rsidRDefault="00062F0A" w:rsidP="00CA4314">
            <w:pPr>
              <w:spacing w:line="240" w:lineRule="atLeast"/>
              <w:ind w:right="113"/>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r>
      <w:tr w:rsidR="00154C7C" w:rsidRPr="00062F0A" w14:paraId="7BC3D8BB" w14:textId="77777777" w:rsidTr="00546A14">
        <w:trPr>
          <w:trHeight w:val="60"/>
        </w:trPr>
        <w:tc>
          <w:tcPr>
            <w:tcW w:w="3127" w:type="dxa"/>
            <w:shd w:val="clear" w:color="auto" w:fill="auto"/>
            <w:tcMar>
              <w:top w:w="57" w:type="dxa"/>
              <w:left w:w="0" w:type="dxa"/>
              <w:bottom w:w="57" w:type="dxa"/>
              <w:right w:w="0" w:type="dxa"/>
            </w:tcMar>
            <w:vAlign w:val="bottom"/>
          </w:tcPr>
          <w:p w14:paraId="4BEE6C55" w14:textId="77777777" w:rsidR="00062F0A" w:rsidRPr="00062F0A" w:rsidRDefault="00062F0A" w:rsidP="00615190">
            <w:pPr>
              <w:spacing w:line="240" w:lineRule="atLeast"/>
              <w:rPr>
                <w:rFonts w:ascii="Tahoma" w:hAnsi="Tahoma"/>
                <w:color w:val="000000" w:themeColor="text1"/>
                <w:sz w:val="16"/>
                <w:lang w:val="en-GB"/>
              </w:rPr>
            </w:pPr>
            <w:r w:rsidRPr="00062F0A">
              <w:rPr>
                <w:rFonts w:ascii="Tahoma" w:hAnsi="Tahoma"/>
                <w:color w:val="000000" w:themeColor="text1"/>
                <w:sz w:val="16"/>
                <w:lang w:val="en-GB"/>
              </w:rPr>
              <w:t>Repurchase of own shares</w:t>
            </w:r>
            <w:r w:rsidRPr="00062F0A">
              <w:rPr>
                <w:rFonts w:ascii="Tahoma" w:hAnsi="Tahoma"/>
                <w:color w:val="000000" w:themeColor="text1"/>
                <w:sz w:val="16"/>
                <w:vertAlign w:val="superscript"/>
                <w:lang w:val="en-GB"/>
              </w:rPr>
              <w:t>4</w:t>
            </w:r>
          </w:p>
        </w:tc>
        <w:tc>
          <w:tcPr>
            <w:tcW w:w="701" w:type="dxa"/>
            <w:shd w:val="clear" w:color="auto" w:fill="auto"/>
            <w:tcMar>
              <w:top w:w="57" w:type="dxa"/>
              <w:left w:w="0" w:type="dxa"/>
              <w:bottom w:w="57" w:type="dxa"/>
              <w:right w:w="0" w:type="dxa"/>
            </w:tcMar>
            <w:vAlign w:val="bottom"/>
          </w:tcPr>
          <w:p w14:paraId="14BEE5AE"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850" w:type="dxa"/>
            <w:shd w:val="clear" w:color="auto" w:fill="auto"/>
            <w:tcMar>
              <w:top w:w="57" w:type="dxa"/>
              <w:left w:w="0" w:type="dxa"/>
              <w:bottom w:w="57" w:type="dxa"/>
              <w:right w:w="0" w:type="dxa"/>
            </w:tcMar>
            <w:vAlign w:val="bottom"/>
          </w:tcPr>
          <w:p w14:paraId="7A7DEDCB"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(3 491)</w:t>
            </w:r>
          </w:p>
        </w:tc>
        <w:tc>
          <w:tcPr>
            <w:tcW w:w="709" w:type="dxa"/>
            <w:shd w:val="clear" w:color="auto" w:fill="auto"/>
            <w:tcMar>
              <w:top w:w="57" w:type="dxa"/>
              <w:left w:w="0" w:type="dxa"/>
              <w:bottom w:w="57" w:type="dxa"/>
              <w:right w:w="0" w:type="dxa"/>
            </w:tcMar>
            <w:vAlign w:val="bottom"/>
          </w:tcPr>
          <w:p w14:paraId="4C187DAE"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9" w:type="dxa"/>
            <w:shd w:val="clear" w:color="auto" w:fill="auto"/>
            <w:tcMar>
              <w:top w:w="57" w:type="dxa"/>
              <w:left w:w="0" w:type="dxa"/>
              <w:bottom w:w="57" w:type="dxa"/>
              <w:right w:w="0" w:type="dxa"/>
            </w:tcMar>
            <w:vAlign w:val="bottom"/>
          </w:tcPr>
          <w:p w14:paraId="629A5CA4"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8" w:type="dxa"/>
            <w:shd w:val="clear" w:color="auto" w:fill="auto"/>
            <w:tcMar>
              <w:top w:w="57" w:type="dxa"/>
              <w:left w:w="0" w:type="dxa"/>
              <w:bottom w:w="57" w:type="dxa"/>
              <w:right w:w="0" w:type="dxa"/>
            </w:tcMar>
            <w:vAlign w:val="bottom"/>
          </w:tcPr>
          <w:p w14:paraId="56E0F703"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9" w:type="dxa"/>
            <w:shd w:val="clear" w:color="auto" w:fill="auto"/>
            <w:tcMar>
              <w:top w:w="57" w:type="dxa"/>
              <w:left w:w="0" w:type="dxa"/>
              <w:bottom w:w="57" w:type="dxa"/>
              <w:right w:w="0" w:type="dxa"/>
            </w:tcMar>
            <w:vAlign w:val="bottom"/>
          </w:tcPr>
          <w:p w14:paraId="0F711C76"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9" w:type="dxa"/>
            <w:shd w:val="clear" w:color="auto" w:fill="auto"/>
            <w:tcMar>
              <w:top w:w="57" w:type="dxa"/>
              <w:left w:w="0" w:type="dxa"/>
              <w:bottom w:w="57" w:type="dxa"/>
              <w:right w:w="0" w:type="dxa"/>
            </w:tcMar>
            <w:vAlign w:val="bottom"/>
          </w:tcPr>
          <w:p w14:paraId="015DA3B4"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567" w:type="dxa"/>
            <w:shd w:val="clear" w:color="auto" w:fill="auto"/>
            <w:tcMar>
              <w:top w:w="57" w:type="dxa"/>
              <w:left w:w="0" w:type="dxa"/>
              <w:bottom w:w="57" w:type="dxa"/>
              <w:right w:w="0" w:type="dxa"/>
            </w:tcMar>
            <w:vAlign w:val="bottom"/>
          </w:tcPr>
          <w:p w14:paraId="005DD2C9"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(3 491)</w:t>
            </w:r>
          </w:p>
        </w:tc>
        <w:tc>
          <w:tcPr>
            <w:tcW w:w="709" w:type="dxa"/>
            <w:shd w:val="clear" w:color="auto" w:fill="auto"/>
            <w:tcMar>
              <w:top w:w="57" w:type="dxa"/>
              <w:left w:w="0" w:type="dxa"/>
              <w:bottom w:w="57" w:type="dxa"/>
              <w:right w:w="0" w:type="dxa"/>
            </w:tcMar>
            <w:vAlign w:val="bottom"/>
          </w:tcPr>
          <w:p w14:paraId="2A6C2ACF"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8" w:type="dxa"/>
            <w:shd w:val="clear" w:color="auto" w:fill="auto"/>
            <w:tcMar>
              <w:top w:w="57" w:type="dxa"/>
              <w:left w:w="0" w:type="dxa"/>
              <w:bottom w:w="57" w:type="dxa"/>
              <w:right w:w="0" w:type="dxa"/>
            </w:tcMar>
            <w:vAlign w:val="bottom"/>
          </w:tcPr>
          <w:p w14:paraId="12B3189C" w14:textId="77777777" w:rsidR="00062F0A" w:rsidRPr="00062F0A" w:rsidRDefault="00062F0A" w:rsidP="00CA4314">
            <w:pPr>
              <w:spacing w:line="240" w:lineRule="atLeast"/>
              <w:ind w:right="113"/>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(3 491)</w:t>
            </w:r>
          </w:p>
        </w:tc>
      </w:tr>
      <w:tr w:rsidR="00154C7C" w:rsidRPr="00062F0A" w14:paraId="62505DDB" w14:textId="77777777" w:rsidTr="00546A14">
        <w:trPr>
          <w:trHeight w:val="60"/>
        </w:trPr>
        <w:tc>
          <w:tcPr>
            <w:tcW w:w="3127" w:type="dxa"/>
            <w:shd w:val="clear" w:color="auto" w:fill="auto"/>
            <w:tcMar>
              <w:top w:w="57" w:type="dxa"/>
              <w:left w:w="0" w:type="dxa"/>
              <w:bottom w:w="57" w:type="dxa"/>
              <w:right w:w="0" w:type="dxa"/>
            </w:tcMar>
            <w:vAlign w:val="bottom"/>
          </w:tcPr>
          <w:p w14:paraId="235E89C0" w14:textId="77777777" w:rsidR="00062F0A" w:rsidRPr="00062F0A" w:rsidRDefault="00062F0A" w:rsidP="00615190">
            <w:pPr>
              <w:spacing w:line="240" w:lineRule="atLeast"/>
              <w:rPr>
                <w:rFonts w:ascii="Tahoma" w:hAnsi="Tahoma"/>
                <w:color w:val="000000" w:themeColor="text1"/>
                <w:sz w:val="16"/>
                <w:lang w:val="en-GB"/>
              </w:rPr>
            </w:pPr>
            <w:r w:rsidRPr="00062F0A">
              <w:rPr>
                <w:rFonts w:ascii="Tahoma" w:hAnsi="Tahoma"/>
                <w:color w:val="000000" w:themeColor="text1"/>
                <w:sz w:val="16"/>
                <w:lang w:val="en-GB"/>
              </w:rPr>
              <w:t xml:space="preserve">Acquisition of Naspers shares resulting </w:t>
            </w:r>
            <w:r w:rsidR="003429E3">
              <w:rPr>
                <w:rFonts w:ascii="Tahoma" w:hAnsi="Tahoma"/>
                <w:color w:val="000000" w:themeColor="text1"/>
                <w:sz w:val="16"/>
                <w:lang w:val="en-GB"/>
              </w:rPr>
              <w:br/>
            </w:r>
            <w:r w:rsidRPr="00062F0A">
              <w:rPr>
                <w:rFonts w:ascii="Tahoma" w:hAnsi="Tahoma"/>
                <w:color w:val="000000" w:themeColor="text1"/>
                <w:sz w:val="16"/>
                <w:lang w:val="en-GB"/>
              </w:rPr>
              <w:t>in a capital restructure</w:t>
            </w:r>
            <w:r w:rsidRPr="00062F0A">
              <w:rPr>
                <w:rFonts w:ascii="Tahoma" w:hAnsi="Tahoma"/>
                <w:color w:val="000000" w:themeColor="text1"/>
                <w:sz w:val="16"/>
                <w:vertAlign w:val="superscript"/>
                <w:lang w:val="en-GB"/>
              </w:rPr>
              <w:t>4</w:t>
            </w:r>
          </w:p>
        </w:tc>
        <w:tc>
          <w:tcPr>
            <w:tcW w:w="701" w:type="dxa"/>
            <w:shd w:val="clear" w:color="auto" w:fill="auto"/>
            <w:tcMar>
              <w:top w:w="57" w:type="dxa"/>
              <w:left w:w="0" w:type="dxa"/>
              <w:bottom w:w="57" w:type="dxa"/>
              <w:right w:w="0" w:type="dxa"/>
            </w:tcMar>
            <w:vAlign w:val="bottom"/>
          </w:tcPr>
          <w:p w14:paraId="7CD7627D"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850" w:type="dxa"/>
            <w:shd w:val="clear" w:color="auto" w:fill="auto"/>
            <w:tcMar>
              <w:top w:w="57" w:type="dxa"/>
              <w:left w:w="0" w:type="dxa"/>
              <w:bottom w:w="57" w:type="dxa"/>
              <w:right w:w="0" w:type="dxa"/>
            </w:tcMar>
            <w:vAlign w:val="bottom"/>
          </w:tcPr>
          <w:p w14:paraId="6DEA4A25"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9" w:type="dxa"/>
            <w:shd w:val="clear" w:color="auto" w:fill="auto"/>
            <w:tcMar>
              <w:top w:w="57" w:type="dxa"/>
              <w:left w:w="0" w:type="dxa"/>
              <w:bottom w:w="57" w:type="dxa"/>
              <w:right w:w="0" w:type="dxa"/>
            </w:tcMar>
            <w:vAlign w:val="bottom"/>
          </w:tcPr>
          <w:p w14:paraId="502B6DA5"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9" w:type="dxa"/>
            <w:shd w:val="clear" w:color="auto" w:fill="auto"/>
            <w:tcMar>
              <w:top w:w="57" w:type="dxa"/>
              <w:left w:w="0" w:type="dxa"/>
              <w:bottom w:w="57" w:type="dxa"/>
              <w:right w:w="0" w:type="dxa"/>
            </w:tcMar>
            <w:vAlign w:val="bottom"/>
          </w:tcPr>
          <w:p w14:paraId="2D1A24B1"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8" w:type="dxa"/>
            <w:shd w:val="clear" w:color="auto" w:fill="auto"/>
            <w:tcMar>
              <w:top w:w="57" w:type="dxa"/>
              <w:left w:w="0" w:type="dxa"/>
              <w:bottom w:w="57" w:type="dxa"/>
              <w:right w:w="0" w:type="dxa"/>
            </w:tcMar>
            <w:vAlign w:val="bottom"/>
          </w:tcPr>
          <w:p w14:paraId="5EFE544B"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(616)</w:t>
            </w:r>
          </w:p>
        </w:tc>
        <w:tc>
          <w:tcPr>
            <w:tcW w:w="709" w:type="dxa"/>
            <w:shd w:val="clear" w:color="auto" w:fill="auto"/>
            <w:tcMar>
              <w:top w:w="57" w:type="dxa"/>
              <w:left w:w="0" w:type="dxa"/>
              <w:bottom w:w="57" w:type="dxa"/>
              <w:right w:w="0" w:type="dxa"/>
            </w:tcMar>
            <w:vAlign w:val="bottom"/>
          </w:tcPr>
          <w:p w14:paraId="5DF4B1B6"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9" w:type="dxa"/>
            <w:shd w:val="clear" w:color="auto" w:fill="auto"/>
            <w:tcMar>
              <w:top w:w="57" w:type="dxa"/>
              <w:left w:w="0" w:type="dxa"/>
              <w:bottom w:w="57" w:type="dxa"/>
              <w:right w:w="0" w:type="dxa"/>
            </w:tcMar>
            <w:vAlign w:val="bottom"/>
          </w:tcPr>
          <w:p w14:paraId="0F52859C"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567" w:type="dxa"/>
            <w:shd w:val="clear" w:color="auto" w:fill="auto"/>
            <w:tcMar>
              <w:top w:w="57" w:type="dxa"/>
              <w:left w:w="0" w:type="dxa"/>
              <w:bottom w:w="57" w:type="dxa"/>
              <w:right w:w="0" w:type="dxa"/>
            </w:tcMar>
            <w:vAlign w:val="bottom"/>
          </w:tcPr>
          <w:p w14:paraId="6BDC7A20"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(616)</w:t>
            </w:r>
          </w:p>
        </w:tc>
        <w:tc>
          <w:tcPr>
            <w:tcW w:w="709" w:type="dxa"/>
            <w:shd w:val="clear" w:color="auto" w:fill="auto"/>
            <w:tcMar>
              <w:top w:w="57" w:type="dxa"/>
              <w:left w:w="0" w:type="dxa"/>
              <w:bottom w:w="57" w:type="dxa"/>
              <w:right w:w="0" w:type="dxa"/>
            </w:tcMar>
            <w:vAlign w:val="bottom"/>
          </w:tcPr>
          <w:p w14:paraId="04461045"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8" w:type="dxa"/>
            <w:shd w:val="clear" w:color="auto" w:fill="auto"/>
            <w:tcMar>
              <w:top w:w="57" w:type="dxa"/>
              <w:left w:w="0" w:type="dxa"/>
              <w:bottom w:w="57" w:type="dxa"/>
              <w:right w:w="0" w:type="dxa"/>
            </w:tcMar>
            <w:vAlign w:val="bottom"/>
          </w:tcPr>
          <w:p w14:paraId="0EEAD740" w14:textId="77777777" w:rsidR="00062F0A" w:rsidRPr="00062F0A" w:rsidRDefault="00062F0A" w:rsidP="00CA4314">
            <w:pPr>
              <w:spacing w:line="240" w:lineRule="atLeast"/>
              <w:ind w:right="113"/>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(616)</w:t>
            </w:r>
          </w:p>
        </w:tc>
      </w:tr>
      <w:tr w:rsidR="00154C7C" w:rsidRPr="00062F0A" w14:paraId="1462041B" w14:textId="77777777" w:rsidTr="008D5B08">
        <w:trPr>
          <w:trHeight w:val="60"/>
        </w:trPr>
        <w:tc>
          <w:tcPr>
            <w:tcW w:w="3127" w:type="dxa"/>
            <w:shd w:val="clear" w:color="auto" w:fill="auto"/>
            <w:tcMar>
              <w:top w:w="57" w:type="dxa"/>
              <w:left w:w="0" w:type="dxa"/>
              <w:bottom w:w="57" w:type="dxa"/>
              <w:right w:w="0" w:type="dxa"/>
            </w:tcMar>
            <w:vAlign w:val="bottom"/>
          </w:tcPr>
          <w:p w14:paraId="402D8FD2" w14:textId="77777777" w:rsidR="00062F0A" w:rsidRPr="00062F0A" w:rsidRDefault="00062F0A" w:rsidP="00615190">
            <w:pPr>
              <w:spacing w:line="240" w:lineRule="atLeast"/>
              <w:rPr>
                <w:rFonts w:ascii="Tahoma" w:hAnsi="Tahoma"/>
                <w:color w:val="000000" w:themeColor="text1"/>
                <w:sz w:val="16"/>
                <w:lang w:val="en-GB"/>
              </w:rPr>
            </w:pPr>
            <w:r w:rsidRPr="00062F0A">
              <w:rPr>
                <w:rFonts w:ascii="Tahoma" w:hAnsi="Tahoma"/>
                <w:color w:val="000000" w:themeColor="text1"/>
                <w:sz w:val="16"/>
                <w:lang w:val="en-GB"/>
              </w:rPr>
              <w:t>Share-based compensation movements</w:t>
            </w:r>
          </w:p>
        </w:tc>
        <w:tc>
          <w:tcPr>
            <w:tcW w:w="701" w:type="dxa"/>
            <w:tcBorders>
              <w:bottom w:val="single" w:sz="4" w:space="0" w:color="auto"/>
            </w:tcBorders>
            <w:shd w:val="clear" w:color="auto" w:fill="auto"/>
            <w:tcMar>
              <w:top w:w="57" w:type="dxa"/>
              <w:left w:w="0" w:type="dxa"/>
              <w:bottom w:w="57" w:type="dxa"/>
              <w:right w:w="0" w:type="dxa"/>
            </w:tcMar>
            <w:vAlign w:val="bottom"/>
          </w:tcPr>
          <w:p w14:paraId="2EF34F65"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850" w:type="dxa"/>
            <w:tcBorders>
              <w:bottom w:val="single" w:sz="4" w:space="0" w:color="auto"/>
            </w:tcBorders>
            <w:shd w:val="clear" w:color="auto" w:fill="auto"/>
            <w:tcMar>
              <w:top w:w="57" w:type="dxa"/>
              <w:left w:w="0" w:type="dxa"/>
              <w:bottom w:w="57" w:type="dxa"/>
              <w:right w:w="0" w:type="dxa"/>
            </w:tcMar>
            <w:vAlign w:val="bottom"/>
          </w:tcPr>
          <w:p w14:paraId="4739A2F1"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9" w:type="dxa"/>
            <w:tcBorders>
              <w:bottom w:val="single" w:sz="4" w:space="0" w:color="auto"/>
            </w:tcBorders>
            <w:shd w:val="clear" w:color="auto" w:fill="auto"/>
            <w:tcMar>
              <w:top w:w="57" w:type="dxa"/>
              <w:left w:w="0" w:type="dxa"/>
              <w:bottom w:w="57" w:type="dxa"/>
              <w:right w:w="0" w:type="dxa"/>
            </w:tcMar>
            <w:vAlign w:val="bottom"/>
          </w:tcPr>
          <w:p w14:paraId="092CDBCF"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9" w:type="dxa"/>
            <w:tcBorders>
              <w:bottom w:val="single" w:sz="4" w:space="0" w:color="auto"/>
            </w:tcBorders>
            <w:shd w:val="clear" w:color="auto" w:fill="auto"/>
            <w:tcMar>
              <w:top w:w="57" w:type="dxa"/>
              <w:left w:w="0" w:type="dxa"/>
              <w:bottom w:w="57" w:type="dxa"/>
              <w:right w:w="0" w:type="dxa"/>
            </w:tcMar>
            <w:vAlign w:val="bottom"/>
          </w:tcPr>
          <w:p w14:paraId="18F94907"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8" w:type="dxa"/>
            <w:tcBorders>
              <w:bottom w:val="single" w:sz="4" w:space="0" w:color="auto"/>
            </w:tcBorders>
            <w:shd w:val="clear" w:color="auto" w:fill="auto"/>
            <w:tcMar>
              <w:top w:w="57" w:type="dxa"/>
              <w:left w:w="0" w:type="dxa"/>
              <w:bottom w:w="57" w:type="dxa"/>
              <w:right w:w="0" w:type="dxa"/>
            </w:tcMar>
            <w:vAlign w:val="bottom"/>
          </w:tcPr>
          <w:p w14:paraId="2E734731"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9" w:type="dxa"/>
            <w:tcBorders>
              <w:bottom w:val="single" w:sz="4" w:space="0" w:color="auto"/>
            </w:tcBorders>
            <w:shd w:val="clear" w:color="auto" w:fill="auto"/>
            <w:tcMar>
              <w:top w:w="57" w:type="dxa"/>
              <w:left w:w="0" w:type="dxa"/>
              <w:bottom w:w="57" w:type="dxa"/>
              <w:right w:w="0" w:type="dxa"/>
            </w:tcMar>
            <w:vAlign w:val="bottom"/>
          </w:tcPr>
          <w:p w14:paraId="177EFEBE"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(115)</w:t>
            </w:r>
          </w:p>
        </w:tc>
        <w:tc>
          <w:tcPr>
            <w:tcW w:w="709" w:type="dxa"/>
            <w:tcBorders>
              <w:bottom w:val="single" w:sz="4" w:space="0" w:color="auto"/>
            </w:tcBorders>
            <w:shd w:val="clear" w:color="auto" w:fill="auto"/>
            <w:tcMar>
              <w:top w:w="57" w:type="dxa"/>
              <w:left w:w="0" w:type="dxa"/>
              <w:bottom w:w="57" w:type="dxa"/>
              <w:right w:w="0" w:type="dxa"/>
            </w:tcMar>
            <w:vAlign w:val="bottom"/>
          </w:tcPr>
          <w:p w14:paraId="7DFF6DA0"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(8)</w:t>
            </w:r>
          </w:p>
        </w:tc>
        <w:tc>
          <w:tcPr>
            <w:tcW w:w="567" w:type="dxa"/>
            <w:tcBorders>
              <w:bottom w:val="single" w:sz="4" w:space="0" w:color="auto"/>
            </w:tcBorders>
            <w:shd w:val="clear" w:color="auto" w:fill="auto"/>
            <w:tcMar>
              <w:top w:w="57" w:type="dxa"/>
              <w:left w:w="0" w:type="dxa"/>
              <w:bottom w:w="57" w:type="dxa"/>
              <w:right w:w="0" w:type="dxa"/>
            </w:tcMar>
            <w:vAlign w:val="bottom"/>
          </w:tcPr>
          <w:p w14:paraId="4B1D9294"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(123)</w:t>
            </w:r>
          </w:p>
        </w:tc>
        <w:tc>
          <w:tcPr>
            <w:tcW w:w="709" w:type="dxa"/>
            <w:tcBorders>
              <w:bottom w:val="single" w:sz="4" w:space="0" w:color="auto"/>
            </w:tcBorders>
            <w:shd w:val="clear" w:color="auto" w:fill="auto"/>
            <w:tcMar>
              <w:top w:w="57" w:type="dxa"/>
              <w:left w:w="0" w:type="dxa"/>
              <w:bottom w:w="57" w:type="dxa"/>
              <w:right w:w="0" w:type="dxa"/>
            </w:tcMar>
            <w:vAlign w:val="bottom"/>
          </w:tcPr>
          <w:p w14:paraId="488D108E"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8" w:type="dxa"/>
            <w:tcBorders>
              <w:bottom w:val="single" w:sz="4" w:space="0" w:color="auto"/>
            </w:tcBorders>
            <w:shd w:val="clear" w:color="auto" w:fill="auto"/>
            <w:tcMar>
              <w:top w:w="57" w:type="dxa"/>
              <w:left w:w="0" w:type="dxa"/>
              <w:bottom w:w="57" w:type="dxa"/>
              <w:right w:w="0" w:type="dxa"/>
            </w:tcMar>
            <w:vAlign w:val="bottom"/>
          </w:tcPr>
          <w:p w14:paraId="66C0FACA" w14:textId="77777777" w:rsidR="00062F0A" w:rsidRPr="00062F0A" w:rsidRDefault="00062F0A" w:rsidP="00CA4314">
            <w:pPr>
              <w:spacing w:line="240" w:lineRule="atLeast"/>
              <w:ind w:right="113"/>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(123)</w:t>
            </w:r>
          </w:p>
        </w:tc>
      </w:tr>
      <w:tr w:rsidR="00154C7C" w:rsidRPr="00062F0A" w14:paraId="2727AEE2" w14:textId="77777777" w:rsidTr="008D5B08">
        <w:trPr>
          <w:trHeight w:val="60"/>
        </w:trPr>
        <w:tc>
          <w:tcPr>
            <w:tcW w:w="3127" w:type="dxa"/>
            <w:tcBorders>
              <w:right w:val="single" w:sz="4" w:space="0" w:color="auto"/>
            </w:tcBorders>
            <w:shd w:val="clear" w:color="auto" w:fill="auto"/>
            <w:tcMar>
              <w:top w:w="57" w:type="dxa"/>
              <w:left w:w="113" w:type="dxa"/>
              <w:bottom w:w="57" w:type="dxa"/>
              <w:right w:w="0" w:type="dxa"/>
            </w:tcMar>
            <w:vAlign w:val="bottom"/>
          </w:tcPr>
          <w:p w14:paraId="0F4448CB" w14:textId="77777777" w:rsidR="00062F0A" w:rsidRPr="00062F0A" w:rsidRDefault="00062F0A" w:rsidP="00615190">
            <w:pPr>
              <w:spacing w:line="240" w:lineRule="atLeast"/>
              <w:rPr>
                <w:rFonts w:ascii="Tahoma" w:hAnsi="Tahoma"/>
                <w:color w:val="000000" w:themeColor="text1"/>
                <w:sz w:val="16"/>
                <w:lang w:val="en-GB"/>
              </w:rPr>
            </w:pPr>
            <w:r w:rsidRPr="00062F0A">
              <w:rPr>
                <w:rFonts w:ascii="Tahoma" w:hAnsi="Tahoma"/>
                <w:color w:val="000000" w:themeColor="text1"/>
                <w:sz w:val="16"/>
                <w:lang w:val="en-GB"/>
              </w:rPr>
              <w:t>Share-based compensation expense</w:t>
            </w:r>
          </w:p>
        </w:tc>
        <w:tc>
          <w:tcPr>
            <w:tcW w:w="701" w:type="dxa"/>
            <w:tcBorders>
              <w:top w:val="single" w:sz="4" w:space="0" w:color="auto"/>
              <w:left w:val="single" w:sz="4" w:space="0" w:color="auto"/>
            </w:tcBorders>
            <w:shd w:val="clear" w:color="auto" w:fill="auto"/>
            <w:tcMar>
              <w:top w:w="57" w:type="dxa"/>
              <w:left w:w="0" w:type="dxa"/>
              <w:bottom w:w="57" w:type="dxa"/>
              <w:right w:w="0" w:type="dxa"/>
            </w:tcMar>
            <w:vAlign w:val="bottom"/>
          </w:tcPr>
          <w:p w14:paraId="49A94413"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850" w:type="dxa"/>
            <w:tcBorders>
              <w:top w:val="single" w:sz="4" w:space="0" w:color="auto"/>
            </w:tcBorders>
            <w:shd w:val="clear" w:color="auto" w:fill="auto"/>
            <w:tcMar>
              <w:top w:w="57" w:type="dxa"/>
              <w:left w:w="0" w:type="dxa"/>
              <w:bottom w:w="57" w:type="dxa"/>
              <w:right w:w="0" w:type="dxa"/>
            </w:tcMar>
            <w:vAlign w:val="bottom"/>
          </w:tcPr>
          <w:p w14:paraId="7DA56CCF"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9" w:type="dxa"/>
            <w:tcBorders>
              <w:top w:val="single" w:sz="4" w:space="0" w:color="auto"/>
            </w:tcBorders>
            <w:shd w:val="clear" w:color="auto" w:fill="auto"/>
            <w:tcMar>
              <w:top w:w="57" w:type="dxa"/>
              <w:left w:w="0" w:type="dxa"/>
              <w:bottom w:w="57" w:type="dxa"/>
              <w:right w:w="0" w:type="dxa"/>
            </w:tcMar>
            <w:vAlign w:val="bottom"/>
          </w:tcPr>
          <w:p w14:paraId="4E4C2E38"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9" w:type="dxa"/>
            <w:tcBorders>
              <w:top w:val="single" w:sz="4" w:space="0" w:color="auto"/>
            </w:tcBorders>
            <w:shd w:val="clear" w:color="auto" w:fill="auto"/>
            <w:tcMar>
              <w:top w:w="57" w:type="dxa"/>
              <w:left w:w="0" w:type="dxa"/>
              <w:bottom w:w="57" w:type="dxa"/>
              <w:right w:w="0" w:type="dxa"/>
            </w:tcMar>
            <w:vAlign w:val="bottom"/>
          </w:tcPr>
          <w:p w14:paraId="5B95FF45"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8" w:type="dxa"/>
            <w:tcBorders>
              <w:top w:val="single" w:sz="4" w:space="0" w:color="auto"/>
            </w:tcBorders>
            <w:shd w:val="clear" w:color="auto" w:fill="auto"/>
            <w:tcMar>
              <w:top w:w="57" w:type="dxa"/>
              <w:left w:w="0" w:type="dxa"/>
              <w:bottom w:w="57" w:type="dxa"/>
              <w:right w:w="0" w:type="dxa"/>
            </w:tcMar>
            <w:vAlign w:val="bottom"/>
          </w:tcPr>
          <w:p w14:paraId="246EED9C"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9" w:type="dxa"/>
            <w:tcBorders>
              <w:top w:val="single" w:sz="4" w:space="0" w:color="auto"/>
            </w:tcBorders>
            <w:shd w:val="clear" w:color="auto" w:fill="auto"/>
            <w:tcMar>
              <w:top w:w="57" w:type="dxa"/>
              <w:left w:w="0" w:type="dxa"/>
              <w:bottom w:w="57" w:type="dxa"/>
              <w:right w:w="0" w:type="dxa"/>
            </w:tcMar>
            <w:vAlign w:val="bottom"/>
          </w:tcPr>
          <w:p w14:paraId="4E9E3098"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59</w:t>
            </w:r>
          </w:p>
        </w:tc>
        <w:tc>
          <w:tcPr>
            <w:tcW w:w="709" w:type="dxa"/>
            <w:tcBorders>
              <w:top w:val="single" w:sz="4" w:space="0" w:color="auto"/>
            </w:tcBorders>
            <w:shd w:val="clear" w:color="auto" w:fill="auto"/>
            <w:tcMar>
              <w:top w:w="57" w:type="dxa"/>
              <w:left w:w="0" w:type="dxa"/>
              <w:bottom w:w="57" w:type="dxa"/>
              <w:right w:w="0" w:type="dxa"/>
            </w:tcMar>
            <w:vAlign w:val="bottom"/>
          </w:tcPr>
          <w:p w14:paraId="25BB1688"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567" w:type="dxa"/>
            <w:tcBorders>
              <w:top w:val="single" w:sz="4" w:space="0" w:color="auto"/>
            </w:tcBorders>
            <w:shd w:val="clear" w:color="auto" w:fill="auto"/>
            <w:tcMar>
              <w:top w:w="57" w:type="dxa"/>
              <w:left w:w="0" w:type="dxa"/>
              <w:bottom w:w="57" w:type="dxa"/>
              <w:right w:w="0" w:type="dxa"/>
            </w:tcMar>
            <w:vAlign w:val="bottom"/>
          </w:tcPr>
          <w:p w14:paraId="155C14AF"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59</w:t>
            </w:r>
          </w:p>
        </w:tc>
        <w:tc>
          <w:tcPr>
            <w:tcW w:w="709" w:type="dxa"/>
            <w:tcBorders>
              <w:top w:val="single" w:sz="4" w:space="0" w:color="auto"/>
            </w:tcBorders>
            <w:shd w:val="clear" w:color="auto" w:fill="auto"/>
            <w:tcMar>
              <w:top w:w="57" w:type="dxa"/>
              <w:left w:w="0" w:type="dxa"/>
              <w:bottom w:w="57" w:type="dxa"/>
              <w:right w:w="0" w:type="dxa"/>
            </w:tcMar>
            <w:vAlign w:val="bottom"/>
          </w:tcPr>
          <w:p w14:paraId="089236AC"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8" w:type="dxa"/>
            <w:tcBorders>
              <w:top w:val="single" w:sz="4" w:space="0" w:color="auto"/>
              <w:right w:val="single" w:sz="4" w:space="0" w:color="auto"/>
            </w:tcBorders>
            <w:shd w:val="clear" w:color="auto" w:fill="auto"/>
            <w:tcMar>
              <w:top w:w="57" w:type="dxa"/>
              <w:left w:w="0" w:type="dxa"/>
              <w:bottom w:w="57" w:type="dxa"/>
              <w:right w:w="0" w:type="dxa"/>
            </w:tcMar>
            <w:vAlign w:val="bottom"/>
          </w:tcPr>
          <w:p w14:paraId="6C4827B1" w14:textId="77777777" w:rsidR="00062F0A" w:rsidRPr="00062F0A" w:rsidRDefault="00062F0A" w:rsidP="00CA4314">
            <w:pPr>
              <w:spacing w:line="240" w:lineRule="atLeast"/>
              <w:ind w:right="113"/>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59</w:t>
            </w:r>
          </w:p>
        </w:tc>
      </w:tr>
      <w:tr w:rsidR="00154C7C" w:rsidRPr="00062F0A" w14:paraId="160A092A" w14:textId="77777777" w:rsidTr="008D5B08">
        <w:trPr>
          <w:trHeight w:val="60"/>
        </w:trPr>
        <w:tc>
          <w:tcPr>
            <w:tcW w:w="3127" w:type="dxa"/>
            <w:tcBorders>
              <w:right w:val="single" w:sz="4" w:space="0" w:color="auto"/>
            </w:tcBorders>
            <w:shd w:val="clear" w:color="auto" w:fill="auto"/>
            <w:tcMar>
              <w:top w:w="57" w:type="dxa"/>
              <w:left w:w="113" w:type="dxa"/>
              <w:bottom w:w="57" w:type="dxa"/>
              <w:right w:w="0" w:type="dxa"/>
            </w:tcMar>
            <w:vAlign w:val="bottom"/>
          </w:tcPr>
          <w:p w14:paraId="386CD810" w14:textId="77777777" w:rsidR="00062F0A" w:rsidRPr="00062F0A" w:rsidRDefault="00062F0A" w:rsidP="00615190">
            <w:pPr>
              <w:spacing w:line="240" w:lineRule="atLeast"/>
              <w:rPr>
                <w:rFonts w:ascii="Tahoma" w:hAnsi="Tahoma"/>
                <w:color w:val="000000" w:themeColor="text1"/>
                <w:sz w:val="16"/>
                <w:lang w:val="en-GB"/>
              </w:rPr>
            </w:pPr>
            <w:r w:rsidRPr="00062F0A">
              <w:rPr>
                <w:rFonts w:ascii="Tahoma" w:hAnsi="Tahoma"/>
                <w:color w:val="000000" w:themeColor="text1"/>
                <w:sz w:val="16"/>
                <w:lang w:val="en-GB"/>
              </w:rPr>
              <w:t>Contributions made to Naspers share trusts</w:t>
            </w:r>
          </w:p>
        </w:tc>
        <w:tc>
          <w:tcPr>
            <w:tcW w:w="701" w:type="dxa"/>
            <w:tcBorders>
              <w:left w:val="single" w:sz="4" w:space="0" w:color="auto"/>
            </w:tcBorders>
            <w:shd w:val="clear" w:color="auto" w:fill="auto"/>
            <w:tcMar>
              <w:top w:w="57" w:type="dxa"/>
              <w:left w:w="0" w:type="dxa"/>
              <w:bottom w:w="57" w:type="dxa"/>
              <w:right w:w="0" w:type="dxa"/>
            </w:tcMar>
            <w:vAlign w:val="bottom"/>
          </w:tcPr>
          <w:p w14:paraId="42A9ADFC"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850" w:type="dxa"/>
            <w:shd w:val="clear" w:color="auto" w:fill="auto"/>
            <w:tcMar>
              <w:top w:w="57" w:type="dxa"/>
              <w:left w:w="0" w:type="dxa"/>
              <w:bottom w:w="57" w:type="dxa"/>
              <w:right w:w="0" w:type="dxa"/>
            </w:tcMar>
            <w:vAlign w:val="bottom"/>
          </w:tcPr>
          <w:p w14:paraId="02848407"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9" w:type="dxa"/>
            <w:shd w:val="clear" w:color="auto" w:fill="auto"/>
            <w:tcMar>
              <w:top w:w="57" w:type="dxa"/>
              <w:left w:w="0" w:type="dxa"/>
              <w:bottom w:w="57" w:type="dxa"/>
              <w:right w:w="0" w:type="dxa"/>
            </w:tcMar>
            <w:vAlign w:val="bottom"/>
          </w:tcPr>
          <w:p w14:paraId="30C9AE1A"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9" w:type="dxa"/>
            <w:shd w:val="clear" w:color="auto" w:fill="auto"/>
            <w:tcMar>
              <w:top w:w="57" w:type="dxa"/>
              <w:left w:w="0" w:type="dxa"/>
              <w:bottom w:w="57" w:type="dxa"/>
              <w:right w:w="0" w:type="dxa"/>
            </w:tcMar>
            <w:vAlign w:val="bottom"/>
          </w:tcPr>
          <w:p w14:paraId="4428DFB5"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8" w:type="dxa"/>
            <w:shd w:val="clear" w:color="auto" w:fill="auto"/>
            <w:tcMar>
              <w:top w:w="57" w:type="dxa"/>
              <w:left w:w="0" w:type="dxa"/>
              <w:bottom w:w="57" w:type="dxa"/>
              <w:right w:w="0" w:type="dxa"/>
            </w:tcMar>
            <w:vAlign w:val="bottom"/>
          </w:tcPr>
          <w:p w14:paraId="6F1AFF70"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9" w:type="dxa"/>
            <w:shd w:val="clear" w:color="auto" w:fill="auto"/>
            <w:tcMar>
              <w:top w:w="57" w:type="dxa"/>
              <w:left w:w="0" w:type="dxa"/>
              <w:bottom w:w="57" w:type="dxa"/>
              <w:right w:w="0" w:type="dxa"/>
            </w:tcMar>
            <w:vAlign w:val="bottom"/>
          </w:tcPr>
          <w:p w14:paraId="79C65FF9"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(127)</w:t>
            </w:r>
          </w:p>
        </w:tc>
        <w:tc>
          <w:tcPr>
            <w:tcW w:w="709" w:type="dxa"/>
            <w:shd w:val="clear" w:color="auto" w:fill="auto"/>
            <w:tcMar>
              <w:top w:w="57" w:type="dxa"/>
              <w:left w:w="0" w:type="dxa"/>
              <w:bottom w:w="57" w:type="dxa"/>
              <w:right w:w="0" w:type="dxa"/>
            </w:tcMar>
            <w:vAlign w:val="bottom"/>
          </w:tcPr>
          <w:p w14:paraId="4A5CD010"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567" w:type="dxa"/>
            <w:shd w:val="clear" w:color="auto" w:fill="auto"/>
            <w:tcMar>
              <w:top w:w="57" w:type="dxa"/>
              <w:left w:w="0" w:type="dxa"/>
              <w:bottom w:w="57" w:type="dxa"/>
              <w:right w:w="0" w:type="dxa"/>
            </w:tcMar>
            <w:vAlign w:val="bottom"/>
          </w:tcPr>
          <w:p w14:paraId="65A6D259"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(127)</w:t>
            </w:r>
          </w:p>
        </w:tc>
        <w:tc>
          <w:tcPr>
            <w:tcW w:w="709" w:type="dxa"/>
            <w:shd w:val="clear" w:color="auto" w:fill="auto"/>
            <w:tcMar>
              <w:top w:w="57" w:type="dxa"/>
              <w:left w:w="0" w:type="dxa"/>
              <w:bottom w:w="57" w:type="dxa"/>
              <w:right w:w="0" w:type="dxa"/>
            </w:tcMar>
            <w:vAlign w:val="bottom"/>
          </w:tcPr>
          <w:p w14:paraId="4BE086AF"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8" w:type="dxa"/>
            <w:tcBorders>
              <w:right w:val="single" w:sz="4" w:space="0" w:color="auto"/>
            </w:tcBorders>
            <w:shd w:val="clear" w:color="auto" w:fill="auto"/>
            <w:tcMar>
              <w:top w:w="57" w:type="dxa"/>
              <w:left w:w="0" w:type="dxa"/>
              <w:bottom w:w="57" w:type="dxa"/>
              <w:right w:w="0" w:type="dxa"/>
            </w:tcMar>
            <w:vAlign w:val="bottom"/>
          </w:tcPr>
          <w:p w14:paraId="7F9BC60E" w14:textId="77777777" w:rsidR="00062F0A" w:rsidRPr="00062F0A" w:rsidRDefault="00062F0A" w:rsidP="00CA4314">
            <w:pPr>
              <w:spacing w:line="240" w:lineRule="atLeast"/>
              <w:ind w:right="113"/>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(127)</w:t>
            </w:r>
          </w:p>
        </w:tc>
      </w:tr>
      <w:tr w:rsidR="00154C7C" w:rsidRPr="00062F0A" w14:paraId="7141B4A3" w14:textId="77777777" w:rsidTr="008D5B08">
        <w:trPr>
          <w:trHeight w:val="60"/>
        </w:trPr>
        <w:tc>
          <w:tcPr>
            <w:tcW w:w="3127" w:type="dxa"/>
            <w:tcBorders>
              <w:right w:val="single" w:sz="4" w:space="0" w:color="auto"/>
            </w:tcBorders>
            <w:shd w:val="clear" w:color="auto" w:fill="auto"/>
            <w:tcMar>
              <w:top w:w="57" w:type="dxa"/>
              <w:left w:w="113" w:type="dxa"/>
              <w:bottom w:w="57" w:type="dxa"/>
              <w:right w:w="0" w:type="dxa"/>
            </w:tcMar>
            <w:vAlign w:val="bottom"/>
          </w:tcPr>
          <w:p w14:paraId="1A0E5053" w14:textId="77777777" w:rsidR="00062F0A" w:rsidRPr="00062F0A" w:rsidRDefault="00062F0A" w:rsidP="00615190">
            <w:pPr>
              <w:spacing w:line="240" w:lineRule="atLeast"/>
              <w:rPr>
                <w:rFonts w:ascii="Tahoma" w:hAnsi="Tahoma"/>
                <w:color w:val="000000" w:themeColor="text1"/>
                <w:sz w:val="16"/>
                <w:lang w:val="en-GB"/>
              </w:rPr>
            </w:pPr>
            <w:r w:rsidRPr="00062F0A">
              <w:rPr>
                <w:rFonts w:ascii="Tahoma" w:hAnsi="Tahoma"/>
                <w:color w:val="000000" w:themeColor="text1"/>
                <w:sz w:val="16"/>
                <w:lang w:val="en-GB"/>
              </w:rPr>
              <w:t>Modification of share-based compensation benefits</w:t>
            </w:r>
          </w:p>
        </w:tc>
        <w:tc>
          <w:tcPr>
            <w:tcW w:w="701" w:type="dxa"/>
            <w:tcBorders>
              <w:left w:val="single" w:sz="4" w:space="0" w:color="auto"/>
            </w:tcBorders>
            <w:shd w:val="clear" w:color="auto" w:fill="auto"/>
            <w:tcMar>
              <w:top w:w="57" w:type="dxa"/>
              <w:left w:w="0" w:type="dxa"/>
              <w:bottom w:w="57" w:type="dxa"/>
              <w:right w:w="0" w:type="dxa"/>
            </w:tcMar>
            <w:vAlign w:val="bottom"/>
          </w:tcPr>
          <w:p w14:paraId="322C3F3E"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850" w:type="dxa"/>
            <w:shd w:val="clear" w:color="auto" w:fill="auto"/>
            <w:tcMar>
              <w:top w:w="57" w:type="dxa"/>
              <w:left w:w="0" w:type="dxa"/>
              <w:bottom w:w="57" w:type="dxa"/>
              <w:right w:w="0" w:type="dxa"/>
            </w:tcMar>
            <w:vAlign w:val="bottom"/>
          </w:tcPr>
          <w:p w14:paraId="6683051D"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9" w:type="dxa"/>
            <w:shd w:val="clear" w:color="auto" w:fill="auto"/>
            <w:tcMar>
              <w:top w:w="57" w:type="dxa"/>
              <w:left w:w="0" w:type="dxa"/>
              <w:bottom w:w="57" w:type="dxa"/>
              <w:right w:w="0" w:type="dxa"/>
            </w:tcMar>
            <w:vAlign w:val="bottom"/>
          </w:tcPr>
          <w:p w14:paraId="4B681056"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9" w:type="dxa"/>
            <w:shd w:val="clear" w:color="auto" w:fill="auto"/>
            <w:tcMar>
              <w:top w:w="57" w:type="dxa"/>
              <w:left w:w="0" w:type="dxa"/>
              <w:bottom w:w="57" w:type="dxa"/>
              <w:right w:w="0" w:type="dxa"/>
            </w:tcMar>
            <w:vAlign w:val="bottom"/>
          </w:tcPr>
          <w:p w14:paraId="7247952C"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8" w:type="dxa"/>
            <w:shd w:val="clear" w:color="auto" w:fill="auto"/>
            <w:tcMar>
              <w:top w:w="57" w:type="dxa"/>
              <w:left w:w="0" w:type="dxa"/>
              <w:bottom w:w="57" w:type="dxa"/>
              <w:right w:w="0" w:type="dxa"/>
            </w:tcMar>
            <w:vAlign w:val="bottom"/>
          </w:tcPr>
          <w:p w14:paraId="3F32A255"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9" w:type="dxa"/>
            <w:shd w:val="clear" w:color="auto" w:fill="auto"/>
            <w:tcMar>
              <w:top w:w="57" w:type="dxa"/>
              <w:left w:w="0" w:type="dxa"/>
              <w:bottom w:w="57" w:type="dxa"/>
              <w:right w:w="0" w:type="dxa"/>
            </w:tcMar>
            <w:vAlign w:val="bottom"/>
          </w:tcPr>
          <w:p w14:paraId="148A7FB5"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(13)</w:t>
            </w:r>
          </w:p>
        </w:tc>
        <w:tc>
          <w:tcPr>
            <w:tcW w:w="709" w:type="dxa"/>
            <w:shd w:val="clear" w:color="auto" w:fill="auto"/>
            <w:tcMar>
              <w:top w:w="57" w:type="dxa"/>
              <w:left w:w="0" w:type="dxa"/>
              <w:bottom w:w="57" w:type="dxa"/>
              <w:right w:w="0" w:type="dxa"/>
            </w:tcMar>
            <w:vAlign w:val="bottom"/>
          </w:tcPr>
          <w:p w14:paraId="2051FAA7"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9</w:t>
            </w:r>
          </w:p>
        </w:tc>
        <w:tc>
          <w:tcPr>
            <w:tcW w:w="567" w:type="dxa"/>
            <w:shd w:val="clear" w:color="auto" w:fill="auto"/>
            <w:tcMar>
              <w:top w:w="57" w:type="dxa"/>
              <w:left w:w="0" w:type="dxa"/>
              <w:bottom w:w="57" w:type="dxa"/>
              <w:right w:w="0" w:type="dxa"/>
            </w:tcMar>
            <w:vAlign w:val="bottom"/>
          </w:tcPr>
          <w:p w14:paraId="04099F7B"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(4)</w:t>
            </w:r>
          </w:p>
        </w:tc>
        <w:tc>
          <w:tcPr>
            <w:tcW w:w="709" w:type="dxa"/>
            <w:shd w:val="clear" w:color="auto" w:fill="auto"/>
            <w:tcMar>
              <w:top w:w="57" w:type="dxa"/>
              <w:left w:w="0" w:type="dxa"/>
              <w:bottom w:w="57" w:type="dxa"/>
              <w:right w:w="0" w:type="dxa"/>
            </w:tcMar>
            <w:vAlign w:val="bottom"/>
          </w:tcPr>
          <w:p w14:paraId="0037D7C0"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8" w:type="dxa"/>
            <w:tcBorders>
              <w:right w:val="single" w:sz="4" w:space="0" w:color="auto"/>
            </w:tcBorders>
            <w:shd w:val="clear" w:color="auto" w:fill="auto"/>
            <w:tcMar>
              <w:top w:w="57" w:type="dxa"/>
              <w:left w:w="0" w:type="dxa"/>
              <w:bottom w:w="57" w:type="dxa"/>
              <w:right w:w="0" w:type="dxa"/>
            </w:tcMar>
            <w:vAlign w:val="bottom"/>
          </w:tcPr>
          <w:p w14:paraId="795C9EB6" w14:textId="77777777" w:rsidR="00062F0A" w:rsidRPr="00062F0A" w:rsidRDefault="00062F0A" w:rsidP="00CA4314">
            <w:pPr>
              <w:spacing w:line="240" w:lineRule="atLeast"/>
              <w:ind w:right="113"/>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(4)</w:t>
            </w:r>
          </w:p>
        </w:tc>
      </w:tr>
      <w:tr w:rsidR="00154C7C" w:rsidRPr="00062F0A" w14:paraId="3FBCA11D" w14:textId="77777777" w:rsidTr="008D5B08">
        <w:trPr>
          <w:trHeight w:val="60"/>
        </w:trPr>
        <w:tc>
          <w:tcPr>
            <w:tcW w:w="3127" w:type="dxa"/>
            <w:tcBorders>
              <w:right w:val="single" w:sz="4" w:space="0" w:color="auto"/>
            </w:tcBorders>
            <w:shd w:val="clear" w:color="auto" w:fill="auto"/>
            <w:tcMar>
              <w:top w:w="57" w:type="dxa"/>
              <w:left w:w="113" w:type="dxa"/>
              <w:bottom w:w="57" w:type="dxa"/>
              <w:right w:w="0" w:type="dxa"/>
            </w:tcMar>
            <w:vAlign w:val="bottom"/>
          </w:tcPr>
          <w:p w14:paraId="00BBB77F" w14:textId="77777777" w:rsidR="00062F0A" w:rsidRPr="00062F0A" w:rsidRDefault="00062F0A" w:rsidP="00615190">
            <w:pPr>
              <w:spacing w:line="240" w:lineRule="atLeast"/>
              <w:rPr>
                <w:rFonts w:ascii="Tahoma" w:hAnsi="Tahoma"/>
                <w:color w:val="000000" w:themeColor="text1"/>
                <w:sz w:val="16"/>
                <w:lang w:val="en-GB"/>
              </w:rPr>
            </w:pPr>
            <w:r w:rsidRPr="00062F0A">
              <w:rPr>
                <w:rFonts w:ascii="Tahoma" w:hAnsi="Tahoma"/>
                <w:color w:val="000000" w:themeColor="text1"/>
                <w:sz w:val="16"/>
                <w:lang w:val="en-GB"/>
              </w:rPr>
              <w:t>Other share-based compensation movements</w:t>
            </w:r>
          </w:p>
        </w:tc>
        <w:tc>
          <w:tcPr>
            <w:tcW w:w="701" w:type="dxa"/>
            <w:tcBorders>
              <w:left w:val="single" w:sz="4" w:space="0" w:color="auto"/>
              <w:bottom w:val="single" w:sz="4" w:space="0" w:color="auto"/>
            </w:tcBorders>
            <w:shd w:val="clear" w:color="auto" w:fill="auto"/>
            <w:tcMar>
              <w:top w:w="57" w:type="dxa"/>
              <w:left w:w="0" w:type="dxa"/>
              <w:bottom w:w="57" w:type="dxa"/>
              <w:right w:w="0" w:type="dxa"/>
            </w:tcMar>
            <w:vAlign w:val="bottom"/>
          </w:tcPr>
          <w:p w14:paraId="3C7B345D"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850" w:type="dxa"/>
            <w:tcBorders>
              <w:bottom w:val="single" w:sz="4" w:space="0" w:color="auto"/>
            </w:tcBorders>
            <w:shd w:val="clear" w:color="auto" w:fill="auto"/>
            <w:tcMar>
              <w:top w:w="57" w:type="dxa"/>
              <w:left w:w="0" w:type="dxa"/>
              <w:bottom w:w="57" w:type="dxa"/>
              <w:right w:w="0" w:type="dxa"/>
            </w:tcMar>
            <w:vAlign w:val="bottom"/>
          </w:tcPr>
          <w:p w14:paraId="5D94BA96"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9" w:type="dxa"/>
            <w:tcBorders>
              <w:bottom w:val="single" w:sz="4" w:space="0" w:color="auto"/>
            </w:tcBorders>
            <w:shd w:val="clear" w:color="auto" w:fill="auto"/>
            <w:tcMar>
              <w:top w:w="57" w:type="dxa"/>
              <w:left w:w="0" w:type="dxa"/>
              <w:bottom w:w="57" w:type="dxa"/>
              <w:right w:w="0" w:type="dxa"/>
            </w:tcMar>
            <w:vAlign w:val="bottom"/>
          </w:tcPr>
          <w:p w14:paraId="2DC6F9E4"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9" w:type="dxa"/>
            <w:tcBorders>
              <w:bottom w:val="single" w:sz="4" w:space="0" w:color="auto"/>
            </w:tcBorders>
            <w:shd w:val="clear" w:color="auto" w:fill="auto"/>
            <w:tcMar>
              <w:top w:w="57" w:type="dxa"/>
              <w:left w:w="0" w:type="dxa"/>
              <w:bottom w:w="57" w:type="dxa"/>
              <w:right w:w="0" w:type="dxa"/>
            </w:tcMar>
            <w:vAlign w:val="bottom"/>
          </w:tcPr>
          <w:p w14:paraId="456D5ACC"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8" w:type="dxa"/>
            <w:tcBorders>
              <w:bottom w:val="single" w:sz="4" w:space="0" w:color="auto"/>
            </w:tcBorders>
            <w:shd w:val="clear" w:color="auto" w:fill="auto"/>
            <w:tcMar>
              <w:top w:w="57" w:type="dxa"/>
              <w:left w:w="0" w:type="dxa"/>
              <w:bottom w:w="57" w:type="dxa"/>
              <w:right w:w="0" w:type="dxa"/>
            </w:tcMar>
            <w:vAlign w:val="bottom"/>
          </w:tcPr>
          <w:p w14:paraId="0F411C14"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9" w:type="dxa"/>
            <w:tcBorders>
              <w:bottom w:val="single" w:sz="4" w:space="0" w:color="auto"/>
            </w:tcBorders>
            <w:shd w:val="clear" w:color="auto" w:fill="auto"/>
            <w:tcMar>
              <w:top w:w="57" w:type="dxa"/>
              <w:left w:w="0" w:type="dxa"/>
              <w:bottom w:w="57" w:type="dxa"/>
              <w:right w:w="0" w:type="dxa"/>
            </w:tcMar>
            <w:vAlign w:val="bottom"/>
          </w:tcPr>
          <w:p w14:paraId="4FDEE82F"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(34)</w:t>
            </w:r>
          </w:p>
        </w:tc>
        <w:tc>
          <w:tcPr>
            <w:tcW w:w="709" w:type="dxa"/>
            <w:tcBorders>
              <w:bottom w:val="single" w:sz="4" w:space="0" w:color="auto"/>
            </w:tcBorders>
            <w:shd w:val="clear" w:color="auto" w:fill="auto"/>
            <w:tcMar>
              <w:top w:w="57" w:type="dxa"/>
              <w:left w:w="0" w:type="dxa"/>
              <w:bottom w:w="57" w:type="dxa"/>
              <w:right w:w="0" w:type="dxa"/>
            </w:tcMar>
            <w:vAlign w:val="bottom"/>
          </w:tcPr>
          <w:p w14:paraId="357E2067"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(17)</w:t>
            </w:r>
          </w:p>
        </w:tc>
        <w:tc>
          <w:tcPr>
            <w:tcW w:w="567" w:type="dxa"/>
            <w:tcBorders>
              <w:bottom w:val="single" w:sz="4" w:space="0" w:color="auto"/>
            </w:tcBorders>
            <w:shd w:val="clear" w:color="auto" w:fill="auto"/>
            <w:tcMar>
              <w:top w:w="57" w:type="dxa"/>
              <w:left w:w="0" w:type="dxa"/>
              <w:bottom w:w="57" w:type="dxa"/>
              <w:right w:w="0" w:type="dxa"/>
            </w:tcMar>
            <w:vAlign w:val="bottom"/>
          </w:tcPr>
          <w:p w14:paraId="42ADD447"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(51)</w:t>
            </w:r>
          </w:p>
        </w:tc>
        <w:tc>
          <w:tcPr>
            <w:tcW w:w="709" w:type="dxa"/>
            <w:tcBorders>
              <w:bottom w:val="single" w:sz="4" w:space="0" w:color="auto"/>
            </w:tcBorders>
            <w:shd w:val="clear" w:color="auto" w:fill="auto"/>
            <w:tcMar>
              <w:top w:w="57" w:type="dxa"/>
              <w:left w:w="0" w:type="dxa"/>
              <w:bottom w:w="57" w:type="dxa"/>
              <w:right w:w="0" w:type="dxa"/>
            </w:tcMar>
            <w:vAlign w:val="bottom"/>
          </w:tcPr>
          <w:p w14:paraId="21B57EDD"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8" w:type="dxa"/>
            <w:tcBorders>
              <w:bottom w:val="single" w:sz="4" w:space="0" w:color="auto"/>
              <w:right w:val="single" w:sz="4" w:space="0" w:color="auto"/>
            </w:tcBorders>
            <w:shd w:val="clear" w:color="auto" w:fill="auto"/>
            <w:tcMar>
              <w:top w:w="57" w:type="dxa"/>
              <w:left w:w="0" w:type="dxa"/>
              <w:bottom w:w="57" w:type="dxa"/>
              <w:right w:w="0" w:type="dxa"/>
            </w:tcMar>
            <w:vAlign w:val="bottom"/>
          </w:tcPr>
          <w:p w14:paraId="4AD09A4F" w14:textId="77777777" w:rsidR="00062F0A" w:rsidRPr="00062F0A" w:rsidRDefault="00062F0A" w:rsidP="00CA4314">
            <w:pPr>
              <w:spacing w:line="240" w:lineRule="atLeast"/>
              <w:ind w:right="113"/>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(51)</w:t>
            </w:r>
          </w:p>
        </w:tc>
      </w:tr>
      <w:tr w:rsidR="00154C7C" w:rsidRPr="00062F0A" w14:paraId="42ADD498" w14:textId="77777777" w:rsidTr="008809D2">
        <w:trPr>
          <w:trHeight w:val="60"/>
        </w:trPr>
        <w:tc>
          <w:tcPr>
            <w:tcW w:w="3127" w:type="dxa"/>
            <w:shd w:val="clear" w:color="auto" w:fill="auto"/>
            <w:tcMar>
              <w:top w:w="57" w:type="dxa"/>
              <w:left w:w="0" w:type="dxa"/>
              <w:bottom w:w="57" w:type="dxa"/>
              <w:right w:w="0" w:type="dxa"/>
            </w:tcMar>
            <w:vAlign w:val="bottom"/>
          </w:tcPr>
          <w:p w14:paraId="427DBC43" w14:textId="77777777" w:rsidR="00062F0A" w:rsidRPr="00062F0A" w:rsidRDefault="00062F0A" w:rsidP="00615190">
            <w:pPr>
              <w:spacing w:line="240" w:lineRule="atLeast"/>
              <w:rPr>
                <w:rFonts w:ascii="Tahoma" w:hAnsi="Tahoma"/>
                <w:color w:val="000000" w:themeColor="text1"/>
                <w:sz w:val="16"/>
                <w:lang w:val="en-GB"/>
              </w:rPr>
            </w:pPr>
            <w:r w:rsidRPr="00062F0A">
              <w:rPr>
                <w:rFonts w:ascii="Tahoma" w:hAnsi="Tahoma"/>
                <w:color w:val="000000" w:themeColor="text1"/>
                <w:sz w:val="16"/>
                <w:lang w:val="en-GB"/>
              </w:rPr>
              <w:t>Direct equity movements</w:t>
            </w:r>
          </w:p>
        </w:tc>
        <w:tc>
          <w:tcPr>
            <w:tcW w:w="701" w:type="dxa"/>
            <w:tcBorders>
              <w:top w:val="single" w:sz="4" w:space="0" w:color="auto"/>
              <w:bottom w:val="single" w:sz="4" w:space="0" w:color="auto"/>
            </w:tcBorders>
            <w:shd w:val="clear" w:color="auto" w:fill="auto"/>
            <w:tcMar>
              <w:top w:w="57" w:type="dxa"/>
              <w:left w:w="0" w:type="dxa"/>
              <w:bottom w:w="57" w:type="dxa"/>
              <w:right w:w="0" w:type="dxa"/>
            </w:tcMar>
            <w:vAlign w:val="bottom"/>
          </w:tcPr>
          <w:p w14:paraId="6CAC314D"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(16)</w:t>
            </w:r>
          </w:p>
        </w:tc>
        <w:tc>
          <w:tcPr>
            <w:tcW w:w="850" w:type="dxa"/>
            <w:tcBorders>
              <w:top w:val="single" w:sz="4" w:space="0" w:color="auto"/>
              <w:bottom w:val="single" w:sz="4" w:space="0" w:color="auto"/>
            </w:tcBorders>
            <w:shd w:val="clear" w:color="auto" w:fill="auto"/>
            <w:tcMar>
              <w:top w:w="57" w:type="dxa"/>
              <w:left w:w="0" w:type="dxa"/>
              <w:bottom w:w="57" w:type="dxa"/>
              <w:right w:w="0" w:type="dxa"/>
            </w:tcMar>
            <w:vAlign w:val="bottom"/>
          </w:tcPr>
          <w:p w14:paraId="24EC4472"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9" w:type="dxa"/>
            <w:tcBorders>
              <w:top w:val="single" w:sz="4" w:space="0" w:color="auto"/>
              <w:bottom w:val="single" w:sz="4" w:space="0" w:color="auto"/>
            </w:tcBorders>
            <w:shd w:val="clear" w:color="auto" w:fill="auto"/>
            <w:tcMar>
              <w:top w:w="57" w:type="dxa"/>
              <w:left w:w="0" w:type="dxa"/>
              <w:bottom w:w="57" w:type="dxa"/>
              <w:right w:w="0" w:type="dxa"/>
            </w:tcMar>
            <w:vAlign w:val="bottom"/>
          </w:tcPr>
          <w:p w14:paraId="170A8B6E"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9" w:type="dxa"/>
            <w:tcBorders>
              <w:top w:val="single" w:sz="4" w:space="0" w:color="auto"/>
              <w:bottom w:val="single" w:sz="4" w:space="0" w:color="auto"/>
            </w:tcBorders>
            <w:shd w:val="clear" w:color="auto" w:fill="auto"/>
            <w:tcMar>
              <w:top w:w="57" w:type="dxa"/>
              <w:left w:w="0" w:type="dxa"/>
              <w:bottom w:w="57" w:type="dxa"/>
              <w:right w:w="0" w:type="dxa"/>
            </w:tcMar>
            <w:vAlign w:val="bottom"/>
          </w:tcPr>
          <w:p w14:paraId="0A93AF6A"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549</w:t>
            </w:r>
          </w:p>
        </w:tc>
        <w:tc>
          <w:tcPr>
            <w:tcW w:w="708" w:type="dxa"/>
            <w:tcBorders>
              <w:top w:val="single" w:sz="4" w:space="0" w:color="auto"/>
              <w:bottom w:val="single" w:sz="4" w:space="0" w:color="auto"/>
            </w:tcBorders>
            <w:shd w:val="clear" w:color="auto" w:fill="auto"/>
            <w:tcMar>
              <w:top w:w="57" w:type="dxa"/>
              <w:left w:w="0" w:type="dxa"/>
              <w:bottom w:w="57" w:type="dxa"/>
              <w:right w:w="0" w:type="dxa"/>
            </w:tcMar>
            <w:vAlign w:val="bottom"/>
          </w:tcPr>
          <w:p w14:paraId="5EBD2EAD"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9" w:type="dxa"/>
            <w:tcBorders>
              <w:top w:val="single" w:sz="4" w:space="0" w:color="auto"/>
              <w:bottom w:val="single" w:sz="4" w:space="0" w:color="auto"/>
            </w:tcBorders>
            <w:shd w:val="clear" w:color="auto" w:fill="auto"/>
            <w:tcMar>
              <w:top w:w="57" w:type="dxa"/>
              <w:left w:w="0" w:type="dxa"/>
              <w:bottom w:w="57" w:type="dxa"/>
              <w:right w:w="0" w:type="dxa"/>
            </w:tcMar>
            <w:vAlign w:val="bottom"/>
          </w:tcPr>
          <w:p w14:paraId="1AB49364"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(119)</w:t>
            </w:r>
          </w:p>
        </w:tc>
        <w:tc>
          <w:tcPr>
            <w:tcW w:w="709" w:type="dxa"/>
            <w:tcBorders>
              <w:top w:val="single" w:sz="4" w:space="0" w:color="auto"/>
              <w:bottom w:val="single" w:sz="4" w:space="0" w:color="auto"/>
            </w:tcBorders>
            <w:shd w:val="clear" w:color="auto" w:fill="auto"/>
            <w:tcMar>
              <w:top w:w="57" w:type="dxa"/>
              <w:left w:w="0" w:type="dxa"/>
              <w:bottom w:w="57" w:type="dxa"/>
              <w:right w:w="0" w:type="dxa"/>
            </w:tcMar>
            <w:vAlign w:val="bottom"/>
          </w:tcPr>
          <w:p w14:paraId="1C87366D"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(414)</w:t>
            </w:r>
          </w:p>
        </w:tc>
        <w:tc>
          <w:tcPr>
            <w:tcW w:w="567" w:type="dxa"/>
            <w:tcBorders>
              <w:top w:val="single" w:sz="4" w:space="0" w:color="auto"/>
              <w:bottom w:val="single" w:sz="4" w:space="0" w:color="auto"/>
            </w:tcBorders>
            <w:shd w:val="clear" w:color="auto" w:fill="auto"/>
            <w:tcMar>
              <w:top w:w="57" w:type="dxa"/>
              <w:left w:w="0" w:type="dxa"/>
              <w:bottom w:w="57" w:type="dxa"/>
              <w:right w:w="0" w:type="dxa"/>
            </w:tcMar>
            <w:vAlign w:val="bottom"/>
          </w:tcPr>
          <w:p w14:paraId="0A3FB7F0"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9" w:type="dxa"/>
            <w:tcBorders>
              <w:top w:val="single" w:sz="4" w:space="0" w:color="auto"/>
              <w:bottom w:val="single" w:sz="4" w:space="0" w:color="auto"/>
            </w:tcBorders>
            <w:shd w:val="clear" w:color="auto" w:fill="auto"/>
            <w:tcMar>
              <w:top w:w="57" w:type="dxa"/>
              <w:left w:w="0" w:type="dxa"/>
              <w:bottom w:w="57" w:type="dxa"/>
              <w:right w:w="0" w:type="dxa"/>
            </w:tcMar>
            <w:vAlign w:val="bottom"/>
          </w:tcPr>
          <w:p w14:paraId="4980187A"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8" w:type="dxa"/>
            <w:tcBorders>
              <w:top w:val="single" w:sz="4" w:space="0" w:color="auto"/>
              <w:bottom w:val="single" w:sz="4" w:space="0" w:color="auto"/>
            </w:tcBorders>
            <w:shd w:val="clear" w:color="auto" w:fill="auto"/>
            <w:tcMar>
              <w:top w:w="57" w:type="dxa"/>
              <w:left w:w="0" w:type="dxa"/>
              <w:bottom w:w="57" w:type="dxa"/>
              <w:right w:w="0" w:type="dxa"/>
            </w:tcMar>
            <w:vAlign w:val="bottom"/>
          </w:tcPr>
          <w:p w14:paraId="5237D331" w14:textId="77777777" w:rsidR="00062F0A" w:rsidRPr="00062F0A" w:rsidRDefault="00062F0A" w:rsidP="00CA4314">
            <w:pPr>
              <w:spacing w:line="240" w:lineRule="atLeast"/>
              <w:ind w:right="113"/>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r>
      <w:tr w:rsidR="00154C7C" w:rsidRPr="00062F0A" w14:paraId="00320C74" w14:textId="77777777" w:rsidTr="008809D2">
        <w:trPr>
          <w:trHeight w:val="60"/>
        </w:trPr>
        <w:tc>
          <w:tcPr>
            <w:tcW w:w="3127" w:type="dxa"/>
            <w:tcBorders>
              <w:right w:val="single" w:sz="4" w:space="0" w:color="auto"/>
            </w:tcBorders>
            <w:shd w:val="clear" w:color="auto" w:fill="auto"/>
            <w:tcMar>
              <w:top w:w="57" w:type="dxa"/>
              <w:left w:w="113" w:type="dxa"/>
              <w:bottom w:w="57" w:type="dxa"/>
              <w:right w:w="0" w:type="dxa"/>
            </w:tcMar>
            <w:vAlign w:val="bottom"/>
          </w:tcPr>
          <w:p w14:paraId="21C1A43C" w14:textId="77777777" w:rsidR="00062F0A" w:rsidRPr="00062F0A" w:rsidRDefault="00062F0A" w:rsidP="00615190">
            <w:pPr>
              <w:spacing w:line="240" w:lineRule="atLeast"/>
              <w:rPr>
                <w:rFonts w:ascii="Tahoma" w:hAnsi="Tahoma"/>
                <w:color w:val="000000" w:themeColor="text1"/>
                <w:sz w:val="16"/>
                <w:lang w:val="en-GB"/>
              </w:rPr>
            </w:pPr>
            <w:r w:rsidRPr="00062F0A">
              <w:rPr>
                <w:rFonts w:ascii="Tahoma" w:hAnsi="Tahoma"/>
                <w:color w:val="000000" w:themeColor="text1"/>
                <w:sz w:val="16"/>
                <w:lang w:val="en-GB"/>
              </w:rPr>
              <w:t>Direct movements from associates</w:t>
            </w:r>
          </w:p>
        </w:tc>
        <w:tc>
          <w:tcPr>
            <w:tcW w:w="701" w:type="dxa"/>
            <w:tcBorders>
              <w:top w:val="single" w:sz="4" w:space="0" w:color="auto"/>
              <w:left w:val="single" w:sz="4" w:space="0" w:color="auto"/>
            </w:tcBorders>
            <w:shd w:val="clear" w:color="auto" w:fill="auto"/>
            <w:tcMar>
              <w:top w:w="57" w:type="dxa"/>
              <w:left w:w="0" w:type="dxa"/>
              <w:bottom w:w="57" w:type="dxa"/>
              <w:right w:w="0" w:type="dxa"/>
            </w:tcMar>
            <w:vAlign w:val="bottom"/>
          </w:tcPr>
          <w:p w14:paraId="1CC6638C"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850" w:type="dxa"/>
            <w:tcBorders>
              <w:top w:val="single" w:sz="4" w:space="0" w:color="auto"/>
            </w:tcBorders>
            <w:shd w:val="clear" w:color="auto" w:fill="auto"/>
            <w:tcMar>
              <w:top w:w="57" w:type="dxa"/>
              <w:left w:w="0" w:type="dxa"/>
              <w:bottom w:w="57" w:type="dxa"/>
              <w:right w:w="0" w:type="dxa"/>
            </w:tcMar>
            <w:vAlign w:val="bottom"/>
          </w:tcPr>
          <w:p w14:paraId="01E5ABDC"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9" w:type="dxa"/>
            <w:tcBorders>
              <w:top w:val="single" w:sz="4" w:space="0" w:color="auto"/>
            </w:tcBorders>
            <w:shd w:val="clear" w:color="auto" w:fill="auto"/>
            <w:tcMar>
              <w:top w:w="57" w:type="dxa"/>
              <w:left w:w="0" w:type="dxa"/>
              <w:bottom w:w="57" w:type="dxa"/>
              <w:right w:w="0" w:type="dxa"/>
            </w:tcMar>
            <w:vAlign w:val="bottom"/>
          </w:tcPr>
          <w:p w14:paraId="62FEBAA9"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9" w:type="dxa"/>
            <w:tcBorders>
              <w:top w:val="single" w:sz="4" w:space="0" w:color="auto"/>
            </w:tcBorders>
            <w:shd w:val="clear" w:color="auto" w:fill="auto"/>
            <w:tcMar>
              <w:top w:w="57" w:type="dxa"/>
              <w:left w:w="0" w:type="dxa"/>
              <w:bottom w:w="57" w:type="dxa"/>
              <w:right w:w="0" w:type="dxa"/>
            </w:tcMar>
            <w:vAlign w:val="bottom"/>
          </w:tcPr>
          <w:p w14:paraId="614BD7E3"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344</w:t>
            </w:r>
          </w:p>
        </w:tc>
        <w:tc>
          <w:tcPr>
            <w:tcW w:w="708" w:type="dxa"/>
            <w:tcBorders>
              <w:top w:val="single" w:sz="4" w:space="0" w:color="auto"/>
            </w:tcBorders>
            <w:shd w:val="clear" w:color="auto" w:fill="auto"/>
            <w:tcMar>
              <w:top w:w="57" w:type="dxa"/>
              <w:left w:w="0" w:type="dxa"/>
              <w:bottom w:w="57" w:type="dxa"/>
              <w:right w:w="0" w:type="dxa"/>
            </w:tcMar>
            <w:vAlign w:val="bottom"/>
          </w:tcPr>
          <w:p w14:paraId="35A5FEED"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9" w:type="dxa"/>
            <w:tcBorders>
              <w:top w:val="single" w:sz="4" w:space="0" w:color="auto"/>
            </w:tcBorders>
            <w:shd w:val="clear" w:color="auto" w:fill="auto"/>
            <w:tcMar>
              <w:top w:w="57" w:type="dxa"/>
              <w:left w:w="0" w:type="dxa"/>
              <w:bottom w:w="57" w:type="dxa"/>
              <w:right w:w="0" w:type="dxa"/>
            </w:tcMar>
            <w:vAlign w:val="bottom"/>
          </w:tcPr>
          <w:p w14:paraId="3C318D4F"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9" w:type="dxa"/>
            <w:tcBorders>
              <w:top w:val="single" w:sz="4" w:space="0" w:color="auto"/>
            </w:tcBorders>
            <w:shd w:val="clear" w:color="auto" w:fill="auto"/>
            <w:tcMar>
              <w:top w:w="57" w:type="dxa"/>
              <w:left w:w="0" w:type="dxa"/>
              <w:bottom w:w="57" w:type="dxa"/>
              <w:right w:w="0" w:type="dxa"/>
            </w:tcMar>
            <w:vAlign w:val="bottom"/>
          </w:tcPr>
          <w:p w14:paraId="5406E6EA"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(344)</w:t>
            </w:r>
          </w:p>
        </w:tc>
        <w:tc>
          <w:tcPr>
            <w:tcW w:w="567" w:type="dxa"/>
            <w:tcBorders>
              <w:top w:val="single" w:sz="4" w:space="0" w:color="auto"/>
            </w:tcBorders>
            <w:shd w:val="clear" w:color="auto" w:fill="auto"/>
            <w:tcMar>
              <w:top w:w="57" w:type="dxa"/>
              <w:left w:w="0" w:type="dxa"/>
              <w:bottom w:w="57" w:type="dxa"/>
              <w:right w:w="0" w:type="dxa"/>
            </w:tcMar>
            <w:vAlign w:val="bottom"/>
          </w:tcPr>
          <w:p w14:paraId="27D58955"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9" w:type="dxa"/>
            <w:tcBorders>
              <w:top w:val="single" w:sz="4" w:space="0" w:color="auto"/>
            </w:tcBorders>
            <w:shd w:val="clear" w:color="auto" w:fill="auto"/>
            <w:tcMar>
              <w:top w:w="57" w:type="dxa"/>
              <w:left w:w="0" w:type="dxa"/>
              <w:bottom w:w="57" w:type="dxa"/>
              <w:right w:w="0" w:type="dxa"/>
            </w:tcMar>
            <w:vAlign w:val="bottom"/>
          </w:tcPr>
          <w:p w14:paraId="4602520D"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8" w:type="dxa"/>
            <w:tcBorders>
              <w:top w:val="single" w:sz="4" w:space="0" w:color="auto"/>
              <w:right w:val="single" w:sz="4" w:space="0" w:color="auto"/>
            </w:tcBorders>
            <w:shd w:val="clear" w:color="auto" w:fill="auto"/>
            <w:tcMar>
              <w:top w:w="57" w:type="dxa"/>
              <w:left w:w="0" w:type="dxa"/>
              <w:bottom w:w="57" w:type="dxa"/>
              <w:right w:w="0" w:type="dxa"/>
            </w:tcMar>
            <w:vAlign w:val="bottom"/>
          </w:tcPr>
          <w:p w14:paraId="6212A432" w14:textId="77777777" w:rsidR="00062F0A" w:rsidRPr="00062F0A" w:rsidRDefault="00062F0A" w:rsidP="00CA4314">
            <w:pPr>
              <w:spacing w:line="240" w:lineRule="atLeast"/>
              <w:ind w:right="113"/>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r>
      <w:tr w:rsidR="00154C7C" w:rsidRPr="00062F0A" w14:paraId="69A28BD0" w14:textId="77777777" w:rsidTr="008809D2">
        <w:trPr>
          <w:trHeight w:val="60"/>
        </w:trPr>
        <w:tc>
          <w:tcPr>
            <w:tcW w:w="3127" w:type="dxa"/>
            <w:tcBorders>
              <w:right w:val="single" w:sz="4" w:space="0" w:color="auto"/>
            </w:tcBorders>
            <w:shd w:val="clear" w:color="auto" w:fill="auto"/>
            <w:tcMar>
              <w:top w:w="57" w:type="dxa"/>
              <w:left w:w="113" w:type="dxa"/>
              <w:bottom w:w="57" w:type="dxa"/>
              <w:right w:w="0" w:type="dxa"/>
            </w:tcMar>
            <w:vAlign w:val="bottom"/>
          </w:tcPr>
          <w:p w14:paraId="1B145C0A" w14:textId="77777777" w:rsidR="00062F0A" w:rsidRPr="00062F0A" w:rsidRDefault="00062F0A" w:rsidP="00615190">
            <w:pPr>
              <w:spacing w:line="240" w:lineRule="atLeast"/>
              <w:rPr>
                <w:rFonts w:ascii="Tahoma" w:hAnsi="Tahoma"/>
                <w:color w:val="000000" w:themeColor="text1"/>
                <w:sz w:val="16"/>
                <w:lang w:val="en-GB"/>
              </w:rPr>
            </w:pPr>
            <w:r w:rsidRPr="00062F0A">
              <w:rPr>
                <w:rFonts w:ascii="Tahoma" w:hAnsi="Tahoma"/>
                <w:color w:val="000000" w:themeColor="text1"/>
                <w:sz w:val="16"/>
                <w:lang w:val="en-GB"/>
              </w:rPr>
              <w:t xml:space="preserve">Realisation of reserves as a result </w:t>
            </w:r>
            <w:r w:rsidR="002F1BA4">
              <w:rPr>
                <w:rFonts w:ascii="Tahoma" w:hAnsi="Tahoma"/>
                <w:color w:val="000000" w:themeColor="text1"/>
                <w:sz w:val="16"/>
                <w:lang w:val="en-GB"/>
              </w:rPr>
              <w:br/>
            </w:r>
            <w:r w:rsidRPr="00062F0A">
              <w:rPr>
                <w:rFonts w:ascii="Tahoma" w:hAnsi="Tahoma"/>
                <w:color w:val="000000" w:themeColor="text1"/>
                <w:sz w:val="16"/>
                <w:lang w:val="en-GB"/>
              </w:rPr>
              <w:t>of partial disposal of associates</w:t>
            </w:r>
          </w:p>
        </w:tc>
        <w:tc>
          <w:tcPr>
            <w:tcW w:w="701" w:type="dxa"/>
            <w:tcBorders>
              <w:left w:val="single" w:sz="4" w:space="0" w:color="auto"/>
            </w:tcBorders>
            <w:shd w:val="clear" w:color="auto" w:fill="auto"/>
            <w:tcMar>
              <w:top w:w="57" w:type="dxa"/>
              <w:left w:w="0" w:type="dxa"/>
              <w:bottom w:w="57" w:type="dxa"/>
              <w:right w:w="0" w:type="dxa"/>
            </w:tcMar>
            <w:vAlign w:val="bottom"/>
          </w:tcPr>
          <w:p w14:paraId="771BB151"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850" w:type="dxa"/>
            <w:shd w:val="clear" w:color="auto" w:fill="auto"/>
            <w:tcMar>
              <w:top w:w="57" w:type="dxa"/>
              <w:left w:w="0" w:type="dxa"/>
              <w:bottom w:w="57" w:type="dxa"/>
              <w:right w:w="0" w:type="dxa"/>
            </w:tcMar>
            <w:vAlign w:val="bottom"/>
          </w:tcPr>
          <w:p w14:paraId="7C6E55CD"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9" w:type="dxa"/>
            <w:shd w:val="clear" w:color="auto" w:fill="auto"/>
            <w:tcMar>
              <w:top w:w="57" w:type="dxa"/>
              <w:left w:w="0" w:type="dxa"/>
              <w:bottom w:w="57" w:type="dxa"/>
              <w:right w:w="0" w:type="dxa"/>
            </w:tcMar>
            <w:vAlign w:val="bottom"/>
          </w:tcPr>
          <w:p w14:paraId="2FDE9089"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9" w:type="dxa"/>
            <w:shd w:val="clear" w:color="auto" w:fill="auto"/>
            <w:tcMar>
              <w:top w:w="57" w:type="dxa"/>
              <w:left w:w="0" w:type="dxa"/>
              <w:bottom w:w="57" w:type="dxa"/>
              <w:right w:w="0" w:type="dxa"/>
            </w:tcMar>
            <w:vAlign w:val="bottom"/>
          </w:tcPr>
          <w:p w14:paraId="085BA360"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18</w:t>
            </w:r>
          </w:p>
        </w:tc>
        <w:tc>
          <w:tcPr>
            <w:tcW w:w="708" w:type="dxa"/>
            <w:shd w:val="clear" w:color="auto" w:fill="auto"/>
            <w:tcMar>
              <w:top w:w="57" w:type="dxa"/>
              <w:left w:w="0" w:type="dxa"/>
              <w:bottom w:w="57" w:type="dxa"/>
              <w:right w:w="0" w:type="dxa"/>
            </w:tcMar>
            <w:vAlign w:val="bottom"/>
          </w:tcPr>
          <w:p w14:paraId="3E9757EB"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9" w:type="dxa"/>
            <w:shd w:val="clear" w:color="auto" w:fill="auto"/>
            <w:tcMar>
              <w:top w:w="57" w:type="dxa"/>
              <w:left w:w="0" w:type="dxa"/>
              <w:bottom w:w="57" w:type="dxa"/>
              <w:right w:w="0" w:type="dxa"/>
            </w:tcMar>
            <w:vAlign w:val="bottom"/>
          </w:tcPr>
          <w:p w14:paraId="4F149522"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(119)</w:t>
            </w:r>
          </w:p>
        </w:tc>
        <w:tc>
          <w:tcPr>
            <w:tcW w:w="709" w:type="dxa"/>
            <w:shd w:val="clear" w:color="auto" w:fill="auto"/>
            <w:tcMar>
              <w:top w:w="57" w:type="dxa"/>
              <w:left w:w="0" w:type="dxa"/>
              <w:bottom w:w="57" w:type="dxa"/>
              <w:right w:w="0" w:type="dxa"/>
            </w:tcMar>
            <w:vAlign w:val="bottom"/>
          </w:tcPr>
          <w:p w14:paraId="63AA0D1F"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101</w:t>
            </w:r>
          </w:p>
        </w:tc>
        <w:tc>
          <w:tcPr>
            <w:tcW w:w="567" w:type="dxa"/>
            <w:shd w:val="clear" w:color="auto" w:fill="auto"/>
            <w:tcMar>
              <w:top w:w="57" w:type="dxa"/>
              <w:left w:w="0" w:type="dxa"/>
              <w:bottom w:w="57" w:type="dxa"/>
              <w:right w:w="0" w:type="dxa"/>
            </w:tcMar>
            <w:vAlign w:val="bottom"/>
          </w:tcPr>
          <w:p w14:paraId="0DC63AF4"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9" w:type="dxa"/>
            <w:shd w:val="clear" w:color="auto" w:fill="auto"/>
            <w:tcMar>
              <w:top w:w="57" w:type="dxa"/>
              <w:left w:w="0" w:type="dxa"/>
              <w:bottom w:w="57" w:type="dxa"/>
              <w:right w:w="0" w:type="dxa"/>
            </w:tcMar>
            <w:vAlign w:val="bottom"/>
          </w:tcPr>
          <w:p w14:paraId="08D04A35"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8" w:type="dxa"/>
            <w:tcBorders>
              <w:right w:val="single" w:sz="4" w:space="0" w:color="auto"/>
            </w:tcBorders>
            <w:shd w:val="clear" w:color="auto" w:fill="auto"/>
            <w:tcMar>
              <w:top w:w="57" w:type="dxa"/>
              <w:left w:w="0" w:type="dxa"/>
              <w:bottom w:w="57" w:type="dxa"/>
              <w:right w:w="0" w:type="dxa"/>
            </w:tcMar>
            <w:vAlign w:val="bottom"/>
          </w:tcPr>
          <w:p w14:paraId="39BB8322" w14:textId="77777777" w:rsidR="00062F0A" w:rsidRPr="00062F0A" w:rsidRDefault="00062F0A" w:rsidP="00CA4314">
            <w:pPr>
              <w:spacing w:line="240" w:lineRule="atLeast"/>
              <w:ind w:right="113"/>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r>
      <w:tr w:rsidR="00154C7C" w:rsidRPr="00062F0A" w14:paraId="59E968FE" w14:textId="77777777" w:rsidTr="008809D2">
        <w:trPr>
          <w:trHeight w:val="60"/>
        </w:trPr>
        <w:tc>
          <w:tcPr>
            <w:tcW w:w="3127" w:type="dxa"/>
            <w:tcBorders>
              <w:right w:val="single" w:sz="4" w:space="0" w:color="auto"/>
            </w:tcBorders>
            <w:shd w:val="clear" w:color="auto" w:fill="auto"/>
            <w:tcMar>
              <w:top w:w="57" w:type="dxa"/>
              <w:left w:w="113" w:type="dxa"/>
              <w:bottom w:w="57" w:type="dxa"/>
              <w:right w:w="0" w:type="dxa"/>
            </w:tcMar>
            <w:vAlign w:val="bottom"/>
          </w:tcPr>
          <w:p w14:paraId="1BDA89F3" w14:textId="77777777" w:rsidR="00062F0A" w:rsidRPr="00062F0A" w:rsidRDefault="00062F0A" w:rsidP="00615190">
            <w:pPr>
              <w:spacing w:line="240" w:lineRule="atLeast"/>
              <w:rPr>
                <w:rFonts w:ascii="Tahoma" w:hAnsi="Tahoma"/>
                <w:color w:val="000000" w:themeColor="text1"/>
                <w:sz w:val="16"/>
                <w:lang w:val="en-GB"/>
              </w:rPr>
            </w:pPr>
            <w:r w:rsidRPr="00062F0A">
              <w:rPr>
                <w:rFonts w:ascii="Tahoma" w:hAnsi="Tahoma"/>
                <w:color w:val="000000" w:themeColor="text1"/>
                <w:sz w:val="16"/>
                <w:lang w:val="en-GB"/>
              </w:rPr>
              <w:t xml:space="preserve">Realisation of reserves as a result </w:t>
            </w:r>
            <w:r w:rsidR="002F1BA4">
              <w:rPr>
                <w:rFonts w:ascii="Tahoma" w:hAnsi="Tahoma"/>
                <w:color w:val="000000" w:themeColor="text1"/>
                <w:sz w:val="16"/>
                <w:lang w:val="en-GB"/>
              </w:rPr>
              <w:br/>
            </w:r>
            <w:r w:rsidRPr="00062F0A">
              <w:rPr>
                <w:rFonts w:ascii="Tahoma" w:hAnsi="Tahoma"/>
                <w:color w:val="000000" w:themeColor="text1"/>
                <w:sz w:val="16"/>
                <w:lang w:val="en-GB"/>
              </w:rPr>
              <w:t>of disposals</w:t>
            </w:r>
          </w:p>
        </w:tc>
        <w:tc>
          <w:tcPr>
            <w:tcW w:w="701" w:type="dxa"/>
            <w:tcBorders>
              <w:left w:val="single" w:sz="4" w:space="0" w:color="auto"/>
            </w:tcBorders>
            <w:shd w:val="clear" w:color="auto" w:fill="auto"/>
            <w:tcMar>
              <w:top w:w="57" w:type="dxa"/>
              <w:left w:w="0" w:type="dxa"/>
              <w:bottom w:w="57" w:type="dxa"/>
              <w:right w:w="0" w:type="dxa"/>
            </w:tcMar>
            <w:vAlign w:val="bottom"/>
          </w:tcPr>
          <w:p w14:paraId="29EAEB85"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850" w:type="dxa"/>
            <w:shd w:val="clear" w:color="auto" w:fill="auto"/>
            <w:tcMar>
              <w:top w:w="57" w:type="dxa"/>
              <w:left w:w="0" w:type="dxa"/>
              <w:bottom w:w="57" w:type="dxa"/>
              <w:right w:w="0" w:type="dxa"/>
            </w:tcMar>
            <w:vAlign w:val="bottom"/>
          </w:tcPr>
          <w:p w14:paraId="345A28A8"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9" w:type="dxa"/>
            <w:shd w:val="clear" w:color="auto" w:fill="auto"/>
            <w:tcMar>
              <w:top w:w="57" w:type="dxa"/>
              <w:left w:w="0" w:type="dxa"/>
              <w:bottom w:w="57" w:type="dxa"/>
              <w:right w:w="0" w:type="dxa"/>
            </w:tcMar>
            <w:vAlign w:val="bottom"/>
          </w:tcPr>
          <w:p w14:paraId="01D6789F"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9" w:type="dxa"/>
            <w:shd w:val="clear" w:color="auto" w:fill="auto"/>
            <w:tcMar>
              <w:top w:w="57" w:type="dxa"/>
              <w:left w:w="0" w:type="dxa"/>
              <w:bottom w:w="57" w:type="dxa"/>
              <w:right w:w="0" w:type="dxa"/>
            </w:tcMar>
            <w:vAlign w:val="bottom"/>
          </w:tcPr>
          <w:p w14:paraId="1BDE1919"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187</w:t>
            </w:r>
          </w:p>
        </w:tc>
        <w:tc>
          <w:tcPr>
            <w:tcW w:w="708" w:type="dxa"/>
            <w:shd w:val="clear" w:color="auto" w:fill="auto"/>
            <w:tcMar>
              <w:top w:w="57" w:type="dxa"/>
              <w:left w:w="0" w:type="dxa"/>
              <w:bottom w:w="57" w:type="dxa"/>
              <w:right w:w="0" w:type="dxa"/>
            </w:tcMar>
            <w:vAlign w:val="bottom"/>
          </w:tcPr>
          <w:p w14:paraId="32758371"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9" w:type="dxa"/>
            <w:shd w:val="clear" w:color="auto" w:fill="auto"/>
            <w:tcMar>
              <w:top w:w="57" w:type="dxa"/>
              <w:left w:w="0" w:type="dxa"/>
              <w:bottom w:w="57" w:type="dxa"/>
              <w:right w:w="0" w:type="dxa"/>
            </w:tcMar>
            <w:vAlign w:val="bottom"/>
          </w:tcPr>
          <w:p w14:paraId="614048BC"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9" w:type="dxa"/>
            <w:shd w:val="clear" w:color="auto" w:fill="auto"/>
            <w:tcMar>
              <w:top w:w="57" w:type="dxa"/>
              <w:left w:w="0" w:type="dxa"/>
              <w:bottom w:w="57" w:type="dxa"/>
              <w:right w:w="0" w:type="dxa"/>
            </w:tcMar>
            <w:vAlign w:val="bottom"/>
          </w:tcPr>
          <w:p w14:paraId="7A334775"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(187)</w:t>
            </w:r>
          </w:p>
        </w:tc>
        <w:tc>
          <w:tcPr>
            <w:tcW w:w="567" w:type="dxa"/>
            <w:shd w:val="clear" w:color="auto" w:fill="auto"/>
            <w:tcMar>
              <w:top w:w="57" w:type="dxa"/>
              <w:left w:w="0" w:type="dxa"/>
              <w:bottom w:w="57" w:type="dxa"/>
              <w:right w:w="0" w:type="dxa"/>
            </w:tcMar>
            <w:vAlign w:val="bottom"/>
          </w:tcPr>
          <w:p w14:paraId="1C495AAD"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9" w:type="dxa"/>
            <w:shd w:val="clear" w:color="auto" w:fill="auto"/>
            <w:tcMar>
              <w:top w:w="57" w:type="dxa"/>
              <w:left w:w="0" w:type="dxa"/>
              <w:bottom w:w="57" w:type="dxa"/>
              <w:right w:w="0" w:type="dxa"/>
            </w:tcMar>
            <w:vAlign w:val="bottom"/>
          </w:tcPr>
          <w:p w14:paraId="45286C66"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8" w:type="dxa"/>
            <w:tcBorders>
              <w:right w:val="single" w:sz="4" w:space="0" w:color="auto"/>
            </w:tcBorders>
            <w:shd w:val="clear" w:color="auto" w:fill="auto"/>
            <w:tcMar>
              <w:top w:w="57" w:type="dxa"/>
              <w:left w:w="0" w:type="dxa"/>
              <w:bottom w:w="57" w:type="dxa"/>
              <w:right w:w="0" w:type="dxa"/>
            </w:tcMar>
            <w:vAlign w:val="bottom"/>
          </w:tcPr>
          <w:p w14:paraId="3AD35ED2" w14:textId="77777777" w:rsidR="00062F0A" w:rsidRPr="00062F0A" w:rsidRDefault="00062F0A" w:rsidP="00CA4314">
            <w:pPr>
              <w:spacing w:line="240" w:lineRule="atLeast"/>
              <w:ind w:right="113"/>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r>
      <w:tr w:rsidR="00154C7C" w:rsidRPr="00062F0A" w14:paraId="220E6603" w14:textId="77777777" w:rsidTr="008809D2">
        <w:trPr>
          <w:trHeight w:val="60"/>
        </w:trPr>
        <w:tc>
          <w:tcPr>
            <w:tcW w:w="3127" w:type="dxa"/>
            <w:tcBorders>
              <w:right w:val="single" w:sz="4" w:space="0" w:color="auto"/>
            </w:tcBorders>
            <w:shd w:val="clear" w:color="auto" w:fill="auto"/>
            <w:tcMar>
              <w:top w:w="57" w:type="dxa"/>
              <w:left w:w="113" w:type="dxa"/>
              <w:bottom w:w="57" w:type="dxa"/>
              <w:right w:w="0" w:type="dxa"/>
            </w:tcMar>
            <w:vAlign w:val="bottom"/>
          </w:tcPr>
          <w:p w14:paraId="6A6DB5C8" w14:textId="77777777" w:rsidR="00062F0A" w:rsidRPr="00062F0A" w:rsidRDefault="00062F0A" w:rsidP="00615190">
            <w:pPr>
              <w:spacing w:line="240" w:lineRule="atLeast"/>
              <w:rPr>
                <w:rFonts w:ascii="Tahoma" w:hAnsi="Tahoma"/>
                <w:color w:val="000000" w:themeColor="text1"/>
                <w:sz w:val="16"/>
                <w:lang w:val="en-GB"/>
              </w:rPr>
            </w:pPr>
            <w:r w:rsidRPr="00062F0A">
              <w:rPr>
                <w:rFonts w:ascii="Tahoma" w:hAnsi="Tahoma"/>
                <w:color w:val="000000" w:themeColor="text1"/>
                <w:sz w:val="16"/>
                <w:lang w:val="en-GB"/>
              </w:rPr>
              <w:t>Other direct movements</w:t>
            </w:r>
          </w:p>
        </w:tc>
        <w:tc>
          <w:tcPr>
            <w:tcW w:w="701" w:type="dxa"/>
            <w:tcBorders>
              <w:left w:val="single" w:sz="4" w:space="0" w:color="auto"/>
              <w:bottom w:val="single" w:sz="4" w:space="0" w:color="auto"/>
            </w:tcBorders>
            <w:shd w:val="clear" w:color="auto" w:fill="auto"/>
            <w:tcMar>
              <w:top w:w="57" w:type="dxa"/>
              <w:left w:w="0" w:type="dxa"/>
              <w:bottom w:w="57" w:type="dxa"/>
              <w:right w:w="0" w:type="dxa"/>
            </w:tcMar>
            <w:vAlign w:val="bottom"/>
          </w:tcPr>
          <w:p w14:paraId="0DE3ADE0"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(16)</w:t>
            </w:r>
          </w:p>
        </w:tc>
        <w:tc>
          <w:tcPr>
            <w:tcW w:w="850" w:type="dxa"/>
            <w:tcBorders>
              <w:bottom w:val="single" w:sz="4" w:space="0" w:color="auto"/>
            </w:tcBorders>
            <w:shd w:val="clear" w:color="auto" w:fill="auto"/>
            <w:tcMar>
              <w:top w:w="57" w:type="dxa"/>
              <w:left w:w="0" w:type="dxa"/>
              <w:bottom w:w="57" w:type="dxa"/>
              <w:right w:w="0" w:type="dxa"/>
            </w:tcMar>
            <w:vAlign w:val="bottom"/>
          </w:tcPr>
          <w:p w14:paraId="72921348"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9" w:type="dxa"/>
            <w:tcBorders>
              <w:bottom w:val="single" w:sz="4" w:space="0" w:color="auto"/>
            </w:tcBorders>
            <w:shd w:val="clear" w:color="auto" w:fill="auto"/>
            <w:tcMar>
              <w:top w:w="57" w:type="dxa"/>
              <w:left w:w="0" w:type="dxa"/>
              <w:bottom w:w="57" w:type="dxa"/>
              <w:right w:w="0" w:type="dxa"/>
            </w:tcMar>
            <w:vAlign w:val="bottom"/>
          </w:tcPr>
          <w:p w14:paraId="68FAB81A"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9" w:type="dxa"/>
            <w:tcBorders>
              <w:bottom w:val="single" w:sz="4" w:space="0" w:color="auto"/>
            </w:tcBorders>
            <w:shd w:val="clear" w:color="auto" w:fill="auto"/>
            <w:tcMar>
              <w:top w:w="57" w:type="dxa"/>
              <w:left w:w="0" w:type="dxa"/>
              <w:bottom w:w="57" w:type="dxa"/>
              <w:right w:w="0" w:type="dxa"/>
            </w:tcMar>
            <w:vAlign w:val="bottom"/>
          </w:tcPr>
          <w:p w14:paraId="75759C87"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8" w:type="dxa"/>
            <w:tcBorders>
              <w:bottom w:val="single" w:sz="4" w:space="0" w:color="auto"/>
            </w:tcBorders>
            <w:shd w:val="clear" w:color="auto" w:fill="auto"/>
            <w:tcMar>
              <w:top w:w="57" w:type="dxa"/>
              <w:left w:w="0" w:type="dxa"/>
              <w:bottom w:w="57" w:type="dxa"/>
              <w:right w:w="0" w:type="dxa"/>
            </w:tcMar>
            <w:vAlign w:val="bottom"/>
          </w:tcPr>
          <w:p w14:paraId="3C02D424"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9" w:type="dxa"/>
            <w:tcBorders>
              <w:bottom w:val="single" w:sz="4" w:space="0" w:color="auto"/>
            </w:tcBorders>
            <w:shd w:val="clear" w:color="auto" w:fill="auto"/>
            <w:tcMar>
              <w:top w:w="57" w:type="dxa"/>
              <w:left w:w="0" w:type="dxa"/>
              <w:bottom w:w="57" w:type="dxa"/>
              <w:right w:w="0" w:type="dxa"/>
            </w:tcMar>
            <w:vAlign w:val="bottom"/>
          </w:tcPr>
          <w:p w14:paraId="53912E89"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9" w:type="dxa"/>
            <w:tcBorders>
              <w:bottom w:val="single" w:sz="4" w:space="0" w:color="auto"/>
            </w:tcBorders>
            <w:shd w:val="clear" w:color="auto" w:fill="auto"/>
            <w:tcMar>
              <w:top w:w="57" w:type="dxa"/>
              <w:left w:w="0" w:type="dxa"/>
              <w:bottom w:w="57" w:type="dxa"/>
              <w:right w:w="0" w:type="dxa"/>
            </w:tcMar>
            <w:vAlign w:val="bottom"/>
          </w:tcPr>
          <w:p w14:paraId="03B32639"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16</w:t>
            </w:r>
          </w:p>
        </w:tc>
        <w:tc>
          <w:tcPr>
            <w:tcW w:w="567" w:type="dxa"/>
            <w:tcBorders>
              <w:bottom w:val="single" w:sz="4" w:space="0" w:color="auto"/>
            </w:tcBorders>
            <w:shd w:val="clear" w:color="auto" w:fill="auto"/>
            <w:tcMar>
              <w:top w:w="57" w:type="dxa"/>
              <w:left w:w="0" w:type="dxa"/>
              <w:bottom w:w="57" w:type="dxa"/>
              <w:right w:w="0" w:type="dxa"/>
            </w:tcMar>
            <w:vAlign w:val="bottom"/>
          </w:tcPr>
          <w:p w14:paraId="0ACE1421"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9" w:type="dxa"/>
            <w:tcBorders>
              <w:bottom w:val="single" w:sz="4" w:space="0" w:color="auto"/>
            </w:tcBorders>
            <w:shd w:val="clear" w:color="auto" w:fill="auto"/>
            <w:tcMar>
              <w:top w:w="57" w:type="dxa"/>
              <w:left w:w="0" w:type="dxa"/>
              <w:bottom w:w="57" w:type="dxa"/>
              <w:right w:w="0" w:type="dxa"/>
            </w:tcMar>
            <w:vAlign w:val="bottom"/>
          </w:tcPr>
          <w:p w14:paraId="1EE6EB0A"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8" w:type="dxa"/>
            <w:tcBorders>
              <w:bottom w:val="single" w:sz="4" w:space="0" w:color="auto"/>
              <w:right w:val="single" w:sz="4" w:space="0" w:color="auto"/>
            </w:tcBorders>
            <w:shd w:val="clear" w:color="auto" w:fill="auto"/>
            <w:tcMar>
              <w:top w:w="57" w:type="dxa"/>
              <w:left w:w="0" w:type="dxa"/>
              <w:bottom w:w="57" w:type="dxa"/>
              <w:right w:w="0" w:type="dxa"/>
            </w:tcMar>
            <w:vAlign w:val="bottom"/>
          </w:tcPr>
          <w:p w14:paraId="1BD3A930" w14:textId="77777777" w:rsidR="00062F0A" w:rsidRPr="00062F0A" w:rsidRDefault="00062F0A" w:rsidP="00CA4314">
            <w:pPr>
              <w:spacing w:line="240" w:lineRule="atLeast"/>
              <w:ind w:right="113"/>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r>
      <w:tr w:rsidR="00154C7C" w:rsidRPr="00062F0A" w14:paraId="7603005D" w14:textId="77777777" w:rsidTr="008809D2">
        <w:trPr>
          <w:trHeight w:val="60"/>
        </w:trPr>
        <w:tc>
          <w:tcPr>
            <w:tcW w:w="3127" w:type="dxa"/>
            <w:shd w:val="clear" w:color="auto" w:fill="auto"/>
            <w:tcMar>
              <w:top w:w="57" w:type="dxa"/>
              <w:left w:w="0" w:type="dxa"/>
              <w:bottom w:w="57" w:type="dxa"/>
              <w:right w:w="0" w:type="dxa"/>
            </w:tcMar>
            <w:vAlign w:val="bottom"/>
          </w:tcPr>
          <w:p w14:paraId="1D6C572F" w14:textId="77777777" w:rsidR="00062F0A" w:rsidRPr="00062F0A" w:rsidRDefault="00062F0A" w:rsidP="00615190">
            <w:pPr>
              <w:spacing w:line="240" w:lineRule="atLeast"/>
              <w:rPr>
                <w:rFonts w:ascii="Tahoma" w:hAnsi="Tahoma"/>
                <w:color w:val="000000" w:themeColor="text1"/>
                <w:sz w:val="16"/>
                <w:lang w:val="en-GB"/>
              </w:rPr>
            </w:pPr>
            <w:r w:rsidRPr="00062F0A">
              <w:rPr>
                <w:rFonts w:ascii="Tahoma" w:hAnsi="Tahoma"/>
                <w:color w:val="000000" w:themeColor="text1"/>
                <w:sz w:val="16"/>
                <w:lang w:val="en-GB"/>
              </w:rPr>
              <w:t>Remeasurement of written put option liabilities</w:t>
            </w:r>
          </w:p>
        </w:tc>
        <w:tc>
          <w:tcPr>
            <w:tcW w:w="701" w:type="dxa"/>
            <w:tcBorders>
              <w:top w:val="single" w:sz="4" w:space="0" w:color="auto"/>
            </w:tcBorders>
            <w:shd w:val="clear" w:color="auto" w:fill="auto"/>
            <w:tcMar>
              <w:top w:w="57" w:type="dxa"/>
              <w:left w:w="0" w:type="dxa"/>
              <w:bottom w:w="57" w:type="dxa"/>
              <w:right w:w="0" w:type="dxa"/>
            </w:tcMar>
            <w:vAlign w:val="bottom"/>
          </w:tcPr>
          <w:p w14:paraId="60597499"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850" w:type="dxa"/>
            <w:tcBorders>
              <w:top w:val="single" w:sz="4" w:space="0" w:color="auto"/>
            </w:tcBorders>
            <w:shd w:val="clear" w:color="auto" w:fill="auto"/>
            <w:tcMar>
              <w:top w:w="57" w:type="dxa"/>
              <w:left w:w="0" w:type="dxa"/>
              <w:bottom w:w="57" w:type="dxa"/>
              <w:right w:w="0" w:type="dxa"/>
            </w:tcMar>
            <w:vAlign w:val="bottom"/>
          </w:tcPr>
          <w:p w14:paraId="62DAF935"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9" w:type="dxa"/>
            <w:tcBorders>
              <w:top w:val="single" w:sz="4" w:space="0" w:color="auto"/>
            </w:tcBorders>
            <w:shd w:val="clear" w:color="auto" w:fill="auto"/>
            <w:tcMar>
              <w:top w:w="57" w:type="dxa"/>
              <w:left w:w="0" w:type="dxa"/>
              <w:bottom w:w="57" w:type="dxa"/>
              <w:right w:w="0" w:type="dxa"/>
            </w:tcMar>
            <w:vAlign w:val="bottom"/>
          </w:tcPr>
          <w:p w14:paraId="0597481D"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9" w:type="dxa"/>
            <w:tcBorders>
              <w:top w:val="single" w:sz="4" w:space="0" w:color="auto"/>
            </w:tcBorders>
            <w:shd w:val="clear" w:color="auto" w:fill="auto"/>
            <w:tcMar>
              <w:top w:w="57" w:type="dxa"/>
              <w:left w:w="0" w:type="dxa"/>
              <w:bottom w:w="57" w:type="dxa"/>
              <w:right w:w="0" w:type="dxa"/>
            </w:tcMar>
            <w:vAlign w:val="bottom"/>
          </w:tcPr>
          <w:p w14:paraId="17B63C8E"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8" w:type="dxa"/>
            <w:tcBorders>
              <w:top w:val="single" w:sz="4" w:space="0" w:color="auto"/>
            </w:tcBorders>
            <w:shd w:val="clear" w:color="auto" w:fill="auto"/>
            <w:tcMar>
              <w:top w:w="57" w:type="dxa"/>
              <w:left w:w="0" w:type="dxa"/>
              <w:bottom w:w="57" w:type="dxa"/>
              <w:right w:w="0" w:type="dxa"/>
            </w:tcMar>
            <w:vAlign w:val="bottom"/>
          </w:tcPr>
          <w:p w14:paraId="453DDA05"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301</w:t>
            </w:r>
          </w:p>
        </w:tc>
        <w:tc>
          <w:tcPr>
            <w:tcW w:w="709" w:type="dxa"/>
            <w:tcBorders>
              <w:top w:val="single" w:sz="4" w:space="0" w:color="auto"/>
            </w:tcBorders>
            <w:shd w:val="clear" w:color="auto" w:fill="auto"/>
            <w:tcMar>
              <w:top w:w="57" w:type="dxa"/>
              <w:left w:w="0" w:type="dxa"/>
              <w:bottom w:w="57" w:type="dxa"/>
              <w:right w:w="0" w:type="dxa"/>
            </w:tcMar>
            <w:vAlign w:val="bottom"/>
          </w:tcPr>
          <w:p w14:paraId="70E1C1C3"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9" w:type="dxa"/>
            <w:tcBorders>
              <w:top w:val="single" w:sz="4" w:space="0" w:color="auto"/>
            </w:tcBorders>
            <w:shd w:val="clear" w:color="auto" w:fill="auto"/>
            <w:tcMar>
              <w:top w:w="57" w:type="dxa"/>
              <w:left w:w="0" w:type="dxa"/>
              <w:bottom w:w="57" w:type="dxa"/>
              <w:right w:w="0" w:type="dxa"/>
            </w:tcMar>
            <w:vAlign w:val="bottom"/>
          </w:tcPr>
          <w:p w14:paraId="1FD34EC7"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567" w:type="dxa"/>
            <w:tcBorders>
              <w:top w:val="single" w:sz="4" w:space="0" w:color="auto"/>
            </w:tcBorders>
            <w:shd w:val="clear" w:color="auto" w:fill="auto"/>
            <w:tcMar>
              <w:top w:w="57" w:type="dxa"/>
              <w:left w:w="0" w:type="dxa"/>
              <w:bottom w:w="57" w:type="dxa"/>
              <w:right w:w="0" w:type="dxa"/>
            </w:tcMar>
            <w:vAlign w:val="bottom"/>
          </w:tcPr>
          <w:p w14:paraId="0881E25E"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301</w:t>
            </w:r>
          </w:p>
        </w:tc>
        <w:tc>
          <w:tcPr>
            <w:tcW w:w="709" w:type="dxa"/>
            <w:tcBorders>
              <w:top w:val="single" w:sz="4" w:space="0" w:color="auto"/>
            </w:tcBorders>
            <w:shd w:val="clear" w:color="auto" w:fill="auto"/>
            <w:tcMar>
              <w:top w:w="57" w:type="dxa"/>
              <w:left w:w="0" w:type="dxa"/>
              <w:bottom w:w="57" w:type="dxa"/>
              <w:right w:w="0" w:type="dxa"/>
            </w:tcMar>
            <w:vAlign w:val="bottom"/>
          </w:tcPr>
          <w:p w14:paraId="79D5DADB"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8" w:type="dxa"/>
            <w:tcBorders>
              <w:top w:val="single" w:sz="4" w:space="0" w:color="auto"/>
            </w:tcBorders>
            <w:shd w:val="clear" w:color="auto" w:fill="auto"/>
            <w:tcMar>
              <w:top w:w="57" w:type="dxa"/>
              <w:left w:w="0" w:type="dxa"/>
              <w:bottom w:w="57" w:type="dxa"/>
              <w:right w:w="0" w:type="dxa"/>
            </w:tcMar>
            <w:vAlign w:val="bottom"/>
          </w:tcPr>
          <w:p w14:paraId="1C39F1EE" w14:textId="77777777" w:rsidR="00062F0A" w:rsidRPr="00062F0A" w:rsidRDefault="00062F0A" w:rsidP="00CA4314">
            <w:pPr>
              <w:spacing w:line="240" w:lineRule="atLeast"/>
              <w:ind w:right="113"/>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301</w:t>
            </w:r>
          </w:p>
        </w:tc>
      </w:tr>
      <w:tr w:rsidR="00154C7C" w:rsidRPr="00062F0A" w14:paraId="258FFE69" w14:textId="77777777" w:rsidTr="00546A14">
        <w:trPr>
          <w:trHeight w:val="60"/>
        </w:trPr>
        <w:tc>
          <w:tcPr>
            <w:tcW w:w="3127" w:type="dxa"/>
            <w:shd w:val="clear" w:color="auto" w:fill="auto"/>
            <w:tcMar>
              <w:top w:w="57" w:type="dxa"/>
              <w:left w:w="0" w:type="dxa"/>
              <w:bottom w:w="57" w:type="dxa"/>
              <w:right w:w="0" w:type="dxa"/>
            </w:tcMar>
            <w:vAlign w:val="bottom"/>
          </w:tcPr>
          <w:p w14:paraId="6C31E5DF" w14:textId="77777777" w:rsidR="00062F0A" w:rsidRPr="00062F0A" w:rsidRDefault="00062F0A" w:rsidP="00615190">
            <w:pPr>
              <w:spacing w:line="240" w:lineRule="atLeast"/>
              <w:rPr>
                <w:rFonts w:ascii="Tahoma" w:hAnsi="Tahoma"/>
                <w:color w:val="000000" w:themeColor="text1"/>
                <w:sz w:val="16"/>
                <w:lang w:val="en-GB"/>
              </w:rPr>
            </w:pPr>
            <w:r w:rsidRPr="00062F0A">
              <w:rPr>
                <w:rFonts w:ascii="Tahoma" w:hAnsi="Tahoma"/>
                <w:color w:val="000000" w:themeColor="text1"/>
                <w:sz w:val="16"/>
                <w:lang w:val="en-GB"/>
              </w:rPr>
              <w:t>Cancellation of written put option liabilities</w:t>
            </w:r>
          </w:p>
        </w:tc>
        <w:tc>
          <w:tcPr>
            <w:tcW w:w="701" w:type="dxa"/>
            <w:shd w:val="clear" w:color="auto" w:fill="auto"/>
            <w:tcMar>
              <w:top w:w="57" w:type="dxa"/>
              <w:left w:w="0" w:type="dxa"/>
              <w:bottom w:w="57" w:type="dxa"/>
              <w:right w:w="0" w:type="dxa"/>
            </w:tcMar>
            <w:vAlign w:val="bottom"/>
          </w:tcPr>
          <w:p w14:paraId="514C800A"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850" w:type="dxa"/>
            <w:shd w:val="clear" w:color="auto" w:fill="auto"/>
            <w:tcMar>
              <w:top w:w="57" w:type="dxa"/>
              <w:left w:w="0" w:type="dxa"/>
              <w:bottom w:w="57" w:type="dxa"/>
              <w:right w:w="0" w:type="dxa"/>
            </w:tcMar>
            <w:vAlign w:val="bottom"/>
          </w:tcPr>
          <w:p w14:paraId="7ED8EC5A"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9" w:type="dxa"/>
            <w:shd w:val="clear" w:color="auto" w:fill="auto"/>
            <w:tcMar>
              <w:top w:w="57" w:type="dxa"/>
              <w:left w:w="0" w:type="dxa"/>
              <w:bottom w:w="57" w:type="dxa"/>
              <w:right w:w="0" w:type="dxa"/>
            </w:tcMar>
            <w:vAlign w:val="bottom"/>
          </w:tcPr>
          <w:p w14:paraId="62F02809"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9" w:type="dxa"/>
            <w:shd w:val="clear" w:color="auto" w:fill="auto"/>
            <w:tcMar>
              <w:top w:w="57" w:type="dxa"/>
              <w:left w:w="0" w:type="dxa"/>
              <w:bottom w:w="57" w:type="dxa"/>
              <w:right w:w="0" w:type="dxa"/>
            </w:tcMar>
            <w:vAlign w:val="bottom"/>
          </w:tcPr>
          <w:p w14:paraId="323CDE7A"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8" w:type="dxa"/>
            <w:shd w:val="clear" w:color="auto" w:fill="auto"/>
            <w:tcMar>
              <w:top w:w="57" w:type="dxa"/>
              <w:left w:w="0" w:type="dxa"/>
              <w:bottom w:w="57" w:type="dxa"/>
              <w:right w:w="0" w:type="dxa"/>
            </w:tcMar>
            <w:vAlign w:val="bottom"/>
          </w:tcPr>
          <w:p w14:paraId="642FB5CD"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14</w:t>
            </w:r>
          </w:p>
        </w:tc>
        <w:tc>
          <w:tcPr>
            <w:tcW w:w="709" w:type="dxa"/>
            <w:shd w:val="clear" w:color="auto" w:fill="auto"/>
            <w:tcMar>
              <w:top w:w="57" w:type="dxa"/>
              <w:left w:w="0" w:type="dxa"/>
              <w:bottom w:w="57" w:type="dxa"/>
              <w:right w:w="0" w:type="dxa"/>
            </w:tcMar>
            <w:vAlign w:val="bottom"/>
          </w:tcPr>
          <w:p w14:paraId="155E5E41"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9" w:type="dxa"/>
            <w:shd w:val="clear" w:color="auto" w:fill="auto"/>
            <w:tcMar>
              <w:top w:w="57" w:type="dxa"/>
              <w:left w:w="0" w:type="dxa"/>
              <w:bottom w:w="57" w:type="dxa"/>
              <w:right w:w="0" w:type="dxa"/>
            </w:tcMar>
            <w:vAlign w:val="bottom"/>
          </w:tcPr>
          <w:p w14:paraId="6052A2DA"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567" w:type="dxa"/>
            <w:shd w:val="clear" w:color="auto" w:fill="auto"/>
            <w:tcMar>
              <w:top w:w="57" w:type="dxa"/>
              <w:left w:w="0" w:type="dxa"/>
              <w:bottom w:w="57" w:type="dxa"/>
              <w:right w:w="0" w:type="dxa"/>
            </w:tcMar>
            <w:vAlign w:val="bottom"/>
          </w:tcPr>
          <w:p w14:paraId="5D3E6AB9"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14</w:t>
            </w:r>
          </w:p>
        </w:tc>
        <w:tc>
          <w:tcPr>
            <w:tcW w:w="709" w:type="dxa"/>
            <w:shd w:val="clear" w:color="auto" w:fill="auto"/>
            <w:tcMar>
              <w:top w:w="57" w:type="dxa"/>
              <w:left w:w="0" w:type="dxa"/>
              <w:bottom w:w="57" w:type="dxa"/>
              <w:right w:w="0" w:type="dxa"/>
            </w:tcMar>
            <w:vAlign w:val="bottom"/>
          </w:tcPr>
          <w:p w14:paraId="3E9119C4"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8" w:type="dxa"/>
            <w:shd w:val="clear" w:color="auto" w:fill="auto"/>
            <w:tcMar>
              <w:top w:w="57" w:type="dxa"/>
              <w:left w:w="0" w:type="dxa"/>
              <w:bottom w:w="57" w:type="dxa"/>
              <w:right w:w="0" w:type="dxa"/>
            </w:tcMar>
            <w:vAlign w:val="bottom"/>
          </w:tcPr>
          <w:p w14:paraId="5F9656E2" w14:textId="77777777" w:rsidR="00062F0A" w:rsidRPr="00062F0A" w:rsidRDefault="00062F0A" w:rsidP="00CA4314">
            <w:pPr>
              <w:spacing w:line="240" w:lineRule="atLeast"/>
              <w:ind w:right="113"/>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14</w:t>
            </w:r>
          </w:p>
        </w:tc>
      </w:tr>
      <w:tr w:rsidR="00154C7C" w:rsidRPr="00062F0A" w14:paraId="531240AD" w14:textId="77777777" w:rsidTr="00546A14">
        <w:trPr>
          <w:trHeight w:val="60"/>
        </w:trPr>
        <w:tc>
          <w:tcPr>
            <w:tcW w:w="3127" w:type="dxa"/>
            <w:shd w:val="clear" w:color="auto" w:fill="auto"/>
            <w:tcMar>
              <w:top w:w="57" w:type="dxa"/>
              <w:left w:w="0" w:type="dxa"/>
              <w:bottom w:w="57" w:type="dxa"/>
              <w:right w:w="0" w:type="dxa"/>
            </w:tcMar>
            <w:vAlign w:val="bottom"/>
          </w:tcPr>
          <w:p w14:paraId="201FC19C" w14:textId="77777777" w:rsidR="00062F0A" w:rsidRPr="00062F0A" w:rsidRDefault="00062F0A" w:rsidP="00615190">
            <w:pPr>
              <w:spacing w:line="240" w:lineRule="atLeast"/>
              <w:rPr>
                <w:rFonts w:ascii="Tahoma" w:hAnsi="Tahoma"/>
                <w:color w:val="000000" w:themeColor="text1"/>
                <w:sz w:val="16"/>
                <w:lang w:val="en-GB"/>
              </w:rPr>
            </w:pPr>
            <w:r w:rsidRPr="00062F0A">
              <w:rPr>
                <w:rFonts w:ascii="Tahoma" w:hAnsi="Tahoma"/>
                <w:color w:val="000000" w:themeColor="text1"/>
                <w:sz w:val="16"/>
                <w:lang w:val="en-GB"/>
              </w:rPr>
              <w:t>Other movements</w:t>
            </w:r>
          </w:p>
        </w:tc>
        <w:tc>
          <w:tcPr>
            <w:tcW w:w="701" w:type="dxa"/>
            <w:shd w:val="clear" w:color="auto" w:fill="auto"/>
            <w:tcMar>
              <w:top w:w="57" w:type="dxa"/>
              <w:left w:w="0" w:type="dxa"/>
              <w:bottom w:w="57" w:type="dxa"/>
              <w:right w:w="0" w:type="dxa"/>
            </w:tcMar>
            <w:vAlign w:val="bottom"/>
          </w:tcPr>
          <w:p w14:paraId="7D5351BD"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850" w:type="dxa"/>
            <w:shd w:val="clear" w:color="auto" w:fill="auto"/>
            <w:tcMar>
              <w:top w:w="57" w:type="dxa"/>
              <w:left w:w="0" w:type="dxa"/>
              <w:bottom w:w="57" w:type="dxa"/>
              <w:right w:w="0" w:type="dxa"/>
            </w:tcMar>
            <w:vAlign w:val="bottom"/>
          </w:tcPr>
          <w:p w14:paraId="0073B839"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9" w:type="dxa"/>
            <w:shd w:val="clear" w:color="auto" w:fill="auto"/>
            <w:tcMar>
              <w:top w:w="57" w:type="dxa"/>
              <w:left w:w="0" w:type="dxa"/>
              <w:bottom w:w="57" w:type="dxa"/>
              <w:right w:w="0" w:type="dxa"/>
            </w:tcMar>
            <w:vAlign w:val="bottom"/>
          </w:tcPr>
          <w:p w14:paraId="726F2038"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9" w:type="dxa"/>
            <w:shd w:val="clear" w:color="auto" w:fill="auto"/>
            <w:tcMar>
              <w:top w:w="57" w:type="dxa"/>
              <w:left w:w="0" w:type="dxa"/>
              <w:bottom w:w="57" w:type="dxa"/>
              <w:right w:w="0" w:type="dxa"/>
            </w:tcMar>
            <w:vAlign w:val="bottom"/>
          </w:tcPr>
          <w:p w14:paraId="2C34096B"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8" w:type="dxa"/>
            <w:shd w:val="clear" w:color="auto" w:fill="auto"/>
            <w:tcMar>
              <w:top w:w="57" w:type="dxa"/>
              <w:left w:w="0" w:type="dxa"/>
              <w:bottom w:w="57" w:type="dxa"/>
              <w:right w:w="0" w:type="dxa"/>
            </w:tcMar>
            <w:vAlign w:val="bottom"/>
          </w:tcPr>
          <w:p w14:paraId="635A23AA"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9" w:type="dxa"/>
            <w:shd w:val="clear" w:color="auto" w:fill="auto"/>
            <w:tcMar>
              <w:top w:w="57" w:type="dxa"/>
              <w:left w:w="0" w:type="dxa"/>
              <w:bottom w:w="57" w:type="dxa"/>
              <w:right w:w="0" w:type="dxa"/>
            </w:tcMar>
            <w:vAlign w:val="bottom"/>
          </w:tcPr>
          <w:p w14:paraId="141709C7"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9" w:type="dxa"/>
            <w:shd w:val="clear" w:color="auto" w:fill="auto"/>
            <w:tcMar>
              <w:top w:w="57" w:type="dxa"/>
              <w:left w:w="0" w:type="dxa"/>
              <w:bottom w:w="57" w:type="dxa"/>
              <w:right w:w="0" w:type="dxa"/>
            </w:tcMar>
            <w:vAlign w:val="bottom"/>
          </w:tcPr>
          <w:p w14:paraId="52DEC2AD"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7</w:t>
            </w:r>
          </w:p>
        </w:tc>
        <w:tc>
          <w:tcPr>
            <w:tcW w:w="567" w:type="dxa"/>
            <w:shd w:val="clear" w:color="auto" w:fill="auto"/>
            <w:tcMar>
              <w:top w:w="57" w:type="dxa"/>
              <w:left w:w="0" w:type="dxa"/>
              <w:bottom w:w="57" w:type="dxa"/>
              <w:right w:w="0" w:type="dxa"/>
            </w:tcMar>
            <w:vAlign w:val="bottom"/>
          </w:tcPr>
          <w:p w14:paraId="46DF4735"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7</w:t>
            </w:r>
          </w:p>
        </w:tc>
        <w:tc>
          <w:tcPr>
            <w:tcW w:w="709" w:type="dxa"/>
            <w:shd w:val="clear" w:color="auto" w:fill="auto"/>
            <w:tcMar>
              <w:top w:w="57" w:type="dxa"/>
              <w:left w:w="0" w:type="dxa"/>
              <w:bottom w:w="57" w:type="dxa"/>
              <w:right w:w="0" w:type="dxa"/>
            </w:tcMar>
            <w:vAlign w:val="bottom"/>
          </w:tcPr>
          <w:p w14:paraId="7EBB865B"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8" w:type="dxa"/>
            <w:shd w:val="clear" w:color="auto" w:fill="auto"/>
            <w:tcMar>
              <w:top w:w="57" w:type="dxa"/>
              <w:left w:w="0" w:type="dxa"/>
              <w:bottom w:w="57" w:type="dxa"/>
              <w:right w:w="0" w:type="dxa"/>
            </w:tcMar>
            <w:vAlign w:val="bottom"/>
          </w:tcPr>
          <w:p w14:paraId="7B1E438C" w14:textId="77777777" w:rsidR="00062F0A" w:rsidRPr="00062F0A" w:rsidRDefault="00062F0A" w:rsidP="00CA4314">
            <w:pPr>
              <w:spacing w:line="240" w:lineRule="atLeast"/>
              <w:ind w:right="113"/>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7</w:t>
            </w:r>
          </w:p>
        </w:tc>
      </w:tr>
      <w:tr w:rsidR="00154C7C" w:rsidRPr="00062F0A" w14:paraId="1C00897B" w14:textId="77777777" w:rsidTr="008D5B08">
        <w:trPr>
          <w:trHeight w:val="60"/>
        </w:trPr>
        <w:tc>
          <w:tcPr>
            <w:tcW w:w="3127" w:type="dxa"/>
            <w:shd w:val="clear" w:color="auto" w:fill="auto"/>
            <w:tcMar>
              <w:top w:w="57" w:type="dxa"/>
              <w:left w:w="0" w:type="dxa"/>
              <w:bottom w:w="57" w:type="dxa"/>
              <w:right w:w="0" w:type="dxa"/>
            </w:tcMar>
            <w:vAlign w:val="bottom"/>
          </w:tcPr>
          <w:p w14:paraId="7E481F8F" w14:textId="77777777" w:rsidR="00062F0A" w:rsidRPr="00062F0A" w:rsidRDefault="00062F0A" w:rsidP="00615190">
            <w:pPr>
              <w:spacing w:line="240" w:lineRule="atLeast"/>
              <w:rPr>
                <w:rFonts w:ascii="Tahoma" w:hAnsi="Tahoma"/>
                <w:color w:val="000000" w:themeColor="text1"/>
                <w:sz w:val="16"/>
                <w:lang w:val="en-GB"/>
              </w:rPr>
            </w:pPr>
            <w:r w:rsidRPr="00062F0A">
              <w:rPr>
                <w:rFonts w:ascii="Tahoma" w:hAnsi="Tahoma"/>
                <w:color w:val="000000" w:themeColor="text1"/>
                <w:sz w:val="16"/>
                <w:lang w:val="en-GB"/>
              </w:rPr>
              <w:t>Dividends paid</w:t>
            </w:r>
            <w:r w:rsidRPr="00062F0A">
              <w:rPr>
                <w:rFonts w:ascii="Tahoma" w:hAnsi="Tahoma"/>
                <w:color w:val="000000" w:themeColor="text1"/>
                <w:sz w:val="16"/>
                <w:vertAlign w:val="superscript"/>
                <w:lang w:val="en-GB"/>
              </w:rPr>
              <w:t>2</w:t>
            </w:r>
          </w:p>
        </w:tc>
        <w:tc>
          <w:tcPr>
            <w:tcW w:w="701" w:type="dxa"/>
            <w:shd w:val="clear" w:color="auto" w:fill="auto"/>
            <w:tcMar>
              <w:top w:w="57" w:type="dxa"/>
              <w:left w:w="0" w:type="dxa"/>
              <w:bottom w:w="57" w:type="dxa"/>
              <w:right w:w="0" w:type="dxa"/>
            </w:tcMar>
            <w:vAlign w:val="bottom"/>
          </w:tcPr>
          <w:p w14:paraId="2FEFB4AD"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850" w:type="dxa"/>
            <w:shd w:val="clear" w:color="auto" w:fill="auto"/>
            <w:tcMar>
              <w:top w:w="57" w:type="dxa"/>
              <w:left w:w="0" w:type="dxa"/>
              <w:bottom w:w="57" w:type="dxa"/>
              <w:right w:w="0" w:type="dxa"/>
            </w:tcMar>
            <w:vAlign w:val="bottom"/>
          </w:tcPr>
          <w:p w14:paraId="19F310EA"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9" w:type="dxa"/>
            <w:shd w:val="clear" w:color="auto" w:fill="auto"/>
            <w:tcMar>
              <w:top w:w="57" w:type="dxa"/>
              <w:left w:w="0" w:type="dxa"/>
              <w:bottom w:w="57" w:type="dxa"/>
              <w:right w:w="0" w:type="dxa"/>
            </w:tcMar>
            <w:vAlign w:val="bottom"/>
          </w:tcPr>
          <w:p w14:paraId="1CDCA01A"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9" w:type="dxa"/>
            <w:shd w:val="clear" w:color="auto" w:fill="auto"/>
            <w:tcMar>
              <w:top w:w="57" w:type="dxa"/>
              <w:left w:w="0" w:type="dxa"/>
              <w:bottom w:w="57" w:type="dxa"/>
              <w:right w:w="0" w:type="dxa"/>
            </w:tcMar>
            <w:vAlign w:val="bottom"/>
          </w:tcPr>
          <w:p w14:paraId="56F6B6AC"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8" w:type="dxa"/>
            <w:shd w:val="clear" w:color="auto" w:fill="auto"/>
            <w:tcMar>
              <w:top w:w="57" w:type="dxa"/>
              <w:left w:w="0" w:type="dxa"/>
              <w:bottom w:w="57" w:type="dxa"/>
              <w:right w:w="0" w:type="dxa"/>
            </w:tcMar>
            <w:vAlign w:val="bottom"/>
          </w:tcPr>
          <w:p w14:paraId="51CACB49"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9" w:type="dxa"/>
            <w:shd w:val="clear" w:color="auto" w:fill="auto"/>
            <w:tcMar>
              <w:top w:w="57" w:type="dxa"/>
              <w:left w:w="0" w:type="dxa"/>
              <w:bottom w:w="57" w:type="dxa"/>
              <w:right w:w="0" w:type="dxa"/>
            </w:tcMar>
            <w:vAlign w:val="bottom"/>
          </w:tcPr>
          <w:p w14:paraId="6BE59173"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9" w:type="dxa"/>
            <w:shd w:val="clear" w:color="auto" w:fill="auto"/>
            <w:tcMar>
              <w:top w:w="57" w:type="dxa"/>
              <w:left w:w="0" w:type="dxa"/>
              <w:bottom w:w="57" w:type="dxa"/>
              <w:right w:w="0" w:type="dxa"/>
            </w:tcMar>
            <w:vAlign w:val="bottom"/>
          </w:tcPr>
          <w:p w14:paraId="6109D220"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(190)</w:t>
            </w:r>
          </w:p>
        </w:tc>
        <w:tc>
          <w:tcPr>
            <w:tcW w:w="567" w:type="dxa"/>
            <w:shd w:val="clear" w:color="auto" w:fill="auto"/>
            <w:tcMar>
              <w:top w:w="57" w:type="dxa"/>
              <w:left w:w="0" w:type="dxa"/>
              <w:bottom w:w="57" w:type="dxa"/>
              <w:right w:w="0" w:type="dxa"/>
            </w:tcMar>
            <w:vAlign w:val="bottom"/>
          </w:tcPr>
          <w:p w14:paraId="50CEFE73"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(190)</w:t>
            </w:r>
          </w:p>
        </w:tc>
        <w:tc>
          <w:tcPr>
            <w:tcW w:w="709" w:type="dxa"/>
            <w:shd w:val="clear" w:color="auto" w:fill="auto"/>
            <w:tcMar>
              <w:top w:w="57" w:type="dxa"/>
              <w:left w:w="0" w:type="dxa"/>
              <w:bottom w:w="57" w:type="dxa"/>
              <w:right w:w="0" w:type="dxa"/>
            </w:tcMar>
            <w:vAlign w:val="bottom"/>
          </w:tcPr>
          <w:p w14:paraId="3004600A"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8" w:type="dxa"/>
            <w:shd w:val="clear" w:color="auto" w:fill="auto"/>
            <w:tcMar>
              <w:top w:w="57" w:type="dxa"/>
              <w:left w:w="0" w:type="dxa"/>
              <w:bottom w:w="57" w:type="dxa"/>
              <w:right w:w="0" w:type="dxa"/>
            </w:tcMar>
            <w:vAlign w:val="bottom"/>
          </w:tcPr>
          <w:p w14:paraId="32E52671" w14:textId="77777777" w:rsidR="00062F0A" w:rsidRPr="00062F0A" w:rsidRDefault="00062F0A" w:rsidP="00CA4314">
            <w:pPr>
              <w:spacing w:line="240" w:lineRule="atLeast"/>
              <w:ind w:right="113"/>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(190)</w:t>
            </w:r>
          </w:p>
        </w:tc>
      </w:tr>
      <w:tr w:rsidR="00154C7C" w:rsidRPr="00062F0A" w14:paraId="0CFD2FB3" w14:textId="77777777" w:rsidTr="008D5B08">
        <w:trPr>
          <w:trHeight w:val="60"/>
        </w:trPr>
        <w:tc>
          <w:tcPr>
            <w:tcW w:w="3127" w:type="dxa"/>
            <w:tcBorders>
              <w:bottom w:val="single" w:sz="4" w:space="0" w:color="auto"/>
            </w:tcBorders>
            <w:shd w:val="clear" w:color="auto" w:fill="auto"/>
            <w:tcMar>
              <w:top w:w="57" w:type="dxa"/>
              <w:left w:w="0" w:type="dxa"/>
              <w:bottom w:w="85" w:type="dxa"/>
              <w:right w:w="0" w:type="dxa"/>
            </w:tcMar>
            <w:vAlign w:val="bottom"/>
          </w:tcPr>
          <w:p w14:paraId="5BA6F1A6" w14:textId="77777777" w:rsidR="00062F0A" w:rsidRPr="00062F0A" w:rsidRDefault="00062F0A" w:rsidP="00615190">
            <w:pPr>
              <w:spacing w:line="240" w:lineRule="atLeast"/>
              <w:rPr>
                <w:rFonts w:ascii="Tahoma" w:hAnsi="Tahoma"/>
                <w:color w:val="000000" w:themeColor="text1"/>
                <w:sz w:val="16"/>
                <w:lang w:val="en-GB"/>
              </w:rPr>
            </w:pPr>
            <w:r w:rsidRPr="00062F0A">
              <w:rPr>
                <w:rFonts w:ascii="Tahoma" w:hAnsi="Tahoma"/>
                <w:color w:val="000000" w:themeColor="text1"/>
                <w:sz w:val="16"/>
                <w:lang w:val="en-GB"/>
              </w:rPr>
              <w:t>Transactions with non-controlling shareholders</w:t>
            </w:r>
            <w:r w:rsidRPr="00062F0A">
              <w:rPr>
                <w:rFonts w:ascii="Tahoma" w:hAnsi="Tahoma"/>
                <w:color w:val="000000" w:themeColor="text1"/>
                <w:sz w:val="16"/>
                <w:vertAlign w:val="superscript"/>
                <w:lang w:val="en-GB"/>
              </w:rPr>
              <w:t>3</w:t>
            </w:r>
          </w:p>
        </w:tc>
        <w:tc>
          <w:tcPr>
            <w:tcW w:w="701" w:type="dxa"/>
            <w:tcBorders>
              <w:bottom w:val="single" w:sz="4" w:space="0" w:color="auto"/>
            </w:tcBorders>
            <w:shd w:val="clear" w:color="auto" w:fill="auto"/>
            <w:tcMar>
              <w:top w:w="57" w:type="dxa"/>
              <w:left w:w="0" w:type="dxa"/>
              <w:bottom w:w="85" w:type="dxa"/>
              <w:right w:w="0" w:type="dxa"/>
            </w:tcMar>
            <w:vAlign w:val="bottom"/>
          </w:tcPr>
          <w:p w14:paraId="2E914F76"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850" w:type="dxa"/>
            <w:tcBorders>
              <w:bottom w:val="single" w:sz="4" w:space="0" w:color="auto"/>
            </w:tcBorders>
            <w:shd w:val="clear" w:color="auto" w:fill="auto"/>
            <w:tcMar>
              <w:top w:w="57" w:type="dxa"/>
              <w:left w:w="0" w:type="dxa"/>
              <w:bottom w:w="85" w:type="dxa"/>
              <w:right w:w="0" w:type="dxa"/>
            </w:tcMar>
            <w:vAlign w:val="bottom"/>
          </w:tcPr>
          <w:p w14:paraId="17A239C3"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9" w:type="dxa"/>
            <w:tcBorders>
              <w:bottom w:val="single" w:sz="4" w:space="0" w:color="auto"/>
            </w:tcBorders>
            <w:shd w:val="clear" w:color="auto" w:fill="auto"/>
            <w:tcMar>
              <w:top w:w="57" w:type="dxa"/>
              <w:left w:w="0" w:type="dxa"/>
              <w:bottom w:w="85" w:type="dxa"/>
              <w:right w:w="0" w:type="dxa"/>
            </w:tcMar>
            <w:vAlign w:val="bottom"/>
          </w:tcPr>
          <w:p w14:paraId="458EA3CA"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(6)</w:t>
            </w:r>
          </w:p>
        </w:tc>
        <w:tc>
          <w:tcPr>
            <w:tcW w:w="709" w:type="dxa"/>
            <w:tcBorders>
              <w:bottom w:val="single" w:sz="4" w:space="0" w:color="auto"/>
            </w:tcBorders>
            <w:shd w:val="clear" w:color="auto" w:fill="auto"/>
            <w:tcMar>
              <w:top w:w="57" w:type="dxa"/>
              <w:left w:w="0" w:type="dxa"/>
              <w:bottom w:w="85" w:type="dxa"/>
              <w:right w:w="0" w:type="dxa"/>
            </w:tcMar>
            <w:vAlign w:val="bottom"/>
          </w:tcPr>
          <w:p w14:paraId="0C2E4DD5"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8" w:type="dxa"/>
            <w:tcBorders>
              <w:bottom w:val="single" w:sz="4" w:space="0" w:color="auto"/>
            </w:tcBorders>
            <w:shd w:val="clear" w:color="auto" w:fill="auto"/>
            <w:tcMar>
              <w:top w:w="57" w:type="dxa"/>
              <w:left w:w="0" w:type="dxa"/>
              <w:bottom w:w="85" w:type="dxa"/>
              <w:right w:w="0" w:type="dxa"/>
            </w:tcMar>
            <w:vAlign w:val="bottom"/>
          </w:tcPr>
          <w:p w14:paraId="676CA8DC"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(1 585)</w:t>
            </w:r>
          </w:p>
        </w:tc>
        <w:tc>
          <w:tcPr>
            <w:tcW w:w="709" w:type="dxa"/>
            <w:tcBorders>
              <w:bottom w:val="single" w:sz="4" w:space="0" w:color="auto"/>
            </w:tcBorders>
            <w:shd w:val="clear" w:color="auto" w:fill="auto"/>
            <w:tcMar>
              <w:top w:w="57" w:type="dxa"/>
              <w:left w:w="0" w:type="dxa"/>
              <w:bottom w:w="85" w:type="dxa"/>
              <w:right w:w="0" w:type="dxa"/>
            </w:tcMar>
            <w:vAlign w:val="bottom"/>
          </w:tcPr>
          <w:p w14:paraId="4E9700DF"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709" w:type="dxa"/>
            <w:tcBorders>
              <w:bottom w:val="single" w:sz="4" w:space="0" w:color="auto"/>
            </w:tcBorders>
            <w:shd w:val="clear" w:color="auto" w:fill="auto"/>
            <w:tcMar>
              <w:top w:w="57" w:type="dxa"/>
              <w:left w:w="0" w:type="dxa"/>
              <w:bottom w:w="85" w:type="dxa"/>
              <w:right w:w="0" w:type="dxa"/>
            </w:tcMar>
            <w:vAlign w:val="bottom"/>
          </w:tcPr>
          <w:p w14:paraId="12095C02"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w:t>
            </w:r>
          </w:p>
        </w:tc>
        <w:tc>
          <w:tcPr>
            <w:tcW w:w="567" w:type="dxa"/>
            <w:tcBorders>
              <w:bottom w:val="single" w:sz="4" w:space="0" w:color="auto"/>
            </w:tcBorders>
            <w:shd w:val="clear" w:color="auto" w:fill="auto"/>
            <w:tcMar>
              <w:top w:w="57" w:type="dxa"/>
              <w:left w:w="0" w:type="dxa"/>
              <w:bottom w:w="85" w:type="dxa"/>
              <w:right w:w="0" w:type="dxa"/>
            </w:tcMar>
            <w:vAlign w:val="bottom"/>
          </w:tcPr>
          <w:p w14:paraId="0C1B68E9"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(1 591)</w:t>
            </w:r>
          </w:p>
        </w:tc>
        <w:tc>
          <w:tcPr>
            <w:tcW w:w="709" w:type="dxa"/>
            <w:tcBorders>
              <w:bottom w:val="single" w:sz="4" w:space="0" w:color="auto"/>
            </w:tcBorders>
            <w:shd w:val="clear" w:color="auto" w:fill="auto"/>
            <w:tcMar>
              <w:top w:w="57" w:type="dxa"/>
              <w:left w:w="0" w:type="dxa"/>
              <w:bottom w:w="85" w:type="dxa"/>
              <w:right w:w="0" w:type="dxa"/>
            </w:tcMar>
            <w:vAlign w:val="bottom"/>
          </w:tcPr>
          <w:p w14:paraId="12945E42"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70</w:t>
            </w:r>
          </w:p>
        </w:tc>
        <w:tc>
          <w:tcPr>
            <w:tcW w:w="708" w:type="dxa"/>
            <w:tcBorders>
              <w:bottom w:val="single" w:sz="4" w:space="0" w:color="auto"/>
            </w:tcBorders>
            <w:shd w:val="clear" w:color="auto" w:fill="auto"/>
            <w:tcMar>
              <w:top w:w="57" w:type="dxa"/>
              <w:left w:w="0" w:type="dxa"/>
              <w:bottom w:w="85" w:type="dxa"/>
              <w:right w:w="0" w:type="dxa"/>
            </w:tcMar>
            <w:vAlign w:val="bottom"/>
          </w:tcPr>
          <w:p w14:paraId="60F0B283" w14:textId="77777777" w:rsidR="00062F0A" w:rsidRPr="00062F0A" w:rsidRDefault="00062F0A" w:rsidP="00CA4314">
            <w:pPr>
              <w:spacing w:line="240" w:lineRule="atLeast"/>
              <w:ind w:right="113"/>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(1 521)</w:t>
            </w:r>
          </w:p>
        </w:tc>
      </w:tr>
      <w:tr w:rsidR="00154C7C" w:rsidRPr="00062F0A" w14:paraId="0E8F28B3" w14:textId="77777777" w:rsidTr="008D5B08">
        <w:trPr>
          <w:trHeight w:val="60"/>
        </w:trPr>
        <w:tc>
          <w:tcPr>
            <w:tcW w:w="3127"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681B8CEA" w14:textId="77777777" w:rsidR="00062F0A" w:rsidRPr="00062F0A" w:rsidRDefault="00062F0A" w:rsidP="00615190">
            <w:pPr>
              <w:spacing w:line="240" w:lineRule="atLeast"/>
              <w:rPr>
                <w:rFonts w:ascii="Tahoma" w:hAnsi="Tahoma"/>
                <w:b/>
                <w:bCs/>
                <w:color w:val="000000" w:themeColor="text1"/>
                <w:sz w:val="16"/>
                <w:lang w:val="en-GB"/>
              </w:rPr>
            </w:pPr>
            <w:r w:rsidRPr="00062F0A">
              <w:rPr>
                <w:rFonts w:ascii="Tahoma" w:hAnsi="Tahoma"/>
                <w:b/>
                <w:bCs/>
                <w:color w:val="000000" w:themeColor="text1"/>
                <w:sz w:val="16"/>
                <w:lang w:val="en-GB"/>
              </w:rPr>
              <w:t>Balance at 30 September 2022</w:t>
            </w:r>
          </w:p>
        </w:tc>
        <w:tc>
          <w:tcPr>
            <w:tcW w:w="701"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03F9D144"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39 170</w:t>
            </w:r>
          </w:p>
        </w:tc>
        <w:tc>
          <w:tcPr>
            <w:tcW w:w="850"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21DDD288"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(3 491)</w:t>
            </w:r>
          </w:p>
        </w:tc>
        <w:tc>
          <w:tcPr>
            <w:tcW w:w="709"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55E2610E"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(3 589)</w:t>
            </w:r>
          </w:p>
        </w:tc>
        <w:tc>
          <w:tcPr>
            <w:tcW w:w="709"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68B23205"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(3 096)</w:t>
            </w:r>
          </w:p>
        </w:tc>
        <w:tc>
          <w:tcPr>
            <w:tcW w:w="708"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1735E527" w14:textId="6FA12CED"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(45 37</w:t>
            </w:r>
            <w:r w:rsidR="008C55BB">
              <w:rPr>
                <w:rFonts w:ascii="Tahoma" w:hAnsi="Tahoma"/>
                <w:b/>
                <w:bCs/>
                <w:color w:val="000000" w:themeColor="text1"/>
                <w:w w:val="70"/>
                <w:sz w:val="16"/>
                <w:lang w:val="en-GB"/>
              </w:rPr>
              <w:t>3</w:t>
            </w:r>
            <w:r w:rsidRPr="00062F0A">
              <w:rPr>
                <w:rFonts w:ascii="Tahoma" w:hAnsi="Tahoma"/>
                <w:b/>
                <w:bCs/>
                <w:color w:val="000000" w:themeColor="text1"/>
                <w:w w:val="70"/>
                <w:sz w:val="16"/>
                <w:lang w:val="en-GB"/>
              </w:rPr>
              <w:t>)</w:t>
            </w:r>
          </w:p>
        </w:tc>
        <w:tc>
          <w:tcPr>
            <w:tcW w:w="709"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09A4BBE6" w14:textId="26A2985C"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3 58</w:t>
            </w:r>
            <w:r w:rsidR="008C55BB">
              <w:rPr>
                <w:rFonts w:ascii="Tahoma" w:hAnsi="Tahoma"/>
                <w:b/>
                <w:bCs/>
                <w:color w:val="000000" w:themeColor="text1"/>
                <w:w w:val="70"/>
                <w:sz w:val="16"/>
                <w:lang w:val="en-GB"/>
              </w:rPr>
              <w:t>4</w:t>
            </w:r>
          </w:p>
        </w:tc>
        <w:tc>
          <w:tcPr>
            <w:tcW w:w="709"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0FC918E9"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53 722</w:t>
            </w:r>
          </w:p>
        </w:tc>
        <w:tc>
          <w:tcPr>
            <w:tcW w:w="567"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30CD5885"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40 927</w:t>
            </w:r>
          </w:p>
        </w:tc>
        <w:tc>
          <w:tcPr>
            <w:tcW w:w="709"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50C9B0CB" w14:textId="77777777" w:rsidR="00062F0A" w:rsidRPr="00062F0A" w:rsidRDefault="00062F0A" w:rsidP="009E6263">
            <w:pPr>
              <w:spacing w:line="240" w:lineRule="atLeast"/>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144</w:t>
            </w:r>
          </w:p>
        </w:tc>
        <w:tc>
          <w:tcPr>
            <w:tcW w:w="708"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64904AB7" w14:textId="77777777" w:rsidR="00062F0A" w:rsidRPr="00062F0A" w:rsidRDefault="00062F0A" w:rsidP="00CA4314">
            <w:pPr>
              <w:spacing w:line="240" w:lineRule="atLeast"/>
              <w:ind w:right="113"/>
              <w:jc w:val="right"/>
              <w:rPr>
                <w:rFonts w:ascii="Tahoma" w:hAnsi="Tahoma"/>
                <w:b/>
                <w:bCs/>
                <w:color w:val="000000" w:themeColor="text1"/>
                <w:w w:val="70"/>
                <w:sz w:val="16"/>
                <w:lang w:val="en-GB"/>
              </w:rPr>
            </w:pPr>
            <w:r w:rsidRPr="00062F0A">
              <w:rPr>
                <w:rFonts w:ascii="Tahoma" w:hAnsi="Tahoma"/>
                <w:b/>
                <w:bCs/>
                <w:color w:val="000000" w:themeColor="text1"/>
                <w:w w:val="70"/>
                <w:sz w:val="16"/>
                <w:lang w:val="en-GB"/>
              </w:rPr>
              <w:t>41 071</w:t>
            </w:r>
          </w:p>
        </w:tc>
      </w:tr>
      <w:tr w:rsidR="009E6263" w:rsidRPr="00062F0A" w14:paraId="1D3BCF74" w14:textId="77777777" w:rsidTr="004E61D0">
        <w:trPr>
          <w:trHeight w:val="60"/>
        </w:trPr>
        <w:tc>
          <w:tcPr>
            <w:tcW w:w="10206" w:type="dxa"/>
            <w:gridSpan w:val="11"/>
            <w:tcBorders>
              <w:top w:val="single" w:sz="12" w:space="0" w:color="auto"/>
            </w:tcBorders>
            <w:shd w:val="clear" w:color="auto" w:fill="auto"/>
            <w:tcMar>
              <w:top w:w="85" w:type="dxa"/>
              <w:left w:w="0" w:type="dxa"/>
              <w:bottom w:w="57" w:type="dxa"/>
              <w:right w:w="0" w:type="dxa"/>
            </w:tcMar>
            <w:vAlign w:val="bottom"/>
          </w:tcPr>
          <w:p w14:paraId="251902D1" w14:textId="77777777" w:rsidR="009E6263" w:rsidRPr="00062F0A" w:rsidRDefault="009E6263" w:rsidP="009E6263">
            <w:pPr>
              <w:pStyle w:val="FootnotesProsus2022FrontStylesProsus2022"/>
              <w:rPr>
                <w:w w:val="70"/>
              </w:rPr>
            </w:pPr>
            <w:r w:rsidRPr="00062F0A">
              <w:rPr>
                <w:w w:val="70"/>
              </w:rPr>
              <w:t>1</w:t>
            </w:r>
            <w:r w:rsidRPr="00062F0A">
              <w:rPr>
                <w:w w:val="70"/>
              </w:rPr>
              <w:tab/>
              <w:t>Relates to the group’s share exchange transaction in August 2021.</w:t>
            </w:r>
          </w:p>
          <w:p w14:paraId="4B8DD0B6" w14:textId="77777777" w:rsidR="009E6263" w:rsidRPr="00062F0A" w:rsidRDefault="009E6263" w:rsidP="009E6263">
            <w:pPr>
              <w:pStyle w:val="FootnotesProsus2022FrontStylesProsus2022"/>
              <w:rPr>
                <w:w w:val="70"/>
              </w:rPr>
            </w:pPr>
            <w:r w:rsidRPr="00062F0A">
              <w:rPr>
                <w:w w:val="70"/>
              </w:rPr>
              <w:t>2</w:t>
            </w:r>
            <w:r w:rsidRPr="00062F0A">
              <w:rPr>
                <w:w w:val="70"/>
              </w:rPr>
              <w:tab/>
              <w:t xml:space="preserve">Dividends paid consist of US$82.9m (2021: US$97.2m) attributable to Naspers and US$107.1m (2021: US$141.2m) attributable to </w:t>
            </w:r>
            <w:proofErr w:type="spellStart"/>
            <w:r w:rsidRPr="00062F0A">
              <w:rPr>
                <w:w w:val="70"/>
              </w:rPr>
              <w:t>Prosus</w:t>
            </w:r>
            <w:proofErr w:type="spellEnd"/>
            <w:r w:rsidRPr="00062F0A">
              <w:rPr>
                <w:w w:val="70"/>
              </w:rPr>
              <w:t xml:space="preserve"> free float shareholders.</w:t>
            </w:r>
          </w:p>
          <w:p w14:paraId="1A8CA638" w14:textId="77777777" w:rsidR="009E6263" w:rsidRPr="00062F0A" w:rsidRDefault="009E6263" w:rsidP="009E6263">
            <w:pPr>
              <w:pStyle w:val="FootnotesProsus2022FrontStylesProsus2022"/>
              <w:rPr>
                <w:w w:val="70"/>
              </w:rPr>
            </w:pPr>
            <w:r w:rsidRPr="00062F0A">
              <w:rPr>
                <w:w w:val="70"/>
              </w:rPr>
              <w:t>3</w:t>
            </w:r>
            <w:r w:rsidRPr="00062F0A">
              <w:rPr>
                <w:w w:val="70"/>
              </w:rPr>
              <w:tab/>
              <w:t xml:space="preserve">The current year relates mainly to the liability recognised for the non-controlling shareholders of </w:t>
            </w:r>
            <w:proofErr w:type="spellStart"/>
            <w:r w:rsidRPr="00062F0A">
              <w:rPr>
                <w:w w:val="70"/>
              </w:rPr>
              <w:t>iFood</w:t>
            </w:r>
            <w:proofErr w:type="spellEnd"/>
            <w:r w:rsidRPr="00062F0A">
              <w:rPr>
                <w:w w:val="70"/>
              </w:rPr>
              <w:t xml:space="preserve"> (2021: relates to the group’s various disposals and other transactions with non-controlling interest resulted in the derecognition of non-controlling interest of US$34.4m) (refer to note 3).</w:t>
            </w:r>
          </w:p>
          <w:p w14:paraId="20D16C7E" w14:textId="77777777" w:rsidR="009E6263" w:rsidRPr="00062F0A" w:rsidRDefault="009E6263" w:rsidP="009E6263">
            <w:pPr>
              <w:pStyle w:val="FootnotesProsus2022FrontStylesProsus2022"/>
              <w:rPr>
                <w:b/>
                <w:bCs/>
                <w:w w:val="70"/>
              </w:rPr>
            </w:pPr>
            <w:r w:rsidRPr="00062F0A">
              <w:rPr>
                <w:w w:val="70"/>
              </w:rPr>
              <w:t>4</w:t>
            </w:r>
            <w:r w:rsidRPr="00062F0A">
              <w:rPr>
                <w:w w:val="70"/>
              </w:rPr>
              <w:tab/>
              <w:t xml:space="preserve">Refer to note 3 for details of the </w:t>
            </w:r>
            <w:proofErr w:type="spellStart"/>
            <w:r w:rsidRPr="00062F0A">
              <w:rPr>
                <w:w w:val="70"/>
              </w:rPr>
              <w:t>Prosus</w:t>
            </w:r>
            <w:proofErr w:type="spellEnd"/>
            <w:r w:rsidRPr="00062F0A">
              <w:rPr>
                <w:w w:val="70"/>
              </w:rPr>
              <w:t>/Naspers share repurchase programme.</w:t>
            </w:r>
          </w:p>
        </w:tc>
      </w:tr>
    </w:tbl>
    <w:p w14:paraId="1A925907" w14:textId="77777777" w:rsidR="00062F0A" w:rsidRPr="00615190" w:rsidRDefault="00062F0A" w:rsidP="00615190">
      <w:pPr>
        <w:spacing w:line="240" w:lineRule="atLeast"/>
        <w:rPr>
          <w:rFonts w:ascii="Tahoma" w:hAnsi="Tahoma"/>
          <w:color w:val="000000" w:themeColor="text1"/>
          <w:sz w:val="16"/>
        </w:rPr>
      </w:pPr>
    </w:p>
    <w:p w14:paraId="7B6E2ABF" w14:textId="77777777" w:rsidR="00C87A11" w:rsidRPr="00615190" w:rsidRDefault="00E67732" w:rsidP="0068173D">
      <w:pPr>
        <w:rPr>
          <w:rFonts w:ascii="Tahoma" w:hAnsi="Tahoma"/>
          <w:color w:val="000000" w:themeColor="text1"/>
          <w:sz w:val="16"/>
        </w:rPr>
      </w:pPr>
      <w:r>
        <w:rPr>
          <w:rFonts w:ascii="Tahoma" w:hAnsi="Tahoma"/>
          <w:color w:val="000000" w:themeColor="text1"/>
          <w:sz w:val="16"/>
        </w:rPr>
        <w:br w:type="page"/>
      </w:r>
    </w:p>
    <w:tbl>
      <w:tblPr>
        <w:tblW w:w="10206" w:type="dxa"/>
        <w:tblInd w:w="-8" w:type="dxa"/>
        <w:tblLayout w:type="fixed"/>
        <w:tblCellMar>
          <w:left w:w="0" w:type="dxa"/>
          <w:right w:w="0" w:type="dxa"/>
        </w:tblCellMar>
        <w:tblLook w:val="0000" w:firstRow="0" w:lastRow="0" w:firstColumn="0" w:lastColumn="0" w:noHBand="0" w:noVBand="0"/>
      </w:tblPr>
      <w:tblGrid>
        <w:gridCol w:w="6096"/>
        <w:gridCol w:w="716"/>
        <w:gridCol w:w="1126"/>
        <w:gridCol w:w="1134"/>
        <w:gridCol w:w="1134"/>
      </w:tblGrid>
      <w:tr w:rsidR="00615190" w:rsidRPr="00C87A11" w14:paraId="3846B318" w14:textId="77777777" w:rsidTr="0086266B">
        <w:trPr>
          <w:trHeight w:val="60"/>
        </w:trPr>
        <w:tc>
          <w:tcPr>
            <w:tcW w:w="10206" w:type="dxa"/>
            <w:gridSpan w:val="5"/>
            <w:shd w:val="clear" w:color="auto" w:fill="auto"/>
            <w:tcMar>
              <w:top w:w="57" w:type="dxa"/>
              <w:left w:w="0" w:type="dxa"/>
              <w:bottom w:w="57" w:type="dxa"/>
              <w:right w:w="0" w:type="dxa"/>
            </w:tcMar>
            <w:vAlign w:val="bottom"/>
          </w:tcPr>
          <w:p w14:paraId="4C6ACCFC" w14:textId="77777777" w:rsidR="00C87A11" w:rsidRPr="00C87A11" w:rsidRDefault="00E67732" w:rsidP="00615190">
            <w:pPr>
              <w:spacing w:line="240" w:lineRule="atLeast"/>
              <w:rPr>
                <w:rFonts w:ascii="Tahoma" w:hAnsi="Tahoma"/>
                <w:b/>
                <w:bCs/>
                <w:color w:val="000000" w:themeColor="text1"/>
                <w:sz w:val="20"/>
                <w:szCs w:val="20"/>
                <w:lang w:val="en-GB"/>
              </w:rPr>
            </w:pPr>
            <w:r w:rsidRPr="00E67732">
              <w:rPr>
                <w:rFonts w:ascii="Tahoma" w:hAnsi="Tahoma"/>
                <w:b/>
                <w:bCs/>
                <w:color w:val="000000" w:themeColor="text1"/>
                <w:sz w:val="20"/>
                <w:szCs w:val="20"/>
                <w:lang w:val="en-GB"/>
              </w:rPr>
              <w:lastRenderedPageBreak/>
              <w:t>CONDENSED CONSOLIDATED STATEMENT OF CASH FLOWS</w:t>
            </w:r>
          </w:p>
        </w:tc>
      </w:tr>
      <w:tr w:rsidR="00615190" w:rsidRPr="00C87A11" w14:paraId="4D6D5099" w14:textId="77777777" w:rsidTr="00405E70">
        <w:trPr>
          <w:trHeight w:val="60"/>
        </w:trPr>
        <w:tc>
          <w:tcPr>
            <w:tcW w:w="6096" w:type="dxa"/>
            <w:shd w:val="clear" w:color="auto" w:fill="auto"/>
            <w:tcMar>
              <w:top w:w="57" w:type="dxa"/>
              <w:left w:w="0" w:type="dxa"/>
              <w:bottom w:w="57" w:type="dxa"/>
              <w:right w:w="0" w:type="dxa"/>
            </w:tcMar>
            <w:vAlign w:val="bottom"/>
          </w:tcPr>
          <w:p w14:paraId="0B516781" w14:textId="77777777" w:rsidR="00C87A11" w:rsidRPr="00C87A11" w:rsidRDefault="00C87A11" w:rsidP="00615190">
            <w:pPr>
              <w:spacing w:line="240" w:lineRule="atLeast"/>
              <w:rPr>
                <w:rFonts w:ascii="Tahoma" w:hAnsi="Tahoma"/>
                <w:color w:val="000000" w:themeColor="text1"/>
                <w:sz w:val="16"/>
                <w:lang w:val="en-GB"/>
              </w:rPr>
            </w:pPr>
          </w:p>
        </w:tc>
        <w:tc>
          <w:tcPr>
            <w:tcW w:w="716" w:type="dxa"/>
            <w:shd w:val="clear" w:color="auto" w:fill="auto"/>
            <w:tcMar>
              <w:top w:w="57" w:type="dxa"/>
              <w:left w:w="0" w:type="dxa"/>
              <w:bottom w:w="57" w:type="dxa"/>
              <w:right w:w="0" w:type="dxa"/>
            </w:tcMar>
            <w:vAlign w:val="bottom"/>
          </w:tcPr>
          <w:p w14:paraId="4CFC73CA" w14:textId="77777777" w:rsidR="00C87A11" w:rsidRPr="00C87A11" w:rsidRDefault="00C87A11" w:rsidP="00615190">
            <w:pPr>
              <w:spacing w:line="240" w:lineRule="atLeast"/>
              <w:rPr>
                <w:rFonts w:ascii="Tahoma" w:hAnsi="Tahoma"/>
                <w:b/>
                <w:bCs/>
                <w:color w:val="000000" w:themeColor="text1"/>
                <w:sz w:val="16"/>
                <w:lang w:val="en-GB"/>
              </w:rPr>
            </w:pPr>
          </w:p>
        </w:tc>
        <w:tc>
          <w:tcPr>
            <w:tcW w:w="2260" w:type="dxa"/>
            <w:gridSpan w:val="2"/>
            <w:shd w:val="clear" w:color="auto" w:fill="auto"/>
            <w:tcMar>
              <w:top w:w="57" w:type="dxa"/>
              <w:left w:w="0" w:type="dxa"/>
              <w:bottom w:w="57" w:type="dxa"/>
              <w:right w:w="0" w:type="dxa"/>
            </w:tcMar>
            <w:vAlign w:val="bottom"/>
          </w:tcPr>
          <w:p w14:paraId="0BF2E181" w14:textId="77777777" w:rsidR="00C87A11" w:rsidRPr="00C87A11" w:rsidRDefault="00C87A11" w:rsidP="005A2A25">
            <w:pPr>
              <w:spacing w:line="240" w:lineRule="atLeast"/>
              <w:ind w:left="571"/>
              <w:jc w:val="center"/>
              <w:rPr>
                <w:rFonts w:ascii="Tahoma" w:hAnsi="Tahoma"/>
                <w:b/>
                <w:bCs/>
                <w:color w:val="000000" w:themeColor="text1"/>
                <w:sz w:val="16"/>
                <w:lang w:val="en-GB"/>
              </w:rPr>
            </w:pPr>
            <w:r w:rsidRPr="00C87A11">
              <w:rPr>
                <w:rFonts w:ascii="Tahoma" w:hAnsi="Tahoma"/>
                <w:b/>
                <w:bCs/>
                <w:color w:val="000000" w:themeColor="text1"/>
                <w:sz w:val="16"/>
                <w:lang w:val="en-GB"/>
              </w:rPr>
              <w:t>Six months ended</w:t>
            </w:r>
          </w:p>
          <w:p w14:paraId="7FC1D286" w14:textId="77777777" w:rsidR="00C87A11" w:rsidRPr="00C87A11" w:rsidRDefault="00C87A11" w:rsidP="005A2A25">
            <w:pPr>
              <w:spacing w:line="240" w:lineRule="atLeast"/>
              <w:ind w:left="571"/>
              <w:jc w:val="center"/>
              <w:rPr>
                <w:rFonts w:ascii="Tahoma" w:hAnsi="Tahoma"/>
                <w:b/>
                <w:bCs/>
                <w:color w:val="000000" w:themeColor="text1"/>
                <w:sz w:val="16"/>
                <w:lang w:val="en-GB"/>
              </w:rPr>
            </w:pPr>
            <w:r w:rsidRPr="00C87A11">
              <w:rPr>
                <w:rFonts w:ascii="Tahoma" w:hAnsi="Tahoma"/>
                <w:b/>
                <w:bCs/>
                <w:color w:val="000000" w:themeColor="text1"/>
                <w:sz w:val="16"/>
                <w:lang w:val="en-GB"/>
              </w:rPr>
              <w:t>30 September</w:t>
            </w:r>
          </w:p>
        </w:tc>
        <w:tc>
          <w:tcPr>
            <w:tcW w:w="1134" w:type="dxa"/>
            <w:shd w:val="clear" w:color="auto" w:fill="auto"/>
            <w:tcMar>
              <w:top w:w="57" w:type="dxa"/>
              <w:left w:w="0" w:type="dxa"/>
              <w:bottom w:w="57" w:type="dxa"/>
              <w:right w:w="0" w:type="dxa"/>
            </w:tcMar>
            <w:vAlign w:val="bottom"/>
          </w:tcPr>
          <w:p w14:paraId="49B65584" w14:textId="77777777" w:rsidR="00C87A11" w:rsidRPr="00C87A11" w:rsidRDefault="00C87A11" w:rsidP="0068173D">
            <w:pPr>
              <w:spacing w:line="240" w:lineRule="atLeast"/>
              <w:jc w:val="right"/>
              <w:rPr>
                <w:rFonts w:ascii="Tahoma" w:hAnsi="Tahoma"/>
                <w:color w:val="000000" w:themeColor="text1"/>
                <w:sz w:val="16"/>
                <w:lang w:val="en-GB"/>
              </w:rPr>
            </w:pPr>
            <w:r w:rsidRPr="00C87A11">
              <w:rPr>
                <w:rFonts w:ascii="Tahoma" w:hAnsi="Tahoma"/>
                <w:color w:val="000000" w:themeColor="text1"/>
                <w:sz w:val="16"/>
                <w:lang w:val="en-GB"/>
              </w:rPr>
              <w:t>Year</w:t>
            </w:r>
          </w:p>
          <w:p w14:paraId="72FB8616" w14:textId="77777777" w:rsidR="00C87A11" w:rsidRPr="00C87A11" w:rsidRDefault="00C87A11" w:rsidP="0068173D">
            <w:pPr>
              <w:spacing w:line="240" w:lineRule="atLeast"/>
              <w:jc w:val="right"/>
              <w:rPr>
                <w:rFonts w:ascii="Tahoma" w:hAnsi="Tahoma"/>
                <w:color w:val="000000" w:themeColor="text1"/>
                <w:sz w:val="16"/>
                <w:lang w:val="en-GB"/>
              </w:rPr>
            </w:pPr>
            <w:r w:rsidRPr="00C87A11">
              <w:rPr>
                <w:rFonts w:ascii="Tahoma" w:hAnsi="Tahoma"/>
                <w:color w:val="000000" w:themeColor="text1"/>
                <w:sz w:val="16"/>
                <w:lang w:val="en-GB"/>
              </w:rPr>
              <w:t>ended</w:t>
            </w:r>
          </w:p>
          <w:p w14:paraId="3653F1BB" w14:textId="77777777" w:rsidR="00C87A11" w:rsidRPr="00C87A11" w:rsidRDefault="00C87A11" w:rsidP="0068173D">
            <w:pPr>
              <w:spacing w:line="240" w:lineRule="atLeast"/>
              <w:jc w:val="right"/>
              <w:rPr>
                <w:rFonts w:ascii="Tahoma" w:hAnsi="Tahoma"/>
                <w:color w:val="000000" w:themeColor="text1"/>
                <w:sz w:val="16"/>
                <w:lang w:val="en-GB"/>
              </w:rPr>
            </w:pPr>
            <w:r w:rsidRPr="00C87A11">
              <w:rPr>
                <w:rFonts w:ascii="Tahoma" w:hAnsi="Tahoma"/>
                <w:color w:val="000000" w:themeColor="text1"/>
                <w:sz w:val="16"/>
                <w:lang w:val="en-GB"/>
              </w:rPr>
              <w:t>31 March</w:t>
            </w:r>
          </w:p>
        </w:tc>
      </w:tr>
      <w:tr w:rsidR="00615190" w:rsidRPr="00C87A11" w14:paraId="6B6B8907" w14:textId="77777777" w:rsidTr="00405E70">
        <w:trPr>
          <w:trHeight w:val="60"/>
        </w:trPr>
        <w:tc>
          <w:tcPr>
            <w:tcW w:w="6096" w:type="dxa"/>
            <w:tcBorders>
              <w:bottom w:val="single" w:sz="12" w:space="0" w:color="auto"/>
            </w:tcBorders>
            <w:shd w:val="clear" w:color="auto" w:fill="auto"/>
            <w:tcMar>
              <w:top w:w="57" w:type="dxa"/>
              <w:left w:w="0" w:type="dxa"/>
              <w:bottom w:w="57" w:type="dxa"/>
              <w:right w:w="0" w:type="dxa"/>
            </w:tcMar>
            <w:vAlign w:val="bottom"/>
          </w:tcPr>
          <w:p w14:paraId="75B9EA3A" w14:textId="77777777" w:rsidR="00C87A11" w:rsidRPr="00C87A11" w:rsidRDefault="00C87A11" w:rsidP="00615190">
            <w:pPr>
              <w:spacing w:line="240" w:lineRule="atLeast"/>
              <w:rPr>
                <w:rFonts w:ascii="Tahoma" w:hAnsi="Tahoma"/>
                <w:color w:val="000000" w:themeColor="text1"/>
                <w:sz w:val="16"/>
                <w:lang w:val="en-GB"/>
              </w:rPr>
            </w:pPr>
          </w:p>
        </w:tc>
        <w:tc>
          <w:tcPr>
            <w:tcW w:w="716" w:type="dxa"/>
            <w:tcBorders>
              <w:bottom w:val="single" w:sz="12" w:space="0" w:color="auto"/>
            </w:tcBorders>
            <w:shd w:val="clear" w:color="auto" w:fill="auto"/>
            <w:tcMar>
              <w:top w:w="57" w:type="dxa"/>
              <w:left w:w="0" w:type="dxa"/>
              <w:bottom w:w="57" w:type="dxa"/>
              <w:right w:w="0" w:type="dxa"/>
            </w:tcMar>
            <w:vAlign w:val="bottom"/>
          </w:tcPr>
          <w:p w14:paraId="785B9B71" w14:textId="77777777" w:rsidR="00C87A11" w:rsidRPr="00C87A11" w:rsidRDefault="00C87A11" w:rsidP="00615190">
            <w:pPr>
              <w:spacing w:line="240" w:lineRule="atLeast"/>
              <w:rPr>
                <w:rFonts w:ascii="Tahoma" w:hAnsi="Tahoma"/>
                <w:color w:val="000000" w:themeColor="text1"/>
                <w:sz w:val="16"/>
                <w:lang w:val="en-GB"/>
              </w:rPr>
            </w:pPr>
            <w:r w:rsidRPr="00C87A11">
              <w:rPr>
                <w:rFonts w:ascii="Tahoma" w:hAnsi="Tahoma"/>
                <w:color w:val="000000" w:themeColor="text1"/>
                <w:sz w:val="16"/>
                <w:lang w:val="en-GB"/>
              </w:rPr>
              <w:t>Notes</w:t>
            </w:r>
          </w:p>
        </w:tc>
        <w:tc>
          <w:tcPr>
            <w:tcW w:w="1126" w:type="dxa"/>
            <w:tcBorders>
              <w:bottom w:val="single" w:sz="12" w:space="0" w:color="auto"/>
            </w:tcBorders>
            <w:shd w:val="clear" w:color="auto" w:fill="auto"/>
            <w:tcMar>
              <w:top w:w="57" w:type="dxa"/>
              <w:left w:w="0" w:type="dxa"/>
              <w:bottom w:w="57" w:type="dxa"/>
              <w:right w:w="0" w:type="dxa"/>
            </w:tcMar>
            <w:vAlign w:val="bottom"/>
          </w:tcPr>
          <w:p w14:paraId="6D673F4D" w14:textId="77777777" w:rsidR="00C87A11" w:rsidRPr="00C87A11" w:rsidRDefault="00C87A11" w:rsidP="0068173D">
            <w:pPr>
              <w:spacing w:line="240" w:lineRule="atLeast"/>
              <w:jc w:val="right"/>
              <w:rPr>
                <w:rFonts w:ascii="Tahoma" w:hAnsi="Tahoma"/>
                <w:b/>
                <w:bCs/>
                <w:color w:val="000000" w:themeColor="text1"/>
                <w:sz w:val="16"/>
                <w:lang w:val="en-GB"/>
              </w:rPr>
            </w:pPr>
            <w:r w:rsidRPr="00C87A11">
              <w:rPr>
                <w:rFonts w:ascii="Tahoma" w:hAnsi="Tahoma"/>
                <w:b/>
                <w:bCs/>
                <w:color w:val="000000" w:themeColor="text1"/>
                <w:sz w:val="16"/>
                <w:lang w:val="en-GB"/>
              </w:rPr>
              <w:t>2022</w:t>
            </w:r>
          </w:p>
          <w:p w14:paraId="2CF4538D" w14:textId="77777777" w:rsidR="00C87A11" w:rsidRPr="00C87A11" w:rsidRDefault="00C87A11" w:rsidP="0068173D">
            <w:pPr>
              <w:spacing w:line="240" w:lineRule="atLeast"/>
              <w:jc w:val="right"/>
              <w:rPr>
                <w:rFonts w:ascii="Tahoma" w:hAnsi="Tahoma"/>
                <w:b/>
                <w:bCs/>
                <w:color w:val="000000" w:themeColor="text1"/>
                <w:sz w:val="16"/>
                <w:lang w:val="en-GB"/>
              </w:rPr>
            </w:pPr>
            <w:proofErr w:type="spellStart"/>
            <w:r w:rsidRPr="00C87A11">
              <w:rPr>
                <w:rFonts w:ascii="Tahoma" w:hAnsi="Tahoma"/>
                <w:b/>
                <w:bCs/>
                <w:color w:val="000000" w:themeColor="text1"/>
                <w:sz w:val="16"/>
                <w:lang w:val="en-GB"/>
              </w:rPr>
              <w:t>US$’m</w:t>
            </w:r>
            <w:proofErr w:type="spellEnd"/>
          </w:p>
        </w:tc>
        <w:tc>
          <w:tcPr>
            <w:tcW w:w="1134" w:type="dxa"/>
            <w:tcBorders>
              <w:bottom w:val="single" w:sz="12" w:space="0" w:color="auto"/>
            </w:tcBorders>
            <w:shd w:val="clear" w:color="auto" w:fill="auto"/>
            <w:tcMar>
              <w:top w:w="57" w:type="dxa"/>
              <w:left w:w="0" w:type="dxa"/>
              <w:bottom w:w="57" w:type="dxa"/>
              <w:right w:w="0" w:type="dxa"/>
            </w:tcMar>
            <w:vAlign w:val="bottom"/>
          </w:tcPr>
          <w:p w14:paraId="34361553" w14:textId="77777777" w:rsidR="00C87A11" w:rsidRPr="00C87A11" w:rsidRDefault="00C87A11" w:rsidP="0068173D">
            <w:pPr>
              <w:spacing w:line="240" w:lineRule="atLeast"/>
              <w:jc w:val="right"/>
              <w:rPr>
                <w:rFonts w:ascii="Tahoma" w:hAnsi="Tahoma"/>
                <w:color w:val="000000" w:themeColor="text1"/>
                <w:sz w:val="16"/>
                <w:lang w:val="en-GB"/>
              </w:rPr>
            </w:pPr>
            <w:r w:rsidRPr="00C87A11">
              <w:rPr>
                <w:rFonts w:ascii="Tahoma" w:hAnsi="Tahoma"/>
                <w:color w:val="000000" w:themeColor="text1"/>
                <w:sz w:val="16"/>
                <w:lang w:val="en-GB"/>
              </w:rPr>
              <w:t>2021</w:t>
            </w:r>
          </w:p>
          <w:p w14:paraId="19DCE779" w14:textId="77777777" w:rsidR="00C87A11" w:rsidRPr="00C87A11" w:rsidRDefault="00C87A11" w:rsidP="0068173D">
            <w:pPr>
              <w:spacing w:line="240" w:lineRule="atLeast"/>
              <w:jc w:val="right"/>
              <w:rPr>
                <w:rFonts w:ascii="Tahoma" w:hAnsi="Tahoma"/>
                <w:color w:val="000000" w:themeColor="text1"/>
                <w:sz w:val="16"/>
                <w:lang w:val="en-GB"/>
              </w:rPr>
            </w:pPr>
            <w:proofErr w:type="spellStart"/>
            <w:r w:rsidRPr="00C87A11">
              <w:rPr>
                <w:rFonts w:ascii="Tahoma" w:hAnsi="Tahoma"/>
                <w:color w:val="000000" w:themeColor="text1"/>
                <w:sz w:val="16"/>
                <w:lang w:val="en-GB"/>
              </w:rPr>
              <w:t>US$’m</w:t>
            </w:r>
            <w:proofErr w:type="spellEnd"/>
          </w:p>
        </w:tc>
        <w:tc>
          <w:tcPr>
            <w:tcW w:w="1134" w:type="dxa"/>
            <w:tcBorders>
              <w:bottom w:val="single" w:sz="12" w:space="0" w:color="auto"/>
            </w:tcBorders>
            <w:shd w:val="clear" w:color="auto" w:fill="auto"/>
            <w:tcMar>
              <w:top w:w="57" w:type="dxa"/>
              <w:left w:w="0" w:type="dxa"/>
              <w:bottom w:w="57" w:type="dxa"/>
              <w:right w:w="0" w:type="dxa"/>
            </w:tcMar>
            <w:vAlign w:val="bottom"/>
          </w:tcPr>
          <w:p w14:paraId="4AA8CA06" w14:textId="77777777" w:rsidR="00C87A11" w:rsidRPr="00C87A11" w:rsidRDefault="00C87A11" w:rsidP="0068173D">
            <w:pPr>
              <w:spacing w:line="240" w:lineRule="atLeast"/>
              <w:jc w:val="right"/>
              <w:rPr>
                <w:rFonts w:ascii="Tahoma" w:hAnsi="Tahoma"/>
                <w:color w:val="000000" w:themeColor="text1"/>
                <w:sz w:val="16"/>
                <w:lang w:val="en-GB"/>
              </w:rPr>
            </w:pPr>
            <w:r w:rsidRPr="00C87A11">
              <w:rPr>
                <w:rFonts w:ascii="Tahoma" w:hAnsi="Tahoma"/>
                <w:color w:val="000000" w:themeColor="text1"/>
                <w:sz w:val="16"/>
                <w:lang w:val="en-GB"/>
              </w:rPr>
              <w:t>2022</w:t>
            </w:r>
          </w:p>
          <w:p w14:paraId="485B2371" w14:textId="77777777" w:rsidR="00C87A11" w:rsidRPr="00C87A11" w:rsidRDefault="00C87A11" w:rsidP="0068173D">
            <w:pPr>
              <w:spacing w:line="240" w:lineRule="atLeast"/>
              <w:jc w:val="right"/>
              <w:rPr>
                <w:rFonts w:ascii="Tahoma" w:hAnsi="Tahoma"/>
                <w:color w:val="000000" w:themeColor="text1"/>
                <w:sz w:val="16"/>
                <w:lang w:val="en-GB"/>
              </w:rPr>
            </w:pPr>
            <w:proofErr w:type="spellStart"/>
            <w:r w:rsidRPr="00C87A11">
              <w:rPr>
                <w:rFonts w:ascii="Tahoma" w:hAnsi="Tahoma"/>
                <w:color w:val="000000" w:themeColor="text1"/>
                <w:sz w:val="16"/>
                <w:lang w:val="en-GB"/>
              </w:rPr>
              <w:t>US$’m</w:t>
            </w:r>
            <w:proofErr w:type="spellEnd"/>
          </w:p>
        </w:tc>
      </w:tr>
      <w:tr w:rsidR="00615190" w:rsidRPr="00C87A11" w14:paraId="27202C23" w14:textId="77777777" w:rsidTr="00405E70">
        <w:trPr>
          <w:trHeight w:val="60"/>
        </w:trPr>
        <w:tc>
          <w:tcPr>
            <w:tcW w:w="6096" w:type="dxa"/>
            <w:tcBorders>
              <w:top w:val="single" w:sz="12" w:space="0" w:color="auto"/>
            </w:tcBorders>
            <w:shd w:val="clear" w:color="auto" w:fill="auto"/>
            <w:tcMar>
              <w:top w:w="74" w:type="dxa"/>
              <w:left w:w="0" w:type="dxa"/>
              <w:bottom w:w="17" w:type="dxa"/>
              <w:right w:w="0" w:type="dxa"/>
            </w:tcMar>
            <w:vAlign w:val="bottom"/>
          </w:tcPr>
          <w:p w14:paraId="1774CFBA" w14:textId="77777777" w:rsidR="00C87A11" w:rsidRPr="00C87A11" w:rsidRDefault="00C87A11" w:rsidP="00615190">
            <w:pPr>
              <w:spacing w:line="240" w:lineRule="atLeast"/>
              <w:rPr>
                <w:rFonts w:ascii="Tahoma" w:hAnsi="Tahoma"/>
                <w:b/>
                <w:bCs/>
                <w:color w:val="000000" w:themeColor="text1"/>
                <w:sz w:val="16"/>
                <w:lang w:val="en-GB"/>
              </w:rPr>
            </w:pPr>
            <w:r w:rsidRPr="00C87A11">
              <w:rPr>
                <w:rFonts w:ascii="Tahoma" w:hAnsi="Tahoma"/>
                <w:b/>
                <w:bCs/>
                <w:color w:val="000000" w:themeColor="text1"/>
                <w:sz w:val="16"/>
                <w:lang w:val="en-GB"/>
              </w:rPr>
              <w:t>Cash flows from operating activities</w:t>
            </w:r>
          </w:p>
        </w:tc>
        <w:tc>
          <w:tcPr>
            <w:tcW w:w="716" w:type="dxa"/>
            <w:tcBorders>
              <w:top w:val="single" w:sz="12" w:space="0" w:color="auto"/>
            </w:tcBorders>
            <w:shd w:val="clear" w:color="auto" w:fill="auto"/>
            <w:tcMar>
              <w:top w:w="74" w:type="dxa"/>
              <w:left w:w="0" w:type="dxa"/>
              <w:bottom w:w="17" w:type="dxa"/>
              <w:right w:w="0" w:type="dxa"/>
            </w:tcMar>
            <w:vAlign w:val="bottom"/>
          </w:tcPr>
          <w:p w14:paraId="7751C18C" w14:textId="77777777" w:rsidR="00C87A11" w:rsidRPr="00C87A11" w:rsidRDefault="00C87A11" w:rsidP="00615190">
            <w:pPr>
              <w:spacing w:line="240" w:lineRule="atLeast"/>
              <w:rPr>
                <w:rFonts w:ascii="Tahoma" w:hAnsi="Tahoma"/>
                <w:color w:val="000000" w:themeColor="text1"/>
                <w:sz w:val="16"/>
                <w:lang w:val="en-GB"/>
              </w:rPr>
            </w:pPr>
          </w:p>
        </w:tc>
        <w:tc>
          <w:tcPr>
            <w:tcW w:w="1126" w:type="dxa"/>
            <w:tcBorders>
              <w:top w:val="single" w:sz="12" w:space="0" w:color="auto"/>
            </w:tcBorders>
            <w:shd w:val="clear" w:color="auto" w:fill="auto"/>
            <w:tcMar>
              <w:top w:w="74" w:type="dxa"/>
              <w:left w:w="0" w:type="dxa"/>
              <w:bottom w:w="17" w:type="dxa"/>
              <w:right w:w="0" w:type="dxa"/>
            </w:tcMar>
            <w:vAlign w:val="bottom"/>
          </w:tcPr>
          <w:p w14:paraId="167B13CB" w14:textId="77777777" w:rsidR="00C87A11" w:rsidRPr="00C87A11" w:rsidRDefault="00C87A11" w:rsidP="0068173D">
            <w:pPr>
              <w:spacing w:line="240" w:lineRule="atLeast"/>
              <w:jc w:val="right"/>
              <w:rPr>
                <w:rFonts w:ascii="Tahoma" w:hAnsi="Tahoma"/>
                <w:b/>
                <w:bCs/>
                <w:color w:val="000000" w:themeColor="text1"/>
                <w:sz w:val="16"/>
                <w:lang w:val="en-GB"/>
              </w:rPr>
            </w:pPr>
          </w:p>
        </w:tc>
        <w:tc>
          <w:tcPr>
            <w:tcW w:w="1134" w:type="dxa"/>
            <w:tcBorders>
              <w:top w:val="single" w:sz="12" w:space="0" w:color="auto"/>
            </w:tcBorders>
            <w:shd w:val="clear" w:color="auto" w:fill="auto"/>
            <w:tcMar>
              <w:top w:w="74" w:type="dxa"/>
              <w:left w:w="0" w:type="dxa"/>
              <w:bottom w:w="17" w:type="dxa"/>
              <w:right w:w="0" w:type="dxa"/>
            </w:tcMar>
            <w:vAlign w:val="bottom"/>
          </w:tcPr>
          <w:p w14:paraId="0AB31702" w14:textId="77777777" w:rsidR="00C87A11" w:rsidRPr="00C87A11" w:rsidRDefault="00C87A11" w:rsidP="0068173D">
            <w:pPr>
              <w:spacing w:line="240" w:lineRule="atLeast"/>
              <w:jc w:val="right"/>
              <w:rPr>
                <w:rFonts w:ascii="Tahoma" w:hAnsi="Tahoma"/>
                <w:color w:val="000000" w:themeColor="text1"/>
                <w:sz w:val="16"/>
                <w:lang w:val="en-GB"/>
              </w:rPr>
            </w:pPr>
          </w:p>
        </w:tc>
        <w:tc>
          <w:tcPr>
            <w:tcW w:w="1134" w:type="dxa"/>
            <w:tcBorders>
              <w:top w:val="single" w:sz="12" w:space="0" w:color="auto"/>
            </w:tcBorders>
            <w:shd w:val="clear" w:color="auto" w:fill="auto"/>
            <w:tcMar>
              <w:top w:w="74" w:type="dxa"/>
              <w:left w:w="0" w:type="dxa"/>
              <w:bottom w:w="17" w:type="dxa"/>
              <w:right w:w="0" w:type="dxa"/>
            </w:tcMar>
            <w:vAlign w:val="bottom"/>
          </w:tcPr>
          <w:p w14:paraId="13866D6A" w14:textId="77777777" w:rsidR="00C87A11" w:rsidRPr="00C87A11" w:rsidRDefault="00C87A11" w:rsidP="0068173D">
            <w:pPr>
              <w:spacing w:line="240" w:lineRule="atLeast"/>
              <w:jc w:val="right"/>
              <w:rPr>
                <w:rFonts w:ascii="Tahoma" w:hAnsi="Tahoma"/>
                <w:color w:val="000000" w:themeColor="text1"/>
                <w:sz w:val="16"/>
                <w:lang w:val="en-GB"/>
              </w:rPr>
            </w:pPr>
          </w:p>
        </w:tc>
      </w:tr>
      <w:tr w:rsidR="00615190" w:rsidRPr="00C87A11" w14:paraId="7488ACC4" w14:textId="77777777" w:rsidTr="0068173D">
        <w:trPr>
          <w:trHeight w:val="60"/>
        </w:trPr>
        <w:tc>
          <w:tcPr>
            <w:tcW w:w="6096" w:type="dxa"/>
            <w:shd w:val="clear" w:color="auto" w:fill="auto"/>
            <w:tcMar>
              <w:top w:w="17" w:type="dxa"/>
              <w:left w:w="0" w:type="dxa"/>
              <w:bottom w:w="17" w:type="dxa"/>
              <w:right w:w="0" w:type="dxa"/>
            </w:tcMar>
            <w:vAlign w:val="bottom"/>
          </w:tcPr>
          <w:p w14:paraId="184A1023" w14:textId="77777777" w:rsidR="00C87A11" w:rsidRPr="00C87A11" w:rsidRDefault="00C87A11" w:rsidP="00615190">
            <w:pPr>
              <w:spacing w:line="240" w:lineRule="atLeast"/>
              <w:rPr>
                <w:rFonts w:ascii="Tahoma" w:hAnsi="Tahoma"/>
                <w:color w:val="000000" w:themeColor="text1"/>
                <w:sz w:val="16"/>
                <w:lang w:val="en-GB"/>
              </w:rPr>
            </w:pPr>
            <w:r w:rsidRPr="00C87A11">
              <w:rPr>
                <w:rFonts w:ascii="Tahoma" w:hAnsi="Tahoma"/>
                <w:color w:val="000000" w:themeColor="text1"/>
                <w:sz w:val="16"/>
                <w:lang w:val="en-GB"/>
              </w:rPr>
              <w:t>Cash utilised in operating activities</w:t>
            </w:r>
          </w:p>
        </w:tc>
        <w:tc>
          <w:tcPr>
            <w:tcW w:w="716" w:type="dxa"/>
            <w:shd w:val="clear" w:color="auto" w:fill="auto"/>
            <w:tcMar>
              <w:top w:w="17" w:type="dxa"/>
              <w:left w:w="0" w:type="dxa"/>
              <w:bottom w:w="17" w:type="dxa"/>
              <w:right w:w="0" w:type="dxa"/>
            </w:tcMar>
            <w:vAlign w:val="bottom"/>
          </w:tcPr>
          <w:p w14:paraId="6C59C4E3" w14:textId="77777777" w:rsidR="00C87A11" w:rsidRPr="00C87A11" w:rsidRDefault="00C87A11" w:rsidP="00615190">
            <w:pPr>
              <w:spacing w:line="240" w:lineRule="atLeast"/>
              <w:rPr>
                <w:rFonts w:ascii="Tahoma" w:hAnsi="Tahoma"/>
                <w:color w:val="000000" w:themeColor="text1"/>
                <w:sz w:val="16"/>
                <w:lang w:val="en-GB"/>
              </w:rPr>
            </w:pPr>
          </w:p>
        </w:tc>
        <w:tc>
          <w:tcPr>
            <w:tcW w:w="1126" w:type="dxa"/>
            <w:shd w:val="clear" w:color="auto" w:fill="auto"/>
            <w:tcMar>
              <w:top w:w="17" w:type="dxa"/>
              <w:left w:w="0" w:type="dxa"/>
              <w:bottom w:w="17" w:type="dxa"/>
              <w:right w:w="0" w:type="dxa"/>
            </w:tcMar>
            <w:vAlign w:val="bottom"/>
          </w:tcPr>
          <w:p w14:paraId="4AE31ED1" w14:textId="77777777" w:rsidR="00C87A11" w:rsidRPr="00C87A11" w:rsidRDefault="00C87A11" w:rsidP="0068173D">
            <w:pPr>
              <w:spacing w:line="240" w:lineRule="atLeast"/>
              <w:jc w:val="right"/>
              <w:rPr>
                <w:rFonts w:ascii="Tahoma" w:hAnsi="Tahoma"/>
                <w:b/>
                <w:bCs/>
                <w:color w:val="000000" w:themeColor="text1"/>
                <w:sz w:val="16"/>
                <w:lang w:val="en-GB"/>
              </w:rPr>
            </w:pPr>
            <w:r w:rsidRPr="00C87A11">
              <w:rPr>
                <w:rFonts w:ascii="Tahoma" w:hAnsi="Tahoma"/>
                <w:b/>
                <w:bCs/>
                <w:color w:val="000000" w:themeColor="text1"/>
                <w:sz w:val="16"/>
                <w:lang w:val="en-GB"/>
              </w:rPr>
              <w:t>(266)</w:t>
            </w:r>
          </w:p>
        </w:tc>
        <w:tc>
          <w:tcPr>
            <w:tcW w:w="1134" w:type="dxa"/>
            <w:shd w:val="clear" w:color="auto" w:fill="auto"/>
            <w:tcMar>
              <w:top w:w="17" w:type="dxa"/>
              <w:left w:w="0" w:type="dxa"/>
              <w:bottom w:w="17" w:type="dxa"/>
              <w:right w:w="0" w:type="dxa"/>
            </w:tcMar>
            <w:vAlign w:val="bottom"/>
          </w:tcPr>
          <w:p w14:paraId="06221690" w14:textId="77777777" w:rsidR="00C87A11" w:rsidRPr="00C87A11" w:rsidRDefault="00C87A11" w:rsidP="0068173D">
            <w:pPr>
              <w:spacing w:line="240" w:lineRule="atLeast"/>
              <w:jc w:val="right"/>
              <w:rPr>
                <w:rFonts w:ascii="Tahoma" w:hAnsi="Tahoma"/>
                <w:color w:val="000000" w:themeColor="text1"/>
                <w:sz w:val="16"/>
                <w:lang w:val="en-GB"/>
              </w:rPr>
            </w:pPr>
            <w:r w:rsidRPr="00C87A11">
              <w:rPr>
                <w:rFonts w:ascii="Tahoma" w:hAnsi="Tahoma"/>
                <w:color w:val="000000" w:themeColor="text1"/>
                <w:sz w:val="16"/>
                <w:lang w:val="en-GB"/>
              </w:rPr>
              <w:t>(228)</w:t>
            </w:r>
          </w:p>
        </w:tc>
        <w:tc>
          <w:tcPr>
            <w:tcW w:w="1134" w:type="dxa"/>
            <w:shd w:val="clear" w:color="auto" w:fill="auto"/>
            <w:tcMar>
              <w:top w:w="17" w:type="dxa"/>
              <w:left w:w="0" w:type="dxa"/>
              <w:bottom w:w="17" w:type="dxa"/>
              <w:right w:w="0" w:type="dxa"/>
            </w:tcMar>
            <w:vAlign w:val="bottom"/>
          </w:tcPr>
          <w:p w14:paraId="64C85599" w14:textId="77777777" w:rsidR="00C87A11" w:rsidRPr="00C87A11" w:rsidRDefault="00C87A11" w:rsidP="0068173D">
            <w:pPr>
              <w:spacing w:line="240" w:lineRule="atLeast"/>
              <w:jc w:val="right"/>
              <w:rPr>
                <w:rFonts w:ascii="Tahoma" w:hAnsi="Tahoma"/>
                <w:color w:val="000000" w:themeColor="text1"/>
                <w:sz w:val="16"/>
                <w:lang w:val="en-GB"/>
              </w:rPr>
            </w:pPr>
            <w:r w:rsidRPr="00C87A11">
              <w:rPr>
                <w:rFonts w:ascii="Tahoma" w:hAnsi="Tahoma"/>
                <w:color w:val="000000" w:themeColor="text1"/>
                <w:sz w:val="16"/>
                <w:lang w:val="en-GB"/>
              </w:rPr>
              <w:t>(644)</w:t>
            </w:r>
          </w:p>
        </w:tc>
      </w:tr>
      <w:tr w:rsidR="00615190" w:rsidRPr="00C87A11" w14:paraId="655FA308" w14:textId="77777777" w:rsidTr="0068173D">
        <w:trPr>
          <w:trHeight w:val="60"/>
        </w:trPr>
        <w:tc>
          <w:tcPr>
            <w:tcW w:w="6096" w:type="dxa"/>
            <w:shd w:val="clear" w:color="auto" w:fill="auto"/>
            <w:tcMar>
              <w:top w:w="17" w:type="dxa"/>
              <w:left w:w="0" w:type="dxa"/>
              <w:bottom w:w="17" w:type="dxa"/>
              <w:right w:w="0" w:type="dxa"/>
            </w:tcMar>
            <w:vAlign w:val="bottom"/>
          </w:tcPr>
          <w:p w14:paraId="3A58C168" w14:textId="77777777" w:rsidR="00C87A11" w:rsidRPr="00C87A11" w:rsidRDefault="00C87A11" w:rsidP="00615190">
            <w:pPr>
              <w:spacing w:line="240" w:lineRule="atLeast"/>
              <w:rPr>
                <w:rFonts w:ascii="Tahoma" w:hAnsi="Tahoma"/>
                <w:color w:val="000000" w:themeColor="text1"/>
                <w:sz w:val="16"/>
                <w:lang w:val="en-GB"/>
              </w:rPr>
            </w:pPr>
            <w:r w:rsidRPr="00C87A11">
              <w:rPr>
                <w:rFonts w:ascii="Tahoma" w:hAnsi="Tahoma"/>
                <w:color w:val="000000" w:themeColor="text1"/>
                <w:sz w:val="16"/>
                <w:lang w:val="en-GB"/>
              </w:rPr>
              <w:t>Interest income received</w:t>
            </w:r>
          </w:p>
        </w:tc>
        <w:tc>
          <w:tcPr>
            <w:tcW w:w="716" w:type="dxa"/>
            <w:shd w:val="clear" w:color="auto" w:fill="auto"/>
            <w:tcMar>
              <w:top w:w="17" w:type="dxa"/>
              <w:left w:w="0" w:type="dxa"/>
              <w:bottom w:w="17" w:type="dxa"/>
              <w:right w:w="0" w:type="dxa"/>
            </w:tcMar>
            <w:vAlign w:val="bottom"/>
          </w:tcPr>
          <w:p w14:paraId="7A008353" w14:textId="77777777" w:rsidR="00C87A11" w:rsidRPr="00C87A11" w:rsidRDefault="00C87A11" w:rsidP="00615190">
            <w:pPr>
              <w:spacing w:line="240" w:lineRule="atLeast"/>
              <w:rPr>
                <w:rFonts w:ascii="Tahoma" w:hAnsi="Tahoma"/>
                <w:color w:val="000000" w:themeColor="text1"/>
                <w:sz w:val="16"/>
                <w:lang w:val="en-GB"/>
              </w:rPr>
            </w:pPr>
          </w:p>
        </w:tc>
        <w:tc>
          <w:tcPr>
            <w:tcW w:w="1126" w:type="dxa"/>
            <w:shd w:val="clear" w:color="auto" w:fill="auto"/>
            <w:tcMar>
              <w:top w:w="17" w:type="dxa"/>
              <w:left w:w="0" w:type="dxa"/>
              <w:bottom w:w="17" w:type="dxa"/>
              <w:right w:w="0" w:type="dxa"/>
            </w:tcMar>
            <w:vAlign w:val="bottom"/>
          </w:tcPr>
          <w:p w14:paraId="00BB1179" w14:textId="77777777" w:rsidR="00C87A11" w:rsidRPr="00C87A11" w:rsidRDefault="00C87A11" w:rsidP="0068173D">
            <w:pPr>
              <w:spacing w:line="240" w:lineRule="atLeast"/>
              <w:jc w:val="right"/>
              <w:rPr>
                <w:rFonts w:ascii="Tahoma" w:hAnsi="Tahoma"/>
                <w:b/>
                <w:bCs/>
                <w:color w:val="000000" w:themeColor="text1"/>
                <w:sz w:val="16"/>
                <w:lang w:val="en-GB"/>
              </w:rPr>
            </w:pPr>
            <w:r w:rsidRPr="00C87A11">
              <w:rPr>
                <w:rFonts w:ascii="Tahoma" w:hAnsi="Tahoma"/>
                <w:b/>
                <w:bCs/>
                <w:color w:val="000000" w:themeColor="text1"/>
                <w:sz w:val="16"/>
                <w:lang w:val="en-GB"/>
              </w:rPr>
              <w:t>82</w:t>
            </w:r>
          </w:p>
        </w:tc>
        <w:tc>
          <w:tcPr>
            <w:tcW w:w="1134" w:type="dxa"/>
            <w:shd w:val="clear" w:color="auto" w:fill="auto"/>
            <w:tcMar>
              <w:top w:w="17" w:type="dxa"/>
              <w:left w:w="0" w:type="dxa"/>
              <w:bottom w:w="17" w:type="dxa"/>
              <w:right w:w="0" w:type="dxa"/>
            </w:tcMar>
            <w:vAlign w:val="bottom"/>
          </w:tcPr>
          <w:p w14:paraId="239A0E6C" w14:textId="77777777" w:rsidR="00C87A11" w:rsidRPr="00C87A11" w:rsidRDefault="00C87A11" w:rsidP="0068173D">
            <w:pPr>
              <w:spacing w:line="240" w:lineRule="atLeast"/>
              <w:jc w:val="right"/>
              <w:rPr>
                <w:rFonts w:ascii="Tahoma" w:hAnsi="Tahoma"/>
                <w:color w:val="000000" w:themeColor="text1"/>
                <w:sz w:val="16"/>
                <w:lang w:val="en-GB"/>
              </w:rPr>
            </w:pPr>
            <w:r w:rsidRPr="00C87A11">
              <w:rPr>
                <w:rFonts w:ascii="Tahoma" w:hAnsi="Tahoma"/>
                <w:color w:val="000000" w:themeColor="text1"/>
                <w:sz w:val="16"/>
                <w:lang w:val="en-GB"/>
              </w:rPr>
              <w:t>23</w:t>
            </w:r>
          </w:p>
        </w:tc>
        <w:tc>
          <w:tcPr>
            <w:tcW w:w="1134" w:type="dxa"/>
            <w:shd w:val="clear" w:color="auto" w:fill="auto"/>
            <w:tcMar>
              <w:top w:w="17" w:type="dxa"/>
              <w:left w:w="0" w:type="dxa"/>
              <w:bottom w:w="17" w:type="dxa"/>
              <w:right w:w="0" w:type="dxa"/>
            </w:tcMar>
            <w:vAlign w:val="bottom"/>
          </w:tcPr>
          <w:p w14:paraId="6828194E" w14:textId="77777777" w:rsidR="00C87A11" w:rsidRPr="00C87A11" w:rsidRDefault="00C87A11" w:rsidP="0068173D">
            <w:pPr>
              <w:spacing w:line="240" w:lineRule="atLeast"/>
              <w:jc w:val="right"/>
              <w:rPr>
                <w:rFonts w:ascii="Tahoma" w:hAnsi="Tahoma"/>
                <w:color w:val="000000" w:themeColor="text1"/>
                <w:sz w:val="16"/>
                <w:lang w:val="en-GB"/>
              </w:rPr>
            </w:pPr>
            <w:r w:rsidRPr="00C87A11">
              <w:rPr>
                <w:rFonts w:ascii="Tahoma" w:hAnsi="Tahoma"/>
                <w:color w:val="000000" w:themeColor="text1"/>
                <w:sz w:val="16"/>
                <w:lang w:val="en-GB"/>
              </w:rPr>
              <w:t>38</w:t>
            </w:r>
          </w:p>
        </w:tc>
      </w:tr>
      <w:tr w:rsidR="00615190" w:rsidRPr="00C87A11" w14:paraId="38C1CCEB" w14:textId="77777777" w:rsidTr="0068173D">
        <w:trPr>
          <w:trHeight w:val="60"/>
        </w:trPr>
        <w:tc>
          <w:tcPr>
            <w:tcW w:w="6096" w:type="dxa"/>
            <w:shd w:val="clear" w:color="auto" w:fill="auto"/>
            <w:tcMar>
              <w:top w:w="17" w:type="dxa"/>
              <w:left w:w="0" w:type="dxa"/>
              <w:bottom w:w="17" w:type="dxa"/>
              <w:right w:w="0" w:type="dxa"/>
            </w:tcMar>
            <w:vAlign w:val="bottom"/>
          </w:tcPr>
          <w:p w14:paraId="20FE5C66" w14:textId="77777777" w:rsidR="00C87A11" w:rsidRPr="00C87A11" w:rsidRDefault="00C87A11" w:rsidP="00615190">
            <w:pPr>
              <w:spacing w:line="240" w:lineRule="atLeast"/>
              <w:rPr>
                <w:rFonts w:ascii="Tahoma" w:hAnsi="Tahoma"/>
                <w:color w:val="000000" w:themeColor="text1"/>
                <w:sz w:val="16"/>
                <w:lang w:val="en-GB"/>
              </w:rPr>
            </w:pPr>
            <w:r w:rsidRPr="00C87A11">
              <w:rPr>
                <w:rFonts w:ascii="Tahoma" w:hAnsi="Tahoma"/>
                <w:color w:val="000000" w:themeColor="text1"/>
                <w:sz w:val="16"/>
                <w:lang w:val="en-GB"/>
              </w:rPr>
              <w:t>Dividends received from equity-accounted investments</w:t>
            </w:r>
          </w:p>
        </w:tc>
        <w:tc>
          <w:tcPr>
            <w:tcW w:w="716" w:type="dxa"/>
            <w:shd w:val="clear" w:color="auto" w:fill="auto"/>
            <w:tcMar>
              <w:top w:w="17" w:type="dxa"/>
              <w:left w:w="0" w:type="dxa"/>
              <w:bottom w:w="17" w:type="dxa"/>
              <w:right w:w="0" w:type="dxa"/>
            </w:tcMar>
            <w:vAlign w:val="bottom"/>
          </w:tcPr>
          <w:p w14:paraId="592B7D82" w14:textId="77777777" w:rsidR="00C87A11" w:rsidRPr="00C87A11" w:rsidRDefault="00C87A11" w:rsidP="00615190">
            <w:pPr>
              <w:spacing w:line="240" w:lineRule="atLeast"/>
              <w:rPr>
                <w:rFonts w:ascii="Tahoma" w:hAnsi="Tahoma"/>
                <w:color w:val="000000" w:themeColor="text1"/>
                <w:sz w:val="16"/>
                <w:lang w:val="en-GB"/>
              </w:rPr>
            </w:pPr>
          </w:p>
        </w:tc>
        <w:tc>
          <w:tcPr>
            <w:tcW w:w="1126" w:type="dxa"/>
            <w:shd w:val="clear" w:color="auto" w:fill="auto"/>
            <w:tcMar>
              <w:top w:w="17" w:type="dxa"/>
              <w:left w:w="0" w:type="dxa"/>
              <w:bottom w:w="17" w:type="dxa"/>
              <w:right w:w="0" w:type="dxa"/>
            </w:tcMar>
            <w:vAlign w:val="bottom"/>
          </w:tcPr>
          <w:p w14:paraId="747AD6DD" w14:textId="77777777" w:rsidR="00C87A11" w:rsidRPr="00C87A11" w:rsidRDefault="00C87A11" w:rsidP="0068173D">
            <w:pPr>
              <w:spacing w:line="240" w:lineRule="atLeast"/>
              <w:jc w:val="right"/>
              <w:rPr>
                <w:rFonts w:ascii="Tahoma" w:hAnsi="Tahoma"/>
                <w:b/>
                <w:bCs/>
                <w:color w:val="000000" w:themeColor="text1"/>
                <w:sz w:val="16"/>
                <w:lang w:val="en-GB"/>
              </w:rPr>
            </w:pPr>
            <w:r w:rsidRPr="00C87A11">
              <w:rPr>
                <w:rFonts w:ascii="Tahoma" w:hAnsi="Tahoma"/>
                <w:b/>
                <w:bCs/>
                <w:color w:val="000000" w:themeColor="text1"/>
                <w:sz w:val="16"/>
                <w:lang w:val="en-GB"/>
              </w:rPr>
              <w:t>572</w:t>
            </w:r>
          </w:p>
        </w:tc>
        <w:tc>
          <w:tcPr>
            <w:tcW w:w="1134" w:type="dxa"/>
            <w:shd w:val="clear" w:color="auto" w:fill="auto"/>
            <w:tcMar>
              <w:top w:w="17" w:type="dxa"/>
              <w:left w:w="0" w:type="dxa"/>
              <w:bottom w:w="17" w:type="dxa"/>
              <w:right w:w="0" w:type="dxa"/>
            </w:tcMar>
            <w:vAlign w:val="bottom"/>
          </w:tcPr>
          <w:p w14:paraId="2791D90B" w14:textId="77777777" w:rsidR="00C87A11" w:rsidRPr="00C87A11" w:rsidRDefault="00C87A11" w:rsidP="0068173D">
            <w:pPr>
              <w:spacing w:line="240" w:lineRule="atLeast"/>
              <w:jc w:val="right"/>
              <w:rPr>
                <w:rFonts w:ascii="Tahoma" w:hAnsi="Tahoma"/>
                <w:color w:val="000000" w:themeColor="text1"/>
                <w:sz w:val="16"/>
                <w:lang w:val="en-GB"/>
              </w:rPr>
            </w:pPr>
            <w:r w:rsidRPr="00C87A11">
              <w:rPr>
                <w:rFonts w:ascii="Tahoma" w:hAnsi="Tahoma"/>
                <w:color w:val="000000" w:themeColor="text1"/>
                <w:sz w:val="16"/>
                <w:lang w:val="en-GB"/>
              </w:rPr>
              <w:t>571</w:t>
            </w:r>
          </w:p>
        </w:tc>
        <w:tc>
          <w:tcPr>
            <w:tcW w:w="1134" w:type="dxa"/>
            <w:shd w:val="clear" w:color="auto" w:fill="auto"/>
            <w:tcMar>
              <w:top w:w="17" w:type="dxa"/>
              <w:left w:w="0" w:type="dxa"/>
              <w:bottom w:w="17" w:type="dxa"/>
              <w:right w:w="0" w:type="dxa"/>
            </w:tcMar>
            <w:vAlign w:val="bottom"/>
          </w:tcPr>
          <w:p w14:paraId="21403F1C" w14:textId="77777777" w:rsidR="00C87A11" w:rsidRPr="00C87A11" w:rsidRDefault="00C87A11" w:rsidP="0068173D">
            <w:pPr>
              <w:spacing w:line="240" w:lineRule="atLeast"/>
              <w:jc w:val="right"/>
              <w:rPr>
                <w:rFonts w:ascii="Tahoma" w:hAnsi="Tahoma"/>
                <w:color w:val="000000" w:themeColor="text1"/>
                <w:sz w:val="16"/>
                <w:lang w:val="en-GB"/>
              </w:rPr>
            </w:pPr>
            <w:r w:rsidRPr="00C87A11">
              <w:rPr>
                <w:rFonts w:ascii="Tahoma" w:hAnsi="Tahoma"/>
                <w:color w:val="000000" w:themeColor="text1"/>
                <w:sz w:val="16"/>
                <w:lang w:val="en-GB"/>
              </w:rPr>
              <w:t>571</w:t>
            </w:r>
          </w:p>
        </w:tc>
      </w:tr>
      <w:tr w:rsidR="00615190" w:rsidRPr="00C87A11" w14:paraId="0C82538F" w14:textId="77777777" w:rsidTr="007730EE">
        <w:trPr>
          <w:trHeight w:val="60"/>
        </w:trPr>
        <w:tc>
          <w:tcPr>
            <w:tcW w:w="6096" w:type="dxa"/>
            <w:shd w:val="clear" w:color="auto" w:fill="auto"/>
            <w:tcMar>
              <w:top w:w="17" w:type="dxa"/>
              <w:left w:w="0" w:type="dxa"/>
              <w:bottom w:w="17" w:type="dxa"/>
              <w:right w:w="0" w:type="dxa"/>
            </w:tcMar>
            <w:vAlign w:val="bottom"/>
          </w:tcPr>
          <w:p w14:paraId="7DDF329A" w14:textId="77777777" w:rsidR="00C87A11" w:rsidRPr="00C87A11" w:rsidRDefault="00C87A11" w:rsidP="00615190">
            <w:pPr>
              <w:spacing w:line="240" w:lineRule="atLeast"/>
              <w:rPr>
                <w:rFonts w:ascii="Tahoma" w:hAnsi="Tahoma"/>
                <w:color w:val="000000" w:themeColor="text1"/>
                <w:sz w:val="16"/>
                <w:lang w:val="en-GB"/>
              </w:rPr>
            </w:pPr>
            <w:r w:rsidRPr="00C87A11">
              <w:rPr>
                <w:rFonts w:ascii="Tahoma" w:hAnsi="Tahoma"/>
                <w:color w:val="000000" w:themeColor="text1"/>
                <w:sz w:val="16"/>
                <w:lang w:val="en-GB"/>
              </w:rPr>
              <w:t>Interest costs paid</w:t>
            </w:r>
          </w:p>
        </w:tc>
        <w:tc>
          <w:tcPr>
            <w:tcW w:w="716" w:type="dxa"/>
            <w:shd w:val="clear" w:color="auto" w:fill="auto"/>
            <w:tcMar>
              <w:top w:w="17" w:type="dxa"/>
              <w:left w:w="0" w:type="dxa"/>
              <w:bottom w:w="17" w:type="dxa"/>
              <w:right w:w="0" w:type="dxa"/>
            </w:tcMar>
            <w:vAlign w:val="bottom"/>
          </w:tcPr>
          <w:p w14:paraId="76A538F9" w14:textId="77777777" w:rsidR="00C87A11" w:rsidRPr="00C87A11" w:rsidRDefault="00C87A11" w:rsidP="00615190">
            <w:pPr>
              <w:spacing w:line="240" w:lineRule="atLeast"/>
              <w:rPr>
                <w:rFonts w:ascii="Tahoma" w:hAnsi="Tahoma"/>
                <w:color w:val="000000" w:themeColor="text1"/>
                <w:sz w:val="16"/>
                <w:lang w:val="en-GB"/>
              </w:rPr>
            </w:pPr>
          </w:p>
        </w:tc>
        <w:tc>
          <w:tcPr>
            <w:tcW w:w="1126" w:type="dxa"/>
            <w:shd w:val="clear" w:color="auto" w:fill="auto"/>
            <w:tcMar>
              <w:top w:w="17" w:type="dxa"/>
              <w:left w:w="0" w:type="dxa"/>
              <w:bottom w:w="17" w:type="dxa"/>
              <w:right w:w="0" w:type="dxa"/>
            </w:tcMar>
            <w:vAlign w:val="bottom"/>
          </w:tcPr>
          <w:p w14:paraId="3B87B28D" w14:textId="77777777" w:rsidR="00C87A11" w:rsidRPr="00C87A11" w:rsidRDefault="00C87A11" w:rsidP="0068173D">
            <w:pPr>
              <w:spacing w:line="240" w:lineRule="atLeast"/>
              <w:jc w:val="right"/>
              <w:rPr>
                <w:rFonts w:ascii="Tahoma" w:hAnsi="Tahoma"/>
                <w:b/>
                <w:bCs/>
                <w:color w:val="000000" w:themeColor="text1"/>
                <w:sz w:val="16"/>
                <w:lang w:val="en-GB"/>
              </w:rPr>
            </w:pPr>
            <w:r w:rsidRPr="00C87A11">
              <w:rPr>
                <w:rFonts w:ascii="Tahoma" w:hAnsi="Tahoma"/>
                <w:b/>
                <w:bCs/>
                <w:color w:val="000000" w:themeColor="text1"/>
                <w:sz w:val="16"/>
                <w:lang w:val="en-GB"/>
              </w:rPr>
              <w:t>(296)</w:t>
            </w:r>
          </w:p>
        </w:tc>
        <w:tc>
          <w:tcPr>
            <w:tcW w:w="1134" w:type="dxa"/>
            <w:shd w:val="clear" w:color="auto" w:fill="auto"/>
            <w:tcMar>
              <w:top w:w="17" w:type="dxa"/>
              <w:left w:w="0" w:type="dxa"/>
              <w:bottom w:w="17" w:type="dxa"/>
              <w:right w:w="0" w:type="dxa"/>
            </w:tcMar>
            <w:vAlign w:val="bottom"/>
          </w:tcPr>
          <w:p w14:paraId="5FD99C12" w14:textId="77777777" w:rsidR="00C87A11" w:rsidRPr="00C87A11" w:rsidRDefault="00C87A11" w:rsidP="0068173D">
            <w:pPr>
              <w:spacing w:line="240" w:lineRule="atLeast"/>
              <w:jc w:val="right"/>
              <w:rPr>
                <w:rFonts w:ascii="Tahoma" w:hAnsi="Tahoma"/>
                <w:color w:val="000000" w:themeColor="text1"/>
                <w:sz w:val="16"/>
                <w:lang w:val="en-GB"/>
              </w:rPr>
            </w:pPr>
            <w:r w:rsidRPr="00C87A11">
              <w:rPr>
                <w:rFonts w:ascii="Tahoma" w:hAnsi="Tahoma"/>
                <w:color w:val="000000" w:themeColor="text1"/>
                <w:sz w:val="16"/>
                <w:lang w:val="en-GB"/>
              </w:rPr>
              <w:t>(245)</w:t>
            </w:r>
          </w:p>
        </w:tc>
        <w:tc>
          <w:tcPr>
            <w:tcW w:w="1134" w:type="dxa"/>
            <w:shd w:val="clear" w:color="auto" w:fill="auto"/>
            <w:tcMar>
              <w:top w:w="17" w:type="dxa"/>
              <w:left w:w="0" w:type="dxa"/>
              <w:bottom w:w="17" w:type="dxa"/>
              <w:right w:w="0" w:type="dxa"/>
            </w:tcMar>
            <w:vAlign w:val="bottom"/>
          </w:tcPr>
          <w:p w14:paraId="3A453801" w14:textId="77777777" w:rsidR="00C87A11" w:rsidRPr="00C87A11" w:rsidRDefault="00C87A11" w:rsidP="0068173D">
            <w:pPr>
              <w:spacing w:line="240" w:lineRule="atLeast"/>
              <w:jc w:val="right"/>
              <w:rPr>
                <w:rFonts w:ascii="Tahoma" w:hAnsi="Tahoma"/>
                <w:color w:val="000000" w:themeColor="text1"/>
                <w:sz w:val="16"/>
                <w:lang w:val="en-GB"/>
              </w:rPr>
            </w:pPr>
            <w:r w:rsidRPr="00C87A11">
              <w:rPr>
                <w:rFonts w:ascii="Tahoma" w:hAnsi="Tahoma"/>
                <w:color w:val="000000" w:themeColor="text1"/>
                <w:sz w:val="16"/>
                <w:lang w:val="en-GB"/>
              </w:rPr>
              <w:t>(381)</w:t>
            </w:r>
          </w:p>
        </w:tc>
      </w:tr>
      <w:tr w:rsidR="00615190" w:rsidRPr="00C87A11" w14:paraId="4539782A" w14:textId="77777777" w:rsidTr="00060720">
        <w:trPr>
          <w:trHeight w:val="60"/>
        </w:trPr>
        <w:tc>
          <w:tcPr>
            <w:tcW w:w="6096" w:type="dxa"/>
            <w:tcBorders>
              <w:bottom w:val="single" w:sz="4" w:space="0" w:color="auto"/>
            </w:tcBorders>
            <w:shd w:val="clear" w:color="auto" w:fill="auto"/>
            <w:tcMar>
              <w:top w:w="17" w:type="dxa"/>
              <w:left w:w="0" w:type="dxa"/>
              <w:bottom w:w="51" w:type="dxa"/>
              <w:right w:w="0" w:type="dxa"/>
            </w:tcMar>
            <w:vAlign w:val="bottom"/>
          </w:tcPr>
          <w:p w14:paraId="7ECC5C94" w14:textId="77777777" w:rsidR="00C87A11" w:rsidRPr="00C87A11" w:rsidRDefault="00C87A11" w:rsidP="00615190">
            <w:pPr>
              <w:spacing w:line="240" w:lineRule="atLeast"/>
              <w:rPr>
                <w:rFonts w:ascii="Tahoma" w:hAnsi="Tahoma"/>
                <w:color w:val="000000" w:themeColor="text1"/>
                <w:sz w:val="16"/>
                <w:lang w:val="en-GB"/>
              </w:rPr>
            </w:pPr>
            <w:r w:rsidRPr="00C87A11">
              <w:rPr>
                <w:rFonts w:ascii="Tahoma" w:hAnsi="Tahoma"/>
                <w:color w:val="000000" w:themeColor="text1"/>
                <w:sz w:val="16"/>
                <w:lang w:val="en-GB"/>
              </w:rPr>
              <w:t>Taxation paid</w:t>
            </w:r>
          </w:p>
        </w:tc>
        <w:tc>
          <w:tcPr>
            <w:tcW w:w="716" w:type="dxa"/>
            <w:tcBorders>
              <w:bottom w:val="single" w:sz="4" w:space="0" w:color="auto"/>
            </w:tcBorders>
            <w:shd w:val="clear" w:color="auto" w:fill="auto"/>
            <w:tcMar>
              <w:top w:w="17" w:type="dxa"/>
              <w:left w:w="0" w:type="dxa"/>
              <w:bottom w:w="51" w:type="dxa"/>
              <w:right w:w="0" w:type="dxa"/>
            </w:tcMar>
            <w:vAlign w:val="bottom"/>
          </w:tcPr>
          <w:p w14:paraId="01088C7C" w14:textId="77777777" w:rsidR="00C87A11" w:rsidRPr="00C87A11" w:rsidRDefault="00C87A11" w:rsidP="00615190">
            <w:pPr>
              <w:spacing w:line="240" w:lineRule="atLeast"/>
              <w:rPr>
                <w:rFonts w:ascii="Tahoma" w:hAnsi="Tahoma"/>
                <w:color w:val="000000" w:themeColor="text1"/>
                <w:sz w:val="16"/>
                <w:lang w:val="en-GB"/>
              </w:rPr>
            </w:pPr>
          </w:p>
        </w:tc>
        <w:tc>
          <w:tcPr>
            <w:tcW w:w="1126" w:type="dxa"/>
            <w:tcBorders>
              <w:bottom w:val="single" w:sz="4" w:space="0" w:color="auto"/>
            </w:tcBorders>
            <w:shd w:val="clear" w:color="auto" w:fill="auto"/>
            <w:tcMar>
              <w:top w:w="17" w:type="dxa"/>
              <w:left w:w="0" w:type="dxa"/>
              <w:bottom w:w="51" w:type="dxa"/>
              <w:right w:w="0" w:type="dxa"/>
            </w:tcMar>
            <w:vAlign w:val="bottom"/>
          </w:tcPr>
          <w:p w14:paraId="4002281F" w14:textId="77777777" w:rsidR="00C87A11" w:rsidRPr="00C87A11" w:rsidRDefault="00C87A11" w:rsidP="0068173D">
            <w:pPr>
              <w:spacing w:line="240" w:lineRule="atLeast"/>
              <w:jc w:val="right"/>
              <w:rPr>
                <w:rFonts w:ascii="Tahoma" w:hAnsi="Tahoma"/>
                <w:b/>
                <w:bCs/>
                <w:color w:val="000000" w:themeColor="text1"/>
                <w:sz w:val="16"/>
                <w:lang w:val="en-GB"/>
              </w:rPr>
            </w:pPr>
            <w:r w:rsidRPr="00C87A11">
              <w:rPr>
                <w:rFonts w:ascii="Tahoma" w:hAnsi="Tahoma"/>
                <w:b/>
                <w:bCs/>
                <w:color w:val="000000" w:themeColor="text1"/>
                <w:sz w:val="16"/>
                <w:lang w:val="en-GB"/>
              </w:rPr>
              <w:t>(50)</w:t>
            </w:r>
          </w:p>
        </w:tc>
        <w:tc>
          <w:tcPr>
            <w:tcW w:w="1134" w:type="dxa"/>
            <w:tcBorders>
              <w:bottom w:val="single" w:sz="4" w:space="0" w:color="auto"/>
            </w:tcBorders>
            <w:shd w:val="clear" w:color="auto" w:fill="auto"/>
            <w:tcMar>
              <w:top w:w="17" w:type="dxa"/>
              <w:left w:w="0" w:type="dxa"/>
              <w:bottom w:w="51" w:type="dxa"/>
              <w:right w:w="0" w:type="dxa"/>
            </w:tcMar>
            <w:vAlign w:val="bottom"/>
          </w:tcPr>
          <w:p w14:paraId="2DC9F426" w14:textId="77777777" w:rsidR="00C87A11" w:rsidRPr="00C87A11" w:rsidRDefault="00C87A11" w:rsidP="0068173D">
            <w:pPr>
              <w:spacing w:line="240" w:lineRule="atLeast"/>
              <w:jc w:val="right"/>
              <w:rPr>
                <w:rFonts w:ascii="Tahoma" w:hAnsi="Tahoma"/>
                <w:color w:val="000000" w:themeColor="text1"/>
                <w:sz w:val="16"/>
                <w:lang w:val="en-GB"/>
              </w:rPr>
            </w:pPr>
            <w:r w:rsidRPr="00C87A11">
              <w:rPr>
                <w:rFonts w:ascii="Tahoma" w:hAnsi="Tahoma"/>
                <w:color w:val="000000" w:themeColor="text1"/>
                <w:sz w:val="16"/>
                <w:lang w:val="en-GB"/>
              </w:rPr>
              <w:t>(107)</w:t>
            </w:r>
          </w:p>
        </w:tc>
        <w:tc>
          <w:tcPr>
            <w:tcW w:w="1134" w:type="dxa"/>
            <w:tcBorders>
              <w:bottom w:val="single" w:sz="4" w:space="0" w:color="auto"/>
            </w:tcBorders>
            <w:shd w:val="clear" w:color="auto" w:fill="auto"/>
            <w:tcMar>
              <w:top w:w="17" w:type="dxa"/>
              <w:left w:w="0" w:type="dxa"/>
              <w:bottom w:w="51" w:type="dxa"/>
              <w:right w:w="0" w:type="dxa"/>
            </w:tcMar>
            <w:vAlign w:val="bottom"/>
          </w:tcPr>
          <w:p w14:paraId="37A80E4D" w14:textId="77777777" w:rsidR="00C87A11" w:rsidRPr="00C87A11" w:rsidRDefault="00C87A11" w:rsidP="0068173D">
            <w:pPr>
              <w:spacing w:line="240" w:lineRule="atLeast"/>
              <w:jc w:val="right"/>
              <w:rPr>
                <w:rFonts w:ascii="Tahoma" w:hAnsi="Tahoma"/>
                <w:color w:val="000000" w:themeColor="text1"/>
                <w:sz w:val="16"/>
                <w:lang w:val="en-GB"/>
              </w:rPr>
            </w:pPr>
            <w:r w:rsidRPr="00C87A11">
              <w:rPr>
                <w:rFonts w:ascii="Tahoma" w:hAnsi="Tahoma"/>
                <w:color w:val="000000" w:themeColor="text1"/>
                <w:sz w:val="16"/>
                <w:lang w:val="en-GB"/>
              </w:rPr>
              <w:t>(189)</w:t>
            </w:r>
          </w:p>
        </w:tc>
      </w:tr>
      <w:tr w:rsidR="00615190" w:rsidRPr="00C87A11" w14:paraId="16B34A09" w14:textId="77777777" w:rsidTr="00060720">
        <w:trPr>
          <w:trHeight w:val="60"/>
        </w:trPr>
        <w:tc>
          <w:tcPr>
            <w:tcW w:w="6096" w:type="dxa"/>
            <w:tcBorders>
              <w:top w:val="single" w:sz="4" w:space="0" w:color="auto"/>
              <w:bottom w:val="single" w:sz="12" w:space="0" w:color="auto"/>
            </w:tcBorders>
            <w:shd w:val="clear" w:color="auto" w:fill="auto"/>
            <w:tcMar>
              <w:top w:w="51" w:type="dxa"/>
              <w:left w:w="0" w:type="dxa"/>
              <w:bottom w:w="51" w:type="dxa"/>
              <w:right w:w="0" w:type="dxa"/>
            </w:tcMar>
            <w:vAlign w:val="bottom"/>
          </w:tcPr>
          <w:p w14:paraId="48C3B514" w14:textId="77777777" w:rsidR="00C87A11" w:rsidRPr="00C87A11" w:rsidRDefault="00C87A11" w:rsidP="00615190">
            <w:pPr>
              <w:spacing w:line="240" w:lineRule="atLeast"/>
              <w:rPr>
                <w:rFonts w:ascii="Tahoma" w:hAnsi="Tahoma"/>
                <w:b/>
                <w:bCs/>
                <w:color w:val="000000" w:themeColor="text1"/>
                <w:sz w:val="16"/>
                <w:lang w:val="en-GB"/>
              </w:rPr>
            </w:pPr>
            <w:r w:rsidRPr="00C87A11">
              <w:rPr>
                <w:rFonts w:ascii="Tahoma" w:hAnsi="Tahoma"/>
                <w:b/>
                <w:bCs/>
                <w:color w:val="000000" w:themeColor="text1"/>
                <w:sz w:val="16"/>
                <w:lang w:val="en-GB"/>
              </w:rPr>
              <w:t>Net cash generated from</w:t>
            </w:r>
            <w:proofErr w:type="gramStart"/>
            <w:r w:rsidRPr="00C87A11">
              <w:rPr>
                <w:rFonts w:ascii="Tahoma" w:hAnsi="Tahoma"/>
                <w:b/>
                <w:bCs/>
                <w:color w:val="000000" w:themeColor="text1"/>
                <w:sz w:val="16"/>
                <w:lang w:val="en-GB"/>
              </w:rPr>
              <w:t>/(</w:t>
            </w:r>
            <w:proofErr w:type="gramEnd"/>
            <w:r w:rsidRPr="00C87A11">
              <w:rPr>
                <w:rFonts w:ascii="Tahoma" w:hAnsi="Tahoma"/>
                <w:b/>
                <w:bCs/>
                <w:color w:val="000000" w:themeColor="text1"/>
                <w:sz w:val="16"/>
                <w:lang w:val="en-GB"/>
              </w:rPr>
              <w:t>utilised in) operating activities</w:t>
            </w:r>
          </w:p>
        </w:tc>
        <w:tc>
          <w:tcPr>
            <w:tcW w:w="716" w:type="dxa"/>
            <w:tcBorders>
              <w:top w:val="single" w:sz="4" w:space="0" w:color="auto"/>
              <w:bottom w:val="single" w:sz="12" w:space="0" w:color="auto"/>
            </w:tcBorders>
            <w:shd w:val="clear" w:color="auto" w:fill="auto"/>
            <w:tcMar>
              <w:top w:w="51" w:type="dxa"/>
              <w:left w:w="0" w:type="dxa"/>
              <w:bottom w:w="51" w:type="dxa"/>
              <w:right w:w="0" w:type="dxa"/>
            </w:tcMar>
            <w:vAlign w:val="bottom"/>
          </w:tcPr>
          <w:p w14:paraId="1706A798" w14:textId="77777777" w:rsidR="00C87A11" w:rsidRPr="00C87A11" w:rsidRDefault="00C87A11" w:rsidP="00615190">
            <w:pPr>
              <w:spacing w:line="240" w:lineRule="atLeast"/>
              <w:rPr>
                <w:rFonts w:ascii="Tahoma" w:hAnsi="Tahoma"/>
                <w:color w:val="000000" w:themeColor="text1"/>
                <w:sz w:val="16"/>
                <w:lang w:val="en-GB"/>
              </w:rPr>
            </w:pPr>
          </w:p>
        </w:tc>
        <w:tc>
          <w:tcPr>
            <w:tcW w:w="1126" w:type="dxa"/>
            <w:tcBorders>
              <w:top w:val="single" w:sz="4" w:space="0" w:color="auto"/>
              <w:bottom w:val="single" w:sz="12" w:space="0" w:color="auto"/>
            </w:tcBorders>
            <w:shd w:val="clear" w:color="auto" w:fill="auto"/>
            <w:tcMar>
              <w:top w:w="51" w:type="dxa"/>
              <w:left w:w="0" w:type="dxa"/>
              <w:bottom w:w="51" w:type="dxa"/>
              <w:right w:w="0" w:type="dxa"/>
            </w:tcMar>
            <w:vAlign w:val="bottom"/>
          </w:tcPr>
          <w:p w14:paraId="75583833" w14:textId="77777777" w:rsidR="00C87A11" w:rsidRPr="00C87A11" w:rsidRDefault="00C87A11" w:rsidP="0068173D">
            <w:pPr>
              <w:spacing w:line="240" w:lineRule="atLeast"/>
              <w:jc w:val="right"/>
              <w:rPr>
                <w:rFonts w:ascii="Tahoma" w:hAnsi="Tahoma"/>
                <w:b/>
                <w:bCs/>
                <w:color w:val="000000" w:themeColor="text1"/>
                <w:sz w:val="16"/>
                <w:lang w:val="en-GB"/>
              </w:rPr>
            </w:pPr>
            <w:r w:rsidRPr="00C87A11">
              <w:rPr>
                <w:rFonts w:ascii="Tahoma" w:hAnsi="Tahoma"/>
                <w:b/>
                <w:bCs/>
                <w:color w:val="000000" w:themeColor="text1"/>
                <w:sz w:val="16"/>
                <w:lang w:val="en-GB"/>
              </w:rPr>
              <w:t>42</w:t>
            </w:r>
          </w:p>
        </w:tc>
        <w:tc>
          <w:tcPr>
            <w:tcW w:w="1134" w:type="dxa"/>
            <w:tcBorders>
              <w:top w:val="single" w:sz="4" w:space="0" w:color="auto"/>
              <w:bottom w:val="single" w:sz="12" w:space="0" w:color="auto"/>
            </w:tcBorders>
            <w:shd w:val="clear" w:color="auto" w:fill="auto"/>
            <w:tcMar>
              <w:top w:w="51" w:type="dxa"/>
              <w:left w:w="0" w:type="dxa"/>
              <w:bottom w:w="51" w:type="dxa"/>
              <w:right w:w="0" w:type="dxa"/>
            </w:tcMar>
            <w:vAlign w:val="bottom"/>
          </w:tcPr>
          <w:p w14:paraId="5470EF64" w14:textId="77777777" w:rsidR="00C87A11" w:rsidRPr="00C87A11" w:rsidRDefault="00C87A11" w:rsidP="0068173D">
            <w:pPr>
              <w:spacing w:line="240" w:lineRule="atLeast"/>
              <w:jc w:val="right"/>
              <w:rPr>
                <w:rFonts w:ascii="Tahoma" w:hAnsi="Tahoma"/>
                <w:color w:val="000000" w:themeColor="text1"/>
                <w:sz w:val="16"/>
                <w:lang w:val="en-GB"/>
              </w:rPr>
            </w:pPr>
            <w:r w:rsidRPr="00C87A11">
              <w:rPr>
                <w:rFonts w:ascii="Tahoma" w:hAnsi="Tahoma"/>
                <w:color w:val="000000" w:themeColor="text1"/>
                <w:sz w:val="16"/>
                <w:lang w:val="en-GB"/>
              </w:rPr>
              <w:t>14</w:t>
            </w:r>
          </w:p>
        </w:tc>
        <w:tc>
          <w:tcPr>
            <w:tcW w:w="1134" w:type="dxa"/>
            <w:tcBorders>
              <w:top w:val="single" w:sz="4" w:space="0" w:color="auto"/>
              <w:bottom w:val="single" w:sz="12" w:space="0" w:color="auto"/>
            </w:tcBorders>
            <w:shd w:val="clear" w:color="auto" w:fill="auto"/>
            <w:tcMar>
              <w:top w:w="51" w:type="dxa"/>
              <w:left w:w="0" w:type="dxa"/>
              <w:bottom w:w="51" w:type="dxa"/>
              <w:right w:w="0" w:type="dxa"/>
            </w:tcMar>
            <w:vAlign w:val="bottom"/>
          </w:tcPr>
          <w:p w14:paraId="0B9CBAB4" w14:textId="77777777" w:rsidR="00C87A11" w:rsidRPr="00C87A11" w:rsidRDefault="00C87A11" w:rsidP="0068173D">
            <w:pPr>
              <w:spacing w:line="240" w:lineRule="atLeast"/>
              <w:jc w:val="right"/>
              <w:rPr>
                <w:rFonts w:ascii="Tahoma" w:hAnsi="Tahoma"/>
                <w:color w:val="000000" w:themeColor="text1"/>
                <w:sz w:val="16"/>
                <w:lang w:val="en-GB"/>
              </w:rPr>
            </w:pPr>
            <w:r w:rsidRPr="00C87A11">
              <w:rPr>
                <w:rFonts w:ascii="Tahoma" w:hAnsi="Tahoma"/>
                <w:color w:val="000000" w:themeColor="text1"/>
                <w:sz w:val="16"/>
                <w:lang w:val="en-GB"/>
              </w:rPr>
              <w:t>(605)</w:t>
            </w:r>
          </w:p>
        </w:tc>
      </w:tr>
      <w:tr w:rsidR="00615190" w:rsidRPr="00C87A11" w14:paraId="4170C316" w14:textId="77777777" w:rsidTr="00060720">
        <w:trPr>
          <w:trHeight w:val="60"/>
        </w:trPr>
        <w:tc>
          <w:tcPr>
            <w:tcW w:w="6096" w:type="dxa"/>
            <w:tcBorders>
              <w:top w:val="single" w:sz="12" w:space="0" w:color="auto"/>
            </w:tcBorders>
            <w:shd w:val="clear" w:color="auto" w:fill="auto"/>
            <w:tcMar>
              <w:top w:w="51" w:type="dxa"/>
              <w:left w:w="0" w:type="dxa"/>
              <w:bottom w:w="17" w:type="dxa"/>
              <w:right w:w="0" w:type="dxa"/>
            </w:tcMar>
            <w:vAlign w:val="bottom"/>
          </w:tcPr>
          <w:p w14:paraId="772BE90C" w14:textId="77777777" w:rsidR="00C87A11" w:rsidRPr="00C87A11" w:rsidRDefault="00C87A11" w:rsidP="00615190">
            <w:pPr>
              <w:spacing w:line="240" w:lineRule="atLeast"/>
              <w:rPr>
                <w:rFonts w:ascii="Tahoma" w:hAnsi="Tahoma"/>
                <w:b/>
                <w:bCs/>
                <w:color w:val="000000" w:themeColor="text1"/>
                <w:sz w:val="16"/>
                <w:lang w:val="en-GB"/>
              </w:rPr>
            </w:pPr>
            <w:r w:rsidRPr="00C87A11">
              <w:rPr>
                <w:rFonts w:ascii="Tahoma" w:hAnsi="Tahoma"/>
                <w:b/>
                <w:bCs/>
                <w:color w:val="000000" w:themeColor="text1"/>
                <w:sz w:val="16"/>
                <w:lang w:val="en-GB"/>
              </w:rPr>
              <w:t>Cash flows from investing activities</w:t>
            </w:r>
          </w:p>
        </w:tc>
        <w:tc>
          <w:tcPr>
            <w:tcW w:w="716" w:type="dxa"/>
            <w:tcBorders>
              <w:top w:val="single" w:sz="12" w:space="0" w:color="auto"/>
            </w:tcBorders>
            <w:shd w:val="clear" w:color="auto" w:fill="auto"/>
            <w:tcMar>
              <w:top w:w="51" w:type="dxa"/>
              <w:left w:w="0" w:type="dxa"/>
              <w:bottom w:w="17" w:type="dxa"/>
              <w:right w:w="0" w:type="dxa"/>
            </w:tcMar>
            <w:vAlign w:val="bottom"/>
          </w:tcPr>
          <w:p w14:paraId="6A9870E3" w14:textId="77777777" w:rsidR="00C87A11" w:rsidRPr="00C87A11" w:rsidRDefault="00C87A11" w:rsidP="00615190">
            <w:pPr>
              <w:spacing w:line="240" w:lineRule="atLeast"/>
              <w:rPr>
                <w:rFonts w:ascii="Tahoma" w:hAnsi="Tahoma"/>
                <w:color w:val="000000" w:themeColor="text1"/>
                <w:sz w:val="16"/>
                <w:lang w:val="en-GB"/>
              </w:rPr>
            </w:pPr>
          </w:p>
        </w:tc>
        <w:tc>
          <w:tcPr>
            <w:tcW w:w="1126" w:type="dxa"/>
            <w:tcBorders>
              <w:top w:val="single" w:sz="12" w:space="0" w:color="auto"/>
            </w:tcBorders>
            <w:shd w:val="clear" w:color="auto" w:fill="auto"/>
            <w:tcMar>
              <w:top w:w="51" w:type="dxa"/>
              <w:left w:w="0" w:type="dxa"/>
              <w:bottom w:w="17" w:type="dxa"/>
              <w:right w:w="0" w:type="dxa"/>
            </w:tcMar>
            <w:vAlign w:val="bottom"/>
          </w:tcPr>
          <w:p w14:paraId="752F944C" w14:textId="77777777" w:rsidR="00C87A11" w:rsidRPr="00C87A11" w:rsidRDefault="00C87A11" w:rsidP="0068173D">
            <w:pPr>
              <w:spacing w:line="240" w:lineRule="atLeast"/>
              <w:jc w:val="right"/>
              <w:rPr>
                <w:rFonts w:ascii="Tahoma" w:hAnsi="Tahoma"/>
                <w:b/>
                <w:bCs/>
                <w:color w:val="000000" w:themeColor="text1"/>
                <w:sz w:val="16"/>
                <w:lang w:val="en-GB"/>
              </w:rPr>
            </w:pPr>
          </w:p>
        </w:tc>
        <w:tc>
          <w:tcPr>
            <w:tcW w:w="1134" w:type="dxa"/>
            <w:tcBorders>
              <w:top w:val="single" w:sz="12" w:space="0" w:color="auto"/>
            </w:tcBorders>
            <w:shd w:val="clear" w:color="auto" w:fill="auto"/>
            <w:tcMar>
              <w:top w:w="51" w:type="dxa"/>
              <w:left w:w="0" w:type="dxa"/>
              <w:bottom w:w="17" w:type="dxa"/>
              <w:right w:w="0" w:type="dxa"/>
            </w:tcMar>
            <w:vAlign w:val="bottom"/>
          </w:tcPr>
          <w:p w14:paraId="3D590DAA" w14:textId="77777777" w:rsidR="00C87A11" w:rsidRPr="00C87A11" w:rsidRDefault="00C87A11" w:rsidP="0068173D">
            <w:pPr>
              <w:spacing w:line="240" w:lineRule="atLeast"/>
              <w:jc w:val="right"/>
              <w:rPr>
                <w:rFonts w:ascii="Tahoma" w:hAnsi="Tahoma"/>
                <w:color w:val="000000" w:themeColor="text1"/>
                <w:sz w:val="16"/>
                <w:lang w:val="en-GB"/>
              </w:rPr>
            </w:pPr>
          </w:p>
        </w:tc>
        <w:tc>
          <w:tcPr>
            <w:tcW w:w="1134" w:type="dxa"/>
            <w:tcBorders>
              <w:top w:val="single" w:sz="12" w:space="0" w:color="auto"/>
            </w:tcBorders>
            <w:shd w:val="clear" w:color="auto" w:fill="auto"/>
            <w:tcMar>
              <w:top w:w="51" w:type="dxa"/>
              <w:left w:w="0" w:type="dxa"/>
              <w:bottom w:w="17" w:type="dxa"/>
              <w:right w:w="0" w:type="dxa"/>
            </w:tcMar>
            <w:vAlign w:val="bottom"/>
          </w:tcPr>
          <w:p w14:paraId="1C6DF585" w14:textId="77777777" w:rsidR="00C87A11" w:rsidRPr="00C87A11" w:rsidRDefault="00C87A11" w:rsidP="0068173D">
            <w:pPr>
              <w:spacing w:line="240" w:lineRule="atLeast"/>
              <w:jc w:val="right"/>
              <w:rPr>
                <w:rFonts w:ascii="Tahoma" w:hAnsi="Tahoma"/>
                <w:color w:val="000000" w:themeColor="text1"/>
                <w:sz w:val="16"/>
                <w:lang w:val="en-GB"/>
              </w:rPr>
            </w:pPr>
          </w:p>
        </w:tc>
      </w:tr>
      <w:tr w:rsidR="00615190" w:rsidRPr="00C87A11" w14:paraId="11C4CA89" w14:textId="77777777" w:rsidTr="0068173D">
        <w:trPr>
          <w:trHeight w:val="60"/>
        </w:trPr>
        <w:tc>
          <w:tcPr>
            <w:tcW w:w="6096" w:type="dxa"/>
            <w:shd w:val="clear" w:color="auto" w:fill="auto"/>
            <w:tcMar>
              <w:top w:w="17" w:type="dxa"/>
              <w:left w:w="0" w:type="dxa"/>
              <w:bottom w:w="17" w:type="dxa"/>
              <w:right w:w="0" w:type="dxa"/>
            </w:tcMar>
            <w:vAlign w:val="bottom"/>
          </w:tcPr>
          <w:p w14:paraId="1DF8FFAE" w14:textId="77777777" w:rsidR="00C87A11" w:rsidRPr="00C87A11" w:rsidRDefault="00C87A11" w:rsidP="00615190">
            <w:pPr>
              <w:spacing w:line="240" w:lineRule="atLeast"/>
              <w:rPr>
                <w:rFonts w:ascii="Tahoma" w:hAnsi="Tahoma"/>
                <w:color w:val="000000" w:themeColor="text1"/>
                <w:sz w:val="16"/>
                <w:lang w:val="en-GB"/>
              </w:rPr>
            </w:pPr>
            <w:r w:rsidRPr="00C87A11">
              <w:rPr>
                <w:rFonts w:ascii="Tahoma" w:hAnsi="Tahoma"/>
                <w:color w:val="000000" w:themeColor="text1"/>
                <w:sz w:val="16"/>
                <w:lang w:val="en-GB"/>
              </w:rPr>
              <w:t>Acquisitions and disposals of tangible and intangible assets</w:t>
            </w:r>
          </w:p>
        </w:tc>
        <w:tc>
          <w:tcPr>
            <w:tcW w:w="716" w:type="dxa"/>
            <w:shd w:val="clear" w:color="auto" w:fill="auto"/>
            <w:tcMar>
              <w:top w:w="17" w:type="dxa"/>
              <w:left w:w="0" w:type="dxa"/>
              <w:bottom w:w="17" w:type="dxa"/>
              <w:right w:w="0" w:type="dxa"/>
            </w:tcMar>
            <w:vAlign w:val="bottom"/>
          </w:tcPr>
          <w:p w14:paraId="74758422" w14:textId="77777777" w:rsidR="00C87A11" w:rsidRPr="00C87A11" w:rsidRDefault="00C87A11" w:rsidP="00615190">
            <w:pPr>
              <w:spacing w:line="240" w:lineRule="atLeast"/>
              <w:rPr>
                <w:rFonts w:ascii="Tahoma" w:hAnsi="Tahoma"/>
                <w:color w:val="000000" w:themeColor="text1"/>
                <w:sz w:val="16"/>
                <w:lang w:val="en-GB"/>
              </w:rPr>
            </w:pPr>
          </w:p>
        </w:tc>
        <w:tc>
          <w:tcPr>
            <w:tcW w:w="1126" w:type="dxa"/>
            <w:shd w:val="clear" w:color="auto" w:fill="auto"/>
            <w:tcMar>
              <w:top w:w="17" w:type="dxa"/>
              <w:left w:w="0" w:type="dxa"/>
              <w:bottom w:w="17" w:type="dxa"/>
              <w:right w:w="0" w:type="dxa"/>
            </w:tcMar>
            <w:vAlign w:val="bottom"/>
          </w:tcPr>
          <w:p w14:paraId="5B5B08F5" w14:textId="77777777" w:rsidR="00C87A11" w:rsidRPr="00C87A11" w:rsidRDefault="00C87A11" w:rsidP="0068173D">
            <w:pPr>
              <w:spacing w:line="240" w:lineRule="atLeast"/>
              <w:jc w:val="right"/>
              <w:rPr>
                <w:rFonts w:ascii="Tahoma" w:hAnsi="Tahoma"/>
                <w:b/>
                <w:bCs/>
                <w:color w:val="000000" w:themeColor="text1"/>
                <w:sz w:val="16"/>
                <w:lang w:val="en-GB"/>
              </w:rPr>
            </w:pPr>
            <w:r w:rsidRPr="00C87A11">
              <w:rPr>
                <w:rFonts w:ascii="Tahoma" w:hAnsi="Tahoma"/>
                <w:b/>
                <w:bCs/>
                <w:color w:val="000000" w:themeColor="text1"/>
                <w:sz w:val="16"/>
                <w:lang w:val="en-GB"/>
              </w:rPr>
              <w:t>(140)</w:t>
            </w:r>
          </w:p>
        </w:tc>
        <w:tc>
          <w:tcPr>
            <w:tcW w:w="1134" w:type="dxa"/>
            <w:shd w:val="clear" w:color="auto" w:fill="auto"/>
            <w:tcMar>
              <w:top w:w="17" w:type="dxa"/>
              <w:left w:w="0" w:type="dxa"/>
              <w:bottom w:w="17" w:type="dxa"/>
              <w:right w:w="0" w:type="dxa"/>
            </w:tcMar>
            <w:vAlign w:val="bottom"/>
          </w:tcPr>
          <w:p w14:paraId="4E737B8A" w14:textId="77777777" w:rsidR="00C87A11" w:rsidRPr="00C87A11" w:rsidRDefault="00C87A11" w:rsidP="0068173D">
            <w:pPr>
              <w:spacing w:line="240" w:lineRule="atLeast"/>
              <w:jc w:val="right"/>
              <w:rPr>
                <w:rFonts w:ascii="Tahoma" w:hAnsi="Tahoma"/>
                <w:color w:val="000000" w:themeColor="text1"/>
                <w:sz w:val="16"/>
                <w:lang w:val="en-GB"/>
              </w:rPr>
            </w:pPr>
            <w:r w:rsidRPr="00C87A11">
              <w:rPr>
                <w:rFonts w:ascii="Tahoma" w:hAnsi="Tahoma"/>
                <w:color w:val="000000" w:themeColor="text1"/>
                <w:sz w:val="16"/>
                <w:lang w:val="en-GB"/>
              </w:rPr>
              <w:t>(86)</w:t>
            </w:r>
          </w:p>
        </w:tc>
        <w:tc>
          <w:tcPr>
            <w:tcW w:w="1134" w:type="dxa"/>
            <w:shd w:val="clear" w:color="auto" w:fill="auto"/>
            <w:tcMar>
              <w:top w:w="17" w:type="dxa"/>
              <w:left w:w="0" w:type="dxa"/>
              <w:bottom w:w="17" w:type="dxa"/>
              <w:right w:w="0" w:type="dxa"/>
            </w:tcMar>
            <w:vAlign w:val="bottom"/>
          </w:tcPr>
          <w:p w14:paraId="3F57437C" w14:textId="77777777" w:rsidR="00C87A11" w:rsidRPr="00C87A11" w:rsidRDefault="00C87A11" w:rsidP="0068173D">
            <w:pPr>
              <w:spacing w:line="240" w:lineRule="atLeast"/>
              <w:jc w:val="right"/>
              <w:rPr>
                <w:rFonts w:ascii="Tahoma" w:hAnsi="Tahoma"/>
                <w:color w:val="000000" w:themeColor="text1"/>
                <w:sz w:val="16"/>
                <w:lang w:val="en-GB"/>
              </w:rPr>
            </w:pPr>
            <w:r w:rsidRPr="00C87A11">
              <w:rPr>
                <w:rFonts w:ascii="Tahoma" w:hAnsi="Tahoma"/>
                <w:color w:val="000000" w:themeColor="text1"/>
                <w:sz w:val="16"/>
                <w:lang w:val="en-GB"/>
              </w:rPr>
              <w:t>(234)</w:t>
            </w:r>
          </w:p>
        </w:tc>
      </w:tr>
      <w:tr w:rsidR="00615190" w:rsidRPr="00C87A11" w14:paraId="4ACB34DC" w14:textId="77777777" w:rsidTr="0068173D">
        <w:trPr>
          <w:trHeight w:val="60"/>
        </w:trPr>
        <w:tc>
          <w:tcPr>
            <w:tcW w:w="6096" w:type="dxa"/>
            <w:shd w:val="clear" w:color="auto" w:fill="auto"/>
            <w:tcMar>
              <w:top w:w="17" w:type="dxa"/>
              <w:left w:w="0" w:type="dxa"/>
              <w:bottom w:w="17" w:type="dxa"/>
              <w:right w:w="0" w:type="dxa"/>
            </w:tcMar>
            <w:vAlign w:val="bottom"/>
          </w:tcPr>
          <w:p w14:paraId="459A9F1E" w14:textId="77777777" w:rsidR="00C87A11" w:rsidRPr="00C87A11" w:rsidRDefault="00C87A11" w:rsidP="00615190">
            <w:pPr>
              <w:spacing w:line="240" w:lineRule="atLeast"/>
              <w:rPr>
                <w:rFonts w:ascii="Tahoma" w:hAnsi="Tahoma"/>
                <w:color w:val="000000" w:themeColor="text1"/>
                <w:sz w:val="16"/>
                <w:lang w:val="en-GB"/>
              </w:rPr>
            </w:pPr>
            <w:r w:rsidRPr="00C87A11">
              <w:rPr>
                <w:rFonts w:ascii="Tahoma" w:hAnsi="Tahoma"/>
                <w:color w:val="000000" w:themeColor="text1"/>
                <w:sz w:val="16"/>
                <w:lang w:val="en-GB"/>
              </w:rPr>
              <w:t>Acquisitions of subsidiaries, associates and joint ventures</w:t>
            </w:r>
          </w:p>
        </w:tc>
        <w:tc>
          <w:tcPr>
            <w:tcW w:w="716" w:type="dxa"/>
            <w:shd w:val="clear" w:color="auto" w:fill="auto"/>
            <w:tcMar>
              <w:top w:w="17" w:type="dxa"/>
              <w:left w:w="0" w:type="dxa"/>
              <w:bottom w:w="17" w:type="dxa"/>
              <w:right w:w="0" w:type="dxa"/>
            </w:tcMar>
            <w:vAlign w:val="bottom"/>
          </w:tcPr>
          <w:p w14:paraId="57D72853" w14:textId="77777777" w:rsidR="00C87A11" w:rsidRPr="00C87A11" w:rsidRDefault="00C87A11" w:rsidP="00615190">
            <w:pPr>
              <w:spacing w:line="240" w:lineRule="atLeast"/>
              <w:rPr>
                <w:rFonts w:ascii="Tahoma" w:hAnsi="Tahoma"/>
                <w:color w:val="000000" w:themeColor="text1"/>
                <w:sz w:val="16"/>
                <w:lang w:val="en-GB"/>
              </w:rPr>
            </w:pPr>
            <w:r w:rsidRPr="00C87A11">
              <w:rPr>
                <w:rFonts w:ascii="Tahoma" w:hAnsi="Tahoma"/>
                <w:color w:val="000000" w:themeColor="text1"/>
                <w:sz w:val="16"/>
                <w:lang w:val="en-GB"/>
              </w:rPr>
              <w:t>16</w:t>
            </w:r>
          </w:p>
        </w:tc>
        <w:tc>
          <w:tcPr>
            <w:tcW w:w="1126" w:type="dxa"/>
            <w:shd w:val="clear" w:color="auto" w:fill="auto"/>
            <w:tcMar>
              <w:top w:w="17" w:type="dxa"/>
              <w:left w:w="0" w:type="dxa"/>
              <w:bottom w:w="17" w:type="dxa"/>
              <w:right w:w="0" w:type="dxa"/>
            </w:tcMar>
            <w:vAlign w:val="bottom"/>
          </w:tcPr>
          <w:p w14:paraId="7432DD9A" w14:textId="77777777" w:rsidR="00C87A11" w:rsidRPr="00C87A11" w:rsidRDefault="00C87A11" w:rsidP="0068173D">
            <w:pPr>
              <w:spacing w:line="240" w:lineRule="atLeast"/>
              <w:jc w:val="right"/>
              <w:rPr>
                <w:rFonts w:ascii="Tahoma" w:hAnsi="Tahoma"/>
                <w:b/>
                <w:bCs/>
                <w:color w:val="000000" w:themeColor="text1"/>
                <w:sz w:val="16"/>
                <w:lang w:val="en-GB"/>
              </w:rPr>
            </w:pPr>
            <w:r w:rsidRPr="00C87A11">
              <w:rPr>
                <w:rFonts w:ascii="Tahoma" w:hAnsi="Tahoma"/>
                <w:b/>
                <w:bCs/>
                <w:color w:val="000000" w:themeColor="text1"/>
                <w:sz w:val="16"/>
                <w:lang w:val="en-GB"/>
              </w:rPr>
              <w:t>(81)</w:t>
            </w:r>
          </w:p>
        </w:tc>
        <w:tc>
          <w:tcPr>
            <w:tcW w:w="1134" w:type="dxa"/>
            <w:shd w:val="clear" w:color="auto" w:fill="auto"/>
            <w:tcMar>
              <w:top w:w="17" w:type="dxa"/>
              <w:left w:w="0" w:type="dxa"/>
              <w:bottom w:w="17" w:type="dxa"/>
              <w:right w:w="0" w:type="dxa"/>
            </w:tcMar>
            <w:vAlign w:val="bottom"/>
          </w:tcPr>
          <w:p w14:paraId="5E6C5AE6" w14:textId="77777777" w:rsidR="00C87A11" w:rsidRPr="00C87A11" w:rsidRDefault="00C87A11" w:rsidP="0068173D">
            <w:pPr>
              <w:spacing w:line="240" w:lineRule="atLeast"/>
              <w:jc w:val="right"/>
              <w:rPr>
                <w:rFonts w:ascii="Tahoma" w:hAnsi="Tahoma"/>
                <w:color w:val="000000" w:themeColor="text1"/>
                <w:sz w:val="16"/>
                <w:lang w:val="en-GB"/>
              </w:rPr>
            </w:pPr>
            <w:r w:rsidRPr="00C87A11">
              <w:rPr>
                <w:rFonts w:ascii="Tahoma" w:hAnsi="Tahoma"/>
                <w:color w:val="000000" w:themeColor="text1"/>
                <w:sz w:val="16"/>
                <w:lang w:val="en-GB"/>
              </w:rPr>
              <w:t>(4 011)</w:t>
            </w:r>
          </w:p>
        </w:tc>
        <w:tc>
          <w:tcPr>
            <w:tcW w:w="1134" w:type="dxa"/>
            <w:shd w:val="clear" w:color="auto" w:fill="auto"/>
            <w:tcMar>
              <w:top w:w="17" w:type="dxa"/>
              <w:left w:w="0" w:type="dxa"/>
              <w:bottom w:w="17" w:type="dxa"/>
              <w:right w:w="0" w:type="dxa"/>
            </w:tcMar>
            <w:vAlign w:val="bottom"/>
          </w:tcPr>
          <w:p w14:paraId="7DE8106E" w14:textId="77777777" w:rsidR="00C87A11" w:rsidRPr="00C87A11" w:rsidRDefault="00C87A11" w:rsidP="0068173D">
            <w:pPr>
              <w:spacing w:line="240" w:lineRule="atLeast"/>
              <w:jc w:val="right"/>
              <w:rPr>
                <w:rFonts w:ascii="Tahoma" w:hAnsi="Tahoma"/>
                <w:color w:val="000000" w:themeColor="text1"/>
                <w:sz w:val="16"/>
                <w:lang w:val="en-GB"/>
              </w:rPr>
            </w:pPr>
            <w:r w:rsidRPr="00C87A11">
              <w:rPr>
                <w:rFonts w:ascii="Tahoma" w:hAnsi="Tahoma"/>
                <w:color w:val="000000" w:themeColor="text1"/>
                <w:sz w:val="16"/>
                <w:lang w:val="en-GB"/>
              </w:rPr>
              <w:t>(4 580)</w:t>
            </w:r>
          </w:p>
        </w:tc>
      </w:tr>
      <w:tr w:rsidR="00615190" w:rsidRPr="00C87A11" w14:paraId="31C4C8CB" w14:textId="77777777" w:rsidTr="0068173D">
        <w:trPr>
          <w:trHeight w:val="60"/>
        </w:trPr>
        <w:tc>
          <w:tcPr>
            <w:tcW w:w="6096" w:type="dxa"/>
            <w:shd w:val="clear" w:color="auto" w:fill="auto"/>
            <w:tcMar>
              <w:top w:w="17" w:type="dxa"/>
              <w:left w:w="0" w:type="dxa"/>
              <w:bottom w:w="17" w:type="dxa"/>
              <w:right w:w="0" w:type="dxa"/>
            </w:tcMar>
            <w:vAlign w:val="bottom"/>
          </w:tcPr>
          <w:p w14:paraId="70B7C126" w14:textId="77777777" w:rsidR="00C87A11" w:rsidRPr="00C87A11" w:rsidRDefault="00C87A11" w:rsidP="00615190">
            <w:pPr>
              <w:spacing w:line="240" w:lineRule="atLeast"/>
              <w:rPr>
                <w:rFonts w:ascii="Tahoma" w:hAnsi="Tahoma"/>
                <w:color w:val="000000" w:themeColor="text1"/>
                <w:sz w:val="16"/>
                <w:lang w:val="en-GB"/>
              </w:rPr>
            </w:pPr>
            <w:r w:rsidRPr="00C87A11">
              <w:rPr>
                <w:rFonts w:ascii="Tahoma" w:hAnsi="Tahoma"/>
                <w:color w:val="000000" w:themeColor="text1"/>
                <w:sz w:val="16"/>
                <w:lang w:val="en-GB"/>
              </w:rPr>
              <w:t>Disposals of subsidiaries, businesses, associates and joint ventures</w:t>
            </w:r>
          </w:p>
        </w:tc>
        <w:tc>
          <w:tcPr>
            <w:tcW w:w="716" w:type="dxa"/>
            <w:shd w:val="clear" w:color="auto" w:fill="auto"/>
            <w:tcMar>
              <w:top w:w="17" w:type="dxa"/>
              <w:left w:w="0" w:type="dxa"/>
              <w:bottom w:w="17" w:type="dxa"/>
              <w:right w:w="0" w:type="dxa"/>
            </w:tcMar>
            <w:vAlign w:val="bottom"/>
          </w:tcPr>
          <w:p w14:paraId="5479B7DA" w14:textId="77777777" w:rsidR="00C87A11" w:rsidRPr="00C87A11" w:rsidRDefault="00C87A11" w:rsidP="00615190">
            <w:pPr>
              <w:spacing w:line="240" w:lineRule="atLeast"/>
              <w:rPr>
                <w:rFonts w:ascii="Tahoma" w:hAnsi="Tahoma"/>
                <w:color w:val="000000" w:themeColor="text1"/>
                <w:sz w:val="16"/>
                <w:lang w:val="en-GB"/>
              </w:rPr>
            </w:pPr>
            <w:r w:rsidRPr="00C87A11">
              <w:rPr>
                <w:rFonts w:ascii="Tahoma" w:hAnsi="Tahoma"/>
                <w:color w:val="000000" w:themeColor="text1"/>
                <w:sz w:val="16"/>
                <w:lang w:val="en-GB"/>
              </w:rPr>
              <w:t>16</w:t>
            </w:r>
          </w:p>
        </w:tc>
        <w:tc>
          <w:tcPr>
            <w:tcW w:w="1126" w:type="dxa"/>
            <w:shd w:val="clear" w:color="auto" w:fill="auto"/>
            <w:tcMar>
              <w:top w:w="17" w:type="dxa"/>
              <w:left w:w="0" w:type="dxa"/>
              <w:bottom w:w="17" w:type="dxa"/>
              <w:right w:w="0" w:type="dxa"/>
            </w:tcMar>
            <w:vAlign w:val="bottom"/>
          </w:tcPr>
          <w:p w14:paraId="5C8F1982" w14:textId="77777777" w:rsidR="00C87A11" w:rsidRPr="00C87A11" w:rsidRDefault="00C87A11" w:rsidP="0068173D">
            <w:pPr>
              <w:spacing w:line="240" w:lineRule="atLeast"/>
              <w:jc w:val="right"/>
              <w:rPr>
                <w:rFonts w:ascii="Tahoma" w:hAnsi="Tahoma"/>
                <w:b/>
                <w:bCs/>
                <w:color w:val="000000" w:themeColor="text1"/>
                <w:sz w:val="16"/>
                <w:lang w:val="en-GB"/>
              </w:rPr>
            </w:pPr>
            <w:r w:rsidRPr="00C87A11">
              <w:rPr>
                <w:rFonts w:ascii="Tahoma" w:hAnsi="Tahoma"/>
                <w:b/>
                <w:bCs/>
                <w:color w:val="000000" w:themeColor="text1"/>
                <w:sz w:val="16"/>
                <w:lang w:val="en-GB"/>
              </w:rPr>
              <w:t>3 777</w:t>
            </w:r>
          </w:p>
        </w:tc>
        <w:tc>
          <w:tcPr>
            <w:tcW w:w="1134" w:type="dxa"/>
            <w:shd w:val="clear" w:color="auto" w:fill="auto"/>
            <w:tcMar>
              <w:top w:w="17" w:type="dxa"/>
              <w:left w:w="0" w:type="dxa"/>
              <w:bottom w:w="17" w:type="dxa"/>
              <w:right w:w="0" w:type="dxa"/>
            </w:tcMar>
            <w:vAlign w:val="bottom"/>
          </w:tcPr>
          <w:p w14:paraId="78D27EF8" w14:textId="77777777" w:rsidR="00C87A11" w:rsidRPr="00C87A11" w:rsidRDefault="00C87A11" w:rsidP="0068173D">
            <w:pPr>
              <w:spacing w:line="240" w:lineRule="atLeast"/>
              <w:jc w:val="right"/>
              <w:rPr>
                <w:rFonts w:ascii="Tahoma" w:hAnsi="Tahoma"/>
                <w:color w:val="000000" w:themeColor="text1"/>
                <w:sz w:val="16"/>
                <w:lang w:val="en-GB"/>
              </w:rPr>
            </w:pPr>
            <w:r w:rsidRPr="00C87A11">
              <w:rPr>
                <w:rFonts w:ascii="Tahoma" w:hAnsi="Tahoma"/>
                <w:color w:val="000000" w:themeColor="text1"/>
                <w:sz w:val="16"/>
                <w:lang w:val="en-GB"/>
              </w:rPr>
              <w:t>14 634</w:t>
            </w:r>
          </w:p>
        </w:tc>
        <w:tc>
          <w:tcPr>
            <w:tcW w:w="1134" w:type="dxa"/>
            <w:shd w:val="clear" w:color="auto" w:fill="auto"/>
            <w:tcMar>
              <w:top w:w="17" w:type="dxa"/>
              <w:left w:w="0" w:type="dxa"/>
              <w:bottom w:w="17" w:type="dxa"/>
              <w:right w:w="0" w:type="dxa"/>
            </w:tcMar>
            <w:vAlign w:val="bottom"/>
          </w:tcPr>
          <w:p w14:paraId="3E5DDBC4" w14:textId="77777777" w:rsidR="00C87A11" w:rsidRPr="00C87A11" w:rsidRDefault="00C87A11" w:rsidP="0068173D">
            <w:pPr>
              <w:spacing w:line="240" w:lineRule="atLeast"/>
              <w:jc w:val="right"/>
              <w:rPr>
                <w:rFonts w:ascii="Tahoma" w:hAnsi="Tahoma"/>
                <w:color w:val="000000" w:themeColor="text1"/>
                <w:sz w:val="16"/>
                <w:lang w:val="en-GB"/>
              </w:rPr>
            </w:pPr>
            <w:r w:rsidRPr="00C87A11">
              <w:rPr>
                <w:rFonts w:ascii="Tahoma" w:hAnsi="Tahoma"/>
                <w:color w:val="000000" w:themeColor="text1"/>
                <w:sz w:val="16"/>
                <w:lang w:val="en-GB"/>
              </w:rPr>
              <w:t>14 641</w:t>
            </w:r>
          </w:p>
        </w:tc>
      </w:tr>
      <w:tr w:rsidR="00615190" w:rsidRPr="00C87A11" w14:paraId="47A6D6A5" w14:textId="77777777" w:rsidTr="0068173D">
        <w:trPr>
          <w:trHeight w:val="60"/>
        </w:trPr>
        <w:tc>
          <w:tcPr>
            <w:tcW w:w="6096" w:type="dxa"/>
            <w:shd w:val="clear" w:color="auto" w:fill="auto"/>
            <w:tcMar>
              <w:top w:w="17" w:type="dxa"/>
              <w:left w:w="0" w:type="dxa"/>
              <w:bottom w:w="17" w:type="dxa"/>
              <w:right w:w="0" w:type="dxa"/>
            </w:tcMar>
            <w:vAlign w:val="bottom"/>
          </w:tcPr>
          <w:p w14:paraId="6557DE5F" w14:textId="77777777" w:rsidR="00C87A11" w:rsidRPr="00C87A11" w:rsidRDefault="00C87A11" w:rsidP="00615190">
            <w:pPr>
              <w:spacing w:line="240" w:lineRule="atLeast"/>
              <w:rPr>
                <w:rFonts w:ascii="Tahoma" w:hAnsi="Tahoma"/>
                <w:color w:val="000000" w:themeColor="text1"/>
                <w:sz w:val="16"/>
                <w:lang w:val="en-GB"/>
              </w:rPr>
            </w:pPr>
            <w:r w:rsidRPr="00C87A11">
              <w:rPr>
                <w:rFonts w:ascii="Tahoma" w:hAnsi="Tahoma"/>
                <w:color w:val="000000" w:themeColor="text1"/>
                <w:sz w:val="16"/>
                <w:lang w:val="en-GB"/>
              </w:rPr>
              <w:t>Acquisition of short-term investments</w:t>
            </w:r>
            <w:r w:rsidRPr="00C87A11">
              <w:rPr>
                <w:rFonts w:ascii="Tahoma" w:hAnsi="Tahoma"/>
                <w:color w:val="000000" w:themeColor="text1"/>
                <w:sz w:val="16"/>
                <w:vertAlign w:val="superscript"/>
                <w:lang w:val="en-GB"/>
              </w:rPr>
              <w:t>1</w:t>
            </w:r>
          </w:p>
        </w:tc>
        <w:tc>
          <w:tcPr>
            <w:tcW w:w="716" w:type="dxa"/>
            <w:shd w:val="clear" w:color="auto" w:fill="auto"/>
            <w:tcMar>
              <w:top w:w="17" w:type="dxa"/>
              <w:left w:w="0" w:type="dxa"/>
              <w:bottom w:w="17" w:type="dxa"/>
              <w:right w:w="0" w:type="dxa"/>
            </w:tcMar>
            <w:vAlign w:val="bottom"/>
          </w:tcPr>
          <w:p w14:paraId="76FADF6A" w14:textId="77777777" w:rsidR="00C87A11" w:rsidRPr="00C87A11" w:rsidRDefault="00C87A11" w:rsidP="00615190">
            <w:pPr>
              <w:spacing w:line="240" w:lineRule="atLeast"/>
              <w:rPr>
                <w:rFonts w:ascii="Tahoma" w:hAnsi="Tahoma"/>
                <w:color w:val="000000" w:themeColor="text1"/>
                <w:sz w:val="16"/>
                <w:lang w:val="en-GB"/>
              </w:rPr>
            </w:pPr>
          </w:p>
        </w:tc>
        <w:tc>
          <w:tcPr>
            <w:tcW w:w="1126" w:type="dxa"/>
            <w:shd w:val="clear" w:color="auto" w:fill="auto"/>
            <w:tcMar>
              <w:top w:w="17" w:type="dxa"/>
              <w:left w:w="0" w:type="dxa"/>
              <w:bottom w:w="17" w:type="dxa"/>
              <w:right w:w="0" w:type="dxa"/>
            </w:tcMar>
            <w:vAlign w:val="bottom"/>
          </w:tcPr>
          <w:p w14:paraId="1159DDD9" w14:textId="77777777" w:rsidR="00C87A11" w:rsidRPr="00C87A11" w:rsidRDefault="00C87A11" w:rsidP="0068173D">
            <w:pPr>
              <w:spacing w:line="240" w:lineRule="atLeast"/>
              <w:jc w:val="right"/>
              <w:rPr>
                <w:rFonts w:ascii="Tahoma" w:hAnsi="Tahoma"/>
                <w:b/>
                <w:bCs/>
                <w:color w:val="000000" w:themeColor="text1"/>
                <w:sz w:val="16"/>
                <w:lang w:val="en-GB"/>
              </w:rPr>
            </w:pPr>
            <w:r w:rsidRPr="00C87A11">
              <w:rPr>
                <w:rFonts w:ascii="Tahoma" w:hAnsi="Tahoma"/>
                <w:b/>
                <w:bCs/>
                <w:color w:val="000000" w:themeColor="text1"/>
                <w:sz w:val="16"/>
                <w:lang w:val="en-GB"/>
              </w:rPr>
              <w:t>(7 355)</w:t>
            </w:r>
          </w:p>
        </w:tc>
        <w:tc>
          <w:tcPr>
            <w:tcW w:w="1134" w:type="dxa"/>
            <w:shd w:val="clear" w:color="auto" w:fill="auto"/>
            <w:tcMar>
              <w:top w:w="17" w:type="dxa"/>
              <w:left w:w="0" w:type="dxa"/>
              <w:bottom w:w="17" w:type="dxa"/>
              <w:right w:w="0" w:type="dxa"/>
            </w:tcMar>
            <w:vAlign w:val="bottom"/>
          </w:tcPr>
          <w:p w14:paraId="3FA07685" w14:textId="77777777" w:rsidR="00C87A11" w:rsidRPr="00C87A11" w:rsidRDefault="00C87A11" w:rsidP="0068173D">
            <w:pPr>
              <w:spacing w:line="240" w:lineRule="atLeast"/>
              <w:jc w:val="right"/>
              <w:rPr>
                <w:rFonts w:ascii="Tahoma" w:hAnsi="Tahoma"/>
                <w:color w:val="000000" w:themeColor="text1"/>
                <w:sz w:val="16"/>
                <w:lang w:val="en-GB"/>
              </w:rPr>
            </w:pPr>
            <w:r w:rsidRPr="00C87A11">
              <w:rPr>
                <w:rFonts w:ascii="Tahoma" w:hAnsi="Tahoma"/>
                <w:color w:val="000000" w:themeColor="text1"/>
                <w:sz w:val="16"/>
                <w:lang w:val="en-GB"/>
              </w:rPr>
              <w:t>(7 462)</w:t>
            </w:r>
          </w:p>
        </w:tc>
        <w:tc>
          <w:tcPr>
            <w:tcW w:w="1134" w:type="dxa"/>
            <w:shd w:val="clear" w:color="auto" w:fill="auto"/>
            <w:tcMar>
              <w:top w:w="17" w:type="dxa"/>
              <w:left w:w="0" w:type="dxa"/>
              <w:bottom w:w="17" w:type="dxa"/>
              <w:right w:w="0" w:type="dxa"/>
            </w:tcMar>
            <w:vAlign w:val="bottom"/>
          </w:tcPr>
          <w:p w14:paraId="09EF97FF" w14:textId="77777777" w:rsidR="00C87A11" w:rsidRPr="00C87A11" w:rsidRDefault="00C87A11" w:rsidP="0068173D">
            <w:pPr>
              <w:spacing w:line="240" w:lineRule="atLeast"/>
              <w:jc w:val="right"/>
              <w:rPr>
                <w:rFonts w:ascii="Tahoma" w:hAnsi="Tahoma"/>
                <w:color w:val="000000" w:themeColor="text1"/>
                <w:sz w:val="16"/>
                <w:lang w:val="en-GB"/>
              </w:rPr>
            </w:pPr>
            <w:r w:rsidRPr="00C87A11">
              <w:rPr>
                <w:rFonts w:ascii="Tahoma" w:hAnsi="Tahoma"/>
                <w:color w:val="000000" w:themeColor="text1"/>
                <w:sz w:val="16"/>
                <w:lang w:val="en-GB"/>
              </w:rPr>
              <w:t>(3 922)</w:t>
            </w:r>
          </w:p>
        </w:tc>
      </w:tr>
      <w:tr w:rsidR="00615190" w:rsidRPr="00C87A11" w14:paraId="304C7C39" w14:textId="77777777" w:rsidTr="0068173D">
        <w:trPr>
          <w:trHeight w:val="60"/>
        </w:trPr>
        <w:tc>
          <w:tcPr>
            <w:tcW w:w="6096" w:type="dxa"/>
            <w:shd w:val="clear" w:color="auto" w:fill="auto"/>
            <w:tcMar>
              <w:top w:w="17" w:type="dxa"/>
              <w:left w:w="0" w:type="dxa"/>
              <w:bottom w:w="17" w:type="dxa"/>
              <w:right w:w="0" w:type="dxa"/>
            </w:tcMar>
            <w:vAlign w:val="bottom"/>
          </w:tcPr>
          <w:p w14:paraId="66855CF1" w14:textId="77777777" w:rsidR="00C87A11" w:rsidRPr="00C87A11" w:rsidRDefault="00C87A11" w:rsidP="00615190">
            <w:pPr>
              <w:spacing w:line="240" w:lineRule="atLeast"/>
              <w:rPr>
                <w:rFonts w:ascii="Tahoma" w:hAnsi="Tahoma"/>
                <w:color w:val="000000" w:themeColor="text1"/>
                <w:sz w:val="16"/>
                <w:lang w:val="en-GB"/>
              </w:rPr>
            </w:pPr>
            <w:r w:rsidRPr="00C87A11">
              <w:rPr>
                <w:rFonts w:ascii="Tahoma" w:hAnsi="Tahoma"/>
                <w:color w:val="000000" w:themeColor="text1"/>
                <w:sz w:val="16"/>
                <w:lang w:val="en-GB"/>
              </w:rPr>
              <w:t>Maturity of short-term investments</w:t>
            </w:r>
            <w:r w:rsidRPr="00C87A11">
              <w:rPr>
                <w:rFonts w:ascii="Tahoma" w:hAnsi="Tahoma"/>
                <w:color w:val="000000" w:themeColor="text1"/>
                <w:sz w:val="16"/>
                <w:vertAlign w:val="superscript"/>
                <w:lang w:val="en-GB"/>
              </w:rPr>
              <w:t>1</w:t>
            </w:r>
          </w:p>
        </w:tc>
        <w:tc>
          <w:tcPr>
            <w:tcW w:w="716" w:type="dxa"/>
            <w:shd w:val="clear" w:color="auto" w:fill="auto"/>
            <w:tcMar>
              <w:top w:w="17" w:type="dxa"/>
              <w:left w:w="0" w:type="dxa"/>
              <w:bottom w:w="17" w:type="dxa"/>
              <w:right w:w="0" w:type="dxa"/>
            </w:tcMar>
            <w:vAlign w:val="bottom"/>
          </w:tcPr>
          <w:p w14:paraId="254B840F" w14:textId="77777777" w:rsidR="00C87A11" w:rsidRPr="00C87A11" w:rsidRDefault="00C87A11" w:rsidP="00615190">
            <w:pPr>
              <w:spacing w:line="240" w:lineRule="atLeast"/>
              <w:rPr>
                <w:rFonts w:ascii="Tahoma" w:hAnsi="Tahoma"/>
                <w:color w:val="000000" w:themeColor="text1"/>
                <w:sz w:val="16"/>
                <w:lang w:val="en-GB"/>
              </w:rPr>
            </w:pPr>
          </w:p>
        </w:tc>
        <w:tc>
          <w:tcPr>
            <w:tcW w:w="1126" w:type="dxa"/>
            <w:shd w:val="clear" w:color="auto" w:fill="auto"/>
            <w:tcMar>
              <w:top w:w="17" w:type="dxa"/>
              <w:left w:w="0" w:type="dxa"/>
              <w:bottom w:w="17" w:type="dxa"/>
              <w:right w:w="0" w:type="dxa"/>
            </w:tcMar>
            <w:vAlign w:val="bottom"/>
          </w:tcPr>
          <w:p w14:paraId="5D160C9D" w14:textId="77777777" w:rsidR="00C87A11" w:rsidRPr="00C87A11" w:rsidRDefault="00C87A11" w:rsidP="0068173D">
            <w:pPr>
              <w:spacing w:line="240" w:lineRule="atLeast"/>
              <w:jc w:val="right"/>
              <w:rPr>
                <w:rFonts w:ascii="Tahoma" w:hAnsi="Tahoma"/>
                <w:b/>
                <w:bCs/>
                <w:color w:val="000000" w:themeColor="text1"/>
                <w:sz w:val="16"/>
                <w:lang w:val="en-GB"/>
              </w:rPr>
            </w:pPr>
            <w:r w:rsidRPr="00C87A11">
              <w:rPr>
                <w:rFonts w:ascii="Tahoma" w:hAnsi="Tahoma"/>
                <w:b/>
                <w:bCs/>
                <w:color w:val="000000" w:themeColor="text1"/>
                <w:sz w:val="16"/>
                <w:lang w:val="en-GB"/>
              </w:rPr>
              <w:t>3 924</w:t>
            </w:r>
          </w:p>
        </w:tc>
        <w:tc>
          <w:tcPr>
            <w:tcW w:w="1134" w:type="dxa"/>
            <w:shd w:val="clear" w:color="auto" w:fill="auto"/>
            <w:tcMar>
              <w:top w:w="17" w:type="dxa"/>
              <w:left w:w="0" w:type="dxa"/>
              <w:bottom w:w="17" w:type="dxa"/>
              <w:right w:w="0" w:type="dxa"/>
            </w:tcMar>
            <w:vAlign w:val="bottom"/>
          </w:tcPr>
          <w:p w14:paraId="31EEC2B8" w14:textId="77777777" w:rsidR="00C87A11" w:rsidRPr="00C87A11" w:rsidRDefault="00C87A11" w:rsidP="0068173D">
            <w:pPr>
              <w:spacing w:line="240" w:lineRule="atLeast"/>
              <w:jc w:val="right"/>
              <w:rPr>
                <w:rFonts w:ascii="Tahoma" w:hAnsi="Tahoma"/>
                <w:color w:val="000000" w:themeColor="text1"/>
                <w:sz w:val="16"/>
                <w:lang w:val="en-GB"/>
              </w:rPr>
            </w:pPr>
            <w:r w:rsidRPr="00C87A11">
              <w:rPr>
                <w:rFonts w:ascii="Tahoma" w:hAnsi="Tahoma"/>
                <w:color w:val="000000" w:themeColor="text1"/>
                <w:sz w:val="16"/>
                <w:lang w:val="en-GB"/>
              </w:rPr>
              <w:t>1 211</w:t>
            </w:r>
          </w:p>
        </w:tc>
        <w:tc>
          <w:tcPr>
            <w:tcW w:w="1134" w:type="dxa"/>
            <w:shd w:val="clear" w:color="auto" w:fill="auto"/>
            <w:tcMar>
              <w:top w:w="17" w:type="dxa"/>
              <w:left w:w="0" w:type="dxa"/>
              <w:bottom w:w="17" w:type="dxa"/>
              <w:right w:w="0" w:type="dxa"/>
            </w:tcMar>
            <w:vAlign w:val="bottom"/>
          </w:tcPr>
          <w:p w14:paraId="2FB0E4F6" w14:textId="77777777" w:rsidR="00C87A11" w:rsidRPr="00C87A11" w:rsidRDefault="00C87A11" w:rsidP="0068173D">
            <w:pPr>
              <w:spacing w:line="240" w:lineRule="atLeast"/>
              <w:jc w:val="right"/>
              <w:rPr>
                <w:rFonts w:ascii="Tahoma" w:hAnsi="Tahoma"/>
                <w:color w:val="000000" w:themeColor="text1"/>
                <w:sz w:val="16"/>
                <w:lang w:val="en-GB"/>
              </w:rPr>
            </w:pPr>
            <w:r w:rsidRPr="00C87A11">
              <w:rPr>
                <w:rFonts w:ascii="Tahoma" w:hAnsi="Tahoma"/>
                <w:color w:val="000000" w:themeColor="text1"/>
                <w:sz w:val="16"/>
                <w:lang w:val="en-GB"/>
              </w:rPr>
              <w:t>1 211</w:t>
            </w:r>
          </w:p>
        </w:tc>
      </w:tr>
      <w:tr w:rsidR="00615190" w:rsidRPr="00C87A11" w14:paraId="16820763" w14:textId="77777777" w:rsidTr="0068173D">
        <w:trPr>
          <w:trHeight w:val="60"/>
        </w:trPr>
        <w:tc>
          <w:tcPr>
            <w:tcW w:w="6096" w:type="dxa"/>
            <w:shd w:val="clear" w:color="auto" w:fill="auto"/>
            <w:tcMar>
              <w:top w:w="17" w:type="dxa"/>
              <w:left w:w="0" w:type="dxa"/>
              <w:bottom w:w="17" w:type="dxa"/>
              <w:right w:w="0" w:type="dxa"/>
            </w:tcMar>
            <w:vAlign w:val="bottom"/>
          </w:tcPr>
          <w:p w14:paraId="01465BCC" w14:textId="77777777" w:rsidR="00C87A11" w:rsidRPr="00C87A11" w:rsidRDefault="00C87A11" w:rsidP="00615190">
            <w:pPr>
              <w:spacing w:line="240" w:lineRule="atLeast"/>
              <w:rPr>
                <w:rFonts w:ascii="Tahoma" w:hAnsi="Tahoma"/>
                <w:color w:val="000000" w:themeColor="text1"/>
                <w:sz w:val="16"/>
                <w:lang w:val="en-GB"/>
              </w:rPr>
            </w:pPr>
            <w:r w:rsidRPr="00C87A11">
              <w:rPr>
                <w:rFonts w:ascii="Tahoma" w:hAnsi="Tahoma"/>
                <w:color w:val="000000" w:themeColor="text1"/>
                <w:sz w:val="16"/>
                <w:lang w:val="en-GB"/>
              </w:rPr>
              <w:t>Loans advanced to related parties</w:t>
            </w:r>
          </w:p>
        </w:tc>
        <w:tc>
          <w:tcPr>
            <w:tcW w:w="716" w:type="dxa"/>
            <w:shd w:val="clear" w:color="auto" w:fill="auto"/>
            <w:tcMar>
              <w:top w:w="17" w:type="dxa"/>
              <w:left w:w="0" w:type="dxa"/>
              <w:bottom w:w="17" w:type="dxa"/>
              <w:right w:w="0" w:type="dxa"/>
            </w:tcMar>
            <w:vAlign w:val="bottom"/>
          </w:tcPr>
          <w:p w14:paraId="033C405C" w14:textId="77777777" w:rsidR="00C87A11" w:rsidRPr="00C87A11" w:rsidRDefault="00C87A11" w:rsidP="00615190">
            <w:pPr>
              <w:spacing w:line="240" w:lineRule="atLeast"/>
              <w:rPr>
                <w:rFonts w:ascii="Tahoma" w:hAnsi="Tahoma"/>
                <w:color w:val="000000" w:themeColor="text1"/>
                <w:sz w:val="16"/>
                <w:lang w:val="en-GB"/>
              </w:rPr>
            </w:pPr>
            <w:r w:rsidRPr="00C87A11">
              <w:rPr>
                <w:rFonts w:ascii="Tahoma" w:hAnsi="Tahoma"/>
                <w:color w:val="000000" w:themeColor="text1"/>
                <w:sz w:val="16"/>
                <w:lang w:val="en-GB"/>
              </w:rPr>
              <w:t>18</w:t>
            </w:r>
          </w:p>
        </w:tc>
        <w:tc>
          <w:tcPr>
            <w:tcW w:w="1126" w:type="dxa"/>
            <w:shd w:val="clear" w:color="auto" w:fill="auto"/>
            <w:tcMar>
              <w:top w:w="17" w:type="dxa"/>
              <w:left w:w="0" w:type="dxa"/>
              <w:bottom w:w="17" w:type="dxa"/>
              <w:right w:w="0" w:type="dxa"/>
            </w:tcMar>
            <w:vAlign w:val="bottom"/>
          </w:tcPr>
          <w:p w14:paraId="397DB315" w14:textId="77777777" w:rsidR="00C87A11" w:rsidRPr="00C87A11" w:rsidRDefault="00C87A11" w:rsidP="0068173D">
            <w:pPr>
              <w:spacing w:line="240" w:lineRule="atLeast"/>
              <w:jc w:val="right"/>
              <w:rPr>
                <w:rFonts w:ascii="Tahoma" w:hAnsi="Tahoma"/>
                <w:b/>
                <w:bCs/>
                <w:color w:val="000000" w:themeColor="text1"/>
                <w:sz w:val="16"/>
                <w:lang w:val="en-GB"/>
              </w:rPr>
            </w:pPr>
            <w:r w:rsidRPr="00C87A11">
              <w:rPr>
                <w:rFonts w:ascii="Tahoma" w:hAnsi="Tahoma"/>
                <w:b/>
                <w:bCs/>
                <w:color w:val="000000" w:themeColor="text1"/>
                <w:sz w:val="16"/>
                <w:lang w:val="en-GB"/>
              </w:rPr>
              <w:t>—</w:t>
            </w:r>
          </w:p>
        </w:tc>
        <w:tc>
          <w:tcPr>
            <w:tcW w:w="1134" w:type="dxa"/>
            <w:shd w:val="clear" w:color="auto" w:fill="auto"/>
            <w:tcMar>
              <w:top w:w="17" w:type="dxa"/>
              <w:left w:w="0" w:type="dxa"/>
              <w:bottom w:w="17" w:type="dxa"/>
              <w:right w:w="0" w:type="dxa"/>
            </w:tcMar>
            <w:vAlign w:val="bottom"/>
          </w:tcPr>
          <w:p w14:paraId="264C11AB" w14:textId="77777777" w:rsidR="00C87A11" w:rsidRPr="00C87A11" w:rsidRDefault="00C87A11" w:rsidP="0068173D">
            <w:pPr>
              <w:spacing w:line="240" w:lineRule="atLeast"/>
              <w:jc w:val="right"/>
              <w:rPr>
                <w:rFonts w:ascii="Tahoma" w:hAnsi="Tahoma"/>
                <w:color w:val="000000" w:themeColor="text1"/>
                <w:sz w:val="16"/>
                <w:lang w:val="en-GB"/>
              </w:rPr>
            </w:pPr>
            <w:r w:rsidRPr="00C87A11">
              <w:rPr>
                <w:rFonts w:ascii="Tahoma" w:hAnsi="Tahoma"/>
                <w:color w:val="000000" w:themeColor="text1"/>
                <w:sz w:val="16"/>
                <w:lang w:val="en-GB"/>
              </w:rPr>
              <w:t>(23)</w:t>
            </w:r>
          </w:p>
        </w:tc>
        <w:tc>
          <w:tcPr>
            <w:tcW w:w="1134" w:type="dxa"/>
            <w:shd w:val="clear" w:color="auto" w:fill="auto"/>
            <w:tcMar>
              <w:top w:w="17" w:type="dxa"/>
              <w:left w:w="0" w:type="dxa"/>
              <w:bottom w:w="17" w:type="dxa"/>
              <w:right w:w="0" w:type="dxa"/>
            </w:tcMar>
            <w:vAlign w:val="bottom"/>
          </w:tcPr>
          <w:p w14:paraId="4F4EA0F7" w14:textId="77777777" w:rsidR="00C87A11" w:rsidRPr="00C87A11" w:rsidRDefault="00C87A11" w:rsidP="0068173D">
            <w:pPr>
              <w:spacing w:line="240" w:lineRule="atLeast"/>
              <w:jc w:val="right"/>
              <w:rPr>
                <w:rFonts w:ascii="Tahoma" w:hAnsi="Tahoma"/>
                <w:color w:val="000000" w:themeColor="text1"/>
                <w:sz w:val="16"/>
                <w:lang w:val="en-GB"/>
              </w:rPr>
            </w:pPr>
            <w:r w:rsidRPr="00C87A11">
              <w:rPr>
                <w:rFonts w:ascii="Tahoma" w:hAnsi="Tahoma"/>
                <w:color w:val="000000" w:themeColor="text1"/>
                <w:sz w:val="16"/>
                <w:lang w:val="en-GB"/>
              </w:rPr>
              <w:t>(21)</w:t>
            </w:r>
          </w:p>
        </w:tc>
      </w:tr>
      <w:tr w:rsidR="00615190" w:rsidRPr="00C87A11" w14:paraId="7B4A29A0" w14:textId="77777777" w:rsidTr="0068173D">
        <w:trPr>
          <w:trHeight w:val="60"/>
        </w:trPr>
        <w:tc>
          <w:tcPr>
            <w:tcW w:w="6096" w:type="dxa"/>
            <w:shd w:val="clear" w:color="auto" w:fill="auto"/>
            <w:tcMar>
              <w:top w:w="17" w:type="dxa"/>
              <w:left w:w="0" w:type="dxa"/>
              <w:bottom w:w="17" w:type="dxa"/>
              <w:right w:w="0" w:type="dxa"/>
            </w:tcMar>
            <w:vAlign w:val="bottom"/>
          </w:tcPr>
          <w:p w14:paraId="15622AC6" w14:textId="77777777" w:rsidR="00C87A11" w:rsidRPr="00C87A11" w:rsidRDefault="00C87A11" w:rsidP="00615190">
            <w:pPr>
              <w:spacing w:line="240" w:lineRule="atLeast"/>
              <w:rPr>
                <w:rFonts w:ascii="Tahoma" w:hAnsi="Tahoma"/>
                <w:color w:val="000000" w:themeColor="text1"/>
                <w:sz w:val="16"/>
                <w:lang w:val="en-GB"/>
              </w:rPr>
            </w:pPr>
            <w:r w:rsidRPr="00C87A11">
              <w:rPr>
                <w:rFonts w:ascii="Tahoma" w:hAnsi="Tahoma"/>
                <w:color w:val="000000" w:themeColor="text1"/>
                <w:sz w:val="16"/>
                <w:lang w:val="en-GB"/>
              </w:rPr>
              <w:t>Cash paid for other investments</w:t>
            </w:r>
            <w:r w:rsidRPr="00C87A11">
              <w:rPr>
                <w:rFonts w:ascii="Tahoma" w:hAnsi="Tahoma"/>
                <w:color w:val="000000" w:themeColor="text1"/>
                <w:sz w:val="16"/>
                <w:vertAlign w:val="superscript"/>
                <w:lang w:val="en-GB"/>
              </w:rPr>
              <w:t>2</w:t>
            </w:r>
          </w:p>
        </w:tc>
        <w:tc>
          <w:tcPr>
            <w:tcW w:w="716" w:type="dxa"/>
            <w:shd w:val="clear" w:color="auto" w:fill="auto"/>
            <w:tcMar>
              <w:top w:w="17" w:type="dxa"/>
              <w:left w:w="0" w:type="dxa"/>
              <w:bottom w:w="17" w:type="dxa"/>
              <w:right w:w="0" w:type="dxa"/>
            </w:tcMar>
            <w:vAlign w:val="bottom"/>
          </w:tcPr>
          <w:p w14:paraId="720F9E2E" w14:textId="77777777" w:rsidR="00C87A11" w:rsidRPr="00C87A11" w:rsidRDefault="00C87A11" w:rsidP="00615190">
            <w:pPr>
              <w:spacing w:line="240" w:lineRule="atLeast"/>
              <w:rPr>
                <w:rFonts w:ascii="Tahoma" w:hAnsi="Tahoma"/>
                <w:color w:val="000000" w:themeColor="text1"/>
                <w:sz w:val="16"/>
                <w:lang w:val="en-GB"/>
              </w:rPr>
            </w:pPr>
            <w:r w:rsidRPr="00C87A11">
              <w:rPr>
                <w:rFonts w:ascii="Tahoma" w:hAnsi="Tahoma"/>
                <w:color w:val="000000" w:themeColor="text1"/>
                <w:sz w:val="16"/>
                <w:lang w:val="en-GB"/>
              </w:rPr>
              <w:t>16</w:t>
            </w:r>
          </w:p>
        </w:tc>
        <w:tc>
          <w:tcPr>
            <w:tcW w:w="1126" w:type="dxa"/>
            <w:shd w:val="clear" w:color="auto" w:fill="auto"/>
            <w:tcMar>
              <w:top w:w="17" w:type="dxa"/>
              <w:left w:w="0" w:type="dxa"/>
              <w:bottom w:w="17" w:type="dxa"/>
              <w:right w:w="0" w:type="dxa"/>
            </w:tcMar>
            <w:vAlign w:val="bottom"/>
          </w:tcPr>
          <w:p w14:paraId="5C344A03" w14:textId="77777777" w:rsidR="00C87A11" w:rsidRPr="00C87A11" w:rsidRDefault="00C87A11" w:rsidP="0068173D">
            <w:pPr>
              <w:spacing w:line="240" w:lineRule="atLeast"/>
              <w:jc w:val="right"/>
              <w:rPr>
                <w:rFonts w:ascii="Tahoma" w:hAnsi="Tahoma"/>
                <w:b/>
                <w:bCs/>
                <w:color w:val="000000" w:themeColor="text1"/>
                <w:sz w:val="16"/>
                <w:lang w:val="en-GB"/>
              </w:rPr>
            </w:pPr>
            <w:r w:rsidRPr="00C87A11">
              <w:rPr>
                <w:rFonts w:ascii="Tahoma" w:hAnsi="Tahoma"/>
                <w:b/>
                <w:bCs/>
                <w:color w:val="000000" w:themeColor="text1"/>
                <w:sz w:val="16"/>
                <w:lang w:val="en-GB"/>
              </w:rPr>
              <w:t>(130)</w:t>
            </w:r>
          </w:p>
        </w:tc>
        <w:tc>
          <w:tcPr>
            <w:tcW w:w="1134" w:type="dxa"/>
            <w:shd w:val="clear" w:color="auto" w:fill="auto"/>
            <w:tcMar>
              <w:top w:w="17" w:type="dxa"/>
              <w:left w:w="0" w:type="dxa"/>
              <w:bottom w:w="17" w:type="dxa"/>
              <w:right w:w="0" w:type="dxa"/>
            </w:tcMar>
            <w:vAlign w:val="bottom"/>
          </w:tcPr>
          <w:p w14:paraId="5D08464E" w14:textId="77777777" w:rsidR="00C87A11" w:rsidRPr="00C87A11" w:rsidRDefault="00C87A11" w:rsidP="0068173D">
            <w:pPr>
              <w:spacing w:line="240" w:lineRule="atLeast"/>
              <w:jc w:val="right"/>
              <w:rPr>
                <w:rFonts w:ascii="Tahoma" w:hAnsi="Tahoma"/>
                <w:color w:val="000000" w:themeColor="text1"/>
                <w:sz w:val="16"/>
                <w:lang w:val="en-GB"/>
              </w:rPr>
            </w:pPr>
            <w:r w:rsidRPr="00C87A11">
              <w:rPr>
                <w:rFonts w:ascii="Tahoma" w:hAnsi="Tahoma"/>
                <w:color w:val="000000" w:themeColor="text1"/>
                <w:sz w:val="16"/>
                <w:lang w:val="en-GB"/>
              </w:rPr>
              <w:t>(1 096)</w:t>
            </w:r>
          </w:p>
        </w:tc>
        <w:tc>
          <w:tcPr>
            <w:tcW w:w="1134" w:type="dxa"/>
            <w:shd w:val="clear" w:color="auto" w:fill="auto"/>
            <w:tcMar>
              <w:top w:w="17" w:type="dxa"/>
              <w:left w:w="0" w:type="dxa"/>
              <w:bottom w:w="17" w:type="dxa"/>
              <w:right w:w="0" w:type="dxa"/>
            </w:tcMar>
            <w:vAlign w:val="bottom"/>
          </w:tcPr>
          <w:p w14:paraId="217E09C9" w14:textId="77777777" w:rsidR="00C87A11" w:rsidRPr="00C87A11" w:rsidRDefault="00C87A11" w:rsidP="0068173D">
            <w:pPr>
              <w:spacing w:line="240" w:lineRule="atLeast"/>
              <w:jc w:val="right"/>
              <w:rPr>
                <w:rFonts w:ascii="Tahoma" w:hAnsi="Tahoma"/>
                <w:color w:val="000000" w:themeColor="text1"/>
                <w:sz w:val="16"/>
                <w:lang w:val="en-GB"/>
              </w:rPr>
            </w:pPr>
            <w:r w:rsidRPr="00C87A11">
              <w:rPr>
                <w:rFonts w:ascii="Tahoma" w:hAnsi="Tahoma"/>
                <w:color w:val="000000" w:themeColor="text1"/>
                <w:sz w:val="16"/>
                <w:lang w:val="en-GB"/>
              </w:rPr>
              <w:t>(1 477)</w:t>
            </w:r>
          </w:p>
        </w:tc>
      </w:tr>
      <w:tr w:rsidR="00615190" w:rsidRPr="00C87A11" w14:paraId="2BBF2907" w14:textId="77777777" w:rsidTr="0068173D">
        <w:trPr>
          <w:trHeight w:val="60"/>
        </w:trPr>
        <w:tc>
          <w:tcPr>
            <w:tcW w:w="6096" w:type="dxa"/>
            <w:shd w:val="clear" w:color="auto" w:fill="auto"/>
            <w:tcMar>
              <w:top w:w="17" w:type="dxa"/>
              <w:left w:w="0" w:type="dxa"/>
              <w:bottom w:w="17" w:type="dxa"/>
              <w:right w:w="0" w:type="dxa"/>
            </w:tcMar>
            <w:vAlign w:val="bottom"/>
          </w:tcPr>
          <w:p w14:paraId="672BD582" w14:textId="77777777" w:rsidR="00C87A11" w:rsidRPr="00C87A11" w:rsidRDefault="00C87A11" w:rsidP="00615190">
            <w:pPr>
              <w:spacing w:line="240" w:lineRule="atLeast"/>
              <w:rPr>
                <w:rFonts w:ascii="Tahoma" w:hAnsi="Tahoma"/>
                <w:color w:val="000000" w:themeColor="text1"/>
                <w:sz w:val="16"/>
                <w:lang w:val="en-GB"/>
              </w:rPr>
            </w:pPr>
            <w:r w:rsidRPr="00C87A11">
              <w:rPr>
                <w:rFonts w:ascii="Tahoma" w:hAnsi="Tahoma"/>
                <w:color w:val="000000" w:themeColor="text1"/>
                <w:sz w:val="16"/>
                <w:lang w:val="en-GB"/>
              </w:rPr>
              <w:t>Cash received from other investments</w:t>
            </w:r>
            <w:r w:rsidRPr="00C87A11">
              <w:rPr>
                <w:rFonts w:ascii="Tahoma" w:hAnsi="Tahoma"/>
                <w:color w:val="000000" w:themeColor="text1"/>
                <w:sz w:val="16"/>
                <w:vertAlign w:val="superscript"/>
                <w:lang w:val="en-GB"/>
              </w:rPr>
              <w:t>2</w:t>
            </w:r>
          </w:p>
        </w:tc>
        <w:tc>
          <w:tcPr>
            <w:tcW w:w="716" w:type="dxa"/>
            <w:shd w:val="clear" w:color="auto" w:fill="auto"/>
            <w:tcMar>
              <w:top w:w="17" w:type="dxa"/>
              <w:left w:w="0" w:type="dxa"/>
              <w:bottom w:w="17" w:type="dxa"/>
              <w:right w:w="0" w:type="dxa"/>
            </w:tcMar>
            <w:vAlign w:val="bottom"/>
          </w:tcPr>
          <w:p w14:paraId="17AADC22" w14:textId="77777777" w:rsidR="00C87A11" w:rsidRPr="00C87A11" w:rsidRDefault="00C87A11" w:rsidP="00615190">
            <w:pPr>
              <w:spacing w:line="240" w:lineRule="atLeast"/>
              <w:rPr>
                <w:rFonts w:ascii="Tahoma" w:hAnsi="Tahoma"/>
                <w:color w:val="000000" w:themeColor="text1"/>
                <w:sz w:val="16"/>
                <w:lang w:val="en-GB"/>
              </w:rPr>
            </w:pPr>
            <w:r w:rsidRPr="00C87A11">
              <w:rPr>
                <w:rFonts w:ascii="Tahoma" w:hAnsi="Tahoma"/>
                <w:color w:val="000000" w:themeColor="text1"/>
                <w:sz w:val="16"/>
                <w:lang w:val="en-GB"/>
              </w:rPr>
              <w:t>16</w:t>
            </w:r>
          </w:p>
        </w:tc>
        <w:tc>
          <w:tcPr>
            <w:tcW w:w="1126" w:type="dxa"/>
            <w:shd w:val="clear" w:color="auto" w:fill="auto"/>
            <w:tcMar>
              <w:top w:w="17" w:type="dxa"/>
              <w:left w:w="0" w:type="dxa"/>
              <w:bottom w:w="17" w:type="dxa"/>
              <w:right w:w="0" w:type="dxa"/>
            </w:tcMar>
            <w:vAlign w:val="bottom"/>
          </w:tcPr>
          <w:p w14:paraId="10CBBA27" w14:textId="77777777" w:rsidR="00C87A11" w:rsidRPr="00C87A11" w:rsidRDefault="00C87A11" w:rsidP="0068173D">
            <w:pPr>
              <w:spacing w:line="240" w:lineRule="atLeast"/>
              <w:jc w:val="right"/>
              <w:rPr>
                <w:rFonts w:ascii="Tahoma" w:hAnsi="Tahoma"/>
                <w:b/>
                <w:bCs/>
                <w:color w:val="000000" w:themeColor="text1"/>
                <w:sz w:val="16"/>
                <w:lang w:val="en-GB"/>
              </w:rPr>
            </w:pPr>
            <w:r w:rsidRPr="00C87A11">
              <w:rPr>
                <w:rFonts w:ascii="Tahoma" w:hAnsi="Tahoma"/>
                <w:b/>
                <w:bCs/>
                <w:color w:val="000000" w:themeColor="text1"/>
                <w:sz w:val="16"/>
                <w:lang w:val="en-GB"/>
              </w:rPr>
              <w:t>3 723</w:t>
            </w:r>
          </w:p>
        </w:tc>
        <w:tc>
          <w:tcPr>
            <w:tcW w:w="1134" w:type="dxa"/>
            <w:shd w:val="clear" w:color="auto" w:fill="auto"/>
            <w:tcMar>
              <w:top w:w="17" w:type="dxa"/>
              <w:left w:w="0" w:type="dxa"/>
              <w:bottom w:w="17" w:type="dxa"/>
              <w:right w:w="0" w:type="dxa"/>
            </w:tcMar>
            <w:vAlign w:val="bottom"/>
          </w:tcPr>
          <w:p w14:paraId="72B12DAD" w14:textId="77777777" w:rsidR="00C87A11" w:rsidRPr="00C87A11" w:rsidRDefault="00C87A11" w:rsidP="0068173D">
            <w:pPr>
              <w:spacing w:line="240" w:lineRule="atLeast"/>
              <w:jc w:val="right"/>
              <w:rPr>
                <w:rFonts w:ascii="Tahoma" w:hAnsi="Tahoma"/>
                <w:color w:val="000000" w:themeColor="text1"/>
                <w:sz w:val="16"/>
                <w:lang w:val="en-GB"/>
              </w:rPr>
            </w:pPr>
            <w:r w:rsidRPr="00C87A11">
              <w:rPr>
                <w:rFonts w:ascii="Tahoma" w:hAnsi="Tahoma"/>
                <w:color w:val="000000" w:themeColor="text1"/>
                <w:sz w:val="16"/>
                <w:lang w:val="en-GB"/>
              </w:rPr>
              <w:t>—</w:t>
            </w:r>
          </w:p>
        </w:tc>
        <w:tc>
          <w:tcPr>
            <w:tcW w:w="1134" w:type="dxa"/>
            <w:shd w:val="clear" w:color="auto" w:fill="auto"/>
            <w:tcMar>
              <w:top w:w="17" w:type="dxa"/>
              <w:left w:w="0" w:type="dxa"/>
              <w:bottom w:w="17" w:type="dxa"/>
              <w:right w:w="0" w:type="dxa"/>
            </w:tcMar>
            <w:vAlign w:val="bottom"/>
          </w:tcPr>
          <w:p w14:paraId="123238F1" w14:textId="77777777" w:rsidR="00C87A11" w:rsidRPr="00C87A11" w:rsidRDefault="00C87A11" w:rsidP="0068173D">
            <w:pPr>
              <w:spacing w:line="240" w:lineRule="atLeast"/>
              <w:jc w:val="right"/>
              <w:rPr>
                <w:rFonts w:ascii="Tahoma" w:hAnsi="Tahoma"/>
                <w:color w:val="000000" w:themeColor="text1"/>
                <w:sz w:val="16"/>
                <w:lang w:val="en-GB"/>
              </w:rPr>
            </w:pPr>
            <w:r w:rsidRPr="00C87A11">
              <w:rPr>
                <w:rFonts w:ascii="Tahoma" w:hAnsi="Tahoma"/>
                <w:color w:val="000000" w:themeColor="text1"/>
                <w:sz w:val="16"/>
                <w:lang w:val="en-GB"/>
              </w:rPr>
              <w:t>85</w:t>
            </w:r>
          </w:p>
        </w:tc>
      </w:tr>
      <w:tr w:rsidR="00615190" w:rsidRPr="00C87A11" w14:paraId="2776B9EE" w14:textId="77777777" w:rsidTr="00F91552">
        <w:trPr>
          <w:trHeight w:val="60"/>
        </w:trPr>
        <w:tc>
          <w:tcPr>
            <w:tcW w:w="6096" w:type="dxa"/>
            <w:shd w:val="clear" w:color="auto" w:fill="auto"/>
            <w:tcMar>
              <w:top w:w="17" w:type="dxa"/>
              <w:left w:w="0" w:type="dxa"/>
              <w:bottom w:w="17" w:type="dxa"/>
              <w:right w:w="0" w:type="dxa"/>
            </w:tcMar>
            <w:vAlign w:val="bottom"/>
          </w:tcPr>
          <w:p w14:paraId="5F95C337" w14:textId="77777777" w:rsidR="00C87A11" w:rsidRPr="00C87A11" w:rsidRDefault="00C87A11" w:rsidP="00615190">
            <w:pPr>
              <w:spacing w:line="240" w:lineRule="atLeast"/>
              <w:rPr>
                <w:rFonts w:ascii="Tahoma" w:hAnsi="Tahoma"/>
                <w:color w:val="000000" w:themeColor="text1"/>
                <w:sz w:val="16"/>
                <w:lang w:val="en-GB"/>
              </w:rPr>
            </w:pPr>
            <w:r w:rsidRPr="00C87A11">
              <w:rPr>
                <w:rFonts w:ascii="Tahoma" w:hAnsi="Tahoma"/>
                <w:color w:val="000000" w:themeColor="text1"/>
                <w:sz w:val="16"/>
                <w:lang w:val="en-GB"/>
              </w:rPr>
              <w:t>Acquisition of Naspers shares</w:t>
            </w:r>
            <w:r w:rsidRPr="00C87A11">
              <w:rPr>
                <w:rFonts w:ascii="Tahoma" w:hAnsi="Tahoma"/>
                <w:color w:val="000000" w:themeColor="text1"/>
                <w:sz w:val="16"/>
                <w:vertAlign w:val="superscript"/>
                <w:lang w:val="en-GB"/>
              </w:rPr>
              <w:t>3</w:t>
            </w:r>
          </w:p>
        </w:tc>
        <w:tc>
          <w:tcPr>
            <w:tcW w:w="716" w:type="dxa"/>
            <w:shd w:val="clear" w:color="auto" w:fill="auto"/>
            <w:tcMar>
              <w:top w:w="17" w:type="dxa"/>
              <w:left w:w="0" w:type="dxa"/>
              <w:bottom w:w="17" w:type="dxa"/>
              <w:right w:w="0" w:type="dxa"/>
            </w:tcMar>
            <w:vAlign w:val="bottom"/>
          </w:tcPr>
          <w:p w14:paraId="0F6EEE60" w14:textId="77777777" w:rsidR="00C87A11" w:rsidRPr="00C87A11" w:rsidRDefault="00C87A11" w:rsidP="00615190">
            <w:pPr>
              <w:spacing w:line="240" w:lineRule="atLeast"/>
              <w:rPr>
                <w:rFonts w:ascii="Tahoma" w:hAnsi="Tahoma"/>
                <w:color w:val="000000" w:themeColor="text1"/>
                <w:sz w:val="16"/>
                <w:lang w:val="en-GB"/>
              </w:rPr>
            </w:pPr>
          </w:p>
        </w:tc>
        <w:tc>
          <w:tcPr>
            <w:tcW w:w="1126" w:type="dxa"/>
            <w:shd w:val="clear" w:color="auto" w:fill="auto"/>
            <w:tcMar>
              <w:top w:w="17" w:type="dxa"/>
              <w:left w:w="0" w:type="dxa"/>
              <w:bottom w:w="17" w:type="dxa"/>
              <w:right w:w="0" w:type="dxa"/>
            </w:tcMar>
            <w:vAlign w:val="bottom"/>
          </w:tcPr>
          <w:p w14:paraId="2DBB80BD" w14:textId="77777777" w:rsidR="00C87A11" w:rsidRPr="00C87A11" w:rsidRDefault="00C87A11" w:rsidP="0068173D">
            <w:pPr>
              <w:spacing w:line="240" w:lineRule="atLeast"/>
              <w:jc w:val="right"/>
              <w:rPr>
                <w:rFonts w:ascii="Tahoma" w:hAnsi="Tahoma"/>
                <w:b/>
                <w:bCs/>
                <w:color w:val="000000" w:themeColor="text1"/>
                <w:sz w:val="16"/>
                <w:lang w:val="en-GB"/>
              </w:rPr>
            </w:pPr>
            <w:r w:rsidRPr="00C87A11">
              <w:rPr>
                <w:rFonts w:ascii="Tahoma" w:hAnsi="Tahoma"/>
                <w:b/>
                <w:bCs/>
                <w:color w:val="000000" w:themeColor="text1"/>
                <w:sz w:val="16"/>
                <w:lang w:val="en-GB"/>
              </w:rPr>
              <w:t>—</w:t>
            </w:r>
          </w:p>
        </w:tc>
        <w:tc>
          <w:tcPr>
            <w:tcW w:w="1134" w:type="dxa"/>
            <w:shd w:val="clear" w:color="auto" w:fill="auto"/>
            <w:tcMar>
              <w:top w:w="17" w:type="dxa"/>
              <w:left w:w="0" w:type="dxa"/>
              <w:bottom w:w="17" w:type="dxa"/>
              <w:right w:w="0" w:type="dxa"/>
            </w:tcMar>
            <w:vAlign w:val="bottom"/>
          </w:tcPr>
          <w:p w14:paraId="0D469E6B" w14:textId="77777777" w:rsidR="00C87A11" w:rsidRPr="00C87A11" w:rsidRDefault="00C87A11" w:rsidP="0068173D">
            <w:pPr>
              <w:spacing w:line="240" w:lineRule="atLeast"/>
              <w:jc w:val="right"/>
              <w:rPr>
                <w:rFonts w:ascii="Tahoma" w:hAnsi="Tahoma"/>
                <w:color w:val="000000" w:themeColor="text1"/>
                <w:sz w:val="16"/>
                <w:lang w:val="en-GB"/>
              </w:rPr>
            </w:pPr>
            <w:r w:rsidRPr="00C87A11">
              <w:rPr>
                <w:rFonts w:ascii="Tahoma" w:hAnsi="Tahoma"/>
                <w:color w:val="000000" w:themeColor="text1"/>
                <w:sz w:val="16"/>
                <w:lang w:val="en-GB"/>
              </w:rPr>
              <w:t>(1 287)</w:t>
            </w:r>
          </w:p>
        </w:tc>
        <w:tc>
          <w:tcPr>
            <w:tcW w:w="1134" w:type="dxa"/>
            <w:shd w:val="clear" w:color="auto" w:fill="auto"/>
            <w:tcMar>
              <w:top w:w="17" w:type="dxa"/>
              <w:left w:w="0" w:type="dxa"/>
              <w:bottom w:w="17" w:type="dxa"/>
              <w:right w:w="0" w:type="dxa"/>
            </w:tcMar>
            <w:vAlign w:val="bottom"/>
          </w:tcPr>
          <w:p w14:paraId="6938147C" w14:textId="77777777" w:rsidR="00C87A11" w:rsidRPr="00C87A11" w:rsidRDefault="00C87A11" w:rsidP="0068173D">
            <w:pPr>
              <w:spacing w:line="240" w:lineRule="atLeast"/>
              <w:jc w:val="right"/>
              <w:rPr>
                <w:rFonts w:ascii="Tahoma" w:hAnsi="Tahoma"/>
                <w:color w:val="000000" w:themeColor="text1"/>
                <w:sz w:val="16"/>
                <w:lang w:val="en-GB"/>
              </w:rPr>
            </w:pPr>
            <w:r w:rsidRPr="00C87A11">
              <w:rPr>
                <w:rFonts w:ascii="Tahoma" w:hAnsi="Tahoma"/>
                <w:color w:val="000000" w:themeColor="text1"/>
                <w:sz w:val="16"/>
                <w:lang w:val="en-GB"/>
              </w:rPr>
              <w:t>(1 287)</w:t>
            </w:r>
          </w:p>
        </w:tc>
      </w:tr>
      <w:tr w:rsidR="00615190" w:rsidRPr="00C87A11" w14:paraId="7D507EEE" w14:textId="77777777" w:rsidTr="00804283">
        <w:trPr>
          <w:trHeight w:val="60"/>
        </w:trPr>
        <w:tc>
          <w:tcPr>
            <w:tcW w:w="6096" w:type="dxa"/>
            <w:tcBorders>
              <w:bottom w:val="single" w:sz="4" w:space="0" w:color="auto"/>
            </w:tcBorders>
            <w:shd w:val="clear" w:color="auto" w:fill="auto"/>
            <w:tcMar>
              <w:top w:w="17" w:type="dxa"/>
              <w:left w:w="0" w:type="dxa"/>
              <w:bottom w:w="51" w:type="dxa"/>
              <w:right w:w="0" w:type="dxa"/>
            </w:tcMar>
            <w:vAlign w:val="bottom"/>
          </w:tcPr>
          <w:p w14:paraId="10C7B3FC" w14:textId="77777777" w:rsidR="00C87A11" w:rsidRPr="00C87A11" w:rsidRDefault="00C87A11" w:rsidP="00615190">
            <w:pPr>
              <w:spacing w:line="240" w:lineRule="atLeast"/>
              <w:rPr>
                <w:rFonts w:ascii="Tahoma" w:hAnsi="Tahoma"/>
                <w:color w:val="000000" w:themeColor="text1"/>
                <w:sz w:val="16"/>
                <w:lang w:val="en-GB"/>
              </w:rPr>
            </w:pPr>
            <w:r w:rsidRPr="00C87A11">
              <w:rPr>
                <w:rFonts w:ascii="Tahoma" w:hAnsi="Tahoma"/>
                <w:color w:val="000000" w:themeColor="text1"/>
                <w:sz w:val="16"/>
                <w:lang w:val="en-GB"/>
              </w:rPr>
              <w:t>Cash movement in other investing activities</w:t>
            </w:r>
          </w:p>
        </w:tc>
        <w:tc>
          <w:tcPr>
            <w:tcW w:w="716" w:type="dxa"/>
            <w:tcBorders>
              <w:bottom w:val="single" w:sz="4" w:space="0" w:color="auto"/>
            </w:tcBorders>
            <w:shd w:val="clear" w:color="auto" w:fill="auto"/>
            <w:tcMar>
              <w:top w:w="17" w:type="dxa"/>
              <w:left w:w="0" w:type="dxa"/>
              <w:bottom w:w="51" w:type="dxa"/>
              <w:right w:w="0" w:type="dxa"/>
            </w:tcMar>
            <w:vAlign w:val="bottom"/>
          </w:tcPr>
          <w:p w14:paraId="585079D3" w14:textId="77777777" w:rsidR="00C87A11" w:rsidRPr="00C87A11" w:rsidRDefault="00C87A11" w:rsidP="00615190">
            <w:pPr>
              <w:spacing w:line="240" w:lineRule="atLeast"/>
              <w:rPr>
                <w:rFonts w:ascii="Tahoma" w:hAnsi="Tahoma"/>
                <w:color w:val="000000" w:themeColor="text1"/>
                <w:sz w:val="16"/>
                <w:lang w:val="en-GB"/>
              </w:rPr>
            </w:pPr>
          </w:p>
        </w:tc>
        <w:tc>
          <w:tcPr>
            <w:tcW w:w="1126" w:type="dxa"/>
            <w:tcBorders>
              <w:bottom w:val="single" w:sz="4" w:space="0" w:color="auto"/>
            </w:tcBorders>
            <w:shd w:val="clear" w:color="auto" w:fill="auto"/>
            <w:tcMar>
              <w:top w:w="17" w:type="dxa"/>
              <w:left w:w="0" w:type="dxa"/>
              <w:bottom w:w="51" w:type="dxa"/>
              <w:right w:w="0" w:type="dxa"/>
            </w:tcMar>
            <w:vAlign w:val="bottom"/>
          </w:tcPr>
          <w:p w14:paraId="225E8519" w14:textId="77777777" w:rsidR="00C87A11" w:rsidRPr="00C87A11" w:rsidRDefault="00C87A11" w:rsidP="0068173D">
            <w:pPr>
              <w:spacing w:line="240" w:lineRule="atLeast"/>
              <w:jc w:val="right"/>
              <w:rPr>
                <w:rFonts w:ascii="Tahoma" w:hAnsi="Tahoma"/>
                <w:b/>
                <w:bCs/>
                <w:color w:val="000000" w:themeColor="text1"/>
                <w:sz w:val="16"/>
                <w:lang w:val="en-GB"/>
              </w:rPr>
            </w:pPr>
            <w:r w:rsidRPr="00C87A11">
              <w:rPr>
                <w:rFonts w:ascii="Tahoma" w:hAnsi="Tahoma"/>
                <w:b/>
                <w:bCs/>
                <w:color w:val="000000" w:themeColor="text1"/>
                <w:sz w:val="16"/>
                <w:lang w:val="en-GB"/>
              </w:rPr>
              <w:t>(38)</w:t>
            </w:r>
          </w:p>
        </w:tc>
        <w:tc>
          <w:tcPr>
            <w:tcW w:w="1134" w:type="dxa"/>
            <w:tcBorders>
              <w:bottom w:val="single" w:sz="4" w:space="0" w:color="auto"/>
            </w:tcBorders>
            <w:shd w:val="clear" w:color="auto" w:fill="auto"/>
            <w:tcMar>
              <w:top w:w="17" w:type="dxa"/>
              <w:left w:w="0" w:type="dxa"/>
              <w:bottom w:w="51" w:type="dxa"/>
              <w:right w:w="0" w:type="dxa"/>
            </w:tcMar>
            <w:vAlign w:val="bottom"/>
          </w:tcPr>
          <w:p w14:paraId="1F24C3B6" w14:textId="77777777" w:rsidR="00C87A11" w:rsidRPr="00C87A11" w:rsidRDefault="00C87A11" w:rsidP="0068173D">
            <w:pPr>
              <w:spacing w:line="240" w:lineRule="atLeast"/>
              <w:jc w:val="right"/>
              <w:rPr>
                <w:rFonts w:ascii="Tahoma" w:hAnsi="Tahoma"/>
                <w:color w:val="000000" w:themeColor="text1"/>
                <w:sz w:val="16"/>
                <w:lang w:val="en-GB"/>
              </w:rPr>
            </w:pPr>
            <w:r w:rsidRPr="00C87A11">
              <w:rPr>
                <w:rFonts w:ascii="Tahoma" w:hAnsi="Tahoma"/>
                <w:color w:val="000000" w:themeColor="text1"/>
                <w:sz w:val="16"/>
                <w:lang w:val="en-GB"/>
              </w:rPr>
              <w:t>37</w:t>
            </w:r>
          </w:p>
        </w:tc>
        <w:tc>
          <w:tcPr>
            <w:tcW w:w="1134" w:type="dxa"/>
            <w:tcBorders>
              <w:bottom w:val="single" w:sz="4" w:space="0" w:color="auto"/>
            </w:tcBorders>
            <w:shd w:val="clear" w:color="auto" w:fill="auto"/>
            <w:tcMar>
              <w:top w:w="17" w:type="dxa"/>
              <w:left w:w="0" w:type="dxa"/>
              <w:bottom w:w="51" w:type="dxa"/>
              <w:right w:w="0" w:type="dxa"/>
            </w:tcMar>
            <w:vAlign w:val="bottom"/>
          </w:tcPr>
          <w:p w14:paraId="6074D65C" w14:textId="77777777" w:rsidR="00C87A11" w:rsidRPr="00C87A11" w:rsidRDefault="00C87A11" w:rsidP="0068173D">
            <w:pPr>
              <w:spacing w:line="240" w:lineRule="atLeast"/>
              <w:jc w:val="right"/>
              <w:rPr>
                <w:rFonts w:ascii="Tahoma" w:hAnsi="Tahoma"/>
                <w:color w:val="000000" w:themeColor="text1"/>
                <w:sz w:val="16"/>
                <w:lang w:val="en-GB"/>
              </w:rPr>
            </w:pPr>
            <w:r w:rsidRPr="00C87A11">
              <w:rPr>
                <w:rFonts w:ascii="Tahoma" w:hAnsi="Tahoma"/>
                <w:color w:val="000000" w:themeColor="text1"/>
                <w:sz w:val="16"/>
                <w:lang w:val="en-GB"/>
              </w:rPr>
              <w:t>(24)</w:t>
            </w:r>
          </w:p>
        </w:tc>
      </w:tr>
      <w:tr w:rsidR="00615190" w:rsidRPr="00C87A11" w14:paraId="14DFC3A4" w14:textId="77777777" w:rsidTr="00804283">
        <w:trPr>
          <w:trHeight w:val="60"/>
        </w:trPr>
        <w:tc>
          <w:tcPr>
            <w:tcW w:w="6096" w:type="dxa"/>
            <w:tcBorders>
              <w:top w:val="single" w:sz="4" w:space="0" w:color="auto"/>
              <w:bottom w:val="single" w:sz="12" w:space="0" w:color="auto"/>
            </w:tcBorders>
            <w:shd w:val="clear" w:color="auto" w:fill="auto"/>
            <w:tcMar>
              <w:top w:w="51" w:type="dxa"/>
              <w:left w:w="0" w:type="dxa"/>
              <w:bottom w:w="51" w:type="dxa"/>
              <w:right w:w="0" w:type="dxa"/>
            </w:tcMar>
            <w:vAlign w:val="bottom"/>
          </w:tcPr>
          <w:p w14:paraId="142265CD" w14:textId="77777777" w:rsidR="00C87A11" w:rsidRPr="00C87A11" w:rsidRDefault="00C87A11" w:rsidP="00615190">
            <w:pPr>
              <w:spacing w:line="240" w:lineRule="atLeast"/>
              <w:rPr>
                <w:rFonts w:ascii="Tahoma" w:hAnsi="Tahoma"/>
                <w:b/>
                <w:bCs/>
                <w:color w:val="000000" w:themeColor="text1"/>
                <w:sz w:val="16"/>
                <w:lang w:val="en-GB"/>
              </w:rPr>
            </w:pPr>
            <w:r w:rsidRPr="00C87A11">
              <w:rPr>
                <w:rFonts w:ascii="Tahoma" w:hAnsi="Tahoma"/>
                <w:b/>
                <w:bCs/>
                <w:color w:val="000000" w:themeColor="text1"/>
                <w:sz w:val="16"/>
                <w:lang w:val="en-GB"/>
              </w:rPr>
              <w:t>Net cash generated from investing activities</w:t>
            </w:r>
          </w:p>
        </w:tc>
        <w:tc>
          <w:tcPr>
            <w:tcW w:w="716" w:type="dxa"/>
            <w:tcBorders>
              <w:top w:val="single" w:sz="4" w:space="0" w:color="auto"/>
              <w:bottom w:val="single" w:sz="12" w:space="0" w:color="auto"/>
            </w:tcBorders>
            <w:shd w:val="clear" w:color="auto" w:fill="auto"/>
            <w:tcMar>
              <w:top w:w="51" w:type="dxa"/>
              <w:left w:w="0" w:type="dxa"/>
              <w:bottom w:w="51" w:type="dxa"/>
              <w:right w:w="0" w:type="dxa"/>
            </w:tcMar>
            <w:vAlign w:val="bottom"/>
          </w:tcPr>
          <w:p w14:paraId="06A82E56" w14:textId="77777777" w:rsidR="00C87A11" w:rsidRPr="00C87A11" w:rsidRDefault="00C87A11" w:rsidP="00615190">
            <w:pPr>
              <w:spacing w:line="240" w:lineRule="atLeast"/>
              <w:rPr>
                <w:rFonts w:ascii="Tahoma" w:hAnsi="Tahoma"/>
                <w:color w:val="000000" w:themeColor="text1"/>
                <w:sz w:val="16"/>
                <w:lang w:val="en-GB"/>
              </w:rPr>
            </w:pPr>
          </w:p>
        </w:tc>
        <w:tc>
          <w:tcPr>
            <w:tcW w:w="1126" w:type="dxa"/>
            <w:tcBorders>
              <w:top w:val="single" w:sz="4" w:space="0" w:color="auto"/>
              <w:bottom w:val="single" w:sz="12" w:space="0" w:color="auto"/>
            </w:tcBorders>
            <w:shd w:val="clear" w:color="auto" w:fill="auto"/>
            <w:tcMar>
              <w:top w:w="51" w:type="dxa"/>
              <w:left w:w="0" w:type="dxa"/>
              <w:bottom w:w="51" w:type="dxa"/>
              <w:right w:w="0" w:type="dxa"/>
            </w:tcMar>
            <w:vAlign w:val="bottom"/>
          </w:tcPr>
          <w:p w14:paraId="7D0649F1" w14:textId="77777777" w:rsidR="00C87A11" w:rsidRPr="00C87A11" w:rsidRDefault="00C87A11" w:rsidP="0068173D">
            <w:pPr>
              <w:spacing w:line="240" w:lineRule="atLeast"/>
              <w:jc w:val="right"/>
              <w:rPr>
                <w:rFonts w:ascii="Tahoma" w:hAnsi="Tahoma"/>
                <w:b/>
                <w:bCs/>
                <w:color w:val="000000" w:themeColor="text1"/>
                <w:sz w:val="16"/>
                <w:lang w:val="en-GB"/>
              </w:rPr>
            </w:pPr>
            <w:r w:rsidRPr="00C87A11">
              <w:rPr>
                <w:rFonts w:ascii="Tahoma" w:hAnsi="Tahoma"/>
                <w:b/>
                <w:bCs/>
                <w:color w:val="000000" w:themeColor="text1"/>
                <w:sz w:val="16"/>
                <w:lang w:val="en-GB"/>
              </w:rPr>
              <w:t>3 680</w:t>
            </w:r>
          </w:p>
        </w:tc>
        <w:tc>
          <w:tcPr>
            <w:tcW w:w="1134" w:type="dxa"/>
            <w:tcBorders>
              <w:top w:val="single" w:sz="4" w:space="0" w:color="auto"/>
              <w:bottom w:val="single" w:sz="12" w:space="0" w:color="auto"/>
            </w:tcBorders>
            <w:shd w:val="clear" w:color="auto" w:fill="auto"/>
            <w:tcMar>
              <w:top w:w="51" w:type="dxa"/>
              <w:left w:w="0" w:type="dxa"/>
              <w:bottom w:w="51" w:type="dxa"/>
              <w:right w:w="0" w:type="dxa"/>
            </w:tcMar>
            <w:vAlign w:val="bottom"/>
          </w:tcPr>
          <w:p w14:paraId="754FA54C" w14:textId="77777777" w:rsidR="00C87A11" w:rsidRPr="00C87A11" w:rsidRDefault="00C87A11" w:rsidP="0068173D">
            <w:pPr>
              <w:spacing w:line="240" w:lineRule="atLeast"/>
              <w:jc w:val="right"/>
              <w:rPr>
                <w:rFonts w:ascii="Tahoma" w:hAnsi="Tahoma"/>
                <w:color w:val="000000" w:themeColor="text1"/>
                <w:sz w:val="16"/>
                <w:lang w:val="en-GB"/>
              </w:rPr>
            </w:pPr>
            <w:r w:rsidRPr="00C87A11">
              <w:rPr>
                <w:rFonts w:ascii="Tahoma" w:hAnsi="Tahoma"/>
                <w:color w:val="000000" w:themeColor="text1"/>
                <w:sz w:val="16"/>
                <w:lang w:val="en-GB"/>
              </w:rPr>
              <w:t>1 917</w:t>
            </w:r>
          </w:p>
        </w:tc>
        <w:tc>
          <w:tcPr>
            <w:tcW w:w="1134" w:type="dxa"/>
            <w:tcBorders>
              <w:top w:val="single" w:sz="4" w:space="0" w:color="auto"/>
              <w:bottom w:val="single" w:sz="12" w:space="0" w:color="auto"/>
            </w:tcBorders>
            <w:shd w:val="clear" w:color="auto" w:fill="auto"/>
            <w:tcMar>
              <w:top w:w="51" w:type="dxa"/>
              <w:left w:w="0" w:type="dxa"/>
              <w:bottom w:w="51" w:type="dxa"/>
              <w:right w:w="0" w:type="dxa"/>
            </w:tcMar>
            <w:vAlign w:val="bottom"/>
          </w:tcPr>
          <w:p w14:paraId="0B855377" w14:textId="77777777" w:rsidR="00C87A11" w:rsidRPr="00C87A11" w:rsidRDefault="00C87A11" w:rsidP="0068173D">
            <w:pPr>
              <w:spacing w:line="240" w:lineRule="atLeast"/>
              <w:jc w:val="right"/>
              <w:rPr>
                <w:rFonts w:ascii="Tahoma" w:hAnsi="Tahoma"/>
                <w:color w:val="000000" w:themeColor="text1"/>
                <w:sz w:val="16"/>
                <w:lang w:val="en-GB"/>
              </w:rPr>
            </w:pPr>
            <w:r w:rsidRPr="00C87A11">
              <w:rPr>
                <w:rFonts w:ascii="Tahoma" w:hAnsi="Tahoma"/>
                <w:color w:val="000000" w:themeColor="text1"/>
                <w:sz w:val="16"/>
                <w:lang w:val="en-GB"/>
              </w:rPr>
              <w:t>4 392</w:t>
            </w:r>
          </w:p>
        </w:tc>
      </w:tr>
      <w:tr w:rsidR="00615190" w:rsidRPr="00C87A11" w14:paraId="5D06EA01" w14:textId="77777777" w:rsidTr="00804283">
        <w:trPr>
          <w:trHeight w:val="60"/>
        </w:trPr>
        <w:tc>
          <w:tcPr>
            <w:tcW w:w="6096" w:type="dxa"/>
            <w:tcBorders>
              <w:top w:val="single" w:sz="12" w:space="0" w:color="auto"/>
            </w:tcBorders>
            <w:shd w:val="clear" w:color="auto" w:fill="auto"/>
            <w:tcMar>
              <w:top w:w="51" w:type="dxa"/>
              <w:left w:w="0" w:type="dxa"/>
              <w:bottom w:w="17" w:type="dxa"/>
              <w:right w:w="0" w:type="dxa"/>
            </w:tcMar>
            <w:vAlign w:val="bottom"/>
          </w:tcPr>
          <w:p w14:paraId="67612206" w14:textId="77777777" w:rsidR="00C87A11" w:rsidRPr="00C87A11" w:rsidRDefault="00C87A11" w:rsidP="00615190">
            <w:pPr>
              <w:spacing w:line="240" w:lineRule="atLeast"/>
              <w:rPr>
                <w:rFonts w:ascii="Tahoma" w:hAnsi="Tahoma"/>
                <w:b/>
                <w:bCs/>
                <w:color w:val="000000" w:themeColor="text1"/>
                <w:sz w:val="16"/>
                <w:lang w:val="en-GB"/>
              </w:rPr>
            </w:pPr>
            <w:r w:rsidRPr="00C87A11">
              <w:rPr>
                <w:rFonts w:ascii="Tahoma" w:hAnsi="Tahoma"/>
                <w:b/>
                <w:bCs/>
                <w:color w:val="000000" w:themeColor="text1"/>
                <w:sz w:val="16"/>
                <w:lang w:val="en-GB"/>
              </w:rPr>
              <w:t>Cash flows from financing activities</w:t>
            </w:r>
          </w:p>
        </w:tc>
        <w:tc>
          <w:tcPr>
            <w:tcW w:w="716" w:type="dxa"/>
            <w:tcBorders>
              <w:top w:val="single" w:sz="12" w:space="0" w:color="auto"/>
            </w:tcBorders>
            <w:shd w:val="clear" w:color="auto" w:fill="auto"/>
            <w:tcMar>
              <w:top w:w="51" w:type="dxa"/>
              <w:left w:w="0" w:type="dxa"/>
              <w:bottom w:w="17" w:type="dxa"/>
              <w:right w:w="0" w:type="dxa"/>
            </w:tcMar>
            <w:vAlign w:val="bottom"/>
          </w:tcPr>
          <w:p w14:paraId="146329E8" w14:textId="77777777" w:rsidR="00C87A11" w:rsidRPr="00C87A11" w:rsidRDefault="00C87A11" w:rsidP="00615190">
            <w:pPr>
              <w:spacing w:line="240" w:lineRule="atLeast"/>
              <w:rPr>
                <w:rFonts w:ascii="Tahoma" w:hAnsi="Tahoma"/>
                <w:color w:val="000000" w:themeColor="text1"/>
                <w:sz w:val="16"/>
                <w:lang w:val="en-GB"/>
              </w:rPr>
            </w:pPr>
          </w:p>
        </w:tc>
        <w:tc>
          <w:tcPr>
            <w:tcW w:w="1126" w:type="dxa"/>
            <w:tcBorders>
              <w:top w:val="single" w:sz="12" w:space="0" w:color="auto"/>
            </w:tcBorders>
            <w:shd w:val="clear" w:color="auto" w:fill="auto"/>
            <w:tcMar>
              <w:top w:w="51" w:type="dxa"/>
              <w:left w:w="0" w:type="dxa"/>
              <w:bottom w:w="17" w:type="dxa"/>
              <w:right w:w="0" w:type="dxa"/>
            </w:tcMar>
            <w:vAlign w:val="bottom"/>
          </w:tcPr>
          <w:p w14:paraId="3B4B6812" w14:textId="77777777" w:rsidR="00C87A11" w:rsidRPr="00C87A11" w:rsidRDefault="00C87A11" w:rsidP="0068173D">
            <w:pPr>
              <w:spacing w:line="240" w:lineRule="atLeast"/>
              <w:jc w:val="right"/>
              <w:rPr>
                <w:rFonts w:ascii="Tahoma" w:hAnsi="Tahoma"/>
                <w:b/>
                <w:bCs/>
                <w:color w:val="000000" w:themeColor="text1"/>
                <w:sz w:val="16"/>
                <w:lang w:val="en-GB"/>
              </w:rPr>
            </w:pPr>
          </w:p>
        </w:tc>
        <w:tc>
          <w:tcPr>
            <w:tcW w:w="1134" w:type="dxa"/>
            <w:tcBorders>
              <w:top w:val="single" w:sz="12" w:space="0" w:color="auto"/>
            </w:tcBorders>
            <w:shd w:val="clear" w:color="auto" w:fill="auto"/>
            <w:tcMar>
              <w:top w:w="51" w:type="dxa"/>
              <w:left w:w="0" w:type="dxa"/>
              <w:bottom w:w="17" w:type="dxa"/>
              <w:right w:w="0" w:type="dxa"/>
            </w:tcMar>
            <w:vAlign w:val="bottom"/>
          </w:tcPr>
          <w:p w14:paraId="56E45C9E" w14:textId="77777777" w:rsidR="00C87A11" w:rsidRPr="00C87A11" w:rsidRDefault="00C87A11" w:rsidP="0068173D">
            <w:pPr>
              <w:spacing w:line="240" w:lineRule="atLeast"/>
              <w:jc w:val="right"/>
              <w:rPr>
                <w:rFonts w:ascii="Tahoma" w:hAnsi="Tahoma"/>
                <w:color w:val="000000" w:themeColor="text1"/>
                <w:sz w:val="16"/>
                <w:lang w:val="en-GB"/>
              </w:rPr>
            </w:pPr>
          </w:p>
        </w:tc>
        <w:tc>
          <w:tcPr>
            <w:tcW w:w="1134" w:type="dxa"/>
            <w:tcBorders>
              <w:top w:val="single" w:sz="12" w:space="0" w:color="auto"/>
            </w:tcBorders>
            <w:shd w:val="clear" w:color="auto" w:fill="auto"/>
            <w:tcMar>
              <w:top w:w="51" w:type="dxa"/>
              <w:left w:w="0" w:type="dxa"/>
              <w:bottom w:w="17" w:type="dxa"/>
              <w:right w:w="0" w:type="dxa"/>
            </w:tcMar>
            <w:vAlign w:val="bottom"/>
          </w:tcPr>
          <w:p w14:paraId="11C210B0" w14:textId="77777777" w:rsidR="00C87A11" w:rsidRPr="00C87A11" w:rsidRDefault="00C87A11" w:rsidP="0068173D">
            <w:pPr>
              <w:spacing w:line="240" w:lineRule="atLeast"/>
              <w:jc w:val="right"/>
              <w:rPr>
                <w:rFonts w:ascii="Tahoma" w:hAnsi="Tahoma"/>
                <w:color w:val="000000" w:themeColor="text1"/>
                <w:sz w:val="16"/>
                <w:lang w:val="en-GB"/>
              </w:rPr>
            </w:pPr>
          </w:p>
        </w:tc>
      </w:tr>
      <w:tr w:rsidR="00615190" w:rsidRPr="00C87A11" w14:paraId="4AC5BB64" w14:textId="77777777" w:rsidTr="0068173D">
        <w:trPr>
          <w:trHeight w:val="60"/>
        </w:trPr>
        <w:tc>
          <w:tcPr>
            <w:tcW w:w="6096" w:type="dxa"/>
            <w:shd w:val="clear" w:color="auto" w:fill="auto"/>
            <w:tcMar>
              <w:top w:w="17" w:type="dxa"/>
              <w:left w:w="0" w:type="dxa"/>
              <w:bottom w:w="17" w:type="dxa"/>
              <w:right w:w="0" w:type="dxa"/>
            </w:tcMar>
            <w:vAlign w:val="bottom"/>
          </w:tcPr>
          <w:p w14:paraId="6D4C1FCC" w14:textId="77777777" w:rsidR="00C87A11" w:rsidRPr="00C87A11" w:rsidRDefault="00C87A11" w:rsidP="00615190">
            <w:pPr>
              <w:spacing w:line="240" w:lineRule="atLeast"/>
              <w:rPr>
                <w:rFonts w:ascii="Tahoma" w:hAnsi="Tahoma"/>
                <w:color w:val="000000" w:themeColor="text1"/>
                <w:sz w:val="16"/>
                <w:lang w:val="en-GB"/>
              </w:rPr>
            </w:pPr>
            <w:r w:rsidRPr="00C87A11">
              <w:rPr>
                <w:rFonts w:ascii="Tahoma" w:hAnsi="Tahoma"/>
                <w:color w:val="000000" w:themeColor="text1"/>
                <w:sz w:val="16"/>
                <w:lang w:val="en-GB"/>
              </w:rPr>
              <w:t>Repurchase of own shares</w:t>
            </w:r>
          </w:p>
        </w:tc>
        <w:tc>
          <w:tcPr>
            <w:tcW w:w="716" w:type="dxa"/>
            <w:shd w:val="clear" w:color="auto" w:fill="auto"/>
            <w:tcMar>
              <w:top w:w="17" w:type="dxa"/>
              <w:left w:w="0" w:type="dxa"/>
              <w:bottom w:w="17" w:type="dxa"/>
              <w:right w:w="0" w:type="dxa"/>
            </w:tcMar>
            <w:vAlign w:val="bottom"/>
          </w:tcPr>
          <w:p w14:paraId="1C6CC37B" w14:textId="77777777" w:rsidR="00C87A11" w:rsidRPr="00C87A11" w:rsidRDefault="00C87A11" w:rsidP="00615190">
            <w:pPr>
              <w:spacing w:line="240" w:lineRule="atLeast"/>
              <w:rPr>
                <w:rFonts w:ascii="Tahoma" w:hAnsi="Tahoma"/>
                <w:color w:val="000000" w:themeColor="text1"/>
                <w:sz w:val="16"/>
                <w:lang w:val="en-GB"/>
              </w:rPr>
            </w:pPr>
            <w:r w:rsidRPr="00C87A11">
              <w:rPr>
                <w:rFonts w:ascii="Tahoma" w:hAnsi="Tahoma"/>
                <w:color w:val="000000" w:themeColor="text1"/>
                <w:sz w:val="16"/>
                <w:lang w:val="en-GB"/>
              </w:rPr>
              <w:t>3</w:t>
            </w:r>
          </w:p>
        </w:tc>
        <w:tc>
          <w:tcPr>
            <w:tcW w:w="1126" w:type="dxa"/>
            <w:shd w:val="clear" w:color="auto" w:fill="auto"/>
            <w:tcMar>
              <w:top w:w="17" w:type="dxa"/>
              <w:left w:w="0" w:type="dxa"/>
              <w:bottom w:w="17" w:type="dxa"/>
              <w:right w:w="0" w:type="dxa"/>
            </w:tcMar>
            <w:vAlign w:val="bottom"/>
          </w:tcPr>
          <w:p w14:paraId="13940E98" w14:textId="77777777" w:rsidR="00C87A11" w:rsidRPr="00C87A11" w:rsidRDefault="00C87A11" w:rsidP="0068173D">
            <w:pPr>
              <w:spacing w:line="240" w:lineRule="atLeast"/>
              <w:jc w:val="right"/>
              <w:rPr>
                <w:rFonts w:ascii="Tahoma" w:hAnsi="Tahoma"/>
                <w:b/>
                <w:bCs/>
                <w:color w:val="000000" w:themeColor="text1"/>
                <w:sz w:val="16"/>
                <w:lang w:val="en-GB"/>
              </w:rPr>
            </w:pPr>
            <w:r w:rsidRPr="00C87A11">
              <w:rPr>
                <w:rFonts w:ascii="Tahoma" w:hAnsi="Tahoma"/>
                <w:b/>
                <w:bCs/>
                <w:color w:val="000000" w:themeColor="text1"/>
                <w:sz w:val="16"/>
                <w:lang w:val="en-GB"/>
              </w:rPr>
              <w:t>(3 377)</w:t>
            </w:r>
          </w:p>
        </w:tc>
        <w:tc>
          <w:tcPr>
            <w:tcW w:w="1134" w:type="dxa"/>
            <w:shd w:val="clear" w:color="auto" w:fill="auto"/>
            <w:tcMar>
              <w:top w:w="17" w:type="dxa"/>
              <w:left w:w="0" w:type="dxa"/>
              <w:bottom w:w="17" w:type="dxa"/>
              <w:right w:w="0" w:type="dxa"/>
            </w:tcMar>
            <w:vAlign w:val="bottom"/>
          </w:tcPr>
          <w:p w14:paraId="32008695" w14:textId="77777777" w:rsidR="00C87A11" w:rsidRPr="00C87A11" w:rsidRDefault="00C87A11" w:rsidP="0068173D">
            <w:pPr>
              <w:spacing w:line="240" w:lineRule="atLeast"/>
              <w:jc w:val="right"/>
              <w:rPr>
                <w:rFonts w:ascii="Tahoma" w:hAnsi="Tahoma"/>
                <w:color w:val="000000" w:themeColor="text1"/>
                <w:sz w:val="16"/>
                <w:lang w:val="en-GB"/>
              </w:rPr>
            </w:pPr>
            <w:r w:rsidRPr="00C87A11">
              <w:rPr>
                <w:rFonts w:ascii="Tahoma" w:hAnsi="Tahoma"/>
                <w:color w:val="000000" w:themeColor="text1"/>
                <w:sz w:val="16"/>
                <w:lang w:val="en-GB"/>
              </w:rPr>
              <w:t>(1 528)</w:t>
            </w:r>
          </w:p>
        </w:tc>
        <w:tc>
          <w:tcPr>
            <w:tcW w:w="1134" w:type="dxa"/>
            <w:shd w:val="clear" w:color="auto" w:fill="auto"/>
            <w:tcMar>
              <w:top w:w="17" w:type="dxa"/>
              <w:left w:w="0" w:type="dxa"/>
              <w:bottom w:w="17" w:type="dxa"/>
              <w:right w:w="0" w:type="dxa"/>
            </w:tcMar>
            <w:vAlign w:val="bottom"/>
          </w:tcPr>
          <w:p w14:paraId="5937BFCB" w14:textId="77777777" w:rsidR="00C87A11" w:rsidRPr="00C87A11" w:rsidRDefault="00C87A11" w:rsidP="0068173D">
            <w:pPr>
              <w:spacing w:line="240" w:lineRule="atLeast"/>
              <w:jc w:val="right"/>
              <w:rPr>
                <w:rFonts w:ascii="Tahoma" w:hAnsi="Tahoma"/>
                <w:color w:val="000000" w:themeColor="text1"/>
                <w:sz w:val="16"/>
                <w:lang w:val="en-GB"/>
              </w:rPr>
            </w:pPr>
            <w:r w:rsidRPr="00C87A11">
              <w:rPr>
                <w:rFonts w:ascii="Tahoma" w:hAnsi="Tahoma"/>
                <w:color w:val="000000" w:themeColor="text1"/>
                <w:sz w:val="16"/>
                <w:lang w:val="en-GB"/>
              </w:rPr>
              <w:t>(4 995)</w:t>
            </w:r>
          </w:p>
        </w:tc>
      </w:tr>
      <w:tr w:rsidR="00615190" w:rsidRPr="00C87A11" w14:paraId="5D668567" w14:textId="77777777" w:rsidTr="0068173D">
        <w:trPr>
          <w:trHeight w:val="60"/>
        </w:trPr>
        <w:tc>
          <w:tcPr>
            <w:tcW w:w="6096" w:type="dxa"/>
            <w:shd w:val="clear" w:color="auto" w:fill="auto"/>
            <w:tcMar>
              <w:top w:w="17" w:type="dxa"/>
              <w:left w:w="0" w:type="dxa"/>
              <w:bottom w:w="17" w:type="dxa"/>
              <w:right w:w="0" w:type="dxa"/>
            </w:tcMar>
            <w:vAlign w:val="bottom"/>
          </w:tcPr>
          <w:p w14:paraId="1EB2D3B5" w14:textId="77777777" w:rsidR="00C87A11" w:rsidRPr="00C87A11" w:rsidRDefault="00C87A11" w:rsidP="00615190">
            <w:pPr>
              <w:spacing w:line="240" w:lineRule="atLeast"/>
              <w:rPr>
                <w:rFonts w:ascii="Tahoma" w:hAnsi="Tahoma"/>
                <w:color w:val="000000" w:themeColor="text1"/>
                <w:sz w:val="16"/>
                <w:lang w:val="en-GB"/>
              </w:rPr>
            </w:pPr>
            <w:r w:rsidRPr="00C87A11">
              <w:rPr>
                <w:rFonts w:ascii="Tahoma" w:hAnsi="Tahoma"/>
                <w:color w:val="000000" w:themeColor="text1"/>
                <w:sz w:val="16"/>
                <w:lang w:val="en-GB"/>
              </w:rPr>
              <w:t>Proceeds from issue of share capital</w:t>
            </w:r>
          </w:p>
        </w:tc>
        <w:tc>
          <w:tcPr>
            <w:tcW w:w="716" w:type="dxa"/>
            <w:shd w:val="clear" w:color="auto" w:fill="auto"/>
            <w:tcMar>
              <w:top w:w="17" w:type="dxa"/>
              <w:left w:w="0" w:type="dxa"/>
              <w:bottom w:w="17" w:type="dxa"/>
              <w:right w:w="0" w:type="dxa"/>
            </w:tcMar>
            <w:vAlign w:val="bottom"/>
          </w:tcPr>
          <w:p w14:paraId="4D707B34" w14:textId="77777777" w:rsidR="00C87A11" w:rsidRPr="00C87A11" w:rsidRDefault="00C87A11" w:rsidP="00615190">
            <w:pPr>
              <w:spacing w:line="240" w:lineRule="atLeast"/>
              <w:rPr>
                <w:rFonts w:ascii="Tahoma" w:hAnsi="Tahoma"/>
                <w:color w:val="000000" w:themeColor="text1"/>
                <w:sz w:val="16"/>
                <w:lang w:val="en-GB"/>
              </w:rPr>
            </w:pPr>
          </w:p>
        </w:tc>
        <w:tc>
          <w:tcPr>
            <w:tcW w:w="1126" w:type="dxa"/>
            <w:shd w:val="clear" w:color="auto" w:fill="auto"/>
            <w:tcMar>
              <w:top w:w="17" w:type="dxa"/>
              <w:left w:w="0" w:type="dxa"/>
              <w:bottom w:w="17" w:type="dxa"/>
              <w:right w:w="0" w:type="dxa"/>
            </w:tcMar>
            <w:vAlign w:val="bottom"/>
          </w:tcPr>
          <w:p w14:paraId="6F33596C" w14:textId="77777777" w:rsidR="00C87A11" w:rsidRPr="00C87A11" w:rsidRDefault="00C87A11" w:rsidP="0068173D">
            <w:pPr>
              <w:spacing w:line="240" w:lineRule="atLeast"/>
              <w:jc w:val="right"/>
              <w:rPr>
                <w:rFonts w:ascii="Tahoma" w:hAnsi="Tahoma"/>
                <w:b/>
                <w:bCs/>
                <w:color w:val="000000" w:themeColor="text1"/>
                <w:sz w:val="16"/>
                <w:lang w:val="en-GB"/>
              </w:rPr>
            </w:pPr>
            <w:r w:rsidRPr="00C87A11">
              <w:rPr>
                <w:rFonts w:ascii="Tahoma" w:hAnsi="Tahoma"/>
                <w:b/>
                <w:bCs/>
                <w:color w:val="000000" w:themeColor="text1"/>
                <w:sz w:val="16"/>
                <w:lang w:val="en-GB"/>
              </w:rPr>
              <w:t>—</w:t>
            </w:r>
          </w:p>
        </w:tc>
        <w:tc>
          <w:tcPr>
            <w:tcW w:w="1134" w:type="dxa"/>
            <w:shd w:val="clear" w:color="auto" w:fill="auto"/>
            <w:tcMar>
              <w:top w:w="17" w:type="dxa"/>
              <w:left w:w="0" w:type="dxa"/>
              <w:bottom w:w="17" w:type="dxa"/>
              <w:right w:w="0" w:type="dxa"/>
            </w:tcMar>
            <w:vAlign w:val="bottom"/>
          </w:tcPr>
          <w:p w14:paraId="1FFA74C7" w14:textId="77777777" w:rsidR="00C87A11" w:rsidRPr="00C87A11" w:rsidRDefault="00C87A11" w:rsidP="0068173D">
            <w:pPr>
              <w:spacing w:line="240" w:lineRule="atLeast"/>
              <w:jc w:val="right"/>
              <w:rPr>
                <w:rFonts w:ascii="Tahoma" w:hAnsi="Tahoma"/>
                <w:color w:val="000000" w:themeColor="text1"/>
                <w:sz w:val="16"/>
                <w:lang w:val="en-GB"/>
              </w:rPr>
            </w:pPr>
            <w:r w:rsidRPr="00C87A11">
              <w:rPr>
                <w:rFonts w:ascii="Tahoma" w:hAnsi="Tahoma"/>
                <w:color w:val="000000" w:themeColor="text1"/>
                <w:sz w:val="16"/>
                <w:lang w:val="en-GB"/>
              </w:rPr>
              <w:t>67</w:t>
            </w:r>
          </w:p>
        </w:tc>
        <w:tc>
          <w:tcPr>
            <w:tcW w:w="1134" w:type="dxa"/>
            <w:shd w:val="clear" w:color="auto" w:fill="auto"/>
            <w:tcMar>
              <w:top w:w="17" w:type="dxa"/>
              <w:left w:w="0" w:type="dxa"/>
              <w:bottom w:w="17" w:type="dxa"/>
              <w:right w:w="0" w:type="dxa"/>
            </w:tcMar>
            <w:vAlign w:val="bottom"/>
          </w:tcPr>
          <w:p w14:paraId="665EC989" w14:textId="77777777" w:rsidR="00C87A11" w:rsidRPr="00C87A11" w:rsidRDefault="00C87A11" w:rsidP="0068173D">
            <w:pPr>
              <w:spacing w:line="240" w:lineRule="atLeast"/>
              <w:jc w:val="right"/>
              <w:rPr>
                <w:rFonts w:ascii="Tahoma" w:hAnsi="Tahoma"/>
                <w:color w:val="000000" w:themeColor="text1"/>
                <w:sz w:val="16"/>
                <w:lang w:val="en-GB"/>
              </w:rPr>
            </w:pPr>
            <w:r w:rsidRPr="00C87A11">
              <w:rPr>
                <w:rFonts w:ascii="Tahoma" w:hAnsi="Tahoma"/>
                <w:color w:val="000000" w:themeColor="text1"/>
                <w:sz w:val="16"/>
                <w:lang w:val="en-GB"/>
              </w:rPr>
              <w:t>66</w:t>
            </w:r>
          </w:p>
        </w:tc>
      </w:tr>
      <w:tr w:rsidR="00615190" w:rsidRPr="00C87A11" w14:paraId="378E4D0A" w14:textId="77777777" w:rsidTr="0068173D">
        <w:trPr>
          <w:trHeight w:val="60"/>
        </w:trPr>
        <w:tc>
          <w:tcPr>
            <w:tcW w:w="6096" w:type="dxa"/>
            <w:shd w:val="clear" w:color="auto" w:fill="auto"/>
            <w:tcMar>
              <w:top w:w="17" w:type="dxa"/>
              <w:left w:w="0" w:type="dxa"/>
              <w:bottom w:w="17" w:type="dxa"/>
              <w:right w:w="0" w:type="dxa"/>
            </w:tcMar>
            <w:vAlign w:val="bottom"/>
          </w:tcPr>
          <w:p w14:paraId="4118AB31" w14:textId="77777777" w:rsidR="00C87A11" w:rsidRPr="00C87A11" w:rsidRDefault="00C87A11" w:rsidP="00615190">
            <w:pPr>
              <w:spacing w:line="240" w:lineRule="atLeast"/>
              <w:rPr>
                <w:rFonts w:ascii="Tahoma" w:hAnsi="Tahoma"/>
                <w:color w:val="000000" w:themeColor="text1"/>
                <w:sz w:val="16"/>
                <w:lang w:val="en-GB"/>
              </w:rPr>
            </w:pPr>
            <w:r w:rsidRPr="00C87A11">
              <w:rPr>
                <w:rFonts w:ascii="Tahoma" w:hAnsi="Tahoma"/>
                <w:color w:val="000000" w:themeColor="text1"/>
                <w:sz w:val="16"/>
                <w:lang w:val="en-GB"/>
              </w:rPr>
              <w:t>Proceeds from long- and short-term loans raised</w:t>
            </w:r>
          </w:p>
        </w:tc>
        <w:tc>
          <w:tcPr>
            <w:tcW w:w="716" w:type="dxa"/>
            <w:shd w:val="clear" w:color="auto" w:fill="auto"/>
            <w:tcMar>
              <w:top w:w="17" w:type="dxa"/>
              <w:left w:w="0" w:type="dxa"/>
              <w:bottom w:w="17" w:type="dxa"/>
              <w:right w:w="0" w:type="dxa"/>
            </w:tcMar>
            <w:vAlign w:val="bottom"/>
          </w:tcPr>
          <w:p w14:paraId="6A6C4A6B" w14:textId="77777777" w:rsidR="00C87A11" w:rsidRPr="00C87A11" w:rsidRDefault="00C87A11" w:rsidP="00615190">
            <w:pPr>
              <w:spacing w:line="240" w:lineRule="atLeast"/>
              <w:rPr>
                <w:rFonts w:ascii="Tahoma" w:hAnsi="Tahoma"/>
                <w:color w:val="000000" w:themeColor="text1"/>
                <w:sz w:val="16"/>
                <w:lang w:val="en-GB"/>
              </w:rPr>
            </w:pPr>
          </w:p>
        </w:tc>
        <w:tc>
          <w:tcPr>
            <w:tcW w:w="1126" w:type="dxa"/>
            <w:shd w:val="clear" w:color="auto" w:fill="auto"/>
            <w:tcMar>
              <w:top w:w="17" w:type="dxa"/>
              <w:left w:w="0" w:type="dxa"/>
              <w:bottom w:w="17" w:type="dxa"/>
              <w:right w:w="0" w:type="dxa"/>
            </w:tcMar>
            <w:vAlign w:val="bottom"/>
          </w:tcPr>
          <w:p w14:paraId="576FDFFC" w14:textId="77777777" w:rsidR="00C87A11" w:rsidRPr="00C87A11" w:rsidRDefault="00C87A11" w:rsidP="0068173D">
            <w:pPr>
              <w:spacing w:line="240" w:lineRule="atLeast"/>
              <w:jc w:val="right"/>
              <w:rPr>
                <w:rFonts w:ascii="Tahoma" w:hAnsi="Tahoma"/>
                <w:b/>
                <w:bCs/>
                <w:color w:val="000000" w:themeColor="text1"/>
                <w:sz w:val="16"/>
                <w:lang w:val="en-GB"/>
              </w:rPr>
            </w:pPr>
            <w:r w:rsidRPr="00C87A11">
              <w:rPr>
                <w:rFonts w:ascii="Tahoma" w:hAnsi="Tahoma"/>
                <w:b/>
                <w:bCs/>
                <w:color w:val="000000" w:themeColor="text1"/>
                <w:sz w:val="16"/>
                <w:lang w:val="en-GB"/>
              </w:rPr>
              <w:t>81</w:t>
            </w:r>
          </w:p>
        </w:tc>
        <w:tc>
          <w:tcPr>
            <w:tcW w:w="1134" w:type="dxa"/>
            <w:shd w:val="clear" w:color="auto" w:fill="auto"/>
            <w:tcMar>
              <w:top w:w="17" w:type="dxa"/>
              <w:left w:w="0" w:type="dxa"/>
              <w:bottom w:w="17" w:type="dxa"/>
              <w:right w:w="0" w:type="dxa"/>
            </w:tcMar>
            <w:vAlign w:val="bottom"/>
          </w:tcPr>
          <w:p w14:paraId="79F09CB6" w14:textId="77777777" w:rsidR="00C87A11" w:rsidRPr="00C87A11" w:rsidRDefault="00C87A11" w:rsidP="0068173D">
            <w:pPr>
              <w:spacing w:line="240" w:lineRule="atLeast"/>
              <w:jc w:val="right"/>
              <w:rPr>
                <w:rFonts w:ascii="Tahoma" w:hAnsi="Tahoma"/>
                <w:color w:val="000000" w:themeColor="text1"/>
                <w:sz w:val="16"/>
                <w:lang w:val="en-GB"/>
              </w:rPr>
            </w:pPr>
            <w:r w:rsidRPr="00C87A11">
              <w:rPr>
                <w:rFonts w:ascii="Tahoma" w:hAnsi="Tahoma"/>
                <w:color w:val="000000" w:themeColor="text1"/>
                <w:sz w:val="16"/>
                <w:lang w:val="en-GB"/>
              </w:rPr>
              <w:t>4 237</w:t>
            </w:r>
          </w:p>
        </w:tc>
        <w:tc>
          <w:tcPr>
            <w:tcW w:w="1134" w:type="dxa"/>
            <w:shd w:val="clear" w:color="auto" w:fill="auto"/>
            <w:tcMar>
              <w:top w:w="17" w:type="dxa"/>
              <w:left w:w="0" w:type="dxa"/>
              <w:bottom w:w="17" w:type="dxa"/>
              <w:right w:w="0" w:type="dxa"/>
            </w:tcMar>
            <w:vAlign w:val="bottom"/>
          </w:tcPr>
          <w:p w14:paraId="1EB8EDFA" w14:textId="77777777" w:rsidR="00C87A11" w:rsidRPr="00C87A11" w:rsidRDefault="00C87A11" w:rsidP="0068173D">
            <w:pPr>
              <w:spacing w:line="240" w:lineRule="atLeast"/>
              <w:jc w:val="right"/>
              <w:rPr>
                <w:rFonts w:ascii="Tahoma" w:hAnsi="Tahoma"/>
                <w:color w:val="000000" w:themeColor="text1"/>
                <w:sz w:val="16"/>
                <w:lang w:val="en-GB"/>
              </w:rPr>
            </w:pPr>
            <w:r w:rsidRPr="00C87A11">
              <w:rPr>
                <w:rFonts w:ascii="Tahoma" w:hAnsi="Tahoma"/>
                <w:color w:val="000000" w:themeColor="text1"/>
                <w:sz w:val="16"/>
                <w:lang w:val="en-GB"/>
              </w:rPr>
              <w:t>9 564</w:t>
            </w:r>
          </w:p>
        </w:tc>
      </w:tr>
      <w:tr w:rsidR="00615190" w:rsidRPr="00C87A11" w14:paraId="366AEEBF" w14:textId="77777777" w:rsidTr="0068173D">
        <w:trPr>
          <w:trHeight w:val="60"/>
        </w:trPr>
        <w:tc>
          <w:tcPr>
            <w:tcW w:w="6096" w:type="dxa"/>
            <w:shd w:val="clear" w:color="auto" w:fill="auto"/>
            <w:tcMar>
              <w:top w:w="17" w:type="dxa"/>
              <w:left w:w="0" w:type="dxa"/>
              <w:bottom w:w="17" w:type="dxa"/>
              <w:right w:w="0" w:type="dxa"/>
            </w:tcMar>
            <w:vAlign w:val="bottom"/>
          </w:tcPr>
          <w:p w14:paraId="692E3B77" w14:textId="77777777" w:rsidR="00C87A11" w:rsidRPr="00C87A11" w:rsidRDefault="00C87A11" w:rsidP="00615190">
            <w:pPr>
              <w:spacing w:line="240" w:lineRule="atLeast"/>
              <w:rPr>
                <w:rFonts w:ascii="Tahoma" w:hAnsi="Tahoma"/>
                <w:color w:val="000000" w:themeColor="text1"/>
                <w:sz w:val="16"/>
                <w:lang w:val="en-GB"/>
              </w:rPr>
            </w:pPr>
            <w:r w:rsidRPr="00C87A11">
              <w:rPr>
                <w:rFonts w:ascii="Tahoma" w:hAnsi="Tahoma"/>
                <w:color w:val="000000" w:themeColor="text1"/>
                <w:sz w:val="16"/>
                <w:lang w:val="en-GB"/>
              </w:rPr>
              <w:t>Repayments of long- and short-term loans</w:t>
            </w:r>
          </w:p>
        </w:tc>
        <w:tc>
          <w:tcPr>
            <w:tcW w:w="716" w:type="dxa"/>
            <w:shd w:val="clear" w:color="auto" w:fill="auto"/>
            <w:tcMar>
              <w:top w:w="17" w:type="dxa"/>
              <w:left w:w="0" w:type="dxa"/>
              <w:bottom w:w="17" w:type="dxa"/>
              <w:right w:w="0" w:type="dxa"/>
            </w:tcMar>
            <w:vAlign w:val="bottom"/>
          </w:tcPr>
          <w:p w14:paraId="2DAC4555" w14:textId="77777777" w:rsidR="00C87A11" w:rsidRPr="00C87A11" w:rsidRDefault="00C87A11" w:rsidP="00615190">
            <w:pPr>
              <w:spacing w:line="240" w:lineRule="atLeast"/>
              <w:rPr>
                <w:rFonts w:ascii="Tahoma" w:hAnsi="Tahoma"/>
                <w:color w:val="000000" w:themeColor="text1"/>
                <w:sz w:val="16"/>
                <w:lang w:val="en-GB"/>
              </w:rPr>
            </w:pPr>
          </w:p>
        </w:tc>
        <w:tc>
          <w:tcPr>
            <w:tcW w:w="1126" w:type="dxa"/>
            <w:shd w:val="clear" w:color="auto" w:fill="auto"/>
            <w:tcMar>
              <w:top w:w="17" w:type="dxa"/>
              <w:left w:w="0" w:type="dxa"/>
              <w:bottom w:w="17" w:type="dxa"/>
              <w:right w:w="0" w:type="dxa"/>
            </w:tcMar>
            <w:vAlign w:val="bottom"/>
          </w:tcPr>
          <w:p w14:paraId="44ECA672" w14:textId="77777777" w:rsidR="00C87A11" w:rsidRPr="00C87A11" w:rsidRDefault="00C87A11" w:rsidP="0068173D">
            <w:pPr>
              <w:spacing w:line="240" w:lineRule="atLeast"/>
              <w:jc w:val="right"/>
              <w:rPr>
                <w:rFonts w:ascii="Tahoma" w:hAnsi="Tahoma"/>
                <w:b/>
                <w:bCs/>
                <w:color w:val="000000" w:themeColor="text1"/>
                <w:sz w:val="16"/>
                <w:lang w:val="en-GB"/>
              </w:rPr>
            </w:pPr>
            <w:r w:rsidRPr="00C87A11">
              <w:rPr>
                <w:rFonts w:ascii="Tahoma" w:hAnsi="Tahoma"/>
                <w:b/>
                <w:bCs/>
                <w:color w:val="000000" w:themeColor="text1"/>
                <w:sz w:val="16"/>
                <w:lang w:val="en-GB"/>
              </w:rPr>
              <w:t>(46)</w:t>
            </w:r>
          </w:p>
        </w:tc>
        <w:tc>
          <w:tcPr>
            <w:tcW w:w="1134" w:type="dxa"/>
            <w:shd w:val="clear" w:color="auto" w:fill="auto"/>
            <w:tcMar>
              <w:top w:w="17" w:type="dxa"/>
              <w:left w:w="0" w:type="dxa"/>
              <w:bottom w:w="17" w:type="dxa"/>
              <w:right w:w="0" w:type="dxa"/>
            </w:tcMar>
            <w:vAlign w:val="bottom"/>
          </w:tcPr>
          <w:p w14:paraId="45BA31B7" w14:textId="77777777" w:rsidR="00C87A11" w:rsidRPr="00C87A11" w:rsidRDefault="00C87A11" w:rsidP="0068173D">
            <w:pPr>
              <w:spacing w:line="240" w:lineRule="atLeast"/>
              <w:jc w:val="right"/>
              <w:rPr>
                <w:rFonts w:ascii="Tahoma" w:hAnsi="Tahoma"/>
                <w:color w:val="000000" w:themeColor="text1"/>
                <w:sz w:val="16"/>
                <w:lang w:val="en-GB"/>
              </w:rPr>
            </w:pPr>
            <w:r w:rsidRPr="00C87A11">
              <w:rPr>
                <w:rFonts w:ascii="Tahoma" w:hAnsi="Tahoma"/>
                <w:color w:val="000000" w:themeColor="text1"/>
                <w:sz w:val="16"/>
                <w:lang w:val="en-GB"/>
              </w:rPr>
              <w:t>(1 709)</w:t>
            </w:r>
          </w:p>
        </w:tc>
        <w:tc>
          <w:tcPr>
            <w:tcW w:w="1134" w:type="dxa"/>
            <w:shd w:val="clear" w:color="auto" w:fill="auto"/>
            <w:tcMar>
              <w:top w:w="17" w:type="dxa"/>
              <w:left w:w="0" w:type="dxa"/>
              <w:bottom w:w="17" w:type="dxa"/>
              <w:right w:w="0" w:type="dxa"/>
            </w:tcMar>
            <w:vAlign w:val="bottom"/>
          </w:tcPr>
          <w:p w14:paraId="13120C34" w14:textId="77777777" w:rsidR="00C87A11" w:rsidRPr="00C87A11" w:rsidRDefault="00C87A11" w:rsidP="0068173D">
            <w:pPr>
              <w:spacing w:line="240" w:lineRule="atLeast"/>
              <w:jc w:val="right"/>
              <w:rPr>
                <w:rFonts w:ascii="Tahoma" w:hAnsi="Tahoma"/>
                <w:color w:val="000000" w:themeColor="text1"/>
                <w:sz w:val="16"/>
                <w:lang w:val="en-GB"/>
              </w:rPr>
            </w:pPr>
            <w:r w:rsidRPr="00C87A11">
              <w:rPr>
                <w:rFonts w:ascii="Tahoma" w:hAnsi="Tahoma"/>
                <w:color w:val="000000" w:themeColor="text1"/>
                <w:sz w:val="16"/>
                <w:lang w:val="en-GB"/>
              </w:rPr>
              <w:t>(1 619)</w:t>
            </w:r>
          </w:p>
        </w:tc>
      </w:tr>
      <w:tr w:rsidR="00615190" w:rsidRPr="00C87A11" w14:paraId="6E90E56F" w14:textId="77777777" w:rsidTr="0068173D">
        <w:trPr>
          <w:trHeight w:val="60"/>
        </w:trPr>
        <w:tc>
          <w:tcPr>
            <w:tcW w:w="6096" w:type="dxa"/>
            <w:shd w:val="clear" w:color="auto" w:fill="auto"/>
            <w:tcMar>
              <w:top w:w="17" w:type="dxa"/>
              <w:left w:w="0" w:type="dxa"/>
              <w:bottom w:w="17" w:type="dxa"/>
              <w:right w:w="0" w:type="dxa"/>
            </w:tcMar>
            <w:vAlign w:val="bottom"/>
          </w:tcPr>
          <w:p w14:paraId="3F55F6A5" w14:textId="77777777" w:rsidR="00C87A11" w:rsidRPr="00C87A11" w:rsidRDefault="00C87A11" w:rsidP="00615190">
            <w:pPr>
              <w:spacing w:line="240" w:lineRule="atLeast"/>
              <w:rPr>
                <w:rFonts w:ascii="Tahoma" w:hAnsi="Tahoma"/>
                <w:color w:val="000000" w:themeColor="text1"/>
                <w:sz w:val="16"/>
                <w:lang w:val="en-GB"/>
              </w:rPr>
            </w:pPr>
            <w:r w:rsidRPr="00C87A11">
              <w:rPr>
                <w:rFonts w:ascii="Tahoma" w:hAnsi="Tahoma"/>
                <w:color w:val="000000" w:themeColor="text1"/>
                <w:sz w:val="16"/>
                <w:lang w:val="en-GB"/>
              </w:rPr>
              <w:t>Acquisition of Naspers shares resulting in a capital restructure</w:t>
            </w:r>
            <w:r w:rsidRPr="00C87A11">
              <w:rPr>
                <w:rFonts w:ascii="Tahoma" w:hAnsi="Tahoma"/>
                <w:color w:val="000000" w:themeColor="text1"/>
                <w:sz w:val="16"/>
                <w:vertAlign w:val="superscript"/>
                <w:lang w:val="en-GB"/>
              </w:rPr>
              <w:t>4</w:t>
            </w:r>
          </w:p>
        </w:tc>
        <w:tc>
          <w:tcPr>
            <w:tcW w:w="716" w:type="dxa"/>
            <w:shd w:val="clear" w:color="auto" w:fill="auto"/>
            <w:tcMar>
              <w:top w:w="17" w:type="dxa"/>
              <w:left w:w="0" w:type="dxa"/>
              <w:bottom w:w="17" w:type="dxa"/>
              <w:right w:w="0" w:type="dxa"/>
            </w:tcMar>
            <w:vAlign w:val="bottom"/>
          </w:tcPr>
          <w:p w14:paraId="5FE3E8F0" w14:textId="77777777" w:rsidR="00C87A11" w:rsidRPr="00C87A11" w:rsidRDefault="00C87A11" w:rsidP="00615190">
            <w:pPr>
              <w:spacing w:line="240" w:lineRule="atLeast"/>
              <w:rPr>
                <w:rFonts w:ascii="Tahoma" w:hAnsi="Tahoma"/>
                <w:color w:val="000000" w:themeColor="text1"/>
                <w:sz w:val="16"/>
                <w:lang w:val="en-GB"/>
              </w:rPr>
            </w:pPr>
          </w:p>
        </w:tc>
        <w:tc>
          <w:tcPr>
            <w:tcW w:w="1126" w:type="dxa"/>
            <w:shd w:val="clear" w:color="auto" w:fill="auto"/>
            <w:tcMar>
              <w:top w:w="17" w:type="dxa"/>
              <w:left w:w="0" w:type="dxa"/>
              <w:bottom w:w="17" w:type="dxa"/>
              <w:right w:w="0" w:type="dxa"/>
            </w:tcMar>
            <w:vAlign w:val="bottom"/>
          </w:tcPr>
          <w:p w14:paraId="456C2697" w14:textId="77777777" w:rsidR="00C87A11" w:rsidRPr="00C87A11" w:rsidRDefault="00C87A11" w:rsidP="0068173D">
            <w:pPr>
              <w:spacing w:line="240" w:lineRule="atLeast"/>
              <w:jc w:val="right"/>
              <w:rPr>
                <w:rFonts w:ascii="Tahoma" w:hAnsi="Tahoma"/>
                <w:b/>
                <w:bCs/>
                <w:color w:val="000000" w:themeColor="text1"/>
                <w:sz w:val="16"/>
                <w:lang w:val="en-GB"/>
              </w:rPr>
            </w:pPr>
            <w:r w:rsidRPr="00C87A11">
              <w:rPr>
                <w:rFonts w:ascii="Tahoma" w:hAnsi="Tahoma"/>
                <w:b/>
                <w:bCs/>
                <w:color w:val="000000" w:themeColor="text1"/>
                <w:sz w:val="16"/>
                <w:lang w:val="en-GB"/>
              </w:rPr>
              <w:t>(615)</w:t>
            </w:r>
          </w:p>
        </w:tc>
        <w:tc>
          <w:tcPr>
            <w:tcW w:w="1134" w:type="dxa"/>
            <w:shd w:val="clear" w:color="auto" w:fill="auto"/>
            <w:tcMar>
              <w:top w:w="17" w:type="dxa"/>
              <w:left w:w="0" w:type="dxa"/>
              <w:bottom w:w="17" w:type="dxa"/>
              <w:right w:w="0" w:type="dxa"/>
            </w:tcMar>
            <w:vAlign w:val="bottom"/>
          </w:tcPr>
          <w:p w14:paraId="61113BCE" w14:textId="77777777" w:rsidR="00C87A11" w:rsidRPr="00C87A11" w:rsidRDefault="00C87A11" w:rsidP="0068173D">
            <w:pPr>
              <w:spacing w:line="240" w:lineRule="atLeast"/>
              <w:jc w:val="right"/>
              <w:rPr>
                <w:rFonts w:ascii="Tahoma" w:hAnsi="Tahoma"/>
                <w:color w:val="000000" w:themeColor="text1"/>
                <w:sz w:val="16"/>
                <w:lang w:val="en-GB"/>
              </w:rPr>
            </w:pPr>
            <w:r w:rsidRPr="00C87A11">
              <w:rPr>
                <w:rFonts w:ascii="Tahoma" w:hAnsi="Tahoma"/>
                <w:color w:val="000000" w:themeColor="text1"/>
                <w:sz w:val="16"/>
                <w:lang w:val="en-GB"/>
              </w:rPr>
              <w:t>—</w:t>
            </w:r>
          </w:p>
        </w:tc>
        <w:tc>
          <w:tcPr>
            <w:tcW w:w="1134" w:type="dxa"/>
            <w:shd w:val="clear" w:color="auto" w:fill="auto"/>
            <w:tcMar>
              <w:top w:w="17" w:type="dxa"/>
              <w:left w:w="0" w:type="dxa"/>
              <w:bottom w:w="17" w:type="dxa"/>
              <w:right w:w="0" w:type="dxa"/>
            </w:tcMar>
            <w:vAlign w:val="bottom"/>
          </w:tcPr>
          <w:p w14:paraId="6D303C94" w14:textId="77777777" w:rsidR="00C87A11" w:rsidRPr="00C87A11" w:rsidRDefault="00C87A11" w:rsidP="0068173D">
            <w:pPr>
              <w:spacing w:line="240" w:lineRule="atLeast"/>
              <w:jc w:val="right"/>
              <w:rPr>
                <w:rFonts w:ascii="Tahoma" w:hAnsi="Tahoma"/>
                <w:color w:val="000000" w:themeColor="text1"/>
                <w:sz w:val="16"/>
                <w:lang w:val="en-GB"/>
              </w:rPr>
            </w:pPr>
            <w:r w:rsidRPr="00C87A11">
              <w:rPr>
                <w:rFonts w:ascii="Tahoma" w:hAnsi="Tahoma"/>
                <w:color w:val="000000" w:themeColor="text1"/>
                <w:sz w:val="16"/>
                <w:lang w:val="en-GB"/>
              </w:rPr>
              <w:t>—</w:t>
            </w:r>
          </w:p>
        </w:tc>
      </w:tr>
      <w:tr w:rsidR="00615190" w:rsidRPr="00C87A11" w14:paraId="53BE616B" w14:textId="77777777" w:rsidTr="0068173D">
        <w:trPr>
          <w:trHeight w:val="60"/>
        </w:trPr>
        <w:tc>
          <w:tcPr>
            <w:tcW w:w="6096" w:type="dxa"/>
            <w:shd w:val="clear" w:color="auto" w:fill="auto"/>
            <w:tcMar>
              <w:top w:w="17" w:type="dxa"/>
              <w:left w:w="0" w:type="dxa"/>
              <w:bottom w:w="17" w:type="dxa"/>
              <w:right w:w="0" w:type="dxa"/>
            </w:tcMar>
            <w:vAlign w:val="bottom"/>
          </w:tcPr>
          <w:p w14:paraId="47BED447" w14:textId="77777777" w:rsidR="00C87A11" w:rsidRPr="00C87A11" w:rsidRDefault="00C87A11" w:rsidP="00615190">
            <w:pPr>
              <w:spacing w:line="240" w:lineRule="atLeast"/>
              <w:rPr>
                <w:rFonts w:ascii="Tahoma" w:hAnsi="Tahoma"/>
                <w:color w:val="000000" w:themeColor="text1"/>
                <w:sz w:val="16"/>
                <w:lang w:val="en-GB"/>
              </w:rPr>
            </w:pPr>
            <w:r w:rsidRPr="00C87A11">
              <w:rPr>
                <w:rFonts w:ascii="Tahoma" w:hAnsi="Tahoma"/>
                <w:color w:val="000000" w:themeColor="text1"/>
                <w:sz w:val="16"/>
                <w:lang w:val="en-GB"/>
              </w:rPr>
              <w:t>Additional investment in existing subsidiaries</w:t>
            </w:r>
            <w:r w:rsidRPr="00C87A11">
              <w:rPr>
                <w:rFonts w:ascii="Tahoma" w:hAnsi="Tahoma"/>
                <w:color w:val="000000" w:themeColor="text1"/>
                <w:sz w:val="16"/>
                <w:vertAlign w:val="superscript"/>
                <w:lang w:val="en-GB"/>
              </w:rPr>
              <w:t>5</w:t>
            </w:r>
          </w:p>
        </w:tc>
        <w:tc>
          <w:tcPr>
            <w:tcW w:w="716" w:type="dxa"/>
            <w:shd w:val="clear" w:color="auto" w:fill="auto"/>
            <w:tcMar>
              <w:top w:w="17" w:type="dxa"/>
              <w:left w:w="0" w:type="dxa"/>
              <w:bottom w:w="17" w:type="dxa"/>
              <w:right w:w="0" w:type="dxa"/>
            </w:tcMar>
            <w:vAlign w:val="bottom"/>
          </w:tcPr>
          <w:p w14:paraId="7EE2727E" w14:textId="77777777" w:rsidR="00C87A11" w:rsidRPr="00C87A11" w:rsidRDefault="00C87A11" w:rsidP="00615190">
            <w:pPr>
              <w:spacing w:line="240" w:lineRule="atLeast"/>
              <w:rPr>
                <w:rFonts w:ascii="Tahoma" w:hAnsi="Tahoma"/>
                <w:color w:val="000000" w:themeColor="text1"/>
                <w:sz w:val="16"/>
                <w:lang w:val="en-GB"/>
              </w:rPr>
            </w:pPr>
          </w:p>
        </w:tc>
        <w:tc>
          <w:tcPr>
            <w:tcW w:w="1126" w:type="dxa"/>
            <w:shd w:val="clear" w:color="auto" w:fill="auto"/>
            <w:tcMar>
              <w:top w:w="17" w:type="dxa"/>
              <w:left w:w="0" w:type="dxa"/>
              <w:bottom w:w="17" w:type="dxa"/>
              <w:right w:w="0" w:type="dxa"/>
            </w:tcMar>
            <w:vAlign w:val="bottom"/>
          </w:tcPr>
          <w:p w14:paraId="504F4FA6" w14:textId="77777777" w:rsidR="00C87A11" w:rsidRPr="00C87A11" w:rsidRDefault="00C87A11" w:rsidP="0068173D">
            <w:pPr>
              <w:spacing w:line="240" w:lineRule="atLeast"/>
              <w:jc w:val="right"/>
              <w:rPr>
                <w:rFonts w:ascii="Tahoma" w:hAnsi="Tahoma"/>
                <w:b/>
                <w:bCs/>
                <w:color w:val="000000" w:themeColor="text1"/>
                <w:sz w:val="16"/>
                <w:lang w:val="en-GB"/>
              </w:rPr>
            </w:pPr>
            <w:r w:rsidRPr="00C87A11">
              <w:rPr>
                <w:rFonts w:ascii="Tahoma" w:hAnsi="Tahoma"/>
                <w:b/>
                <w:bCs/>
                <w:color w:val="000000" w:themeColor="text1"/>
                <w:sz w:val="16"/>
                <w:lang w:val="en-GB"/>
              </w:rPr>
              <w:t>(14)</w:t>
            </w:r>
          </w:p>
        </w:tc>
        <w:tc>
          <w:tcPr>
            <w:tcW w:w="1134" w:type="dxa"/>
            <w:shd w:val="clear" w:color="auto" w:fill="auto"/>
            <w:tcMar>
              <w:top w:w="17" w:type="dxa"/>
              <w:left w:w="0" w:type="dxa"/>
              <w:bottom w:w="17" w:type="dxa"/>
              <w:right w:w="0" w:type="dxa"/>
            </w:tcMar>
            <w:vAlign w:val="bottom"/>
          </w:tcPr>
          <w:p w14:paraId="0DAF6129" w14:textId="77777777" w:rsidR="00C87A11" w:rsidRPr="00C87A11" w:rsidRDefault="00C87A11" w:rsidP="0068173D">
            <w:pPr>
              <w:spacing w:line="240" w:lineRule="atLeast"/>
              <w:jc w:val="right"/>
              <w:rPr>
                <w:rFonts w:ascii="Tahoma" w:hAnsi="Tahoma"/>
                <w:color w:val="000000" w:themeColor="text1"/>
                <w:sz w:val="16"/>
                <w:lang w:val="en-GB"/>
              </w:rPr>
            </w:pPr>
            <w:r w:rsidRPr="00C87A11">
              <w:rPr>
                <w:rFonts w:ascii="Tahoma" w:hAnsi="Tahoma"/>
                <w:color w:val="000000" w:themeColor="text1"/>
                <w:sz w:val="16"/>
                <w:lang w:val="en-GB"/>
              </w:rPr>
              <w:t>(115)</w:t>
            </w:r>
          </w:p>
        </w:tc>
        <w:tc>
          <w:tcPr>
            <w:tcW w:w="1134" w:type="dxa"/>
            <w:shd w:val="clear" w:color="auto" w:fill="auto"/>
            <w:tcMar>
              <w:top w:w="17" w:type="dxa"/>
              <w:left w:w="0" w:type="dxa"/>
              <w:bottom w:w="17" w:type="dxa"/>
              <w:right w:w="0" w:type="dxa"/>
            </w:tcMar>
            <w:vAlign w:val="bottom"/>
          </w:tcPr>
          <w:p w14:paraId="1C2F0ACF" w14:textId="77777777" w:rsidR="00C87A11" w:rsidRPr="00C87A11" w:rsidRDefault="00C87A11" w:rsidP="0068173D">
            <w:pPr>
              <w:spacing w:line="240" w:lineRule="atLeast"/>
              <w:jc w:val="right"/>
              <w:rPr>
                <w:rFonts w:ascii="Tahoma" w:hAnsi="Tahoma"/>
                <w:color w:val="000000" w:themeColor="text1"/>
                <w:sz w:val="16"/>
                <w:lang w:val="en-GB"/>
              </w:rPr>
            </w:pPr>
            <w:r w:rsidRPr="00C87A11">
              <w:rPr>
                <w:rFonts w:ascii="Tahoma" w:hAnsi="Tahoma"/>
                <w:color w:val="000000" w:themeColor="text1"/>
                <w:sz w:val="16"/>
                <w:lang w:val="en-GB"/>
              </w:rPr>
              <w:t>(148)</w:t>
            </w:r>
          </w:p>
        </w:tc>
      </w:tr>
      <w:tr w:rsidR="00615190" w:rsidRPr="00C87A11" w14:paraId="1CCFD4D3" w14:textId="77777777" w:rsidTr="0068173D">
        <w:trPr>
          <w:trHeight w:val="60"/>
        </w:trPr>
        <w:tc>
          <w:tcPr>
            <w:tcW w:w="6096" w:type="dxa"/>
            <w:shd w:val="clear" w:color="auto" w:fill="auto"/>
            <w:tcMar>
              <w:top w:w="17" w:type="dxa"/>
              <w:left w:w="0" w:type="dxa"/>
              <w:bottom w:w="17" w:type="dxa"/>
              <w:right w:w="0" w:type="dxa"/>
            </w:tcMar>
            <w:vAlign w:val="bottom"/>
          </w:tcPr>
          <w:p w14:paraId="49AC24E1" w14:textId="77777777" w:rsidR="00C87A11" w:rsidRPr="00C87A11" w:rsidRDefault="00C87A11" w:rsidP="00615190">
            <w:pPr>
              <w:spacing w:line="240" w:lineRule="atLeast"/>
              <w:rPr>
                <w:rFonts w:ascii="Tahoma" w:hAnsi="Tahoma"/>
                <w:color w:val="000000" w:themeColor="text1"/>
                <w:sz w:val="16"/>
                <w:lang w:val="en-GB"/>
              </w:rPr>
            </w:pPr>
            <w:r w:rsidRPr="00C87A11">
              <w:rPr>
                <w:rFonts w:ascii="Tahoma" w:hAnsi="Tahoma"/>
                <w:color w:val="000000" w:themeColor="text1"/>
                <w:sz w:val="16"/>
                <w:lang w:val="en-GB"/>
              </w:rPr>
              <w:t>Dividends and capital repayments paid to shareholders</w:t>
            </w:r>
          </w:p>
        </w:tc>
        <w:tc>
          <w:tcPr>
            <w:tcW w:w="716" w:type="dxa"/>
            <w:shd w:val="clear" w:color="auto" w:fill="auto"/>
            <w:tcMar>
              <w:top w:w="17" w:type="dxa"/>
              <w:left w:w="0" w:type="dxa"/>
              <w:bottom w:w="17" w:type="dxa"/>
              <w:right w:w="0" w:type="dxa"/>
            </w:tcMar>
            <w:vAlign w:val="bottom"/>
          </w:tcPr>
          <w:p w14:paraId="6C0FB1DD" w14:textId="77777777" w:rsidR="00C87A11" w:rsidRPr="00C87A11" w:rsidRDefault="00C87A11" w:rsidP="00615190">
            <w:pPr>
              <w:spacing w:line="240" w:lineRule="atLeast"/>
              <w:rPr>
                <w:rFonts w:ascii="Tahoma" w:hAnsi="Tahoma"/>
                <w:color w:val="000000" w:themeColor="text1"/>
                <w:sz w:val="16"/>
                <w:lang w:val="en-GB"/>
              </w:rPr>
            </w:pPr>
          </w:p>
        </w:tc>
        <w:tc>
          <w:tcPr>
            <w:tcW w:w="1126" w:type="dxa"/>
            <w:shd w:val="clear" w:color="auto" w:fill="auto"/>
            <w:tcMar>
              <w:top w:w="17" w:type="dxa"/>
              <w:left w:w="0" w:type="dxa"/>
              <w:bottom w:w="17" w:type="dxa"/>
              <w:right w:w="0" w:type="dxa"/>
            </w:tcMar>
            <w:vAlign w:val="bottom"/>
          </w:tcPr>
          <w:p w14:paraId="31275B3B" w14:textId="77777777" w:rsidR="00C87A11" w:rsidRPr="00C87A11" w:rsidRDefault="00C87A11" w:rsidP="0068173D">
            <w:pPr>
              <w:spacing w:line="240" w:lineRule="atLeast"/>
              <w:jc w:val="right"/>
              <w:rPr>
                <w:rFonts w:ascii="Tahoma" w:hAnsi="Tahoma"/>
                <w:b/>
                <w:bCs/>
                <w:color w:val="000000" w:themeColor="text1"/>
                <w:sz w:val="16"/>
                <w:lang w:val="en-GB"/>
              </w:rPr>
            </w:pPr>
            <w:r w:rsidRPr="00C87A11">
              <w:rPr>
                <w:rFonts w:ascii="Tahoma" w:hAnsi="Tahoma"/>
                <w:b/>
                <w:bCs/>
                <w:color w:val="000000" w:themeColor="text1"/>
                <w:sz w:val="16"/>
                <w:lang w:val="en-GB"/>
              </w:rPr>
              <w:t>(190)</w:t>
            </w:r>
          </w:p>
        </w:tc>
        <w:tc>
          <w:tcPr>
            <w:tcW w:w="1134" w:type="dxa"/>
            <w:shd w:val="clear" w:color="auto" w:fill="auto"/>
            <w:tcMar>
              <w:top w:w="17" w:type="dxa"/>
              <w:left w:w="0" w:type="dxa"/>
              <w:bottom w:w="17" w:type="dxa"/>
              <w:right w:w="0" w:type="dxa"/>
            </w:tcMar>
            <w:vAlign w:val="bottom"/>
          </w:tcPr>
          <w:p w14:paraId="4DE3A84C" w14:textId="77777777" w:rsidR="00C87A11" w:rsidRPr="00C87A11" w:rsidRDefault="00C87A11" w:rsidP="0068173D">
            <w:pPr>
              <w:spacing w:line="240" w:lineRule="atLeast"/>
              <w:jc w:val="right"/>
              <w:rPr>
                <w:rFonts w:ascii="Tahoma" w:hAnsi="Tahoma"/>
                <w:color w:val="000000" w:themeColor="text1"/>
                <w:sz w:val="16"/>
                <w:lang w:val="en-GB"/>
              </w:rPr>
            </w:pPr>
            <w:r w:rsidRPr="00C87A11">
              <w:rPr>
                <w:rFonts w:ascii="Tahoma" w:hAnsi="Tahoma"/>
                <w:color w:val="000000" w:themeColor="text1"/>
                <w:sz w:val="16"/>
                <w:lang w:val="en-GB"/>
              </w:rPr>
              <w:t>—</w:t>
            </w:r>
          </w:p>
        </w:tc>
        <w:tc>
          <w:tcPr>
            <w:tcW w:w="1134" w:type="dxa"/>
            <w:shd w:val="clear" w:color="auto" w:fill="auto"/>
            <w:tcMar>
              <w:top w:w="17" w:type="dxa"/>
              <w:left w:w="0" w:type="dxa"/>
              <w:bottom w:w="17" w:type="dxa"/>
              <w:right w:w="0" w:type="dxa"/>
            </w:tcMar>
            <w:vAlign w:val="bottom"/>
          </w:tcPr>
          <w:p w14:paraId="31BC387D" w14:textId="77777777" w:rsidR="00C87A11" w:rsidRPr="00C87A11" w:rsidRDefault="00C87A11" w:rsidP="0068173D">
            <w:pPr>
              <w:spacing w:line="240" w:lineRule="atLeast"/>
              <w:jc w:val="right"/>
              <w:rPr>
                <w:rFonts w:ascii="Tahoma" w:hAnsi="Tahoma"/>
                <w:color w:val="000000" w:themeColor="text1"/>
                <w:sz w:val="16"/>
                <w:lang w:val="en-GB"/>
              </w:rPr>
            </w:pPr>
            <w:r w:rsidRPr="00C87A11">
              <w:rPr>
                <w:rFonts w:ascii="Tahoma" w:hAnsi="Tahoma"/>
                <w:color w:val="000000" w:themeColor="text1"/>
                <w:sz w:val="16"/>
                <w:lang w:val="en-GB"/>
              </w:rPr>
              <w:t>(238)</w:t>
            </w:r>
          </w:p>
        </w:tc>
      </w:tr>
      <w:tr w:rsidR="00615190" w:rsidRPr="00C87A11" w14:paraId="7604D158" w14:textId="77777777" w:rsidTr="0068173D">
        <w:trPr>
          <w:trHeight w:val="60"/>
        </w:trPr>
        <w:tc>
          <w:tcPr>
            <w:tcW w:w="6096" w:type="dxa"/>
            <w:shd w:val="clear" w:color="auto" w:fill="auto"/>
            <w:tcMar>
              <w:top w:w="17" w:type="dxa"/>
              <w:left w:w="0" w:type="dxa"/>
              <w:bottom w:w="17" w:type="dxa"/>
              <w:right w:w="0" w:type="dxa"/>
            </w:tcMar>
            <w:vAlign w:val="bottom"/>
          </w:tcPr>
          <w:p w14:paraId="6C246C14" w14:textId="77777777" w:rsidR="00C87A11" w:rsidRPr="00C87A11" w:rsidRDefault="00C87A11" w:rsidP="00615190">
            <w:pPr>
              <w:spacing w:line="240" w:lineRule="atLeast"/>
              <w:rPr>
                <w:rFonts w:ascii="Tahoma" w:hAnsi="Tahoma"/>
                <w:color w:val="000000" w:themeColor="text1"/>
                <w:sz w:val="16"/>
                <w:lang w:val="en-GB"/>
              </w:rPr>
            </w:pPr>
            <w:r w:rsidRPr="00C87A11">
              <w:rPr>
                <w:rFonts w:ascii="Tahoma" w:hAnsi="Tahoma"/>
                <w:color w:val="000000" w:themeColor="text1"/>
                <w:sz w:val="16"/>
                <w:lang w:val="en-GB"/>
              </w:rPr>
              <w:t>Contributions made to Naspers share trusts</w:t>
            </w:r>
          </w:p>
        </w:tc>
        <w:tc>
          <w:tcPr>
            <w:tcW w:w="716" w:type="dxa"/>
            <w:shd w:val="clear" w:color="auto" w:fill="auto"/>
            <w:tcMar>
              <w:top w:w="17" w:type="dxa"/>
              <w:left w:w="0" w:type="dxa"/>
              <w:bottom w:w="17" w:type="dxa"/>
              <w:right w:w="0" w:type="dxa"/>
            </w:tcMar>
            <w:vAlign w:val="bottom"/>
          </w:tcPr>
          <w:p w14:paraId="4C533BC4" w14:textId="77777777" w:rsidR="00C87A11" w:rsidRPr="00C87A11" w:rsidRDefault="00C87A11" w:rsidP="00615190">
            <w:pPr>
              <w:spacing w:line="240" w:lineRule="atLeast"/>
              <w:rPr>
                <w:rFonts w:ascii="Tahoma" w:hAnsi="Tahoma"/>
                <w:color w:val="000000" w:themeColor="text1"/>
                <w:sz w:val="16"/>
                <w:lang w:val="en-GB"/>
              </w:rPr>
            </w:pPr>
            <w:r w:rsidRPr="00C87A11">
              <w:rPr>
                <w:rFonts w:ascii="Tahoma" w:hAnsi="Tahoma"/>
                <w:color w:val="000000" w:themeColor="text1"/>
                <w:sz w:val="16"/>
                <w:lang w:val="en-GB"/>
              </w:rPr>
              <w:t>18</w:t>
            </w:r>
          </w:p>
        </w:tc>
        <w:tc>
          <w:tcPr>
            <w:tcW w:w="1126" w:type="dxa"/>
            <w:shd w:val="clear" w:color="auto" w:fill="auto"/>
            <w:tcMar>
              <w:top w:w="17" w:type="dxa"/>
              <w:left w:w="0" w:type="dxa"/>
              <w:bottom w:w="17" w:type="dxa"/>
              <w:right w:w="0" w:type="dxa"/>
            </w:tcMar>
            <w:vAlign w:val="bottom"/>
          </w:tcPr>
          <w:p w14:paraId="3028BBD3" w14:textId="77777777" w:rsidR="00C87A11" w:rsidRPr="00C87A11" w:rsidRDefault="00C87A11" w:rsidP="0068173D">
            <w:pPr>
              <w:spacing w:line="240" w:lineRule="atLeast"/>
              <w:jc w:val="right"/>
              <w:rPr>
                <w:rFonts w:ascii="Tahoma" w:hAnsi="Tahoma"/>
                <w:b/>
                <w:bCs/>
                <w:color w:val="000000" w:themeColor="text1"/>
                <w:sz w:val="16"/>
                <w:lang w:val="en-GB"/>
              </w:rPr>
            </w:pPr>
            <w:r w:rsidRPr="00C87A11">
              <w:rPr>
                <w:rFonts w:ascii="Tahoma" w:hAnsi="Tahoma"/>
                <w:b/>
                <w:bCs/>
                <w:color w:val="000000" w:themeColor="text1"/>
                <w:sz w:val="16"/>
                <w:lang w:val="en-GB"/>
              </w:rPr>
              <w:t>(127)</w:t>
            </w:r>
          </w:p>
        </w:tc>
        <w:tc>
          <w:tcPr>
            <w:tcW w:w="1134" w:type="dxa"/>
            <w:shd w:val="clear" w:color="auto" w:fill="auto"/>
            <w:tcMar>
              <w:top w:w="17" w:type="dxa"/>
              <w:left w:w="0" w:type="dxa"/>
              <w:bottom w:w="17" w:type="dxa"/>
              <w:right w:w="0" w:type="dxa"/>
            </w:tcMar>
            <w:vAlign w:val="bottom"/>
          </w:tcPr>
          <w:p w14:paraId="25BA5D87" w14:textId="77777777" w:rsidR="00C87A11" w:rsidRPr="00C87A11" w:rsidRDefault="00C87A11" w:rsidP="0068173D">
            <w:pPr>
              <w:spacing w:line="240" w:lineRule="atLeast"/>
              <w:jc w:val="right"/>
              <w:rPr>
                <w:rFonts w:ascii="Tahoma" w:hAnsi="Tahoma"/>
                <w:color w:val="000000" w:themeColor="text1"/>
                <w:sz w:val="16"/>
                <w:lang w:val="en-GB"/>
              </w:rPr>
            </w:pPr>
            <w:r w:rsidRPr="00C87A11">
              <w:rPr>
                <w:rFonts w:ascii="Tahoma" w:hAnsi="Tahoma"/>
                <w:color w:val="000000" w:themeColor="text1"/>
                <w:sz w:val="16"/>
                <w:lang w:val="en-GB"/>
              </w:rPr>
              <w:t>(151)</w:t>
            </w:r>
          </w:p>
        </w:tc>
        <w:tc>
          <w:tcPr>
            <w:tcW w:w="1134" w:type="dxa"/>
            <w:shd w:val="clear" w:color="auto" w:fill="auto"/>
            <w:tcMar>
              <w:top w:w="17" w:type="dxa"/>
              <w:left w:w="0" w:type="dxa"/>
              <w:bottom w:w="17" w:type="dxa"/>
              <w:right w:w="0" w:type="dxa"/>
            </w:tcMar>
            <w:vAlign w:val="bottom"/>
          </w:tcPr>
          <w:p w14:paraId="79A2CFA4" w14:textId="77777777" w:rsidR="00C87A11" w:rsidRPr="00C87A11" w:rsidRDefault="00C87A11" w:rsidP="0068173D">
            <w:pPr>
              <w:spacing w:line="240" w:lineRule="atLeast"/>
              <w:jc w:val="right"/>
              <w:rPr>
                <w:rFonts w:ascii="Tahoma" w:hAnsi="Tahoma"/>
                <w:color w:val="000000" w:themeColor="text1"/>
                <w:sz w:val="16"/>
                <w:lang w:val="en-GB"/>
              </w:rPr>
            </w:pPr>
            <w:r w:rsidRPr="00C87A11">
              <w:rPr>
                <w:rFonts w:ascii="Tahoma" w:hAnsi="Tahoma"/>
                <w:color w:val="000000" w:themeColor="text1"/>
                <w:sz w:val="16"/>
                <w:lang w:val="en-GB"/>
              </w:rPr>
              <w:t>(190)</w:t>
            </w:r>
          </w:p>
        </w:tc>
      </w:tr>
      <w:tr w:rsidR="00615190" w:rsidRPr="00C87A11" w14:paraId="675072DA" w14:textId="77777777" w:rsidTr="0068173D">
        <w:trPr>
          <w:trHeight w:val="60"/>
        </w:trPr>
        <w:tc>
          <w:tcPr>
            <w:tcW w:w="6096" w:type="dxa"/>
            <w:shd w:val="clear" w:color="auto" w:fill="auto"/>
            <w:tcMar>
              <w:top w:w="17" w:type="dxa"/>
              <w:left w:w="0" w:type="dxa"/>
              <w:bottom w:w="17" w:type="dxa"/>
              <w:right w:w="0" w:type="dxa"/>
            </w:tcMar>
            <w:vAlign w:val="bottom"/>
          </w:tcPr>
          <w:p w14:paraId="31E00618" w14:textId="77777777" w:rsidR="00C87A11" w:rsidRPr="00C87A11" w:rsidRDefault="00C87A11" w:rsidP="00615190">
            <w:pPr>
              <w:spacing w:line="240" w:lineRule="atLeast"/>
              <w:rPr>
                <w:rFonts w:ascii="Tahoma" w:hAnsi="Tahoma"/>
                <w:color w:val="000000" w:themeColor="text1"/>
                <w:sz w:val="16"/>
                <w:lang w:val="en-GB"/>
              </w:rPr>
            </w:pPr>
            <w:r w:rsidRPr="00C87A11">
              <w:rPr>
                <w:rFonts w:ascii="Tahoma" w:hAnsi="Tahoma"/>
                <w:color w:val="000000" w:themeColor="text1"/>
                <w:sz w:val="16"/>
                <w:lang w:val="en-GB"/>
              </w:rPr>
              <w:t>Repayments of capitalised lease liabilities</w:t>
            </w:r>
          </w:p>
        </w:tc>
        <w:tc>
          <w:tcPr>
            <w:tcW w:w="716" w:type="dxa"/>
            <w:shd w:val="clear" w:color="auto" w:fill="auto"/>
            <w:tcMar>
              <w:top w:w="17" w:type="dxa"/>
              <w:left w:w="0" w:type="dxa"/>
              <w:bottom w:w="17" w:type="dxa"/>
              <w:right w:w="0" w:type="dxa"/>
            </w:tcMar>
            <w:vAlign w:val="bottom"/>
          </w:tcPr>
          <w:p w14:paraId="7A569A8F" w14:textId="77777777" w:rsidR="00C87A11" w:rsidRPr="00C87A11" w:rsidRDefault="00C87A11" w:rsidP="00615190">
            <w:pPr>
              <w:spacing w:line="240" w:lineRule="atLeast"/>
              <w:rPr>
                <w:rFonts w:ascii="Tahoma" w:hAnsi="Tahoma"/>
                <w:color w:val="000000" w:themeColor="text1"/>
                <w:sz w:val="16"/>
                <w:lang w:val="en-GB"/>
              </w:rPr>
            </w:pPr>
          </w:p>
        </w:tc>
        <w:tc>
          <w:tcPr>
            <w:tcW w:w="1126" w:type="dxa"/>
            <w:shd w:val="clear" w:color="auto" w:fill="auto"/>
            <w:tcMar>
              <w:top w:w="17" w:type="dxa"/>
              <w:left w:w="0" w:type="dxa"/>
              <w:bottom w:w="17" w:type="dxa"/>
              <w:right w:w="0" w:type="dxa"/>
            </w:tcMar>
            <w:vAlign w:val="bottom"/>
          </w:tcPr>
          <w:p w14:paraId="677469F7" w14:textId="77777777" w:rsidR="00C87A11" w:rsidRPr="00C87A11" w:rsidRDefault="00C87A11" w:rsidP="0068173D">
            <w:pPr>
              <w:spacing w:line="240" w:lineRule="atLeast"/>
              <w:jc w:val="right"/>
              <w:rPr>
                <w:rFonts w:ascii="Tahoma" w:hAnsi="Tahoma"/>
                <w:b/>
                <w:bCs/>
                <w:color w:val="000000" w:themeColor="text1"/>
                <w:sz w:val="16"/>
                <w:lang w:val="en-GB"/>
              </w:rPr>
            </w:pPr>
            <w:r w:rsidRPr="00C87A11">
              <w:rPr>
                <w:rFonts w:ascii="Tahoma" w:hAnsi="Tahoma"/>
                <w:b/>
                <w:bCs/>
                <w:color w:val="000000" w:themeColor="text1"/>
                <w:sz w:val="16"/>
                <w:lang w:val="en-GB"/>
              </w:rPr>
              <w:t>(35)</w:t>
            </w:r>
          </w:p>
        </w:tc>
        <w:tc>
          <w:tcPr>
            <w:tcW w:w="1134" w:type="dxa"/>
            <w:shd w:val="clear" w:color="auto" w:fill="auto"/>
            <w:tcMar>
              <w:top w:w="17" w:type="dxa"/>
              <w:left w:w="0" w:type="dxa"/>
              <w:bottom w:w="17" w:type="dxa"/>
              <w:right w:w="0" w:type="dxa"/>
            </w:tcMar>
            <w:vAlign w:val="bottom"/>
          </w:tcPr>
          <w:p w14:paraId="7812190B" w14:textId="77777777" w:rsidR="00C87A11" w:rsidRPr="00C87A11" w:rsidRDefault="00C87A11" w:rsidP="0068173D">
            <w:pPr>
              <w:spacing w:line="240" w:lineRule="atLeast"/>
              <w:jc w:val="right"/>
              <w:rPr>
                <w:rFonts w:ascii="Tahoma" w:hAnsi="Tahoma"/>
                <w:color w:val="000000" w:themeColor="text1"/>
                <w:sz w:val="16"/>
                <w:lang w:val="en-GB"/>
              </w:rPr>
            </w:pPr>
            <w:r w:rsidRPr="00C87A11">
              <w:rPr>
                <w:rFonts w:ascii="Tahoma" w:hAnsi="Tahoma"/>
                <w:color w:val="000000" w:themeColor="text1"/>
                <w:sz w:val="16"/>
                <w:lang w:val="en-GB"/>
              </w:rPr>
              <w:t>(27)</w:t>
            </w:r>
          </w:p>
        </w:tc>
        <w:tc>
          <w:tcPr>
            <w:tcW w:w="1134" w:type="dxa"/>
            <w:shd w:val="clear" w:color="auto" w:fill="auto"/>
            <w:tcMar>
              <w:top w:w="17" w:type="dxa"/>
              <w:left w:w="0" w:type="dxa"/>
              <w:bottom w:w="17" w:type="dxa"/>
              <w:right w:w="0" w:type="dxa"/>
            </w:tcMar>
            <w:vAlign w:val="bottom"/>
          </w:tcPr>
          <w:p w14:paraId="6957C5E9" w14:textId="77777777" w:rsidR="00C87A11" w:rsidRPr="00C87A11" w:rsidRDefault="00C87A11" w:rsidP="0068173D">
            <w:pPr>
              <w:spacing w:line="240" w:lineRule="atLeast"/>
              <w:jc w:val="right"/>
              <w:rPr>
                <w:rFonts w:ascii="Tahoma" w:hAnsi="Tahoma"/>
                <w:color w:val="000000" w:themeColor="text1"/>
                <w:sz w:val="16"/>
                <w:lang w:val="en-GB"/>
              </w:rPr>
            </w:pPr>
            <w:r w:rsidRPr="00C87A11">
              <w:rPr>
                <w:rFonts w:ascii="Tahoma" w:hAnsi="Tahoma"/>
                <w:color w:val="000000" w:themeColor="text1"/>
                <w:sz w:val="16"/>
                <w:lang w:val="en-GB"/>
              </w:rPr>
              <w:t>(51)</w:t>
            </w:r>
          </w:p>
        </w:tc>
      </w:tr>
      <w:tr w:rsidR="00615190" w:rsidRPr="00C87A11" w14:paraId="39553DD9" w14:textId="77777777" w:rsidTr="00F91552">
        <w:trPr>
          <w:trHeight w:val="60"/>
        </w:trPr>
        <w:tc>
          <w:tcPr>
            <w:tcW w:w="6096" w:type="dxa"/>
            <w:shd w:val="clear" w:color="auto" w:fill="auto"/>
            <w:tcMar>
              <w:top w:w="17" w:type="dxa"/>
              <w:left w:w="0" w:type="dxa"/>
              <w:bottom w:w="17" w:type="dxa"/>
              <w:right w:w="0" w:type="dxa"/>
            </w:tcMar>
            <w:vAlign w:val="bottom"/>
          </w:tcPr>
          <w:p w14:paraId="14531507" w14:textId="77777777" w:rsidR="00C87A11" w:rsidRPr="00C87A11" w:rsidRDefault="00C87A11" w:rsidP="00615190">
            <w:pPr>
              <w:spacing w:line="240" w:lineRule="atLeast"/>
              <w:rPr>
                <w:rFonts w:ascii="Tahoma" w:hAnsi="Tahoma"/>
                <w:color w:val="000000" w:themeColor="text1"/>
                <w:sz w:val="16"/>
                <w:lang w:val="en-GB"/>
              </w:rPr>
            </w:pPr>
            <w:r w:rsidRPr="00C87A11">
              <w:rPr>
                <w:rFonts w:ascii="Tahoma" w:hAnsi="Tahoma"/>
                <w:color w:val="000000" w:themeColor="text1"/>
                <w:sz w:val="16"/>
                <w:lang w:val="en-GB"/>
              </w:rPr>
              <w:t>Additional investment from non-controlling shareholders</w:t>
            </w:r>
          </w:p>
        </w:tc>
        <w:tc>
          <w:tcPr>
            <w:tcW w:w="716" w:type="dxa"/>
            <w:shd w:val="clear" w:color="auto" w:fill="auto"/>
            <w:tcMar>
              <w:top w:w="17" w:type="dxa"/>
              <w:left w:w="0" w:type="dxa"/>
              <w:bottom w:w="17" w:type="dxa"/>
              <w:right w:w="0" w:type="dxa"/>
            </w:tcMar>
            <w:vAlign w:val="bottom"/>
          </w:tcPr>
          <w:p w14:paraId="525A5C5F" w14:textId="77777777" w:rsidR="00C87A11" w:rsidRPr="00C87A11" w:rsidRDefault="00C87A11" w:rsidP="00615190">
            <w:pPr>
              <w:spacing w:line="240" w:lineRule="atLeast"/>
              <w:rPr>
                <w:rFonts w:ascii="Tahoma" w:hAnsi="Tahoma"/>
                <w:color w:val="000000" w:themeColor="text1"/>
                <w:sz w:val="16"/>
                <w:lang w:val="en-GB"/>
              </w:rPr>
            </w:pPr>
          </w:p>
        </w:tc>
        <w:tc>
          <w:tcPr>
            <w:tcW w:w="1126" w:type="dxa"/>
            <w:shd w:val="clear" w:color="auto" w:fill="auto"/>
            <w:tcMar>
              <w:top w:w="17" w:type="dxa"/>
              <w:left w:w="0" w:type="dxa"/>
              <w:bottom w:w="17" w:type="dxa"/>
              <w:right w:w="0" w:type="dxa"/>
            </w:tcMar>
            <w:vAlign w:val="bottom"/>
          </w:tcPr>
          <w:p w14:paraId="6F969681" w14:textId="77777777" w:rsidR="00C87A11" w:rsidRPr="00C87A11" w:rsidRDefault="00C87A11" w:rsidP="0068173D">
            <w:pPr>
              <w:spacing w:line="240" w:lineRule="atLeast"/>
              <w:jc w:val="right"/>
              <w:rPr>
                <w:rFonts w:ascii="Tahoma" w:hAnsi="Tahoma"/>
                <w:b/>
                <w:bCs/>
                <w:color w:val="000000" w:themeColor="text1"/>
                <w:sz w:val="16"/>
                <w:lang w:val="en-GB"/>
              </w:rPr>
            </w:pPr>
            <w:r w:rsidRPr="00C87A11">
              <w:rPr>
                <w:rFonts w:ascii="Tahoma" w:hAnsi="Tahoma"/>
                <w:b/>
                <w:bCs/>
                <w:color w:val="000000" w:themeColor="text1"/>
                <w:sz w:val="16"/>
                <w:lang w:val="en-GB"/>
              </w:rPr>
              <w:t>67</w:t>
            </w:r>
          </w:p>
        </w:tc>
        <w:tc>
          <w:tcPr>
            <w:tcW w:w="1134" w:type="dxa"/>
            <w:shd w:val="clear" w:color="auto" w:fill="auto"/>
            <w:tcMar>
              <w:top w:w="17" w:type="dxa"/>
              <w:left w:w="0" w:type="dxa"/>
              <w:bottom w:w="17" w:type="dxa"/>
              <w:right w:w="0" w:type="dxa"/>
            </w:tcMar>
            <w:vAlign w:val="bottom"/>
          </w:tcPr>
          <w:p w14:paraId="7F18C593" w14:textId="77777777" w:rsidR="00C87A11" w:rsidRPr="00C87A11" w:rsidRDefault="00C87A11" w:rsidP="0068173D">
            <w:pPr>
              <w:spacing w:line="240" w:lineRule="atLeast"/>
              <w:jc w:val="right"/>
              <w:rPr>
                <w:rFonts w:ascii="Tahoma" w:hAnsi="Tahoma"/>
                <w:color w:val="000000" w:themeColor="text1"/>
                <w:sz w:val="16"/>
                <w:lang w:val="en-GB"/>
              </w:rPr>
            </w:pPr>
            <w:r w:rsidRPr="00C87A11">
              <w:rPr>
                <w:rFonts w:ascii="Tahoma" w:hAnsi="Tahoma"/>
                <w:color w:val="000000" w:themeColor="text1"/>
                <w:sz w:val="16"/>
                <w:lang w:val="en-GB"/>
              </w:rPr>
              <w:t>65</w:t>
            </w:r>
          </w:p>
        </w:tc>
        <w:tc>
          <w:tcPr>
            <w:tcW w:w="1134" w:type="dxa"/>
            <w:shd w:val="clear" w:color="auto" w:fill="auto"/>
            <w:tcMar>
              <w:top w:w="17" w:type="dxa"/>
              <w:left w:w="0" w:type="dxa"/>
              <w:bottom w:w="17" w:type="dxa"/>
              <w:right w:w="0" w:type="dxa"/>
            </w:tcMar>
            <w:vAlign w:val="bottom"/>
          </w:tcPr>
          <w:p w14:paraId="74609C33" w14:textId="77777777" w:rsidR="00C87A11" w:rsidRPr="00C87A11" w:rsidRDefault="00C87A11" w:rsidP="0068173D">
            <w:pPr>
              <w:spacing w:line="240" w:lineRule="atLeast"/>
              <w:jc w:val="right"/>
              <w:rPr>
                <w:rFonts w:ascii="Tahoma" w:hAnsi="Tahoma"/>
                <w:color w:val="000000" w:themeColor="text1"/>
                <w:sz w:val="16"/>
                <w:lang w:val="en-GB"/>
              </w:rPr>
            </w:pPr>
            <w:r w:rsidRPr="00C87A11">
              <w:rPr>
                <w:rFonts w:ascii="Tahoma" w:hAnsi="Tahoma"/>
                <w:color w:val="000000" w:themeColor="text1"/>
                <w:sz w:val="16"/>
                <w:lang w:val="en-GB"/>
              </w:rPr>
              <w:t>140</w:t>
            </w:r>
          </w:p>
        </w:tc>
      </w:tr>
      <w:tr w:rsidR="00615190" w:rsidRPr="00C87A11" w14:paraId="2BDFF67E" w14:textId="77777777" w:rsidTr="00941F93">
        <w:trPr>
          <w:trHeight w:val="60"/>
        </w:trPr>
        <w:tc>
          <w:tcPr>
            <w:tcW w:w="6096" w:type="dxa"/>
            <w:tcBorders>
              <w:bottom w:val="single" w:sz="4" w:space="0" w:color="auto"/>
            </w:tcBorders>
            <w:shd w:val="clear" w:color="auto" w:fill="auto"/>
            <w:tcMar>
              <w:top w:w="17" w:type="dxa"/>
              <w:left w:w="0" w:type="dxa"/>
              <w:bottom w:w="51" w:type="dxa"/>
              <w:right w:w="0" w:type="dxa"/>
            </w:tcMar>
            <w:vAlign w:val="bottom"/>
          </w:tcPr>
          <w:p w14:paraId="16328846" w14:textId="77777777" w:rsidR="00C87A11" w:rsidRPr="00C87A11" w:rsidRDefault="00C87A11" w:rsidP="00615190">
            <w:pPr>
              <w:spacing w:line="240" w:lineRule="atLeast"/>
              <w:rPr>
                <w:rFonts w:ascii="Tahoma" w:hAnsi="Tahoma"/>
                <w:color w:val="000000" w:themeColor="text1"/>
                <w:sz w:val="16"/>
                <w:lang w:val="en-GB"/>
              </w:rPr>
            </w:pPr>
            <w:r w:rsidRPr="00C87A11">
              <w:rPr>
                <w:rFonts w:ascii="Tahoma" w:hAnsi="Tahoma"/>
                <w:color w:val="000000" w:themeColor="text1"/>
                <w:sz w:val="16"/>
                <w:lang w:val="en-GB"/>
              </w:rPr>
              <w:t>Cash movements in other financing activities</w:t>
            </w:r>
            <w:r w:rsidRPr="00C87A11">
              <w:rPr>
                <w:rFonts w:ascii="Tahoma" w:hAnsi="Tahoma"/>
                <w:color w:val="000000" w:themeColor="text1"/>
                <w:sz w:val="16"/>
                <w:vertAlign w:val="superscript"/>
                <w:lang w:val="en-GB"/>
              </w:rPr>
              <w:t>6</w:t>
            </w:r>
          </w:p>
        </w:tc>
        <w:tc>
          <w:tcPr>
            <w:tcW w:w="716" w:type="dxa"/>
            <w:tcBorders>
              <w:bottom w:val="single" w:sz="4" w:space="0" w:color="auto"/>
            </w:tcBorders>
            <w:shd w:val="clear" w:color="auto" w:fill="auto"/>
            <w:tcMar>
              <w:top w:w="17" w:type="dxa"/>
              <w:left w:w="0" w:type="dxa"/>
              <w:bottom w:w="51" w:type="dxa"/>
              <w:right w:w="0" w:type="dxa"/>
            </w:tcMar>
            <w:vAlign w:val="bottom"/>
          </w:tcPr>
          <w:p w14:paraId="2BA2A220" w14:textId="77777777" w:rsidR="00C87A11" w:rsidRPr="00C87A11" w:rsidRDefault="00C87A11" w:rsidP="00615190">
            <w:pPr>
              <w:spacing w:line="240" w:lineRule="atLeast"/>
              <w:rPr>
                <w:rFonts w:ascii="Tahoma" w:hAnsi="Tahoma"/>
                <w:color w:val="000000" w:themeColor="text1"/>
                <w:sz w:val="16"/>
                <w:lang w:val="en-GB"/>
              </w:rPr>
            </w:pPr>
          </w:p>
        </w:tc>
        <w:tc>
          <w:tcPr>
            <w:tcW w:w="1126" w:type="dxa"/>
            <w:tcBorders>
              <w:bottom w:val="single" w:sz="4" w:space="0" w:color="auto"/>
            </w:tcBorders>
            <w:shd w:val="clear" w:color="auto" w:fill="auto"/>
            <w:tcMar>
              <w:top w:w="17" w:type="dxa"/>
              <w:left w:w="0" w:type="dxa"/>
              <w:bottom w:w="51" w:type="dxa"/>
              <w:right w:w="0" w:type="dxa"/>
            </w:tcMar>
            <w:vAlign w:val="bottom"/>
          </w:tcPr>
          <w:p w14:paraId="19325E0C" w14:textId="77777777" w:rsidR="00C87A11" w:rsidRPr="00C87A11" w:rsidRDefault="00C87A11" w:rsidP="0068173D">
            <w:pPr>
              <w:spacing w:line="240" w:lineRule="atLeast"/>
              <w:jc w:val="right"/>
              <w:rPr>
                <w:rFonts w:ascii="Tahoma" w:hAnsi="Tahoma"/>
                <w:b/>
                <w:bCs/>
                <w:color w:val="000000" w:themeColor="text1"/>
                <w:sz w:val="16"/>
                <w:lang w:val="en-GB"/>
              </w:rPr>
            </w:pPr>
            <w:r w:rsidRPr="00C87A11">
              <w:rPr>
                <w:rFonts w:ascii="Tahoma" w:hAnsi="Tahoma"/>
                <w:b/>
                <w:bCs/>
                <w:color w:val="000000" w:themeColor="text1"/>
                <w:sz w:val="16"/>
                <w:lang w:val="en-GB"/>
              </w:rPr>
              <w:t>(9)</w:t>
            </w:r>
          </w:p>
        </w:tc>
        <w:tc>
          <w:tcPr>
            <w:tcW w:w="1134" w:type="dxa"/>
            <w:tcBorders>
              <w:bottom w:val="single" w:sz="4" w:space="0" w:color="auto"/>
            </w:tcBorders>
            <w:shd w:val="clear" w:color="auto" w:fill="auto"/>
            <w:tcMar>
              <w:top w:w="17" w:type="dxa"/>
              <w:left w:w="0" w:type="dxa"/>
              <w:bottom w:w="51" w:type="dxa"/>
              <w:right w:w="0" w:type="dxa"/>
            </w:tcMar>
            <w:vAlign w:val="bottom"/>
          </w:tcPr>
          <w:p w14:paraId="3C4EC395" w14:textId="77777777" w:rsidR="00C87A11" w:rsidRPr="00C87A11" w:rsidRDefault="00C87A11" w:rsidP="0068173D">
            <w:pPr>
              <w:spacing w:line="240" w:lineRule="atLeast"/>
              <w:jc w:val="right"/>
              <w:rPr>
                <w:rFonts w:ascii="Tahoma" w:hAnsi="Tahoma"/>
                <w:color w:val="000000" w:themeColor="text1"/>
                <w:sz w:val="16"/>
                <w:lang w:val="en-GB"/>
              </w:rPr>
            </w:pPr>
            <w:r w:rsidRPr="00C87A11">
              <w:rPr>
                <w:rFonts w:ascii="Tahoma" w:hAnsi="Tahoma"/>
                <w:color w:val="000000" w:themeColor="text1"/>
                <w:sz w:val="16"/>
                <w:lang w:val="en-GB"/>
              </w:rPr>
              <w:t>(130)</w:t>
            </w:r>
          </w:p>
        </w:tc>
        <w:tc>
          <w:tcPr>
            <w:tcW w:w="1134" w:type="dxa"/>
            <w:tcBorders>
              <w:bottom w:val="single" w:sz="4" w:space="0" w:color="auto"/>
            </w:tcBorders>
            <w:shd w:val="clear" w:color="auto" w:fill="auto"/>
            <w:tcMar>
              <w:top w:w="17" w:type="dxa"/>
              <w:left w:w="0" w:type="dxa"/>
              <w:bottom w:w="51" w:type="dxa"/>
              <w:right w:w="0" w:type="dxa"/>
            </w:tcMar>
            <w:vAlign w:val="bottom"/>
          </w:tcPr>
          <w:p w14:paraId="34B20113" w14:textId="77777777" w:rsidR="00C87A11" w:rsidRPr="00C87A11" w:rsidRDefault="00C87A11" w:rsidP="0068173D">
            <w:pPr>
              <w:spacing w:line="240" w:lineRule="atLeast"/>
              <w:jc w:val="right"/>
              <w:rPr>
                <w:rFonts w:ascii="Tahoma" w:hAnsi="Tahoma"/>
                <w:color w:val="000000" w:themeColor="text1"/>
                <w:sz w:val="16"/>
                <w:lang w:val="en-GB"/>
              </w:rPr>
            </w:pPr>
            <w:r w:rsidRPr="00C87A11">
              <w:rPr>
                <w:rFonts w:ascii="Tahoma" w:hAnsi="Tahoma"/>
                <w:color w:val="000000" w:themeColor="text1"/>
                <w:sz w:val="16"/>
                <w:lang w:val="en-GB"/>
              </w:rPr>
              <w:t>(126)</w:t>
            </w:r>
          </w:p>
        </w:tc>
      </w:tr>
      <w:tr w:rsidR="00615190" w:rsidRPr="00C87A11" w14:paraId="7F2A67A3" w14:textId="77777777" w:rsidTr="00941F93">
        <w:trPr>
          <w:trHeight w:val="60"/>
        </w:trPr>
        <w:tc>
          <w:tcPr>
            <w:tcW w:w="6096" w:type="dxa"/>
            <w:tcBorders>
              <w:top w:val="single" w:sz="4" w:space="0" w:color="auto"/>
              <w:bottom w:val="single" w:sz="12" w:space="0" w:color="auto"/>
            </w:tcBorders>
            <w:shd w:val="clear" w:color="auto" w:fill="auto"/>
            <w:tcMar>
              <w:top w:w="51" w:type="dxa"/>
              <w:left w:w="0" w:type="dxa"/>
              <w:bottom w:w="51" w:type="dxa"/>
              <w:right w:w="0" w:type="dxa"/>
            </w:tcMar>
            <w:vAlign w:val="bottom"/>
          </w:tcPr>
          <w:p w14:paraId="4A000947" w14:textId="77777777" w:rsidR="00C87A11" w:rsidRPr="00C87A11" w:rsidRDefault="00C87A11" w:rsidP="00615190">
            <w:pPr>
              <w:spacing w:line="240" w:lineRule="atLeast"/>
              <w:rPr>
                <w:rFonts w:ascii="Tahoma" w:hAnsi="Tahoma"/>
                <w:b/>
                <w:bCs/>
                <w:color w:val="000000" w:themeColor="text1"/>
                <w:sz w:val="16"/>
                <w:lang w:val="en-GB"/>
              </w:rPr>
            </w:pPr>
            <w:r w:rsidRPr="00C87A11">
              <w:rPr>
                <w:rFonts w:ascii="Tahoma" w:hAnsi="Tahoma"/>
                <w:b/>
                <w:bCs/>
                <w:color w:val="000000" w:themeColor="text1"/>
                <w:sz w:val="16"/>
                <w:lang w:val="en-GB"/>
              </w:rPr>
              <w:t>Net cash (utilised in)/generated from financing activities</w:t>
            </w:r>
          </w:p>
        </w:tc>
        <w:tc>
          <w:tcPr>
            <w:tcW w:w="716" w:type="dxa"/>
            <w:tcBorders>
              <w:top w:val="single" w:sz="4" w:space="0" w:color="auto"/>
              <w:bottom w:val="single" w:sz="12" w:space="0" w:color="auto"/>
            </w:tcBorders>
            <w:shd w:val="clear" w:color="auto" w:fill="auto"/>
            <w:tcMar>
              <w:top w:w="51" w:type="dxa"/>
              <w:left w:w="0" w:type="dxa"/>
              <w:bottom w:w="51" w:type="dxa"/>
              <w:right w:w="0" w:type="dxa"/>
            </w:tcMar>
            <w:vAlign w:val="bottom"/>
          </w:tcPr>
          <w:p w14:paraId="7E70C9E6" w14:textId="77777777" w:rsidR="00C87A11" w:rsidRPr="00C87A11" w:rsidRDefault="00C87A11" w:rsidP="00615190">
            <w:pPr>
              <w:spacing w:line="240" w:lineRule="atLeast"/>
              <w:rPr>
                <w:rFonts w:ascii="Tahoma" w:hAnsi="Tahoma"/>
                <w:color w:val="000000" w:themeColor="text1"/>
                <w:sz w:val="16"/>
                <w:lang w:val="en-GB"/>
              </w:rPr>
            </w:pPr>
          </w:p>
        </w:tc>
        <w:tc>
          <w:tcPr>
            <w:tcW w:w="1126" w:type="dxa"/>
            <w:tcBorders>
              <w:top w:val="single" w:sz="4" w:space="0" w:color="auto"/>
              <w:bottom w:val="single" w:sz="12" w:space="0" w:color="auto"/>
            </w:tcBorders>
            <w:shd w:val="clear" w:color="auto" w:fill="auto"/>
            <w:tcMar>
              <w:top w:w="51" w:type="dxa"/>
              <w:left w:w="0" w:type="dxa"/>
              <w:bottom w:w="51" w:type="dxa"/>
              <w:right w:w="0" w:type="dxa"/>
            </w:tcMar>
            <w:vAlign w:val="bottom"/>
          </w:tcPr>
          <w:p w14:paraId="47FE65FB" w14:textId="77777777" w:rsidR="00C87A11" w:rsidRPr="00C87A11" w:rsidRDefault="00C87A11" w:rsidP="0068173D">
            <w:pPr>
              <w:spacing w:line="240" w:lineRule="atLeast"/>
              <w:jc w:val="right"/>
              <w:rPr>
                <w:rFonts w:ascii="Tahoma" w:hAnsi="Tahoma"/>
                <w:b/>
                <w:bCs/>
                <w:color w:val="000000" w:themeColor="text1"/>
                <w:sz w:val="16"/>
                <w:lang w:val="en-GB"/>
              </w:rPr>
            </w:pPr>
            <w:r w:rsidRPr="00C87A11">
              <w:rPr>
                <w:rFonts w:ascii="Tahoma" w:hAnsi="Tahoma"/>
                <w:b/>
                <w:bCs/>
                <w:color w:val="000000" w:themeColor="text1"/>
                <w:sz w:val="16"/>
                <w:lang w:val="en-GB"/>
              </w:rPr>
              <w:t>(4 265)</w:t>
            </w:r>
          </w:p>
        </w:tc>
        <w:tc>
          <w:tcPr>
            <w:tcW w:w="1134" w:type="dxa"/>
            <w:tcBorders>
              <w:top w:val="single" w:sz="4" w:space="0" w:color="auto"/>
              <w:bottom w:val="single" w:sz="12" w:space="0" w:color="auto"/>
            </w:tcBorders>
            <w:shd w:val="clear" w:color="auto" w:fill="auto"/>
            <w:tcMar>
              <w:top w:w="51" w:type="dxa"/>
              <w:left w:w="0" w:type="dxa"/>
              <w:bottom w:w="51" w:type="dxa"/>
              <w:right w:w="0" w:type="dxa"/>
            </w:tcMar>
            <w:vAlign w:val="bottom"/>
          </w:tcPr>
          <w:p w14:paraId="059B178B" w14:textId="77777777" w:rsidR="00C87A11" w:rsidRPr="00C87A11" w:rsidRDefault="00C87A11" w:rsidP="0068173D">
            <w:pPr>
              <w:spacing w:line="240" w:lineRule="atLeast"/>
              <w:jc w:val="right"/>
              <w:rPr>
                <w:rFonts w:ascii="Tahoma" w:hAnsi="Tahoma"/>
                <w:color w:val="000000" w:themeColor="text1"/>
                <w:sz w:val="16"/>
                <w:lang w:val="en-GB"/>
              </w:rPr>
            </w:pPr>
            <w:r w:rsidRPr="00C87A11">
              <w:rPr>
                <w:rFonts w:ascii="Tahoma" w:hAnsi="Tahoma"/>
                <w:color w:val="000000" w:themeColor="text1"/>
                <w:sz w:val="16"/>
                <w:lang w:val="en-GB"/>
              </w:rPr>
              <w:t>709</w:t>
            </w:r>
          </w:p>
        </w:tc>
        <w:tc>
          <w:tcPr>
            <w:tcW w:w="1134" w:type="dxa"/>
            <w:tcBorders>
              <w:top w:val="single" w:sz="4" w:space="0" w:color="auto"/>
              <w:bottom w:val="single" w:sz="12" w:space="0" w:color="auto"/>
            </w:tcBorders>
            <w:shd w:val="clear" w:color="auto" w:fill="auto"/>
            <w:tcMar>
              <w:top w:w="51" w:type="dxa"/>
              <w:left w:w="0" w:type="dxa"/>
              <w:bottom w:w="51" w:type="dxa"/>
              <w:right w:w="0" w:type="dxa"/>
            </w:tcMar>
            <w:vAlign w:val="bottom"/>
          </w:tcPr>
          <w:p w14:paraId="29E2DC4E" w14:textId="77777777" w:rsidR="00C87A11" w:rsidRPr="00C87A11" w:rsidRDefault="00C87A11" w:rsidP="0068173D">
            <w:pPr>
              <w:spacing w:line="240" w:lineRule="atLeast"/>
              <w:jc w:val="right"/>
              <w:rPr>
                <w:rFonts w:ascii="Tahoma" w:hAnsi="Tahoma"/>
                <w:color w:val="000000" w:themeColor="text1"/>
                <w:sz w:val="16"/>
                <w:lang w:val="en-GB"/>
              </w:rPr>
            </w:pPr>
            <w:r w:rsidRPr="00C87A11">
              <w:rPr>
                <w:rFonts w:ascii="Tahoma" w:hAnsi="Tahoma"/>
                <w:color w:val="000000" w:themeColor="text1"/>
                <w:sz w:val="16"/>
                <w:lang w:val="en-GB"/>
              </w:rPr>
              <w:t>2 403</w:t>
            </w:r>
          </w:p>
        </w:tc>
      </w:tr>
      <w:tr w:rsidR="00615190" w:rsidRPr="00C87A11" w14:paraId="1616C37D" w14:textId="77777777" w:rsidTr="00941F93">
        <w:trPr>
          <w:trHeight w:val="60"/>
        </w:trPr>
        <w:tc>
          <w:tcPr>
            <w:tcW w:w="6096" w:type="dxa"/>
            <w:tcBorders>
              <w:top w:val="single" w:sz="12" w:space="0" w:color="auto"/>
            </w:tcBorders>
            <w:shd w:val="clear" w:color="auto" w:fill="auto"/>
            <w:tcMar>
              <w:top w:w="51" w:type="dxa"/>
              <w:left w:w="0" w:type="dxa"/>
              <w:bottom w:w="17" w:type="dxa"/>
              <w:right w:w="0" w:type="dxa"/>
            </w:tcMar>
            <w:vAlign w:val="bottom"/>
          </w:tcPr>
          <w:p w14:paraId="18D6C71D" w14:textId="77777777" w:rsidR="00C87A11" w:rsidRPr="00C87A11" w:rsidRDefault="00C87A11" w:rsidP="00615190">
            <w:pPr>
              <w:spacing w:line="240" w:lineRule="atLeast"/>
              <w:rPr>
                <w:rFonts w:ascii="Tahoma" w:hAnsi="Tahoma"/>
                <w:b/>
                <w:bCs/>
                <w:color w:val="000000" w:themeColor="text1"/>
                <w:sz w:val="16"/>
                <w:lang w:val="en-GB"/>
              </w:rPr>
            </w:pPr>
            <w:r w:rsidRPr="00C87A11">
              <w:rPr>
                <w:rFonts w:ascii="Tahoma" w:hAnsi="Tahoma"/>
                <w:b/>
                <w:bCs/>
                <w:color w:val="000000" w:themeColor="text1"/>
                <w:sz w:val="16"/>
                <w:lang w:val="en-GB"/>
              </w:rPr>
              <w:t>Net movement in cash and cash equivalents</w:t>
            </w:r>
          </w:p>
        </w:tc>
        <w:tc>
          <w:tcPr>
            <w:tcW w:w="716" w:type="dxa"/>
            <w:tcBorders>
              <w:top w:val="single" w:sz="12" w:space="0" w:color="auto"/>
            </w:tcBorders>
            <w:shd w:val="clear" w:color="auto" w:fill="auto"/>
            <w:tcMar>
              <w:top w:w="51" w:type="dxa"/>
              <w:left w:w="0" w:type="dxa"/>
              <w:bottom w:w="17" w:type="dxa"/>
              <w:right w:w="0" w:type="dxa"/>
            </w:tcMar>
            <w:vAlign w:val="bottom"/>
          </w:tcPr>
          <w:p w14:paraId="02A1506C" w14:textId="77777777" w:rsidR="00C87A11" w:rsidRPr="00C87A11" w:rsidRDefault="00C87A11" w:rsidP="00615190">
            <w:pPr>
              <w:spacing w:line="240" w:lineRule="atLeast"/>
              <w:rPr>
                <w:rFonts w:ascii="Tahoma" w:hAnsi="Tahoma"/>
                <w:color w:val="000000" w:themeColor="text1"/>
                <w:sz w:val="16"/>
                <w:lang w:val="en-GB"/>
              </w:rPr>
            </w:pPr>
          </w:p>
        </w:tc>
        <w:tc>
          <w:tcPr>
            <w:tcW w:w="1126" w:type="dxa"/>
            <w:tcBorders>
              <w:top w:val="single" w:sz="12" w:space="0" w:color="auto"/>
            </w:tcBorders>
            <w:shd w:val="clear" w:color="auto" w:fill="auto"/>
            <w:tcMar>
              <w:top w:w="51" w:type="dxa"/>
              <w:left w:w="0" w:type="dxa"/>
              <w:bottom w:w="17" w:type="dxa"/>
              <w:right w:w="0" w:type="dxa"/>
            </w:tcMar>
            <w:vAlign w:val="bottom"/>
          </w:tcPr>
          <w:p w14:paraId="0196EB26" w14:textId="77777777" w:rsidR="00C87A11" w:rsidRPr="00C87A11" w:rsidRDefault="00C87A11" w:rsidP="0068173D">
            <w:pPr>
              <w:spacing w:line="240" w:lineRule="atLeast"/>
              <w:jc w:val="right"/>
              <w:rPr>
                <w:rFonts w:ascii="Tahoma" w:hAnsi="Tahoma"/>
                <w:b/>
                <w:bCs/>
                <w:color w:val="000000" w:themeColor="text1"/>
                <w:sz w:val="16"/>
                <w:lang w:val="en-GB"/>
              </w:rPr>
            </w:pPr>
            <w:r w:rsidRPr="00C87A11">
              <w:rPr>
                <w:rFonts w:ascii="Tahoma" w:hAnsi="Tahoma"/>
                <w:b/>
                <w:bCs/>
                <w:color w:val="000000" w:themeColor="text1"/>
                <w:sz w:val="16"/>
                <w:lang w:val="en-GB"/>
              </w:rPr>
              <w:t>(543)</w:t>
            </w:r>
          </w:p>
        </w:tc>
        <w:tc>
          <w:tcPr>
            <w:tcW w:w="1134" w:type="dxa"/>
            <w:tcBorders>
              <w:top w:val="single" w:sz="12" w:space="0" w:color="auto"/>
            </w:tcBorders>
            <w:shd w:val="clear" w:color="auto" w:fill="auto"/>
            <w:tcMar>
              <w:top w:w="51" w:type="dxa"/>
              <w:left w:w="0" w:type="dxa"/>
              <w:bottom w:w="17" w:type="dxa"/>
              <w:right w:w="0" w:type="dxa"/>
            </w:tcMar>
            <w:vAlign w:val="bottom"/>
          </w:tcPr>
          <w:p w14:paraId="15C7AEDB" w14:textId="77777777" w:rsidR="00C87A11" w:rsidRPr="00C87A11" w:rsidRDefault="00C87A11" w:rsidP="0068173D">
            <w:pPr>
              <w:spacing w:line="240" w:lineRule="atLeast"/>
              <w:jc w:val="right"/>
              <w:rPr>
                <w:rFonts w:ascii="Tahoma" w:hAnsi="Tahoma"/>
                <w:color w:val="000000" w:themeColor="text1"/>
                <w:sz w:val="16"/>
                <w:lang w:val="en-GB"/>
              </w:rPr>
            </w:pPr>
            <w:r w:rsidRPr="00C87A11">
              <w:rPr>
                <w:rFonts w:ascii="Tahoma" w:hAnsi="Tahoma"/>
                <w:color w:val="000000" w:themeColor="text1"/>
                <w:sz w:val="16"/>
                <w:lang w:val="en-GB"/>
              </w:rPr>
              <w:t>2 640</w:t>
            </w:r>
          </w:p>
        </w:tc>
        <w:tc>
          <w:tcPr>
            <w:tcW w:w="1134" w:type="dxa"/>
            <w:tcBorders>
              <w:top w:val="single" w:sz="12" w:space="0" w:color="auto"/>
            </w:tcBorders>
            <w:shd w:val="clear" w:color="auto" w:fill="auto"/>
            <w:tcMar>
              <w:top w:w="51" w:type="dxa"/>
              <w:left w:w="0" w:type="dxa"/>
              <w:bottom w:w="17" w:type="dxa"/>
              <w:right w:w="0" w:type="dxa"/>
            </w:tcMar>
            <w:vAlign w:val="bottom"/>
          </w:tcPr>
          <w:p w14:paraId="288BCBD0" w14:textId="77777777" w:rsidR="00C87A11" w:rsidRPr="00C87A11" w:rsidRDefault="00C87A11" w:rsidP="0068173D">
            <w:pPr>
              <w:spacing w:line="240" w:lineRule="atLeast"/>
              <w:jc w:val="right"/>
              <w:rPr>
                <w:rFonts w:ascii="Tahoma" w:hAnsi="Tahoma"/>
                <w:color w:val="000000" w:themeColor="text1"/>
                <w:sz w:val="16"/>
                <w:lang w:val="en-GB"/>
              </w:rPr>
            </w:pPr>
            <w:r w:rsidRPr="00C87A11">
              <w:rPr>
                <w:rFonts w:ascii="Tahoma" w:hAnsi="Tahoma"/>
                <w:color w:val="000000" w:themeColor="text1"/>
                <w:sz w:val="16"/>
                <w:lang w:val="en-GB"/>
              </w:rPr>
              <w:t>6 190</w:t>
            </w:r>
          </w:p>
        </w:tc>
      </w:tr>
      <w:tr w:rsidR="00615190" w:rsidRPr="00C87A11" w14:paraId="1DEF4193" w14:textId="77777777" w:rsidTr="0068173D">
        <w:trPr>
          <w:trHeight w:val="60"/>
        </w:trPr>
        <w:tc>
          <w:tcPr>
            <w:tcW w:w="6096" w:type="dxa"/>
            <w:shd w:val="clear" w:color="auto" w:fill="auto"/>
            <w:tcMar>
              <w:top w:w="17" w:type="dxa"/>
              <w:left w:w="0" w:type="dxa"/>
              <w:bottom w:w="17" w:type="dxa"/>
              <w:right w:w="0" w:type="dxa"/>
            </w:tcMar>
            <w:vAlign w:val="bottom"/>
          </w:tcPr>
          <w:p w14:paraId="02563EB2" w14:textId="77777777" w:rsidR="00C87A11" w:rsidRPr="00C87A11" w:rsidRDefault="00C87A11" w:rsidP="00615190">
            <w:pPr>
              <w:spacing w:line="240" w:lineRule="atLeast"/>
              <w:rPr>
                <w:rFonts w:ascii="Tahoma" w:hAnsi="Tahoma"/>
                <w:color w:val="000000" w:themeColor="text1"/>
                <w:sz w:val="16"/>
                <w:lang w:val="en-GB"/>
              </w:rPr>
            </w:pPr>
            <w:r w:rsidRPr="00C87A11">
              <w:rPr>
                <w:rFonts w:ascii="Tahoma" w:hAnsi="Tahoma"/>
                <w:color w:val="000000" w:themeColor="text1"/>
                <w:sz w:val="16"/>
                <w:lang w:val="en-GB"/>
              </w:rPr>
              <w:t>Foreign exchange translation adjustments on cash and cash equivalents</w:t>
            </w:r>
          </w:p>
        </w:tc>
        <w:tc>
          <w:tcPr>
            <w:tcW w:w="716" w:type="dxa"/>
            <w:shd w:val="clear" w:color="auto" w:fill="auto"/>
            <w:tcMar>
              <w:top w:w="17" w:type="dxa"/>
              <w:left w:w="0" w:type="dxa"/>
              <w:bottom w:w="17" w:type="dxa"/>
              <w:right w:w="0" w:type="dxa"/>
            </w:tcMar>
            <w:vAlign w:val="bottom"/>
          </w:tcPr>
          <w:p w14:paraId="41AFF38D" w14:textId="77777777" w:rsidR="00C87A11" w:rsidRPr="00C87A11" w:rsidRDefault="00C87A11" w:rsidP="00615190">
            <w:pPr>
              <w:spacing w:line="240" w:lineRule="atLeast"/>
              <w:rPr>
                <w:rFonts w:ascii="Tahoma" w:hAnsi="Tahoma"/>
                <w:color w:val="000000" w:themeColor="text1"/>
                <w:sz w:val="16"/>
                <w:lang w:val="en-GB"/>
              </w:rPr>
            </w:pPr>
          </w:p>
        </w:tc>
        <w:tc>
          <w:tcPr>
            <w:tcW w:w="1126" w:type="dxa"/>
            <w:shd w:val="clear" w:color="auto" w:fill="auto"/>
            <w:tcMar>
              <w:top w:w="17" w:type="dxa"/>
              <w:left w:w="0" w:type="dxa"/>
              <w:bottom w:w="17" w:type="dxa"/>
              <w:right w:w="0" w:type="dxa"/>
            </w:tcMar>
            <w:vAlign w:val="bottom"/>
          </w:tcPr>
          <w:p w14:paraId="161F4D9B" w14:textId="77777777" w:rsidR="00C87A11" w:rsidRPr="00C87A11" w:rsidRDefault="00C87A11" w:rsidP="0068173D">
            <w:pPr>
              <w:spacing w:line="240" w:lineRule="atLeast"/>
              <w:jc w:val="right"/>
              <w:rPr>
                <w:rFonts w:ascii="Tahoma" w:hAnsi="Tahoma"/>
                <w:b/>
                <w:bCs/>
                <w:color w:val="000000" w:themeColor="text1"/>
                <w:sz w:val="16"/>
                <w:lang w:val="en-GB"/>
              </w:rPr>
            </w:pPr>
            <w:r w:rsidRPr="00C87A11">
              <w:rPr>
                <w:rFonts w:ascii="Tahoma" w:hAnsi="Tahoma"/>
                <w:b/>
                <w:bCs/>
                <w:color w:val="000000" w:themeColor="text1"/>
                <w:sz w:val="16"/>
                <w:lang w:val="en-GB"/>
              </w:rPr>
              <w:t>(266)</w:t>
            </w:r>
          </w:p>
        </w:tc>
        <w:tc>
          <w:tcPr>
            <w:tcW w:w="1134" w:type="dxa"/>
            <w:shd w:val="clear" w:color="auto" w:fill="auto"/>
            <w:tcMar>
              <w:top w:w="17" w:type="dxa"/>
              <w:left w:w="0" w:type="dxa"/>
              <w:bottom w:w="17" w:type="dxa"/>
              <w:right w:w="0" w:type="dxa"/>
            </w:tcMar>
            <w:vAlign w:val="bottom"/>
          </w:tcPr>
          <w:p w14:paraId="49F0F492" w14:textId="77777777" w:rsidR="00C87A11" w:rsidRPr="00C87A11" w:rsidRDefault="00C87A11" w:rsidP="0068173D">
            <w:pPr>
              <w:spacing w:line="240" w:lineRule="atLeast"/>
              <w:jc w:val="right"/>
              <w:rPr>
                <w:rFonts w:ascii="Tahoma" w:hAnsi="Tahoma"/>
                <w:color w:val="000000" w:themeColor="text1"/>
                <w:sz w:val="16"/>
                <w:lang w:val="en-GB"/>
              </w:rPr>
            </w:pPr>
            <w:r w:rsidRPr="00C87A11">
              <w:rPr>
                <w:rFonts w:ascii="Tahoma" w:hAnsi="Tahoma"/>
                <w:color w:val="000000" w:themeColor="text1"/>
                <w:sz w:val="16"/>
                <w:lang w:val="en-GB"/>
              </w:rPr>
              <w:t>(46)</w:t>
            </w:r>
          </w:p>
        </w:tc>
        <w:tc>
          <w:tcPr>
            <w:tcW w:w="1134" w:type="dxa"/>
            <w:shd w:val="clear" w:color="auto" w:fill="auto"/>
            <w:tcMar>
              <w:top w:w="17" w:type="dxa"/>
              <w:left w:w="0" w:type="dxa"/>
              <w:bottom w:w="17" w:type="dxa"/>
              <w:right w:w="0" w:type="dxa"/>
            </w:tcMar>
            <w:vAlign w:val="bottom"/>
          </w:tcPr>
          <w:p w14:paraId="3BE366E5" w14:textId="77777777" w:rsidR="00C87A11" w:rsidRPr="00C87A11" w:rsidRDefault="00C87A11" w:rsidP="0068173D">
            <w:pPr>
              <w:spacing w:line="240" w:lineRule="atLeast"/>
              <w:jc w:val="right"/>
              <w:rPr>
                <w:rFonts w:ascii="Tahoma" w:hAnsi="Tahoma"/>
                <w:color w:val="000000" w:themeColor="text1"/>
                <w:sz w:val="16"/>
                <w:lang w:val="en-GB"/>
              </w:rPr>
            </w:pPr>
            <w:r w:rsidRPr="00C87A11">
              <w:rPr>
                <w:rFonts w:ascii="Tahoma" w:hAnsi="Tahoma"/>
                <w:color w:val="000000" w:themeColor="text1"/>
                <w:sz w:val="16"/>
                <w:lang w:val="en-GB"/>
              </w:rPr>
              <w:t>(124)</w:t>
            </w:r>
          </w:p>
        </w:tc>
      </w:tr>
      <w:tr w:rsidR="00615190" w:rsidRPr="00C87A11" w14:paraId="4A37FBD6" w14:textId="77777777" w:rsidTr="00BC67C3">
        <w:trPr>
          <w:trHeight w:val="60"/>
        </w:trPr>
        <w:tc>
          <w:tcPr>
            <w:tcW w:w="6096" w:type="dxa"/>
            <w:shd w:val="clear" w:color="auto" w:fill="auto"/>
            <w:tcMar>
              <w:top w:w="17" w:type="dxa"/>
              <w:left w:w="0" w:type="dxa"/>
              <w:bottom w:w="17" w:type="dxa"/>
              <w:right w:w="0" w:type="dxa"/>
            </w:tcMar>
            <w:vAlign w:val="bottom"/>
          </w:tcPr>
          <w:p w14:paraId="7EB36AD5" w14:textId="77777777" w:rsidR="00C87A11" w:rsidRPr="00C87A11" w:rsidRDefault="00C87A11" w:rsidP="00615190">
            <w:pPr>
              <w:spacing w:line="240" w:lineRule="atLeast"/>
              <w:rPr>
                <w:rFonts w:ascii="Tahoma" w:hAnsi="Tahoma"/>
                <w:color w:val="000000" w:themeColor="text1"/>
                <w:sz w:val="16"/>
                <w:lang w:val="en-GB"/>
              </w:rPr>
            </w:pPr>
            <w:r w:rsidRPr="00C87A11">
              <w:rPr>
                <w:rFonts w:ascii="Tahoma" w:hAnsi="Tahoma"/>
                <w:color w:val="000000" w:themeColor="text1"/>
                <w:sz w:val="16"/>
                <w:lang w:val="en-GB"/>
              </w:rPr>
              <w:t>Cash and cash equivalents at the beginning of the period</w:t>
            </w:r>
          </w:p>
        </w:tc>
        <w:tc>
          <w:tcPr>
            <w:tcW w:w="716" w:type="dxa"/>
            <w:shd w:val="clear" w:color="auto" w:fill="auto"/>
            <w:tcMar>
              <w:top w:w="17" w:type="dxa"/>
              <w:left w:w="0" w:type="dxa"/>
              <w:bottom w:w="17" w:type="dxa"/>
              <w:right w:w="0" w:type="dxa"/>
            </w:tcMar>
            <w:vAlign w:val="bottom"/>
          </w:tcPr>
          <w:p w14:paraId="441663B1" w14:textId="77777777" w:rsidR="00C87A11" w:rsidRPr="00C87A11" w:rsidRDefault="00C87A11" w:rsidP="00615190">
            <w:pPr>
              <w:spacing w:line="240" w:lineRule="atLeast"/>
              <w:rPr>
                <w:rFonts w:ascii="Tahoma" w:hAnsi="Tahoma"/>
                <w:color w:val="000000" w:themeColor="text1"/>
                <w:sz w:val="16"/>
                <w:lang w:val="en-GB"/>
              </w:rPr>
            </w:pPr>
          </w:p>
        </w:tc>
        <w:tc>
          <w:tcPr>
            <w:tcW w:w="1126" w:type="dxa"/>
            <w:shd w:val="clear" w:color="auto" w:fill="auto"/>
            <w:tcMar>
              <w:top w:w="17" w:type="dxa"/>
              <w:left w:w="0" w:type="dxa"/>
              <w:bottom w:w="17" w:type="dxa"/>
              <w:right w:w="0" w:type="dxa"/>
            </w:tcMar>
            <w:vAlign w:val="bottom"/>
          </w:tcPr>
          <w:p w14:paraId="29FB4FF3" w14:textId="77777777" w:rsidR="00C87A11" w:rsidRPr="00C87A11" w:rsidRDefault="00C87A11" w:rsidP="0068173D">
            <w:pPr>
              <w:spacing w:line="240" w:lineRule="atLeast"/>
              <w:jc w:val="right"/>
              <w:rPr>
                <w:rFonts w:ascii="Tahoma" w:hAnsi="Tahoma"/>
                <w:b/>
                <w:bCs/>
                <w:color w:val="000000" w:themeColor="text1"/>
                <w:sz w:val="16"/>
                <w:lang w:val="en-GB"/>
              </w:rPr>
            </w:pPr>
            <w:r w:rsidRPr="00C87A11">
              <w:rPr>
                <w:rFonts w:ascii="Tahoma" w:hAnsi="Tahoma"/>
                <w:b/>
                <w:bCs/>
                <w:color w:val="000000" w:themeColor="text1"/>
                <w:sz w:val="16"/>
                <w:lang w:val="en-GB"/>
              </w:rPr>
              <w:t>9 628</w:t>
            </w:r>
          </w:p>
        </w:tc>
        <w:tc>
          <w:tcPr>
            <w:tcW w:w="1134" w:type="dxa"/>
            <w:shd w:val="clear" w:color="auto" w:fill="auto"/>
            <w:tcMar>
              <w:top w:w="17" w:type="dxa"/>
              <w:left w:w="0" w:type="dxa"/>
              <w:bottom w:w="17" w:type="dxa"/>
              <w:right w:w="0" w:type="dxa"/>
            </w:tcMar>
            <w:vAlign w:val="bottom"/>
          </w:tcPr>
          <w:p w14:paraId="2936DE2B" w14:textId="77777777" w:rsidR="00C87A11" w:rsidRPr="00C87A11" w:rsidRDefault="00C87A11" w:rsidP="0068173D">
            <w:pPr>
              <w:spacing w:line="240" w:lineRule="atLeast"/>
              <w:jc w:val="right"/>
              <w:rPr>
                <w:rFonts w:ascii="Tahoma" w:hAnsi="Tahoma"/>
                <w:color w:val="000000" w:themeColor="text1"/>
                <w:sz w:val="16"/>
                <w:lang w:val="en-GB"/>
              </w:rPr>
            </w:pPr>
            <w:r w:rsidRPr="00C87A11">
              <w:rPr>
                <w:rFonts w:ascii="Tahoma" w:hAnsi="Tahoma"/>
                <w:color w:val="000000" w:themeColor="text1"/>
                <w:sz w:val="16"/>
                <w:lang w:val="en-GB"/>
              </w:rPr>
              <w:t>3 562</w:t>
            </w:r>
          </w:p>
        </w:tc>
        <w:tc>
          <w:tcPr>
            <w:tcW w:w="1134" w:type="dxa"/>
            <w:shd w:val="clear" w:color="auto" w:fill="auto"/>
            <w:tcMar>
              <w:top w:w="17" w:type="dxa"/>
              <w:left w:w="0" w:type="dxa"/>
              <w:bottom w:w="17" w:type="dxa"/>
              <w:right w:w="0" w:type="dxa"/>
            </w:tcMar>
            <w:vAlign w:val="bottom"/>
          </w:tcPr>
          <w:p w14:paraId="38F5D6A3" w14:textId="77777777" w:rsidR="00C87A11" w:rsidRPr="00C87A11" w:rsidRDefault="00C87A11" w:rsidP="0068173D">
            <w:pPr>
              <w:spacing w:line="240" w:lineRule="atLeast"/>
              <w:jc w:val="right"/>
              <w:rPr>
                <w:rFonts w:ascii="Tahoma" w:hAnsi="Tahoma"/>
                <w:color w:val="000000" w:themeColor="text1"/>
                <w:sz w:val="16"/>
                <w:lang w:val="en-GB"/>
              </w:rPr>
            </w:pPr>
            <w:r w:rsidRPr="00C87A11">
              <w:rPr>
                <w:rFonts w:ascii="Tahoma" w:hAnsi="Tahoma"/>
                <w:color w:val="000000" w:themeColor="text1"/>
                <w:sz w:val="16"/>
                <w:lang w:val="en-GB"/>
              </w:rPr>
              <w:t>3 562</w:t>
            </w:r>
          </w:p>
        </w:tc>
      </w:tr>
      <w:tr w:rsidR="00615190" w:rsidRPr="00C87A11" w14:paraId="14B4939E" w14:textId="77777777" w:rsidTr="00941F93">
        <w:trPr>
          <w:trHeight w:val="60"/>
        </w:trPr>
        <w:tc>
          <w:tcPr>
            <w:tcW w:w="6096" w:type="dxa"/>
            <w:tcBorders>
              <w:bottom w:val="single" w:sz="4" w:space="0" w:color="auto"/>
            </w:tcBorders>
            <w:shd w:val="clear" w:color="auto" w:fill="auto"/>
            <w:tcMar>
              <w:top w:w="17" w:type="dxa"/>
              <w:left w:w="0" w:type="dxa"/>
              <w:bottom w:w="51" w:type="dxa"/>
              <w:right w:w="0" w:type="dxa"/>
            </w:tcMar>
            <w:vAlign w:val="bottom"/>
          </w:tcPr>
          <w:p w14:paraId="60C52BAA" w14:textId="77777777" w:rsidR="00C87A11" w:rsidRPr="00C87A11" w:rsidRDefault="00C87A11" w:rsidP="00615190">
            <w:pPr>
              <w:spacing w:line="240" w:lineRule="atLeast"/>
              <w:rPr>
                <w:rFonts w:ascii="Tahoma" w:hAnsi="Tahoma"/>
                <w:color w:val="000000" w:themeColor="text1"/>
                <w:sz w:val="16"/>
                <w:lang w:val="en-GB"/>
              </w:rPr>
            </w:pPr>
            <w:r w:rsidRPr="00C87A11">
              <w:rPr>
                <w:rFonts w:ascii="Tahoma" w:hAnsi="Tahoma"/>
                <w:color w:val="000000" w:themeColor="text1"/>
                <w:sz w:val="16"/>
                <w:lang w:val="en-GB"/>
              </w:rPr>
              <w:t>Cash and cash equivalents classified as held for sale</w:t>
            </w:r>
          </w:p>
        </w:tc>
        <w:tc>
          <w:tcPr>
            <w:tcW w:w="716" w:type="dxa"/>
            <w:tcBorders>
              <w:bottom w:val="single" w:sz="4" w:space="0" w:color="auto"/>
            </w:tcBorders>
            <w:shd w:val="clear" w:color="auto" w:fill="auto"/>
            <w:tcMar>
              <w:top w:w="17" w:type="dxa"/>
              <w:left w:w="0" w:type="dxa"/>
              <w:bottom w:w="51" w:type="dxa"/>
              <w:right w:w="0" w:type="dxa"/>
            </w:tcMar>
            <w:vAlign w:val="bottom"/>
          </w:tcPr>
          <w:p w14:paraId="0728FA51" w14:textId="77777777" w:rsidR="00C87A11" w:rsidRPr="00C87A11" w:rsidRDefault="00C87A11" w:rsidP="00615190">
            <w:pPr>
              <w:spacing w:line="240" w:lineRule="atLeast"/>
              <w:rPr>
                <w:rFonts w:ascii="Tahoma" w:hAnsi="Tahoma"/>
                <w:color w:val="000000" w:themeColor="text1"/>
                <w:sz w:val="16"/>
                <w:lang w:val="en-GB"/>
              </w:rPr>
            </w:pPr>
          </w:p>
        </w:tc>
        <w:tc>
          <w:tcPr>
            <w:tcW w:w="1126" w:type="dxa"/>
            <w:tcBorders>
              <w:bottom w:val="single" w:sz="4" w:space="0" w:color="auto"/>
            </w:tcBorders>
            <w:shd w:val="clear" w:color="auto" w:fill="auto"/>
            <w:tcMar>
              <w:top w:w="17" w:type="dxa"/>
              <w:left w:w="0" w:type="dxa"/>
              <w:bottom w:w="51" w:type="dxa"/>
              <w:right w:w="0" w:type="dxa"/>
            </w:tcMar>
            <w:vAlign w:val="bottom"/>
          </w:tcPr>
          <w:p w14:paraId="4A17BBEF" w14:textId="77777777" w:rsidR="00C87A11" w:rsidRPr="00C87A11" w:rsidRDefault="00C87A11" w:rsidP="0068173D">
            <w:pPr>
              <w:spacing w:line="240" w:lineRule="atLeast"/>
              <w:jc w:val="right"/>
              <w:rPr>
                <w:rFonts w:ascii="Tahoma" w:hAnsi="Tahoma"/>
                <w:b/>
                <w:bCs/>
                <w:color w:val="000000" w:themeColor="text1"/>
                <w:sz w:val="16"/>
                <w:lang w:val="en-GB"/>
              </w:rPr>
            </w:pPr>
            <w:r w:rsidRPr="00C87A11">
              <w:rPr>
                <w:rFonts w:ascii="Tahoma" w:hAnsi="Tahoma"/>
                <w:b/>
                <w:bCs/>
                <w:color w:val="000000" w:themeColor="text1"/>
                <w:sz w:val="16"/>
                <w:lang w:val="en-GB"/>
              </w:rPr>
              <w:t>(367)</w:t>
            </w:r>
          </w:p>
        </w:tc>
        <w:tc>
          <w:tcPr>
            <w:tcW w:w="1134" w:type="dxa"/>
            <w:tcBorders>
              <w:bottom w:val="single" w:sz="4" w:space="0" w:color="auto"/>
            </w:tcBorders>
            <w:shd w:val="clear" w:color="auto" w:fill="auto"/>
            <w:tcMar>
              <w:top w:w="17" w:type="dxa"/>
              <w:left w:w="0" w:type="dxa"/>
              <w:bottom w:w="51" w:type="dxa"/>
              <w:right w:w="0" w:type="dxa"/>
            </w:tcMar>
            <w:vAlign w:val="bottom"/>
          </w:tcPr>
          <w:p w14:paraId="0B9196BF" w14:textId="77777777" w:rsidR="00C87A11" w:rsidRPr="00C87A11" w:rsidRDefault="00C87A11" w:rsidP="0068173D">
            <w:pPr>
              <w:spacing w:line="240" w:lineRule="atLeast"/>
              <w:jc w:val="right"/>
              <w:rPr>
                <w:rFonts w:ascii="Tahoma" w:hAnsi="Tahoma"/>
                <w:color w:val="000000" w:themeColor="text1"/>
                <w:sz w:val="16"/>
                <w:lang w:val="en-GB"/>
              </w:rPr>
            </w:pPr>
            <w:r w:rsidRPr="00C87A11">
              <w:rPr>
                <w:rFonts w:ascii="Tahoma" w:hAnsi="Tahoma"/>
                <w:color w:val="000000" w:themeColor="text1"/>
                <w:sz w:val="16"/>
                <w:lang w:val="en-GB"/>
              </w:rPr>
              <w:t>—</w:t>
            </w:r>
          </w:p>
        </w:tc>
        <w:tc>
          <w:tcPr>
            <w:tcW w:w="1134" w:type="dxa"/>
            <w:tcBorders>
              <w:bottom w:val="single" w:sz="4" w:space="0" w:color="auto"/>
            </w:tcBorders>
            <w:shd w:val="clear" w:color="auto" w:fill="auto"/>
            <w:tcMar>
              <w:top w:w="17" w:type="dxa"/>
              <w:left w:w="0" w:type="dxa"/>
              <w:bottom w:w="51" w:type="dxa"/>
              <w:right w:w="0" w:type="dxa"/>
            </w:tcMar>
            <w:vAlign w:val="bottom"/>
          </w:tcPr>
          <w:p w14:paraId="6B50C579" w14:textId="77777777" w:rsidR="00C87A11" w:rsidRPr="00C87A11" w:rsidRDefault="00C87A11" w:rsidP="0068173D">
            <w:pPr>
              <w:spacing w:line="240" w:lineRule="atLeast"/>
              <w:jc w:val="right"/>
              <w:rPr>
                <w:rFonts w:ascii="Tahoma" w:hAnsi="Tahoma"/>
                <w:color w:val="000000" w:themeColor="text1"/>
                <w:sz w:val="16"/>
                <w:lang w:val="en-GB"/>
              </w:rPr>
            </w:pPr>
            <w:r w:rsidRPr="00C87A11">
              <w:rPr>
                <w:rFonts w:ascii="Tahoma" w:hAnsi="Tahoma"/>
                <w:color w:val="000000" w:themeColor="text1"/>
                <w:sz w:val="16"/>
                <w:lang w:val="en-GB"/>
              </w:rPr>
              <w:t>—</w:t>
            </w:r>
          </w:p>
        </w:tc>
      </w:tr>
      <w:tr w:rsidR="00615190" w:rsidRPr="00C87A11" w14:paraId="71A1BC2E" w14:textId="77777777" w:rsidTr="00941F93">
        <w:trPr>
          <w:trHeight w:val="60"/>
        </w:trPr>
        <w:tc>
          <w:tcPr>
            <w:tcW w:w="6096"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6E8FD429" w14:textId="77777777" w:rsidR="00C87A11" w:rsidRPr="00C87A11" w:rsidRDefault="00C87A11" w:rsidP="00615190">
            <w:pPr>
              <w:spacing w:line="240" w:lineRule="atLeast"/>
              <w:rPr>
                <w:rFonts w:ascii="Tahoma" w:hAnsi="Tahoma"/>
                <w:b/>
                <w:bCs/>
                <w:color w:val="000000" w:themeColor="text1"/>
                <w:sz w:val="16"/>
                <w:lang w:val="en-GB"/>
              </w:rPr>
            </w:pPr>
            <w:r w:rsidRPr="00C87A11">
              <w:rPr>
                <w:rFonts w:ascii="Tahoma" w:hAnsi="Tahoma"/>
                <w:b/>
                <w:bCs/>
                <w:color w:val="000000" w:themeColor="text1"/>
                <w:sz w:val="16"/>
                <w:lang w:val="en-GB"/>
              </w:rPr>
              <w:t>Cash and cash equivalents at the end of the period</w:t>
            </w:r>
          </w:p>
        </w:tc>
        <w:tc>
          <w:tcPr>
            <w:tcW w:w="716"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1ECB18D7" w14:textId="77777777" w:rsidR="00C87A11" w:rsidRPr="00C87A11" w:rsidRDefault="00C87A11" w:rsidP="00615190">
            <w:pPr>
              <w:spacing w:line="240" w:lineRule="atLeast"/>
              <w:rPr>
                <w:rFonts w:ascii="Tahoma" w:hAnsi="Tahoma"/>
                <w:color w:val="000000" w:themeColor="text1"/>
                <w:sz w:val="16"/>
                <w:lang w:val="en-GB"/>
              </w:rPr>
            </w:pPr>
          </w:p>
        </w:tc>
        <w:tc>
          <w:tcPr>
            <w:tcW w:w="1126"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7084B1F7" w14:textId="77777777" w:rsidR="00C87A11" w:rsidRPr="00C87A11" w:rsidRDefault="00C87A11" w:rsidP="0068173D">
            <w:pPr>
              <w:spacing w:line="240" w:lineRule="atLeast"/>
              <w:jc w:val="right"/>
              <w:rPr>
                <w:rFonts w:ascii="Tahoma" w:hAnsi="Tahoma"/>
                <w:b/>
                <w:bCs/>
                <w:color w:val="000000" w:themeColor="text1"/>
                <w:sz w:val="16"/>
                <w:lang w:val="en-GB"/>
              </w:rPr>
            </w:pPr>
            <w:r w:rsidRPr="00C87A11">
              <w:rPr>
                <w:rFonts w:ascii="Tahoma" w:hAnsi="Tahoma"/>
                <w:b/>
                <w:bCs/>
                <w:color w:val="000000" w:themeColor="text1"/>
                <w:sz w:val="16"/>
                <w:lang w:val="en-GB"/>
              </w:rPr>
              <w:t>8 452</w:t>
            </w:r>
          </w:p>
        </w:tc>
        <w:tc>
          <w:tcPr>
            <w:tcW w:w="1134"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2DAC43F9" w14:textId="77777777" w:rsidR="00C87A11" w:rsidRPr="00C87A11" w:rsidRDefault="00C87A11" w:rsidP="0068173D">
            <w:pPr>
              <w:spacing w:line="240" w:lineRule="atLeast"/>
              <w:jc w:val="right"/>
              <w:rPr>
                <w:rFonts w:ascii="Tahoma" w:hAnsi="Tahoma"/>
                <w:color w:val="000000" w:themeColor="text1"/>
                <w:sz w:val="16"/>
                <w:lang w:val="en-GB"/>
              </w:rPr>
            </w:pPr>
            <w:r w:rsidRPr="00C87A11">
              <w:rPr>
                <w:rFonts w:ascii="Tahoma" w:hAnsi="Tahoma"/>
                <w:color w:val="000000" w:themeColor="text1"/>
                <w:sz w:val="16"/>
                <w:lang w:val="en-GB"/>
              </w:rPr>
              <w:t>6 156</w:t>
            </w:r>
          </w:p>
        </w:tc>
        <w:tc>
          <w:tcPr>
            <w:tcW w:w="1134"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44B86905" w14:textId="77777777" w:rsidR="00C87A11" w:rsidRPr="00C87A11" w:rsidRDefault="00C87A11" w:rsidP="0068173D">
            <w:pPr>
              <w:spacing w:line="240" w:lineRule="atLeast"/>
              <w:jc w:val="right"/>
              <w:rPr>
                <w:rFonts w:ascii="Tahoma" w:hAnsi="Tahoma"/>
                <w:color w:val="000000" w:themeColor="text1"/>
                <w:sz w:val="16"/>
                <w:lang w:val="en-GB"/>
              </w:rPr>
            </w:pPr>
            <w:r w:rsidRPr="00C87A11">
              <w:rPr>
                <w:rFonts w:ascii="Tahoma" w:hAnsi="Tahoma"/>
                <w:color w:val="000000" w:themeColor="text1"/>
                <w:sz w:val="16"/>
                <w:lang w:val="en-GB"/>
              </w:rPr>
              <w:t>9 628</w:t>
            </w:r>
          </w:p>
        </w:tc>
      </w:tr>
      <w:tr w:rsidR="00615190" w:rsidRPr="00C87A11" w14:paraId="70E0F9CC" w14:textId="77777777" w:rsidTr="00941F93">
        <w:trPr>
          <w:trHeight w:val="60"/>
        </w:trPr>
        <w:tc>
          <w:tcPr>
            <w:tcW w:w="10206" w:type="dxa"/>
            <w:gridSpan w:val="5"/>
            <w:tcBorders>
              <w:top w:val="single" w:sz="12" w:space="0" w:color="auto"/>
            </w:tcBorders>
            <w:shd w:val="clear" w:color="auto" w:fill="auto"/>
            <w:tcMar>
              <w:top w:w="85" w:type="dxa"/>
              <w:left w:w="0" w:type="dxa"/>
              <w:bottom w:w="57" w:type="dxa"/>
              <w:right w:w="0" w:type="dxa"/>
            </w:tcMar>
            <w:vAlign w:val="bottom"/>
          </w:tcPr>
          <w:p w14:paraId="64BD28F8" w14:textId="77777777" w:rsidR="00C87A11" w:rsidRPr="00C87A11" w:rsidRDefault="00C87A11" w:rsidP="00B802D5">
            <w:pPr>
              <w:pStyle w:val="FootnotesProsus2022FrontStylesProsus2022"/>
            </w:pPr>
            <w:r w:rsidRPr="00C87A11">
              <w:t>1</w:t>
            </w:r>
            <w:r w:rsidRPr="00C87A11">
              <w:tab/>
              <w:t>Relates to short-term cash investments with maturities of more than three months from date of acquisition.</w:t>
            </w:r>
          </w:p>
          <w:p w14:paraId="47D9A077" w14:textId="77777777" w:rsidR="00C87A11" w:rsidRPr="00C87A11" w:rsidRDefault="00C87A11" w:rsidP="00B802D5">
            <w:pPr>
              <w:pStyle w:val="FootnotesProsus2022FrontStylesProsus2022"/>
            </w:pPr>
            <w:r w:rsidRPr="00C87A11">
              <w:t>2</w:t>
            </w:r>
            <w:r w:rsidRPr="00C87A11">
              <w:tab/>
              <w:t>Relates mainly to the group’s fair value through other comprehensive income investments. Cash received from other investments includes US$54.2m dividends received from the JD.com investment.</w:t>
            </w:r>
          </w:p>
          <w:p w14:paraId="02EDBE11" w14:textId="77777777" w:rsidR="00C87A11" w:rsidRPr="00C87A11" w:rsidRDefault="00C87A11" w:rsidP="00B802D5">
            <w:pPr>
              <w:pStyle w:val="FootnotesProsus2022FrontStylesProsus2022"/>
            </w:pPr>
            <w:r w:rsidRPr="00C87A11">
              <w:t>3</w:t>
            </w:r>
            <w:r w:rsidRPr="00C87A11">
              <w:tab/>
              <w:t>Relates to payments for the group’s acquisition of Naspers shares included in fair value through other comprehensive income investments prior to the share exchange transaction and share repurchase.</w:t>
            </w:r>
          </w:p>
          <w:p w14:paraId="75A13491" w14:textId="77777777" w:rsidR="00C87A11" w:rsidRPr="00C87A11" w:rsidRDefault="00C87A11" w:rsidP="00B802D5">
            <w:pPr>
              <w:pStyle w:val="FootnotesProsus2022FrontStylesProsus2022"/>
            </w:pPr>
            <w:r w:rsidRPr="00C87A11">
              <w:t>4</w:t>
            </w:r>
            <w:r w:rsidRPr="00C87A11">
              <w:tab/>
              <w:t>Relates to the capital restructure from the group’s acquisition of Naspers shares (refer to note 3).</w:t>
            </w:r>
          </w:p>
          <w:p w14:paraId="446A86D4" w14:textId="77777777" w:rsidR="00C87A11" w:rsidRPr="00C87A11" w:rsidRDefault="00C87A11" w:rsidP="00B802D5">
            <w:pPr>
              <w:pStyle w:val="FootnotesProsus2022FrontStylesProsus2022"/>
            </w:pPr>
            <w:r w:rsidRPr="00C87A11">
              <w:t>5</w:t>
            </w:r>
            <w:r w:rsidRPr="00C87A11">
              <w:tab/>
              <w:t xml:space="preserve">Relates to transactions with non-controlling interest resulting in changes in effective interest of existing subsidiaries. </w:t>
            </w:r>
          </w:p>
          <w:p w14:paraId="45C35000" w14:textId="77777777" w:rsidR="00C87A11" w:rsidRPr="00C87A11" w:rsidRDefault="00C87A11" w:rsidP="00B802D5">
            <w:pPr>
              <w:pStyle w:val="FootnotesProsus2022FrontStylesProsus2022"/>
            </w:pPr>
            <w:r w:rsidRPr="00C87A11">
              <w:t>6</w:t>
            </w:r>
            <w:r w:rsidRPr="00C87A11">
              <w:tab/>
              <w:t xml:space="preserve">The prior year includes transaction costs relating to the </w:t>
            </w:r>
            <w:proofErr w:type="spellStart"/>
            <w:r w:rsidRPr="00C87A11">
              <w:t>Prosus</w:t>
            </w:r>
            <w:proofErr w:type="spellEnd"/>
            <w:r w:rsidRPr="00C87A11">
              <w:t xml:space="preserve"> share exchange of US$122.4m.</w:t>
            </w:r>
          </w:p>
        </w:tc>
      </w:tr>
    </w:tbl>
    <w:p w14:paraId="01DBF33C" w14:textId="77777777" w:rsidR="00C87A11" w:rsidRPr="00615190" w:rsidRDefault="00C87A11" w:rsidP="00615190">
      <w:pPr>
        <w:spacing w:line="240" w:lineRule="atLeast"/>
        <w:rPr>
          <w:rFonts w:ascii="Tahoma" w:hAnsi="Tahoma"/>
          <w:color w:val="000000" w:themeColor="text1"/>
          <w:sz w:val="16"/>
        </w:rPr>
      </w:pPr>
    </w:p>
    <w:p w14:paraId="6E0EFC77" w14:textId="77777777" w:rsidR="00CF44E9" w:rsidRPr="00615190" w:rsidRDefault="00CF44E9" w:rsidP="00615190">
      <w:pPr>
        <w:spacing w:line="240" w:lineRule="atLeast"/>
        <w:rPr>
          <w:rFonts w:ascii="Tahoma" w:hAnsi="Tahoma"/>
          <w:color w:val="000000" w:themeColor="text1"/>
          <w:sz w:val="16"/>
        </w:rPr>
      </w:pPr>
    </w:p>
    <w:p w14:paraId="4FF85FDC" w14:textId="77777777" w:rsidR="009D2B5C" w:rsidRDefault="009D2B5C">
      <w:pPr>
        <w:rPr>
          <w:rFonts w:ascii="Tahoma" w:hAnsi="Tahoma"/>
          <w:color w:val="000000" w:themeColor="text1"/>
          <w:sz w:val="16"/>
        </w:rPr>
      </w:pPr>
      <w:r>
        <w:rPr>
          <w:rFonts w:ascii="Tahoma" w:hAnsi="Tahoma"/>
          <w:color w:val="000000" w:themeColor="text1"/>
          <w:sz w:val="16"/>
        </w:rPr>
        <w:br w:type="page"/>
      </w:r>
    </w:p>
    <w:p w14:paraId="06826ACB" w14:textId="77777777" w:rsidR="00CF44E9" w:rsidRPr="009D2B5C" w:rsidRDefault="009D2B5C" w:rsidP="00615190">
      <w:pPr>
        <w:spacing w:line="240" w:lineRule="atLeast"/>
        <w:rPr>
          <w:rFonts w:ascii="Tahoma" w:hAnsi="Tahoma"/>
          <w:b/>
          <w:bCs/>
          <w:color w:val="000000" w:themeColor="text1"/>
          <w:sz w:val="20"/>
          <w:szCs w:val="20"/>
        </w:rPr>
      </w:pPr>
      <w:r w:rsidRPr="009D2B5C">
        <w:rPr>
          <w:rFonts w:ascii="Tahoma" w:hAnsi="Tahoma"/>
          <w:b/>
          <w:bCs/>
          <w:color w:val="000000" w:themeColor="text1"/>
          <w:sz w:val="20"/>
          <w:szCs w:val="20"/>
        </w:rPr>
        <w:lastRenderedPageBreak/>
        <w:t xml:space="preserve">NOTES TO THE CONDENSED CONSOLIDATED INTERIM FINANCIAL STATEMENTS </w:t>
      </w:r>
    </w:p>
    <w:p w14:paraId="5447A87D" w14:textId="77777777" w:rsidR="00CF44E9" w:rsidRPr="00615190" w:rsidRDefault="00CF44E9" w:rsidP="00615190">
      <w:pPr>
        <w:spacing w:line="240" w:lineRule="atLeast"/>
        <w:rPr>
          <w:rFonts w:ascii="Tahoma" w:hAnsi="Tahoma"/>
          <w:color w:val="000000" w:themeColor="text1"/>
          <w:sz w:val="16"/>
        </w:rPr>
      </w:pPr>
      <w:r w:rsidRPr="00615190">
        <w:rPr>
          <w:rFonts w:ascii="Tahoma" w:hAnsi="Tahoma"/>
          <w:color w:val="000000" w:themeColor="text1"/>
          <w:sz w:val="16"/>
        </w:rPr>
        <w:t>for the six months ended 30 September 2022</w:t>
      </w:r>
    </w:p>
    <w:p w14:paraId="5C17ACD5" w14:textId="77777777" w:rsidR="001E2952" w:rsidRPr="00615190" w:rsidRDefault="001E2952" w:rsidP="00615190">
      <w:pPr>
        <w:spacing w:line="240" w:lineRule="atLeast"/>
        <w:rPr>
          <w:rFonts w:ascii="Tahoma" w:hAnsi="Tahoma"/>
          <w:color w:val="000000" w:themeColor="text1"/>
          <w:sz w:val="16"/>
        </w:rPr>
      </w:pPr>
    </w:p>
    <w:p w14:paraId="134E5706" w14:textId="77777777" w:rsidR="001E2952" w:rsidRPr="00615190" w:rsidRDefault="001E2952" w:rsidP="00615190">
      <w:pPr>
        <w:spacing w:line="240" w:lineRule="atLeast"/>
        <w:rPr>
          <w:rFonts w:ascii="Tahoma" w:hAnsi="Tahoma"/>
          <w:color w:val="000000" w:themeColor="text1"/>
          <w:sz w:val="16"/>
        </w:rPr>
      </w:pPr>
    </w:p>
    <w:p w14:paraId="3F6D4D62" w14:textId="77777777" w:rsidR="00530BA5" w:rsidRPr="00ED0940" w:rsidRDefault="00530BA5" w:rsidP="00ED0940">
      <w:pPr>
        <w:spacing w:line="240" w:lineRule="atLeast"/>
        <w:ind w:left="426" w:hanging="426"/>
        <w:rPr>
          <w:rFonts w:ascii="Tahoma" w:hAnsi="Tahoma"/>
          <w:b/>
          <w:bCs/>
          <w:color w:val="000000" w:themeColor="text1"/>
          <w:sz w:val="16"/>
          <w:lang w:val="en-GB"/>
        </w:rPr>
      </w:pPr>
      <w:r w:rsidRPr="001E2952">
        <w:rPr>
          <w:rFonts w:ascii="Tahoma" w:hAnsi="Tahoma"/>
          <w:b/>
          <w:bCs/>
          <w:color w:val="000000" w:themeColor="text1"/>
          <w:sz w:val="16"/>
          <w:lang w:val="en-GB"/>
        </w:rPr>
        <w:t>1.</w:t>
      </w:r>
      <w:r w:rsidR="00ED0940">
        <w:rPr>
          <w:rFonts w:ascii="Tahoma" w:hAnsi="Tahoma"/>
          <w:b/>
          <w:bCs/>
          <w:color w:val="000000" w:themeColor="text1"/>
          <w:sz w:val="16"/>
          <w:lang w:val="en-GB"/>
        </w:rPr>
        <w:tab/>
      </w:r>
      <w:r w:rsidRPr="001E2952">
        <w:rPr>
          <w:rFonts w:ascii="Tahoma" w:hAnsi="Tahoma"/>
          <w:b/>
          <w:bCs/>
          <w:color w:val="000000" w:themeColor="text1"/>
          <w:sz w:val="16"/>
          <w:lang w:val="en-GB"/>
        </w:rPr>
        <w:t>GENERAL INFORMATION</w:t>
      </w:r>
    </w:p>
    <w:p w14:paraId="5F3E7806" w14:textId="77777777" w:rsidR="00530BA5" w:rsidRPr="001E2952" w:rsidRDefault="00530BA5" w:rsidP="00ED0940">
      <w:pPr>
        <w:spacing w:line="240" w:lineRule="atLeast"/>
        <w:ind w:left="426"/>
        <w:rPr>
          <w:rFonts w:ascii="Tahoma" w:hAnsi="Tahoma"/>
          <w:color w:val="000000" w:themeColor="text1"/>
          <w:sz w:val="16"/>
          <w:lang w:val="en-GB"/>
        </w:rPr>
      </w:pPr>
      <w:proofErr w:type="spellStart"/>
      <w:r w:rsidRPr="001E2952">
        <w:rPr>
          <w:rFonts w:ascii="Tahoma" w:hAnsi="Tahoma"/>
          <w:color w:val="000000" w:themeColor="text1"/>
          <w:sz w:val="16"/>
          <w:lang w:val="en-GB"/>
        </w:rPr>
        <w:t>Prosus</w:t>
      </w:r>
      <w:proofErr w:type="spellEnd"/>
      <w:r w:rsidRPr="001E2952">
        <w:rPr>
          <w:rFonts w:ascii="Tahoma" w:hAnsi="Tahoma"/>
          <w:color w:val="000000" w:themeColor="text1"/>
          <w:sz w:val="16"/>
          <w:lang w:val="en-GB"/>
        </w:rPr>
        <w:t xml:space="preserve"> N.V. (</w:t>
      </w:r>
      <w:proofErr w:type="spellStart"/>
      <w:r w:rsidRPr="001E2952">
        <w:rPr>
          <w:rFonts w:ascii="Tahoma" w:hAnsi="Tahoma"/>
          <w:color w:val="000000" w:themeColor="text1"/>
          <w:sz w:val="16"/>
          <w:lang w:val="en-GB"/>
        </w:rPr>
        <w:t>Prosus</w:t>
      </w:r>
      <w:proofErr w:type="spellEnd"/>
      <w:r w:rsidRPr="001E2952">
        <w:rPr>
          <w:rFonts w:ascii="Tahoma" w:hAnsi="Tahoma"/>
          <w:color w:val="000000" w:themeColor="text1"/>
          <w:sz w:val="16"/>
          <w:lang w:val="en-GB"/>
        </w:rPr>
        <w:t xml:space="preserve"> or the group) is a public company with limited liability (</w:t>
      </w:r>
      <w:proofErr w:type="spellStart"/>
      <w:r w:rsidRPr="002F078E">
        <w:rPr>
          <w:rFonts w:ascii="Tahoma" w:hAnsi="Tahoma"/>
          <w:i/>
          <w:iCs/>
          <w:color w:val="000000" w:themeColor="text1"/>
          <w:sz w:val="16"/>
          <w:lang w:val="en-GB"/>
        </w:rPr>
        <w:t>naamloze</w:t>
      </w:r>
      <w:proofErr w:type="spellEnd"/>
      <w:r w:rsidRPr="002F078E">
        <w:rPr>
          <w:rFonts w:ascii="Tahoma" w:hAnsi="Tahoma"/>
          <w:i/>
          <w:iCs/>
          <w:color w:val="000000" w:themeColor="text1"/>
          <w:sz w:val="16"/>
          <w:lang w:val="en-GB"/>
        </w:rPr>
        <w:t xml:space="preserve"> </w:t>
      </w:r>
      <w:proofErr w:type="spellStart"/>
      <w:r w:rsidRPr="002F078E">
        <w:rPr>
          <w:rFonts w:ascii="Tahoma" w:hAnsi="Tahoma"/>
          <w:i/>
          <w:iCs/>
          <w:color w:val="000000" w:themeColor="text1"/>
          <w:sz w:val="16"/>
          <w:lang w:val="en-GB"/>
        </w:rPr>
        <w:t>vennootschap</w:t>
      </w:r>
      <w:proofErr w:type="spellEnd"/>
      <w:r w:rsidRPr="001E2952">
        <w:rPr>
          <w:rFonts w:ascii="Tahoma" w:hAnsi="Tahoma"/>
          <w:color w:val="000000" w:themeColor="text1"/>
          <w:sz w:val="16"/>
          <w:lang w:val="en-GB"/>
        </w:rPr>
        <w:t xml:space="preserve">) incorporated under Dutch law, with its registered head office located at Symphony Offices, Gustav </w:t>
      </w:r>
      <w:proofErr w:type="spellStart"/>
      <w:r w:rsidRPr="001E2952">
        <w:rPr>
          <w:rFonts w:ascii="Tahoma" w:hAnsi="Tahoma"/>
          <w:color w:val="000000" w:themeColor="text1"/>
          <w:sz w:val="16"/>
          <w:lang w:val="en-GB"/>
        </w:rPr>
        <w:t>Mahlerplein</w:t>
      </w:r>
      <w:proofErr w:type="spellEnd"/>
      <w:r w:rsidRPr="001E2952">
        <w:rPr>
          <w:rFonts w:ascii="Tahoma" w:hAnsi="Tahoma"/>
          <w:color w:val="000000" w:themeColor="text1"/>
          <w:sz w:val="16"/>
          <w:lang w:val="en-GB"/>
        </w:rPr>
        <w:t xml:space="preserve"> 5, 1082 MS Amsterdam, the Netherlands (registered in the Dutch commercial register under number 34099856). </w:t>
      </w:r>
      <w:proofErr w:type="spellStart"/>
      <w:r w:rsidRPr="001E2952">
        <w:rPr>
          <w:rFonts w:ascii="Tahoma" w:hAnsi="Tahoma"/>
          <w:color w:val="000000" w:themeColor="text1"/>
          <w:sz w:val="16"/>
          <w:lang w:val="en-GB"/>
        </w:rPr>
        <w:t>Prosus</w:t>
      </w:r>
      <w:proofErr w:type="spellEnd"/>
      <w:r w:rsidRPr="001E2952">
        <w:rPr>
          <w:rFonts w:ascii="Tahoma" w:hAnsi="Tahoma"/>
          <w:color w:val="000000" w:themeColor="text1"/>
          <w:sz w:val="16"/>
          <w:lang w:val="en-GB"/>
        </w:rPr>
        <w:t xml:space="preserve"> is a subsidiary of Naspers Limited (Naspers), a company incorporated in South Africa. </w:t>
      </w:r>
      <w:proofErr w:type="spellStart"/>
      <w:r w:rsidRPr="001E2952">
        <w:rPr>
          <w:rFonts w:ascii="Tahoma" w:hAnsi="Tahoma"/>
          <w:color w:val="000000" w:themeColor="text1"/>
          <w:sz w:val="16"/>
          <w:lang w:val="en-GB"/>
        </w:rPr>
        <w:t>Prosus</w:t>
      </w:r>
      <w:proofErr w:type="spellEnd"/>
      <w:r w:rsidRPr="001E2952">
        <w:rPr>
          <w:rFonts w:ascii="Tahoma" w:hAnsi="Tahoma"/>
          <w:color w:val="000000" w:themeColor="text1"/>
          <w:sz w:val="16"/>
          <w:lang w:val="en-GB"/>
        </w:rPr>
        <w:t xml:space="preserve"> is listed on the Euronext Amsterdam Stock Exchange, with a secondary listing on the JSE Limited’s stock exchange and A2X Markets in South Africa.</w:t>
      </w:r>
    </w:p>
    <w:p w14:paraId="7A8F6CB2" w14:textId="77777777" w:rsidR="00530BA5" w:rsidRPr="001E2952" w:rsidRDefault="00530BA5" w:rsidP="009206DC">
      <w:pPr>
        <w:spacing w:line="240" w:lineRule="atLeast"/>
        <w:ind w:left="426" w:hanging="426"/>
        <w:rPr>
          <w:rFonts w:ascii="Tahoma" w:hAnsi="Tahoma"/>
          <w:color w:val="000000" w:themeColor="text1"/>
          <w:sz w:val="16"/>
          <w:lang w:val="en-GB"/>
        </w:rPr>
      </w:pPr>
    </w:p>
    <w:p w14:paraId="6B49E5CB" w14:textId="77777777" w:rsidR="00530BA5" w:rsidRPr="001E2952" w:rsidRDefault="00530BA5" w:rsidP="00ED0940">
      <w:pPr>
        <w:spacing w:line="240" w:lineRule="atLeast"/>
        <w:ind w:left="426"/>
        <w:rPr>
          <w:rFonts w:ascii="Tahoma" w:hAnsi="Tahoma"/>
          <w:color w:val="000000" w:themeColor="text1"/>
          <w:sz w:val="16"/>
          <w:lang w:val="en-GB"/>
        </w:rPr>
      </w:pPr>
      <w:r w:rsidRPr="001E2952">
        <w:rPr>
          <w:rFonts w:ascii="Tahoma" w:hAnsi="Tahoma"/>
          <w:color w:val="000000" w:themeColor="text1"/>
          <w:sz w:val="16"/>
          <w:lang w:val="en-GB"/>
        </w:rPr>
        <w:t xml:space="preserve">The </w:t>
      </w:r>
      <w:proofErr w:type="spellStart"/>
      <w:r w:rsidRPr="001E2952">
        <w:rPr>
          <w:rFonts w:ascii="Tahoma" w:hAnsi="Tahoma"/>
          <w:color w:val="000000" w:themeColor="text1"/>
          <w:sz w:val="16"/>
          <w:lang w:val="en-GB"/>
        </w:rPr>
        <w:t>Prosus</w:t>
      </w:r>
      <w:proofErr w:type="spellEnd"/>
      <w:r w:rsidRPr="001E2952">
        <w:rPr>
          <w:rFonts w:ascii="Tahoma" w:hAnsi="Tahoma"/>
          <w:color w:val="000000" w:themeColor="text1"/>
          <w:sz w:val="16"/>
          <w:lang w:val="en-GB"/>
        </w:rPr>
        <w:t xml:space="preserve"> group is a global consumer internet group and one of the largest technology investors in the world. Operating and investing globally in markets with long-term growth potential, </w:t>
      </w:r>
      <w:proofErr w:type="spellStart"/>
      <w:r w:rsidRPr="001E2952">
        <w:rPr>
          <w:rFonts w:ascii="Tahoma" w:hAnsi="Tahoma"/>
          <w:color w:val="000000" w:themeColor="text1"/>
          <w:sz w:val="16"/>
          <w:lang w:val="en-GB"/>
        </w:rPr>
        <w:t>Prosus</w:t>
      </w:r>
      <w:proofErr w:type="spellEnd"/>
      <w:r w:rsidRPr="001E2952">
        <w:rPr>
          <w:rFonts w:ascii="Tahoma" w:hAnsi="Tahoma"/>
          <w:color w:val="000000" w:themeColor="text1"/>
          <w:sz w:val="16"/>
          <w:lang w:val="en-GB"/>
        </w:rPr>
        <w:t xml:space="preserve"> builds leading consumer internet companies that empower people and enrich communities. The group is focused on building meaningful businesses in the online classifieds, payments and fintech, food delivery and education technology sectors in markets that include Europe, India and Brazil. Through its ventures team, </w:t>
      </w:r>
      <w:proofErr w:type="spellStart"/>
      <w:r w:rsidRPr="001E2952">
        <w:rPr>
          <w:rFonts w:ascii="Tahoma" w:hAnsi="Tahoma"/>
          <w:color w:val="000000" w:themeColor="text1"/>
          <w:sz w:val="16"/>
          <w:lang w:val="en-GB"/>
        </w:rPr>
        <w:t>Prosus</w:t>
      </w:r>
      <w:proofErr w:type="spellEnd"/>
      <w:r w:rsidRPr="001E2952">
        <w:rPr>
          <w:rFonts w:ascii="Tahoma" w:hAnsi="Tahoma"/>
          <w:color w:val="000000" w:themeColor="text1"/>
          <w:sz w:val="16"/>
          <w:lang w:val="en-GB"/>
        </w:rPr>
        <w:t xml:space="preserve"> actively seeks new opportunities to partner with exceptional entrepreneurs who are using technology to address big societal needs. Every day, millions of people use the products and services of companies that </w:t>
      </w:r>
      <w:proofErr w:type="spellStart"/>
      <w:r w:rsidRPr="001E2952">
        <w:rPr>
          <w:rFonts w:ascii="Tahoma" w:hAnsi="Tahoma"/>
          <w:color w:val="000000" w:themeColor="text1"/>
          <w:sz w:val="16"/>
          <w:lang w:val="en-GB"/>
        </w:rPr>
        <w:t>Prosus</w:t>
      </w:r>
      <w:proofErr w:type="spellEnd"/>
      <w:r w:rsidRPr="001E2952">
        <w:rPr>
          <w:rFonts w:ascii="Tahoma" w:hAnsi="Tahoma"/>
          <w:color w:val="000000" w:themeColor="text1"/>
          <w:sz w:val="16"/>
          <w:lang w:val="en-GB"/>
        </w:rPr>
        <w:t xml:space="preserve"> has invested in, acquired or built. The group operates and partners with </w:t>
      </w:r>
      <w:r w:rsidR="00A47722">
        <w:rPr>
          <w:rFonts w:ascii="Tahoma" w:hAnsi="Tahoma"/>
          <w:color w:val="000000" w:themeColor="text1"/>
          <w:sz w:val="16"/>
          <w:lang w:val="en-GB"/>
        </w:rPr>
        <w:br/>
      </w:r>
      <w:r w:rsidRPr="001E2952">
        <w:rPr>
          <w:rFonts w:ascii="Tahoma" w:hAnsi="Tahoma"/>
          <w:color w:val="000000" w:themeColor="text1"/>
          <w:sz w:val="16"/>
          <w:lang w:val="en-GB"/>
        </w:rPr>
        <w:t xml:space="preserve">a number of leading internet businesses across the Americas, Africa, Central and Eastern Europe, and Asia in sectors including online classifieds, food delivery, payments and fintech, edtech, health, </w:t>
      </w:r>
      <w:proofErr w:type="spellStart"/>
      <w:r w:rsidRPr="001E2952">
        <w:rPr>
          <w:rFonts w:ascii="Tahoma" w:hAnsi="Tahoma"/>
          <w:color w:val="000000" w:themeColor="text1"/>
          <w:sz w:val="16"/>
          <w:lang w:val="en-GB"/>
        </w:rPr>
        <w:t>etail</w:t>
      </w:r>
      <w:proofErr w:type="spellEnd"/>
      <w:r w:rsidRPr="001E2952">
        <w:rPr>
          <w:rFonts w:ascii="Tahoma" w:hAnsi="Tahoma"/>
          <w:color w:val="000000" w:themeColor="text1"/>
          <w:sz w:val="16"/>
          <w:lang w:val="en-GB"/>
        </w:rPr>
        <w:t xml:space="preserve"> and social and internet platforms.</w:t>
      </w:r>
    </w:p>
    <w:p w14:paraId="0D0183C7" w14:textId="77777777" w:rsidR="00530BA5" w:rsidRPr="001E2952" w:rsidRDefault="00530BA5" w:rsidP="009206DC">
      <w:pPr>
        <w:spacing w:line="240" w:lineRule="atLeast"/>
        <w:ind w:left="426" w:hanging="426"/>
        <w:rPr>
          <w:rFonts w:ascii="Tahoma" w:hAnsi="Tahoma"/>
          <w:color w:val="000000" w:themeColor="text1"/>
          <w:sz w:val="16"/>
          <w:lang w:val="en-GB"/>
        </w:rPr>
      </w:pPr>
    </w:p>
    <w:p w14:paraId="0E29137B" w14:textId="77777777" w:rsidR="00530BA5" w:rsidRPr="001E2952" w:rsidRDefault="00530BA5" w:rsidP="00ED0940">
      <w:pPr>
        <w:spacing w:line="240" w:lineRule="atLeast"/>
        <w:ind w:left="426"/>
        <w:rPr>
          <w:rFonts w:ascii="Tahoma" w:hAnsi="Tahoma"/>
          <w:color w:val="000000" w:themeColor="text1"/>
          <w:sz w:val="16"/>
          <w:lang w:val="en-GB"/>
        </w:rPr>
      </w:pPr>
      <w:r w:rsidRPr="001E2952">
        <w:rPr>
          <w:rFonts w:ascii="Tahoma" w:hAnsi="Tahoma"/>
          <w:color w:val="000000" w:themeColor="text1"/>
          <w:sz w:val="16"/>
          <w:lang w:val="en-GB"/>
        </w:rPr>
        <w:t>The condensed consolidated interim financial statements for the six months ended 30 September 2022 have been authorised for issue by the board of directors on 22 November 2022.</w:t>
      </w:r>
    </w:p>
    <w:p w14:paraId="58DD1346" w14:textId="77777777" w:rsidR="00ED0940" w:rsidRDefault="00ED0940" w:rsidP="009206DC">
      <w:pPr>
        <w:spacing w:line="240" w:lineRule="atLeast"/>
        <w:ind w:left="426" w:hanging="426"/>
        <w:rPr>
          <w:rFonts w:ascii="Tahoma" w:hAnsi="Tahoma"/>
          <w:b/>
          <w:bCs/>
          <w:color w:val="000000" w:themeColor="text1"/>
          <w:sz w:val="16"/>
          <w:lang w:val="en-GB"/>
        </w:rPr>
      </w:pPr>
    </w:p>
    <w:p w14:paraId="34394A1C" w14:textId="77777777" w:rsidR="00530BA5" w:rsidRPr="00ED0940" w:rsidRDefault="00530BA5" w:rsidP="00ED0940">
      <w:pPr>
        <w:spacing w:line="240" w:lineRule="atLeast"/>
        <w:ind w:left="426" w:hanging="426"/>
        <w:rPr>
          <w:rFonts w:ascii="Tahoma" w:hAnsi="Tahoma"/>
          <w:b/>
          <w:bCs/>
          <w:color w:val="000000" w:themeColor="text1"/>
          <w:sz w:val="16"/>
          <w:lang w:val="en-GB"/>
        </w:rPr>
      </w:pPr>
      <w:r w:rsidRPr="001E2952">
        <w:rPr>
          <w:rFonts w:ascii="Tahoma" w:hAnsi="Tahoma"/>
          <w:b/>
          <w:bCs/>
          <w:color w:val="000000" w:themeColor="text1"/>
          <w:sz w:val="16"/>
          <w:lang w:val="en-GB"/>
        </w:rPr>
        <w:t>2.</w:t>
      </w:r>
      <w:r w:rsidR="00ED0940">
        <w:rPr>
          <w:rFonts w:ascii="Tahoma" w:hAnsi="Tahoma"/>
          <w:b/>
          <w:bCs/>
          <w:color w:val="000000" w:themeColor="text1"/>
          <w:sz w:val="16"/>
          <w:lang w:val="en-GB"/>
        </w:rPr>
        <w:tab/>
      </w:r>
      <w:r w:rsidRPr="001E2952">
        <w:rPr>
          <w:rFonts w:ascii="Tahoma" w:hAnsi="Tahoma"/>
          <w:b/>
          <w:bCs/>
          <w:color w:val="000000" w:themeColor="text1"/>
          <w:sz w:val="16"/>
          <w:lang w:val="en-GB"/>
        </w:rPr>
        <w:t xml:space="preserve">BASIS OF PRESENTATION AND ACCOUNTING POLICIES </w:t>
      </w:r>
    </w:p>
    <w:p w14:paraId="14DCDA4F" w14:textId="77777777" w:rsidR="00530BA5" w:rsidRPr="00ED0940" w:rsidRDefault="00530BA5" w:rsidP="00ED0940">
      <w:pPr>
        <w:spacing w:line="240" w:lineRule="atLeast"/>
        <w:ind w:left="426"/>
        <w:rPr>
          <w:rFonts w:ascii="Tahoma" w:hAnsi="Tahoma"/>
          <w:b/>
          <w:bCs/>
          <w:color w:val="000000" w:themeColor="text1"/>
          <w:sz w:val="16"/>
          <w:lang w:val="en-GB"/>
        </w:rPr>
      </w:pPr>
      <w:r w:rsidRPr="001E2952">
        <w:rPr>
          <w:rFonts w:ascii="Tahoma" w:hAnsi="Tahoma"/>
          <w:b/>
          <w:bCs/>
          <w:color w:val="000000" w:themeColor="text1"/>
          <w:sz w:val="16"/>
          <w:lang w:val="en-GB"/>
        </w:rPr>
        <w:t>Information on the condensed consolidated interim financial statements</w:t>
      </w:r>
    </w:p>
    <w:p w14:paraId="77AFBCC5" w14:textId="77777777" w:rsidR="00530BA5" w:rsidRPr="001E2952" w:rsidRDefault="00530BA5" w:rsidP="00ED0940">
      <w:pPr>
        <w:spacing w:line="240" w:lineRule="atLeast"/>
        <w:ind w:left="426"/>
        <w:rPr>
          <w:rFonts w:ascii="Tahoma" w:hAnsi="Tahoma"/>
          <w:color w:val="000000" w:themeColor="text1"/>
          <w:sz w:val="16"/>
          <w:lang w:val="en-GB"/>
        </w:rPr>
      </w:pPr>
      <w:r w:rsidRPr="001E2952">
        <w:rPr>
          <w:rFonts w:ascii="Tahoma" w:hAnsi="Tahoma"/>
          <w:color w:val="000000" w:themeColor="text1"/>
          <w:sz w:val="16"/>
          <w:lang w:val="en-GB"/>
        </w:rPr>
        <w:t xml:space="preserve">The condensed consolidated interim financial statements for the six months ended 30 September 2022 have been prepared in accordance with International Financial Reporting Standard, IAS 34 </w:t>
      </w:r>
      <w:r w:rsidRPr="002F078E">
        <w:rPr>
          <w:rFonts w:ascii="Tahoma" w:hAnsi="Tahoma"/>
          <w:i/>
          <w:iCs/>
          <w:color w:val="000000" w:themeColor="text1"/>
          <w:sz w:val="16"/>
          <w:lang w:val="en-GB"/>
        </w:rPr>
        <w:t>Interim Financial Reporting</w:t>
      </w:r>
      <w:r w:rsidRPr="001E2952">
        <w:rPr>
          <w:rFonts w:ascii="Tahoma" w:hAnsi="Tahoma"/>
          <w:color w:val="000000" w:themeColor="text1"/>
          <w:sz w:val="16"/>
          <w:lang w:val="en-GB"/>
        </w:rPr>
        <w:t>, as adopted by the European Union (IFRS-EU).</w:t>
      </w:r>
    </w:p>
    <w:p w14:paraId="2BE9DAFD" w14:textId="77777777" w:rsidR="00530BA5" w:rsidRPr="001E2952" w:rsidRDefault="00530BA5" w:rsidP="009206DC">
      <w:pPr>
        <w:spacing w:line="240" w:lineRule="atLeast"/>
        <w:ind w:left="426" w:hanging="426"/>
        <w:rPr>
          <w:rFonts w:ascii="Tahoma" w:hAnsi="Tahoma"/>
          <w:color w:val="000000" w:themeColor="text1"/>
          <w:sz w:val="16"/>
          <w:lang w:val="en-GB"/>
        </w:rPr>
      </w:pPr>
    </w:p>
    <w:p w14:paraId="4582D47B" w14:textId="77777777" w:rsidR="00530BA5" w:rsidRPr="001E2952" w:rsidRDefault="00530BA5" w:rsidP="00ED0940">
      <w:pPr>
        <w:spacing w:line="240" w:lineRule="atLeast"/>
        <w:ind w:left="426"/>
        <w:rPr>
          <w:rFonts w:ascii="Tahoma" w:hAnsi="Tahoma"/>
          <w:color w:val="000000" w:themeColor="text1"/>
          <w:sz w:val="16"/>
          <w:lang w:val="en-GB"/>
        </w:rPr>
      </w:pPr>
      <w:r w:rsidRPr="001E2952">
        <w:rPr>
          <w:rFonts w:ascii="Tahoma" w:hAnsi="Tahoma"/>
          <w:color w:val="000000" w:themeColor="text1"/>
          <w:sz w:val="16"/>
          <w:lang w:val="en-GB"/>
        </w:rPr>
        <w:t>The condensed consolidated interim financial statements do not include all the disclosures required for a complete set of financial statements prepared in accordance with IFRS-EU. The accounting policies in these condensed consolidated interim financial statements are consistent with those applied in the consolidated financial statements as included in the annual report for the year ended 31 March 2022, except for the impact of hyperinflation detailed below.</w:t>
      </w:r>
    </w:p>
    <w:p w14:paraId="471E51D8" w14:textId="77777777" w:rsidR="00530BA5" w:rsidRPr="001E2952" w:rsidRDefault="00530BA5" w:rsidP="009206DC">
      <w:pPr>
        <w:spacing w:line="240" w:lineRule="atLeast"/>
        <w:ind w:left="426" w:hanging="426"/>
        <w:rPr>
          <w:rFonts w:ascii="Tahoma" w:hAnsi="Tahoma"/>
          <w:color w:val="000000" w:themeColor="text1"/>
          <w:sz w:val="16"/>
          <w:lang w:val="en-GB"/>
        </w:rPr>
      </w:pPr>
    </w:p>
    <w:p w14:paraId="7136992B" w14:textId="37FE6923" w:rsidR="00530BA5" w:rsidRPr="001E2952" w:rsidRDefault="00530BA5" w:rsidP="00ED0940">
      <w:pPr>
        <w:spacing w:line="240" w:lineRule="atLeast"/>
        <w:ind w:left="426"/>
        <w:rPr>
          <w:rFonts w:ascii="Tahoma" w:hAnsi="Tahoma"/>
          <w:color w:val="000000" w:themeColor="text1"/>
          <w:sz w:val="16"/>
          <w:lang w:val="en-GB"/>
        </w:rPr>
      </w:pPr>
      <w:r w:rsidRPr="001E2952">
        <w:rPr>
          <w:rFonts w:ascii="Tahoma" w:hAnsi="Tahoma"/>
          <w:color w:val="000000" w:themeColor="text1"/>
          <w:sz w:val="16"/>
          <w:lang w:val="en-GB"/>
        </w:rPr>
        <w:t xml:space="preserve">There were no new or amended accounting pronouncements effective from 1 April 2022 that have a significant impact on the group’s condensed consolidated </w:t>
      </w:r>
      <w:r w:rsidR="00581D85">
        <w:rPr>
          <w:rFonts w:ascii="Tahoma" w:hAnsi="Tahoma"/>
          <w:color w:val="000000" w:themeColor="text1"/>
          <w:sz w:val="16"/>
          <w:lang w:val="en-GB"/>
        </w:rPr>
        <w:t xml:space="preserve">interim </w:t>
      </w:r>
      <w:r w:rsidRPr="001E2952">
        <w:rPr>
          <w:rFonts w:ascii="Tahoma" w:hAnsi="Tahoma"/>
          <w:color w:val="000000" w:themeColor="text1"/>
          <w:sz w:val="16"/>
          <w:lang w:val="en-GB"/>
        </w:rPr>
        <w:t>financial statements.</w:t>
      </w:r>
    </w:p>
    <w:p w14:paraId="569EEE52" w14:textId="77777777" w:rsidR="00530BA5" w:rsidRPr="001E2952" w:rsidRDefault="00530BA5" w:rsidP="009206DC">
      <w:pPr>
        <w:spacing w:line="240" w:lineRule="atLeast"/>
        <w:ind w:left="426" w:hanging="426"/>
        <w:rPr>
          <w:rFonts w:ascii="Tahoma" w:hAnsi="Tahoma"/>
          <w:color w:val="000000" w:themeColor="text1"/>
          <w:sz w:val="16"/>
          <w:lang w:val="en-GB"/>
        </w:rPr>
      </w:pPr>
    </w:p>
    <w:p w14:paraId="2A29A89E" w14:textId="77777777" w:rsidR="00530BA5" w:rsidRPr="001E2952" w:rsidRDefault="00530BA5" w:rsidP="00C029CD">
      <w:pPr>
        <w:spacing w:line="240" w:lineRule="atLeast"/>
        <w:ind w:left="426"/>
        <w:rPr>
          <w:rFonts w:ascii="Tahoma" w:hAnsi="Tahoma"/>
          <w:color w:val="000000" w:themeColor="text1"/>
          <w:sz w:val="16"/>
          <w:lang w:val="en-GB"/>
        </w:rPr>
      </w:pPr>
      <w:r w:rsidRPr="001E2952">
        <w:rPr>
          <w:rFonts w:ascii="Tahoma" w:hAnsi="Tahoma"/>
          <w:color w:val="000000" w:themeColor="text1"/>
          <w:sz w:val="16"/>
          <w:lang w:val="en-GB"/>
        </w:rPr>
        <w:t xml:space="preserve">The condensed consolidated interim financial statements presented here report earnings per share, diluted earnings per share, headline earnings per share and diluted headline earnings per share (collectively referred to as earnings per share) per class of ordinary shares. These are calculated as the relationship of the number of ordinary shares (or dilutive ordinary shares where relevant) of </w:t>
      </w:r>
      <w:proofErr w:type="spellStart"/>
      <w:r w:rsidRPr="001E2952">
        <w:rPr>
          <w:rFonts w:ascii="Tahoma" w:hAnsi="Tahoma"/>
          <w:color w:val="000000" w:themeColor="text1"/>
          <w:sz w:val="16"/>
          <w:lang w:val="en-GB"/>
        </w:rPr>
        <w:t>Prosus</w:t>
      </w:r>
      <w:proofErr w:type="spellEnd"/>
      <w:r w:rsidRPr="001E2952">
        <w:rPr>
          <w:rFonts w:ascii="Tahoma" w:hAnsi="Tahoma"/>
          <w:color w:val="000000" w:themeColor="text1"/>
          <w:sz w:val="16"/>
          <w:lang w:val="en-GB"/>
        </w:rPr>
        <w:t xml:space="preserve"> issued at 30 September 2022 (net of treasury shares) to the relevant net profit measure attributable to the shareholders of </w:t>
      </w:r>
      <w:proofErr w:type="spellStart"/>
      <w:r w:rsidRPr="001E2952">
        <w:rPr>
          <w:rFonts w:ascii="Tahoma" w:hAnsi="Tahoma"/>
          <w:color w:val="000000" w:themeColor="text1"/>
          <w:sz w:val="16"/>
          <w:lang w:val="en-GB"/>
        </w:rPr>
        <w:t>Prosus</w:t>
      </w:r>
      <w:proofErr w:type="spellEnd"/>
      <w:r w:rsidRPr="001E2952">
        <w:rPr>
          <w:rFonts w:ascii="Tahoma" w:hAnsi="Tahoma"/>
          <w:color w:val="000000" w:themeColor="text1"/>
          <w:sz w:val="16"/>
          <w:lang w:val="en-GB"/>
        </w:rPr>
        <w:t>.</w:t>
      </w:r>
    </w:p>
    <w:p w14:paraId="1B366D4C" w14:textId="77777777" w:rsidR="00530BA5" w:rsidRPr="001E2952" w:rsidRDefault="00530BA5" w:rsidP="009206DC">
      <w:pPr>
        <w:spacing w:line="240" w:lineRule="atLeast"/>
        <w:ind w:left="426" w:hanging="426"/>
        <w:rPr>
          <w:rFonts w:ascii="Tahoma" w:hAnsi="Tahoma"/>
          <w:color w:val="000000" w:themeColor="text1"/>
          <w:sz w:val="16"/>
          <w:lang w:val="en-GB"/>
        </w:rPr>
      </w:pPr>
    </w:p>
    <w:p w14:paraId="120BC36B" w14:textId="77777777" w:rsidR="00530BA5" w:rsidRPr="001E2952" w:rsidRDefault="00530BA5" w:rsidP="0074120A">
      <w:pPr>
        <w:spacing w:line="240" w:lineRule="atLeast"/>
        <w:ind w:left="426"/>
        <w:rPr>
          <w:rFonts w:ascii="Tahoma" w:hAnsi="Tahoma"/>
          <w:color w:val="000000" w:themeColor="text1"/>
          <w:sz w:val="16"/>
          <w:lang w:val="en-GB"/>
        </w:rPr>
      </w:pPr>
      <w:r w:rsidRPr="001E2952">
        <w:rPr>
          <w:rFonts w:ascii="Tahoma" w:hAnsi="Tahoma"/>
          <w:color w:val="000000" w:themeColor="text1"/>
          <w:sz w:val="16"/>
          <w:lang w:val="en-GB"/>
        </w:rPr>
        <w:t>The earnings per share information presented takes into account the impact of the cross-holding agreement with Naspers.</w:t>
      </w:r>
    </w:p>
    <w:p w14:paraId="6854AC4C" w14:textId="77777777" w:rsidR="00530BA5" w:rsidRPr="001E2952" w:rsidRDefault="00530BA5" w:rsidP="009206DC">
      <w:pPr>
        <w:spacing w:line="240" w:lineRule="atLeast"/>
        <w:ind w:left="426" w:hanging="426"/>
        <w:rPr>
          <w:rFonts w:ascii="Tahoma" w:hAnsi="Tahoma"/>
          <w:color w:val="000000" w:themeColor="text1"/>
          <w:sz w:val="16"/>
          <w:lang w:val="en-GB"/>
        </w:rPr>
      </w:pPr>
    </w:p>
    <w:p w14:paraId="1362C3F1" w14:textId="77777777" w:rsidR="00530BA5" w:rsidRPr="001E2952" w:rsidRDefault="00530BA5" w:rsidP="0074120A">
      <w:pPr>
        <w:spacing w:line="240" w:lineRule="atLeast"/>
        <w:ind w:left="426"/>
        <w:rPr>
          <w:rFonts w:ascii="Tahoma" w:hAnsi="Tahoma"/>
          <w:color w:val="000000" w:themeColor="text1"/>
          <w:sz w:val="16"/>
          <w:lang w:val="en-GB"/>
        </w:rPr>
      </w:pPr>
      <w:r w:rsidRPr="001E2952">
        <w:rPr>
          <w:rFonts w:ascii="Tahoma" w:hAnsi="Tahoma"/>
          <w:color w:val="000000" w:themeColor="text1"/>
          <w:sz w:val="16"/>
          <w:lang w:val="en-GB"/>
        </w:rPr>
        <w:t>All amounts disclosed are in millions of US dollars (</w:t>
      </w:r>
      <w:proofErr w:type="spellStart"/>
      <w:r w:rsidRPr="001E2952">
        <w:rPr>
          <w:rFonts w:ascii="Tahoma" w:hAnsi="Tahoma"/>
          <w:color w:val="000000" w:themeColor="text1"/>
          <w:sz w:val="16"/>
          <w:lang w:val="en-GB"/>
        </w:rPr>
        <w:t>US$’m</w:t>
      </w:r>
      <w:proofErr w:type="spellEnd"/>
      <w:r w:rsidRPr="001E2952">
        <w:rPr>
          <w:rFonts w:ascii="Tahoma" w:hAnsi="Tahoma"/>
          <w:color w:val="000000" w:themeColor="text1"/>
          <w:sz w:val="16"/>
          <w:lang w:val="en-GB"/>
        </w:rPr>
        <w:t>), unless otherwise stated.</w:t>
      </w:r>
    </w:p>
    <w:p w14:paraId="4F03B058" w14:textId="77777777" w:rsidR="00530BA5" w:rsidRPr="001E2952" w:rsidRDefault="00530BA5" w:rsidP="009206DC">
      <w:pPr>
        <w:spacing w:line="240" w:lineRule="atLeast"/>
        <w:ind w:left="426" w:hanging="426"/>
        <w:rPr>
          <w:rFonts w:ascii="Tahoma" w:hAnsi="Tahoma"/>
          <w:color w:val="000000" w:themeColor="text1"/>
          <w:sz w:val="16"/>
          <w:lang w:val="en-GB"/>
        </w:rPr>
      </w:pPr>
    </w:p>
    <w:p w14:paraId="5B90F7DC" w14:textId="77777777" w:rsidR="00530BA5" w:rsidRPr="00715988" w:rsidRDefault="00530BA5" w:rsidP="00715988">
      <w:pPr>
        <w:spacing w:line="240" w:lineRule="atLeast"/>
        <w:ind w:left="426"/>
        <w:rPr>
          <w:rFonts w:ascii="Tahoma" w:hAnsi="Tahoma"/>
          <w:b/>
          <w:bCs/>
          <w:color w:val="000000" w:themeColor="text1"/>
          <w:sz w:val="16"/>
          <w:lang w:val="en-GB"/>
        </w:rPr>
      </w:pPr>
      <w:r w:rsidRPr="001E2952">
        <w:rPr>
          <w:rFonts w:ascii="Tahoma" w:hAnsi="Tahoma"/>
          <w:b/>
          <w:bCs/>
          <w:color w:val="7F7F7F" w:themeColor="text1" w:themeTint="80"/>
          <w:sz w:val="16"/>
          <w:lang w:val="en-GB"/>
        </w:rPr>
        <w:t>Operating segments</w:t>
      </w:r>
    </w:p>
    <w:p w14:paraId="63818F3B" w14:textId="77777777" w:rsidR="00530BA5" w:rsidRPr="001E2952" w:rsidRDefault="00530BA5" w:rsidP="0074120A">
      <w:pPr>
        <w:spacing w:line="240" w:lineRule="atLeast"/>
        <w:ind w:left="426"/>
        <w:rPr>
          <w:rFonts w:ascii="Tahoma" w:hAnsi="Tahoma"/>
          <w:color w:val="000000" w:themeColor="text1"/>
          <w:sz w:val="16"/>
          <w:lang w:val="en-GB"/>
        </w:rPr>
      </w:pPr>
      <w:r w:rsidRPr="001E2952">
        <w:rPr>
          <w:rFonts w:ascii="Tahoma" w:hAnsi="Tahoma"/>
          <w:color w:val="000000" w:themeColor="text1"/>
          <w:sz w:val="16"/>
          <w:lang w:val="en-GB"/>
        </w:rPr>
        <w:t>The group’s operating segments reflect the components of the group that are regularly reviewed by the chief operating decision-maker (CODM) as defined in note 21 ‘Segment information’ in the consolidated financial statements as included in the annual report for the year ended 31 March 2022.</w:t>
      </w:r>
    </w:p>
    <w:p w14:paraId="7C60C23E" w14:textId="77777777" w:rsidR="00530BA5" w:rsidRPr="001E2952" w:rsidRDefault="00530BA5" w:rsidP="009206DC">
      <w:pPr>
        <w:spacing w:line="240" w:lineRule="atLeast"/>
        <w:ind w:left="426" w:hanging="426"/>
        <w:rPr>
          <w:rFonts w:ascii="Tahoma" w:hAnsi="Tahoma"/>
          <w:color w:val="000000" w:themeColor="text1"/>
          <w:sz w:val="16"/>
          <w:lang w:val="en-GB"/>
        </w:rPr>
      </w:pPr>
    </w:p>
    <w:p w14:paraId="2708AF5F" w14:textId="77777777" w:rsidR="00530BA5" w:rsidRPr="001E2952" w:rsidRDefault="00530BA5" w:rsidP="005E4D2D">
      <w:pPr>
        <w:spacing w:line="240" w:lineRule="atLeast"/>
        <w:ind w:left="426"/>
        <w:rPr>
          <w:rFonts w:ascii="Tahoma" w:hAnsi="Tahoma"/>
          <w:color w:val="000000" w:themeColor="text1"/>
          <w:sz w:val="16"/>
          <w:lang w:val="en-GB"/>
        </w:rPr>
      </w:pPr>
      <w:r w:rsidRPr="001E2952">
        <w:rPr>
          <w:rFonts w:ascii="Tahoma" w:hAnsi="Tahoma"/>
          <w:color w:val="000000" w:themeColor="text1"/>
          <w:sz w:val="16"/>
          <w:lang w:val="en-GB"/>
        </w:rPr>
        <w:t xml:space="preserve">From 1 April 2022, following the operational separation from OLX Group, the CODM reviewed the financial results of </w:t>
      </w:r>
      <w:proofErr w:type="spellStart"/>
      <w:r w:rsidRPr="001E2952">
        <w:rPr>
          <w:rFonts w:ascii="Tahoma" w:hAnsi="Tahoma"/>
          <w:color w:val="000000" w:themeColor="text1"/>
          <w:sz w:val="16"/>
          <w:lang w:val="en-GB"/>
        </w:rPr>
        <w:t>Avito</w:t>
      </w:r>
      <w:proofErr w:type="spellEnd"/>
      <w:r w:rsidRPr="001E2952">
        <w:rPr>
          <w:rFonts w:ascii="Tahoma" w:hAnsi="Tahoma"/>
          <w:color w:val="000000" w:themeColor="text1"/>
          <w:sz w:val="16"/>
          <w:lang w:val="en-GB"/>
        </w:rPr>
        <w:t xml:space="preserve"> separately from the Classifieds Ecommerce segment. The financial results of </w:t>
      </w:r>
      <w:proofErr w:type="spellStart"/>
      <w:r w:rsidRPr="001E2952">
        <w:rPr>
          <w:rFonts w:ascii="Tahoma" w:hAnsi="Tahoma"/>
          <w:color w:val="000000" w:themeColor="text1"/>
          <w:sz w:val="16"/>
          <w:lang w:val="en-GB"/>
        </w:rPr>
        <w:t>Avito</w:t>
      </w:r>
      <w:proofErr w:type="spellEnd"/>
      <w:r w:rsidRPr="001E2952">
        <w:rPr>
          <w:rFonts w:ascii="Tahoma" w:hAnsi="Tahoma"/>
          <w:color w:val="000000" w:themeColor="text1"/>
          <w:sz w:val="16"/>
          <w:lang w:val="en-GB"/>
        </w:rPr>
        <w:t xml:space="preserve"> are presented separately as a discontinued operation in the operating segment information as a result of the group’s decision to exit the Russian business. The comparative financial results of </w:t>
      </w:r>
      <w:proofErr w:type="spellStart"/>
      <w:r w:rsidRPr="001E2952">
        <w:rPr>
          <w:rFonts w:ascii="Tahoma" w:hAnsi="Tahoma"/>
          <w:color w:val="000000" w:themeColor="text1"/>
          <w:sz w:val="16"/>
          <w:lang w:val="en-GB"/>
        </w:rPr>
        <w:t>Avito</w:t>
      </w:r>
      <w:proofErr w:type="spellEnd"/>
      <w:r w:rsidRPr="001E2952">
        <w:rPr>
          <w:rFonts w:ascii="Tahoma" w:hAnsi="Tahoma"/>
          <w:color w:val="000000" w:themeColor="text1"/>
          <w:sz w:val="16"/>
          <w:lang w:val="en-GB"/>
        </w:rPr>
        <w:t xml:space="preserve">, previously presented in the Classifieds Ecommerce segment, have been reclassified and presented in discontinued operations to allow the current performance of the business to be compared with prior periods. The change has no impact on the total group revenue, adjusted EBITDA and trading (loss)/profit in prior periods. </w:t>
      </w:r>
    </w:p>
    <w:p w14:paraId="133CAA41" w14:textId="77777777" w:rsidR="00530BA5" w:rsidRPr="001E2952" w:rsidRDefault="00530BA5" w:rsidP="009206DC">
      <w:pPr>
        <w:spacing w:line="240" w:lineRule="atLeast"/>
        <w:ind w:left="426" w:hanging="426"/>
        <w:rPr>
          <w:rFonts w:ascii="Tahoma" w:hAnsi="Tahoma"/>
          <w:color w:val="000000" w:themeColor="text1"/>
          <w:sz w:val="16"/>
          <w:lang w:val="en-GB"/>
        </w:rPr>
      </w:pPr>
    </w:p>
    <w:p w14:paraId="195C31D1" w14:textId="77777777" w:rsidR="00530BA5" w:rsidRPr="001E2952" w:rsidRDefault="00530BA5" w:rsidP="005E4D2D">
      <w:pPr>
        <w:spacing w:line="240" w:lineRule="atLeast"/>
        <w:ind w:left="426"/>
        <w:rPr>
          <w:rFonts w:ascii="Tahoma" w:hAnsi="Tahoma"/>
          <w:color w:val="000000" w:themeColor="text1"/>
          <w:sz w:val="16"/>
          <w:lang w:val="en-GB"/>
        </w:rPr>
      </w:pPr>
      <w:r w:rsidRPr="001E2952">
        <w:rPr>
          <w:rFonts w:ascii="Tahoma" w:hAnsi="Tahoma"/>
          <w:color w:val="000000" w:themeColor="text1"/>
          <w:sz w:val="16"/>
          <w:lang w:val="en-GB"/>
        </w:rPr>
        <w:t>The group proportionately consolidates its share of the results of its associates and joint ventures in its disclosure of segment results in note 4.</w:t>
      </w:r>
    </w:p>
    <w:p w14:paraId="00EFED3B" w14:textId="77777777" w:rsidR="00530BA5" w:rsidRPr="001E2952" w:rsidRDefault="00530BA5" w:rsidP="009206DC">
      <w:pPr>
        <w:spacing w:line="240" w:lineRule="atLeast"/>
        <w:ind w:left="426" w:hanging="426"/>
        <w:rPr>
          <w:rFonts w:ascii="Tahoma" w:hAnsi="Tahoma"/>
          <w:color w:val="000000" w:themeColor="text1"/>
          <w:sz w:val="16"/>
          <w:lang w:val="en-GB"/>
        </w:rPr>
      </w:pPr>
    </w:p>
    <w:p w14:paraId="0F6C9CCB" w14:textId="77777777" w:rsidR="002454B4" w:rsidRDefault="002454B4">
      <w:pPr>
        <w:rPr>
          <w:rFonts w:ascii="Tahoma" w:hAnsi="Tahoma"/>
          <w:b/>
          <w:bCs/>
          <w:color w:val="7F7F7F" w:themeColor="text1" w:themeTint="80"/>
          <w:sz w:val="16"/>
          <w:lang w:val="en-GB"/>
        </w:rPr>
      </w:pPr>
      <w:r>
        <w:rPr>
          <w:rFonts w:ascii="Tahoma" w:hAnsi="Tahoma"/>
          <w:b/>
          <w:bCs/>
          <w:color w:val="7F7F7F" w:themeColor="text1" w:themeTint="80"/>
          <w:sz w:val="16"/>
          <w:lang w:val="en-GB"/>
        </w:rPr>
        <w:br w:type="page"/>
      </w:r>
    </w:p>
    <w:p w14:paraId="54C7DF9A" w14:textId="77777777" w:rsidR="00530BA5" w:rsidRPr="002454B4" w:rsidRDefault="00530BA5" w:rsidP="002454B4">
      <w:pPr>
        <w:spacing w:line="240" w:lineRule="atLeast"/>
        <w:ind w:left="426"/>
        <w:rPr>
          <w:rFonts w:ascii="Tahoma" w:hAnsi="Tahoma"/>
          <w:b/>
          <w:bCs/>
          <w:color w:val="7F7F7F" w:themeColor="text1" w:themeTint="80"/>
          <w:sz w:val="16"/>
          <w:lang w:val="en-GB"/>
        </w:rPr>
      </w:pPr>
      <w:r w:rsidRPr="001E2952">
        <w:rPr>
          <w:rFonts w:ascii="Tahoma" w:hAnsi="Tahoma"/>
          <w:b/>
          <w:bCs/>
          <w:color w:val="7F7F7F" w:themeColor="text1" w:themeTint="80"/>
          <w:sz w:val="16"/>
          <w:lang w:val="en-GB"/>
        </w:rPr>
        <w:lastRenderedPageBreak/>
        <w:t>Lag periods applied when reporting results of equity-accounted investments</w:t>
      </w:r>
    </w:p>
    <w:p w14:paraId="12DA03B5" w14:textId="77777777" w:rsidR="00530BA5" w:rsidRPr="001E2952" w:rsidRDefault="00530BA5" w:rsidP="002454B4">
      <w:pPr>
        <w:spacing w:line="240" w:lineRule="atLeast"/>
        <w:ind w:left="426"/>
        <w:rPr>
          <w:rFonts w:ascii="Tahoma" w:hAnsi="Tahoma"/>
          <w:color w:val="000000" w:themeColor="text1"/>
          <w:sz w:val="16"/>
          <w:lang w:val="en-GB"/>
        </w:rPr>
      </w:pPr>
      <w:r w:rsidRPr="001E2952">
        <w:rPr>
          <w:rFonts w:ascii="Tahoma" w:hAnsi="Tahoma"/>
          <w:color w:val="000000" w:themeColor="text1"/>
          <w:sz w:val="16"/>
          <w:lang w:val="en-GB"/>
        </w:rPr>
        <w:t>Where the reporting periods of associates and joint ventures (equity-accounted investments) are not coterminous with that of the group and/or it is impracticable for the relevant equity-accounted investee to prepare financial statements as of 31 March or 30 September (for instance due to the availability of the results of the equity-accounted investee relative to the group’s reporting period), the group applies an appropriate lag period of not more than three months in reporting the results of the equity-accounted investees. Significant transactions and events that occur between the non-coterminous reporting periods are adjusted for. The group exercises significant judgement when determining the transactions and events for which adjustments are made.</w:t>
      </w:r>
    </w:p>
    <w:p w14:paraId="50CCF000" w14:textId="77777777" w:rsidR="00530BA5" w:rsidRPr="001E2952" w:rsidRDefault="00530BA5" w:rsidP="009206DC">
      <w:pPr>
        <w:spacing w:line="240" w:lineRule="atLeast"/>
        <w:ind w:left="426" w:hanging="426"/>
        <w:rPr>
          <w:rFonts w:ascii="Tahoma" w:hAnsi="Tahoma"/>
          <w:color w:val="000000" w:themeColor="text1"/>
          <w:sz w:val="16"/>
          <w:lang w:val="en-GB"/>
        </w:rPr>
      </w:pPr>
    </w:p>
    <w:p w14:paraId="61200125" w14:textId="77777777" w:rsidR="00530BA5" w:rsidRPr="00C721BB" w:rsidRDefault="00530BA5" w:rsidP="00C721BB">
      <w:pPr>
        <w:spacing w:line="240" w:lineRule="atLeast"/>
        <w:ind w:left="426"/>
        <w:rPr>
          <w:rFonts w:ascii="Tahoma" w:hAnsi="Tahoma"/>
          <w:b/>
          <w:bCs/>
          <w:color w:val="000000" w:themeColor="text1"/>
          <w:sz w:val="16"/>
          <w:lang w:val="en-GB"/>
        </w:rPr>
      </w:pPr>
      <w:r w:rsidRPr="001E2952">
        <w:rPr>
          <w:rFonts w:ascii="Tahoma" w:hAnsi="Tahoma"/>
          <w:b/>
          <w:bCs/>
          <w:color w:val="7F7F7F" w:themeColor="text1" w:themeTint="80"/>
          <w:sz w:val="16"/>
          <w:lang w:val="en-GB"/>
        </w:rPr>
        <w:t>Going concern</w:t>
      </w:r>
    </w:p>
    <w:p w14:paraId="23D8DDC8" w14:textId="77777777" w:rsidR="00530BA5" w:rsidRPr="001E2952" w:rsidRDefault="00530BA5" w:rsidP="00C721BB">
      <w:pPr>
        <w:spacing w:line="240" w:lineRule="atLeast"/>
        <w:ind w:left="426"/>
        <w:rPr>
          <w:rFonts w:ascii="Tahoma" w:hAnsi="Tahoma"/>
          <w:color w:val="000000" w:themeColor="text1"/>
          <w:sz w:val="16"/>
          <w:lang w:val="en-GB"/>
        </w:rPr>
      </w:pPr>
      <w:r w:rsidRPr="001E2952">
        <w:rPr>
          <w:rFonts w:ascii="Tahoma" w:hAnsi="Tahoma"/>
          <w:color w:val="000000" w:themeColor="text1"/>
          <w:sz w:val="16"/>
          <w:lang w:val="en-GB"/>
        </w:rPr>
        <w:t>The condensed consolidated interim financial statements are prepared on the going-concern basis. Based on forecasts and available cash resources, the group has adequate resources to continue operations as a going concern in the foreseeable future. As at 30 September 2022, the group recorded US$15.84bn in cash, comprising US$8.45bn of cash and cash equivalents net of bank overdrafts and US$7.39bn in short-term cash investments. The group had US$15.22bn of interest-bearing debt (excluding capitalised lease liabilities) and an undrawn US$2.5bn revolving credit facility.</w:t>
      </w:r>
    </w:p>
    <w:p w14:paraId="51C1065D" w14:textId="77777777" w:rsidR="00530BA5" w:rsidRPr="001E2952" w:rsidRDefault="00530BA5" w:rsidP="009206DC">
      <w:pPr>
        <w:spacing w:line="240" w:lineRule="atLeast"/>
        <w:ind w:left="426" w:hanging="426"/>
        <w:rPr>
          <w:rFonts w:ascii="Tahoma" w:hAnsi="Tahoma"/>
          <w:color w:val="000000" w:themeColor="text1"/>
          <w:sz w:val="16"/>
          <w:lang w:val="en-GB"/>
        </w:rPr>
      </w:pPr>
    </w:p>
    <w:p w14:paraId="751E0D47" w14:textId="77777777" w:rsidR="00530BA5" w:rsidRPr="001E2952" w:rsidRDefault="00530BA5" w:rsidP="00C721BB">
      <w:pPr>
        <w:spacing w:line="240" w:lineRule="atLeast"/>
        <w:ind w:left="426"/>
        <w:rPr>
          <w:rFonts w:ascii="Tahoma" w:hAnsi="Tahoma"/>
          <w:color w:val="000000" w:themeColor="text1"/>
          <w:sz w:val="16"/>
          <w:lang w:val="en-GB"/>
        </w:rPr>
      </w:pPr>
      <w:r w:rsidRPr="001E2952">
        <w:rPr>
          <w:rFonts w:ascii="Tahoma" w:hAnsi="Tahoma"/>
          <w:color w:val="000000" w:themeColor="text1"/>
          <w:sz w:val="16"/>
          <w:lang w:val="en-GB"/>
        </w:rPr>
        <w:t>In assessing going concern, the impact of internal and external economic factors on the group’s operations and liquidity was considered in preparing the forecasts and in assessing the group’s actual performance against budget. The board is of the opinion that the group has sufficient financial flexibility to continue as a going concern in the year subsequent to the date of these condensed consolidated interim financial statements.</w:t>
      </w:r>
    </w:p>
    <w:p w14:paraId="1CF0416D" w14:textId="77777777" w:rsidR="00530BA5" w:rsidRPr="001E2952" w:rsidRDefault="00530BA5" w:rsidP="009206DC">
      <w:pPr>
        <w:spacing w:line="240" w:lineRule="atLeast"/>
        <w:ind w:left="426" w:hanging="426"/>
        <w:rPr>
          <w:rFonts w:ascii="Tahoma" w:hAnsi="Tahoma"/>
          <w:color w:val="000000" w:themeColor="text1"/>
          <w:sz w:val="16"/>
          <w:lang w:val="en-GB"/>
        </w:rPr>
      </w:pPr>
    </w:p>
    <w:p w14:paraId="480AA3FA" w14:textId="77777777" w:rsidR="00530BA5" w:rsidRPr="001D4F5C" w:rsidRDefault="00530BA5" w:rsidP="001D4F5C">
      <w:pPr>
        <w:spacing w:line="240" w:lineRule="atLeast"/>
        <w:ind w:left="426"/>
        <w:rPr>
          <w:rFonts w:ascii="Tahoma" w:hAnsi="Tahoma"/>
          <w:b/>
          <w:bCs/>
          <w:color w:val="7F7F7F" w:themeColor="text1" w:themeTint="80"/>
          <w:sz w:val="16"/>
          <w:lang w:val="en-GB"/>
        </w:rPr>
      </w:pPr>
      <w:r w:rsidRPr="001E2952">
        <w:rPr>
          <w:rFonts w:ascii="Tahoma" w:hAnsi="Tahoma"/>
          <w:b/>
          <w:bCs/>
          <w:color w:val="7F7F7F" w:themeColor="text1" w:themeTint="80"/>
          <w:sz w:val="16"/>
          <w:lang w:val="en-GB"/>
        </w:rPr>
        <w:t>Hyperinflation</w:t>
      </w:r>
    </w:p>
    <w:p w14:paraId="5B417C32" w14:textId="77777777" w:rsidR="00530BA5" w:rsidRPr="001E2952" w:rsidRDefault="00530BA5" w:rsidP="001D4F5C">
      <w:pPr>
        <w:spacing w:line="240" w:lineRule="atLeast"/>
        <w:ind w:left="426"/>
        <w:rPr>
          <w:rFonts w:ascii="Tahoma" w:hAnsi="Tahoma"/>
          <w:color w:val="000000" w:themeColor="text1"/>
          <w:sz w:val="16"/>
          <w:lang w:val="en-GB"/>
        </w:rPr>
      </w:pPr>
      <w:r w:rsidRPr="001E2952">
        <w:rPr>
          <w:rFonts w:ascii="Tahoma" w:hAnsi="Tahoma"/>
          <w:color w:val="000000" w:themeColor="text1"/>
          <w:sz w:val="16"/>
          <w:lang w:val="en-GB"/>
        </w:rPr>
        <w:t xml:space="preserve">In June 2022, the International Monetary Fund declared Turkey as a hyperinflationary economy. Accordingly, the group applied the hyperinflationary accounting requirements of IAS 29 </w:t>
      </w:r>
      <w:r w:rsidRPr="002F078E">
        <w:rPr>
          <w:rFonts w:ascii="Tahoma" w:hAnsi="Tahoma"/>
          <w:i/>
          <w:iCs/>
          <w:color w:val="000000" w:themeColor="text1"/>
          <w:sz w:val="16"/>
          <w:lang w:val="en-GB"/>
        </w:rPr>
        <w:t>Financial Reporting in Hyperinflationary Economies</w:t>
      </w:r>
      <w:r w:rsidRPr="001E2952">
        <w:rPr>
          <w:rFonts w:ascii="Tahoma" w:hAnsi="Tahoma"/>
          <w:color w:val="000000" w:themeColor="text1"/>
          <w:sz w:val="16"/>
          <w:lang w:val="en-GB"/>
        </w:rPr>
        <w:t xml:space="preserve"> for the group’s subsidiaries in Turkey. As the presentation currency of the group is that of a non-hyperinflationary economy, comparative amounts are not adjusted for changes in the price level or exchange rates in the current year.</w:t>
      </w:r>
    </w:p>
    <w:p w14:paraId="7A4663DA" w14:textId="77777777" w:rsidR="00530BA5" w:rsidRPr="001E2952" w:rsidRDefault="00530BA5" w:rsidP="009206DC">
      <w:pPr>
        <w:spacing w:line="240" w:lineRule="atLeast"/>
        <w:ind w:left="426" w:hanging="426"/>
        <w:rPr>
          <w:rFonts w:ascii="Tahoma" w:hAnsi="Tahoma"/>
          <w:color w:val="000000" w:themeColor="text1"/>
          <w:sz w:val="16"/>
          <w:lang w:val="en-GB"/>
        </w:rPr>
      </w:pPr>
    </w:p>
    <w:p w14:paraId="79718C4A" w14:textId="77777777" w:rsidR="00530BA5" w:rsidRPr="001E2952" w:rsidRDefault="00530BA5" w:rsidP="001D4F5C">
      <w:pPr>
        <w:spacing w:line="240" w:lineRule="atLeast"/>
        <w:ind w:left="426"/>
        <w:rPr>
          <w:rFonts w:ascii="Tahoma" w:hAnsi="Tahoma"/>
          <w:color w:val="000000" w:themeColor="text1"/>
          <w:sz w:val="16"/>
          <w:lang w:val="en-GB"/>
        </w:rPr>
      </w:pPr>
      <w:r w:rsidRPr="001E2952">
        <w:rPr>
          <w:rFonts w:ascii="Tahoma" w:hAnsi="Tahoma"/>
          <w:color w:val="000000" w:themeColor="text1"/>
          <w:sz w:val="16"/>
          <w:lang w:val="en-GB"/>
        </w:rPr>
        <w:t>On initial application of hyperinflationary accounting, opening equity for the group’s subsidiaries is restated by applying a general price index from the date transactions arose. These restatements are recognised directly in equity. Subsequent to initial application, all components of equity are restated by applying a general price index from the beginning of the period or the date of contribution, if later. The restatement of opening equity on initial application is not material.</w:t>
      </w:r>
    </w:p>
    <w:p w14:paraId="141FFAE1" w14:textId="77777777" w:rsidR="00530BA5" w:rsidRPr="001E2952" w:rsidRDefault="00530BA5" w:rsidP="009206DC">
      <w:pPr>
        <w:spacing w:line="240" w:lineRule="atLeast"/>
        <w:ind w:left="426" w:hanging="426"/>
        <w:rPr>
          <w:rFonts w:ascii="Tahoma" w:hAnsi="Tahoma"/>
          <w:color w:val="000000" w:themeColor="text1"/>
          <w:sz w:val="16"/>
          <w:lang w:val="en-GB"/>
        </w:rPr>
      </w:pPr>
    </w:p>
    <w:p w14:paraId="29E8574A" w14:textId="77777777" w:rsidR="00530BA5" w:rsidRPr="001E2952" w:rsidRDefault="00530BA5" w:rsidP="001D4F5C">
      <w:pPr>
        <w:spacing w:line="240" w:lineRule="atLeast"/>
        <w:ind w:left="426"/>
        <w:rPr>
          <w:rFonts w:ascii="Tahoma" w:hAnsi="Tahoma"/>
          <w:color w:val="000000" w:themeColor="text1"/>
          <w:sz w:val="16"/>
          <w:lang w:val="en-GB"/>
        </w:rPr>
      </w:pPr>
      <w:r w:rsidRPr="001E2952">
        <w:rPr>
          <w:rFonts w:ascii="Tahoma" w:hAnsi="Tahoma"/>
          <w:color w:val="000000" w:themeColor="text1"/>
          <w:sz w:val="16"/>
          <w:lang w:val="en-GB"/>
        </w:rPr>
        <w:t>The results, cash flows and financial position for the group’s subsidiaries in Turkey are adjusted using a general price index to reflect the current purchasing power at the end of the reporting period. The carrying amounts of non-monetary assets and liabilities are adjusted to reflect the change in the general price index from the date of acquisition of these subsidiaries to the end of the reporting period. The gain or loss on the net monetary position from translation of the financial information is recognised in the condensed consolidated income statement, except for goodwill, other intangible assets and deferred tax liabilities arising at acquisition of these subsidiaries. The impact of the gain on the net monetary position in the condensed consolidated income statement is not material.</w:t>
      </w:r>
    </w:p>
    <w:p w14:paraId="51698BA5" w14:textId="77777777" w:rsidR="00530BA5" w:rsidRPr="001E2952" w:rsidRDefault="00530BA5" w:rsidP="009206DC">
      <w:pPr>
        <w:spacing w:line="240" w:lineRule="atLeast"/>
        <w:ind w:left="426" w:hanging="426"/>
        <w:rPr>
          <w:rFonts w:ascii="Tahoma" w:hAnsi="Tahoma"/>
          <w:color w:val="000000" w:themeColor="text1"/>
          <w:sz w:val="16"/>
          <w:lang w:val="en-GB"/>
        </w:rPr>
      </w:pPr>
    </w:p>
    <w:p w14:paraId="591F2A02" w14:textId="77777777" w:rsidR="00530BA5" w:rsidRPr="001E2952" w:rsidRDefault="00530BA5" w:rsidP="005D2741">
      <w:pPr>
        <w:spacing w:line="240" w:lineRule="atLeast"/>
        <w:ind w:left="426"/>
        <w:rPr>
          <w:rFonts w:ascii="Tahoma" w:hAnsi="Tahoma"/>
          <w:color w:val="000000" w:themeColor="text1"/>
          <w:sz w:val="16"/>
          <w:lang w:val="en-GB"/>
        </w:rPr>
      </w:pPr>
      <w:r w:rsidRPr="001E2952">
        <w:rPr>
          <w:rFonts w:ascii="Tahoma" w:hAnsi="Tahoma"/>
          <w:color w:val="000000" w:themeColor="text1"/>
          <w:sz w:val="16"/>
          <w:lang w:val="en-GB"/>
        </w:rPr>
        <w:t>Goodwill, other intangible assets and deferred tax liabilities arising at acquisition of these subsidiaries are restated using the general price index at the end of the reporting period. The gain or loss on the net monetary position from the adjustment to these assets and liabilities is recognised in other comprehensive income and accumulated in the foreign currency translation reserve in equity.</w:t>
      </w:r>
    </w:p>
    <w:p w14:paraId="1B9B6C3D" w14:textId="77777777" w:rsidR="00530BA5" w:rsidRPr="001E2952" w:rsidRDefault="00530BA5" w:rsidP="009206DC">
      <w:pPr>
        <w:spacing w:line="240" w:lineRule="atLeast"/>
        <w:ind w:left="426" w:hanging="426"/>
        <w:rPr>
          <w:rFonts w:ascii="Tahoma" w:hAnsi="Tahoma"/>
          <w:color w:val="000000" w:themeColor="text1"/>
          <w:sz w:val="16"/>
          <w:lang w:val="en-GB"/>
        </w:rPr>
      </w:pPr>
    </w:p>
    <w:p w14:paraId="34942E03" w14:textId="77777777" w:rsidR="00530BA5" w:rsidRPr="001E2952" w:rsidRDefault="00530BA5" w:rsidP="005D2741">
      <w:pPr>
        <w:spacing w:line="240" w:lineRule="atLeast"/>
        <w:ind w:left="426"/>
        <w:rPr>
          <w:rFonts w:ascii="Tahoma" w:hAnsi="Tahoma"/>
          <w:color w:val="000000" w:themeColor="text1"/>
          <w:sz w:val="16"/>
          <w:lang w:val="en-GB"/>
        </w:rPr>
      </w:pPr>
      <w:r w:rsidRPr="001E2952">
        <w:rPr>
          <w:rFonts w:ascii="Tahoma" w:hAnsi="Tahoma"/>
          <w:color w:val="000000" w:themeColor="text1"/>
          <w:sz w:val="16"/>
          <w:lang w:val="en-GB"/>
        </w:rPr>
        <w:t xml:space="preserve">The general price index as published by the Turkish Statistical Institute was used in adjusting the results, cash flows and financial position for the group’s subsidiaries in Turkey up to 30 September 2022. The inflation </w:t>
      </w:r>
      <w:proofErr w:type="gramStart"/>
      <w:r w:rsidRPr="001E2952">
        <w:rPr>
          <w:rFonts w:ascii="Tahoma" w:hAnsi="Tahoma"/>
          <w:color w:val="000000" w:themeColor="text1"/>
          <w:sz w:val="16"/>
          <w:lang w:val="en-GB"/>
        </w:rPr>
        <w:t>rate</w:t>
      </w:r>
      <w:proofErr w:type="gramEnd"/>
      <w:r w:rsidRPr="001E2952">
        <w:rPr>
          <w:rFonts w:ascii="Tahoma" w:hAnsi="Tahoma"/>
          <w:color w:val="000000" w:themeColor="text1"/>
          <w:sz w:val="16"/>
          <w:lang w:val="en-GB"/>
        </w:rPr>
        <w:t xml:space="preserve"> up to 30 September 2022 was 223.41%.</w:t>
      </w:r>
    </w:p>
    <w:p w14:paraId="33B5F85D" w14:textId="77777777" w:rsidR="005D2741" w:rsidRDefault="005D2741" w:rsidP="009206DC">
      <w:pPr>
        <w:spacing w:line="240" w:lineRule="atLeast"/>
        <w:ind w:left="426" w:hanging="426"/>
        <w:rPr>
          <w:rFonts w:ascii="Tahoma" w:hAnsi="Tahoma"/>
          <w:b/>
          <w:bCs/>
          <w:color w:val="000000" w:themeColor="text1"/>
          <w:sz w:val="16"/>
          <w:lang w:val="en-GB"/>
        </w:rPr>
      </w:pPr>
    </w:p>
    <w:p w14:paraId="6705E85E" w14:textId="77777777" w:rsidR="00530BA5" w:rsidRPr="001E2952" w:rsidRDefault="00530BA5" w:rsidP="005D2741">
      <w:pPr>
        <w:spacing w:line="240" w:lineRule="atLeast"/>
        <w:ind w:left="426" w:hanging="426"/>
        <w:rPr>
          <w:rFonts w:ascii="Tahoma" w:hAnsi="Tahoma"/>
          <w:b/>
          <w:bCs/>
          <w:color w:val="000000" w:themeColor="text1"/>
          <w:sz w:val="16"/>
          <w:lang w:val="en-GB"/>
        </w:rPr>
      </w:pPr>
      <w:r w:rsidRPr="001E2952">
        <w:rPr>
          <w:rFonts w:ascii="Tahoma" w:hAnsi="Tahoma"/>
          <w:b/>
          <w:bCs/>
          <w:color w:val="000000" w:themeColor="text1"/>
          <w:sz w:val="16"/>
          <w:lang w:val="en-GB"/>
        </w:rPr>
        <w:t>3.</w:t>
      </w:r>
      <w:r w:rsidR="005D2741">
        <w:rPr>
          <w:rFonts w:ascii="Tahoma" w:hAnsi="Tahoma"/>
          <w:b/>
          <w:bCs/>
          <w:color w:val="000000" w:themeColor="text1"/>
          <w:sz w:val="16"/>
          <w:lang w:val="en-GB"/>
        </w:rPr>
        <w:tab/>
      </w:r>
      <w:r w:rsidRPr="001E2952">
        <w:rPr>
          <w:rFonts w:ascii="Tahoma" w:hAnsi="Tahoma"/>
          <w:b/>
          <w:bCs/>
          <w:color w:val="000000" w:themeColor="text1"/>
          <w:sz w:val="16"/>
          <w:lang w:val="en-GB"/>
        </w:rPr>
        <w:t xml:space="preserve">SIGNIFICANT CHANGES IN FINANCIAL POSITION AND PERFORMANCE DURING THE REPORTING PERIOD </w:t>
      </w:r>
    </w:p>
    <w:p w14:paraId="68B03D28" w14:textId="77777777" w:rsidR="00530BA5" w:rsidRPr="005D2741" w:rsidRDefault="00530BA5" w:rsidP="005D2741">
      <w:pPr>
        <w:spacing w:line="240" w:lineRule="atLeast"/>
        <w:ind w:firstLine="426"/>
        <w:rPr>
          <w:rFonts w:ascii="Tahoma" w:hAnsi="Tahoma"/>
          <w:b/>
          <w:bCs/>
          <w:color w:val="000000" w:themeColor="text1"/>
          <w:sz w:val="16"/>
          <w:lang w:val="en-GB"/>
        </w:rPr>
      </w:pPr>
      <w:r w:rsidRPr="001E2952">
        <w:rPr>
          <w:rFonts w:ascii="Tahoma" w:hAnsi="Tahoma"/>
          <w:b/>
          <w:bCs/>
          <w:color w:val="000000" w:themeColor="text1"/>
          <w:sz w:val="16"/>
          <w:lang w:val="en-GB"/>
        </w:rPr>
        <w:t xml:space="preserve">Share repurchase programme </w:t>
      </w:r>
    </w:p>
    <w:p w14:paraId="4C270DA8" w14:textId="77777777" w:rsidR="00530BA5" w:rsidRPr="001E2952" w:rsidRDefault="00530BA5" w:rsidP="005D2741">
      <w:pPr>
        <w:spacing w:line="240" w:lineRule="atLeast"/>
        <w:ind w:left="426"/>
        <w:rPr>
          <w:rFonts w:ascii="Tahoma" w:hAnsi="Tahoma"/>
          <w:color w:val="000000" w:themeColor="text1"/>
          <w:sz w:val="16"/>
          <w:lang w:val="en-GB"/>
        </w:rPr>
      </w:pPr>
      <w:r w:rsidRPr="001E2952">
        <w:rPr>
          <w:rFonts w:ascii="Tahoma" w:hAnsi="Tahoma"/>
          <w:color w:val="000000" w:themeColor="text1"/>
          <w:sz w:val="16"/>
          <w:lang w:val="en-GB"/>
        </w:rPr>
        <w:t xml:space="preserve">On 27 June 2022, the group announced the beginning of an open-ended, repurchase programme of </w:t>
      </w:r>
      <w:proofErr w:type="spellStart"/>
      <w:r w:rsidRPr="001E2952">
        <w:rPr>
          <w:rFonts w:ascii="Tahoma" w:hAnsi="Tahoma"/>
          <w:color w:val="000000" w:themeColor="text1"/>
          <w:sz w:val="16"/>
          <w:lang w:val="en-GB"/>
        </w:rPr>
        <w:t>Prosus</w:t>
      </w:r>
      <w:proofErr w:type="spellEnd"/>
      <w:r w:rsidRPr="001E2952">
        <w:rPr>
          <w:rFonts w:ascii="Tahoma" w:hAnsi="Tahoma"/>
          <w:color w:val="000000" w:themeColor="text1"/>
          <w:sz w:val="16"/>
          <w:lang w:val="en-GB"/>
        </w:rPr>
        <w:t xml:space="preserve"> ordinary shares N and Naspers N ordinary shares. </w:t>
      </w:r>
    </w:p>
    <w:p w14:paraId="1143D5FA" w14:textId="77777777" w:rsidR="00530BA5" w:rsidRPr="001E2952" w:rsidRDefault="00530BA5" w:rsidP="009206DC">
      <w:pPr>
        <w:spacing w:line="240" w:lineRule="atLeast"/>
        <w:ind w:left="426" w:hanging="426"/>
        <w:rPr>
          <w:rFonts w:ascii="Tahoma" w:hAnsi="Tahoma"/>
          <w:color w:val="000000" w:themeColor="text1"/>
          <w:sz w:val="16"/>
          <w:lang w:val="en-GB"/>
        </w:rPr>
      </w:pPr>
    </w:p>
    <w:p w14:paraId="72749988" w14:textId="77777777" w:rsidR="00530BA5" w:rsidRPr="001E2952" w:rsidRDefault="00530BA5" w:rsidP="00E84A96">
      <w:pPr>
        <w:spacing w:line="240" w:lineRule="atLeast"/>
        <w:ind w:left="426"/>
        <w:rPr>
          <w:rFonts w:ascii="Tahoma" w:hAnsi="Tahoma"/>
          <w:color w:val="000000" w:themeColor="text1"/>
          <w:sz w:val="16"/>
          <w:lang w:val="en-GB"/>
        </w:rPr>
      </w:pPr>
      <w:r w:rsidRPr="001E2952">
        <w:rPr>
          <w:rFonts w:ascii="Tahoma" w:hAnsi="Tahoma"/>
          <w:color w:val="000000" w:themeColor="text1"/>
          <w:sz w:val="16"/>
          <w:lang w:val="en-GB"/>
        </w:rPr>
        <w:t xml:space="preserve">The </w:t>
      </w:r>
      <w:proofErr w:type="spellStart"/>
      <w:r w:rsidRPr="001E2952">
        <w:rPr>
          <w:rFonts w:ascii="Tahoma" w:hAnsi="Tahoma"/>
          <w:color w:val="000000" w:themeColor="text1"/>
          <w:sz w:val="16"/>
          <w:lang w:val="en-GB"/>
        </w:rPr>
        <w:t>Prosus</w:t>
      </w:r>
      <w:proofErr w:type="spellEnd"/>
      <w:r w:rsidRPr="001E2952">
        <w:rPr>
          <w:rFonts w:ascii="Tahoma" w:hAnsi="Tahoma"/>
          <w:color w:val="000000" w:themeColor="text1"/>
          <w:sz w:val="16"/>
          <w:lang w:val="en-GB"/>
        </w:rPr>
        <w:t xml:space="preserve"> repurchase programme of its ordinary shares N is funded by an orderly, on-market sale of Tencent Holdings Limited (Tencent) shares. Until 12 August 2022, </w:t>
      </w:r>
      <w:proofErr w:type="spellStart"/>
      <w:r w:rsidRPr="001E2952">
        <w:rPr>
          <w:rFonts w:ascii="Tahoma" w:hAnsi="Tahoma"/>
          <w:color w:val="000000" w:themeColor="text1"/>
          <w:sz w:val="16"/>
          <w:lang w:val="en-GB"/>
        </w:rPr>
        <w:t>Prosus</w:t>
      </w:r>
      <w:proofErr w:type="spellEnd"/>
      <w:r w:rsidRPr="001E2952">
        <w:rPr>
          <w:rFonts w:ascii="Tahoma" w:hAnsi="Tahoma"/>
          <w:color w:val="000000" w:themeColor="text1"/>
          <w:sz w:val="16"/>
          <w:lang w:val="en-GB"/>
        </w:rPr>
        <w:t xml:space="preserve"> also purchased Naspers N ordinary shares. </w:t>
      </w:r>
    </w:p>
    <w:p w14:paraId="7E32DBB5" w14:textId="77777777" w:rsidR="00530BA5" w:rsidRPr="001E2952" w:rsidRDefault="00530BA5" w:rsidP="009206DC">
      <w:pPr>
        <w:spacing w:line="240" w:lineRule="atLeast"/>
        <w:ind w:left="426" w:hanging="426"/>
        <w:rPr>
          <w:rFonts w:ascii="Tahoma" w:hAnsi="Tahoma"/>
          <w:color w:val="000000" w:themeColor="text1"/>
          <w:sz w:val="16"/>
          <w:lang w:val="en-GB"/>
        </w:rPr>
      </w:pPr>
    </w:p>
    <w:p w14:paraId="00239EC7" w14:textId="77777777" w:rsidR="00530BA5" w:rsidRPr="001E2952" w:rsidRDefault="00530BA5" w:rsidP="00E84A96">
      <w:pPr>
        <w:spacing w:line="240" w:lineRule="atLeast"/>
        <w:ind w:left="426"/>
        <w:rPr>
          <w:rFonts w:ascii="Tahoma" w:hAnsi="Tahoma"/>
          <w:color w:val="000000" w:themeColor="text1"/>
          <w:sz w:val="16"/>
          <w:lang w:val="en-GB"/>
        </w:rPr>
      </w:pPr>
      <w:r w:rsidRPr="001E2952">
        <w:rPr>
          <w:rFonts w:ascii="Tahoma" w:hAnsi="Tahoma"/>
          <w:color w:val="000000" w:themeColor="text1"/>
          <w:sz w:val="16"/>
          <w:lang w:val="en-GB"/>
        </w:rPr>
        <w:t xml:space="preserve">In September 2022, Naspers began to dispose of some of the </w:t>
      </w:r>
      <w:proofErr w:type="spellStart"/>
      <w:r w:rsidRPr="001E2952">
        <w:rPr>
          <w:rFonts w:ascii="Tahoma" w:hAnsi="Tahoma"/>
          <w:color w:val="000000" w:themeColor="text1"/>
          <w:sz w:val="16"/>
          <w:lang w:val="en-GB"/>
        </w:rPr>
        <w:t>Prosus</w:t>
      </w:r>
      <w:proofErr w:type="spellEnd"/>
      <w:r w:rsidRPr="001E2952">
        <w:rPr>
          <w:rFonts w:ascii="Tahoma" w:hAnsi="Tahoma"/>
          <w:color w:val="000000" w:themeColor="text1"/>
          <w:sz w:val="16"/>
          <w:lang w:val="en-GB"/>
        </w:rPr>
        <w:t xml:space="preserve"> shares that it holds in order to repurchase Naspers shares pursuant to the repurchase programme.</w:t>
      </w:r>
    </w:p>
    <w:p w14:paraId="718EDAAF" w14:textId="77777777" w:rsidR="00530BA5" w:rsidRPr="001E2952" w:rsidRDefault="00530BA5" w:rsidP="009206DC">
      <w:pPr>
        <w:spacing w:line="240" w:lineRule="atLeast"/>
        <w:ind w:left="426" w:hanging="426"/>
        <w:rPr>
          <w:rFonts w:ascii="Tahoma" w:hAnsi="Tahoma"/>
          <w:color w:val="000000" w:themeColor="text1"/>
          <w:sz w:val="16"/>
          <w:lang w:val="en-GB"/>
        </w:rPr>
      </w:pPr>
    </w:p>
    <w:p w14:paraId="106853BB" w14:textId="77777777" w:rsidR="00530BA5" w:rsidRPr="001E2952" w:rsidRDefault="00530BA5" w:rsidP="00E84A96">
      <w:pPr>
        <w:spacing w:line="240" w:lineRule="atLeast"/>
        <w:ind w:left="426"/>
        <w:rPr>
          <w:rFonts w:ascii="Tahoma" w:hAnsi="Tahoma"/>
          <w:color w:val="000000" w:themeColor="text1"/>
          <w:sz w:val="16"/>
          <w:lang w:val="en-GB"/>
        </w:rPr>
      </w:pPr>
      <w:r w:rsidRPr="001E2952">
        <w:rPr>
          <w:rFonts w:ascii="Tahoma" w:hAnsi="Tahoma"/>
          <w:color w:val="000000" w:themeColor="text1"/>
          <w:sz w:val="16"/>
          <w:lang w:val="en-GB"/>
        </w:rPr>
        <w:t>Intermediaries have been appointed to execute the repurchase programme and sale of Tencent shares within parameters set by the group and subject to applicable laws and regulations.</w:t>
      </w:r>
    </w:p>
    <w:p w14:paraId="0D60DADE" w14:textId="77777777" w:rsidR="00530BA5" w:rsidRPr="001E2952" w:rsidRDefault="00530BA5" w:rsidP="009206DC">
      <w:pPr>
        <w:spacing w:line="240" w:lineRule="atLeast"/>
        <w:ind w:left="426" w:hanging="426"/>
        <w:rPr>
          <w:rFonts w:ascii="Tahoma" w:hAnsi="Tahoma"/>
          <w:color w:val="000000" w:themeColor="text1"/>
          <w:sz w:val="16"/>
          <w:lang w:val="en-GB"/>
        </w:rPr>
      </w:pPr>
    </w:p>
    <w:p w14:paraId="57B93763" w14:textId="77777777" w:rsidR="00530BA5" w:rsidRPr="001E2952" w:rsidRDefault="00530BA5" w:rsidP="003140F8">
      <w:pPr>
        <w:spacing w:line="240" w:lineRule="atLeast"/>
        <w:ind w:left="426"/>
        <w:rPr>
          <w:rFonts w:ascii="Tahoma" w:hAnsi="Tahoma"/>
          <w:color w:val="000000" w:themeColor="text1"/>
          <w:sz w:val="16"/>
          <w:lang w:val="en-GB"/>
        </w:rPr>
      </w:pPr>
      <w:r w:rsidRPr="001E2952">
        <w:rPr>
          <w:rFonts w:ascii="Tahoma" w:hAnsi="Tahoma"/>
          <w:color w:val="000000" w:themeColor="text1"/>
          <w:sz w:val="16"/>
          <w:lang w:val="en-GB"/>
        </w:rPr>
        <w:t xml:space="preserve">As part of the repurchase programme, for the period between 28 June 2022 and 30 September 2022, </w:t>
      </w:r>
      <w:proofErr w:type="spellStart"/>
      <w:r w:rsidRPr="001E2952">
        <w:rPr>
          <w:rFonts w:ascii="Tahoma" w:hAnsi="Tahoma"/>
          <w:color w:val="000000" w:themeColor="text1"/>
          <w:sz w:val="16"/>
          <w:lang w:val="en-GB"/>
        </w:rPr>
        <w:t>Prosus</w:t>
      </w:r>
      <w:proofErr w:type="spellEnd"/>
      <w:r w:rsidRPr="001E2952">
        <w:rPr>
          <w:rFonts w:ascii="Tahoma" w:hAnsi="Tahoma"/>
          <w:color w:val="000000" w:themeColor="text1"/>
          <w:sz w:val="16"/>
          <w:lang w:val="en-GB"/>
        </w:rPr>
        <w:t xml:space="preserve"> purchased 4 152 285 Naspers N ordinary shares for a total consideration of US$624.5m and repurchased 53 991 368 </w:t>
      </w:r>
      <w:proofErr w:type="spellStart"/>
      <w:r w:rsidRPr="001E2952">
        <w:rPr>
          <w:rFonts w:ascii="Tahoma" w:hAnsi="Tahoma"/>
          <w:color w:val="000000" w:themeColor="text1"/>
          <w:sz w:val="16"/>
          <w:lang w:val="en-GB"/>
        </w:rPr>
        <w:t>Prosus</w:t>
      </w:r>
      <w:proofErr w:type="spellEnd"/>
      <w:r w:rsidRPr="001E2952">
        <w:rPr>
          <w:rFonts w:ascii="Tahoma" w:hAnsi="Tahoma"/>
          <w:color w:val="000000" w:themeColor="text1"/>
          <w:sz w:val="16"/>
          <w:lang w:val="en-GB"/>
        </w:rPr>
        <w:t xml:space="preserve"> ordinary shares N for a total consideration of US$3.49bn, of which US$3.38bn was received in cash.</w:t>
      </w:r>
    </w:p>
    <w:p w14:paraId="778EA867" w14:textId="77777777" w:rsidR="00530BA5" w:rsidRPr="001E2952" w:rsidRDefault="00530BA5" w:rsidP="009206DC">
      <w:pPr>
        <w:spacing w:line="240" w:lineRule="atLeast"/>
        <w:ind w:left="426" w:hanging="426"/>
        <w:rPr>
          <w:rFonts w:ascii="Tahoma" w:hAnsi="Tahoma"/>
          <w:color w:val="000000" w:themeColor="text1"/>
          <w:sz w:val="16"/>
          <w:lang w:val="en-GB"/>
        </w:rPr>
      </w:pPr>
    </w:p>
    <w:p w14:paraId="36DF76A6" w14:textId="77777777" w:rsidR="00530BA5" w:rsidRPr="001E2952" w:rsidRDefault="00530BA5" w:rsidP="003140F8">
      <w:pPr>
        <w:spacing w:line="240" w:lineRule="atLeast"/>
        <w:ind w:left="426"/>
        <w:rPr>
          <w:rFonts w:ascii="Tahoma" w:hAnsi="Tahoma"/>
          <w:color w:val="000000" w:themeColor="text1"/>
          <w:sz w:val="16"/>
          <w:lang w:val="en-GB"/>
        </w:rPr>
      </w:pPr>
      <w:r w:rsidRPr="001E2952">
        <w:rPr>
          <w:rFonts w:ascii="Tahoma" w:hAnsi="Tahoma"/>
          <w:color w:val="000000" w:themeColor="text1"/>
          <w:sz w:val="16"/>
          <w:lang w:val="en-GB"/>
        </w:rPr>
        <w:lastRenderedPageBreak/>
        <w:t xml:space="preserve">These transactions were mainly funded by the sale of 94 678 100 Tencent shares yielding proceeds of US$3.86bn. Furthermore, during September 2022, Naspers, through its subsidiary MIH Treasury Services Proprietary Limited, purchased 1 510 321 Naspers N ordinary shares on the market for a total consideration of US$211m. This transaction was funded by Naspers’s disposal of 3 610 774 </w:t>
      </w:r>
      <w:proofErr w:type="spellStart"/>
      <w:r w:rsidRPr="001E2952">
        <w:rPr>
          <w:rFonts w:ascii="Tahoma" w:hAnsi="Tahoma"/>
          <w:color w:val="000000" w:themeColor="text1"/>
          <w:sz w:val="16"/>
          <w:lang w:val="en-GB"/>
        </w:rPr>
        <w:t>Prosus</w:t>
      </w:r>
      <w:proofErr w:type="spellEnd"/>
      <w:r w:rsidRPr="001E2952">
        <w:rPr>
          <w:rFonts w:ascii="Tahoma" w:hAnsi="Tahoma"/>
          <w:color w:val="000000" w:themeColor="text1"/>
          <w:sz w:val="16"/>
          <w:lang w:val="en-GB"/>
        </w:rPr>
        <w:t xml:space="preserve"> ordinary shares N on the market, yielding proceeds of US$211m.</w:t>
      </w:r>
    </w:p>
    <w:p w14:paraId="35D78244" w14:textId="77777777" w:rsidR="00530BA5" w:rsidRPr="001E2952" w:rsidRDefault="00530BA5" w:rsidP="009206DC">
      <w:pPr>
        <w:spacing w:line="240" w:lineRule="atLeast"/>
        <w:ind w:left="426" w:hanging="426"/>
        <w:rPr>
          <w:rFonts w:ascii="Tahoma" w:hAnsi="Tahoma"/>
          <w:color w:val="000000" w:themeColor="text1"/>
          <w:sz w:val="16"/>
          <w:lang w:val="en-GB"/>
        </w:rPr>
      </w:pPr>
    </w:p>
    <w:p w14:paraId="27AD3AE1" w14:textId="77777777" w:rsidR="00530BA5" w:rsidRPr="007F7F85" w:rsidRDefault="00530BA5" w:rsidP="007F7F85">
      <w:pPr>
        <w:spacing w:line="240" w:lineRule="atLeast"/>
        <w:ind w:left="426"/>
        <w:rPr>
          <w:rFonts w:ascii="Tahoma" w:hAnsi="Tahoma" w:cs="Times New Roman (Body CS)"/>
          <w:color w:val="000000" w:themeColor="text1"/>
          <w:spacing w:val="-4"/>
          <w:sz w:val="16"/>
          <w:lang w:val="en-GB"/>
        </w:rPr>
      </w:pPr>
      <w:r w:rsidRPr="001E2952">
        <w:rPr>
          <w:rFonts w:ascii="Tahoma" w:hAnsi="Tahoma" w:cs="Times New Roman (Body CS)"/>
          <w:color w:val="000000" w:themeColor="text1"/>
          <w:spacing w:val="-4"/>
          <w:sz w:val="16"/>
          <w:lang w:val="en-GB"/>
        </w:rPr>
        <w:t xml:space="preserve">Subsequent to the above transactions, </w:t>
      </w:r>
      <w:proofErr w:type="spellStart"/>
      <w:r w:rsidRPr="001E2952">
        <w:rPr>
          <w:rFonts w:ascii="Tahoma" w:hAnsi="Tahoma" w:cs="Times New Roman (Body CS)"/>
          <w:color w:val="000000" w:themeColor="text1"/>
          <w:spacing w:val="-4"/>
          <w:sz w:val="16"/>
          <w:lang w:val="en-GB"/>
        </w:rPr>
        <w:t>Prosus</w:t>
      </w:r>
      <w:proofErr w:type="spellEnd"/>
      <w:r w:rsidRPr="001E2952">
        <w:rPr>
          <w:rFonts w:ascii="Tahoma" w:hAnsi="Tahoma" w:cs="Times New Roman (Body CS)"/>
          <w:color w:val="000000" w:themeColor="text1"/>
          <w:spacing w:val="-4"/>
          <w:sz w:val="16"/>
          <w:lang w:val="en-GB"/>
        </w:rPr>
        <w:t xml:space="preserve"> now holds a 50.7%</w:t>
      </w:r>
      <w:r w:rsidRPr="001E2952">
        <w:rPr>
          <w:rFonts w:ascii="Tahoma" w:hAnsi="Tahoma" w:cs="Times New Roman (Body CS)"/>
          <w:color w:val="000000" w:themeColor="text1"/>
          <w:spacing w:val="-4"/>
          <w:sz w:val="16"/>
          <w:vertAlign w:val="superscript"/>
          <w:lang w:val="en-GB"/>
        </w:rPr>
        <w:t>1</w:t>
      </w:r>
      <w:r w:rsidRPr="001E2952">
        <w:rPr>
          <w:rFonts w:ascii="Tahoma" w:hAnsi="Tahoma" w:cs="Times New Roman (Body CS)"/>
          <w:color w:val="000000" w:themeColor="text1"/>
          <w:spacing w:val="-4"/>
          <w:sz w:val="16"/>
          <w:lang w:val="en-GB"/>
        </w:rPr>
        <w:t xml:space="preserve"> (31 March 2022: 49.5%) fully diluted interest, representing a 50.9%</w:t>
      </w:r>
      <w:r w:rsidRPr="001E2952">
        <w:rPr>
          <w:rFonts w:ascii="Tahoma" w:hAnsi="Tahoma" w:cs="Times New Roman (Body CS)"/>
          <w:color w:val="000000" w:themeColor="text1"/>
          <w:spacing w:val="-4"/>
          <w:sz w:val="16"/>
          <w:vertAlign w:val="superscript"/>
          <w:lang w:val="en-GB"/>
        </w:rPr>
        <w:t>2</w:t>
      </w:r>
      <w:r w:rsidRPr="001E2952">
        <w:rPr>
          <w:rFonts w:ascii="Tahoma" w:hAnsi="Tahoma" w:cs="Times New Roman (Body CS)"/>
          <w:color w:val="000000" w:themeColor="text1"/>
          <w:spacing w:val="-4"/>
          <w:sz w:val="16"/>
          <w:lang w:val="en-GB"/>
        </w:rPr>
        <w:t xml:space="preserve"> </w:t>
      </w:r>
      <w:r w:rsidR="007F7F85">
        <w:rPr>
          <w:rFonts w:ascii="Tahoma" w:hAnsi="Tahoma" w:cs="Times New Roman (Body CS)"/>
          <w:color w:val="000000" w:themeColor="text1"/>
          <w:spacing w:val="-4"/>
          <w:sz w:val="16"/>
          <w:lang w:val="en-GB"/>
        </w:rPr>
        <w:br/>
      </w:r>
      <w:r w:rsidRPr="001E2952">
        <w:rPr>
          <w:rFonts w:ascii="Tahoma" w:hAnsi="Tahoma" w:cs="Times New Roman (Body CS)"/>
          <w:color w:val="000000" w:themeColor="text1"/>
          <w:spacing w:val="-4"/>
          <w:sz w:val="16"/>
          <w:lang w:val="en-GB"/>
        </w:rPr>
        <w:t xml:space="preserve">(31 March 2022: 49.9%) economic interest in Naspers. </w:t>
      </w:r>
      <w:proofErr w:type="spellStart"/>
      <w:r w:rsidRPr="001E2952">
        <w:rPr>
          <w:rFonts w:ascii="Tahoma" w:hAnsi="Tahoma" w:cs="Times New Roman (Body CS)"/>
          <w:color w:val="000000" w:themeColor="text1"/>
          <w:spacing w:val="-4"/>
          <w:sz w:val="16"/>
          <w:lang w:val="en-GB"/>
        </w:rPr>
        <w:t>Prosus’s</w:t>
      </w:r>
      <w:proofErr w:type="spellEnd"/>
      <w:r w:rsidRPr="001E2952">
        <w:rPr>
          <w:rFonts w:ascii="Tahoma" w:hAnsi="Tahoma" w:cs="Times New Roman (Body CS)"/>
          <w:color w:val="000000" w:themeColor="text1"/>
          <w:spacing w:val="-4"/>
          <w:sz w:val="16"/>
          <w:lang w:val="en-GB"/>
        </w:rPr>
        <w:t xml:space="preserve"> legal ownership in Naspers remains less than 50% as at 30 September 2022.</w:t>
      </w:r>
    </w:p>
    <w:p w14:paraId="3BB88ADA" w14:textId="77777777" w:rsidR="00530BA5" w:rsidRPr="001E2952" w:rsidRDefault="00530BA5" w:rsidP="009206DC">
      <w:pPr>
        <w:spacing w:line="240" w:lineRule="atLeast"/>
        <w:ind w:left="426" w:hanging="426"/>
        <w:rPr>
          <w:rFonts w:ascii="Tahoma" w:hAnsi="Tahoma"/>
          <w:color w:val="000000" w:themeColor="text1"/>
          <w:sz w:val="16"/>
          <w:lang w:val="en-GB"/>
        </w:rPr>
      </w:pPr>
    </w:p>
    <w:p w14:paraId="31B3A11E" w14:textId="77777777" w:rsidR="00530BA5" w:rsidRPr="001E2952" w:rsidRDefault="00530BA5" w:rsidP="007F7F85">
      <w:pPr>
        <w:spacing w:line="240" w:lineRule="atLeast"/>
        <w:ind w:left="426"/>
        <w:rPr>
          <w:rFonts w:ascii="Tahoma" w:hAnsi="Tahoma"/>
          <w:color w:val="000000" w:themeColor="text1"/>
          <w:sz w:val="16"/>
          <w:lang w:val="en-GB"/>
        </w:rPr>
      </w:pPr>
      <w:r w:rsidRPr="001E2952">
        <w:rPr>
          <w:rFonts w:ascii="Tahoma" w:hAnsi="Tahoma"/>
          <w:color w:val="000000" w:themeColor="text1"/>
          <w:sz w:val="16"/>
          <w:lang w:val="en-GB"/>
        </w:rPr>
        <w:t xml:space="preserve">The accounting for the share </w:t>
      </w:r>
      <w:proofErr w:type="gramStart"/>
      <w:r w:rsidRPr="001E2952">
        <w:rPr>
          <w:rFonts w:ascii="Tahoma" w:hAnsi="Tahoma"/>
          <w:color w:val="000000" w:themeColor="text1"/>
          <w:sz w:val="16"/>
          <w:lang w:val="en-GB"/>
        </w:rPr>
        <w:t>repurchase</w:t>
      </w:r>
      <w:proofErr w:type="gramEnd"/>
      <w:r w:rsidRPr="001E2952">
        <w:rPr>
          <w:rFonts w:ascii="Tahoma" w:hAnsi="Tahoma"/>
          <w:color w:val="000000" w:themeColor="text1"/>
          <w:sz w:val="16"/>
          <w:lang w:val="en-GB"/>
        </w:rPr>
        <w:t xml:space="preserve"> programme takes into consideration the cross-holding agreement between </w:t>
      </w:r>
      <w:proofErr w:type="spellStart"/>
      <w:r w:rsidRPr="001E2952">
        <w:rPr>
          <w:rFonts w:ascii="Tahoma" w:hAnsi="Tahoma"/>
          <w:color w:val="000000" w:themeColor="text1"/>
          <w:sz w:val="16"/>
          <w:lang w:val="en-GB"/>
        </w:rPr>
        <w:t>Prosus</w:t>
      </w:r>
      <w:proofErr w:type="spellEnd"/>
      <w:r w:rsidRPr="001E2952">
        <w:rPr>
          <w:rFonts w:ascii="Tahoma" w:hAnsi="Tahoma"/>
          <w:color w:val="000000" w:themeColor="text1"/>
          <w:sz w:val="16"/>
          <w:lang w:val="en-GB"/>
        </w:rPr>
        <w:t xml:space="preserve"> and Naspers and is implemented in accordance with the applicable laws and regulations as well as the authority granted by shareholders. The repurchase programme has no impact on the control structure of the group. </w:t>
      </w:r>
      <w:proofErr w:type="spellStart"/>
      <w:r w:rsidRPr="001E2952">
        <w:rPr>
          <w:rFonts w:ascii="Tahoma" w:hAnsi="Tahoma"/>
          <w:color w:val="000000" w:themeColor="text1"/>
          <w:sz w:val="16"/>
          <w:lang w:val="en-GB"/>
        </w:rPr>
        <w:t>Prosus’s</w:t>
      </w:r>
      <w:proofErr w:type="spellEnd"/>
      <w:r w:rsidRPr="001E2952">
        <w:rPr>
          <w:rFonts w:ascii="Tahoma" w:hAnsi="Tahoma"/>
          <w:color w:val="000000" w:themeColor="text1"/>
          <w:sz w:val="16"/>
          <w:lang w:val="en-GB"/>
        </w:rPr>
        <w:t xml:space="preserve"> interest in Naspers does not represent control or significant influence. Naspers, therefore, continues to hold the majority of the shareholder voting rights of </w:t>
      </w:r>
      <w:proofErr w:type="spellStart"/>
      <w:r w:rsidRPr="001E2952">
        <w:rPr>
          <w:rFonts w:ascii="Tahoma" w:hAnsi="Tahoma"/>
          <w:color w:val="000000" w:themeColor="text1"/>
          <w:sz w:val="16"/>
          <w:lang w:val="en-GB"/>
        </w:rPr>
        <w:t>Prosus</w:t>
      </w:r>
      <w:proofErr w:type="spellEnd"/>
      <w:r w:rsidRPr="001E2952">
        <w:rPr>
          <w:rFonts w:ascii="Tahoma" w:hAnsi="Tahoma"/>
          <w:color w:val="000000" w:themeColor="text1"/>
          <w:sz w:val="16"/>
          <w:lang w:val="en-GB"/>
        </w:rPr>
        <w:t>.</w:t>
      </w:r>
    </w:p>
    <w:p w14:paraId="5338C028" w14:textId="77777777" w:rsidR="00530BA5" w:rsidRPr="001E2952" w:rsidRDefault="00530BA5" w:rsidP="009206DC">
      <w:pPr>
        <w:spacing w:line="240" w:lineRule="atLeast"/>
        <w:ind w:left="426" w:hanging="426"/>
        <w:rPr>
          <w:rFonts w:ascii="Tahoma" w:hAnsi="Tahoma"/>
          <w:color w:val="000000" w:themeColor="text1"/>
          <w:sz w:val="16"/>
          <w:lang w:val="en-GB"/>
        </w:rPr>
      </w:pPr>
    </w:p>
    <w:p w14:paraId="4330AA94" w14:textId="77777777" w:rsidR="00530BA5" w:rsidRPr="001E2952" w:rsidRDefault="00530BA5" w:rsidP="0064111E">
      <w:pPr>
        <w:spacing w:line="240" w:lineRule="atLeast"/>
        <w:ind w:left="426"/>
        <w:rPr>
          <w:rFonts w:ascii="Tahoma" w:hAnsi="Tahoma"/>
          <w:color w:val="000000" w:themeColor="text1"/>
          <w:sz w:val="16"/>
          <w:lang w:val="en-GB"/>
        </w:rPr>
      </w:pPr>
      <w:r w:rsidRPr="001E2952">
        <w:rPr>
          <w:rFonts w:ascii="Tahoma" w:hAnsi="Tahoma"/>
          <w:color w:val="000000" w:themeColor="text1"/>
          <w:sz w:val="16"/>
          <w:lang w:val="en-GB"/>
        </w:rPr>
        <w:t xml:space="preserve">The cross-holding agreement between Naspers and </w:t>
      </w:r>
      <w:proofErr w:type="spellStart"/>
      <w:r w:rsidRPr="001E2952">
        <w:rPr>
          <w:rFonts w:ascii="Tahoma" w:hAnsi="Tahoma"/>
          <w:color w:val="000000" w:themeColor="text1"/>
          <w:sz w:val="16"/>
          <w:lang w:val="en-GB"/>
        </w:rPr>
        <w:t>Prosus</w:t>
      </w:r>
      <w:proofErr w:type="spellEnd"/>
      <w:r w:rsidRPr="001E2952">
        <w:rPr>
          <w:rFonts w:ascii="Tahoma" w:hAnsi="Tahoma"/>
          <w:color w:val="000000" w:themeColor="text1"/>
          <w:sz w:val="16"/>
          <w:lang w:val="en-GB"/>
        </w:rPr>
        <w:t xml:space="preserve"> became effective at the time of closing of the voluntary share exchange in August 2021. The cross-holding agreement takes into account </w:t>
      </w:r>
      <w:proofErr w:type="spellStart"/>
      <w:r w:rsidRPr="001E2952">
        <w:rPr>
          <w:rFonts w:ascii="Tahoma" w:hAnsi="Tahoma"/>
          <w:color w:val="000000" w:themeColor="text1"/>
          <w:sz w:val="16"/>
          <w:lang w:val="en-GB"/>
        </w:rPr>
        <w:t>Prosus’s</w:t>
      </w:r>
      <w:proofErr w:type="spellEnd"/>
      <w:r w:rsidRPr="001E2952">
        <w:rPr>
          <w:rFonts w:ascii="Tahoma" w:hAnsi="Tahoma"/>
          <w:color w:val="000000" w:themeColor="text1"/>
          <w:sz w:val="16"/>
          <w:lang w:val="en-GB"/>
        </w:rPr>
        <w:t xml:space="preserve"> indirect interest in itself from holding Naspers shares and deals with how distributions between the two groups will be managed. It eliminates the need for flows back and forth between the two groups as a result of the cross-shareholding, through a waiver by </w:t>
      </w:r>
      <w:proofErr w:type="spellStart"/>
      <w:r w:rsidRPr="001E2952">
        <w:rPr>
          <w:rFonts w:ascii="Tahoma" w:hAnsi="Tahoma"/>
          <w:color w:val="000000" w:themeColor="text1"/>
          <w:sz w:val="16"/>
          <w:lang w:val="en-GB"/>
        </w:rPr>
        <w:t>Prosus</w:t>
      </w:r>
      <w:proofErr w:type="spellEnd"/>
      <w:r w:rsidRPr="001E2952">
        <w:rPr>
          <w:rFonts w:ascii="Tahoma" w:hAnsi="Tahoma"/>
          <w:color w:val="000000" w:themeColor="text1"/>
          <w:sz w:val="16"/>
          <w:lang w:val="en-GB"/>
        </w:rPr>
        <w:t xml:space="preserve"> of its entitlement to distributions on the Naspers shares that it holds, and provides clarity to both </w:t>
      </w:r>
      <w:proofErr w:type="spellStart"/>
      <w:r w:rsidRPr="001E2952">
        <w:rPr>
          <w:rFonts w:ascii="Tahoma" w:hAnsi="Tahoma"/>
          <w:color w:val="000000" w:themeColor="text1"/>
          <w:sz w:val="16"/>
          <w:lang w:val="en-GB"/>
        </w:rPr>
        <w:t>Prosus</w:t>
      </w:r>
      <w:proofErr w:type="spellEnd"/>
      <w:r w:rsidRPr="001E2952">
        <w:rPr>
          <w:rFonts w:ascii="Tahoma" w:hAnsi="Tahoma"/>
          <w:color w:val="000000" w:themeColor="text1"/>
          <w:sz w:val="16"/>
          <w:lang w:val="en-GB"/>
        </w:rPr>
        <w:t xml:space="preserve"> and Naspers free float shareholders of their economic interest in distributions made by </w:t>
      </w:r>
      <w:proofErr w:type="spellStart"/>
      <w:r w:rsidRPr="001E2952">
        <w:rPr>
          <w:rFonts w:ascii="Tahoma" w:hAnsi="Tahoma"/>
          <w:color w:val="000000" w:themeColor="text1"/>
          <w:sz w:val="16"/>
          <w:lang w:val="en-GB"/>
        </w:rPr>
        <w:t>Prosus</w:t>
      </w:r>
      <w:proofErr w:type="spellEnd"/>
      <w:r w:rsidRPr="001E2952">
        <w:rPr>
          <w:rFonts w:ascii="Tahoma" w:hAnsi="Tahoma"/>
          <w:color w:val="000000" w:themeColor="text1"/>
          <w:sz w:val="16"/>
          <w:lang w:val="en-GB"/>
        </w:rPr>
        <w:t xml:space="preserve">. The cross-holding agreement relates to </w:t>
      </w:r>
      <w:proofErr w:type="spellStart"/>
      <w:r w:rsidRPr="001E2952">
        <w:rPr>
          <w:rFonts w:ascii="Tahoma" w:hAnsi="Tahoma"/>
          <w:color w:val="000000" w:themeColor="text1"/>
          <w:sz w:val="16"/>
          <w:lang w:val="en-GB"/>
        </w:rPr>
        <w:t>Prosus’s</w:t>
      </w:r>
      <w:proofErr w:type="spellEnd"/>
      <w:r w:rsidRPr="001E2952">
        <w:rPr>
          <w:rFonts w:ascii="Tahoma" w:hAnsi="Tahoma"/>
          <w:color w:val="000000" w:themeColor="text1"/>
          <w:sz w:val="16"/>
          <w:lang w:val="en-GB"/>
        </w:rPr>
        <w:t xml:space="preserve"> fully diluted interest in Naspers and Naspers’s legal ownership of </w:t>
      </w:r>
      <w:proofErr w:type="spellStart"/>
      <w:r w:rsidRPr="001E2952">
        <w:rPr>
          <w:rFonts w:ascii="Tahoma" w:hAnsi="Tahoma"/>
          <w:color w:val="000000" w:themeColor="text1"/>
          <w:sz w:val="16"/>
          <w:lang w:val="en-GB"/>
        </w:rPr>
        <w:t>Prosus</w:t>
      </w:r>
      <w:proofErr w:type="spellEnd"/>
      <w:r w:rsidRPr="001E2952">
        <w:rPr>
          <w:rFonts w:ascii="Tahoma" w:hAnsi="Tahoma"/>
          <w:color w:val="000000" w:themeColor="text1"/>
          <w:sz w:val="16"/>
          <w:lang w:val="en-GB"/>
        </w:rPr>
        <w:t xml:space="preserve"> ordinary shares N. At 30 September 2022, subject to this agreement and subsequent to the repurchase transactions above the </w:t>
      </w:r>
      <w:proofErr w:type="spellStart"/>
      <w:r w:rsidRPr="001E2952">
        <w:rPr>
          <w:rFonts w:ascii="Tahoma" w:hAnsi="Tahoma"/>
          <w:color w:val="000000" w:themeColor="text1"/>
          <w:sz w:val="16"/>
          <w:lang w:val="en-GB"/>
        </w:rPr>
        <w:t>Prosus</w:t>
      </w:r>
      <w:proofErr w:type="spellEnd"/>
      <w:r w:rsidRPr="001E2952">
        <w:rPr>
          <w:rFonts w:ascii="Tahoma" w:hAnsi="Tahoma"/>
          <w:color w:val="000000" w:themeColor="text1"/>
          <w:sz w:val="16"/>
          <w:lang w:val="en-GB"/>
        </w:rPr>
        <w:t xml:space="preserve"> free float economic interest in the </w:t>
      </w:r>
      <w:proofErr w:type="spellStart"/>
      <w:r w:rsidRPr="001E2952">
        <w:rPr>
          <w:rFonts w:ascii="Tahoma" w:hAnsi="Tahoma"/>
          <w:color w:val="000000" w:themeColor="text1"/>
          <w:sz w:val="16"/>
          <w:lang w:val="en-GB"/>
        </w:rPr>
        <w:t>Prosus</w:t>
      </w:r>
      <w:proofErr w:type="spellEnd"/>
      <w:r w:rsidRPr="001E2952">
        <w:rPr>
          <w:rFonts w:ascii="Tahoma" w:hAnsi="Tahoma"/>
          <w:color w:val="000000" w:themeColor="text1"/>
          <w:sz w:val="16"/>
          <w:lang w:val="en-GB"/>
        </w:rPr>
        <w:t xml:space="preserve"> group is 56.7% (31 March 2022: 57.7%).</w:t>
      </w:r>
    </w:p>
    <w:p w14:paraId="3D0CC6C2" w14:textId="77777777" w:rsidR="00530BA5" w:rsidRPr="001E2952" w:rsidRDefault="00530BA5" w:rsidP="009206DC">
      <w:pPr>
        <w:spacing w:line="240" w:lineRule="atLeast"/>
        <w:ind w:left="426" w:hanging="426"/>
        <w:rPr>
          <w:rFonts w:ascii="Tahoma" w:hAnsi="Tahoma"/>
          <w:color w:val="000000" w:themeColor="text1"/>
          <w:sz w:val="16"/>
          <w:lang w:val="en-GB"/>
        </w:rPr>
      </w:pPr>
    </w:p>
    <w:p w14:paraId="2E31D5E5" w14:textId="77777777" w:rsidR="00530BA5" w:rsidRPr="0064111E" w:rsidRDefault="00530BA5" w:rsidP="0064111E">
      <w:pPr>
        <w:spacing w:line="240" w:lineRule="atLeast"/>
        <w:ind w:left="426"/>
        <w:rPr>
          <w:rFonts w:ascii="Tahoma" w:hAnsi="Tahoma"/>
          <w:b/>
          <w:bCs/>
          <w:color w:val="7F7F7F" w:themeColor="text1" w:themeTint="80"/>
          <w:sz w:val="16"/>
          <w:lang w:val="en-GB"/>
        </w:rPr>
      </w:pPr>
      <w:r w:rsidRPr="001E2952">
        <w:rPr>
          <w:rFonts w:ascii="Tahoma" w:hAnsi="Tahoma"/>
          <w:b/>
          <w:bCs/>
          <w:color w:val="7F7F7F" w:themeColor="text1" w:themeTint="80"/>
          <w:sz w:val="16"/>
          <w:lang w:val="en-GB"/>
        </w:rPr>
        <w:t xml:space="preserve">Repurchase of </w:t>
      </w:r>
      <w:proofErr w:type="spellStart"/>
      <w:r w:rsidRPr="001E2952">
        <w:rPr>
          <w:rFonts w:ascii="Tahoma" w:hAnsi="Tahoma"/>
          <w:b/>
          <w:bCs/>
          <w:color w:val="7F7F7F" w:themeColor="text1" w:themeTint="80"/>
          <w:sz w:val="16"/>
          <w:lang w:val="en-GB"/>
        </w:rPr>
        <w:t>Prosus</w:t>
      </w:r>
      <w:proofErr w:type="spellEnd"/>
      <w:r w:rsidRPr="001E2952">
        <w:rPr>
          <w:rFonts w:ascii="Tahoma" w:hAnsi="Tahoma"/>
          <w:b/>
          <w:bCs/>
          <w:color w:val="7F7F7F" w:themeColor="text1" w:themeTint="80"/>
          <w:sz w:val="16"/>
          <w:lang w:val="en-GB"/>
        </w:rPr>
        <w:t xml:space="preserve"> shares</w:t>
      </w:r>
    </w:p>
    <w:p w14:paraId="48E78EBA" w14:textId="77777777" w:rsidR="00530BA5" w:rsidRPr="001E2952" w:rsidRDefault="00530BA5" w:rsidP="0064111E">
      <w:pPr>
        <w:spacing w:line="240" w:lineRule="atLeast"/>
        <w:ind w:left="426"/>
        <w:rPr>
          <w:rFonts w:ascii="Tahoma" w:hAnsi="Tahoma"/>
          <w:color w:val="000000" w:themeColor="text1"/>
          <w:sz w:val="16"/>
          <w:lang w:val="en-GB"/>
        </w:rPr>
      </w:pPr>
      <w:r w:rsidRPr="001E2952">
        <w:rPr>
          <w:rFonts w:ascii="Tahoma" w:hAnsi="Tahoma"/>
          <w:color w:val="000000" w:themeColor="text1"/>
          <w:sz w:val="16"/>
          <w:lang w:val="en-GB"/>
        </w:rPr>
        <w:t xml:space="preserve">The </w:t>
      </w:r>
      <w:proofErr w:type="spellStart"/>
      <w:r w:rsidRPr="001E2952">
        <w:rPr>
          <w:rFonts w:ascii="Tahoma" w:hAnsi="Tahoma"/>
          <w:color w:val="000000" w:themeColor="text1"/>
          <w:sz w:val="16"/>
          <w:lang w:val="en-GB"/>
        </w:rPr>
        <w:t>Prosus</w:t>
      </w:r>
      <w:proofErr w:type="spellEnd"/>
      <w:r w:rsidRPr="001E2952">
        <w:rPr>
          <w:rFonts w:ascii="Tahoma" w:hAnsi="Tahoma"/>
          <w:color w:val="000000" w:themeColor="text1"/>
          <w:sz w:val="16"/>
          <w:lang w:val="en-GB"/>
        </w:rPr>
        <w:t xml:space="preserve"> ordinary shares N acquired by the group are classified as treasury shares. These are recognised in ‘Treasury shares’ on the condensed consolidated statement of financial position. The treasury shares were recognised at a cost of US$3.49bn. The group intends to cancel the </w:t>
      </w:r>
      <w:proofErr w:type="spellStart"/>
      <w:r w:rsidRPr="001E2952">
        <w:rPr>
          <w:rFonts w:ascii="Tahoma" w:hAnsi="Tahoma"/>
          <w:color w:val="000000" w:themeColor="text1"/>
          <w:sz w:val="16"/>
          <w:lang w:val="en-GB"/>
        </w:rPr>
        <w:t>Prosus</w:t>
      </w:r>
      <w:proofErr w:type="spellEnd"/>
      <w:r w:rsidRPr="001E2952">
        <w:rPr>
          <w:rFonts w:ascii="Tahoma" w:hAnsi="Tahoma"/>
          <w:color w:val="000000" w:themeColor="text1"/>
          <w:sz w:val="16"/>
          <w:lang w:val="en-GB"/>
        </w:rPr>
        <w:t xml:space="preserve"> shares repurchased in due course once the relevant approvals have been obtained, so as to reduce its issued share capital. </w:t>
      </w:r>
    </w:p>
    <w:p w14:paraId="765B5BEB" w14:textId="77777777" w:rsidR="00530BA5" w:rsidRPr="001E2952" w:rsidRDefault="00530BA5" w:rsidP="009206DC">
      <w:pPr>
        <w:spacing w:line="240" w:lineRule="atLeast"/>
        <w:ind w:left="426" w:hanging="426"/>
        <w:rPr>
          <w:rFonts w:ascii="Tahoma" w:hAnsi="Tahoma"/>
          <w:color w:val="000000" w:themeColor="text1"/>
          <w:sz w:val="16"/>
          <w:lang w:val="en-GB"/>
        </w:rPr>
      </w:pPr>
    </w:p>
    <w:p w14:paraId="29E24B38" w14:textId="77777777" w:rsidR="00530BA5" w:rsidRPr="0064111E" w:rsidRDefault="00530BA5" w:rsidP="0064111E">
      <w:pPr>
        <w:spacing w:line="240" w:lineRule="atLeast"/>
        <w:ind w:left="426"/>
        <w:rPr>
          <w:rFonts w:ascii="Tahoma" w:hAnsi="Tahoma"/>
          <w:b/>
          <w:bCs/>
          <w:color w:val="7F7F7F" w:themeColor="text1" w:themeTint="80"/>
          <w:sz w:val="16"/>
          <w:lang w:val="en-GB"/>
        </w:rPr>
      </w:pPr>
      <w:r w:rsidRPr="001E2952">
        <w:rPr>
          <w:rFonts w:ascii="Tahoma" w:hAnsi="Tahoma"/>
          <w:b/>
          <w:bCs/>
          <w:color w:val="7F7F7F" w:themeColor="text1" w:themeTint="80"/>
          <w:sz w:val="16"/>
          <w:lang w:val="en-GB"/>
        </w:rPr>
        <w:t>Acquisition of Naspers shares</w:t>
      </w:r>
    </w:p>
    <w:p w14:paraId="696C7F21" w14:textId="77777777" w:rsidR="00530BA5" w:rsidRPr="001E2952" w:rsidRDefault="00530BA5" w:rsidP="0064111E">
      <w:pPr>
        <w:spacing w:line="240" w:lineRule="atLeast"/>
        <w:ind w:left="426"/>
        <w:rPr>
          <w:rFonts w:ascii="Tahoma" w:hAnsi="Tahoma"/>
          <w:color w:val="000000" w:themeColor="text1"/>
          <w:sz w:val="16"/>
          <w:lang w:val="en-GB"/>
        </w:rPr>
      </w:pPr>
      <w:r w:rsidRPr="001E2952">
        <w:rPr>
          <w:rFonts w:ascii="Tahoma" w:hAnsi="Tahoma"/>
          <w:color w:val="000000" w:themeColor="text1"/>
          <w:sz w:val="16"/>
          <w:lang w:val="en-GB"/>
        </w:rPr>
        <w:t xml:space="preserve">The Naspers N ordinary shares acquired by the group are subject to the cross-holding agreement. The agreement mandates that </w:t>
      </w:r>
      <w:proofErr w:type="spellStart"/>
      <w:r w:rsidRPr="001E2952">
        <w:rPr>
          <w:rFonts w:ascii="Tahoma" w:hAnsi="Tahoma"/>
          <w:color w:val="000000" w:themeColor="text1"/>
          <w:sz w:val="16"/>
          <w:lang w:val="en-GB"/>
        </w:rPr>
        <w:t>Prosus</w:t>
      </w:r>
      <w:proofErr w:type="spellEnd"/>
      <w:r w:rsidRPr="001E2952">
        <w:rPr>
          <w:rFonts w:ascii="Tahoma" w:hAnsi="Tahoma"/>
          <w:color w:val="000000" w:themeColor="text1"/>
          <w:sz w:val="16"/>
          <w:lang w:val="en-GB"/>
        </w:rPr>
        <w:t xml:space="preserve"> waives all rights to all distributions (including dividend flows) from its Naspers shares held, other than the portion attributable to the residual interest in the Naspers group (primarily Takealot, Media24 and corporate entities). Based on the substance of this cross-holding agreement, the portion of </w:t>
      </w:r>
      <w:proofErr w:type="spellStart"/>
      <w:r w:rsidRPr="001E2952">
        <w:rPr>
          <w:rFonts w:ascii="Tahoma" w:hAnsi="Tahoma"/>
          <w:color w:val="000000" w:themeColor="text1"/>
          <w:sz w:val="16"/>
          <w:lang w:val="en-GB"/>
        </w:rPr>
        <w:t>Prosus</w:t>
      </w:r>
      <w:proofErr w:type="spellEnd"/>
      <w:r w:rsidRPr="001E2952">
        <w:rPr>
          <w:rFonts w:ascii="Tahoma" w:hAnsi="Tahoma"/>
          <w:color w:val="000000" w:themeColor="text1"/>
          <w:sz w:val="16"/>
          <w:lang w:val="en-GB"/>
        </w:rPr>
        <w:t xml:space="preserve"> economic interest in Naspers attributable to the residual interest in the Naspers group is recognised as a financial asset at fair value through other comprehensive income (FVOCI). The remaining portion of the interest in Naspers attributable to </w:t>
      </w:r>
      <w:proofErr w:type="spellStart"/>
      <w:r w:rsidRPr="001E2952">
        <w:rPr>
          <w:rFonts w:ascii="Tahoma" w:hAnsi="Tahoma"/>
          <w:color w:val="000000" w:themeColor="text1"/>
          <w:sz w:val="16"/>
          <w:lang w:val="en-GB"/>
        </w:rPr>
        <w:t>Prosus’s</w:t>
      </w:r>
      <w:proofErr w:type="spellEnd"/>
      <w:r w:rsidRPr="001E2952">
        <w:rPr>
          <w:rFonts w:ascii="Tahoma" w:hAnsi="Tahoma"/>
          <w:color w:val="000000" w:themeColor="text1"/>
          <w:sz w:val="16"/>
          <w:lang w:val="en-GB"/>
        </w:rPr>
        <w:t xml:space="preserve"> underlying investments is accounted for in equity, representing a capital restructure.</w:t>
      </w:r>
    </w:p>
    <w:p w14:paraId="02560263" w14:textId="77777777" w:rsidR="00530BA5" w:rsidRPr="001E2952" w:rsidRDefault="00530BA5" w:rsidP="009206DC">
      <w:pPr>
        <w:spacing w:line="240" w:lineRule="atLeast"/>
        <w:ind w:left="426" w:hanging="426"/>
        <w:rPr>
          <w:rFonts w:ascii="Tahoma" w:hAnsi="Tahoma"/>
          <w:color w:val="000000" w:themeColor="text1"/>
          <w:sz w:val="16"/>
          <w:lang w:val="en-GB"/>
        </w:rPr>
      </w:pPr>
    </w:p>
    <w:p w14:paraId="38A64AEF" w14:textId="77777777" w:rsidR="00530BA5" w:rsidRPr="001E2952" w:rsidRDefault="00530BA5" w:rsidP="0064111E">
      <w:pPr>
        <w:spacing w:line="240" w:lineRule="atLeast"/>
        <w:ind w:left="426"/>
        <w:rPr>
          <w:rFonts w:ascii="Tahoma" w:hAnsi="Tahoma"/>
          <w:color w:val="000000" w:themeColor="text1"/>
          <w:sz w:val="16"/>
          <w:lang w:val="en-GB"/>
        </w:rPr>
      </w:pPr>
      <w:r w:rsidRPr="001E2952">
        <w:rPr>
          <w:rFonts w:ascii="Tahoma" w:hAnsi="Tahoma"/>
          <w:color w:val="000000" w:themeColor="text1"/>
          <w:sz w:val="16"/>
          <w:lang w:val="en-GB"/>
        </w:rPr>
        <w:t xml:space="preserve">Accordingly, the consideration paid for Naspers N ordinary shares representing the increase in </w:t>
      </w:r>
      <w:proofErr w:type="spellStart"/>
      <w:r w:rsidRPr="001E2952">
        <w:rPr>
          <w:rFonts w:ascii="Tahoma" w:hAnsi="Tahoma"/>
          <w:color w:val="000000" w:themeColor="text1"/>
          <w:sz w:val="16"/>
          <w:lang w:val="en-GB"/>
        </w:rPr>
        <w:t>Prosus</w:t>
      </w:r>
      <w:proofErr w:type="spellEnd"/>
      <w:r w:rsidRPr="001E2952">
        <w:rPr>
          <w:rFonts w:ascii="Tahoma" w:hAnsi="Tahoma"/>
          <w:color w:val="000000" w:themeColor="text1"/>
          <w:sz w:val="16"/>
          <w:lang w:val="en-GB"/>
        </w:rPr>
        <w:t xml:space="preserve"> residual interest in Naspers was recognised as a FVOCI investment with the remaining portion representing the value of </w:t>
      </w:r>
      <w:proofErr w:type="spellStart"/>
      <w:r w:rsidRPr="001E2952">
        <w:rPr>
          <w:rFonts w:ascii="Tahoma" w:hAnsi="Tahoma"/>
          <w:color w:val="000000" w:themeColor="text1"/>
          <w:sz w:val="16"/>
          <w:lang w:val="en-GB"/>
        </w:rPr>
        <w:t>Prosus’s</w:t>
      </w:r>
      <w:proofErr w:type="spellEnd"/>
      <w:r w:rsidRPr="001E2952">
        <w:rPr>
          <w:rFonts w:ascii="Tahoma" w:hAnsi="Tahoma"/>
          <w:color w:val="000000" w:themeColor="text1"/>
          <w:sz w:val="16"/>
          <w:lang w:val="en-GB"/>
        </w:rPr>
        <w:t xml:space="preserve"> underlying investments being recognised in equity. The group recognised US$10.1m of the consideration as a FVOCI investment and the remaining US$614.5m in ‘Existing control business combination reserve’ in equity.</w:t>
      </w:r>
    </w:p>
    <w:p w14:paraId="5E958ACA" w14:textId="77777777" w:rsidR="00530BA5" w:rsidRPr="001E2952" w:rsidRDefault="00530BA5" w:rsidP="009206DC">
      <w:pPr>
        <w:spacing w:line="240" w:lineRule="atLeast"/>
        <w:ind w:left="426" w:hanging="426"/>
        <w:rPr>
          <w:rFonts w:ascii="Tahoma" w:hAnsi="Tahoma"/>
          <w:color w:val="000000" w:themeColor="text1"/>
          <w:sz w:val="16"/>
          <w:lang w:val="en-GB"/>
        </w:rPr>
      </w:pPr>
    </w:p>
    <w:p w14:paraId="29FA61AB" w14:textId="77777777" w:rsidR="00530BA5" w:rsidRPr="0064111E" w:rsidRDefault="00530BA5" w:rsidP="0064111E">
      <w:pPr>
        <w:spacing w:line="240" w:lineRule="atLeast"/>
        <w:ind w:left="426"/>
        <w:rPr>
          <w:rFonts w:ascii="Tahoma" w:hAnsi="Tahoma"/>
          <w:b/>
          <w:bCs/>
          <w:color w:val="7F7F7F" w:themeColor="text1" w:themeTint="80"/>
          <w:sz w:val="16"/>
          <w:lang w:val="en-GB"/>
        </w:rPr>
      </w:pPr>
      <w:r w:rsidRPr="001E2952">
        <w:rPr>
          <w:rFonts w:ascii="Tahoma" w:hAnsi="Tahoma"/>
          <w:b/>
          <w:bCs/>
          <w:color w:val="7F7F7F" w:themeColor="text1" w:themeTint="80"/>
          <w:sz w:val="16"/>
          <w:lang w:val="en-GB"/>
        </w:rPr>
        <w:t>Repurchase of Naspers shares</w:t>
      </w:r>
    </w:p>
    <w:p w14:paraId="0581A162" w14:textId="77777777" w:rsidR="00530BA5" w:rsidRPr="001E2952" w:rsidRDefault="00530BA5" w:rsidP="0064111E">
      <w:pPr>
        <w:spacing w:line="240" w:lineRule="atLeast"/>
        <w:ind w:left="426"/>
        <w:rPr>
          <w:rFonts w:ascii="Tahoma" w:hAnsi="Tahoma"/>
          <w:color w:val="000000" w:themeColor="text1"/>
          <w:sz w:val="16"/>
          <w:lang w:val="en-GB"/>
        </w:rPr>
      </w:pPr>
      <w:r w:rsidRPr="001E2952">
        <w:rPr>
          <w:rFonts w:ascii="Tahoma" w:hAnsi="Tahoma"/>
          <w:color w:val="000000" w:themeColor="text1"/>
          <w:sz w:val="16"/>
          <w:lang w:val="en-GB"/>
        </w:rPr>
        <w:t xml:space="preserve">During September 2022, Naspers repurchased 1 510 321 Naspers N ordinary shares through its subsidiary MIH Treasury Services Proprietary Limited. The transaction impacted </w:t>
      </w:r>
      <w:proofErr w:type="spellStart"/>
      <w:r w:rsidRPr="001E2952">
        <w:rPr>
          <w:rFonts w:ascii="Tahoma" w:hAnsi="Tahoma"/>
          <w:color w:val="000000" w:themeColor="text1"/>
          <w:sz w:val="16"/>
          <w:lang w:val="en-GB"/>
        </w:rPr>
        <w:t>Prosus’s</w:t>
      </w:r>
      <w:proofErr w:type="spellEnd"/>
      <w:r w:rsidRPr="001E2952">
        <w:rPr>
          <w:rFonts w:ascii="Tahoma" w:hAnsi="Tahoma"/>
          <w:color w:val="000000" w:themeColor="text1"/>
          <w:sz w:val="16"/>
          <w:lang w:val="en-GB"/>
        </w:rPr>
        <w:t xml:space="preserve"> fully diluted and economic interest in Naspers and consequently impacted the value of </w:t>
      </w:r>
      <w:proofErr w:type="spellStart"/>
      <w:r w:rsidRPr="001E2952">
        <w:rPr>
          <w:rFonts w:ascii="Tahoma" w:hAnsi="Tahoma"/>
          <w:color w:val="000000" w:themeColor="text1"/>
          <w:sz w:val="16"/>
          <w:lang w:val="en-GB"/>
        </w:rPr>
        <w:t>Prosus’s</w:t>
      </w:r>
      <w:proofErr w:type="spellEnd"/>
      <w:r w:rsidRPr="001E2952">
        <w:rPr>
          <w:rFonts w:ascii="Tahoma" w:hAnsi="Tahoma"/>
          <w:color w:val="000000" w:themeColor="text1"/>
          <w:sz w:val="16"/>
          <w:lang w:val="en-GB"/>
        </w:rPr>
        <w:t xml:space="preserve"> residual interest in the Naspers group. This transaction resulted in an increase in the residual interest in the Naspers group, which was recognised in other comprehensive income. At 30 September 2022, the residual interest in the Naspers group amounted to US$281.2m, subsequent to the revaluation of the residual interest. The group recognised a fair-value loss of US$115.8m as a result of this revaluation. </w:t>
      </w:r>
    </w:p>
    <w:p w14:paraId="5918F249" w14:textId="77777777" w:rsidR="00530BA5" w:rsidRPr="001E2952" w:rsidRDefault="00530BA5" w:rsidP="009206DC">
      <w:pPr>
        <w:spacing w:line="240" w:lineRule="atLeast"/>
        <w:ind w:left="426" w:hanging="426"/>
        <w:rPr>
          <w:rFonts w:ascii="Tahoma" w:hAnsi="Tahoma"/>
          <w:color w:val="000000" w:themeColor="text1"/>
          <w:sz w:val="16"/>
          <w:lang w:val="en-GB"/>
        </w:rPr>
      </w:pPr>
    </w:p>
    <w:p w14:paraId="2D13B183" w14:textId="77777777" w:rsidR="00530BA5" w:rsidRPr="0064111E" w:rsidRDefault="00530BA5" w:rsidP="0064111E">
      <w:pPr>
        <w:spacing w:line="240" w:lineRule="atLeast"/>
        <w:ind w:left="426"/>
        <w:rPr>
          <w:rFonts w:ascii="Tahoma" w:hAnsi="Tahoma"/>
          <w:b/>
          <w:bCs/>
          <w:color w:val="7F7F7F" w:themeColor="text1" w:themeTint="80"/>
          <w:sz w:val="16"/>
          <w:lang w:val="en-GB"/>
        </w:rPr>
      </w:pPr>
      <w:r w:rsidRPr="001E2952">
        <w:rPr>
          <w:rFonts w:ascii="Tahoma" w:hAnsi="Tahoma"/>
          <w:b/>
          <w:bCs/>
          <w:color w:val="7F7F7F" w:themeColor="text1" w:themeTint="80"/>
          <w:sz w:val="16"/>
          <w:lang w:val="en-GB"/>
        </w:rPr>
        <w:t xml:space="preserve">Disposal of shares in Tencent </w:t>
      </w:r>
    </w:p>
    <w:p w14:paraId="678DC402" w14:textId="77777777" w:rsidR="00530BA5" w:rsidRPr="001E2952" w:rsidRDefault="00530BA5" w:rsidP="0064111E">
      <w:pPr>
        <w:spacing w:line="240" w:lineRule="atLeast"/>
        <w:ind w:left="426"/>
        <w:rPr>
          <w:rFonts w:ascii="Tahoma" w:hAnsi="Tahoma"/>
          <w:color w:val="000000" w:themeColor="text1"/>
          <w:sz w:val="16"/>
          <w:lang w:val="en-GB"/>
        </w:rPr>
      </w:pPr>
      <w:r w:rsidRPr="001E2952">
        <w:rPr>
          <w:rFonts w:ascii="Tahoma" w:hAnsi="Tahoma"/>
          <w:color w:val="000000" w:themeColor="text1"/>
          <w:sz w:val="16"/>
          <w:lang w:val="en-GB"/>
        </w:rPr>
        <w:t>The group reduced its ownership interest in Tencent from 28.81% to 27.86%, yielding US$3.86bn in proceeds. This is a partial disposal of an associate that does not result in a loss of significant influence. The group recognised a gain on partial disposal of US$2.77bn in the condensed consolidated income statement. The group reclassified a loss of US$90.3m from the foreign currency translation reserve to the condensed consolidated income statement relating to this partial disposal.</w:t>
      </w:r>
    </w:p>
    <w:p w14:paraId="44A55D43" w14:textId="77777777" w:rsidR="00530BA5" w:rsidRPr="001E2952" w:rsidRDefault="00530BA5" w:rsidP="009206DC">
      <w:pPr>
        <w:spacing w:line="240" w:lineRule="atLeast"/>
        <w:ind w:left="426" w:hanging="426"/>
        <w:rPr>
          <w:rFonts w:ascii="Tahoma" w:hAnsi="Tahoma"/>
          <w:color w:val="000000" w:themeColor="text1"/>
          <w:sz w:val="16"/>
          <w:lang w:val="en-GB"/>
        </w:rPr>
      </w:pPr>
    </w:p>
    <w:p w14:paraId="16F7B9B2" w14:textId="77777777" w:rsidR="0096305D" w:rsidRDefault="0096305D" w:rsidP="009206DC">
      <w:pPr>
        <w:spacing w:line="240" w:lineRule="atLeast"/>
        <w:ind w:left="426" w:hanging="426"/>
        <w:rPr>
          <w:rFonts w:ascii="Tahoma" w:hAnsi="Tahoma"/>
          <w:b/>
          <w:bCs/>
          <w:color w:val="7F7F7F" w:themeColor="text1" w:themeTint="80"/>
          <w:sz w:val="16"/>
          <w:lang w:val="en-GB"/>
        </w:rPr>
      </w:pPr>
    </w:p>
    <w:p w14:paraId="389B99C9" w14:textId="77777777" w:rsidR="0096305D" w:rsidRDefault="0096305D" w:rsidP="00471433">
      <w:pPr>
        <w:pStyle w:val="FootnotesProsus2022FrontStylesProsus2022"/>
        <w:ind w:left="567"/>
      </w:pPr>
      <w:r>
        <w:rPr>
          <w:position w:val="-2"/>
          <w:sz w:val="14"/>
          <w:szCs w:val="14"/>
          <w:vertAlign w:val="superscript"/>
        </w:rPr>
        <w:t>1</w:t>
      </w:r>
      <w:r>
        <w:tab/>
        <w:t>Interest in Naspers based on the cross-holding agreement formula, which was approved in the shareholder resolution.</w:t>
      </w:r>
    </w:p>
    <w:p w14:paraId="44678FBB" w14:textId="77777777" w:rsidR="0096305D" w:rsidRDefault="0096305D" w:rsidP="00471433">
      <w:pPr>
        <w:pStyle w:val="FootnotesProsus2022FrontStylesProsus2022"/>
        <w:ind w:left="567"/>
        <w:rPr>
          <w:rFonts w:ascii="Tahoma" w:hAnsi="Tahoma"/>
          <w:b/>
          <w:bCs/>
          <w:color w:val="7F7F7F" w:themeColor="text1" w:themeTint="80"/>
          <w:sz w:val="16"/>
        </w:rPr>
      </w:pPr>
      <w:r>
        <w:rPr>
          <w:position w:val="-2"/>
          <w:sz w:val="14"/>
          <w:szCs w:val="14"/>
          <w:vertAlign w:val="superscript"/>
        </w:rPr>
        <w:t>2</w:t>
      </w:r>
      <w:r>
        <w:tab/>
        <w:t>Interest based on distribution rights to each class of shareholders.</w:t>
      </w:r>
    </w:p>
    <w:p w14:paraId="5401DF5C" w14:textId="77777777" w:rsidR="0096305D" w:rsidRDefault="0096305D" w:rsidP="009206DC">
      <w:pPr>
        <w:spacing w:line="240" w:lineRule="atLeast"/>
        <w:ind w:left="426" w:hanging="426"/>
        <w:rPr>
          <w:rFonts w:ascii="Tahoma" w:hAnsi="Tahoma"/>
          <w:b/>
          <w:bCs/>
          <w:color w:val="7F7F7F" w:themeColor="text1" w:themeTint="80"/>
          <w:sz w:val="16"/>
          <w:lang w:val="en-GB"/>
        </w:rPr>
      </w:pPr>
    </w:p>
    <w:p w14:paraId="66E2B1DF" w14:textId="77777777" w:rsidR="0096305D" w:rsidRDefault="0096305D" w:rsidP="009206DC">
      <w:pPr>
        <w:spacing w:line="240" w:lineRule="atLeast"/>
        <w:ind w:left="426" w:hanging="426"/>
        <w:rPr>
          <w:rFonts w:ascii="Tahoma" w:hAnsi="Tahoma"/>
          <w:b/>
          <w:bCs/>
          <w:color w:val="7F7F7F" w:themeColor="text1" w:themeTint="80"/>
          <w:sz w:val="16"/>
          <w:lang w:val="en-GB"/>
        </w:rPr>
      </w:pPr>
    </w:p>
    <w:p w14:paraId="21CEB5F8" w14:textId="77777777" w:rsidR="007D75BB" w:rsidRDefault="007D75BB">
      <w:pPr>
        <w:rPr>
          <w:rFonts w:ascii="Tahoma" w:hAnsi="Tahoma"/>
          <w:b/>
          <w:bCs/>
          <w:color w:val="7F7F7F" w:themeColor="text1" w:themeTint="80"/>
          <w:sz w:val="16"/>
          <w:lang w:val="en-GB"/>
        </w:rPr>
      </w:pPr>
      <w:r>
        <w:rPr>
          <w:rFonts w:ascii="Tahoma" w:hAnsi="Tahoma"/>
          <w:b/>
          <w:bCs/>
          <w:color w:val="7F7F7F" w:themeColor="text1" w:themeTint="80"/>
          <w:sz w:val="16"/>
          <w:lang w:val="en-GB"/>
        </w:rPr>
        <w:br w:type="page"/>
      </w:r>
    </w:p>
    <w:p w14:paraId="1227AB89" w14:textId="77777777" w:rsidR="00530BA5" w:rsidRPr="00154D93" w:rsidRDefault="00530BA5" w:rsidP="00154D93">
      <w:pPr>
        <w:spacing w:line="240" w:lineRule="atLeast"/>
        <w:ind w:left="426" w:hanging="1"/>
        <w:rPr>
          <w:rFonts w:ascii="Tahoma" w:hAnsi="Tahoma"/>
          <w:b/>
          <w:bCs/>
          <w:color w:val="7F7F7F" w:themeColor="text1" w:themeTint="80"/>
          <w:sz w:val="16"/>
          <w:lang w:val="en-GB"/>
        </w:rPr>
      </w:pPr>
      <w:r w:rsidRPr="001E2952">
        <w:rPr>
          <w:rFonts w:ascii="Tahoma" w:hAnsi="Tahoma"/>
          <w:b/>
          <w:bCs/>
          <w:color w:val="7F7F7F" w:themeColor="text1" w:themeTint="80"/>
          <w:sz w:val="16"/>
          <w:lang w:val="en-GB"/>
        </w:rPr>
        <w:lastRenderedPageBreak/>
        <w:t>Transactions with non-controlling shareholders</w:t>
      </w:r>
    </w:p>
    <w:p w14:paraId="16EC6257" w14:textId="77777777" w:rsidR="00530BA5" w:rsidRPr="001E2952" w:rsidRDefault="00530BA5" w:rsidP="00154D93">
      <w:pPr>
        <w:spacing w:line="240" w:lineRule="atLeast"/>
        <w:ind w:left="426" w:hanging="1"/>
        <w:rPr>
          <w:rFonts w:ascii="Tahoma" w:hAnsi="Tahoma"/>
          <w:color w:val="000000" w:themeColor="text1"/>
          <w:sz w:val="16"/>
          <w:lang w:val="en-GB"/>
        </w:rPr>
      </w:pPr>
      <w:r w:rsidRPr="001E2952">
        <w:rPr>
          <w:rFonts w:ascii="Tahoma" w:hAnsi="Tahoma"/>
          <w:color w:val="000000" w:themeColor="text1"/>
          <w:sz w:val="16"/>
          <w:lang w:val="en-GB"/>
        </w:rPr>
        <w:t xml:space="preserve">In August 2022, the group entered into an agreement through its subsidiary MIH </w:t>
      </w:r>
      <w:proofErr w:type="spellStart"/>
      <w:r w:rsidRPr="001E2952">
        <w:rPr>
          <w:rFonts w:ascii="Tahoma" w:hAnsi="Tahoma"/>
          <w:color w:val="000000" w:themeColor="text1"/>
          <w:sz w:val="16"/>
          <w:lang w:val="en-GB"/>
        </w:rPr>
        <w:t>Movile</w:t>
      </w:r>
      <w:proofErr w:type="spellEnd"/>
      <w:r w:rsidRPr="001E2952">
        <w:rPr>
          <w:rFonts w:ascii="Tahoma" w:hAnsi="Tahoma"/>
          <w:color w:val="000000" w:themeColor="text1"/>
          <w:sz w:val="16"/>
          <w:lang w:val="en-GB"/>
        </w:rPr>
        <w:t xml:space="preserve"> Holdings B.V. (</w:t>
      </w:r>
      <w:proofErr w:type="spellStart"/>
      <w:r w:rsidRPr="001E2952">
        <w:rPr>
          <w:rFonts w:ascii="Tahoma" w:hAnsi="Tahoma"/>
          <w:color w:val="000000" w:themeColor="text1"/>
          <w:sz w:val="16"/>
          <w:lang w:val="en-GB"/>
        </w:rPr>
        <w:t>Movile</w:t>
      </w:r>
      <w:proofErr w:type="spellEnd"/>
      <w:r w:rsidRPr="001E2952">
        <w:rPr>
          <w:rFonts w:ascii="Tahoma" w:hAnsi="Tahoma"/>
          <w:color w:val="000000" w:themeColor="text1"/>
          <w:sz w:val="16"/>
          <w:lang w:val="en-GB"/>
        </w:rPr>
        <w:t xml:space="preserve">) to acquire the remaining 33.3% stake in </w:t>
      </w:r>
      <w:proofErr w:type="spellStart"/>
      <w:r w:rsidRPr="001E2952">
        <w:rPr>
          <w:rFonts w:ascii="Tahoma" w:hAnsi="Tahoma"/>
          <w:color w:val="000000" w:themeColor="text1"/>
          <w:sz w:val="16"/>
          <w:lang w:val="en-GB"/>
        </w:rPr>
        <w:t>iFood</w:t>
      </w:r>
      <w:proofErr w:type="spellEnd"/>
      <w:r w:rsidRPr="001E2952">
        <w:rPr>
          <w:rFonts w:ascii="Tahoma" w:hAnsi="Tahoma"/>
          <w:color w:val="000000" w:themeColor="text1"/>
          <w:sz w:val="16"/>
          <w:lang w:val="en-GB"/>
        </w:rPr>
        <w:t xml:space="preserve"> Holdings B.V. (</w:t>
      </w:r>
      <w:proofErr w:type="spellStart"/>
      <w:r w:rsidRPr="001E2952">
        <w:rPr>
          <w:rFonts w:ascii="Tahoma" w:hAnsi="Tahoma"/>
          <w:color w:val="000000" w:themeColor="text1"/>
          <w:sz w:val="16"/>
          <w:lang w:val="en-GB"/>
        </w:rPr>
        <w:t>iFood</w:t>
      </w:r>
      <w:proofErr w:type="spellEnd"/>
      <w:r w:rsidRPr="001E2952">
        <w:rPr>
          <w:rFonts w:ascii="Tahoma" w:hAnsi="Tahoma"/>
          <w:color w:val="000000" w:themeColor="text1"/>
          <w:sz w:val="16"/>
          <w:lang w:val="en-GB"/>
        </w:rPr>
        <w:t>) and IF-JE Holdings B.V., from non-controlling shareholder Just Eat Holding Limited (Just Eat) for €1.5bn in cash, plus a contingent consideration of up to a maximum of €300m at a future date. The transaction was subject to Just Eat shareholder approval. This agreement represents a contractual obligation to acquire shares from non-controlling interest. The group recognised US$1.55bn in ‘Other current liabilities’ for this transaction consisting of the cash and the fair value of the contingent consideration. The liability was raised from ‘Existing control business combination reserve’ in equity as the risks and rewards of ownership of these shares have not been transferred.</w:t>
      </w:r>
    </w:p>
    <w:p w14:paraId="05856698" w14:textId="77777777" w:rsidR="00530BA5" w:rsidRPr="001E2952" w:rsidRDefault="00530BA5" w:rsidP="009206DC">
      <w:pPr>
        <w:spacing w:line="240" w:lineRule="atLeast"/>
        <w:ind w:left="426" w:hanging="426"/>
        <w:rPr>
          <w:rFonts w:ascii="Tahoma" w:hAnsi="Tahoma"/>
          <w:color w:val="000000" w:themeColor="text1"/>
          <w:sz w:val="16"/>
          <w:lang w:val="en-GB"/>
        </w:rPr>
      </w:pPr>
    </w:p>
    <w:p w14:paraId="69BD9787" w14:textId="77777777" w:rsidR="00530BA5" w:rsidRPr="002F078E" w:rsidRDefault="00530BA5" w:rsidP="00CB29C0">
      <w:pPr>
        <w:spacing w:line="240" w:lineRule="atLeast"/>
        <w:ind w:left="426" w:hanging="1"/>
        <w:rPr>
          <w:rFonts w:ascii="Tahoma" w:hAnsi="Tahoma"/>
          <w:b/>
          <w:bCs/>
          <w:color w:val="000000" w:themeColor="text1"/>
          <w:sz w:val="16"/>
          <w:lang w:val="en-GB"/>
        </w:rPr>
      </w:pPr>
      <w:r w:rsidRPr="002F078E">
        <w:rPr>
          <w:rFonts w:ascii="Tahoma" w:hAnsi="Tahoma"/>
          <w:b/>
          <w:bCs/>
          <w:color w:val="000000" w:themeColor="text1"/>
          <w:sz w:val="16"/>
          <w:lang w:val="en-GB"/>
        </w:rPr>
        <w:t>Impact of the Russian invasion of Ukraine</w:t>
      </w:r>
    </w:p>
    <w:p w14:paraId="296B0CBB" w14:textId="77777777" w:rsidR="00530BA5" w:rsidRPr="001E2952" w:rsidRDefault="00530BA5" w:rsidP="00CB29C0">
      <w:pPr>
        <w:spacing w:line="240" w:lineRule="atLeast"/>
        <w:ind w:left="426" w:hanging="1"/>
        <w:rPr>
          <w:rFonts w:ascii="Tahoma" w:hAnsi="Tahoma"/>
          <w:color w:val="000000" w:themeColor="text1"/>
          <w:sz w:val="16"/>
          <w:lang w:val="en-GB"/>
        </w:rPr>
      </w:pPr>
      <w:r w:rsidRPr="001E2952">
        <w:rPr>
          <w:rFonts w:ascii="Tahoma" w:hAnsi="Tahoma"/>
          <w:color w:val="000000" w:themeColor="text1"/>
          <w:sz w:val="16"/>
          <w:lang w:val="en-GB"/>
        </w:rPr>
        <w:t xml:space="preserve">In May 2022, as a result of the continued conflict in the region, the group announced its decision to exit its Russian business. Accordingly, </w:t>
      </w:r>
      <w:proofErr w:type="spellStart"/>
      <w:r w:rsidRPr="001E2952">
        <w:rPr>
          <w:rFonts w:ascii="Tahoma" w:hAnsi="Tahoma"/>
          <w:color w:val="000000" w:themeColor="text1"/>
          <w:sz w:val="16"/>
          <w:lang w:val="en-GB"/>
        </w:rPr>
        <w:t>Avito</w:t>
      </w:r>
      <w:proofErr w:type="spellEnd"/>
      <w:r w:rsidRPr="001E2952">
        <w:rPr>
          <w:rFonts w:ascii="Tahoma" w:hAnsi="Tahoma"/>
          <w:color w:val="000000" w:themeColor="text1"/>
          <w:sz w:val="16"/>
          <w:lang w:val="en-GB"/>
        </w:rPr>
        <w:t xml:space="preserve"> was presented as a discontinued operation. The group entered into an agreement to sell its shareholding in </w:t>
      </w:r>
      <w:proofErr w:type="spellStart"/>
      <w:r w:rsidRPr="001E2952">
        <w:rPr>
          <w:rFonts w:ascii="Tahoma" w:hAnsi="Tahoma"/>
          <w:color w:val="000000" w:themeColor="text1"/>
          <w:sz w:val="16"/>
          <w:lang w:val="en-GB"/>
        </w:rPr>
        <w:t>Avito</w:t>
      </w:r>
      <w:proofErr w:type="spellEnd"/>
      <w:r w:rsidRPr="001E2952">
        <w:rPr>
          <w:rFonts w:ascii="Tahoma" w:hAnsi="Tahoma"/>
          <w:color w:val="000000" w:themeColor="text1"/>
          <w:sz w:val="16"/>
          <w:lang w:val="en-GB"/>
        </w:rPr>
        <w:t xml:space="preserve"> to Kismet Capital Group (Kismet) for a total cash consideration of US$2.4bn. Kismet is a private investment group with a track record of investing in technology and telecommunications businesses in Russia. The transaction was completed in October 2022.</w:t>
      </w:r>
    </w:p>
    <w:p w14:paraId="0AD430FD" w14:textId="77777777" w:rsidR="001E2952" w:rsidRPr="00615190" w:rsidRDefault="001E2952" w:rsidP="009206DC">
      <w:pPr>
        <w:spacing w:line="240" w:lineRule="atLeast"/>
        <w:ind w:left="426" w:hanging="426"/>
        <w:rPr>
          <w:rFonts w:ascii="Tahoma" w:hAnsi="Tahoma"/>
          <w:color w:val="000000" w:themeColor="text1"/>
          <w:sz w:val="16"/>
        </w:rPr>
      </w:pPr>
    </w:p>
    <w:tbl>
      <w:tblPr>
        <w:tblW w:w="10206" w:type="dxa"/>
        <w:tblInd w:w="-8" w:type="dxa"/>
        <w:tblLayout w:type="fixed"/>
        <w:tblCellMar>
          <w:left w:w="0" w:type="dxa"/>
          <w:right w:w="0" w:type="dxa"/>
        </w:tblCellMar>
        <w:tblLook w:val="0000" w:firstRow="0" w:lastRow="0" w:firstColumn="0" w:lastColumn="0" w:noHBand="0" w:noVBand="0"/>
      </w:tblPr>
      <w:tblGrid>
        <w:gridCol w:w="397"/>
        <w:gridCol w:w="6407"/>
        <w:gridCol w:w="1134"/>
        <w:gridCol w:w="1134"/>
        <w:gridCol w:w="1134"/>
      </w:tblGrid>
      <w:tr w:rsidR="00615190" w:rsidRPr="00A57C80" w14:paraId="0C49F946" w14:textId="77777777" w:rsidTr="00CF620E">
        <w:trPr>
          <w:trHeight w:val="60"/>
        </w:trPr>
        <w:tc>
          <w:tcPr>
            <w:tcW w:w="397" w:type="dxa"/>
            <w:shd w:val="clear" w:color="auto" w:fill="auto"/>
            <w:tcMar>
              <w:top w:w="142" w:type="dxa"/>
              <w:left w:w="0" w:type="dxa"/>
              <w:bottom w:w="57" w:type="dxa"/>
              <w:right w:w="0" w:type="dxa"/>
            </w:tcMar>
            <w:vAlign w:val="bottom"/>
          </w:tcPr>
          <w:p w14:paraId="0967FF3A" w14:textId="77777777" w:rsidR="00A57C80" w:rsidRPr="00A57C80" w:rsidRDefault="00487CE4" w:rsidP="00615190">
            <w:pPr>
              <w:spacing w:line="240" w:lineRule="atLeast"/>
              <w:rPr>
                <w:rFonts w:ascii="Tahoma" w:hAnsi="Tahoma"/>
                <w:b/>
                <w:bCs/>
                <w:color w:val="000000" w:themeColor="text1"/>
                <w:sz w:val="16"/>
                <w:lang w:val="en-GB"/>
              </w:rPr>
            </w:pPr>
            <w:r w:rsidRPr="00A57C80">
              <w:rPr>
                <w:rFonts w:ascii="Tahoma" w:hAnsi="Tahoma"/>
                <w:b/>
                <w:bCs/>
                <w:color w:val="000000" w:themeColor="text1"/>
                <w:sz w:val="16"/>
                <w:lang w:val="en-GB"/>
              </w:rPr>
              <w:t>4.</w:t>
            </w:r>
          </w:p>
        </w:tc>
        <w:tc>
          <w:tcPr>
            <w:tcW w:w="9809" w:type="dxa"/>
            <w:gridSpan w:val="4"/>
            <w:shd w:val="clear" w:color="auto" w:fill="auto"/>
            <w:tcMar>
              <w:top w:w="142" w:type="dxa"/>
              <w:left w:w="0" w:type="dxa"/>
              <w:bottom w:w="57" w:type="dxa"/>
              <w:right w:w="0" w:type="dxa"/>
            </w:tcMar>
            <w:vAlign w:val="bottom"/>
          </w:tcPr>
          <w:p w14:paraId="75B71914" w14:textId="77777777" w:rsidR="00A57C80" w:rsidRPr="00A57C80" w:rsidRDefault="00487CE4" w:rsidP="00615190">
            <w:pPr>
              <w:spacing w:line="240" w:lineRule="atLeast"/>
              <w:rPr>
                <w:rFonts w:ascii="Tahoma" w:hAnsi="Tahoma"/>
                <w:b/>
                <w:bCs/>
                <w:color w:val="000000" w:themeColor="text1"/>
                <w:sz w:val="16"/>
                <w:lang w:val="en-GB"/>
              </w:rPr>
            </w:pPr>
            <w:r w:rsidRPr="00A57C80">
              <w:rPr>
                <w:rFonts w:ascii="Tahoma" w:hAnsi="Tahoma"/>
                <w:b/>
                <w:bCs/>
                <w:color w:val="000000" w:themeColor="text1"/>
                <w:sz w:val="16"/>
                <w:lang w:val="en-GB"/>
              </w:rPr>
              <w:t>SEGMENTAL REVIEW</w:t>
            </w:r>
          </w:p>
        </w:tc>
      </w:tr>
      <w:tr w:rsidR="00615190" w:rsidRPr="00A57C80" w14:paraId="454FA857" w14:textId="77777777" w:rsidTr="00CF620E">
        <w:trPr>
          <w:trHeight w:val="60"/>
        </w:trPr>
        <w:tc>
          <w:tcPr>
            <w:tcW w:w="397" w:type="dxa"/>
            <w:shd w:val="clear" w:color="auto" w:fill="auto"/>
            <w:tcMar>
              <w:top w:w="57" w:type="dxa"/>
              <w:left w:w="0" w:type="dxa"/>
              <w:bottom w:w="113" w:type="dxa"/>
              <w:right w:w="0" w:type="dxa"/>
            </w:tcMar>
            <w:vAlign w:val="bottom"/>
          </w:tcPr>
          <w:p w14:paraId="0CECA037" w14:textId="77777777" w:rsidR="00A57C80" w:rsidRPr="00A57C80" w:rsidRDefault="00A57C80" w:rsidP="00615190">
            <w:pPr>
              <w:spacing w:line="240" w:lineRule="atLeast"/>
              <w:rPr>
                <w:rFonts w:ascii="Tahoma" w:hAnsi="Tahoma"/>
                <w:color w:val="000000" w:themeColor="text1"/>
                <w:sz w:val="16"/>
                <w:lang w:val="en-GB"/>
              </w:rPr>
            </w:pPr>
          </w:p>
        </w:tc>
        <w:tc>
          <w:tcPr>
            <w:tcW w:w="9809" w:type="dxa"/>
            <w:gridSpan w:val="4"/>
            <w:shd w:val="clear" w:color="auto" w:fill="auto"/>
            <w:tcMar>
              <w:top w:w="57" w:type="dxa"/>
              <w:left w:w="0" w:type="dxa"/>
              <w:bottom w:w="113" w:type="dxa"/>
              <w:right w:w="0" w:type="dxa"/>
            </w:tcMar>
            <w:vAlign w:val="bottom"/>
          </w:tcPr>
          <w:p w14:paraId="6CCB10C8" w14:textId="77777777" w:rsidR="00A57C80" w:rsidRPr="00A57C80" w:rsidRDefault="00A57C80" w:rsidP="00615190">
            <w:pPr>
              <w:spacing w:line="240" w:lineRule="atLeast"/>
              <w:rPr>
                <w:rFonts w:ascii="Tahoma" w:hAnsi="Tahoma" w:cs="Times New Roman (Body CS)"/>
                <w:b/>
                <w:bCs/>
                <w:color w:val="000000" w:themeColor="text1"/>
                <w:spacing w:val="-4"/>
                <w:sz w:val="16"/>
                <w:lang w:val="en-GB"/>
              </w:rPr>
            </w:pPr>
            <w:r w:rsidRPr="00A57C80">
              <w:rPr>
                <w:rFonts w:ascii="Tahoma" w:hAnsi="Tahoma" w:cs="Times New Roman (Body CS)"/>
                <w:b/>
                <w:bCs/>
                <w:color w:val="000000" w:themeColor="text1"/>
                <w:spacing w:val="-4"/>
                <w:sz w:val="16"/>
                <w:lang w:val="en-GB"/>
              </w:rPr>
              <w:t>Reconciliation of consolidated adjusted EBITDA and trading loss to consolidated operating loss from continuing operations</w:t>
            </w:r>
          </w:p>
        </w:tc>
      </w:tr>
      <w:tr w:rsidR="00615190" w:rsidRPr="00A57C80" w14:paraId="4CBFCF73" w14:textId="77777777" w:rsidTr="00A10425">
        <w:trPr>
          <w:trHeight w:val="422"/>
        </w:trPr>
        <w:tc>
          <w:tcPr>
            <w:tcW w:w="397" w:type="dxa"/>
            <w:shd w:val="clear" w:color="auto" w:fill="auto"/>
            <w:tcMar>
              <w:top w:w="85" w:type="dxa"/>
              <w:left w:w="0" w:type="dxa"/>
              <w:bottom w:w="85" w:type="dxa"/>
              <w:right w:w="0" w:type="dxa"/>
            </w:tcMar>
            <w:vAlign w:val="bottom"/>
          </w:tcPr>
          <w:p w14:paraId="1BF9E9CC" w14:textId="77777777" w:rsidR="00A57C80" w:rsidRPr="00A57C80" w:rsidRDefault="00A57C80" w:rsidP="00615190">
            <w:pPr>
              <w:spacing w:line="240" w:lineRule="atLeast"/>
              <w:rPr>
                <w:rFonts w:ascii="Tahoma" w:hAnsi="Tahoma"/>
                <w:color w:val="000000" w:themeColor="text1"/>
                <w:sz w:val="16"/>
                <w:lang w:val="en-GB"/>
              </w:rPr>
            </w:pPr>
          </w:p>
        </w:tc>
        <w:tc>
          <w:tcPr>
            <w:tcW w:w="6407" w:type="dxa"/>
            <w:shd w:val="clear" w:color="auto" w:fill="auto"/>
            <w:tcMar>
              <w:top w:w="85" w:type="dxa"/>
              <w:left w:w="0" w:type="dxa"/>
              <w:bottom w:w="85" w:type="dxa"/>
              <w:right w:w="0" w:type="dxa"/>
            </w:tcMar>
            <w:vAlign w:val="bottom"/>
          </w:tcPr>
          <w:p w14:paraId="5D8B08EE" w14:textId="77777777" w:rsidR="00A57C80" w:rsidRPr="00A57C80" w:rsidRDefault="00A57C80" w:rsidP="00615190">
            <w:pPr>
              <w:spacing w:line="240" w:lineRule="atLeast"/>
              <w:rPr>
                <w:rFonts w:ascii="Tahoma" w:hAnsi="Tahoma"/>
                <w:color w:val="000000" w:themeColor="text1"/>
                <w:sz w:val="16"/>
                <w:lang w:val="en-GB"/>
              </w:rPr>
            </w:pPr>
          </w:p>
        </w:tc>
        <w:tc>
          <w:tcPr>
            <w:tcW w:w="2268" w:type="dxa"/>
            <w:gridSpan w:val="2"/>
            <w:shd w:val="clear" w:color="auto" w:fill="auto"/>
            <w:tcMar>
              <w:top w:w="85" w:type="dxa"/>
              <w:left w:w="0" w:type="dxa"/>
              <w:bottom w:w="85" w:type="dxa"/>
              <w:right w:w="0" w:type="dxa"/>
            </w:tcMar>
            <w:vAlign w:val="bottom"/>
          </w:tcPr>
          <w:p w14:paraId="39E279CA" w14:textId="77777777" w:rsidR="00A57C80" w:rsidRPr="00A57C80" w:rsidRDefault="00A57C80" w:rsidP="00293BB6">
            <w:pPr>
              <w:spacing w:line="240" w:lineRule="atLeast"/>
              <w:ind w:left="571"/>
              <w:jc w:val="center"/>
              <w:rPr>
                <w:rFonts w:ascii="Tahoma" w:hAnsi="Tahoma"/>
                <w:b/>
                <w:bCs/>
                <w:color w:val="000000" w:themeColor="text1"/>
                <w:sz w:val="16"/>
                <w:lang w:val="en-GB"/>
              </w:rPr>
            </w:pPr>
            <w:r w:rsidRPr="00A57C80">
              <w:rPr>
                <w:rFonts w:ascii="Tahoma" w:hAnsi="Tahoma"/>
                <w:b/>
                <w:bCs/>
                <w:color w:val="000000" w:themeColor="text1"/>
                <w:sz w:val="16"/>
                <w:lang w:val="en-GB"/>
              </w:rPr>
              <w:t>Six months ended</w:t>
            </w:r>
          </w:p>
          <w:p w14:paraId="4067005E" w14:textId="77777777" w:rsidR="00A57C80" w:rsidRPr="00A57C80" w:rsidRDefault="00A57C80" w:rsidP="00293BB6">
            <w:pPr>
              <w:spacing w:line="240" w:lineRule="atLeast"/>
              <w:ind w:left="571"/>
              <w:jc w:val="center"/>
              <w:rPr>
                <w:rFonts w:ascii="Tahoma" w:hAnsi="Tahoma"/>
                <w:b/>
                <w:bCs/>
                <w:color w:val="000000" w:themeColor="text1"/>
                <w:sz w:val="16"/>
                <w:lang w:val="en-GB"/>
              </w:rPr>
            </w:pPr>
            <w:r w:rsidRPr="00A57C80">
              <w:rPr>
                <w:rFonts w:ascii="Tahoma" w:hAnsi="Tahoma"/>
                <w:b/>
                <w:bCs/>
                <w:color w:val="000000" w:themeColor="text1"/>
                <w:sz w:val="16"/>
                <w:lang w:val="en-GB"/>
              </w:rPr>
              <w:t>30 September</w:t>
            </w:r>
          </w:p>
        </w:tc>
        <w:tc>
          <w:tcPr>
            <w:tcW w:w="1134" w:type="dxa"/>
            <w:shd w:val="clear" w:color="auto" w:fill="auto"/>
            <w:tcMar>
              <w:top w:w="85" w:type="dxa"/>
              <w:left w:w="0" w:type="dxa"/>
              <w:bottom w:w="85" w:type="dxa"/>
              <w:right w:w="0" w:type="dxa"/>
            </w:tcMar>
            <w:vAlign w:val="bottom"/>
          </w:tcPr>
          <w:p w14:paraId="4A85E2A6" w14:textId="77777777" w:rsidR="00A57C80" w:rsidRPr="00A57C80" w:rsidRDefault="00A57C80" w:rsidP="00304B3E">
            <w:pPr>
              <w:spacing w:line="240" w:lineRule="atLeast"/>
              <w:jc w:val="right"/>
              <w:rPr>
                <w:rFonts w:ascii="Tahoma" w:hAnsi="Tahoma"/>
                <w:color w:val="000000" w:themeColor="text1"/>
                <w:sz w:val="16"/>
                <w:lang w:val="en-GB"/>
              </w:rPr>
            </w:pPr>
            <w:r w:rsidRPr="00A57C80">
              <w:rPr>
                <w:rFonts w:ascii="Tahoma" w:hAnsi="Tahoma"/>
                <w:color w:val="000000" w:themeColor="text1"/>
                <w:sz w:val="16"/>
                <w:lang w:val="en-GB"/>
              </w:rPr>
              <w:t>Year</w:t>
            </w:r>
          </w:p>
          <w:p w14:paraId="0D54E59B" w14:textId="77777777" w:rsidR="00A57C80" w:rsidRPr="00A57C80" w:rsidRDefault="00A57C80" w:rsidP="00304B3E">
            <w:pPr>
              <w:spacing w:line="240" w:lineRule="atLeast"/>
              <w:jc w:val="right"/>
              <w:rPr>
                <w:rFonts w:ascii="Tahoma" w:hAnsi="Tahoma"/>
                <w:color w:val="000000" w:themeColor="text1"/>
                <w:sz w:val="16"/>
                <w:lang w:val="en-GB"/>
              </w:rPr>
            </w:pPr>
            <w:r w:rsidRPr="00A57C80">
              <w:rPr>
                <w:rFonts w:ascii="Tahoma" w:hAnsi="Tahoma"/>
                <w:color w:val="000000" w:themeColor="text1"/>
                <w:sz w:val="16"/>
                <w:lang w:val="en-GB"/>
              </w:rPr>
              <w:t>ended</w:t>
            </w:r>
          </w:p>
          <w:p w14:paraId="0CF922FC" w14:textId="77777777" w:rsidR="00A57C80" w:rsidRPr="00A57C80" w:rsidRDefault="00A57C80" w:rsidP="00304B3E">
            <w:pPr>
              <w:spacing w:line="240" w:lineRule="atLeast"/>
              <w:jc w:val="right"/>
              <w:rPr>
                <w:rFonts w:ascii="Tahoma" w:hAnsi="Tahoma"/>
                <w:color w:val="000000" w:themeColor="text1"/>
                <w:sz w:val="16"/>
                <w:lang w:val="en-GB"/>
              </w:rPr>
            </w:pPr>
            <w:r w:rsidRPr="00A57C80">
              <w:rPr>
                <w:rFonts w:ascii="Tahoma" w:hAnsi="Tahoma"/>
                <w:color w:val="000000" w:themeColor="text1"/>
                <w:sz w:val="16"/>
                <w:lang w:val="en-GB"/>
              </w:rPr>
              <w:t>31 March</w:t>
            </w:r>
          </w:p>
        </w:tc>
      </w:tr>
      <w:tr w:rsidR="00615190" w:rsidRPr="00A57C80" w14:paraId="1A6BB125" w14:textId="77777777" w:rsidTr="00A10425">
        <w:trPr>
          <w:trHeight w:val="60"/>
        </w:trPr>
        <w:tc>
          <w:tcPr>
            <w:tcW w:w="397" w:type="dxa"/>
            <w:shd w:val="clear" w:color="auto" w:fill="auto"/>
            <w:tcMar>
              <w:top w:w="113" w:type="dxa"/>
              <w:left w:w="0" w:type="dxa"/>
              <w:bottom w:w="113" w:type="dxa"/>
              <w:right w:w="0" w:type="dxa"/>
            </w:tcMar>
            <w:vAlign w:val="bottom"/>
          </w:tcPr>
          <w:p w14:paraId="75864790" w14:textId="77777777" w:rsidR="00A57C80" w:rsidRPr="00A57C80" w:rsidRDefault="00A57C80" w:rsidP="00615190">
            <w:pPr>
              <w:spacing w:line="240" w:lineRule="atLeast"/>
              <w:rPr>
                <w:rFonts w:ascii="Tahoma" w:hAnsi="Tahoma"/>
                <w:color w:val="000000" w:themeColor="text1"/>
                <w:sz w:val="16"/>
                <w:lang w:val="en-GB"/>
              </w:rPr>
            </w:pPr>
          </w:p>
        </w:tc>
        <w:tc>
          <w:tcPr>
            <w:tcW w:w="6407" w:type="dxa"/>
            <w:tcBorders>
              <w:bottom w:val="single" w:sz="12" w:space="0" w:color="auto"/>
            </w:tcBorders>
            <w:shd w:val="clear" w:color="auto" w:fill="auto"/>
            <w:tcMar>
              <w:top w:w="113" w:type="dxa"/>
              <w:left w:w="0" w:type="dxa"/>
              <w:bottom w:w="113" w:type="dxa"/>
              <w:right w:w="0" w:type="dxa"/>
            </w:tcMar>
            <w:vAlign w:val="bottom"/>
          </w:tcPr>
          <w:p w14:paraId="3B7468E2" w14:textId="77777777" w:rsidR="00A57C80" w:rsidRPr="00A57C80" w:rsidRDefault="00A57C80" w:rsidP="00615190">
            <w:pPr>
              <w:spacing w:line="240" w:lineRule="atLeast"/>
              <w:rPr>
                <w:rFonts w:ascii="Tahoma" w:hAnsi="Tahoma"/>
                <w:color w:val="000000" w:themeColor="text1"/>
                <w:sz w:val="16"/>
                <w:lang w:val="en-GB"/>
              </w:rPr>
            </w:pPr>
          </w:p>
        </w:tc>
        <w:tc>
          <w:tcPr>
            <w:tcW w:w="1134" w:type="dxa"/>
            <w:tcBorders>
              <w:bottom w:val="single" w:sz="12" w:space="0" w:color="auto"/>
            </w:tcBorders>
            <w:shd w:val="clear" w:color="auto" w:fill="auto"/>
            <w:tcMar>
              <w:top w:w="113" w:type="dxa"/>
              <w:left w:w="0" w:type="dxa"/>
              <w:bottom w:w="113" w:type="dxa"/>
              <w:right w:w="0" w:type="dxa"/>
            </w:tcMar>
            <w:vAlign w:val="bottom"/>
          </w:tcPr>
          <w:p w14:paraId="7BE86C75" w14:textId="77777777" w:rsidR="00A57C80" w:rsidRPr="00A57C80" w:rsidRDefault="00A57C80" w:rsidP="00304B3E">
            <w:pPr>
              <w:spacing w:line="240" w:lineRule="atLeast"/>
              <w:jc w:val="right"/>
              <w:rPr>
                <w:rFonts w:ascii="Tahoma" w:hAnsi="Tahoma"/>
                <w:b/>
                <w:bCs/>
                <w:color w:val="000000" w:themeColor="text1"/>
                <w:sz w:val="16"/>
                <w:lang w:val="en-GB"/>
              </w:rPr>
            </w:pPr>
            <w:r w:rsidRPr="00A57C80">
              <w:rPr>
                <w:rFonts w:ascii="Tahoma" w:hAnsi="Tahoma"/>
                <w:b/>
                <w:bCs/>
                <w:color w:val="000000" w:themeColor="text1"/>
                <w:sz w:val="16"/>
                <w:lang w:val="en-GB"/>
              </w:rPr>
              <w:t>2022</w:t>
            </w:r>
          </w:p>
          <w:p w14:paraId="1E95B3DA" w14:textId="77777777" w:rsidR="00A57C80" w:rsidRPr="00A57C80" w:rsidRDefault="00A57C80" w:rsidP="00304B3E">
            <w:pPr>
              <w:spacing w:line="240" w:lineRule="atLeast"/>
              <w:jc w:val="right"/>
              <w:rPr>
                <w:rFonts w:ascii="Tahoma" w:hAnsi="Tahoma"/>
                <w:b/>
                <w:bCs/>
                <w:color w:val="000000" w:themeColor="text1"/>
                <w:sz w:val="16"/>
                <w:lang w:val="en-GB"/>
              </w:rPr>
            </w:pPr>
            <w:proofErr w:type="spellStart"/>
            <w:r w:rsidRPr="00A57C80">
              <w:rPr>
                <w:rFonts w:ascii="Tahoma" w:hAnsi="Tahoma"/>
                <w:b/>
                <w:bCs/>
                <w:color w:val="000000" w:themeColor="text1"/>
                <w:sz w:val="16"/>
                <w:lang w:val="en-GB"/>
              </w:rPr>
              <w:t>US$’m</w:t>
            </w:r>
            <w:proofErr w:type="spellEnd"/>
          </w:p>
        </w:tc>
        <w:tc>
          <w:tcPr>
            <w:tcW w:w="1134" w:type="dxa"/>
            <w:tcBorders>
              <w:bottom w:val="single" w:sz="12" w:space="0" w:color="auto"/>
            </w:tcBorders>
            <w:shd w:val="clear" w:color="auto" w:fill="auto"/>
            <w:tcMar>
              <w:top w:w="113" w:type="dxa"/>
              <w:left w:w="0" w:type="dxa"/>
              <w:bottom w:w="113" w:type="dxa"/>
              <w:right w:w="0" w:type="dxa"/>
            </w:tcMar>
            <w:vAlign w:val="bottom"/>
          </w:tcPr>
          <w:p w14:paraId="702162AC" w14:textId="77777777" w:rsidR="00A57C80" w:rsidRPr="00A57C80" w:rsidRDefault="00A57C80" w:rsidP="00304B3E">
            <w:pPr>
              <w:spacing w:line="240" w:lineRule="atLeast"/>
              <w:jc w:val="right"/>
              <w:rPr>
                <w:rFonts w:ascii="Tahoma" w:hAnsi="Tahoma"/>
                <w:color w:val="000000" w:themeColor="text1"/>
                <w:sz w:val="16"/>
                <w:lang w:val="en-GB"/>
              </w:rPr>
            </w:pPr>
            <w:r w:rsidRPr="00A57C80">
              <w:rPr>
                <w:rFonts w:ascii="Tahoma" w:hAnsi="Tahoma"/>
                <w:color w:val="000000" w:themeColor="text1"/>
                <w:sz w:val="16"/>
                <w:lang w:val="en-GB"/>
              </w:rPr>
              <w:t>2021</w:t>
            </w:r>
          </w:p>
          <w:p w14:paraId="4BD34E54" w14:textId="77777777" w:rsidR="00A57C80" w:rsidRPr="00A57C80" w:rsidRDefault="00A57C80" w:rsidP="00304B3E">
            <w:pPr>
              <w:spacing w:line="240" w:lineRule="atLeast"/>
              <w:jc w:val="right"/>
              <w:rPr>
                <w:rFonts w:ascii="Tahoma" w:hAnsi="Tahoma"/>
                <w:color w:val="000000" w:themeColor="text1"/>
                <w:sz w:val="16"/>
                <w:lang w:val="en-GB"/>
              </w:rPr>
            </w:pPr>
            <w:proofErr w:type="spellStart"/>
            <w:r w:rsidRPr="00A57C80">
              <w:rPr>
                <w:rFonts w:ascii="Tahoma" w:hAnsi="Tahoma"/>
                <w:color w:val="000000" w:themeColor="text1"/>
                <w:sz w:val="16"/>
                <w:lang w:val="en-GB"/>
              </w:rPr>
              <w:t>US$’m</w:t>
            </w:r>
            <w:proofErr w:type="spellEnd"/>
          </w:p>
        </w:tc>
        <w:tc>
          <w:tcPr>
            <w:tcW w:w="1134" w:type="dxa"/>
            <w:tcBorders>
              <w:bottom w:val="single" w:sz="12" w:space="0" w:color="auto"/>
            </w:tcBorders>
            <w:shd w:val="clear" w:color="auto" w:fill="auto"/>
            <w:tcMar>
              <w:top w:w="113" w:type="dxa"/>
              <w:left w:w="0" w:type="dxa"/>
              <w:bottom w:w="113" w:type="dxa"/>
              <w:right w:w="0" w:type="dxa"/>
            </w:tcMar>
            <w:vAlign w:val="bottom"/>
          </w:tcPr>
          <w:p w14:paraId="0470D173" w14:textId="77777777" w:rsidR="00A57C80" w:rsidRPr="00A57C80" w:rsidRDefault="00A57C80" w:rsidP="00304B3E">
            <w:pPr>
              <w:spacing w:line="240" w:lineRule="atLeast"/>
              <w:jc w:val="right"/>
              <w:rPr>
                <w:rFonts w:ascii="Tahoma" w:hAnsi="Tahoma"/>
                <w:color w:val="000000" w:themeColor="text1"/>
                <w:sz w:val="16"/>
                <w:lang w:val="en-GB"/>
              </w:rPr>
            </w:pPr>
            <w:r w:rsidRPr="00A57C80">
              <w:rPr>
                <w:rFonts w:ascii="Tahoma" w:hAnsi="Tahoma"/>
                <w:color w:val="000000" w:themeColor="text1"/>
                <w:sz w:val="16"/>
                <w:lang w:val="en-GB"/>
              </w:rPr>
              <w:t>2022</w:t>
            </w:r>
          </w:p>
          <w:p w14:paraId="771FCF96" w14:textId="77777777" w:rsidR="00A57C80" w:rsidRPr="00A57C80" w:rsidRDefault="00A57C80" w:rsidP="00304B3E">
            <w:pPr>
              <w:spacing w:line="240" w:lineRule="atLeast"/>
              <w:jc w:val="right"/>
              <w:rPr>
                <w:rFonts w:ascii="Tahoma" w:hAnsi="Tahoma"/>
                <w:color w:val="000000" w:themeColor="text1"/>
                <w:sz w:val="16"/>
                <w:lang w:val="en-GB"/>
              </w:rPr>
            </w:pPr>
            <w:proofErr w:type="spellStart"/>
            <w:r w:rsidRPr="00A57C80">
              <w:rPr>
                <w:rFonts w:ascii="Tahoma" w:hAnsi="Tahoma"/>
                <w:color w:val="000000" w:themeColor="text1"/>
                <w:sz w:val="16"/>
                <w:lang w:val="en-GB"/>
              </w:rPr>
              <w:t>US$’m</w:t>
            </w:r>
            <w:proofErr w:type="spellEnd"/>
          </w:p>
        </w:tc>
      </w:tr>
      <w:tr w:rsidR="00615190" w:rsidRPr="00A57C80" w14:paraId="2758E99C" w14:textId="77777777" w:rsidTr="00A10425">
        <w:trPr>
          <w:trHeight w:val="60"/>
        </w:trPr>
        <w:tc>
          <w:tcPr>
            <w:tcW w:w="397" w:type="dxa"/>
            <w:shd w:val="clear" w:color="auto" w:fill="auto"/>
            <w:tcMar>
              <w:top w:w="142" w:type="dxa"/>
              <w:left w:w="0" w:type="dxa"/>
              <w:bottom w:w="57" w:type="dxa"/>
              <w:right w:w="0" w:type="dxa"/>
            </w:tcMar>
            <w:vAlign w:val="bottom"/>
          </w:tcPr>
          <w:p w14:paraId="30779177" w14:textId="77777777" w:rsidR="00A57C80" w:rsidRPr="00A57C80" w:rsidRDefault="00A57C80" w:rsidP="00615190">
            <w:pPr>
              <w:spacing w:line="240" w:lineRule="atLeast"/>
              <w:rPr>
                <w:rFonts w:ascii="Tahoma" w:hAnsi="Tahoma"/>
                <w:color w:val="000000" w:themeColor="text1"/>
                <w:sz w:val="16"/>
                <w:lang w:val="en-GB"/>
              </w:rPr>
            </w:pPr>
          </w:p>
        </w:tc>
        <w:tc>
          <w:tcPr>
            <w:tcW w:w="6407" w:type="dxa"/>
            <w:tcBorders>
              <w:top w:val="single" w:sz="12" w:space="0" w:color="auto"/>
            </w:tcBorders>
            <w:shd w:val="clear" w:color="auto" w:fill="auto"/>
            <w:tcMar>
              <w:top w:w="142" w:type="dxa"/>
              <w:left w:w="0" w:type="dxa"/>
              <w:bottom w:w="57" w:type="dxa"/>
              <w:right w:w="113" w:type="dxa"/>
            </w:tcMar>
            <w:vAlign w:val="bottom"/>
          </w:tcPr>
          <w:p w14:paraId="76143E78" w14:textId="77777777" w:rsidR="00A57C80" w:rsidRPr="00A57C80" w:rsidRDefault="00A57C80" w:rsidP="00615190">
            <w:pPr>
              <w:spacing w:line="240" w:lineRule="atLeast"/>
              <w:rPr>
                <w:rFonts w:ascii="Tahoma" w:hAnsi="Tahoma"/>
                <w:b/>
                <w:bCs/>
                <w:color w:val="000000" w:themeColor="text1"/>
                <w:sz w:val="16"/>
                <w:lang w:val="en-GB"/>
              </w:rPr>
            </w:pPr>
            <w:r w:rsidRPr="00A57C80">
              <w:rPr>
                <w:rFonts w:ascii="Tahoma" w:hAnsi="Tahoma"/>
                <w:b/>
                <w:bCs/>
                <w:color w:val="000000" w:themeColor="text1"/>
                <w:sz w:val="16"/>
                <w:lang w:val="en-GB"/>
              </w:rPr>
              <w:t>Consolidated adjusted EBITDA from continuing operations</w:t>
            </w:r>
            <w:r w:rsidRPr="00A57C80">
              <w:rPr>
                <w:rFonts w:ascii="Tahoma" w:hAnsi="Tahoma"/>
                <w:b/>
                <w:bCs/>
                <w:color w:val="000000" w:themeColor="text1"/>
                <w:sz w:val="16"/>
                <w:vertAlign w:val="superscript"/>
                <w:lang w:val="en-GB"/>
              </w:rPr>
              <w:t>1</w:t>
            </w:r>
          </w:p>
        </w:tc>
        <w:tc>
          <w:tcPr>
            <w:tcW w:w="1134" w:type="dxa"/>
            <w:tcBorders>
              <w:top w:val="single" w:sz="12" w:space="0" w:color="auto"/>
            </w:tcBorders>
            <w:shd w:val="clear" w:color="auto" w:fill="auto"/>
            <w:tcMar>
              <w:top w:w="142" w:type="dxa"/>
              <w:left w:w="0" w:type="dxa"/>
              <w:bottom w:w="57" w:type="dxa"/>
              <w:right w:w="0" w:type="dxa"/>
            </w:tcMar>
            <w:vAlign w:val="bottom"/>
          </w:tcPr>
          <w:p w14:paraId="01AD834C" w14:textId="77777777" w:rsidR="00A57C80" w:rsidRPr="00A57C80" w:rsidRDefault="00A57C80" w:rsidP="00304B3E">
            <w:pPr>
              <w:spacing w:line="240" w:lineRule="atLeast"/>
              <w:jc w:val="right"/>
              <w:rPr>
                <w:rFonts w:ascii="Tahoma" w:hAnsi="Tahoma"/>
                <w:b/>
                <w:bCs/>
                <w:color w:val="000000" w:themeColor="text1"/>
                <w:sz w:val="16"/>
                <w:lang w:val="en-GB"/>
              </w:rPr>
            </w:pPr>
            <w:r w:rsidRPr="00A57C80">
              <w:rPr>
                <w:rFonts w:ascii="Tahoma" w:hAnsi="Tahoma"/>
                <w:b/>
                <w:bCs/>
                <w:color w:val="000000" w:themeColor="text1"/>
                <w:sz w:val="16"/>
                <w:lang w:val="en-GB"/>
              </w:rPr>
              <w:t>(469)</w:t>
            </w:r>
          </w:p>
        </w:tc>
        <w:tc>
          <w:tcPr>
            <w:tcW w:w="1134" w:type="dxa"/>
            <w:tcBorders>
              <w:top w:val="single" w:sz="12" w:space="0" w:color="auto"/>
            </w:tcBorders>
            <w:shd w:val="clear" w:color="auto" w:fill="auto"/>
            <w:tcMar>
              <w:top w:w="142" w:type="dxa"/>
              <w:left w:w="0" w:type="dxa"/>
              <w:bottom w:w="57" w:type="dxa"/>
              <w:right w:w="0" w:type="dxa"/>
            </w:tcMar>
            <w:vAlign w:val="bottom"/>
          </w:tcPr>
          <w:p w14:paraId="7892BE44" w14:textId="77777777" w:rsidR="00A57C80" w:rsidRPr="00A57C80" w:rsidRDefault="00A57C80" w:rsidP="00304B3E">
            <w:pPr>
              <w:spacing w:line="240" w:lineRule="atLeast"/>
              <w:jc w:val="right"/>
              <w:rPr>
                <w:rFonts w:ascii="Tahoma" w:hAnsi="Tahoma"/>
                <w:color w:val="000000" w:themeColor="text1"/>
                <w:sz w:val="16"/>
                <w:lang w:val="en-GB"/>
              </w:rPr>
            </w:pPr>
            <w:r w:rsidRPr="00A57C80">
              <w:rPr>
                <w:rFonts w:ascii="Tahoma" w:hAnsi="Tahoma"/>
                <w:color w:val="000000" w:themeColor="text1"/>
                <w:sz w:val="16"/>
                <w:lang w:val="en-GB"/>
              </w:rPr>
              <w:t>(269)</w:t>
            </w:r>
          </w:p>
        </w:tc>
        <w:tc>
          <w:tcPr>
            <w:tcW w:w="1134" w:type="dxa"/>
            <w:tcBorders>
              <w:top w:val="single" w:sz="12" w:space="0" w:color="auto"/>
            </w:tcBorders>
            <w:shd w:val="clear" w:color="auto" w:fill="auto"/>
            <w:tcMar>
              <w:top w:w="142" w:type="dxa"/>
              <w:left w:w="0" w:type="dxa"/>
              <w:bottom w:w="57" w:type="dxa"/>
              <w:right w:w="0" w:type="dxa"/>
            </w:tcMar>
            <w:vAlign w:val="bottom"/>
          </w:tcPr>
          <w:p w14:paraId="309A37BC" w14:textId="77777777" w:rsidR="00A57C80" w:rsidRPr="00A57C80" w:rsidRDefault="00A57C80" w:rsidP="00304B3E">
            <w:pPr>
              <w:spacing w:line="240" w:lineRule="atLeast"/>
              <w:jc w:val="right"/>
              <w:rPr>
                <w:rFonts w:ascii="Tahoma" w:hAnsi="Tahoma"/>
                <w:color w:val="000000" w:themeColor="text1"/>
                <w:sz w:val="16"/>
                <w:lang w:val="en-GB"/>
              </w:rPr>
            </w:pPr>
            <w:r w:rsidRPr="00A57C80">
              <w:rPr>
                <w:rFonts w:ascii="Tahoma" w:hAnsi="Tahoma"/>
                <w:color w:val="000000" w:themeColor="text1"/>
                <w:sz w:val="16"/>
                <w:lang w:val="en-GB"/>
              </w:rPr>
              <w:t>(657)</w:t>
            </w:r>
          </w:p>
        </w:tc>
      </w:tr>
      <w:tr w:rsidR="00615190" w:rsidRPr="00A57C80" w14:paraId="582BE42A" w14:textId="77777777" w:rsidTr="00CF620E">
        <w:trPr>
          <w:trHeight w:val="60"/>
        </w:trPr>
        <w:tc>
          <w:tcPr>
            <w:tcW w:w="397" w:type="dxa"/>
            <w:shd w:val="clear" w:color="auto" w:fill="auto"/>
            <w:tcMar>
              <w:top w:w="57" w:type="dxa"/>
              <w:left w:w="0" w:type="dxa"/>
              <w:bottom w:w="57" w:type="dxa"/>
              <w:right w:w="0" w:type="dxa"/>
            </w:tcMar>
            <w:vAlign w:val="bottom"/>
          </w:tcPr>
          <w:p w14:paraId="1906D5FF" w14:textId="77777777" w:rsidR="00A57C80" w:rsidRPr="00A57C80" w:rsidRDefault="00A57C80" w:rsidP="00615190">
            <w:pPr>
              <w:spacing w:line="240" w:lineRule="atLeast"/>
              <w:rPr>
                <w:rFonts w:ascii="Tahoma" w:hAnsi="Tahoma"/>
                <w:color w:val="000000" w:themeColor="text1"/>
                <w:sz w:val="16"/>
                <w:lang w:val="en-GB"/>
              </w:rPr>
            </w:pPr>
          </w:p>
        </w:tc>
        <w:tc>
          <w:tcPr>
            <w:tcW w:w="6407" w:type="dxa"/>
            <w:shd w:val="clear" w:color="auto" w:fill="auto"/>
            <w:tcMar>
              <w:top w:w="57" w:type="dxa"/>
              <w:left w:w="0" w:type="dxa"/>
              <w:bottom w:w="57" w:type="dxa"/>
              <w:right w:w="113" w:type="dxa"/>
            </w:tcMar>
            <w:vAlign w:val="bottom"/>
          </w:tcPr>
          <w:p w14:paraId="364C66B0" w14:textId="77777777" w:rsidR="00A57C80" w:rsidRPr="00A57C80" w:rsidRDefault="00A57C80" w:rsidP="00615190">
            <w:pPr>
              <w:spacing w:line="240" w:lineRule="atLeast"/>
              <w:rPr>
                <w:rFonts w:ascii="Tahoma" w:hAnsi="Tahoma"/>
                <w:color w:val="000000" w:themeColor="text1"/>
                <w:sz w:val="16"/>
                <w:lang w:val="en-GB"/>
              </w:rPr>
            </w:pPr>
            <w:r w:rsidRPr="00A57C80">
              <w:rPr>
                <w:rFonts w:ascii="Tahoma" w:hAnsi="Tahoma"/>
                <w:color w:val="000000" w:themeColor="text1"/>
                <w:sz w:val="16"/>
                <w:lang w:val="en-GB"/>
              </w:rPr>
              <w:t>Depreciation</w:t>
            </w:r>
          </w:p>
        </w:tc>
        <w:tc>
          <w:tcPr>
            <w:tcW w:w="1134" w:type="dxa"/>
            <w:shd w:val="clear" w:color="auto" w:fill="auto"/>
            <w:tcMar>
              <w:top w:w="57" w:type="dxa"/>
              <w:left w:w="0" w:type="dxa"/>
              <w:bottom w:w="57" w:type="dxa"/>
              <w:right w:w="0" w:type="dxa"/>
            </w:tcMar>
            <w:vAlign w:val="bottom"/>
          </w:tcPr>
          <w:p w14:paraId="2C0C399E" w14:textId="77777777" w:rsidR="00A57C80" w:rsidRPr="00A57C80" w:rsidRDefault="00A57C80" w:rsidP="00304B3E">
            <w:pPr>
              <w:spacing w:line="240" w:lineRule="atLeast"/>
              <w:jc w:val="right"/>
              <w:rPr>
                <w:rFonts w:ascii="Tahoma" w:hAnsi="Tahoma"/>
                <w:b/>
                <w:bCs/>
                <w:color w:val="000000" w:themeColor="text1"/>
                <w:sz w:val="16"/>
                <w:lang w:val="en-GB"/>
              </w:rPr>
            </w:pPr>
            <w:r w:rsidRPr="00A57C80">
              <w:rPr>
                <w:rFonts w:ascii="Tahoma" w:hAnsi="Tahoma"/>
                <w:b/>
                <w:bCs/>
                <w:color w:val="000000" w:themeColor="text1"/>
                <w:sz w:val="16"/>
                <w:lang w:val="en-GB"/>
              </w:rPr>
              <w:t>(52)</w:t>
            </w:r>
          </w:p>
        </w:tc>
        <w:tc>
          <w:tcPr>
            <w:tcW w:w="1134" w:type="dxa"/>
            <w:shd w:val="clear" w:color="auto" w:fill="auto"/>
            <w:tcMar>
              <w:top w:w="57" w:type="dxa"/>
              <w:left w:w="0" w:type="dxa"/>
              <w:bottom w:w="57" w:type="dxa"/>
              <w:right w:w="0" w:type="dxa"/>
            </w:tcMar>
            <w:vAlign w:val="bottom"/>
          </w:tcPr>
          <w:p w14:paraId="6C0B2768" w14:textId="77777777" w:rsidR="00A57C80" w:rsidRPr="00A57C80" w:rsidRDefault="00A57C80" w:rsidP="00304B3E">
            <w:pPr>
              <w:spacing w:line="240" w:lineRule="atLeast"/>
              <w:jc w:val="right"/>
              <w:rPr>
                <w:rFonts w:ascii="Tahoma" w:hAnsi="Tahoma"/>
                <w:color w:val="000000" w:themeColor="text1"/>
                <w:sz w:val="16"/>
                <w:lang w:val="en-GB"/>
              </w:rPr>
            </w:pPr>
            <w:r w:rsidRPr="00A57C80">
              <w:rPr>
                <w:rFonts w:ascii="Tahoma" w:hAnsi="Tahoma"/>
                <w:color w:val="000000" w:themeColor="text1"/>
                <w:sz w:val="16"/>
                <w:lang w:val="en-GB"/>
              </w:rPr>
              <w:t>(41)</w:t>
            </w:r>
          </w:p>
        </w:tc>
        <w:tc>
          <w:tcPr>
            <w:tcW w:w="1134" w:type="dxa"/>
            <w:shd w:val="clear" w:color="auto" w:fill="auto"/>
            <w:tcMar>
              <w:top w:w="57" w:type="dxa"/>
              <w:left w:w="0" w:type="dxa"/>
              <w:bottom w:w="57" w:type="dxa"/>
              <w:right w:w="0" w:type="dxa"/>
            </w:tcMar>
            <w:vAlign w:val="bottom"/>
          </w:tcPr>
          <w:p w14:paraId="02F3A5CA" w14:textId="77777777" w:rsidR="00A57C80" w:rsidRPr="00A57C80" w:rsidRDefault="00A57C80" w:rsidP="00304B3E">
            <w:pPr>
              <w:spacing w:line="240" w:lineRule="atLeast"/>
              <w:jc w:val="right"/>
              <w:rPr>
                <w:rFonts w:ascii="Tahoma" w:hAnsi="Tahoma"/>
                <w:color w:val="000000" w:themeColor="text1"/>
                <w:sz w:val="16"/>
                <w:lang w:val="en-GB"/>
              </w:rPr>
            </w:pPr>
            <w:r w:rsidRPr="00A57C80">
              <w:rPr>
                <w:rFonts w:ascii="Tahoma" w:hAnsi="Tahoma"/>
                <w:color w:val="000000" w:themeColor="text1"/>
                <w:sz w:val="16"/>
                <w:lang w:val="en-GB"/>
              </w:rPr>
              <w:t>(93)</w:t>
            </w:r>
          </w:p>
        </w:tc>
      </w:tr>
      <w:tr w:rsidR="00615190" w:rsidRPr="00A57C80" w14:paraId="2E2A9904" w14:textId="77777777" w:rsidTr="002315C1">
        <w:trPr>
          <w:trHeight w:val="60"/>
        </w:trPr>
        <w:tc>
          <w:tcPr>
            <w:tcW w:w="397" w:type="dxa"/>
            <w:shd w:val="clear" w:color="auto" w:fill="auto"/>
            <w:tcMar>
              <w:top w:w="57" w:type="dxa"/>
              <w:left w:w="0" w:type="dxa"/>
              <w:bottom w:w="57" w:type="dxa"/>
              <w:right w:w="0" w:type="dxa"/>
            </w:tcMar>
            <w:vAlign w:val="bottom"/>
          </w:tcPr>
          <w:p w14:paraId="26DCF86D" w14:textId="77777777" w:rsidR="00A57C80" w:rsidRPr="00A57C80" w:rsidRDefault="00A57C80" w:rsidP="00615190">
            <w:pPr>
              <w:spacing w:line="240" w:lineRule="atLeast"/>
              <w:rPr>
                <w:rFonts w:ascii="Tahoma" w:hAnsi="Tahoma"/>
                <w:color w:val="000000" w:themeColor="text1"/>
                <w:sz w:val="16"/>
                <w:lang w:val="en-GB"/>
              </w:rPr>
            </w:pPr>
          </w:p>
        </w:tc>
        <w:tc>
          <w:tcPr>
            <w:tcW w:w="6407" w:type="dxa"/>
            <w:shd w:val="clear" w:color="auto" w:fill="auto"/>
            <w:tcMar>
              <w:top w:w="57" w:type="dxa"/>
              <w:left w:w="0" w:type="dxa"/>
              <w:bottom w:w="57" w:type="dxa"/>
              <w:right w:w="113" w:type="dxa"/>
            </w:tcMar>
            <w:vAlign w:val="bottom"/>
          </w:tcPr>
          <w:p w14:paraId="06333DED" w14:textId="77777777" w:rsidR="00A57C80" w:rsidRPr="00A57C80" w:rsidRDefault="00A57C80" w:rsidP="00615190">
            <w:pPr>
              <w:spacing w:line="240" w:lineRule="atLeast"/>
              <w:rPr>
                <w:rFonts w:ascii="Tahoma" w:hAnsi="Tahoma"/>
                <w:color w:val="000000" w:themeColor="text1"/>
                <w:sz w:val="16"/>
                <w:lang w:val="en-GB"/>
              </w:rPr>
            </w:pPr>
            <w:r w:rsidRPr="00A57C80">
              <w:rPr>
                <w:rFonts w:ascii="Tahoma" w:hAnsi="Tahoma"/>
                <w:color w:val="000000" w:themeColor="text1"/>
                <w:sz w:val="16"/>
                <w:lang w:val="en-GB"/>
              </w:rPr>
              <w:t>Amortisation of software</w:t>
            </w:r>
          </w:p>
        </w:tc>
        <w:tc>
          <w:tcPr>
            <w:tcW w:w="1134" w:type="dxa"/>
            <w:shd w:val="clear" w:color="auto" w:fill="auto"/>
            <w:tcMar>
              <w:top w:w="57" w:type="dxa"/>
              <w:left w:w="0" w:type="dxa"/>
              <w:bottom w:w="57" w:type="dxa"/>
              <w:right w:w="0" w:type="dxa"/>
            </w:tcMar>
            <w:vAlign w:val="bottom"/>
          </w:tcPr>
          <w:p w14:paraId="76DB55C8" w14:textId="77777777" w:rsidR="00A57C80" w:rsidRPr="00A57C80" w:rsidRDefault="00A57C80" w:rsidP="00304B3E">
            <w:pPr>
              <w:spacing w:line="240" w:lineRule="atLeast"/>
              <w:jc w:val="right"/>
              <w:rPr>
                <w:rFonts w:ascii="Tahoma" w:hAnsi="Tahoma"/>
                <w:b/>
                <w:bCs/>
                <w:color w:val="000000" w:themeColor="text1"/>
                <w:sz w:val="16"/>
                <w:lang w:val="en-GB"/>
              </w:rPr>
            </w:pPr>
            <w:r w:rsidRPr="00A57C80">
              <w:rPr>
                <w:rFonts w:ascii="Tahoma" w:hAnsi="Tahoma"/>
                <w:b/>
                <w:bCs/>
                <w:color w:val="000000" w:themeColor="text1"/>
                <w:sz w:val="16"/>
                <w:lang w:val="en-GB"/>
              </w:rPr>
              <w:t>(6)</w:t>
            </w:r>
          </w:p>
        </w:tc>
        <w:tc>
          <w:tcPr>
            <w:tcW w:w="1134" w:type="dxa"/>
            <w:shd w:val="clear" w:color="auto" w:fill="auto"/>
            <w:tcMar>
              <w:top w:w="57" w:type="dxa"/>
              <w:left w:w="0" w:type="dxa"/>
              <w:bottom w:w="57" w:type="dxa"/>
              <w:right w:w="0" w:type="dxa"/>
            </w:tcMar>
            <w:vAlign w:val="bottom"/>
          </w:tcPr>
          <w:p w14:paraId="5776CBB2" w14:textId="77777777" w:rsidR="00A57C80" w:rsidRPr="00A57C80" w:rsidRDefault="00A57C80" w:rsidP="00304B3E">
            <w:pPr>
              <w:spacing w:line="240" w:lineRule="atLeast"/>
              <w:jc w:val="right"/>
              <w:rPr>
                <w:rFonts w:ascii="Tahoma" w:hAnsi="Tahoma"/>
                <w:color w:val="000000" w:themeColor="text1"/>
                <w:sz w:val="16"/>
                <w:lang w:val="en-GB"/>
              </w:rPr>
            </w:pPr>
            <w:r w:rsidRPr="00A57C80">
              <w:rPr>
                <w:rFonts w:ascii="Tahoma" w:hAnsi="Tahoma"/>
                <w:color w:val="000000" w:themeColor="text1"/>
                <w:sz w:val="16"/>
                <w:lang w:val="en-GB"/>
              </w:rPr>
              <w:t>(5)</w:t>
            </w:r>
          </w:p>
        </w:tc>
        <w:tc>
          <w:tcPr>
            <w:tcW w:w="1134" w:type="dxa"/>
            <w:shd w:val="clear" w:color="auto" w:fill="auto"/>
            <w:tcMar>
              <w:top w:w="57" w:type="dxa"/>
              <w:left w:w="0" w:type="dxa"/>
              <w:bottom w:w="57" w:type="dxa"/>
              <w:right w:w="0" w:type="dxa"/>
            </w:tcMar>
            <w:vAlign w:val="bottom"/>
          </w:tcPr>
          <w:p w14:paraId="03715731" w14:textId="77777777" w:rsidR="00A57C80" w:rsidRPr="00A57C80" w:rsidRDefault="00A57C80" w:rsidP="00304B3E">
            <w:pPr>
              <w:spacing w:line="240" w:lineRule="atLeast"/>
              <w:jc w:val="right"/>
              <w:rPr>
                <w:rFonts w:ascii="Tahoma" w:hAnsi="Tahoma"/>
                <w:color w:val="000000" w:themeColor="text1"/>
                <w:sz w:val="16"/>
                <w:lang w:val="en-GB"/>
              </w:rPr>
            </w:pPr>
            <w:r w:rsidRPr="00A57C80">
              <w:rPr>
                <w:rFonts w:ascii="Tahoma" w:hAnsi="Tahoma"/>
                <w:color w:val="000000" w:themeColor="text1"/>
                <w:sz w:val="16"/>
                <w:lang w:val="en-GB"/>
              </w:rPr>
              <w:t>(11)</w:t>
            </w:r>
          </w:p>
        </w:tc>
      </w:tr>
      <w:tr w:rsidR="00615190" w:rsidRPr="00A57C80" w14:paraId="32A119EB" w14:textId="77777777" w:rsidTr="002315C1">
        <w:trPr>
          <w:trHeight w:val="60"/>
        </w:trPr>
        <w:tc>
          <w:tcPr>
            <w:tcW w:w="397" w:type="dxa"/>
            <w:shd w:val="clear" w:color="auto" w:fill="auto"/>
            <w:tcMar>
              <w:top w:w="57" w:type="dxa"/>
              <w:left w:w="0" w:type="dxa"/>
              <w:bottom w:w="85" w:type="dxa"/>
              <w:right w:w="0" w:type="dxa"/>
            </w:tcMar>
            <w:vAlign w:val="bottom"/>
          </w:tcPr>
          <w:p w14:paraId="333CFA5B" w14:textId="77777777" w:rsidR="00A57C80" w:rsidRPr="00A57C80" w:rsidRDefault="00A57C80" w:rsidP="00615190">
            <w:pPr>
              <w:spacing w:line="240" w:lineRule="atLeast"/>
              <w:rPr>
                <w:rFonts w:ascii="Tahoma" w:hAnsi="Tahoma"/>
                <w:color w:val="000000" w:themeColor="text1"/>
                <w:sz w:val="16"/>
                <w:lang w:val="en-GB"/>
              </w:rPr>
            </w:pPr>
          </w:p>
        </w:tc>
        <w:tc>
          <w:tcPr>
            <w:tcW w:w="6407" w:type="dxa"/>
            <w:tcBorders>
              <w:bottom w:val="single" w:sz="4" w:space="0" w:color="auto"/>
            </w:tcBorders>
            <w:shd w:val="clear" w:color="auto" w:fill="auto"/>
            <w:tcMar>
              <w:top w:w="57" w:type="dxa"/>
              <w:left w:w="0" w:type="dxa"/>
              <w:bottom w:w="85" w:type="dxa"/>
              <w:right w:w="113" w:type="dxa"/>
            </w:tcMar>
            <w:vAlign w:val="bottom"/>
          </w:tcPr>
          <w:p w14:paraId="455D4EF9" w14:textId="77777777" w:rsidR="00A57C80" w:rsidRPr="00A57C80" w:rsidRDefault="00A57C80" w:rsidP="00615190">
            <w:pPr>
              <w:spacing w:line="240" w:lineRule="atLeast"/>
              <w:rPr>
                <w:rFonts w:ascii="Tahoma" w:hAnsi="Tahoma"/>
                <w:color w:val="000000" w:themeColor="text1"/>
                <w:sz w:val="16"/>
                <w:lang w:val="en-GB"/>
              </w:rPr>
            </w:pPr>
            <w:r w:rsidRPr="00A57C80">
              <w:rPr>
                <w:rFonts w:ascii="Tahoma" w:hAnsi="Tahoma"/>
                <w:color w:val="000000" w:themeColor="text1"/>
                <w:sz w:val="16"/>
                <w:lang w:val="en-GB"/>
              </w:rPr>
              <w:t>Interest on capitalised lease liabilities</w:t>
            </w:r>
          </w:p>
        </w:tc>
        <w:tc>
          <w:tcPr>
            <w:tcW w:w="1134" w:type="dxa"/>
            <w:tcBorders>
              <w:bottom w:val="single" w:sz="4" w:space="0" w:color="auto"/>
            </w:tcBorders>
            <w:shd w:val="clear" w:color="auto" w:fill="auto"/>
            <w:tcMar>
              <w:top w:w="57" w:type="dxa"/>
              <w:left w:w="0" w:type="dxa"/>
              <w:bottom w:w="85" w:type="dxa"/>
              <w:right w:w="0" w:type="dxa"/>
            </w:tcMar>
            <w:vAlign w:val="bottom"/>
          </w:tcPr>
          <w:p w14:paraId="27AB7F19" w14:textId="77777777" w:rsidR="00A57C80" w:rsidRPr="00A57C80" w:rsidRDefault="00A57C80" w:rsidP="00304B3E">
            <w:pPr>
              <w:spacing w:line="240" w:lineRule="atLeast"/>
              <w:jc w:val="right"/>
              <w:rPr>
                <w:rFonts w:ascii="Tahoma" w:hAnsi="Tahoma"/>
                <w:b/>
                <w:bCs/>
                <w:color w:val="000000" w:themeColor="text1"/>
                <w:sz w:val="16"/>
                <w:lang w:val="en-GB"/>
              </w:rPr>
            </w:pPr>
            <w:r w:rsidRPr="00A57C80">
              <w:rPr>
                <w:rFonts w:ascii="Tahoma" w:hAnsi="Tahoma"/>
                <w:b/>
                <w:bCs/>
                <w:color w:val="000000" w:themeColor="text1"/>
                <w:sz w:val="16"/>
                <w:lang w:val="en-GB"/>
              </w:rPr>
              <w:t>(4)</w:t>
            </w:r>
          </w:p>
        </w:tc>
        <w:tc>
          <w:tcPr>
            <w:tcW w:w="1134" w:type="dxa"/>
            <w:tcBorders>
              <w:bottom w:val="single" w:sz="4" w:space="0" w:color="auto"/>
            </w:tcBorders>
            <w:shd w:val="clear" w:color="auto" w:fill="auto"/>
            <w:tcMar>
              <w:top w:w="57" w:type="dxa"/>
              <w:left w:w="0" w:type="dxa"/>
              <w:bottom w:w="85" w:type="dxa"/>
              <w:right w:w="0" w:type="dxa"/>
            </w:tcMar>
            <w:vAlign w:val="bottom"/>
          </w:tcPr>
          <w:p w14:paraId="7937B759" w14:textId="77777777" w:rsidR="00A57C80" w:rsidRPr="00A57C80" w:rsidRDefault="00A57C80" w:rsidP="00304B3E">
            <w:pPr>
              <w:spacing w:line="240" w:lineRule="atLeast"/>
              <w:jc w:val="right"/>
              <w:rPr>
                <w:rFonts w:ascii="Tahoma" w:hAnsi="Tahoma"/>
                <w:color w:val="000000" w:themeColor="text1"/>
                <w:sz w:val="16"/>
                <w:lang w:val="en-GB"/>
              </w:rPr>
            </w:pPr>
            <w:r w:rsidRPr="00A57C80">
              <w:rPr>
                <w:rFonts w:ascii="Tahoma" w:hAnsi="Tahoma"/>
                <w:color w:val="000000" w:themeColor="text1"/>
                <w:sz w:val="16"/>
                <w:lang w:val="en-GB"/>
              </w:rPr>
              <w:t>(3)</w:t>
            </w:r>
          </w:p>
        </w:tc>
        <w:tc>
          <w:tcPr>
            <w:tcW w:w="1134" w:type="dxa"/>
            <w:tcBorders>
              <w:bottom w:val="single" w:sz="4" w:space="0" w:color="auto"/>
            </w:tcBorders>
            <w:shd w:val="clear" w:color="auto" w:fill="auto"/>
            <w:tcMar>
              <w:top w:w="57" w:type="dxa"/>
              <w:left w:w="0" w:type="dxa"/>
              <w:bottom w:w="85" w:type="dxa"/>
              <w:right w:w="0" w:type="dxa"/>
            </w:tcMar>
            <w:vAlign w:val="bottom"/>
          </w:tcPr>
          <w:p w14:paraId="6981C64B" w14:textId="77777777" w:rsidR="00A57C80" w:rsidRPr="00A57C80" w:rsidRDefault="00A57C80" w:rsidP="00304B3E">
            <w:pPr>
              <w:spacing w:line="240" w:lineRule="atLeast"/>
              <w:jc w:val="right"/>
              <w:rPr>
                <w:rFonts w:ascii="Tahoma" w:hAnsi="Tahoma"/>
                <w:color w:val="000000" w:themeColor="text1"/>
                <w:sz w:val="16"/>
                <w:lang w:val="en-GB"/>
              </w:rPr>
            </w:pPr>
            <w:r w:rsidRPr="00A57C80">
              <w:rPr>
                <w:rFonts w:ascii="Tahoma" w:hAnsi="Tahoma"/>
                <w:color w:val="000000" w:themeColor="text1"/>
                <w:sz w:val="16"/>
                <w:lang w:val="en-GB"/>
              </w:rPr>
              <w:t>(6)</w:t>
            </w:r>
          </w:p>
        </w:tc>
      </w:tr>
      <w:tr w:rsidR="00615190" w:rsidRPr="00A57C80" w14:paraId="2334C5FD" w14:textId="77777777" w:rsidTr="002315C1">
        <w:trPr>
          <w:trHeight w:val="60"/>
        </w:trPr>
        <w:tc>
          <w:tcPr>
            <w:tcW w:w="397" w:type="dxa"/>
            <w:shd w:val="clear" w:color="auto" w:fill="auto"/>
            <w:tcMar>
              <w:top w:w="85" w:type="dxa"/>
              <w:left w:w="0" w:type="dxa"/>
              <w:bottom w:w="57" w:type="dxa"/>
              <w:right w:w="0" w:type="dxa"/>
            </w:tcMar>
            <w:vAlign w:val="bottom"/>
          </w:tcPr>
          <w:p w14:paraId="696C0AB6" w14:textId="77777777" w:rsidR="00A57C80" w:rsidRPr="00A57C80" w:rsidRDefault="00A57C80" w:rsidP="00615190">
            <w:pPr>
              <w:spacing w:line="240" w:lineRule="atLeast"/>
              <w:rPr>
                <w:rFonts w:ascii="Tahoma" w:hAnsi="Tahoma"/>
                <w:color w:val="000000" w:themeColor="text1"/>
                <w:sz w:val="16"/>
                <w:lang w:val="en-GB"/>
              </w:rPr>
            </w:pPr>
          </w:p>
        </w:tc>
        <w:tc>
          <w:tcPr>
            <w:tcW w:w="6407" w:type="dxa"/>
            <w:tcBorders>
              <w:top w:val="single" w:sz="4" w:space="0" w:color="auto"/>
            </w:tcBorders>
            <w:shd w:val="clear" w:color="auto" w:fill="auto"/>
            <w:tcMar>
              <w:top w:w="85" w:type="dxa"/>
              <w:left w:w="0" w:type="dxa"/>
              <w:bottom w:w="57" w:type="dxa"/>
              <w:right w:w="113" w:type="dxa"/>
            </w:tcMar>
            <w:vAlign w:val="bottom"/>
          </w:tcPr>
          <w:p w14:paraId="70E3C6C0" w14:textId="77777777" w:rsidR="00A57C80" w:rsidRPr="00A57C80" w:rsidRDefault="00A57C80" w:rsidP="00615190">
            <w:pPr>
              <w:spacing w:line="240" w:lineRule="atLeast"/>
              <w:rPr>
                <w:rFonts w:ascii="Tahoma" w:hAnsi="Tahoma"/>
                <w:b/>
                <w:bCs/>
                <w:color w:val="000000" w:themeColor="text1"/>
                <w:sz w:val="16"/>
                <w:lang w:val="en-GB"/>
              </w:rPr>
            </w:pPr>
            <w:r w:rsidRPr="00A57C80">
              <w:rPr>
                <w:rFonts w:ascii="Tahoma" w:hAnsi="Tahoma"/>
                <w:b/>
                <w:bCs/>
                <w:color w:val="000000" w:themeColor="text1"/>
                <w:sz w:val="16"/>
                <w:lang w:val="en-GB"/>
              </w:rPr>
              <w:t>Consolidated trading loss from continuing operations</w:t>
            </w:r>
            <w:r w:rsidRPr="00A57C80">
              <w:rPr>
                <w:rFonts w:ascii="Tahoma" w:hAnsi="Tahoma"/>
                <w:b/>
                <w:bCs/>
                <w:color w:val="000000" w:themeColor="text1"/>
                <w:sz w:val="16"/>
                <w:vertAlign w:val="superscript"/>
                <w:lang w:val="en-GB"/>
              </w:rPr>
              <w:t>2</w:t>
            </w:r>
          </w:p>
        </w:tc>
        <w:tc>
          <w:tcPr>
            <w:tcW w:w="1134" w:type="dxa"/>
            <w:tcBorders>
              <w:top w:val="single" w:sz="4" w:space="0" w:color="auto"/>
            </w:tcBorders>
            <w:shd w:val="clear" w:color="auto" w:fill="auto"/>
            <w:tcMar>
              <w:top w:w="85" w:type="dxa"/>
              <w:left w:w="0" w:type="dxa"/>
              <w:bottom w:w="57" w:type="dxa"/>
              <w:right w:w="0" w:type="dxa"/>
            </w:tcMar>
            <w:vAlign w:val="bottom"/>
          </w:tcPr>
          <w:p w14:paraId="6D4C9D65" w14:textId="77777777" w:rsidR="00A57C80" w:rsidRPr="00A57C80" w:rsidRDefault="00A57C80" w:rsidP="00304B3E">
            <w:pPr>
              <w:spacing w:line="240" w:lineRule="atLeast"/>
              <w:jc w:val="right"/>
              <w:rPr>
                <w:rFonts w:ascii="Tahoma" w:hAnsi="Tahoma"/>
                <w:b/>
                <w:bCs/>
                <w:color w:val="000000" w:themeColor="text1"/>
                <w:sz w:val="16"/>
                <w:lang w:val="en-GB"/>
              </w:rPr>
            </w:pPr>
            <w:r w:rsidRPr="00A57C80">
              <w:rPr>
                <w:rFonts w:ascii="Tahoma" w:hAnsi="Tahoma"/>
                <w:b/>
                <w:bCs/>
                <w:color w:val="000000" w:themeColor="text1"/>
                <w:sz w:val="16"/>
                <w:lang w:val="en-GB"/>
              </w:rPr>
              <w:t>(531)</w:t>
            </w:r>
          </w:p>
        </w:tc>
        <w:tc>
          <w:tcPr>
            <w:tcW w:w="1134" w:type="dxa"/>
            <w:tcBorders>
              <w:top w:val="single" w:sz="4" w:space="0" w:color="auto"/>
            </w:tcBorders>
            <w:shd w:val="clear" w:color="auto" w:fill="auto"/>
            <w:tcMar>
              <w:top w:w="85" w:type="dxa"/>
              <w:left w:w="0" w:type="dxa"/>
              <w:bottom w:w="57" w:type="dxa"/>
              <w:right w:w="0" w:type="dxa"/>
            </w:tcMar>
            <w:vAlign w:val="bottom"/>
          </w:tcPr>
          <w:p w14:paraId="2F3F3064" w14:textId="77777777" w:rsidR="00A57C80" w:rsidRPr="00A57C80" w:rsidRDefault="00A57C80" w:rsidP="00304B3E">
            <w:pPr>
              <w:spacing w:line="240" w:lineRule="atLeast"/>
              <w:jc w:val="right"/>
              <w:rPr>
                <w:rFonts w:ascii="Tahoma" w:hAnsi="Tahoma"/>
                <w:color w:val="000000" w:themeColor="text1"/>
                <w:sz w:val="16"/>
                <w:lang w:val="en-GB"/>
              </w:rPr>
            </w:pPr>
            <w:r w:rsidRPr="00A57C80">
              <w:rPr>
                <w:rFonts w:ascii="Tahoma" w:hAnsi="Tahoma"/>
                <w:color w:val="000000" w:themeColor="text1"/>
                <w:sz w:val="16"/>
                <w:lang w:val="en-GB"/>
              </w:rPr>
              <w:t>(318)</w:t>
            </w:r>
          </w:p>
        </w:tc>
        <w:tc>
          <w:tcPr>
            <w:tcW w:w="1134" w:type="dxa"/>
            <w:tcBorders>
              <w:top w:val="single" w:sz="4" w:space="0" w:color="auto"/>
            </w:tcBorders>
            <w:shd w:val="clear" w:color="auto" w:fill="auto"/>
            <w:tcMar>
              <w:top w:w="85" w:type="dxa"/>
              <w:left w:w="0" w:type="dxa"/>
              <w:bottom w:w="57" w:type="dxa"/>
              <w:right w:w="0" w:type="dxa"/>
            </w:tcMar>
            <w:vAlign w:val="bottom"/>
          </w:tcPr>
          <w:p w14:paraId="26303A2E" w14:textId="77777777" w:rsidR="00A57C80" w:rsidRPr="00A57C80" w:rsidRDefault="00A57C80" w:rsidP="00304B3E">
            <w:pPr>
              <w:spacing w:line="240" w:lineRule="atLeast"/>
              <w:jc w:val="right"/>
              <w:rPr>
                <w:rFonts w:ascii="Tahoma" w:hAnsi="Tahoma"/>
                <w:color w:val="000000" w:themeColor="text1"/>
                <w:sz w:val="16"/>
                <w:lang w:val="en-GB"/>
              </w:rPr>
            </w:pPr>
            <w:r w:rsidRPr="00A57C80">
              <w:rPr>
                <w:rFonts w:ascii="Tahoma" w:hAnsi="Tahoma"/>
                <w:color w:val="000000" w:themeColor="text1"/>
                <w:sz w:val="16"/>
                <w:lang w:val="en-GB"/>
              </w:rPr>
              <w:t>(767)</w:t>
            </w:r>
          </w:p>
        </w:tc>
      </w:tr>
      <w:tr w:rsidR="00615190" w:rsidRPr="00A57C80" w14:paraId="7046DFFA" w14:textId="77777777" w:rsidTr="00CF620E">
        <w:trPr>
          <w:trHeight w:val="60"/>
        </w:trPr>
        <w:tc>
          <w:tcPr>
            <w:tcW w:w="397" w:type="dxa"/>
            <w:shd w:val="clear" w:color="auto" w:fill="auto"/>
            <w:tcMar>
              <w:top w:w="57" w:type="dxa"/>
              <w:left w:w="0" w:type="dxa"/>
              <w:bottom w:w="57" w:type="dxa"/>
              <w:right w:w="0" w:type="dxa"/>
            </w:tcMar>
            <w:vAlign w:val="bottom"/>
          </w:tcPr>
          <w:p w14:paraId="3A9C3521" w14:textId="77777777" w:rsidR="00A57C80" w:rsidRPr="00A57C80" w:rsidRDefault="00A57C80" w:rsidP="00615190">
            <w:pPr>
              <w:spacing w:line="240" w:lineRule="atLeast"/>
              <w:rPr>
                <w:rFonts w:ascii="Tahoma" w:hAnsi="Tahoma"/>
                <w:color w:val="000000" w:themeColor="text1"/>
                <w:sz w:val="16"/>
                <w:lang w:val="en-GB"/>
              </w:rPr>
            </w:pPr>
          </w:p>
        </w:tc>
        <w:tc>
          <w:tcPr>
            <w:tcW w:w="6407" w:type="dxa"/>
            <w:shd w:val="clear" w:color="auto" w:fill="auto"/>
            <w:tcMar>
              <w:top w:w="57" w:type="dxa"/>
              <w:left w:w="0" w:type="dxa"/>
              <w:bottom w:w="57" w:type="dxa"/>
              <w:right w:w="113" w:type="dxa"/>
            </w:tcMar>
            <w:vAlign w:val="bottom"/>
          </w:tcPr>
          <w:p w14:paraId="15AF1200" w14:textId="77777777" w:rsidR="00A57C80" w:rsidRPr="00A57C80" w:rsidRDefault="00A57C80" w:rsidP="00615190">
            <w:pPr>
              <w:spacing w:line="240" w:lineRule="atLeast"/>
              <w:rPr>
                <w:rFonts w:ascii="Tahoma" w:hAnsi="Tahoma"/>
                <w:color w:val="000000" w:themeColor="text1"/>
                <w:sz w:val="16"/>
                <w:lang w:val="en-GB"/>
              </w:rPr>
            </w:pPr>
            <w:r w:rsidRPr="00A57C80">
              <w:rPr>
                <w:rFonts w:ascii="Tahoma" w:hAnsi="Tahoma"/>
                <w:color w:val="000000" w:themeColor="text1"/>
                <w:sz w:val="16"/>
                <w:lang w:val="en-GB"/>
              </w:rPr>
              <w:t>Interest on capitalised lease liabilities</w:t>
            </w:r>
          </w:p>
        </w:tc>
        <w:tc>
          <w:tcPr>
            <w:tcW w:w="1134" w:type="dxa"/>
            <w:shd w:val="clear" w:color="auto" w:fill="auto"/>
            <w:tcMar>
              <w:top w:w="57" w:type="dxa"/>
              <w:left w:w="0" w:type="dxa"/>
              <w:bottom w:w="57" w:type="dxa"/>
              <w:right w:w="0" w:type="dxa"/>
            </w:tcMar>
            <w:vAlign w:val="bottom"/>
          </w:tcPr>
          <w:p w14:paraId="785249C3" w14:textId="77777777" w:rsidR="00A57C80" w:rsidRPr="00A57C80" w:rsidRDefault="00A57C80" w:rsidP="00304B3E">
            <w:pPr>
              <w:spacing w:line="240" w:lineRule="atLeast"/>
              <w:jc w:val="right"/>
              <w:rPr>
                <w:rFonts w:ascii="Tahoma" w:hAnsi="Tahoma"/>
                <w:b/>
                <w:bCs/>
                <w:color w:val="000000" w:themeColor="text1"/>
                <w:sz w:val="16"/>
                <w:lang w:val="en-GB"/>
              </w:rPr>
            </w:pPr>
            <w:r w:rsidRPr="00A57C80">
              <w:rPr>
                <w:rFonts w:ascii="Tahoma" w:hAnsi="Tahoma"/>
                <w:b/>
                <w:bCs/>
                <w:color w:val="000000" w:themeColor="text1"/>
                <w:sz w:val="16"/>
                <w:lang w:val="en-GB"/>
              </w:rPr>
              <w:t>4</w:t>
            </w:r>
          </w:p>
        </w:tc>
        <w:tc>
          <w:tcPr>
            <w:tcW w:w="1134" w:type="dxa"/>
            <w:shd w:val="clear" w:color="auto" w:fill="auto"/>
            <w:tcMar>
              <w:top w:w="57" w:type="dxa"/>
              <w:left w:w="0" w:type="dxa"/>
              <w:bottom w:w="57" w:type="dxa"/>
              <w:right w:w="0" w:type="dxa"/>
            </w:tcMar>
            <w:vAlign w:val="bottom"/>
          </w:tcPr>
          <w:p w14:paraId="07E4ADC9" w14:textId="77777777" w:rsidR="00A57C80" w:rsidRPr="00A57C80" w:rsidRDefault="00A57C80" w:rsidP="00304B3E">
            <w:pPr>
              <w:spacing w:line="240" w:lineRule="atLeast"/>
              <w:jc w:val="right"/>
              <w:rPr>
                <w:rFonts w:ascii="Tahoma" w:hAnsi="Tahoma"/>
                <w:color w:val="000000" w:themeColor="text1"/>
                <w:sz w:val="16"/>
                <w:lang w:val="en-GB"/>
              </w:rPr>
            </w:pPr>
            <w:r w:rsidRPr="00A57C80">
              <w:rPr>
                <w:rFonts w:ascii="Tahoma" w:hAnsi="Tahoma"/>
                <w:color w:val="000000" w:themeColor="text1"/>
                <w:sz w:val="16"/>
                <w:lang w:val="en-GB"/>
              </w:rPr>
              <w:t>3</w:t>
            </w:r>
          </w:p>
        </w:tc>
        <w:tc>
          <w:tcPr>
            <w:tcW w:w="1134" w:type="dxa"/>
            <w:shd w:val="clear" w:color="auto" w:fill="auto"/>
            <w:tcMar>
              <w:top w:w="57" w:type="dxa"/>
              <w:left w:w="0" w:type="dxa"/>
              <w:bottom w:w="57" w:type="dxa"/>
              <w:right w:w="0" w:type="dxa"/>
            </w:tcMar>
            <w:vAlign w:val="bottom"/>
          </w:tcPr>
          <w:p w14:paraId="6AEBB9E1" w14:textId="77777777" w:rsidR="00A57C80" w:rsidRPr="00A57C80" w:rsidRDefault="00A57C80" w:rsidP="00304B3E">
            <w:pPr>
              <w:spacing w:line="240" w:lineRule="atLeast"/>
              <w:jc w:val="right"/>
              <w:rPr>
                <w:rFonts w:ascii="Tahoma" w:hAnsi="Tahoma"/>
                <w:color w:val="000000" w:themeColor="text1"/>
                <w:sz w:val="16"/>
                <w:lang w:val="en-GB"/>
              </w:rPr>
            </w:pPr>
            <w:r w:rsidRPr="00A57C80">
              <w:rPr>
                <w:rFonts w:ascii="Tahoma" w:hAnsi="Tahoma"/>
                <w:color w:val="000000" w:themeColor="text1"/>
                <w:sz w:val="16"/>
                <w:lang w:val="en-GB"/>
              </w:rPr>
              <w:t>6</w:t>
            </w:r>
          </w:p>
        </w:tc>
      </w:tr>
      <w:tr w:rsidR="00615190" w:rsidRPr="00A57C80" w14:paraId="52E07E3E" w14:textId="77777777" w:rsidTr="00CF620E">
        <w:trPr>
          <w:trHeight w:val="60"/>
        </w:trPr>
        <w:tc>
          <w:tcPr>
            <w:tcW w:w="397" w:type="dxa"/>
            <w:shd w:val="clear" w:color="auto" w:fill="auto"/>
            <w:tcMar>
              <w:top w:w="57" w:type="dxa"/>
              <w:left w:w="0" w:type="dxa"/>
              <w:bottom w:w="57" w:type="dxa"/>
              <w:right w:w="0" w:type="dxa"/>
            </w:tcMar>
            <w:vAlign w:val="bottom"/>
          </w:tcPr>
          <w:p w14:paraId="6A0B61BE" w14:textId="77777777" w:rsidR="00A57C80" w:rsidRPr="00A57C80" w:rsidRDefault="00A57C80" w:rsidP="00615190">
            <w:pPr>
              <w:spacing w:line="240" w:lineRule="atLeast"/>
              <w:rPr>
                <w:rFonts w:ascii="Tahoma" w:hAnsi="Tahoma"/>
                <w:color w:val="000000" w:themeColor="text1"/>
                <w:sz w:val="16"/>
                <w:lang w:val="en-GB"/>
              </w:rPr>
            </w:pPr>
          </w:p>
        </w:tc>
        <w:tc>
          <w:tcPr>
            <w:tcW w:w="6407" w:type="dxa"/>
            <w:shd w:val="clear" w:color="auto" w:fill="auto"/>
            <w:tcMar>
              <w:top w:w="57" w:type="dxa"/>
              <w:left w:w="0" w:type="dxa"/>
              <w:bottom w:w="57" w:type="dxa"/>
              <w:right w:w="113" w:type="dxa"/>
            </w:tcMar>
            <w:vAlign w:val="bottom"/>
          </w:tcPr>
          <w:p w14:paraId="51B1B3D4" w14:textId="77777777" w:rsidR="00A57C80" w:rsidRPr="00A57C80" w:rsidRDefault="00A57C80" w:rsidP="00615190">
            <w:pPr>
              <w:spacing w:line="240" w:lineRule="atLeast"/>
              <w:rPr>
                <w:rFonts w:ascii="Tahoma" w:hAnsi="Tahoma"/>
                <w:color w:val="000000" w:themeColor="text1"/>
                <w:sz w:val="16"/>
                <w:lang w:val="en-GB"/>
              </w:rPr>
            </w:pPr>
            <w:r w:rsidRPr="00A57C80">
              <w:rPr>
                <w:rFonts w:ascii="Tahoma" w:hAnsi="Tahoma"/>
                <w:color w:val="000000" w:themeColor="text1"/>
                <w:sz w:val="16"/>
                <w:lang w:val="en-GB"/>
              </w:rPr>
              <w:t>Interest paid on merchant payables</w:t>
            </w:r>
          </w:p>
        </w:tc>
        <w:tc>
          <w:tcPr>
            <w:tcW w:w="1134" w:type="dxa"/>
            <w:shd w:val="clear" w:color="auto" w:fill="auto"/>
            <w:tcMar>
              <w:top w:w="57" w:type="dxa"/>
              <w:left w:w="0" w:type="dxa"/>
              <w:bottom w:w="57" w:type="dxa"/>
              <w:right w:w="0" w:type="dxa"/>
            </w:tcMar>
            <w:vAlign w:val="bottom"/>
          </w:tcPr>
          <w:p w14:paraId="294CA4E2" w14:textId="77777777" w:rsidR="00A57C80" w:rsidRPr="00A57C80" w:rsidRDefault="00A57C80" w:rsidP="00304B3E">
            <w:pPr>
              <w:spacing w:line="240" w:lineRule="atLeast"/>
              <w:jc w:val="right"/>
              <w:rPr>
                <w:rFonts w:ascii="Tahoma" w:hAnsi="Tahoma"/>
                <w:b/>
                <w:bCs/>
                <w:color w:val="000000" w:themeColor="text1"/>
                <w:sz w:val="16"/>
                <w:lang w:val="en-GB"/>
              </w:rPr>
            </w:pPr>
            <w:r w:rsidRPr="00A57C80">
              <w:rPr>
                <w:rFonts w:ascii="Tahoma" w:hAnsi="Tahoma"/>
                <w:b/>
                <w:bCs/>
                <w:color w:val="000000" w:themeColor="text1"/>
                <w:sz w:val="16"/>
                <w:lang w:val="en-GB"/>
              </w:rPr>
              <w:t>3</w:t>
            </w:r>
          </w:p>
        </w:tc>
        <w:tc>
          <w:tcPr>
            <w:tcW w:w="1134" w:type="dxa"/>
            <w:shd w:val="clear" w:color="auto" w:fill="auto"/>
            <w:tcMar>
              <w:top w:w="57" w:type="dxa"/>
              <w:left w:w="0" w:type="dxa"/>
              <w:bottom w:w="57" w:type="dxa"/>
              <w:right w:w="0" w:type="dxa"/>
            </w:tcMar>
            <w:vAlign w:val="bottom"/>
          </w:tcPr>
          <w:p w14:paraId="7C5E35E9" w14:textId="77777777" w:rsidR="00A57C80" w:rsidRPr="00A57C80" w:rsidRDefault="00A57C80" w:rsidP="00304B3E">
            <w:pPr>
              <w:spacing w:line="240" w:lineRule="atLeast"/>
              <w:jc w:val="right"/>
              <w:rPr>
                <w:rFonts w:ascii="Tahoma" w:hAnsi="Tahoma"/>
                <w:color w:val="000000" w:themeColor="text1"/>
                <w:sz w:val="16"/>
                <w:lang w:val="en-GB"/>
              </w:rPr>
            </w:pPr>
            <w:r w:rsidRPr="00A57C80">
              <w:rPr>
                <w:rFonts w:ascii="Tahoma" w:hAnsi="Tahoma"/>
                <w:color w:val="000000" w:themeColor="text1"/>
                <w:sz w:val="16"/>
                <w:lang w:val="en-GB"/>
              </w:rPr>
              <w:t>—</w:t>
            </w:r>
          </w:p>
        </w:tc>
        <w:tc>
          <w:tcPr>
            <w:tcW w:w="1134" w:type="dxa"/>
            <w:shd w:val="clear" w:color="auto" w:fill="auto"/>
            <w:tcMar>
              <w:top w:w="57" w:type="dxa"/>
              <w:left w:w="0" w:type="dxa"/>
              <w:bottom w:w="57" w:type="dxa"/>
              <w:right w:w="0" w:type="dxa"/>
            </w:tcMar>
            <w:vAlign w:val="bottom"/>
          </w:tcPr>
          <w:p w14:paraId="4547143F" w14:textId="77777777" w:rsidR="00A57C80" w:rsidRPr="00A57C80" w:rsidRDefault="00A57C80" w:rsidP="00304B3E">
            <w:pPr>
              <w:spacing w:line="240" w:lineRule="atLeast"/>
              <w:jc w:val="right"/>
              <w:rPr>
                <w:rFonts w:ascii="Tahoma" w:hAnsi="Tahoma"/>
                <w:color w:val="000000" w:themeColor="text1"/>
                <w:sz w:val="16"/>
                <w:lang w:val="en-GB"/>
              </w:rPr>
            </w:pPr>
            <w:r w:rsidRPr="00A57C80">
              <w:rPr>
                <w:rFonts w:ascii="Tahoma" w:hAnsi="Tahoma"/>
                <w:color w:val="000000" w:themeColor="text1"/>
                <w:sz w:val="16"/>
                <w:lang w:val="en-GB"/>
              </w:rPr>
              <w:t>—</w:t>
            </w:r>
          </w:p>
        </w:tc>
      </w:tr>
      <w:tr w:rsidR="00615190" w:rsidRPr="00A57C80" w14:paraId="5084F66E" w14:textId="77777777" w:rsidTr="00CF620E">
        <w:trPr>
          <w:trHeight w:val="60"/>
        </w:trPr>
        <w:tc>
          <w:tcPr>
            <w:tcW w:w="397" w:type="dxa"/>
            <w:shd w:val="clear" w:color="auto" w:fill="auto"/>
            <w:tcMar>
              <w:top w:w="57" w:type="dxa"/>
              <w:left w:w="0" w:type="dxa"/>
              <w:bottom w:w="57" w:type="dxa"/>
              <w:right w:w="0" w:type="dxa"/>
            </w:tcMar>
            <w:vAlign w:val="bottom"/>
          </w:tcPr>
          <w:p w14:paraId="0957E3B3" w14:textId="77777777" w:rsidR="00A57C80" w:rsidRPr="00A57C80" w:rsidRDefault="00A57C80" w:rsidP="00615190">
            <w:pPr>
              <w:spacing w:line="240" w:lineRule="atLeast"/>
              <w:rPr>
                <w:rFonts w:ascii="Tahoma" w:hAnsi="Tahoma"/>
                <w:color w:val="000000" w:themeColor="text1"/>
                <w:sz w:val="16"/>
                <w:lang w:val="en-GB"/>
              </w:rPr>
            </w:pPr>
          </w:p>
        </w:tc>
        <w:tc>
          <w:tcPr>
            <w:tcW w:w="6407" w:type="dxa"/>
            <w:shd w:val="clear" w:color="auto" w:fill="auto"/>
            <w:tcMar>
              <w:top w:w="57" w:type="dxa"/>
              <w:left w:w="0" w:type="dxa"/>
              <w:bottom w:w="57" w:type="dxa"/>
              <w:right w:w="113" w:type="dxa"/>
            </w:tcMar>
            <w:vAlign w:val="bottom"/>
          </w:tcPr>
          <w:p w14:paraId="0BC6EEF8" w14:textId="77777777" w:rsidR="00A57C80" w:rsidRPr="00A57C80" w:rsidRDefault="00A57C80" w:rsidP="00615190">
            <w:pPr>
              <w:spacing w:line="240" w:lineRule="atLeast"/>
              <w:rPr>
                <w:rFonts w:ascii="Tahoma" w:hAnsi="Tahoma"/>
                <w:color w:val="000000" w:themeColor="text1"/>
                <w:sz w:val="16"/>
                <w:lang w:val="en-GB"/>
              </w:rPr>
            </w:pPr>
            <w:r w:rsidRPr="00A57C80">
              <w:rPr>
                <w:rFonts w:ascii="Tahoma" w:hAnsi="Tahoma"/>
                <w:color w:val="000000" w:themeColor="text1"/>
                <w:sz w:val="16"/>
                <w:lang w:val="en-GB"/>
              </w:rPr>
              <w:t>Amortisation of other intangible assets</w:t>
            </w:r>
          </w:p>
        </w:tc>
        <w:tc>
          <w:tcPr>
            <w:tcW w:w="1134" w:type="dxa"/>
            <w:shd w:val="clear" w:color="auto" w:fill="auto"/>
            <w:tcMar>
              <w:top w:w="57" w:type="dxa"/>
              <w:left w:w="0" w:type="dxa"/>
              <w:bottom w:w="57" w:type="dxa"/>
              <w:right w:w="0" w:type="dxa"/>
            </w:tcMar>
            <w:vAlign w:val="bottom"/>
          </w:tcPr>
          <w:p w14:paraId="69CA689F" w14:textId="77777777" w:rsidR="00A57C80" w:rsidRPr="00A57C80" w:rsidRDefault="00A57C80" w:rsidP="00304B3E">
            <w:pPr>
              <w:spacing w:line="240" w:lineRule="atLeast"/>
              <w:jc w:val="right"/>
              <w:rPr>
                <w:rFonts w:ascii="Tahoma" w:hAnsi="Tahoma"/>
                <w:b/>
                <w:bCs/>
                <w:color w:val="000000" w:themeColor="text1"/>
                <w:sz w:val="16"/>
                <w:lang w:val="en-GB"/>
              </w:rPr>
            </w:pPr>
            <w:r w:rsidRPr="00A57C80">
              <w:rPr>
                <w:rFonts w:ascii="Tahoma" w:hAnsi="Tahoma"/>
                <w:b/>
                <w:bCs/>
                <w:color w:val="000000" w:themeColor="text1"/>
                <w:sz w:val="16"/>
                <w:lang w:val="en-GB"/>
              </w:rPr>
              <w:t>(40)</w:t>
            </w:r>
          </w:p>
        </w:tc>
        <w:tc>
          <w:tcPr>
            <w:tcW w:w="1134" w:type="dxa"/>
            <w:shd w:val="clear" w:color="auto" w:fill="auto"/>
            <w:tcMar>
              <w:top w:w="57" w:type="dxa"/>
              <w:left w:w="0" w:type="dxa"/>
              <w:bottom w:w="57" w:type="dxa"/>
              <w:right w:w="0" w:type="dxa"/>
            </w:tcMar>
            <w:vAlign w:val="bottom"/>
          </w:tcPr>
          <w:p w14:paraId="151C9560" w14:textId="77777777" w:rsidR="00A57C80" w:rsidRPr="00A57C80" w:rsidRDefault="00A57C80" w:rsidP="00304B3E">
            <w:pPr>
              <w:spacing w:line="240" w:lineRule="atLeast"/>
              <w:jc w:val="right"/>
              <w:rPr>
                <w:rFonts w:ascii="Tahoma" w:hAnsi="Tahoma"/>
                <w:color w:val="000000" w:themeColor="text1"/>
                <w:sz w:val="16"/>
                <w:lang w:val="en-GB"/>
              </w:rPr>
            </w:pPr>
            <w:r w:rsidRPr="00A57C80">
              <w:rPr>
                <w:rFonts w:ascii="Tahoma" w:hAnsi="Tahoma"/>
                <w:color w:val="000000" w:themeColor="text1"/>
                <w:sz w:val="16"/>
                <w:lang w:val="en-GB"/>
              </w:rPr>
              <w:t>(59)</w:t>
            </w:r>
          </w:p>
        </w:tc>
        <w:tc>
          <w:tcPr>
            <w:tcW w:w="1134" w:type="dxa"/>
            <w:shd w:val="clear" w:color="auto" w:fill="auto"/>
            <w:tcMar>
              <w:top w:w="57" w:type="dxa"/>
              <w:left w:w="0" w:type="dxa"/>
              <w:bottom w:w="57" w:type="dxa"/>
              <w:right w:w="0" w:type="dxa"/>
            </w:tcMar>
            <w:vAlign w:val="bottom"/>
          </w:tcPr>
          <w:p w14:paraId="049B2FC9" w14:textId="77777777" w:rsidR="00A57C80" w:rsidRPr="00A57C80" w:rsidRDefault="00A57C80" w:rsidP="00304B3E">
            <w:pPr>
              <w:spacing w:line="240" w:lineRule="atLeast"/>
              <w:jc w:val="right"/>
              <w:rPr>
                <w:rFonts w:ascii="Tahoma" w:hAnsi="Tahoma"/>
                <w:color w:val="000000" w:themeColor="text1"/>
                <w:sz w:val="16"/>
                <w:lang w:val="en-GB"/>
              </w:rPr>
            </w:pPr>
            <w:r w:rsidRPr="00A57C80">
              <w:rPr>
                <w:rFonts w:ascii="Tahoma" w:hAnsi="Tahoma"/>
                <w:color w:val="000000" w:themeColor="text1"/>
                <w:sz w:val="16"/>
                <w:lang w:val="en-GB"/>
              </w:rPr>
              <w:t>(126)</w:t>
            </w:r>
          </w:p>
        </w:tc>
      </w:tr>
      <w:tr w:rsidR="00615190" w:rsidRPr="00A57C80" w14:paraId="1A91448F" w14:textId="77777777" w:rsidTr="00CF620E">
        <w:trPr>
          <w:trHeight w:val="60"/>
        </w:trPr>
        <w:tc>
          <w:tcPr>
            <w:tcW w:w="397" w:type="dxa"/>
            <w:shd w:val="clear" w:color="auto" w:fill="auto"/>
            <w:tcMar>
              <w:top w:w="57" w:type="dxa"/>
              <w:left w:w="0" w:type="dxa"/>
              <w:bottom w:w="57" w:type="dxa"/>
              <w:right w:w="0" w:type="dxa"/>
            </w:tcMar>
            <w:vAlign w:val="bottom"/>
          </w:tcPr>
          <w:p w14:paraId="17EEAD95" w14:textId="77777777" w:rsidR="00A57C80" w:rsidRPr="00A57C80" w:rsidRDefault="00A57C80" w:rsidP="00615190">
            <w:pPr>
              <w:spacing w:line="240" w:lineRule="atLeast"/>
              <w:rPr>
                <w:rFonts w:ascii="Tahoma" w:hAnsi="Tahoma"/>
                <w:color w:val="000000" w:themeColor="text1"/>
                <w:sz w:val="16"/>
                <w:lang w:val="en-GB"/>
              </w:rPr>
            </w:pPr>
          </w:p>
        </w:tc>
        <w:tc>
          <w:tcPr>
            <w:tcW w:w="6407" w:type="dxa"/>
            <w:shd w:val="clear" w:color="auto" w:fill="auto"/>
            <w:tcMar>
              <w:top w:w="57" w:type="dxa"/>
              <w:left w:w="0" w:type="dxa"/>
              <w:bottom w:w="57" w:type="dxa"/>
              <w:right w:w="113" w:type="dxa"/>
            </w:tcMar>
            <w:vAlign w:val="bottom"/>
          </w:tcPr>
          <w:p w14:paraId="3A85FBE1" w14:textId="77777777" w:rsidR="00A57C80" w:rsidRPr="00A57C80" w:rsidRDefault="00A57C80" w:rsidP="00615190">
            <w:pPr>
              <w:spacing w:line="240" w:lineRule="atLeast"/>
              <w:rPr>
                <w:rFonts w:ascii="Tahoma" w:hAnsi="Tahoma"/>
                <w:color w:val="000000" w:themeColor="text1"/>
                <w:sz w:val="16"/>
                <w:lang w:val="en-GB"/>
              </w:rPr>
            </w:pPr>
            <w:r w:rsidRPr="00A57C80">
              <w:rPr>
                <w:rFonts w:ascii="Tahoma" w:hAnsi="Tahoma"/>
                <w:color w:val="000000" w:themeColor="text1"/>
                <w:sz w:val="16"/>
                <w:lang w:val="en-GB"/>
              </w:rPr>
              <w:t>Other (losses)/gains – net</w:t>
            </w:r>
          </w:p>
        </w:tc>
        <w:tc>
          <w:tcPr>
            <w:tcW w:w="1134" w:type="dxa"/>
            <w:shd w:val="clear" w:color="auto" w:fill="auto"/>
            <w:tcMar>
              <w:top w:w="57" w:type="dxa"/>
              <w:left w:w="0" w:type="dxa"/>
              <w:bottom w:w="57" w:type="dxa"/>
              <w:right w:w="0" w:type="dxa"/>
            </w:tcMar>
            <w:vAlign w:val="bottom"/>
          </w:tcPr>
          <w:p w14:paraId="411CBCE8" w14:textId="77777777" w:rsidR="00A57C80" w:rsidRPr="00A57C80" w:rsidRDefault="00A57C80" w:rsidP="00304B3E">
            <w:pPr>
              <w:spacing w:line="240" w:lineRule="atLeast"/>
              <w:jc w:val="right"/>
              <w:rPr>
                <w:rFonts w:ascii="Tahoma" w:hAnsi="Tahoma"/>
                <w:b/>
                <w:bCs/>
                <w:color w:val="000000" w:themeColor="text1"/>
                <w:sz w:val="16"/>
                <w:lang w:val="en-GB"/>
              </w:rPr>
            </w:pPr>
            <w:r w:rsidRPr="00A57C80">
              <w:rPr>
                <w:rFonts w:ascii="Tahoma" w:hAnsi="Tahoma"/>
                <w:b/>
                <w:bCs/>
                <w:color w:val="000000" w:themeColor="text1"/>
                <w:sz w:val="16"/>
                <w:lang w:val="en-GB"/>
              </w:rPr>
              <w:t>(9)</w:t>
            </w:r>
          </w:p>
        </w:tc>
        <w:tc>
          <w:tcPr>
            <w:tcW w:w="1134" w:type="dxa"/>
            <w:shd w:val="clear" w:color="auto" w:fill="auto"/>
            <w:tcMar>
              <w:top w:w="57" w:type="dxa"/>
              <w:left w:w="0" w:type="dxa"/>
              <w:bottom w:w="57" w:type="dxa"/>
              <w:right w:w="0" w:type="dxa"/>
            </w:tcMar>
            <w:vAlign w:val="bottom"/>
          </w:tcPr>
          <w:p w14:paraId="0687E5C7" w14:textId="77777777" w:rsidR="00A57C80" w:rsidRPr="00A57C80" w:rsidRDefault="00A57C80" w:rsidP="00304B3E">
            <w:pPr>
              <w:spacing w:line="240" w:lineRule="atLeast"/>
              <w:jc w:val="right"/>
              <w:rPr>
                <w:rFonts w:ascii="Tahoma" w:hAnsi="Tahoma"/>
                <w:color w:val="000000" w:themeColor="text1"/>
                <w:sz w:val="16"/>
                <w:lang w:val="en-GB"/>
              </w:rPr>
            </w:pPr>
            <w:r w:rsidRPr="00A57C80">
              <w:rPr>
                <w:rFonts w:ascii="Tahoma" w:hAnsi="Tahoma"/>
                <w:color w:val="000000" w:themeColor="text1"/>
                <w:sz w:val="16"/>
                <w:lang w:val="en-GB"/>
              </w:rPr>
              <w:t>56</w:t>
            </w:r>
          </w:p>
        </w:tc>
        <w:tc>
          <w:tcPr>
            <w:tcW w:w="1134" w:type="dxa"/>
            <w:shd w:val="clear" w:color="auto" w:fill="auto"/>
            <w:tcMar>
              <w:top w:w="57" w:type="dxa"/>
              <w:left w:w="0" w:type="dxa"/>
              <w:bottom w:w="57" w:type="dxa"/>
              <w:right w:w="0" w:type="dxa"/>
            </w:tcMar>
            <w:vAlign w:val="bottom"/>
          </w:tcPr>
          <w:p w14:paraId="2686C070" w14:textId="77777777" w:rsidR="00A57C80" w:rsidRPr="00A57C80" w:rsidRDefault="00A57C80" w:rsidP="00304B3E">
            <w:pPr>
              <w:spacing w:line="240" w:lineRule="atLeast"/>
              <w:jc w:val="right"/>
              <w:rPr>
                <w:rFonts w:ascii="Tahoma" w:hAnsi="Tahoma"/>
                <w:color w:val="000000" w:themeColor="text1"/>
                <w:sz w:val="16"/>
                <w:lang w:val="en-GB"/>
              </w:rPr>
            </w:pPr>
            <w:r w:rsidRPr="00A57C80">
              <w:rPr>
                <w:rFonts w:ascii="Tahoma" w:hAnsi="Tahoma"/>
                <w:color w:val="000000" w:themeColor="text1"/>
                <w:sz w:val="16"/>
                <w:lang w:val="en-GB"/>
              </w:rPr>
              <w:t>(169)</w:t>
            </w:r>
          </w:p>
        </w:tc>
      </w:tr>
      <w:tr w:rsidR="00615190" w:rsidRPr="00A57C80" w14:paraId="57CA19A5" w14:textId="77777777" w:rsidTr="00CF620E">
        <w:trPr>
          <w:trHeight w:val="60"/>
        </w:trPr>
        <w:tc>
          <w:tcPr>
            <w:tcW w:w="397" w:type="dxa"/>
            <w:shd w:val="clear" w:color="auto" w:fill="auto"/>
            <w:tcMar>
              <w:top w:w="57" w:type="dxa"/>
              <w:left w:w="0" w:type="dxa"/>
              <w:bottom w:w="57" w:type="dxa"/>
              <w:right w:w="0" w:type="dxa"/>
            </w:tcMar>
            <w:vAlign w:val="bottom"/>
          </w:tcPr>
          <w:p w14:paraId="51FFDA72" w14:textId="77777777" w:rsidR="00A57C80" w:rsidRPr="00A57C80" w:rsidRDefault="00A57C80" w:rsidP="00615190">
            <w:pPr>
              <w:spacing w:line="240" w:lineRule="atLeast"/>
              <w:rPr>
                <w:rFonts w:ascii="Tahoma" w:hAnsi="Tahoma"/>
                <w:color w:val="000000" w:themeColor="text1"/>
                <w:sz w:val="16"/>
                <w:lang w:val="en-GB"/>
              </w:rPr>
            </w:pPr>
          </w:p>
        </w:tc>
        <w:tc>
          <w:tcPr>
            <w:tcW w:w="6407" w:type="dxa"/>
            <w:shd w:val="clear" w:color="auto" w:fill="auto"/>
            <w:tcMar>
              <w:top w:w="57" w:type="dxa"/>
              <w:left w:w="0" w:type="dxa"/>
              <w:bottom w:w="57" w:type="dxa"/>
              <w:right w:w="113" w:type="dxa"/>
            </w:tcMar>
            <w:vAlign w:val="bottom"/>
          </w:tcPr>
          <w:p w14:paraId="5F6C1F9A" w14:textId="77777777" w:rsidR="00A57C80" w:rsidRPr="00A57C80" w:rsidRDefault="00A57C80" w:rsidP="00615190">
            <w:pPr>
              <w:spacing w:line="240" w:lineRule="atLeast"/>
              <w:rPr>
                <w:rFonts w:ascii="Tahoma" w:hAnsi="Tahoma"/>
                <w:color w:val="000000" w:themeColor="text1"/>
                <w:sz w:val="16"/>
                <w:lang w:val="en-GB"/>
              </w:rPr>
            </w:pPr>
            <w:r w:rsidRPr="00A57C80">
              <w:rPr>
                <w:rFonts w:ascii="Tahoma" w:hAnsi="Tahoma"/>
                <w:color w:val="000000" w:themeColor="text1"/>
                <w:sz w:val="16"/>
                <w:lang w:val="en-GB"/>
              </w:rPr>
              <w:t>Retention option expense</w:t>
            </w:r>
          </w:p>
        </w:tc>
        <w:tc>
          <w:tcPr>
            <w:tcW w:w="1134" w:type="dxa"/>
            <w:shd w:val="clear" w:color="auto" w:fill="auto"/>
            <w:tcMar>
              <w:top w:w="57" w:type="dxa"/>
              <w:left w:w="0" w:type="dxa"/>
              <w:bottom w:w="57" w:type="dxa"/>
              <w:right w:w="0" w:type="dxa"/>
            </w:tcMar>
            <w:vAlign w:val="bottom"/>
          </w:tcPr>
          <w:p w14:paraId="52054F21" w14:textId="77777777" w:rsidR="00A57C80" w:rsidRPr="00A57C80" w:rsidRDefault="00A57C80" w:rsidP="00304B3E">
            <w:pPr>
              <w:spacing w:line="240" w:lineRule="atLeast"/>
              <w:jc w:val="right"/>
              <w:rPr>
                <w:rFonts w:ascii="Tahoma" w:hAnsi="Tahoma"/>
                <w:b/>
                <w:bCs/>
                <w:color w:val="000000" w:themeColor="text1"/>
                <w:sz w:val="16"/>
                <w:lang w:val="en-GB"/>
              </w:rPr>
            </w:pPr>
            <w:r w:rsidRPr="00A57C80">
              <w:rPr>
                <w:rFonts w:ascii="Tahoma" w:hAnsi="Tahoma"/>
                <w:b/>
                <w:bCs/>
                <w:color w:val="000000" w:themeColor="text1"/>
                <w:sz w:val="16"/>
                <w:lang w:val="en-GB"/>
              </w:rPr>
              <w:t>15</w:t>
            </w:r>
          </w:p>
        </w:tc>
        <w:tc>
          <w:tcPr>
            <w:tcW w:w="1134" w:type="dxa"/>
            <w:shd w:val="clear" w:color="auto" w:fill="auto"/>
            <w:tcMar>
              <w:top w:w="57" w:type="dxa"/>
              <w:left w:w="0" w:type="dxa"/>
              <w:bottom w:w="57" w:type="dxa"/>
              <w:right w:w="0" w:type="dxa"/>
            </w:tcMar>
            <w:vAlign w:val="bottom"/>
          </w:tcPr>
          <w:p w14:paraId="30B98C51" w14:textId="77777777" w:rsidR="00A57C80" w:rsidRPr="00A57C80" w:rsidRDefault="00A57C80" w:rsidP="00304B3E">
            <w:pPr>
              <w:spacing w:line="240" w:lineRule="atLeast"/>
              <w:jc w:val="right"/>
              <w:rPr>
                <w:rFonts w:ascii="Tahoma" w:hAnsi="Tahoma"/>
                <w:color w:val="000000" w:themeColor="text1"/>
                <w:sz w:val="16"/>
                <w:lang w:val="en-GB"/>
              </w:rPr>
            </w:pPr>
            <w:r w:rsidRPr="00A57C80">
              <w:rPr>
                <w:rFonts w:ascii="Tahoma" w:hAnsi="Tahoma"/>
                <w:color w:val="000000" w:themeColor="text1"/>
                <w:sz w:val="16"/>
                <w:lang w:val="en-GB"/>
              </w:rPr>
              <w:t>(2)</w:t>
            </w:r>
          </w:p>
        </w:tc>
        <w:tc>
          <w:tcPr>
            <w:tcW w:w="1134" w:type="dxa"/>
            <w:shd w:val="clear" w:color="auto" w:fill="auto"/>
            <w:tcMar>
              <w:top w:w="57" w:type="dxa"/>
              <w:left w:w="0" w:type="dxa"/>
              <w:bottom w:w="57" w:type="dxa"/>
              <w:right w:w="0" w:type="dxa"/>
            </w:tcMar>
            <w:vAlign w:val="bottom"/>
          </w:tcPr>
          <w:p w14:paraId="5948C568" w14:textId="77777777" w:rsidR="00A57C80" w:rsidRPr="00A57C80" w:rsidRDefault="00A57C80" w:rsidP="00304B3E">
            <w:pPr>
              <w:spacing w:line="240" w:lineRule="atLeast"/>
              <w:jc w:val="right"/>
              <w:rPr>
                <w:rFonts w:ascii="Tahoma" w:hAnsi="Tahoma"/>
                <w:color w:val="000000" w:themeColor="text1"/>
                <w:sz w:val="16"/>
                <w:lang w:val="en-GB"/>
              </w:rPr>
            </w:pPr>
            <w:r w:rsidRPr="00A57C80">
              <w:rPr>
                <w:rFonts w:ascii="Tahoma" w:hAnsi="Tahoma"/>
                <w:color w:val="000000" w:themeColor="text1"/>
                <w:sz w:val="16"/>
                <w:lang w:val="en-GB"/>
              </w:rPr>
              <w:t>(15)</w:t>
            </w:r>
          </w:p>
        </w:tc>
      </w:tr>
      <w:tr w:rsidR="00615190" w:rsidRPr="00A57C80" w14:paraId="7E084B90" w14:textId="77777777" w:rsidTr="00BD044C">
        <w:trPr>
          <w:trHeight w:val="60"/>
        </w:trPr>
        <w:tc>
          <w:tcPr>
            <w:tcW w:w="397" w:type="dxa"/>
            <w:shd w:val="clear" w:color="auto" w:fill="auto"/>
            <w:tcMar>
              <w:top w:w="57" w:type="dxa"/>
              <w:left w:w="0" w:type="dxa"/>
              <w:bottom w:w="57" w:type="dxa"/>
              <w:right w:w="0" w:type="dxa"/>
            </w:tcMar>
            <w:vAlign w:val="bottom"/>
          </w:tcPr>
          <w:p w14:paraId="7F46BA3C" w14:textId="77777777" w:rsidR="00A57C80" w:rsidRPr="00A57C80" w:rsidRDefault="00A57C80" w:rsidP="00615190">
            <w:pPr>
              <w:spacing w:line="240" w:lineRule="atLeast"/>
              <w:rPr>
                <w:rFonts w:ascii="Tahoma" w:hAnsi="Tahoma"/>
                <w:color w:val="000000" w:themeColor="text1"/>
                <w:sz w:val="16"/>
                <w:lang w:val="en-GB"/>
              </w:rPr>
            </w:pPr>
          </w:p>
        </w:tc>
        <w:tc>
          <w:tcPr>
            <w:tcW w:w="6407" w:type="dxa"/>
            <w:shd w:val="clear" w:color="auto" w:fill="auto"/>
            <w:tcMar>
              <w:top w:w="57" w:type="dxa"/>
              <w:left w:w="0" w:type="dxa"/>
              <w:bottom w:w="57" w:type="dxa"/>
              <w:right w:w="113" w:type="dxa"/>
            </w:tcMar>
            <w:vAlign w:val="bottom"/>
          </w:tcPr>
          <w:p w14:paraId="57639432" w14:textId="77777777" w:rsidR="00A57C80" w:rsidRPr="00A57C80" w:rsidRDefault="00A57C80" w:rsidP="00615190">
            <w:pPr>
              <w:spacing w:line="240" w:lineRule="atLeast"/>
              <w:rPr>
                <w:rFonts w:ascii="Tahoma" w:hAnsi="Tahoma"/>
                <w:color w:val="000000" w:themeColor="text1"/>
                <w:sz w:val="16"/>
                <w:lang w:val="en-GB"/>
              </w:rPr>
            </w:pPr>
            <w:r w:rsidRPr="00A57C80">
              <w:rPr>
                <w:rFonts w:ascii="Tahoma" w:hAnsi="Tahoma"/>
                <w:color w:val="000000" w:themeColor="text1"/>
                <w:sz w:val="16"/>
                <w:lang w:val="en-GB"/>
              </w:rPr>
              <w:t>Remeasurement of cash-settled share-based incentives expenses</w:t>
            </w:r>
          </w:p>
        </w:tc>
        <w:tc>
          <w:tcPr>
            <w:tcW w:w="1134" w:type="dxa"/>
            <w:shd w:val="clear" w:color="auto" w:fill="auto"/>
            <w:tcMar>
              <w:top w:w="57" w:type="dxa"/>
              <w:left w:w="0" w:type="dxa"/>
              <w:bottom w:w="57" w:type="dxa"/>
              <w:right w:w="0" w:type="dxa"/>
            </w:tcMar>
            <w:vAlign w:val="bottom"/>
          </w:tcPr>
          <w:p w14:paraId="22391A82" w14:textId="77777777" w:rsidR="00A57C80" w:rsidRPr="00A57C80" w:rsidRDefault="00A57C80" w:rsidP="00304B3E">
            <w:pPr>
              <w:spacing w:line="240" w:lineRule="atLeast"/>
              <w:jc w:val="right"/>
              <w:rPr>
                <w:rFonts w:ascii="Tahoma" w:hAnsi="Tahoma"/>
                <w:b/>
                <w:bCs/>
                <w:color w:val="000000" w:themeColor="text1"/>
                <w:sz w:val="16"/>
                <w:lang w:val="en-GB"/>
              </w:rPr>
            </w:pPr>
            <w:r w:rsidRPr="00A57C80">
              <w:rPr>
                <w:rFonts w:ascii="Tahoma" w:hAnsi="Tahoma"/>
                <w:b/>
                <w:bCs/>
                <w:color w:val="000000" w:themeColor="text1"/>
                <w:sz w:val="16"/>
                <w:lang w:val="en-GB"/>
              </w:rPr>
              <w:t>274</w:t>
            </w:r>
          </w:p>
        </w:tc>
        <w:tc>
          <w:tcPr>
            <w:tcW w:w="1134" w:type="dxa"/>
            <w:shd w:val="clear" w:color="auto" w:fill="auto"/>
            <w:tcMar>
              <w:top w:w="57" w:type="dxa"/>
              <w:left w:w="0" w:type="dxa"/>
              <w:bottom w:w="57" w:type="dxa"/>
              <w:right w:w="0" w:type="dxa"/>
            </w:tcMar>
            <w:vAlign w:val="bottom"/>
          </w:tcPr>
          <w:p w14:paraId="03BAA6A0" w14:textId="77777777" w:rsidR="00A57C80" w:rsidRPr="00A57C80" w:rsidRDefault="00A57C80" w:rsidP="00304B3E">
            <w:pPr>
              <w:spacing w:line="240" w:lineRule="atLeast"/>
              <w:jc w:val="right"/>
              <w:rPr>
                <w:rFonts w:ascii="Tahoma" w:hAnsi="Tahoma"/>
                <w:color w:val="000000" w:themeColor="text1"/>
                <w:sz w:val="16"/>
                <w:lang w:val="en-GB"/>
              </w:rPr>
            </w:pPr>
            <w:r w:rsidRPr="00A57C80">
              <w:rPr>
                <w:rFonts w:ascii="Tahoma" w:hAnsi="Tahoma"/>
                <w:color w:val="000000" w:themeColor="text1"/>
                <w:sz w:val="16"/>
                <w:lang w:val="en-GB"/>
              </w:rPr>
              <w:t>(97)</w:t>
            </w:r>
          </w:p>
        </w:tc>
        <w:tc>
          <w:tcPr>
            <w:tcW w:w="1134" w:type="dxa"/>
            <w:shd w:val="clear" w:color="auto" w:fill="auto"/>
            <w:tcMar>
              <w:top w:w="57" w:type="dxa"/>
              <w:left w:w="0" w:type="dxa"/>
              <w:bottom w:w="57" w:type="dxa"/>
              <w:right w:w="0" w:type="dxa"/>
            </w:tcMar>
            <w:vAlign w:val="bottom"/>
          </w:tcPr>
          <w:p w14:paraId="2A9700D9" w14:textId="77777777" w:rsidR="00A57C80" w:rsidRPr="00A57C80" w:rsidRDefault="00A57C80" w:rsidP="00304B3E">
            <w:pPr>
              <w:spacing w:line="240" w:lineRule="atLeast"/>
              <w:jc w:val="right"/>
              <w:rPr>
                <w:rFonts w:ascii="Tahoma" w:hAnsi="Tahoma"/>
                <w:color w:val="000000" w:themeColor="text1"/>
                <w:sz w:val="16"/>
                <w:lang w:val="en-GB"/>
              </w:rPr>
            </w:pPr>
            <w:r w:rsidRPr="00A57C80">
              <w:rPr>
                <w:rFonts w:ascii="Tahoma" w:hAnsi="Tahoma"/>
                <w:color w:val="000000" w:themeColor="text1"/>
                <w:sz w:val="16"/>
                <w:lang w:val="en-GB"/>
              </w:rPr>
              <w:t>34</w:t>
            </w:r>
          </w:p>
        </w:tc>
      </w:tr>
      <w:tr w:rsidR="00615190" w:rsidRPr="00A57C80" w14:paraId="73E17706" w14:textId="77777777" w:rsidTr="00BD044C">
        <w:trPr>
          <w:trHeight w:val="60"/>
        </w:trPr>
        <w:tc>
          <w:tcPr>
            <w:tcW w:w="397" w:type="dxa"/>
            <w:shd w:val="clear" w:color="auto" w:fill="auto"/>
            <w:tcMar>
              <w:top w:w="57" w:type="dxa"/>
              <w:left w:w="0" w:type="dxa"/>
              <w:bottom w:w="85" w:type="dxa"/>
              <w:right w:w="0" w:type="dxa"/>
            </w:tcMar>
            <w:vAlign w:val="bottom"/>
          </w:tcPr>
          <w:p w14:paraId="1F47BF23" w14:textId="77777777" w:rsidR="00A57C80" w:rsidRPr="00A57C80" w:rsidRDefault="00A57C80" w:rsidP="00615190">
            <w:pPr>
              <w:spacing w:line="240" w:lineRule="atLeast"/>
              <w:rPr>
                <w:rFonts w:ascii="Tahoma" w:hAnsi="Tahoma"/>
                <w:color w:val="000000" w:themeColor="text1"/>
                <w:sz w:val="16"/>
                <w:lang w:val="en-GB"/>
              </w:rPr>
            </w:pPr>
          </w:p>
        </w:tc>
        <w:tc>
          <w:tcPr>
            <w:tcW w:w="6407" w:type="dxa"/>
            <w:tcBorders>
              <w:bottom w:val="single" w:sz="4" w:space="0" w:color="auto"/>
            </w:tcBorders>
            <w:shd w:val="clear" w:color="auto" w:fill="auto"/>
            <w:tcMar>
              <w:top w:w="57" w:type="dxa"/>
              <w:left w:w="0" w:type="dxa"/>
              <w:bottom w:w="85" w:type="dxa"/>
              <w:right w:w="113" w:type="dxa"/>
            </w:tcMar>
            <w:vAlign w:val="bottom"/>
          </w:tcPr>
          <w:p w14:paraId="1E7C63E1" w14:textId="77777777" w:rsidR="00A57C80" w:rsidRPr="00A57C80" w:rsidRDefault="00A57C80" w:rsidP="00615190">
            <w:pPr>
              <w:spacing w:line="240" w:lineRule="atLeast"/>
              <w:rPr>
                <w:rFonts w:ascii="Tahoma" w:hAnsi="Tahoma"/>
                <w:color w:val="000000" w:themeColor="text1"/>
                <w:sz w:val="16"/>
                <w:lang w:val="en-GB"/>
              </w:rPr>
            </w:pPr>
            <w:r w:rsidRPr="00A57C80">
              <w:rPr>
                <w:rFonts w:ascii="Tahoma" w:hAnsi="Tahoma"/>
                <w:color w:val="000000" w:themeColor="text1"/>
                <w:sz w:val="16"/>
                <w:lang w:val="en-GB"/>
              </w:rPr>
              <w:t>Share-based incentives for share options settled in Naspers shares</w:t>
            </w:r>
            <w:r w:rsidRPr="00A57C80">
              <w:rPr>
                <w:rFonts w:ascii="Tahoma" w:hAnsi="Tahoma"/>
                <w:color w:val="000000" w:themeColor="text1"/>
                <w:sz w:val="16"/>
                <w:vertAlign w:val="superscript"/>
                <w:lang w:val="en-GB"/>
              </w:rPr>
              <w:t>3</w:t>
            </w:r>
          </w:p>
        </w:tc>
        <w:tc>
          <w:tcPr>
            <w:tcW w:w="1134" w:type="dxa"/>
            <w:tcBorders>
              <w:bottom w:val="single" w:sz="4" w:space="0" w:color="auto"/>
            </w:tcBorders>
            <w:shd w:val="clear" w:color="auto" w:fill="auto"/>
            <w:tcMar>
              <w:top w:w="57" w:type="dxa"/>
              <w:left w:w="0" w:type="dxa"/>
              <w:bottom w:w="85" w:type="dxa"/>
              <w:right w:w="0" w:type="dxa"/>
            </w:tcMar>
            <w:vAlign w:val="bottom"/>
          </w:tcPr>
          <w:p w14:paraId="25107120" w14:textId="77777777" w:rsidR="00A57C80" w:rsidRPr="00A57C80" w:rsidRDefault="00A57C80" w:rsidP="00304B3E">
            <w:pPr>
              <w:spacing w:line="240" w:lineRule="atLeast"/>
              <w:jc w:val="right"/>
              <w:rPr>
                <w:rFonts w:ascii="Tahoma" w:hAnsi="Tahoma"/>
                <w:b/>
                <w:bCs/>
                <w:color w:val="000000" w:themeColor="text1"/>
                <w:sz w:val="16"/>
                <w:lang w:val="en-GB"/>
              </w:rPr>
            </w:pPr>
            <w:r w:rsidRPr="00A57C80">
              <w:rPr>
                <w:rFonts w:ascii="Tahoma" w:hAnsi="Tahoma"/>
                <w:b/>
                <w:bCs/>
                <w:color w:val="000000" w:themeColor="text1"/>
                <w:sz w:val="16"/>
                <w:lang w:val="en-GB"/>
              </w:rPr>
              <w:t>(3)</w:t>
            </w:r>
          </w:p>
        </w:tc>
        <w:tc>
          <w:tcPr>
            <w:tcW w:w="1134" w:type="dxa"/>
            <w:tcBorders>
              <w:bottom w:val="single" w:sz="4" w:space="0" w:color="auto"/>
            </w:tcBorders>
            <w:shd w:val="clear" w:color="auto" w:fill="auto"/>
            <w:tcMar>
              <w:top w:w="57" w:type="dxa"/>
              <w:left w:w="0" w:type="dxa"/>
              <w:bottom w:w="85" w:type="dxa"/>
              <w:right w:w="0" w:type="dxa"/>
            </w:tcMar>
            <w:vAlign w:val="bottom"/>
          </w:tcPr>
          <w:p w14:paraId="02D0AFEC" w14:textId="77777777" w:rsidR="00A57C80" w:rsidRPr="00A57C80" w:rsidRDefault="00A57C80" w:rsidP="00304B3E">
            <w:pPr>
              <w:spacing w:line="240" w:lineRule="atLeast"/>
              <w:jc w:val="right"/>
              <w:rPr>
                <w:rFonts w:ascii="Tahoma" w:hAnsi="Tahoma"/>
                <w:color w:val="000000" w:themeColor="text1"/>
                <w:sz w:val="16"/>
                <w:lang w:val="en-GB"/>
              </w:rPr>
            </w:pPr>
            <w:r w:rsidRPr="00A57C80">
              <w:rPr>
                <w:rFonts w:ascii="Tahoma" w:hAnsi="Tahoma"/>
                <w:color w:val="000000" w:themeColor="text1"/>
                <w:sz w:val="16"/>
                <w:lang w:val="en-GB"/>
              </w:rPr>
              <w:t>(8)</w:t>
            </w:r>
          </w:p>
        </w:tc>
        <w:tc>
          <w:tcPr>
            <w:tcW w:w="1134" w:type="dxa"/>
            <w:tcBorders>
              <w:bottom w:val="single" w:sz="4" w:space="0" w:color="auto"/>
            </w:tcBorders>
            <w:shd w:val="clear" w:color="auto" w:fill="auto"/>
            <w:tcMar>
              <w:top w:w="57" w:type="dxa"/>
              <w:left w:w="0" w:type="dxa"/>
              <w:bottom w:w="85" w:type="dxa"/>
              <w:right w:w="0" w:type="dxa"/>
            </w:tcMar>
            <w:vAlign w:val="bottom"/>
          </w:tcPr>
          <w:p w14:paraId="1AF9954D" w14:textId="77777777" w:rsidR="00A57C80" w:rsidRPr="00A57C80" w:rsidRDefault="00A57C80" w:rsidP="00304B3E">
            <w:pPr>
              <w:spacing w:line="240" w:lineRule="atLeast"/>
              <w:jc w:val="right"/>
              <w:rPr>
                <w:rFonts w:ascii="Tahoma" w:hAnsi="Tahoma"/>
                <w:color w:val="000000" w:themeColor="text1"/>
                <w:sz w:val="16"/>
                <w:lang w:val="en-GB"/>
              </w:rPr>
            </w:pPr>
            <w:r w:rsidRPr="00A57C80">
              <w:rPr>
                <w:rFonts w:ascii="Tahoma" w:hAnsi="Tahoma"/>
                <w:color w:val="000000" w:themeColor="text1"/>
                <w:sz w:val="16"/>
                <w:lang w:val="en-GB"/>
              </w:rPr>
              <w:t>(24)</w:t>
            </w:r>
          </w:p>
        </w:tc>
      </w:tr>
      <w:tr w:rsidR="00615190" w:rsidRPr="00A57C80" w14:paraId="5B2AF7C8" w14:textId="77777777" w:rsidTr="00BD044C">
        <w:trPr>
          <w:trHeight w:val="60"/>
        </w:trPr>
        <w:tc>
          <w:tcPr>
            <w:tcW w:w="397" w:type="dxa"/>
            <w:shd w:val="clear" w:color="auto" w:fill="auto"/>
            <w:tcMar>
              <w:top w:w="85" w:type="dxa"/>
              <w:left w:w="0" w:type="dxa"/>
              <w:bottom w:w="85" w:type="dxa"/>
              <w:right w:w="0" w:type="dxa"/>
            </w:tcMar>
            <w:vAlign w:val="bottom"/>
          </w:tcPr>
          <w:p w14:paraId="2BA02009" w14:textId="77777777" w:rsidR="00A57C80" w:rsidRPr="00A57C80" w:rsidRDefault="00A57C80" w:rsidP="00615190">
            <w:pPr>
              <w:spacing w:line="240" w:lineRule="atLeast"/>
              <w:rPr>
                <w:rFonts w:ascii="Tahoma" w:hAnsi="Tahoma"/>
                <w:color w:val="000000" w:themeColor="text1"/>
                <w:sz w:val="16"/>
                <w:lang w:val="en-GB"/>
              </w:rPr>
            </w:pPr>
          </w:p>
        </w:tc>
        <w:tc>
          <w:tcPr>
            <w:tcW w:w="6407" w:type="dxa"/>
            <w:tcBorders>
              <w:top w:val="single" w:sz="4" w:space="0" w:color="auto"/>
              <w:bottom w:val="single" w:sz="12" w:space="0" w:color="auto"/>
            </w:tcBorders>
            <w:shd w:val="clear" w:color="auto" w:fill="auto"/>
            <w:tcMar>
              <w:top w:w="85" w:type="dxa"/>
              <w:left w:w="0" w:type="dxa"/>
              <w:bottom w:w="85" w:type="dxa"/>
              <w:right w:w="113" w:type="dxa"/>
            </w:tcMar>
            <w:vAlign w:val="bottom"/>
          </w:tcPr>
          <w:p w14:paraId="38F9C0AD" w14:textId="77777777" w:rsidR="00A57C80" w:rsidRPr="00A57C80" w:rsidRDefault="00A57C80" w:rsidP="00615190">
            <w:pPr>
              <w:spacing w:line="240" w:lineRule="atLeast"/>
              <w:rPr>
                <w:rFonts w:ascii="Tahoma" w:hAnsi="Tahoma"/>
                <w:b/>
                <w:bCs/>
                <w:color w:val="000000" w:themeColor="text1"/>
                <w:sz w:val="16"/>
                <w:lang w:val="en-GB"/>
              </w:rPr>
            </w:pPr>
            <w:r w:rsidRPr="00A57C80">
              <w:rPr>
                <w:rFonts w:ascii="Tahoma" w:hAnsi="Tahoma"/>
                <w:b/>
                <w:bCs/>
                <w:color w:val="000000" w:themeColor="text1"/>
                <w:sz w:val="16"/>
                <w:lang w:val="en-GB"/>
              </w:rPr>
              <w:t>Consolidated operating loss from continuing operations</w:t>
            </w:r>
          </w:p>
        </w:tc>
        <w:tc>
          <w:tcPr>
            <w:tcW w:w="1134"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60618AA8" w14:textId="77777777" w:rsidR="00A57C80" w:rsidRPr="00A57C80" w:rsidRDefault="00A57C80" w:rsidP="00304B3E">
            <w:pPr>
              <w:spacing w:line="240" w:lineRule="atLeast"/>
              <w:jc w:val="right"/>
              <w:rPr>
                <w:rFonts w:ascii="Tahoma" w:hAnsi="Tahoma"/>
                <w:b/>
                <w:bCs/>
                <w:color w:val="000000" w:themeColor="text1"/>
                <w:sz w:val="16"/>
                <w:lang w:val="en-GB"/>
              </w:rPr>
            </w:pPr>
            <w:r w:rsidRPr="00A57C80">
              <w:rPr>
                <w:rFonts w:ascii="Tahoma" w:hAnsi="Tahoma"/>
                <w:b/>
                <w:bCs/>
                <w:color w:val="000000" w:themeColor="text1"/>
                <w:sz w:val="16"/>
                <w:lang w:val="en-GB"/>
              </w:rPr>
              <w:t>(287)</w:t>
            </w:r>
          </w:p>
        </w:tc>
        <w:tc>
          <w:tcPr>
            <w:tcW w:w="1134"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191138C2" w14:textId="77777777" w:rsidR="00A57C80" w:rsidRPr="00A57C80" w:rsidRDefault="00A57C80" w:rsidP="00304B3E">
            <w:pPr>
              <w:spacing w:line="240" w:lineRule="atLeast"/>
              <w:jc w:val="right"/>
              <w:rPr>
                <w:rFonts w:ascii="Tahoma" w:hAnsi="Tahoma"/>
                <w:color w:val="000000" w:themeColor="text1"/>
                <w:sz w:val="16"/>
                <w:lang w:val="en-GB"/>
              </w:rPr>
            </w:pPr>
            <w:r w:rsidRPr="00A57C80">
              <w:rPr>
                <w:rFonts w:ascii="Tahoma" w:hAnsi="Tahoma"/>
                <w:color w:val="000000" w:themeColor="text1"/>
                <w:sz w:val="16"/>
                <w:lang w:val="en-GB"/>
              </w:rPr>
              <w:t>(425)</w:t>
            </w:r>
          </w:p>
        </w:tc>
        <w:tc>
          <w:tcPr>
            <w:tcW w:w="1134"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44BB2944" w14:textId="77777777" w:rsidR="00A57C80" w:rsidRPr="00A57C80" w:rsidRDefault="00A57C80" w:rsidP="00304B3E">
            <w:pPr>
              <w:spacing w:line="240" w:lineRule="atLeast"/>
              <w:jc w:val="right"/>
              <w:rPr>
                <w:rFonts w:ascii="Tahoma" w:hAnsi="Tahoma"/>
                <w:color w:val="000000" w:themeColor="text1"/>
                <w:sz w:val="16"/>
                <w:lang w:val="en-GB"/>
              </w:rPr>
            </w:pPr>
            <w:r w:rsidRPr="00A57C80">
              <w:rPr>
                <w:rFonts w:ascii="Tahoma" w:hAnsi="Tahoma"/>
                <w:color w:val="000000" w:themeColor="text1"/>
                <w:sz w:val="16"/>
                <w:lang w:val="en-GB"/>
              </w:rPr>
              <w:t>(1 061)</w:t>
            </w:r>
          </w:p>
        </w:tc>
      </w:tr>
      <w:tr w:rsidR="00615190" w:rsidRPr="00A57C80" w14:paraId="03764C24" w14:textId="77777777" w:rsidTr="00692B1F">
        <w:trPr>
          <w:trHeight w:val="60"/>
        </w:trPr>
        <w:tc>
          <w:tcPr>
            <w:tcW w:w="397" w:type="dxa"/>
            <w:shd w:val="clear" w:color="auto" w:fill="auto"/>
            <w:tcMar>
              <w:top w:w="85" w:type="dxa"/>
              <w:left w:w="0" w:type="dxa"/>
              <w:bottom w:w="57" w:type="dxa"/>
              <w:right w:w="0" w:type="dxa"/>
            </w:tcMar>
            <w:vAlign w:val="bottom"/>
          </w:tcPr>
          <w:p w14:paraId="1A70AAF2" w14:textId="77777777" w:rsidR="00A57C80" w:rsidRPr="00A57C80" w:rsidRDefault="00A57C80" w:rsidP="00615190">
            <w:pPr>
              <w:spacing w:line="240" w:lineRule="atLeast"/>
              <w:rPr>
                <w:rFonts w:ascii="Tahoma" w:hAnsi="Tahoma"/>
                <w:color w:val="000000" w:themeColor="text1"/>
                <w:sz w:val="16"/>
                <w:lang w:val="en-GB"/>
              </w:rPr>
            </w:pPr>
          </w:p>
        </w:tc>
        <w:tc>
          <w:tcPr>
            <w:tcW w:w="9809" w:type="dxa"/>
            <w:gridSpan w:val="4"/>
            <w:tcBorders>
              <w:top w:val="single" w:sz="12" w:space="0" w:color="auto"/>
            </w:tcBorders>
            <w:shd w:val="clear" w:color="auto" w:fill="auto"/>
            <w:tcMar>
              <w:top w:w="85" w:type="dxa"/>
              <w:left w:w="0" w:type="dxa"/>
              <w:bottom w:w="57" w:type="dxa"/>
              <w:right w:w="0" w:type="dxa"/>
            </w:tcMar>
            <w:vAlign w:val="bottom"/>
          </w:tcPr>
          <w:p w14:paraId="6F5ABFFB" w14:textId="77777777" w:rsidR="00A57C80" w:rsidRPr="00A57C80" w:rsidRDefault="00A57C80" w:rsidP="00001397">
            <w:pPr>
              <w:pStyle w:val="FootnotesProsus2022FrontStylesProsus2022"/>
            </w:pPr>
            <w:r w:rsidRPr="00A57C80">
              <w:t>1</w:t>
            </w:r>
            <w:r w:rsidRPr="00A57C80">
              <w:tab/>
              <w:t>Adjusted EBITDA is a non-IFRS measure that represents operating profit/loss, as adjusted, to exclude: depreciation; amortisation; retention option expenses linked to business combinations; other losses/gains – net, which includes dividends received from investments, profits and losses on sale of assets, fair-value adjustments of financial instruments, impairment losses, cash-settled share-based compensation expenses deemed to arise from shareholder transactions by virtue of employment; and subsequent fair-value remeasurement of cash-settled share-based compensation expenses, equity-settled share-based compensation expenses for group share option schemes as well as those deemed to arise on shareholder transactions (but not excluding share-based payment expenses for which the group has a cash cost on settlement with participants). It is considered a useful measure to analyse operational profitability.</w:t>
            </w:r>
          </w:p>
          <w:p w14:paraId="0783F7A0" w14:textId="77777777" w:rsidR="00A57C80" w:rsidRPr="00A57C80" w:rsidRDefault="00A57C80" w:rsidP="00001397">
            <w:pPr>
              <w:pStyle w:val="FootnotesProsus2022FrontStylesProsus2022"/>
            </w:pPr>
            <w:r w:rsidRPr="00A57C80">
              <w:t>2</w:t>
            </w:r>
            <w:r w:rsidRPr="00A57C80">
              <w:tab/>
              <w:t>Trading profit/(loss) is a non-IFRS measure that refers to adjusted EBITDA adjusted for depreciation, amortisation of software and interest on capitalised lease liabilities. It is considered a useful measure to analyse operational profitability.</w:t>
            </w:r>
          </w:p>
          <w:p w14:paraId="6CBF56EA" w14:textId="77777777" w:rsidR="00A57C80" w:rsidRPr="00A57C80" w:rsidRDefault="00A57C80" w:rsidP="00001397">
            <w:pPr>
              <w:pStyle w:val="FootnotesProsus2022FrontStylesProsus2022"/>
            </w:pPr>
            <w:r w:rsidRPr="00A57C80">
              <w:t>3</w:t>
            </w:r>
            <w:r w:rsidRPr="00A57C80">
              <w:tab/>
              <w:t xml:space="preserve">Refers to share-based incentives settled in equity instruments of the Naspers group, where the </w:t>
            </w:r>
            <w:proofErr w:type="spellStart"/>
            <w:r w:rsidRPr="00A57C80">
              <w:t>Prosus</w:t>
            </w:r>
            <w:proofErr w:type="spellEnd"/>
            <w:r w:rsidRPr="00A57C80">
              <w:t xml:space="preserve"> group has no obligation to settle the awards with participants, </w:t>
            </w:r>
            <w:proofErr w:type="spellStart"/>
            <w:proofErr w:type="gramStart"/>
            <w:r w:rsidRPr="00A57C80">
              <w:t>ie</w:t>
            </w:r>
            <w:proofErr w:type="spellEnd"/>
            <w:proofErr w:type="gramEnd"/>
            <w:r w:rsidRPr="00A57C80">
              <w:t xml:space="preserve"> they are settled by Naspers.</w:t>
            </w:r>
          </w:p>
        </w:tc>
      </w:tr>
    </w:tbl>
    <w:p w14:paraId="6C53C1BD" w14:textId="77777777" w:rsidR="00E04732" w:rsidRDefault="00E04732" w:rsidP="00615190">
      <w:pPr>
        <w:spacing w:line="240" w:lineRule="atLeast"/>
        <w:rPr>
          <w:rFonts w:ascii="Tahoma" w:hAnsi="Tahoma"/>
          <w:color w:val="000000" w:themeColor="text1"/>
          <w:sz w:val="16"/>
        </w:rPr>
      </w:pPr>
    </w:p>
    <w:p w14:paraId="643C667F" w14:textId="77777777" w:rsidR="00E04732" w:rsidRDefault="00E04732">
      <w:pPr>
        <w:rPr>
          <w:rFonts w:ascii="Tahoma" w:hAnsi="Tahoma"/>
          <w:color w:val="000000" w:themeColor="text1"/>
          <w:sz w:val="16"/>
        </w:rPr>
      </w:pPr>
      <w:r>
        <w:rPr>
          <w:rFonts w:ascii="Tahoma" w:hAnsi="Tahoma"/>
          <w:color w:val="000000" w:themeColor="text1"/>
          <w:sz w:val="16"/>
        </w:rPr>
        <w:br w:type="page"/>
      </w:r>
    </w:p>
    <w:p w14:paraId="7C34F345" w14:textId="77777777" w:rsidR="00A57C80" w:rsidRPr="00615190" w:rsidRDefault="00A57C80" w:rsidP="00615190">
      <w:pPr>
        <w:spacing w:line="240" w:lineRule="atLeast"/>
        <w:rPr>
          <w:rFonts w:ascii="Tahoma" w:hAnsi="Tahoma"/>
          <w:color w:val="000000" w:themeColor="text1"/>
          <w:sz w:val="16"/>
        </w:rPr>
      </w:pPr>
    </w:p>
    <w:tbl>
      <w:tblPr>
        <w:tblW w:w="10206" w:type="dxa"/>
        <w:tblInd w:w="-8" w:type="dxa"/>
        <w:tblLayout w:type="fixed"/>
        <w:tblCellMar>
          <w:left w:w="0" w:type="dxa"/>
          <w:right w:w="0" w:type="dxa"/>
        </w:tblCellMar>
        <w:tblLook w:val="0000" w:firstRow="0" w:lastRow="0" w:firstColumn="0" w:lastColumn="0" w:noHBand="0" w:noVBand="0"/>
      </w:tblPr>
      <w:tblGrid>
        <w:gridCol w:w="397"/>
        <w:gridCol w:w="5273"/>
        <w:gridCol w:w="1134"/>
        <w:gridCol w:w="1134"/>
        <w:gridCol w:w="1134"/>
        <w:gridCol w:w="1134"/>
      </w:tblGrid>
      <w:tr w:rsidR="00615190" w:rsidRPr="00E61AF9" w14:paraId="5ED44157" w14:textId="77777777" w:rsidTr="00D67B0E">
        <w:trPr>
          <w:trHeight w:val="60"/>
        </w:trPr>
        <w:tc>
          <w:tcPr>
            <w:tcW w:w="397" w:type="dxa"/>
            <w:shd w:val="clear" w:color="auto" w:fill="auto"/>
            <w:tcMar>
              <w:top w:w="0" w:type="dxa"/>
              <w:left w:w="0" w:type="dxa"/>
              <w:bottom w:w="113" w:type="dxa"/>
              <w:right w:w="0" w:type="dxa"/>
            </w:tcMar>
            <w:vAlign w:val="bottom"/>
          </w:tcPr>
          <w:p w14:paraId="166595CE" w14:textId="77777777" w:rsidR="00E61AF9" w:rsidRPr="00E61AF9" w:rsidRDefault="00E61AF9" w:rsidP="00615190">
            <w:pPr>
              <w:spacing w:line="240" w:lineRule="atLeast"/>
              <w:rPr>
                <w:rFonts w:ascii="Tahoma" w:hAnsi="Tahoma"/>
                <w:b/>
                <w:bCs/>
                <w:color w:val="000000" w:themeColor="text1"/>
                <w:sz w:val="16"/>
                <w:lang w:val="en-GB"/>
              </w:rPr>
            </w:pPr>
            <w:r w:rsidRPr="00E61AF9">
              <w:rPr>
                <w:rFonts w:ascii="Tahoma" w:hAnsi="Tahoma"/>
                <w:b/>
                <w:bCs/>
                <w:color w:val="000000" w:themeColor="text1"/>
                <w:sz w:val="16"/>
                <w:lang w:val="en-GB"/>
              </w:rPr>
              <w:t>4.</w:t>
            </w:r>
          </w:p>
        </w:tc>
        <w:tc>
          <w:tcPr>
            <w:tcW w:w="5273" w:type="dxa"/>
            <w:shd w:val="clear" w:color="auto" w:fill="auto"/>
            <w:tcMar>
              <w:top w:w="0" w:type="dxa"/>
              <w:left w:w="0" w:type="dxa"/>
              <w:bottom w:w="113" w:type="dxa"/>
              <w:right w:w="0" w:type="dxa"/>
            </w:tcMar>
            <w:vAlign w:val="bottom"/>
          </w:tcPr>
          <w:p w14:paraId="5230BD80" w14:textId="77777777" w:rsidR="00E61AF9" w:rsidRPr="00E61AF9" w:rsidRDefault="003E2611" w:rsidP="00615190">
            <w:pPr>
              <w:spacing w:line="240" w:lineRule="atLeast"/>
              <w:rPr>
                <w:rFonts w:ascii="Tahoma" w:hAnsi="Tahoma"/>
                <w:b/>
                <w:bCs/>
                <w:color w:val="000000" w:themeColor="text1"/>
                <w:sz w:val="16"/>
                <w:lang w:val="en-GB"/>
              </w:rPr>
            </w:pPr>
            <w:r w:rsidRPr="00E61AF9">
              <w:rPr>
                <w:rFonts w:ascii="Tahoma" w:hAnsi="Tahoma"/>
                <w:b/>
                <w:bCs/>
                <w:color w:val="000000" w:themeColor="text1"/>
                <w:sz w:val="16"/>
                <w:lang w:val="en-GB"/>
              </w:rPr>
              <w:t xml:space="preserve">SEGMENTAL REVIEW </w:t>
            </w:r>
            <w:r w:rsidR="00E61AF9" w:rsidRPr="00E61AF9">
              <w:rPr>
                <w:rFonts w:ascii="Tahoma" w:hAnsi="Tahoma"/>
                <w:b/>
                <w:bCs/>
                <w:color w:val="000000" w:themeColor="text1"/>
                <w:sz w:val="16"/>
                <w:lang w:val="en-GB"/>
              </w:rPr>
              <w:t>(continued)</w:t>
            </w:r>
          </w:p>
        </w:tc>
        <w:tc>
          <w:tcPr>
            <w:tcW w:w="1134" w:type="dxa"/>
            <w:shd w:val="clear" w:color="auto" w:fill="auto"/>
            <w:tcMar>
              <w:top w:w="0" w:type="dxa"/>
              <w:left w:w="0" w:type="dxa"/>
              <w:bottom w:w="113" w:type="dxa"/>
              <w:right w:w="0" w:type="dxa"/>
            </w:tcMar>
            <w:vAlign w:val="bottom"/>
          </w:tcPr>
          <w:p w14:paraId="32E2C426" w14:textId="77777777" w:rsidR="00E61AF9" w:rsidRPr="00E61AF9" w:rsidRDefault="00E61AF9" w:rsidP="00615190">
            <w:pPr>
              <w:spacing w:line="240" w:lineRule="atLeast"/>
              <w:rPr>
                <w:rFonts w:ascii="Tahoma" w:hAnsi="Tahoma"/>
                <w:color w:val="000000" w:themeColor="text1"/>
                <w:sz w:val="16"/>
                <w:lang w:val="en-GB"/>
              </w:rPr>
            </w:pPr>
          </w:p>
        </w:tc>
        <w:tc>
          <w:tcPr>
            <w:tcW w:w="1134" w:type="dxa"/>
            <w:shd w:val="clear" w:color="auto" w:fill="auto"/>
            <w:tcMar>
              <w:top w:w="0" w:type="dxa"/>
              <w:left w:w="0" w:type="dxa"/>
              <w:bottom w:w="113" w:type="dxa"/>
              <w:right w:w="0" w:type="dxa"/>
            </w:tcMar>
            <w:vAlign w:val="bottom"/>
          </w:tcPr>
          <w:p w14:paraId="408BA7D1" w14:textId="77777777" w:rsidR="00E61AF9" w:rsidRPr="00E61AF9" w:rsidRDefault="00E61AF9" w:rsidP="00615190">
            <w:pPr>
              <w:spacing w:line="240" w:lineRule="atLeast"/>
              <w:rPr>
                <w:rFonts w:ascii="Tahoma" w:hAnsi="Tahoma"/>
                <w:color w:val="000000" w:themeColor="text1"/>
                <w:sz w:val="16"/>
                <w:lang w:val="en-GB"/>
              </w:rPr>
            </w:pPr>
          </w:p>
        </w:tc>
        <w:tc>
          <w:tcPr>
            <w:tcW w:w="1134" w:type="dxa"/>
            <w:shd w:val="clear" w:color="auto" w:fill="auto"/>
            <w:tcMar>
              <w:top w:w="0" w:type="dxa"/>
              <w:left w:w="0" w:type="dxa"/>
              <w:bottom w:w="113" w:type="dxa"/>
              <w:right w:w="0" w:type="dxa"/>
            </w:tcMar>
            <w:vAlign w:val="bottom"/>
          </w:tcPr>
          <w:p w14:paraId="48B1D7BD" w14:textId="77777777" w:rsidR="00E61AF9" w:rsidRPr="00E61AF9" w:rsidRDefault="00E61AF9" w:rsidP="00615190">
            <w:pPr>
              <w:spacing w:line="240" w:lineRule="atLeast"/>
              <w:rPr>
                <w:rFonts w:ascii="Tahoma" w:hAnsi="Tahoma"/>
                <w:color w:val="000000" w:themeColor="text1"/>
                <w:sz w:val="16"/>
                <w:lang w:val="en-GB"/>
              </w:rPr>
            </w:pPr>
          </w:p>
        </w:tc>
        <w:tc>
          <w:tcPr>
            <w:tcW w:w="1134" w:type="dxa"/>
            <w:tcBorders>
              <w:left w:val="nil"/>
            </w:tcBorders>
            <w:shd w:val="clear" w:color="auto" w:fill="auto"/>
            <w:tcMar>
              <w:top w:w="0" w:type="dxa"/>
              <w:left w:w="0" w:type="dxa"/>
              <w:bottom w:w="113" w:type="dxa"/>
              <w:right w:w="0" w:type="dxa"/>
            </w:tcMar>
            <w:vAlign w:val="bottom"/>
          </w:tcPr>
          <w:p w14:paraId="69AE4D31" w14:textId="77777777" w:rsidR="00E61AF9" w:rsidRPr="00E61AF9" w:rsidRDefault="00E61AF9" w:rsidP="00615190">
            <w:pPr>
              <w:spacing w:line="240" w:lineRule="atLeast"/>
              <w:rPr>
                <w:rFonts w:ascii="Tahoma" w:hAnsi="Tahoma"/>
                <w:color w:val="000000" w:themeColor="text1"/>
                <w:sz w:val="16"/>
                <w:lang w:val="en-GB"/>
              </w:rPr>
            </w:pPr>
          </w:p>
        </w:tc>
      </w:tr>
      <w:tr w:rsidR="00615190" w:rsidRPr="00E61AF9" w14:paraId="47920378" w14:textId="77777777" w:rsidTr="00D67B0E">
        <w:trPr>
          <w:trHeight w:val="60"/>
        </w:trPr>
        <w:tc>
          <w:tcPr>
            <w:tcW w:w="397" w:type="dxa"/>
            <w:shd w:val="clear" w:color="auto" w:fill="auto"/>
            <w:tcMar>
              <w:top w:w="85" w:type="dxa"/>
              <w:left w:w="0" w:type="dxa"/>
              <w:bottom w:w="57" w:type="dxa"/>
              <w:right w:w="0" w:type="dxa"/>
            </w:tcMar>
            <w:vAlign w:val="bottom"/>
          </w:tcPr>
          <w:p w14:paraId="0FDBA011" w14:textId="77777777" w:rsidR="00E61AF9" w:rsidRPr="00E61AF9" w:rsidRDefault="00E61AF9" w:rsidP="00615190">
            <w:pPr>
              <w:spacing w:line="240" w:lineRule="atLeast"/>
              <w:rPr>
                <w:rFonts w:ascii="Tahoma" w:hAnsi="Tahoma"/>
                <w:color w:val="000000" w:themeColor="text1"/>
                <w:sz w:val="16"/>
                <w:lang w:val="en-GB"/>
              </w:rPr>
            </w:pPr>
          </w:p>
        </w:tc>
        <w:tc>
          <w:tcPr>
            <w:tcW w:w="5273" w:type="dxa"/>
            <w:shd w:val="clear" w:color="auto" w:fill="auto"/>
            <w:tcMar>
              <w:top w:w="85" w:type="dxa"/>
              <w:left w:w="0" w:type="dxa"/>
              <w:bottom w:w="57" w:type="dxa"/>
              <w:right w:w="0" w:type="dxa"/>
            </w:tcMar>
            <w:vAlign w:val="bottom"/>
          </w:tcPr>
          <w:p w14:paraId="77987082" w14:textId="77777777" w:rsidR="00E61AF9" w:rsidRPr="00E61AF9" w:rsidRDefault="00E61AF9" w:rsidP="00615190">
            <w:pPr>
              <w:spacing w:line="240" w:lineRule="atLeast"/>
              <w:rPr>
                <w:rFonts w:ascii="Tahoma" w:hAnsi="Tahoma"/>
                <w:color w:val="000000" w:themeColor="text1"/>
                <w:sz w:val="16"/>
                <w:lang w:val="en-GB"/>
              </w:rPr>
            </w:pPr>
          </w:p>
        </w:tc>
        <w:tc>
          <w:tcPr>
            <w:tcW w:w="4536" w:type="dxa"/>
            <w:gridSpan w:val="4"/>
            <w:shd w:val="clear" w:color="auto" w:fill="auto"/>
            <w:tcMar>
              <w:top w:w="85" w:type="dxa"/>
              <w:left w:w="0" w:type="dxa"/>
              <w:bottom w:w="57" w:type="dxa"/>
              <w:right w:w="0" w:type="dxa"/>
            </w:tcMar>
            <w:vAlign w:val="bottom"/>
          </w:tcPr>
          <w:p w14:paraId="2E211E3E" w14:textId="77777777" w:rsidR="00E61AF9" w:rsidRPr="00E61AF9" w:rsidRDefault="00E61AF9" w:rsidP="00D34D5B">
            <w:pPr>
              <w:spacing w:line="240" w:lineRule="atLeast"/>
              <w:jc w:val="center"/>
              <w:rPr>
                <w:rFonts w:ascii="Tahoma" w:hAnsi="Tahoma"/>
                <w:b/>
                <w:bCs/>
                <w:color w:val="000000" w:themeColor="text1"/>
                <w:sz w:val="16"/>
                <w:lang w:val="en-GB"/>
              </w:rPr>
            </w:pPr>
            <w:r w:rsidRPr="00E61AF9">
              <w:rPr>
                <w:rFonts w:ascii="Tahoma" w:hAnsi="Tahoma"/>
                <w:b/>
                <w:bCs/>
                <w:color w:val="000000" w:themeColor="text1"/>
                <w:sz w:val="16"/>
                <w:lang w:val="en-GB"/>
              </w:rPr>
              <w:t>Revenue</w:t>
            </w:r>
          </w:p>
        </w:tc>
      </w:tr>
      <w:tr w:rsidR="00615190" w:rsidRPr="00E61AF9" w14:paraId="63C898A5" w14:textId="77777777" w:rsidTr="00697525">
        <w:trPr>
          <w:trHeight w:val="60"/>
        </w:trPr>
        <w:tc>
          <w:tcPr>
            <w:tcW w:w="397" w:type="dxa"/>
            <w:shd w:val="clear" w:color="auto" w:fill="auto"/>
            <w:tcMar>
              <w:top w:w="57" w:type="dxa"/>
              <w:left w:w="0" w:type="dxa"/>
              <w:bottom w:w="85" w:type="dxa"/>
              <w:right w:w="0" w:type="dxa"/>
            </w:tcMar>
            <w:vAlign w:val="bottom"/>
          </w:tcPr>
          <w:p w14:paraId="479BEF5B" w14:textId="77777777" w:rsidR="00E61AF9" w:rsidRPr="00E61AF9" w:rsidRDefault="00E61AF9" w:rsidP="00615190">
            <w:pPr>
              <w:spacing w:line="240" w:lineRule="atLeast"/>
              <w:rPr>
                <w:rFonts w:ascii="Tahoma" w:hAnsi="Tahoma"/>
                <w:color w:val="000000" w:themeColor="text1"/>
                <w:sz w:val="16"/>
                <w:lang w:val="en-GB"/>
              </w:rPr>
            </w:pPr>
          </w:p>
        </w:tc>
        <w:tc>
          <w:tcPr>
            <w:tcW w:w="5273" w:type="dxa"/>
            <w:shd w:val="clear" w:color="auto" w:fill="auto"/>
            <w:tcMar>
              <w:top w:w="57" w:type="dxa"/>
              <w:left w:w="0" w:type="dxa"/>
              <w:bottom w:w="85" w:type="dxa"/>
              <w:right w:w="0" w:type="dxa"/>
            </w:tcMar>
            <w:vAlign w:val="bottom"/>
          </w:tcPr>
          <w:p w14:paraId="443A4AF4" w14:textId="77777777" w:rsidR="00E61AF9" w:rsidRPr="00E61AF9" w:rsidRDefault="00E61AF9" w:rsidP="00615190">
            <w:pPr>
              <w:spacing w:line="240" w:lineRule="atLeast"/>
              <w:rPr>
                <w:rFonts w:ascii="Tahoma" w:hAnsi="Tahoma"/>
                <w:color w:val="000000" w:themeColor="text1"/>
                <w:sz w:val="16"/>
                <w:lang w:val="en-GB"/>
              </w:rPr>
            </w:pPr>
          </w:p>
        </w:tc>
        <w:tc>
          <w:tcPr>
            <w:tcW w:w="2268" w:type="dxa"/>
            <w:gridSpan w:val="2"/>
            <w:shd w:val="clear" w:color="auto" w:fill="auto"/>
            <w:tcMar>
              <w:top w:w="57" w:type="dxa"/>
              <w:left w:w="0" w:type="dxa"/>
              <w:bottom w:w="85" w:type="dxa"/>
              <w:right w:w="0" w:type="dxa"/>
            </w:tcMar>
            <w:vAlign w:val="bottom"/>
          </w:tcPr>
          <w:p w14:paraId="0B5A44C4" w14:textId="77777777" w:rsidR="00E61AF9" w:rsidRPr="00E61AF9" w:rsidRDefault="00E61AF9" w:rsidP="00C405B0">
            <w:pPr>
              <w:spacing w:line="240" w:lineRule="atLeast"/>
              <w:ind w:left="577"/>
              <w:jc w:val="center"/>
              <w:rPr>
                <w:rFonts w:ascii="Tahoma" w:hAnsi="Tahoma"/>
                <w:b/>
                <w:bCs/>
                <w:color w:val="000000" w:themeColor="text1"/>
                <w:sz w:val="16"/>
                <w:lang w:val="en-GB"/>
              </w:rPr>
            </w:pPr>
            <w:r w:rsidRPr="00E61AF9">
              <w:rPr>
                <w:rFonts w:ascii="Tahoma" w:hAnsi="Tahoma"/>
                <w:b/>
                <w:bCs/>
                <w:color w:val="000000" w:themeColor="text1"/>
                <w:sz w:val="16"/>
                <w:lang w:val="en-GB"/>
              </w:rPr>
              <w:t>Six months ended</w:t>
            </w:r>
          </w:p>
          <w:p w14:paraId="210CC9AE" w14:textId="77777777" w:rsidR="00E61AF9" w:rsidRPr="00E61AF9" w:rsidRDefault="00E61AF9" w:rsidP="00C405B0">
            <w:pPr>
              <w:spacing w:line="240" w:lineRule="atLeast"/>
              <w:ind w:left="577"/>
              <w:jc w:val="center"/>
              <w:rPr>
                <w:rFonts w:ascii="Tahoma" w:hAnsi="Tahoma"/>
                <w:b/>
                <w:bCs/>
                <w:color w:val="000000" w:themeColor="text1"/>
                <w:sz w:val="16"/>
                <w:lang w:val="en-GB"/>
              </w:rPr>
            </w:pPr>
            <w:r w:rsidRPr="00E61AF9">
              <w:rPr>
                <w:rFonts w:ascii="Tahoma" w:hAnsi="Tahoma"/>
                <w:b/>
                <w:bCs/>
                <w:color w:val="000000" w:themeColor="text1"/>
                <w:sz w:val="16"/>
                <w:lang w:val="en-GB"/>
              </w:rPr>
              <w:t>30 September</w:t>
            </w:r>
          </w:p>
        </w:tc>
        <w:tc>
          <w:tcPr>
            <w:tcW w:w="1134" w:type="dxa"/>
            <w:shd w:val="clear" w:color="auto" w:fill="auto"/>
            <w:tcMar>
              <w:top w:w="57" w:type="dxa"/>
              <w:left w:w="0" w:type="dxa"/>
              <w:bottom w:w="85" w:type="dxa"/>
              <w:right w:w="0" w:type="dxa"/>
            </w:tcMar>
            <w:vAlign w:val="bottom"/>
          </w:tcPr>
          <w:p w14:paraId="02A1CDB7" w14:textId="77777777" w:rsidR="00E61AF9" w:rsidRPr="00E61AF9" w:rsidRDefault="00E61AF9" w:rsidP="00615190">
            <w:pPr>
              <w:spacing w:line="240" w:lineRule="atLeast"/>
              <w:rPr>
                <w:rFonts w:ascii="Tahoma" w:hAnsi="Tahoma"/>
                <w:color w:val="000000" w:themeColor="text1"/>
                <w:sz w:val="16"/>
                <w:lang w:val="en-GB"/>
              </w:rPr>
            </w:pPr>
          </w:p>
        </w:tc>
        <w:tc>
          <w:tcPr>
            <w:tcW w:w="1134" w:type="dxa"/>
            <w:tcBorders>
              <w:left w:val="nil"/>
            </w:tcBorders>
            <w:shd w:val="clear" w:color="auto" w:fill="auto"/>
            <w:tcMar>
              <w:top w:w="57" w:type="dxa"/>
              <w:left w:w="0" w:type="dxa"/>
              <w:bottom w:w="85" w:type="dxa"/>
              <w:right w:w="0" w:type="dxa"/>
            </w:tcMar>
            <w:vAlign w:val="bottom"/>
          </w:tcPr>
          <w:p w14:paraId="145D8D1F" w14:textId="77777777" w:rsidR="00E61AF9" w:rsidRPr="00E61AF9" w:rsidRDefault="00E61AF9" w:rsidP="003332AD">
            <w:pPr>
              <w:spacing w:line="240" w:lineRule="atLeast"/>
              <w:ind w:right="113"/>
              <w:jc w:val="right"/>
              <w:rPr>
                <w:rFonts w:ascii="Tahoma" w:hAnsi="Tahoma"/>
                <w:color w:val="000000" w:themeColor="text1"/>
                <w:sz w:val="16"/>
                <w:lang w:val="en-GB"/>
              </w:rPr>
            </w:pPr>
            <w:r w:rsidRPr="00E61AF9">
              <w:rPr>
                <w:rFonts w:ascii="Tahoma" w:hAnsi="Tahoma"/>
                <w:color w:val="000000" w:themeColor="text1"/>
                <w:sz w:val="16"/>
                <w:lang w:val="en-GB"/>
              </w:rPr>
              <w:t>Year</w:t>
            </w:r>
          </w:p>
          <w:p w14:paraId="63FB951C" w14:textId="77777777" w:rsidR="00E61AF9" w:rsidRPr="00E61AF9" w:rsidRDefault="00E61AF9" w:rsidP="003332AD">
            <w:pPr>
              <w:spacing w:line="240" w:lineRule="atLeast"/>
              <w:ind w:right="113"/>
              <w:jc w:val="right"/>
              <w:rPr>
                <w:rFonts w:ascii="Tahoma" w:hAnsi="Tahoma"/>
                <w:color w:val="000000" w:themeColor="text1"/>
                <w:sz w:val="16"/>
                <w:lang w:val="en-GB"/>
              </w:rPr>
            </w:pPr>
            <w:r w:rsidRPr="00E61AF9">
              <w:rPr>
                <w:rFonts w:ascii="Tahoma" w:hAnsi="Tahoma"/>
                <w:color w:val="000000" w:themeColor="text1"/>
                <w:sz w:val="16"/>
                <w:lang w:val="en-GB"/>
              </w:rPr>
              <w:t>ended</w:t>
            </w:r>
          </w:p>
          <w:p w14:paraId="45944284" w14:textId="77777777" w:rsidR="00E61AF9" w:rsidRPr="00E61AF9" w:rsidRDefault="00E61AF9" w:rsidP="003332AD">
            <w:pPr>
              <w:spacing w:line="240" w:lineRule="atLeast"/>
              <w:ind w:right="113"/>
              <w:jc w:val="right"/>
              <w:rPr>
                <w:rFonts w:ascii="Tahoma" w:hAnsi="Tahoma"/>
                <w:color w:val="000000" w:themeColor="text1"/>
                <w:sz w:val="16"/>
                <w:lang w:val="en-GB"/>
              </w:rPr>
            </w:pPr>
            <w:r w:rsidRPr="00E61AF9">
              <w:rPr>
                <w:rFonts w:ascii="Tahoma" w:hAnsi="Tahoma"/>
                <w:color w:val="000000" w:themeColor="text1"/>
                <w:sz w:val="16"/>
                <w:lang w:val="en-GB"/>
              </w:rPr>
              <w:t>31 March</w:t>
            </w:r>
          </w:p>
        </w:tc>
      </w:tr>
      <w:tr w:rsidR="00615190" w:rsidRPr="00E61AF9" w14:paraId="44B181C5" w14:textId="77777777" w:rsidTr="00697525">
        <w:trPr>
          <w:trHeight w:val="60"/>
        </w:trPr>
        <w:tc>
          <w:tcPr>
            <w:tcW w:w="397" w:type="dxa"/>
            <w:shd w:val="clear" w:color="auto" w:fill="auto"/>
            <w:tcMar>
              <w:top w:w="113" w:type="dxa"/>
              <w:left w:w="0" w:type="dxa"/>
              <w:bottom w:w="113" w:type="dxa"/>
              <w:right w:w="0" w:type="dxa"/>
            </w:tcMar>
            <w:vAlign w:val="bottom"/>
          </w:tcPr>
          <w:p w14:paraId="2194D1DA" w14:textId="77777777" w:rsidR="00E61AF9" w:rsidRPr="00E61AF9" w:rsidRDefault="00E61AF9" w:rsidP="00615190">
            <w:pPr>
              <w:spacing w:line="240" w:lineRule="atLeast"/>
              <w:rPr>
                <w:rFonts w:ascii="Tahoma" w:hAnsi="Tahoma"/>
                <w:color w:val="000000" w:themeColor="text1"/>
                <w:sz w:val="16"/>
                <w:lang w:val="en-GB"/>
              </w:rPr>
            </w:pPr>
          </w:p>
        </w:tc>
        <w:tc>
          <w:tcPr>
            <w:tcW w:w="5273" w:type="dxa"/>
            <w:tcBorders>
              <w:bottom w:val="single" w:sz="12" w:space="0" w:color="auto"/>
            </w:tcBorders>
            <w:shd w:val="clear" w:color="auto" w:fill="auto"/>
            <w:tcMar>
              <w:top w:w="113" w:type="dxa"/>
              <w:left w:w="0" w:type="dxa"/>
              <w:bottom w:w="113" w:type="dxa"/>
              <w:right w:w="0" w:type="dxa"/>
            </w:tcMar>
            <w:vAlign w:val="bottom"/>
          </w:tcPr>
          <w:p w14:paraId="65435EDA" w14:textId="77777777" w:rsidR="00E61AF9" w:rsidRPr="00E61AF9" w:rsidRDefault="00E61AF9" w:rsidP="00615190">
            <w:pPr>
              <w:spacing w:line="240" w:lineRule="atLeast"/>
              <w:rPr>
                <w:rFonts w:ascii="Tahoma" w:hAnsi="Tahoma"/>
                <w:color w:val="000000" w:themeColor="text1"/>
                <w:sz w:val="16"/>
                <w:lang w:val="en-GB"/>
              </w:rPr>
            </w:pPr>
          </w:p>
        </w:tc>
        <w:tc>
          <w:tcPr>
            <w:tcW w:w="1134" w:type="dxa"/>
            <w:tcBorders>
              <w:bottom w:val="single" w:sz="12" w:space="0" w:color="auto"/>
            </w:tcBorders>
            <w:shd w:val="clear" w:color="auto" w:fill="auto"/>
            <w:tcMar>
              <w:top w:w="113" w:type="dxa"/>
              <w:left w:w="0" w:type="dxa"/>
              <w:bottom w:w="113" w:type="dxa"/>
              <w:right w:w="0" w:type="dxa"/>
            </w:tcMar>
            <w:vAlign w:val="bottom"/>
          </w:tcPr>
          <w:p w14:paraId="649AB60C" w14:textId="77777777" w:rsidR="00E61AF9" w:rsidRPr="00E61AF9" w:rsidRDefault="00E61AF9" w:rsidP="00D34D5B">
            <w:pPr>
              <w:spacing w:line="240" w:lineRule="atLeast"/>
              <w:jc w:val="right"/>
              <w:rPr>
                <w:rFonts w:ascii="Tahoma" w:hAnsi="Tahoma"/>
                <w:b/>
                <w:bCs/>
                <w:color w:val="000000" w:themeColor="text1"/>
                <w:sz w:val="16"/>
                <w:lang w:val="en-GB"/>
              </w:rPr>
            </w:pPr>
            <w:r w:rsidRPr="00E61AF9">
              <w:rPr>
                <w:rFonts w:ascii="Tahoma" w:hAnsi="Tahoma"/>
                <w:b/>
                <w:bCs/>
                <w:color w:val="000000" w:themeColor="text1"/>
                <w:sz w:val="16"/>
                <w:lang w:val="en-GB"/>
              </w:rPr>
              <w:t>2022</w:t>
            </w:r>
          </w:p>
          <w:p w14:paraId="1E46D6EF" w14:textId="77777777" w:rsidR="00E61AF9" w:rsidRPr="00E61AF9" w:rsidRDefault="00E61AF9" w:rsidP="00D34D5B">
            <w:pPr>
              <w:spacing w:line="240" w:lineRule="atLeast"/>
              <w:jc w:val="right"/>
              <w:rPr>
                <w:rFonts w:ascii="Tahoma" w:hAnsi="Tahoma"/>
                <w:b/>
                <w:bCs/>
                <w:color w:val="000000" w:themeColor="text1"/>
                <w:sz w:val="16"/>
                <w:lang w:val="en-GB"/>
              </w:rPr>
            </w:pPr>
            <w:proofErr w:type="spellStart"/>
            <w:r w:rsidRPr="00E61AF9">
              <w:rPr>
                <w:rFonts w:ascii="Tahoma" w:hAnsi="Tahoma"/>
                <w:b/>
                <w:bCs/>
                <w:color w:val="000000" w:themeColor="text1"/>
                <w:sz w:val="16"/>
                <w:lang w:val="en-GB"/>
              </w:rPr>
              <w:t>US$’m</w:t>
            </w:r>
            <w:proofErr w:type="spellEnd"/>
          </w:p>
        </w:tc>
        <w:tc>
          <w:tcPr>
            <w:tcW w:w="1134" w:type="dxa"/>
            <w:tcBorders>
              <w:bottom w:val="single" w:sz="12" w:space="0" w:color="auto"/>
            </w:tcBorders>
            <w:shd w:val="clear" w:color="auto" w:fill="auto"/>
            <w:tcMar>
              <w:top w:w="113" w:type="dxa"/>
              <w:left w:w="0" w:type="dxa"/>
              <w:bottom w:w="113" w:type="dxa"/>
              <w:right w:w="0" w:type="dxa"/>
            </w:tcMar>
            <w:vAlign w:val="bottom"/>
          </w:tcPr>
          <w:p w14:paraId="1EB049DF" w14:textId="77777777" w:rsidR="00E61AF9" w:rsidRPr="00E61AF9" w:rsidRDefault="00E61AF9" w:rsidP="00D34D5B">
            <w:pPr>
              <w:spacing w:line="240" w:lineRule="atLeast"/>
              <w:jc w:val="right"/>
              <w:rPr>
                <w:rFonts w:ascii="Tahoma" w:hAnsi="Tahoma"/>
                <w:color w:val="000000" w:themeColor="text1"/>
                <w:sz w:val="16"/>
                <w:lang w:val="en-GB"/>
              </w:rPr>
            </w:pPr>
            <w:r w:rsidRPr="00E61AF9">
              <w:rPr>
                <w:rFonts w:ascii="Tahoma" w:hAnsi="Tahoma"/>
                <w:color w:val="000000" w:themeColor="text1"/>
                <w:sz w:val="16"/>
                <w:lang w:val="en-GB"/>
              </w:rPr>
              <w:t>2021</w:t>
            </w:r>
          </w:p>
          <w:p w14:paraId="6C0EA895" w14:textId="77777777" w:rsidR="00E61AF9" w:rsidRPr="00E61AF9" w:rsidRDefault="00E61AF9" w:rsidP="00D34D5B">
            <w:pPr>
              <w:spacing w:line="240" w:lineRule="atLeast"/>
              <w:jc w:val="right"/>
              <w:rPr>
                <w:rFonts w:ascii="Tahoma" w:hAnsi="Tahoma"/>
                <w:color w:val="000000" w:themeColor="text1"/>
                <w:sz w:val="16"/>
                <w:lang w:val="en-GB"/>
              </w:rPr>
            </w:pPr>
            <w:proofErr w:type="spellStart"/>
            <w:r w:rsidRPr="00E61AF9">
              <w:rPr>
                <w:rFonts w:ascii="Tahoma" w:hAnsi="Tahoma"/>
                <w:color w:val="000000" w:themeColor="text1"/>
                <w:sz w:val="16"/>
                <w:lang w:val="en-GB"/>
              </w:rPr>
              <w:t>US$’m</w:t>
            </w:r>
            <w:proofErr w:type="spellEnd"/>
          </w:p>
        </w:tc>
        <w:tc>
          <w:tcPr>
            <w:tcW w:w="1134" w:type="dxa"/>
            <w:tcBorders>
              <w:bottom w:val="single" w:sz="12" w:space="0" w:color="auto"/>
            </w:tcBorders>
            <w:shd w:val="clear" w:color="auto" w:fill="auto"/>
            <w:tcMar>
              <w:top w:w="113" w:type="dxa"/>
              <w:left w:w="0" w:type="dxa"/>
              <w:bottom w:w="113" w:type="dxa"/>
              <w:right w:w="0" w:type="dxa"/>
            </w:tcMar>
            <w:vAlign w:val="bottom"/>
          </w:tcPr>
          <w:p w14:paraId="09663B4B" w14:textId="77777777" w:rsidR="00E61AF9" w:rsidRPr="00E61AF9" w:rsidRDefault="00E61AF9" w:rsidP="00D34D5B">
            <w:pPr>
              <w:spacing w:line="240" w:lineRule="atLeast"/>
              <w:jc w:val="right"/>
              <w:rPr>
                <w:rFonts w:ascii="Tahoma" w:hAnsi="Tahoma"/>
                <w:color w:val="000000" w:themeColor="text1"/>
                <w:sz w:val="16"/>
                <w:lang w:val="en-GB"/>
              </w:rPr>
            </w:pPr>
            <w:r w:rsidRPr="00E61AF9">
              <w:rPr>
                <w:rFonts w:ascii="Tahoma" w:hAnsi="Tahoma"/>
                <w:color w:val="000000" w:themeColor="text1"/>
                <w:sz w:val="16"/>
                <w:lang w:val="en-GB"/>
              </w:rPr>
              <w:t>%</w:t>
            </w:r>
          </w:p>
          <w:p w14:paraId="31FD53BC" w14:textId="77777777" w:rsidR="00E61AF9" w:rsidRPr="00E61AF9" w:rsidRDefault="00E61AF9" w:rsidP="00D34D5B">
            <w:pPr>
              <w:spacing w:line="240" w:lineRule="atLeast"/>
              <w:jc w:val="right"/>
              <w:rPr>
                <w:rFonts w:ascii="Tahoma" w:hAnsi="Tahoma"/>
                <w:color w:val="000000" w:themeColor="text1"/>
                <w:sz w:val="16"/>
                <w:lang w:val="en-GB"/>
              </w:rPr>
            </w:pPr>
            <w:r w:rsidRPr="00E61AF9">
              <w:rPr>
                <w:rFonts w:ascii="Tahoma" w:hAnsi="Tahoma"/>
                <w:color w:val="000000" w:themeColor="text1"/>
                <w:sz w:val="16"/>
                <w:lang w:val="en-GB"/>
              </w:rPr>
              <w:t>change</w:t>
            </w:r>
          </w:p>
        </w:tc>
        <w:tc>
          <w:tcPr>
            <w:tcW w:w="1134" w:type="dxa"/>
            <w:tcBorders>
              <w:left w:val="nil"/>
              <w:bottom w:val="single" w:sz="12" w:space="0" w:color="auto"/>
            </w:tcBorders>
            <w:shd w:val="clear" w:color="auto" w:fill="auto"/>
            <w:tcMar>
              <w:top w:w="113" w:type="dxa"/>
              <w:left w:w="0" w:type="dxa"/>
              <w:bottom w:w="113" w:type="dxa"/>
              <w:right w:w="0" w:type="dxa"/>
            </w:tcMar>
            <w:vAlign w:val="bottom"/>
          </w:tcPr>
          <w:p w14:paraId="5E822292" w14:textId="77777777" w:rsidR="00E61AF9" w:rsidRPr="00E61AF9" w:rsidRDefault="00E61AF9" w:rsidP="00222D05">
            <w:pPr>
              <w:spacing w:line="240" w:lineRule="atLeast"/>
              <w:ind w:right="113"/>
              <w:jc w:val="right"/>
              <w:rPr>
                <w:rFonts w:ascii="Tahoma" w:hAnsi="Tahoma"/>
                <w:color w:val="000000" w:themeColor="text1"/>
                <w:sz w:val="16"/>
                <w:lang w:val="en-GB"/>
              </w:rPr>
            </w:pPr>
            <w:r w:rsidRPr="00E61AF9">
              <w:rPr>
                <w:rFonts w:ascii="Tahoma" w:hAnsi="Tahoma"/>
                <w:color w:val="000000" w:themeColor="text1"/>
                <w:sz w:val="16"/>
                <w:lang w:val="en-GB"/>
              </w:rPr>
              <w:t>2022</w:t>
            </w:r>
          </w:p>
          <w:p w14:paraId="41751B9F" w14:textId="77777777" w:rsidR="00E61AF9" w:rsidRPr="00E61AF9" w:rsidRDefault="00E61AF9" w:rsidP="00222D05">
            <w:pPr>
              <w:spacing w:line="240" w:lineRule="atLeast"/>
              <w:ind w:right="113"/>
              <w:jc w:val="right"/>
              <w:rPr>
                <w:rFonts w:ascii="Tahoma" w:hAnsi="Tahoma"/>
                <w:color w:val="000000" w:themeColor="text1"/>
                <w:sz w:val="16"/>
                <w:lang w:val="en-GB"/>
              </w:rPr>
            </w:pPr>
            <w:proofErr w:type="spellStart"/>
            <w:r w:rsidRPr="00E61AF9">
              <w:rPr>
                <w:rFonts w:ascii="Tahoma" w:hAnsi="Tahoma"/>
                <w:color w:val="000000" w:themeColor="text1"/>
                <w:sz w:val="16"/>
                <w:lang w:val="en-GB"/>
              </w:rPr>
              <w:t>US$’m</w:t>
            </w:r>
            <w:proofErr w:type="spellEnd"/>
          </w:p>
        </w:tc>
      </w:tr>
      <w:tr w:rsidR="00615190" w:rsidRPr="00E61AF9" w14:paraId="5A3BCFD5" w14:textId="77777777" w:rsidTr="00697525">
        <w:trPr>
          <w:trHeight w:val="60"/>
        </w:trPr>
        <w:tc>
          <w:tcPr>
            <w:tcW w:w="397" w:type="dxa"/>
            <w:shd w:val="clear" w:color="auto" w:fill="auto"/>
            <w:tcMar>
              <w:top w:w="142" w:type="dxa"/>
              <w:left w:w="0" w:type="dxa"/>
              <w:bottom w:w="57" w:type="dxa"/>
              <w:right w:w="0" w:type="dxa"/>
            </w:tcMar>
            <w:vAlign w:val="bottom"/>
          </w:tcPr>
          <w:p w14:paraId="68CC48B1" w14:textId="77777777" w:rsidR="00E61AF9" w:rsidRPr="00E61AF9" w:rsidRDefault="00E61AF9" w:rsidP="00615190">
            <w:pPr>
              <w:spacing w:line="240" w:lineRule="atLeast"/>
              <w:rPr>
                <w:rFonts w:ascii="Tahoma" w:hAnsi="Tahoma"/>
                <w:color w:val="000000" w:themeColor="text1"/>
                <w:sz w:val="16"/>
                <w:lang w:val="en-GB"/>
              </w:rPr>
            </w:pPr>
          </w:p>
        </w:tc>
        <w:tc>
          <w:tcPr>
            <w:tcW w:w="5273" w:type="dxa"/>
            <w:tcBorders>
              <w:top w:val="single" w:sz="12" w:space="0" w:color="auto"/>
            </w:tcBorders>
            <w:shd w:val="clear" w:color="auto" w:fill="auto"/>
            <w:tcMar>
              <w:top w:w="142" w:type="dxa"/>
              <w:left w:w="0" w:type="dxa"/>
              <w:bottom w:w="57" w:type="dxa"/>
              <w:right w:w="0" w:type="dxa"/>
            </w:tcMar>
            <w:vAlign w:val="bottom"/>
          </w:tcPr>
          <w:p w14:paraId="000D9E3F" w14:textId="77777777" w:rsidR="00E61AF9" w:rsidRPr="00E61AF9" w:rsidRDefault="00E61AF9" w:rsidP="00615190">
            <w:pPr>
              <w:spacing w:line="240" w:lineRule="atLeast"/>
              <w:rPr>
                <w:rFonts w:ascii="Tahoma" w:hAnsi="Tahoma"/>
                <w:color w:val="000000" w:themeColor="text1"/>
                <w:sz w:val="16"/>
                <w:lang w:val="en-GB"/>
              </w:rPr>
            </w:pPr>
            <w:r w:rsidRPr="00E61AF9">
              <w:rPr>
                <w:rFonts w:ascii="Tahoma" w:hAnsi="Tahoma"/>
                <w:color w:val="000000" w:themeColor="text1"/>
                <w:sz w:val="16"/>
                <w:lang w:val="en-GB"/>
              </w:rPr>
              <w:t>Continuing operations</w:t>
            </w:r>
          </w:p>
        </w:tc>
        <w:tc>
          <w:tcPr>
            <w:tcW w:w="1134" w:type="dxa"/>
            <w:tcBorders>
              <w:top w:val="single" w:sz="12" w:space="0" w:color="auto"/>
            </w:tcBorders>
            <w:shd w:val="clear" w:color="auto" w:fill="auto"/>
            <w:tcMar>
              <w:top w:w="142" w:type="dxa"/>
              <w:left w:w="0" w:type="dxa"/>
              <w:bottom w:w="57" w:type="dxa"/>
              <w:right w:w="0" w:type="dxa"/>
            </w:tcMar>
            <w:vAlign w:val="bottom"/>
          </w:tcPr>
          <w:p w14:paraId="257C989A" w14:textId="77777777" w:rsidR="00E61AF9" w:rsidRPr="00E61AF9" w:rsidRDefault="00E61AF9" w:rsidP="00D34D5B">
            <w:pPr>
              <w:spacing w:line="240" w:lineRule="atLeast"/>
              <w:jc w:val="right"/>
              <w:rPr>
                <w:rFonts w:ascii="Tahoma" w:hAnsi="Tahoma"/>
                <w:b/>
                <w:bCs/>
                <w:color w:val="000000" w:themeColor="text1"/>
                <w:sz w:val="16"/>
                <w:lang w:val="en-GB"/>
              </w:rPr>
            </w:pPr>
          </w:p>
        </w:tc>
        <w:tc>
          <w:tcPr>
            <w:tcW w:w="1134" w:type="dxa"/>
            <w:tcBorders>
              <w:top w:val="single" w:sz="12" w:space="0" w:color="auto"/>
            </w:tcBorders>
            <w:shd w:val="clear" w:color="auto" w:fill="auto"/>
            <w:tcMar>
              <w:top w:w="142" w:type="dxa"/>
              <w:left w:w="0" w:type="dxa"/>
              <w:bottom w:w="57" w:type="dxa"/>
              <w:right w:w="0" w:type="dxa"/>
            </w:tcMar>
            <w:vAlign w:val="bottom"/>
          </w:tcPr>
          <w:p w14:paraId="37F70AE3" w14:textId="77777777" w:rsidR="00E61AF9" w:rsidRPr="00E61AF9" w:rsidRDefault="00E61AF9" w:rsidP="00D34D5B">
            <w:pPr>
              <w:spacing w:line="240" w:lineRule="atLeast"/>
              <w:jc w:val="right"/>
              <w:rPr>
                <w:rFonts w:ascii="Tahoma" w:hAnsi="Tahoma"/>
                <w:color w:val="000000" w:themeColor="text1"/>
                <w:sz w:val="16"/>
                <w:lang w:val="en-GB"/>
              </w:rPr>
            </w:pPr>
          </w:p>
        </w:tc>
        <w:tc>
          <w:tcPr>
            <w:tcW w:w="1134" w:type="dxa"/>
            <w:tcBorders>
              <w:top w:val="single" w:sz="12" w:space="0" w:color="auto"/>
            </w:tcBorders>
            <w:shd w:val="clear" w:color="auto" w:fill="auto"/>
            <w:tcMar>
              <w:top w:w="142" w:type="dxa"/>
              <w:left w:w="0" w:type="dxa"/>
              <w:bottom w:w="57" w:type="dxa"/>
              <w:right w:w="0" w:type="dxa"/>
            </w:tcMar>
            <w:vAlign w:val="bottom"/>
          </w:tcPr>
          <w:p w14:paraId="1B697DC2" w14:textId="77777777" w:rsidR="00E61AF9" w:rsidRPr="00E61AF9" w:rsidRDefault="00E61AF9" w:rsidP="00D34D5B">
            <w:pPr>
              <w:spacing w:line="240" w:lineRule="atLeast"/>
              <w:jc w:val="right"/>
              <w:rPr>
                <w:rFonts w:ascii="Tahoma" w:hAnsi="Tahoma"/>
                <w:color w:val="000000" w:themeColor="text1"/>
                <w:sz w:val="16"/>
                <w:lang w:val="en-GB"/>
              </w:rPr>
            </w:pPr>
          </w:p>
        </w:tc>
        <w:tc>
          <w:tcPr>
            <w:tcW w:w="1134" w:type="dxa"/>
            <w:tcBorders>
              <w:top w:val="single" w:sz="12" w:space="0" w:color="auto"/>
              <w:left w:val="nil"/>
            </w:tcBorders>
            <w:shd w:val="clear" w:color="auto" w:fill="auto"/>
            <w:tcMar>
              <w:top w:w="142" w:type="dxa"/>
              <w:left w:w="0" w:type="dxa"/>
              <w:bottom w:w="57" w:type="dxa"/>
              <w:right w:w="0" w:type="dxa"/>
            </w:tcMar>
            <w:vAlign w:val="bottom"/>
          </w:tcPr>
          <w:p w14:paraId="390A4668" w14:textId="77777777" w:rsidR="00E61AF9" w:rsidRPr="00E61AF9" w:rsidRDefault="00E61AF9" w:rsidP="00B227FB">
            <w:pPr>
              <w:spacing w:line="240" w:lineRule="atLeast"/>
              <w:ind w:right="113"/>
              <w:jc w:val="right"/>
              <w:rPr>
                <w:rFonts w:ascii="Tahoma" w:hAnsi="Tahoma"/>
                <w:color w:val="000000" w:themeColor="text1"/>
                <w:sz w:val="16"/>
                <w:lang w:val="en-GB"/>
              </w:rPr>
            </w:pPr>
          </w:p>
        </w:tc>
      </w:tr>
      <w:tr w:rsidR="00615190" w:rsidRPr="00E61AF9" w14:paraId="0D79229A" w14:textId="77777777" w:rsidTr="00A91FDB">
        <w:trPr>
          <w:trHeight w:val="60"/>
        </w:trPr>
        <w:tc>
          <w:tcPr>
            <w:tcW w:w="397" w:type="dxa"/>
            <w:shd w:val="clear" w:color="auto" w:fill="auto"/>
            <w:tcMar>
              <w:top w:w="57" w:type="dxa"/>
              <w:left w:w="0" w:type="dxa"/>
              <w:bottom w:w="57" w:type="dxa"/>
              <w:right w:w="0" w:type="dxa"/>
            </w:tcMar>
            <w:vAlign w:val="bottom"/>
          </w:tcPr>
          <w:p w14:paraId="43A1063B" w14:textId="77777777" w:rsidR="00E61AF9" w:rsidRPr="00E61AF9" w:rsidRDefault="00E61AF9" w:rsidP="00615190">
            <w:pPr>
              <w:spacing w:line="240" w:lineRule="atLeast"/>
              <w:rPr>
                <w:rFonts w:ascii="Tahoma" w:hAnsi="Tahoma"/>
                <w:color w:val="000000" w:themeColor="text1"/>
                <w:sz w:val="16"/>
                <w:lang w:val="en-GB"/>
              </w:rPr>
            </w:pPr>
          </w:p>
        </w:tc>
        <w:tc>
          <w:tcPr>
            <w:tcW w:w="5273" w:type="dxa"/>
            <w:shd w:val="clear" w:color="auto" w:fill="auto"/>
            <w:tcMar>
              <w:top w:w="57" w:type="dxa"/>
              <w:left w:w="0" w:type="dxa"/>
              <w:bottom w:w="57" w:type="dxa"/>
              <w:right w:w="0" w:type="dxa"/>
            </w:tcMar>
            <w:vAlign w:val="bottom"/>
          </w:tcPr>
          <w:p w14:paraId="1378D5D6" w14:textId="77777777" w:rsidR="00E61AF9" w:rsidRPr="00E61AF9" w:rsidRDefault="00E61AF9" w:rsidP="00615190">
            <w:pPr>
              <w:spacing w:line="240" w:lineRule="atLeast"/>
              <w:rPr>
                <w:rFonts w:ascii="Tahoma" w:hAnsi="Tahoma"/>
                <w:i/>
                <w:iCs/>
                <w:color w:val="000000" w:themeColor="text1"/>
                <w:sz w:val="16"/>
                <w:lang w:val="en-GB"/>
              </w:rPr>
            </w:pPr>
            <w:r w:rsidRPr="00E61AF9">
              <w:rPr>
                <w:rFonts w:ascii="Tahoma" w:hAnsi="Tahoma"/>
                <w:i/>
                <w:iCs/>
                <w:color w:val="000000" w:themeColor="text1"/>
                <w:sz w:val="16"/>
                <w:lang w:val="en-GB"/>
              </w:rPr>
              <w:t>Ecommerce</w:t>
            </w:r>
          </w:p>
        </w:tc>
        <w:tc>
          <w:tcPr>
            <w:tcW w:w="1134" w:type="dxa"/>
            <w:tcBorders>
              <w:bottom w:val="single" w:sz="4" w:space="0" w:color="auto"/>
            </w:tcBorders>
            <w:shd w:val="clear" w:color="auto" w:fill="auto"/>
            <w:tcMar>
              <w:top w:w="57" w:type="dxa"/>
              <w:left w:w="0" w:type="dxa"/>
              <w:bottom w:w="57" w:type="dxa"/>
              <w:right w:w="0" w:type="dxa"/>
            </w:tcMar>
            <w:vAlign w:val="bottom"/>
          </w:tcPr>
          <w:p w14:paraId="1DB02266" w14:textId="77777777" w:rsidR="00E61AF9" w:rsidRPr="00E61AF9" w:rsidRDefault="00E61AF9" w:rsidP="00D34D5B">
            <w:pPr>
              <w:spacing w:line="240" w:lineRule="atLeast"/>
              <w:jc w:val="right"/>
              <w:rPr>
                <w:rFonts w:ascii="Tahoma" w:hAnsi="Tahoma"/>
                <w:b/>
                <w:bCs/>
                <w:color w:val="000000" w:themeColor="text1"/>
                <w:sz w:val="16"/>
                <w:lang w:val="en-GB"/>
              </w:rPr>
            </w:pPr>
            <w:r w:rsidRPr="00E61AF9">
              <w:rPr>
                <w:rFonts w:ascii="Tahoma" w:hAnsi="Tahoma"/>
                <w:b/>
                <w:bCs/>
                <w:color w:val="000000" w:themeColor="text1"/>
                <w:sz w:val="16"/>
                <w:lang w:val="en-GB"/>
              </w:rPr>
              <w:t>5 217</w:t>
            </w:r>
          </w:p>
        </w:tc>
        <w:tc>
          <w:tcPr>
            <w:tcW w:w="1134" w:type="dxa"/>
            <w:tcBorders>
              <w:bottom w:val="single" w:sz="4" w:space="0" w:color="auto"/>
            </w:tcBorders>
            <w:shd w:val="clear" w:color="auto" w:fill="auto"/>
            <w:tcMar>
              <w:top w:w="57" w:type="dxa"/>
              <w:left w:w="0" w:type="dxa"/>
              <w:bottom w:w="57" w:type="dxa"/>
              <w:right w:w="0" w:type="dxa"/>
            </w:tcMar>
            <w:vAlign w:val="bottom"/>
          </w:tcPr>
          <w:p w14:paraId="09246A9D" w14:textId="77777777" w:rsidR="00E61AF9" w:rsidRPr="00E61AF9" w:rsidRDefault="00E61AF9" w:rsidP="00D34D5B">
            <w:pPr>
              <w:spacing w:line="240" w:lineRule="atLeast"/>
              <w:jc w:val="right"/>
              <w:rPr>
                <w:rFonts w:ascii="Tahoma" w:hAnsi="Tahoma"/>
                <w:color w:val="000000" w:themeColor="text1"/>
                <w:sz w:val="16"/>
                <w:lang w:val="en-GB"/>
              </w:rPr>
            </w:pPr>
            <w:r w:rsidRPr="00E61AF9">
              <w:rPr>
                <w:rFonts w:ascii="Tahoma" w:hAnsi="Tahoma"/>
                <w:color w:val="000000" w:themeColor="text1"/>
                <w:sz w:val="16"/>
                <w:lang w:val="en-GB"/>
              </w:rPr>
              <w:t>3 858</w:t>
            </w:r>
          </w:p>
        </w:tc>
        <w:tc>
          <w:tcPr>
            <w:tcW w:w="1134" w:type="dxa"/>
            <w:tcBorders>
              <w:bottom w:val="single" w:sz="4" w:space="0" w:color="auto"/>
            </w:tcBorders>
            <w:shd w:val="clear" w:color="auto" w:fill="auto"/>
            <w:tcMar>
              <w:top w:w="57" w:type="dxa"/>
              <w:left w:w="0" w:type="dxa"/>
              <w:bottom w:w="57" w:type="dxa"/>
              <w:right w:w="0" w:type="dxa"/>
            </w:tcMar>
            <w:vAlign w:val="bottom"/>
          </w:tcPr>
          <w:p w14:paraId="551ACE6B" w14:textId="77777777" w:rsidR="00E61AF9" w:rsidRPr="00E61AF9" w:rsidRDefault="00E61AF9" w:rsidP="00D34D5B">
            <w:pPr>
              <w:spacing w:line="240" w:lineRule="atLeast"/>
              <w:jc w:val="right"/>
              <w:rPr>
                <w:rFonts w:ascii="Tahoma" w:hAnsi="Tahoma"/>
                <w:color w:val="000000" w:themeColor="text1"/>
                <w:sz w:val="16"/>
                <w:lang w:val="en-GB"/>
              </w:rPr>
            </w:pPr>
            <w:r w:rsidRPr="00E61AF9">
              <w:rPr>
                <w:rFonts w:ascii="Tahoma" w:hAnsi="Tahoma"/>
                <w:color w:val="000000" w:themeColor="text1"/>
                <w:sz w:val="16"/>
                <w:lang w:val="en-GB"/>
              </w:rPr>
              <w:t>35</w:t>
            </w:r>
          </w:p>
        </w:tc>
        <w:tc>
          <w:tcPr>
            <w:tcW w:w="1134" w:type="dxa"/>
            <w:tcBorders>
              <w:left w:val="nil"/>
              <w:bottom w:val="single" w:sz="4" w:space="0" w:color="auto"/>
            </w:tcBorders>
            <w:shd w:val="clear" w:color="auto" w:fill="auto"/>
            <w:tcMar>
              <w:top w:w="57" w:type="dxa"/>
              <w:left w:w="0" w:type="dxa"/>
              <w:bottom w:w="57" w:type="dxa"/>
              <w:right w:w="0" w:type="dxa"/>
            </w:tcMar>
            <w:vAlign w:val="bottom"/>
          </w:tcPr>
          <w:p w14:paraId="006DC05B" w14:textId="77777777" w:rsidR="00E61AF9" w:rsidRPr="00E61AF9" w:rsidRDefault="00E61AF9" w:rsidP="00B227FB">
            <w:pPr>
              <w:spacing w:line="240" w:lineRule="atLeast"/>
              <w:ind w:right="113"/>
              <w:jc w:val="right"/>
              <w:rPr>
                <w:rFonts w:ascii="Tahoma" w:hAnsi="Tahoma"/>
                <w:color w:val="000000" w:themeColor="text1"/>
                <w:sz w:val="16"/>
                <w:lang w:val="en-GB"/>
              </w:rPr>
            </w:pPr>
            <w:r w:rsidRPr="00E61AF9">
              <w:rPr>
                <w:rFonts w:ascii="Tahoma" w:hAnsi="Tahoma"/>
                <w:color w:val="000000" w:themeColor="text1"/>
                <w:sz w:val="16"/>
                <w:lang w:val="en-GB"/>
              </w:rPr>
              <w:t>9 194</w:t>
            </w:r>
          </w:p>
        </w:tc>
      </w:tr>
      <w:tr w:rsidR="00615190" w:rsidRPr="00E61AF9" w14:paraId="29D09817" w14:textId="77777777" w:rsidTr="00A91FDB">
        <w:trPr>
          <w:trHeight w:val="60"/>
        </w:trPr>
        <w:tc>
          <w:tcPr>
            <w:tcW w:w="397" w:type="dxa"/>
            <w:shd w:val="clear" w:color="auto" w:fill="auto"/>
            <w:tcMar>
              <w:top w:w="57" w:type="dxa"/>
              <w:left w:w="0" w:type="dxa"/>
              <w:bottom w:w="57" w:type="dxa"/>
              <w:right w:w="0" w:type="dxa"/>
            </w:tcMar>
            <w:vAlign w:val="bottom"/>
          </w:tcPr>
          <w:p w14:paraId="7B31229E" w14:textId="77777777" w:rsidR="00E61AF9" w:rsidRPr="00E61AF9" w:rsidRDefault="00E61AF9" w:rsidP="00615190">
            <w:pPr>
              <w:spacing w:line="240" w:lineRule="atLeast"/>
              <w:rPr>
                <w:rFonts w:ascii="Tahoma" w:hAnsi="Tahoma"/>
                <w:color w:val="000000" w:themeColor="text1"/>
                <w:sz w:val="16"/>
                <w:lang w:val="en-GB"/>
              </w:rPr>
            </w:pPr>
          </w:p>
        </w:tc>
        <w:tc>
          <w:tcPr>
            <w:tcW w:w="5273" w:type="dxa"/>
            <w:tcBorders>
              <w:right w:val="single" w:sz="4" w:space="0" w:color="auto"/>
            </w:tcBorders>
            <w:shd w:val="clear" w:color="auto" w:fill="auto"/>
            <w:tcMar>
              <w:top w:w="57" w:type="dxa"/>
              <w:left w:w="113" w:type="dxa"/>
              <w:bottom w:w="57" w:type="dxa"/>
              <w:right w:w="0" w:type="dxa"/>
            </w:tcMar>
            <w:vAlign w:val="bottom"/>
          </w:tcPr>
          <w:p w14:paraId="270A0757" w14:textId="77777777" w:rsidR="00E61AF9" w:rsidRPr="00E61AF9" w:rsidRDefault="00E61AF9" w:rsidP="00615190">
            <w:pPr>
              <w:spacing w:line="240" w:lineRule="atLeast"/>
              <w:rPr>
                <w:rFonts w:ascii="Tahoma" w:hAnsi="Tahoma"/>
                <w:color w:val="000000" w:themeColor="text1"/>
                <w:sz w:val="16"/>
                <w:lang w:val="en-GB"/>
              </w:rPr>
            </w:pPr>
            <w:r w:rsidRPr="00E61AF9">
              <w:rPr>
                <w:rFonts w:ascii="Tahoma" w:hAnsi="Tahoma"/>
                <w:color w:val="000000" w:themeColor="text1"/>
                <w:sz w:val="16"/>
                <w:lang w:val="en-GB"/>
              </w:rPr>
              <w:t>Classifieds</w:t>
            </w:r>
            <w:r w:rsidRPr="00E61AF9">
              <w:rPr>
                <w:rFonts w:ascii="Tahoma" w:hAnsi="Tahoma"/>
                <w:color w:val="000000" w:themeColor="text1"/>
                <w:sz w:val="16"/>
                <w:vertAlign w:val="superscript"/>
                <w:lang w:val="en-GB"/>
              </w:rPr>
              <w:t>1</w:t>
            </w:r>
          </w:p>
        </w:tc>
        <w:tc>
          <w:tcPr>
            <w:tcW w:w="1134" w:type="dxa"/>
            <w:tcBorders>
              <w:top w:val="single" w:sz="4" w:space="0" w:color="auto"/>
              <w:left w:val="single" w:sz="4" w:space="0" w:color="auto"/>
            </w:tcBorders>
            <w:shd w:val="clear" w:color="auto" w:fill="auto"/>
            <w:tcMar>
              <w:top w:w="57" w:type="dxa"/>
              <w:left w:w="0" w:type="dxa"/>
              <w:bottom w:w="57" w:type="dxa"/>
              <w:right w:w="0" w:type="dxa"/>
            </w:tcMar>
            <w:vAlign w:val="bottom"/>
          </w:tcPr>
          <w:p w14:paraId="46C8611B" w14:textId="77777777" w:rsidR="00E61AF9" w:rsidRPr="00E61AF9" w:rsidRDefault="00E61AF9" w:rsidP="00D34D5B">
            <w:pPr>
              <w:spacing w:line="240" w:lineRule="atLeast"/>
              <w:jc w:val="right"/>
              <w:rPr>
                <w:rFonts w:ascii="Tahoma" w:hAnsi="Tahoma"/>
                <w:b/>
                <w:bCs/>
                <w:color w:val="000000" w:themeColor="text1"/>
                <w:sz w:val="16"/>
                <w:lang w:val="en-GB"/>
              </w:rPr>
            </w:pPr>
            <w:r w:rsidRPr="00E61AF9">
              <w:rPr>
                <w:rFonts w:ascii="Tahoma" w:hAnsi="Tahoma"/>
                <w:b/>
                <w:bCs/>
                <w:color w:val="000000" w:themeColor="text1"/>
                <w:sz w:val="16"/>
                <w:lang w:val="en-GB"/>
              </w:rPr>
              <w:t>1 339</w:t>
            </w:r>
          </w:p>
        </w:tc>
        <w:tc>
          <w:tcPr>
            <w:tcW w:w="1134" w:type="dxa"/>
            <w:tcBorders>
              <w:top w:val="single" w:sz="4" w:space="0" w:color="auto"/>
            </w:tcBorders>
            <w:shd w:val="clear" w:color="auto" w:fill="auto"/>
            <w:tcMar>
              <w:top w:w="57" w:type="dxa"/>
              <w:left w:w="0" w:type="dxa"/>
              <w:bottom w:w="57" w:type="dxa"/>
              <w:right w:w="0" w:type="dxa"/>
            </w:tcMar>
            <w:vAlign w:val="bottom"/>
          </w:tcPr>
          <w:p w14:paraId="1042341C" w14:textId="77777777" w:rsidR="00E61AF9" w:rsidRPr="00E61AF9" w:rsidRDefault="00E61AF9" w:rsidP="00D34D5B">
            <w:pPr>
              <w:spacing w:line="240" w:lineRule="atLeast"/>
              <w:jc w:val="right"/>
              <w:rPr>
                <w:rFonts w:ascii="Tahoma" w:hAnsi="Tahoma"/>
                <w:color w:val="000000" w:themeColor="text1"/>
                <w:sz w:val="16"/>
                <w:lang w:val="en-GB"/>
              </w:rPr>
            </w:pPr>
            <w:r w:rsidRPr="00E61AF9">
              <w:rPr>
                <w:rFonts w:ascii="Tahoma" w:hAnsi="Tahoma"/>
                <w:color w:val="000000" w:themeColor="text1"/>
                <w:sz w:val="16"/>
                <w:lang w:val="en-GB"/>
              </w:rPr>
              <w:t>988</w:t>
            </w:r>
          </w:p>
        </w:tc>
        <w:tc>
          <w:tcPr>
            <w:tcW w:w="1134" w:type="dxa"/>
            <w:tcBorders>
              <w:top w:val="single" w:sz="4" w:space="0" w:color="auto"/>
            </w:tcBorders>
            <w:shd w:val="clear" w:color="auto" w:fill="auto"/>
            <w:tcMar>
              <w:top w:w="57" w:type="dxa"/>
              <w:left w:w="0" w:type="dxa"/>
              <w:bottom w:w="57" w:type="dxa"/>
              <w:right w:w="0" w:type="dxa"/>
            </w:tcMar>
            <w:vAlign w:val="bottom"/>
          </w:tcPr>
          <w:p w14:paraId="56D5CDD8" w14:textId="77777777" w:rsidR="00E61AF9" w:rsidRPr="00E61AF9" w:rsidRDefault="00E61AF9" w:rsidP="00D34D5B">
            <w:pPr>
              <w:spacing w:line="240" w:lineRule="atLeast"/>
              <w:jc w:val="right"/>
              <w:rPr>
                <w:rFonts w:ascii="Tahoma" w:hAnsi="Tahoma"/>
                <w:color w:val="000000" w:themeColor="text1"/>
                <w:sz w:val="16"/>
                <w:lang w:val="en-GB"/>
              </w:rPr>
            </w:pPr>
            <w:r w:rsidRPr="00E61AF9">
              <w:rPr>
                <w:rFonts w:ascii="Tahoma" w:hAnsi="Tahoma"/>
                <w:color w:val="000000" w:themeColor="text1"/>
                <w:sz w:val="16"/>
                <w:lang w:val="en-GB"/>
              </w:rPr>
              <w:t>36</w:t>
            </w:r>
          </w:p>
        </w:tc>
        <w:tc>
          <w:tcPr>
            <w:tcW w:w="1134" w:type="dxa"/>
            <w:tcBorders>
              <w:top w:val="single" w:sz="4" w:space="0" w:color="auto"/>
              <w:left w:val="nil"/>
              <w:right w:val="single" w:sz="4" w:space="0" w:color="auto"/>
            </w:tcBorders>
            <w:shd w:val="clear" w:color="auto" w:fill="auto"/>
            <w:tcMar>
              <w:top w:w="57" w:type="dxa"/>
              <w:left w:w="0" w:type="dxa"/>
              <w:bottom w:w="57" w:type="dxa"/>
              <w:right w:w="0" w:type="dxa"/>
            </w:tcMar>
            <w:vAlign w:val="bottom"/>
          </w:tcPr>
          <w:p w14:paraId="6346AFBC" w14:textId="77777777" w:rsidR="00E61AF9" w:rsidRPr="00E61AF9" w:rsidRDefault="00E61AF9" w:rsidP="00B227FB">
            <w:pPr>
              <w:spacing w:line="240" w:lineRule="atLeast"/>
              <w:ind w:right="113"/>
              <w:jc w:val="right"/>
              <w:rPr>
                <w:rFonts w:ascii="Tahoma" w:hAnsi="Tahoma"/>
                <w:color w:val="000000" w:themeColor="text1"/>
                <w:sz w:val="16"/>
                <w:lang w:val="en-GB"/>
              </w:rPr>
            </w:pPr>
            <w:r w:rsidRPr="00E61AF9">
              <w:rPr>
                <w:rFonts w:ascii="Tahoma" w:hAnsi="Tahoma"/>
                <w:color w:val="000000" w:themeColor="text1"/>
                <w:sz w:val="16"/>
                <w:lang w:val="en-GB"/>
              </w:rPr>
              <w:t>2 344</w:t>
            </w:r>
          </w:p>
        </w:tc>
      </w:tr>
      <w:tr w:rsidR="00615190" w:rsidRPr="00E61AF9" w14:paraId="38F3155B" w14:textId="77777777" w:rsidTr="00A91FDB">
        <w:trPr>
          <w:trHeight w:val="60"/>
        </w:trPr>
        <w:tc>
          <w:tcPr>
            <w:tcW w:w="397" w:type="dxa"/>
            <w:shd w:val="clear" w:color="auto" w:fill="auto"/>
            <w:tcMar>
              <w:top w:w="57" w:type="dxa"/>
              <w:left w:w="0" w:type="dxa"/>
              <w:bottom w:w="57" w:type="dxa"/>
              <w:right w:w="0" w:type="dxa"/>
            </w:tcMar>
            <w:vAlign w:val="bottom"/>
          </w:tcPr>
          <w:p w14:paraId="42676733" w14:textId="77777777" w:rsidR="00E61AF9" w:rsidRPr="00E61AF9" w:rsidRDefault="00E61AF9" w:rsidP="00615190">
            <w:pPr>
              <w:spacing w:line="240" w:lineRule="atLeast"/>
              <w:rPr>
                <w:rFonts w:ascii="Tahoma" w:hAnsi="Tahoma"/>
                <w:color w:val="000000" w:themeColor="text1"/>
                <w:sz w:val="16"/>
                <w:lang w:val="en-GB"/>
              </w:rPr>
            </w:pPr>
          </w:p>
        </w:tc>
        <w:tc>
          <w:tcPr>
            <w:tcW w:w="5273" w:type="dxa"/>
            <w:tcBorders>
              <w:right w:val="single" w:sz="4" w:space="0" w:color="auto"/>
            </w:tcBorders>
            <w:shd w:val="clear" w:color="auto" w:fill="auto"/>
            <w:tcMar>
              <w:top w:w="57" w:type="dxa"/>
              <w:left w:w="113" w:type="dxa"/>
              <w:bottom w:w="57" w:type="dxa"/>
              <w:right w:w="0" w:type="dxa"/>
            </w:tcMar>
            <w:vAlign w:val="bottom"/>
          </w:tcPr>
          <w:p w14:paraId="13EED5E3" w14:textId="77777777" w:rsidR="00E61AF9" w:rsidRPr="00E61AF9" w:rsidRDefault="00E61AF9" w:rsidP="00615190">
            <w:pPr>
              <w:spacing w:line="240" w:lineRule="atLeast"/>
              <w:rPr>
                <w:rFonts w:ascii="Tahoma" w:hAnsi="Tahoma"/>
                <w:color w:val="000000" w:themeColor="text1"/>
                <w:sz w:val="16"/>
                <w:lang w:val="en-GB"/>
              </w:rPr>
            </w:pPr>
            <w:r w:rsidRPr="00E61AF9">
              <w:rPr>
                <w:rFonts w:ascii="Tahoma" w:hAnsi="Tahoma"/>
                <w:color w:val="000000" w:themeColor="text1"/>
                <w:sz w:val="16"/>
                <w:lang w:val="en-GB"/>
              </w:rPr>
              <w:t>Food Delivery</w:t>
            </w:r>
          </w:p>
        </w:tc>
        <w:tc>
          <w:tcPr>
            <w:tcW w:w="1134" w:type="dxa"/>
            <w:tcBorders>
              <w:left w:val="single" w:sz="4" w:space="0" w:color="auto"/>
            </w:tcBorders>
            <w:shd w:val="clear" w:color="auto" w:fill="auto"/>
            <w:tcMar>
              <w:top w:w="57" w:type="dxa"/>
              <w:left w:w="0" w:type="dxa"/>
              <w:bottom w:w="57" w:type="dxa"/>
              <w:right w:w="0" w:type="dxa"/>
            </w:tcMar>
            <w:vAlign w:val="bottom"/>
          </w:tcPr>
          <w:p w14:paraId="4C902E72" w14:textId="77777777" w:rsidR="00E61AF9" w:rsidRPr="00E61AF9" w:rsidRDefault="00E61AF9" w:rsidP="00D34D5B">
            <w:pPr>
              <w:spacing w:line="240" w:lineRule="atLeast"/>
              <w:jc w:val="right"/>
              <w:rPr>
                <w:rFonts w:ascii="Tahoma" w:hAnsi="Tahoma"/>
                <w:b/>
                <w:bCs/>
                <w:color w:val="000000" w:themeColor="text1"/>
                <w:sz w:val="16"/>
                <w:lang w:val="en-GB"/>
              </w:rPr>
            </w:pPr>
            <w:r w:rsidRPr="00E61AF9">
              <w:rPr>
                <w:rFonts w:ascii="Tahoma" w:hAnsi="Tahoma"/>
                <w:b/>
                <w:bCs/>
                <w:color w:val="000000" w:themeColor="text1"/>
                <w:sz w:val="16"/>
                <w:lang w:val="en-GB"/>
              </w:rPr>
              <w:t>1 911</w:t>
            </w:r>
          </w:p>
        </w:tc>
        <w:tc>
          <w:tcPr>
            <w:tcW w:w="1134" w:type="dxa"/>
            <w:shd w:val="clear" w:color="auto" w:fill="auto"/>
            <w:tcMar>
              <w:top w:w="57" w:type="dxa"/>
              <w:left w:w="0" w:type="dxa"/>
              <w:bottom w:w="57" w:type="dxa"/>
              <w:right w:w="0" w:type="dxa"/>
            </w:tcMar>
            <w:vAlign w:val="bottom"/>
          </w:tcPr>
          <w:p w14:paraId="5252A21B" w14:textId="77777777" w:rsidR="00E61AF9" w:rsidRPr="00E61AF9" w:rsidRDefault="00E61AF9" w:rsidP="00D34D5B">
            <w:pPr>
              <w:spacing w:line="240" w:lineRule="atLeast"/>
              <w:jc w:val="right"/>
              <w:rPr>
                <w:rFonts w:ascii="Tahoma" w:hAnsi="Tahoma"/>
                <w:color w:val="000000" w:themeColor="text1"/>
                <w:sz w:val="16"/>
                <w:lang w:val="en-GB"/>
              </w:rPr>
            </w:pPr>
            <w:r w:rsidRPr="00E61AF9">
              <w:rPr>
                <w:rFonts w:ascii="Tahoma" w:hAnsi="Tahoma"/>
                <w:color w:val="000000" w:themeColor="text1"/>
                <w:sz w:val="16"/>
                <w:lang w:val="en-GB"/>
              </w:rPr>
              <w:t>1 261</w:t>
            </w:r>
          </w:p>
        </w:tc>
        <w:tc>
          <w:tcPr>
            <w:tcW w:w="1134" w:type="dxa"/>
            <w:shd w:val="clear" w:color="auto" w:fill="auto"/>
            <w:tcMar>
              <w:top w:w="57" w:type="dxa"/>
              <w:left w:w="0" w:type="dxa"/>
              <w:bottom w:w="57" w:type="dxa"/>
              <w:right w:w="0" w:type="dxa"/>
            </w:tcMar>
            <w:vAlign w:val="bottom"/>
          </w:tcPr>
          <w:p w14:paraId="4721C5B7" w14:textId="77777777" w:rsidR="00E61AF9" w:rsidRPr="00E61AF9" w:rsidRDefault="00E61AF9" w:rsidP="00D34D5B">
            <w:pPr>
              <w:spacing w:line="240" w:lineRule="atLeast"/>
              <w:jc w:val="right"/>
              <w:rPr>
                <w:rFonts w:ascii="Tahoma" w:hAnsi="Tahoma"/>
                <w:color w:val="000000" w:themeColor="text1"/>
                <w:sz w:val="16"/>
                <w:lang w:val="en-GB"/>
              </w:rPr>
            </w:pPr>
            <w:r w:rsidRPr="00E61AF9">
              <w:rPr>
                <w:rFonts w:ascii="Tahoma" w:hAnsi="Tahoma"/>
                <w:color w:val="000000" w:themeColor="text1"/>
                <w:sz w:val="16"/>
                <w:lang w:val="en-GB"/>
              </w:rPr>
              <w:t>52</w:t>
            </w:r>
          </w:p>
        </w:tc>
        <w:tc>
          <w:tcPr>
            <w:tcW w:w="1134" w:type="dxa"/>
            <w:tcBorders>
              <w:left w:val="nil"/>
              <w:right w:val="single" w:sz="4" w:space="0" w:color="auto"/>
            </w:tcBorders>
            <w:shd w:val="clear" w:color="auto" w:fill="auto"/>
            <w:tcMar>
              <w:top w:w="57" w:type="dxa"/>
              <w:left w:w="0" w:type="dxa"/>
              <w:bottom w:w="57" w:type="dxa"/>
              <w:right w:w="0" w:type="dxa"/>
            </w:tcMar>
            <w:vAlign w:val="bottom"/>
          </w:tcPr>
          <w:p w14:paraId="75AAEA80" w14:textId="77777777" w:rsidR="00E61AF9" w:rsidRPr="00E61AF9" w:rsidRDefault="00E61AF9" w:rsidP="00B227FB">
            <w:pPr>
              <w:spacing w:line="240" w:lineRule="atLeast"/>
              <w:ind w:right="113"/>
              <w:jc w:val="right"/>
              <w:rPr>
                <w:rFonts w:ascii="Tahoma" w:hAnsi="Tahoma"/>
                <w:color w:val="000000" w:themeColor="text1"/>
                <w:sz w:val="16"/>
                <w:lang w:val="en-GB"/>
              </w:rPr>
            </w:pPr>
            <w:r w:rsidRPr="00E61AF9">
              <w:rPr>
                <w:rFonts w:ascii="Tahoma" w:hAnsi="Tahoma"/>
                <w:color w:val="000000" w:themeColor="text1"/>
                <w:sz w:val="16"/>
                <w:lang w:val="en-GB"/>
              </w:rPr>
              <w:t>2 992</w:t>
            </w:r>
          </w:p>
        </w:tc>
      </w:tr>
      <w:tr w:rsidR="00615190" w:rsidRPr="00E61AF9" w14:paraId="30BAAB8D" w14:textId="77777777" w:rsidTr="00A91FDB">
        <w:trPr>
          <w:trHeight w:val="60"/>
        </w:trPr>
        <w:tc>
          <w:tcPr>
            <w:tcW w:w="397" w:type="dxa"/>
            <w:shd w:val="clear" w:color="auto" w:fill="auto"/>
            <w:tcMar>
              <w:top w:w="57" w:type="dxa"/>
              <w:left w:w="0" w:type="dxa"/>
              <w:bottom w:w="57" w:type="dxa"/>
              <w:right w:w="0" w:type="dxa"/>
            </w:tcMar>
            <w:vAlign w:val="bottom"/>
          </w:tcPr>
          <w:p w14:paraId="60870A6A" w14:textId="77777777" w:rsidR="00E61AF9" w:rsidRPr="00E61AF9" w:rsidRDefault="00E61AF9" w:rsidP="00615190">
            <w:pPr>
              <w:spacing w:line="240" w:lineRule="atLeast"/>
              <w:rPr>
                <w:rFonts w:ascii="Tahoma" w:hAnsi="Tahoma"/>
                <w:color w:val="000000" w:themeColor="text1"/>
                <w:sz w:val="16"/>
                <w:lang w:val="en-GB"/>
              </w:rPr>
            </w:pPr>
          </w:p>
        </w:tc>
        <w:tc>
          <w:tcPr>
            <w:tcW w:w="5273" w:type="dxa"/>
            <w:tcBorders>
              <w:right w:val="single" w:sz="4" w:space="0" w:color="auto"/>
            </w:tcBorders>
            <w:shd w:val="clear" w:color="auto" w:fill="auto"/>
            <w:tcMar>
              <w:top w:w="57" w:type="dxa"/>
              <w:left w:w="113" w:type="dxa"/>
              <w:bottom w:w="57" w:type="dxa"/>
              <w:right w:w="0" w:type="dxa"/>
            </w:tcMar>
            <w:vAlign w:val="bottom"/>
          </w:tcPr>
          <w:p w14:paraId="37A773DA" w14:textId="77777777" w:rsidR="00E61AF9" w:rsidRPr="00E61AF9" w:rsidRDefault="00E61AF9" w:rsidP="00615190">
            <w:pPr>
              <w:spacing w:line="240" w:lineRule="atLeast"/>
              <w:rPr>
                <w:rFonts w:ascii="Tahoma" w:hAnsi="Tahoma"/>
                <w:color w:val="000000" w:themeColor="text1"/>
                <w:sz w:val="16"/>
                <w:lang w:val="en-GB"/>
              </w:rPr>
            </w:pPr>
            <w:r w:rsidRPr="00E61AF9">
              <w:rPr>
                <w:rFonts w:ascii="Tahoma" w:hAnsi="Tahoma"/>
                <w:color w:val="000000" w:themeColor="text1"/>
                <w:sz w:val="16"/>
                <w:lang w:val="en-GB"/>
              </w:rPr>
              <w:t>Payments and Fintech</w:t>
            </w:r>
          </w:p>
        </w:tc>
        <w:tc>
          <w:tcPr>
            <w:tcW w:w="1134" w:type="dxa"/>
            <w:tcBorders>
              <w:left w:val="single" w:sz="4" w:space="0" w:color="auto"/>
            </w:tcBorders>
            <w:shd w:val="clear" w:color="auto" w:fill="auto"/>
            <w:tcMar>
              <w:top w:w="57" w:type="dxa"/>
              <w:left w:w="0" w:type="dxa"/>
              <w:bottom w:w="57" w:type="dxa"/>
              <w:right w:w="0" w:type="dxa"/>
            </w:tcMar>
            <w:vAlign w:val="bottom"/>
          </w:tcPr>
          <w:p w14:paraId="2E1448E4" w14:textId="77777777" w:rsidR="00E61AF9" w:rsidRPr="00E61AF9" w:rsidRDefault="00E61AF9" w:rsidP="00D34D5B">
            <w:pPr>
              <w:spacing w:line="240" w:lineRule="atLeast"/>
              <w:jc w:val="right"/>
              <w:rPr>
                <w:rFonts w:ascii="Tahoma" w:hAnsi="Tahoma"/>
                <w:b/>
                <w:bCs/>
                <w:color w:val="000000" w:themeColor="text1"/>
                <w:sz w:val="16"/>
                <w:lang w:val="en-GB"/>
              </w:rPr>
            </w:pPr>
            <w:r w:rsidRPr="00E61AF9">
              <w:rPr>
                <w:rFonts w:ascii="Tahoma" w:hAnsi="Tahoma"/>
                <w:b/>
                <w:bCs/>
                <w:color w:val="000000" w:themeColor="text1"/>
                <w:sz w:val="16"/>
                <w:lang w:val="en-GB"/>
              </w:rPr>
              <w:t>480</w:t>
            </w:r>
          </w:p>
        </w:tc>
        <w:tc>
          <w:tcPr>
            <w:tcW w:w="1134" w:type="dxa"/>
            <w:shd w:val="clear" w:color="auto" w:fill="auto"/>
            <w:tcMar>
              <w:top w:w="57" w:type="dxa"/>
              <w:left w:w="0" w:type="dxa"/>
              <w:bottom w:w="57" w:type="dxa"/>
              <w:right w:w="0" w:type="dxa"/>
            </w:tcMar>
            <w:vAlign w:val="bottom"/>
          </w:tcPr>
          <w:p w14:paraId="5B3D0C5F" w14:textId="77777777" w:rsidR="00E61AF9" w:rsidRPr="00E61AF9" w:rsidRDefault="00E61AF9" w:rsidP="00D34D5B">
            <w:pPr>
              <w:spacing w:line="240" w:lineRule="atLeast"/>
              <w:jc w:val="right"/>
              <w:rPr>
                <w:rFonts w:ascii="Tahoma" w:hAnsi="Tahoma"/>
                <w:color w:val="000000" w:themeColor="text1"/>
                <w:sz w:val="16"/>
                <w:lang w:val="en-GB"/>
              </w:rPr>
            </w:pPr>
            <w:r w:rsidRPr="00E61AF9">
              <w:rPr>
                <w:rFonts w:ascii="Tahoma" w:hAnsi="Tahoma"/>
                <w:color w:val="000000" w:themeColor="text1"/>
                <w:sz w:val="16"/>
                <w:lang w:val="en-GB"/>
              </w:rPr>
              <w:t>359</w:t>
            </w:r>
          </w:p>
        </w:tc>
        <w:tc>
          <w:tcPr>
            <w:tcW w:w="1134" w:type="dxa"/>
            <w:shd w:val="clear" w:color="auto" w:fill="auto"/>
            <w:tcMar>
              <w:top w:w="57" w:type="dxa"/>
              <w:left w:w="0" w:type="dxa"/>
              <w:bottom w:w="57" w:type="dxa"/>
              <w:right w:w="0" w:type="dxa"/>
            </w:tcMar>
            <w:vAlign w:val="bottom"/>
          </w:tcPr>
          <w:p w14:paraId="50108588" w14:textId="77777777" w:rsidR="00E61AF9" w:rsidRPr="00E61AF9" w:rsidRDefault="00E61AF9" w:rsidP="00D34D5B">
            <w:pPr>
              <w:spacing w:line="240" w:lineRule="atLeast"/>
              <w:jc w:val="right"/>
              <w:rPr>
                <w:rFonts w:ascii="Tahoma" w:hAnsi="Tahoma"/>
                <w:color w:val="000000" w:themeColor="text1"/>
                <w:sz w:val="16"/>
                <w:lang w:val="en-GB"/>
              </w:rPr>
            </w:pPr>
            <w:r w:rsidRPr="00E61AF9">
              <w:rPr>
                <w:rFonts w:ascii="Tahoma" w:hAnsi="Tahoma"/>
                <w:color w:val="000000" w:themeColor="text1"/>
                <w:sz w:val="16"/>
                <w:lang w:val="en-GB"/>
              </w:rPr>
              <w:t>34</w:t>
            </w:r>
          </w:p>
        </w:tc>
        <w:tc>
          <w:tcPr>
            <w:tcW w:w="1134" w:type="dxa"/>
            <w:tcBorders>
              <w:left w:val="nil"/>
              <w:right w:val="single" w:sz="4" w:space="0" w:color="auto"/>
            </w:tcBorders>
            <w:shd w:val="clear" w:color="auto" w:fill="auto"/>
            <w:tcMar>
              <w:top w:w="57" w:type="dxa"/>
              <w:left w:w="0" w:type="dxa"/>
              <w:bottom w:w="57" w:type="dxa"/>
              <w:right w:w="0" w:type="dxa"/>
            </w:tcMar>
            <w:vAlign w:val="bottom"/>
          </w:tcPr>
          <w:p w14:paraId="24DF9743" w14:textId="77777777" w:rsidR="00E61AF9" w:rsidRPr="00E61AF9" w:rsidRDefault="00E61AF9" w:rsidP="00B227FB">
            <w:pPr>
              <w:spacing w:line="240" w:lineRule="atLeast"/>
              <w:ind w:right="113"/>
              <w:jc w:val="right"/>
              <w:rPr>
                <w:rFonts w:ascii="Tahoma" w:hAnsi="Tahoma"/>
                <w:color w:val="000000" w:themeColor="text1"/>
                <w:sz w:val="16"/>
                <w:lang w:val="en-GB"/>
              </w:rPr>
            </w:pPr>
            <w:r w:rsidRPr="00E61AF9">
              <w:rPr>
                <w:rFonts w:ascii="Tahoma" w:hAnsi="Tahoma"/>
                <w:color w:val="000000" w:themeColor="text1"/>
                <w:sz w:val="16"/>
                <w:lang w:val="en-GB"/>
              </w:rPr>
              <w:t>796</w:t>
            </w:r>
          </w:p>
        </w:tc>
      </w:tr>
      <w:tr w:rsidR="00615190" w:rsidRPr="00E61AF9" w14:paraId="1D361454" w14:textId="77777777" w:rsidTr="00A91FDB">
        <w:trPr>
          <w:trHeight w:val="60"/>
        </w:trPr>
        <w:tc>
          <w:tcPr>
            <w:tcW w:w="397" w:type="dxa"/>
            <w:shd w:val="clear" w:color="auto" w:fill="auto"/>
            <w:tcMar>
              <w:top w:w="57" w:type="dxa"/>
              <w:left w:w="0" w:type="dxa"/>
              <w:bottom w:w="57" w:type="dxa"/>
              <w:right w:w="0" w:type="dxa"/>
            </w:tcMar>
            <w:vAlign w:val="bottom"/>
          </w:tcPr>
          <w:p w14:paraId="0453FB45" w14:textId="77777777" w:rsidR="00E61AF9" w:rsidRPr="00E61AF9" w:rsidRDefault="00E61AF9" w:rsidP="00615190">
            <w:pPr>
              <w:spacing w:line="240" w:lineRule="atLeast"/>
              <w:rPr>
                <w:rFonts w:ascii="Tahoma" w:hAnsi="Tahoma"/>
                <w:color w:val="000000" w:themeColor="text1"/>
                <w:sz w:val="16"/>
                <w:lang w:val="en-GB"/>
              </w:rPr>
            </w:pPr>
          </w:p>
        </w:tc>
        <w:tc>
          <w:tcPr>
            <w:tcW w:w="5273" w:type="dxa"/>
            <w:tcBorders>
              <w:right w:val="single" w:sz="4" w:space="0" w:color="auto"/>
            </w:tcBorders>
            <w:shd w:val="clear" w:color="auto" w:fill="auto"/>
            <w:tcMar>
              <w:top w:w="57" w:type="dxa"/>
              <w:left w:w="113" w:type="dxa"/>
              <w:bottom w:w="57" w:type="dxa"/>
              <w:right w:w="0" w:type="dxa"/>
            </w:tcMar>
            <w:vAlign w:val="bottom"/>
          </w:tcPr>
          <w:p w14:paraId="24DB3EA4" w14:textId="77777777" w:rsidR="00E61AF9" w:rsidRPr="00E61AF9" w:rsidRDefault="00E61AF9" w:rsidP="00615190">
            <w:pPr>
              <w:spacing w:line="240" w:lineRule="atLeast"/>
              <w:rPr>
                <w:rFonts w:ascii="Tahoma" w:hAnsi="Tahoma"/>
                <w:color w:val="000000" w:themeColor="text1"/>
                <w:sz w:val="16"/>
                <w:lang w:val="en-GB"/>
              </w:rPr>
            </w:pPr>
            <w:r w:rsidRPr="00E61AF9">
              <w:rPr>
                <w:rFonts w:ascii="Tahoma" w:hAnsi="Tahoma"/>
                <w:color w:val="000000" w:themeColor="text1"/>
                <w:sz w:val="16"/>
                <w:lang w:val="en-GB"/>
              </w:rPr>
              <w:t>Edtech</w:t>
            </w:r>
          </w:p>
        </w:tc>
        <w:tc>
          <w:tcPr>
            <w:tcW w:w="1134" w:type="dxa"/>
            <w:tcBorders>
              <w:left w:val="single" w:sz="4" w:space="0" w:color="auto"/>
            </w:tcBorders>
            <w:shd w:val="clear" w:color="auto" w:fill="auto"/>
            <w:tcMar>
              <w:top w:w="57" w:type="dxa"/>
              <w:left w:w="0" w:type="dxa"/>
              <w:bottom w:w="57" w:type="dxa"/>
              <w:right w:w="0" w:type="dxa"/>
            </w:tcMar>
            <w:vAlign w:val="bottom"/>
          </w:tcPr>
          <w:p w14:paraId="09FED261" w14:textId="77777777" w:rsidR="00E61AF9" w:rsidRPr="00E61AF9" w:rsidRDefault="00E61AF9" w:rsidP="00D34D5B">
            <w:pPr>
              <w:spacing w:line="240" w:lineRule="atLeast"/>
              <w:jc w:val="right"/>
              <w:rPr>
                <w:rFonts w:ascii="Tahoma" w:hAnsi="Tahoma"/>
                <w:b/>
                <w:bCs/>
                <w:color w:val="000000" w:themeColor="text1"/>
                <w:sz w:val="16"/>
                <w:lang w:val="en-GB"/>
              </w:rPr>
            </w:pPr>
            <w:r w:rsidRPr="00E61AF9">
              <w:rPr>
                <w:rFonts w:ascii="Tahoma" w:hAnsi="Tahoma"/>
                <w:b/>
                <w:bCs/>
                <w:color w:val="000000" w:themeColor="text1"/>
                <w:sz w:val="16"/>
                <w:lang w:val="en-GB"/>
              </w:rPr>
              <w:t>334</w:t>
            </w:r>
          </w:p>
        </w:tc>
        <w:tc>
          <w:tcPr>
            <w:tcW w:w="1134" w:type="dxa"/>
            <w:shd w:val="clear" w:color="auto" w:fill="auto"/>
            <w:tcMar>
              <w:top w:w="57" w:type="dxa"/>
              <w:left w:w="0" w:type="dxa"/>
              <w:bottom w:w="57" w:type="dxa"/>
              <w:right w:w="0" w:type="dxa"/>
            </w:tcMar>
            <w:vAlign w:val="bottom"/>
          </w:tcPr>
          <w:p w14:paraId="0FD97A94" w14:textId="77777777" w:rsidR="00E61AF9" w:rsidRPr="00E61AF9" w:rsidRDefault="00E61AF9" w:rsidP="00D34D5B">
            <w:pPr>
              <w:spacing w:line="240" w:lineRule="atLeast"/>
              <w:jc w:val="right"/>
              <w:rPr>
                <w:rFonts w:ascii="Tahoma" w:hAnsi="Tahoma"/>
                <w:color w:val="000000" w:themeColor="text1"/>
                <w:sz w:val="16"/>
                <w:lang w:val="en-GB"/>
              </w:rPr>
            </w:pPr>
            <w:r w:rsidRPr="00E61AF9">
              <w:rPr>
                <w:rFonts w:ascii="Tahoma" w:hAnsi="Tahoma"/>
                <w:color w:val="000000" w:themeColor="text1"/>
                <w:sz w:val="16"/>
                <w:lang w:val="en-GB"/>
              </w:rPr>
              <w:t>120</w:t>
            </w:r>
          </w:p>
        </w:tc>
        <w:tc>
          <w:tcPr>
            <w:tcW w:w="1134" w:type="dxa"/>
            <w:shd w:val="clear" w:color="auto" w:fill="auto"/>
            <w:tcMar>
              <w:top w:w="57" w:type="dxa"/>
              <w:left w:w="0" w:type="dxa"/>
              <w:bottom w:w="57" w:type="dxa"/>
              <w:right w:w="0" w:type="dxa"/>
            </w:tcMar>
            <w:vAlign w:val="bottom"/>
          </w:tcPr>
          <w:p w14:paraId="2540411B" w14:textId="77777777" w:rsidR="00E61AF9" w:rsidRPr="00E61AF9" w:rsidRDefault="00E61AF9" w:rsidP="00D34D5B">
            <w:pPr>
              <w:spacing w:line="240" w:lineRule="atLeast"/>
              <w:jc w:val="right"/>
              <w:rPr>
                <w:rFonts w:ascii="Tahoma" w:hAnsi="Tahoma"/>
                <w:color w:val="000000" w:themeColor="text1"/>
                <w:sz w:val="16"/>
                <w:lang w:val="en-GB"/>
              </w:rPr>
            </w:pPr>
            <w:r w:rsidRPr="00E61AF9">
              <w:rPr>
                <w:rFonts w:ascii="Tahoma" w:hAnsi="Tahoma"/>
                <w:color w:val="000000" w:themeColor="text1"/>
                <w:sz w:val="16"/>
                <w:lang w:val="en-GB"/>
              </w:rPr>
              <w:t>&gt;100</w:t>
            </w:r>
          </w:p>
        </w:tc>
        <w:tc>
          <w:tcPr>
            <w:tcW w:w="1134" w:type="dxa"/>
            <w:tcBorders>
              <w:left w:val="nil"/>
              <w:right w:val="single" w:sz="4" w:space="0" w:color="auto"/>
            </w:tcBorders>
            <w:shd w:val="clear" w:color="auto" w:fill="auto"/>
            <w:tcMar>
              <w:top w:w="57" w:type="dxa"/>
              <w:left w:w="0" w:type="dxa"/>
              <w:bottom w:w="57" w:type="dxa"/>
              <w:right w:w="0" w:type="dxa"/>
            </w:tcMar>
            <w:vAlign w:val="bottom"/>
          </w:tcPr>
          <w:p w14:paraId="2D0E6B45" w14:textId="77777777" w:rsidR="00E61AF9" w:rsidRPr="00E61AF9" w:rsidRDefault="00E61AF9" w:rsidP="00B227FB">
            <w:pPr>
              <w:spacing w:line="240" w:lineRule="atLeast"/>
              <w:ind w:right="113"/>
              <w:jc w:val="right"/>
              <w:rPr>
                <w:rFonts w:ascii="Tahoma" w:hAnsi="Tahoma"/>
                <w:color w:val="000000" w:themeColor="text1"/>
                <w:sz w:val="16"/>
                <w:lang w:val="en-GB"/>
              </w:rPr>
            </w:pPr>
            <w:r w:rsidRPr="00E61AF9">
              <w:rPr>
                <w:rFonts w:ascii="Tahoma" w:hAnsi="Tahoma"/>
                <w:color w:val="000000" w:themeColor="text1"/>
                <w:sz w:val="16"/>
                <w:lang w:val="en-GB"/>
              </w:rPr>
              <w:t>425</w:t>
            </w:r>
          </w:p>
        </w:tc>
      </w:tr>
      <w:tr w:rsidR="00615190" w:rsidRPr="00E61AF9" w14:paraId="5A36FDD8" w14:textId="77777777" w:rsidTr="00A91FDB">
        <w:trPr>
          <w:trHeight w:val="60"/>
        </w:trPr>
        <w:tc>
          <w:tcPr>
            <w:tcW w:w="397" w:type="dxa"/>
            <w:shd w:val="clear" w:color="auto" w:fill="auto"/>
            <w:tcMar>
              <w:top w:w="57" w:type="dxa"/>
              <w:left w:w="0" w:type="dxa"/>
              <w:bottom w:w="57" w:type="dxa"/>
              <w:right w:w="0" w:type="dxa"/>
            </w:tcMar>
            <w:vAlign w:val="bottom"/>
          </w:tcPr>
          <w:p w14:paraId="3EB6A153" w14:textId="77777777" w:rsidR="00E61AF9" w:rsidRPr="00E61AF9" w:rsidRDefault="00E61AF9" w:rsidP="00615190">
            <w:pPr>
              <w:spacing w:line="240" w:lineRule="atLeast"/>
              <w:rPr>
                <w:rFonts w:ascii="Tahoma" w:hAnsi="Tahoma"/>
                <w:color w:val="000000" w:themeColor="text1"/>
                <w:sz w:val="16"/>
                <w:lang w:val="en-GB"/>
              </w:rPr>
            </w:pPr>
          </w:p>
        </w:tc>
        <w:tc>
          <w:tcPr>
            <w:tcW w:w="5273" w:type="dxa"/>
            <w:tcBorders>
              <w:right w:val="single" w:sz="4" w:space="0" w:color="auto"/>
            </w:tcBorders>
            <w:shd w:val="clear" w:color="auto" w:fill="auto"/>
            <w:tcMar>
              <w:top w:w="57" w:type="dxa"/>
              <w:left w:w="113" w:type="dxa"/>
              <w:bottom w:w="57" w:type="dxa"/>
              <w:right w:w="0" w:type="dxa"/>
            </w:tcMar>
            <w:vAlign w:val="bottom"/>
          </w:tcPr>
          <w:p w14:paraId="7F57B993" w14:textId="77777777" w:rsidR="00E61AF9" w:rsidRPr="00E61AF9" w:rsidRDefault="00E61AF9" w:rsidP="00615190">
            <w:pPr>
              <w:spacing w:line="240" w:lineRule="atLeast"/>
              <w:rPr>
                <w:rFonts w:ascii="Tahoma" w:hAnsi="Tahoma"/>
                <w:color w:val="000000" w:themeColor="text1"/>
                <w:sz w:val="16"/>
                <w:lang w:val="en-GB"/>
              </w:rPr>
            </w:pPr>
            <w:r w:rsidRPr="00E61AF9">
              <w:rPr>
                <w:rFonts w:ascii="Tahoma" w:hAnsi="Tahoma"/>
                <w:color w:val="000000" w:themeColor="text1"/>
                <w:sz w:val="16"/>
                <w:lang w:val="en-GB"/>
              </w:rPr>
              <w:t>Etail</w:t>
            </w:r>
          </w:p>
        </w:tc>
        <w:tc>
          <w:tcPr>
            <w:tcW w:w="1134" w:type="dxa"/>
            <w:tcBorders>
              <w:left w:val="single" w:sz="4" w:space="0" w:color="auto"/>
            </w:tcBorders>
            <w:shd w:val="clear" w:color="auto" w:fill="auto"/>
            <w:tcMar>
              <w:top w:w="57" w:type="dxa"/>
              <w:left w:w="0" w:type="dxa"/>
              <w:bottom w:w="57" w:type="dxa"/>
              <w:right w:w="0" w:type="dxa"/>
            </w:tcMar>
            <w:vAlign w:val="bottom"/>
          </w:tcPr>
          <w:p w14:paraId="63774718" w14:textId="77777777" w:rsidR="00E61AF9" w:rsidRPr="00E61AF9" w:rsidRDefault="00E61AF9" w:rsidP="00D34D5B">
            <w:pPr>
              <w:spacing w:line="240" w:lineRule="atLeast"/>
              <w:jc w:val="right"/>
              <w:rPr>
                <w:rFonts w:ascii="Tahoma" w:hAnsi="Tahoma"/>
                <w:b/>
                <w:bCs/>
                <w:color w:val="000000" w:themeColor="text1"/>
                <w:sz w:val="16"/>
                <w:lang w:val="en-GB"/>
              </w:rPr>
            </w:pPr>
            <w:r w:rsidRPr="00E61AF9">
              <w:rPr>
                <w:rFonts w:ascii="Tahoma" w:hAnsi="Tahoma"/>
                <w:b/>
                <w:bCs/>
                <w:color w:val="000000" w:themeColor="text1"/>
                <w:sz w:val="16"/>
                <w:lang w:val="en-GB"/>
              </w:rPr>
              <w:t>852</w:t>
            </w:r>
          </w:p>
        </w:tc>
        <w:tc>
          <w:tcPr>
            <w:tcW w:w="1134" w:type="dxa"/>
            <w:shd w:val="clear" w:color="auto" w:fill="auto"/>
            <w:tcMar>
              <w:top w:w="57" w:type="dxa"/>
              <w:left w:w="0" w:type="dxa"/>
              <w:bottom w:w="57" w:type="dxa"/>
              <w:right w:w="0" w:type="dxa"/>
            </w:tcMar>
            <w:vAlign w:val="bottom"/>
          </w:tcPr>
          <w:p w14:paraId="71EF45F2" w14:textId="77777777" w:rsidR="00E61AF9" w:rsidRPr="00E61AF9" w:rsidRDefault="00E61AF9" w:rsidP="00D34D5B">
            <w:pPr>
              <w:spacing w:line="240" w:lineRule="atLeast"/>
              <w:jc w:val="right"/>
              <w:rPr>
                <w:rFonts w:ascii="Tahoma" w:hAnsi="Tahoma"/>
                <w:color w:val="000000" w:themeColor="text1"/>
                <w:sz w:val="16"/>
                <w:lang w:val="en-GB"/>
              </w:rPr>
            </w:pPr>
            <w:r w:rsidRPr="00E61AF9">
              <w:rPr>
                <w:rFonts w:ascii="Tahoma" w:hAnsi="Tahoma"/>
                <w:color w:val="000000" w:themeColor="text1"/>
                <w:sz w:val="16"/>
                <w:lang w:val="en-GB"/>
              </w:rPr>
              <w:t>1 029</w:t>
            </w:r>
          </w:p>
        </w:tc>
        <w:tc>
          <w:tcPr>
            <w:tcW w:w="1134" w:type="dxa"/>
            <w:shd w:val="clear" w:color="auto" w:fill="auto"/>
            <w:tcMar>
              <w:top w:w="57" w:type="dxa"/>
              <w:left w:w="0" w:type="dxa"/>
              <w:bottom w:w="57" w:type="dxa"/>
              <w:right w:w="0" w:type="dxa"/>
            </w:tcMar>
            <w:vAlign w:val="bottom"/>
          </w:tcPr>
          <w:p w14:paraId="035B5A24" w14:textId="77777777" w:rsidR="00E61AF9" w:rsidRPr="00E61AF9" w:rsidRDefault="00E61AF9" w:rsidP="00D34D5B">
            <w:pPr>
              <w:spacing w:line="240" w:lineRule="atLeast"/>
              <w:jc w:val="right"/>
              <w:rPr>
                <w:rFonts w:ascii="Tahoma" w:hAnsi="Tahoma"/>
                <w:color w:val="000000" w:themeColor="text1"/>
                <w:sz w:val="16"/>
                <w:lang w:val="en-GB"/>
              </w:rPr>
            </w:pPr>
            <w:r w:rsidRPr="00E61AF9">
              <w:rPr>
                <w:rFonts w:ascii="Tahoma" w:hAnsi="Tahoma"/>
                <w:color w:val="000000" w:themeColor="text1"/>
                <w:sz w:val="16"/>
                <w:lang w:val="en-GB"/>
              </w:rPr>
              <w:t>(17)</w:t>
            </w:r>
          </w:p>
        </w:tc>
        <w:tc>
          <w:tcPr>
            <w:tcW w:w="1134" w:type="dxa"/>
            <w:tcBorders>
              <w:left w:val="nil"/>
              <w:right w:val="single" w:sz="4" w:space="0" w:color="auto"/>
            </w:tcBorders>
            <w:shd w:val="clear" w:color="auto" w:fill="auto"/>
            <w:tcMar>
              <w:top w:w="57" w:type="dxa"/>
              <w:left w:w="0" w:type="dxa"/>
              <w:bottom w:w="57" w:type="dxa"/>
              <w:right w:w="0" w:type="dxa"/>
            </w:tcMar>
            <w:vAlign w:val="bottom"/>
          </w:tcPr>
          <w:p w14:paraId="629DC90E" w14:textId="77777777" w:rsidR="00E61AF9" w:rsidRPr="00E61AF9" w:rsidRDefault="00E61AF9" w:rsidP="00B227FB">
            <w:pPr>
              <w:spacing w:line="240" w:lineRule="atLeast"/>
              <w:ind w:right="113"/>
              <w:jc w:val="right"/>
              <w:rPr>
                <w:rFonts w:ascii="Tahoma" w:hAnsi="Tahoma"/>
                <w:color w:val="000000" w:themeColor="text1"/>
                <w:sz w:val="16"/>
                <w:lang w:val="en-GB"/>
              </w:rPr>
            </w:pPr>
            <w:r w:rsidRPr="00E61AF9">
              <w:rPr>
                <w:rFonts w:ascii="Tahoma" w:hAnsi="Tahoma"/>
                <w:color w:val="000000" w:themeColor="text1"/>
                <w:sz w:val="16"/>
                <w:lang w:val="en-GB"/>
              </w:rPr>
              <w:t>2 259</w:t>
            </w:r>
          </w:p>
        </w:tc>
      </w:tr>
      <w:tr w:rsidR="00615190" w:rsidRPr="00E61AF9" w14:paraId="4C4B03C6" w14:textId="77777777" w:rsidTr="00A91FDB">
        <w:trPr>
          <w:trHeight w:val="60"/>
        </w:trPr>
        <w:tc>
          <w:tcPr>
            <w:tcW w:w="397" w:type="dxa"/>
            <w:shd w:val="clear" w:color="auto" w:fill="auto"/>
            <w:tcMar>
              <w:top w:w="57" w:type="dxa"/>
              <w:left w:w="0" w:type="dxa"/>
              <w:bottom w:w="57" w:type="dxa"/>
              <w:right w:w="0" w:type="dxa"/>
            </w:tcMar>
            <w:vAlign w:val="bottom"/>
          </w:tcPr>
          <w:p w14:paraId="0AB5268E" w14:textId="77777777" w:rsidR="00E61AF9" w:rsidRPr="00E61AF9" w:rsidRDefault="00E61AF9" w:rsidP="00615190">
            <w:pPr>
              <w:spacing w:line="240" w:lineRule="atLeast"/>
              <w:rPr>
                <w:rFonts w:ascii="Tahoma" w:hAnsi="Tahoma"/>
                <w:color w:val="000000" w:themeColor="text1"/>
                <w:sz w:val="16"/>
                <w:lang w:val="en-GB"/>
              </w:rPr>
            </w:pPr>
          </w:p>
        </w:tc>
        <w:tc>
          <w:tcPr>
            <w:tcW w:w="5273" w:type="dxa"/>
            <w:tcBorders>
              <w:right w:val="single" w:sz="4" w:space="0" w:color="auto"/>
            </w:tcBorders>
            <w:shd w:val="clear" w:color="auto" w:fill="auto"/>
            <w:tcMar>
              <w:top w:w="57" w:type="dxa"/>
              <w:left w:w="113" w:type="dxa"/>
              <w:bottom w:w="57" w:type="dxa"/>
              <w:right w:w="0" w:type="dxa"/>
            </w:tcMar>
            <w:vAlign w:val="bottom"/>
          </w:tcPr>
          <w:p w14:paraId="6294DC51" w14:textId="77777777" w:rsidR="00E61AF9" w:rsidRPr="00E61AF9" w:rsidRDefault="00E61AF9" w:rsidP="00615190">
            <w:pPr>
              <w:spacing w:line="240" w:lineRule="atLeast"/>
              <w:rPr>
                <w:rFonts w:ascii="Tahoma" w:hAnsi="Tahoma"/>
                <w:color w:val="000000" w:themeColor="text1"/>
                <w:sz w:val="16"/>
                <w:lang w:val="en-GB"/>
              </w:rPr>
            </w:pPr>
            <w:r w:rsidRPr="00E61AF9">
              <w:rPr>
                <w:rFonts w:ascii="Tahoma" w:hAnsi="Tahoma"/>
                <w:color w:val="000000" w:themeColor="text1"/>
                <w:sz w:val="16"/>
                <w:lang w:val="en-GB"/>
              </w:rPr>
              <w:t>Other</w:t>
            </w:r>
          </w:p>
        </w:tc>
        <w:tc>
          <w:tcPr>
            <w:tcW w:w="1134" w:type="dxa"/>
            <w:tcBorders>
              <w:left w:val="single" w:sz="4" w:space="0" w:color="auto"/>
              <w:bottom w:val="single" w:sz="4" w:space="0" w:color="auto"/>
            </w:tcBorders>
            <w:shd w:val="clear" w:color="auto" w:fill="auto"/>
            <w:tcMar>
              <w:top w:w="57" w:type="dxa"/>
              <w:left w:w="0" w:type="dxa"/>
              <w:bottom w:w="57" w:type="dxa"/>
              <w:right w:w="0" w:type="dxa"/>
            </w:tcMar>
            <w:vAlign w:val="bottom"/>
          </w:tcPr>
          <w:p w14:paraId="03D4FB40" w14:textId="77777777" w:rsidR="00E61AF9" w:rsidRPr="00E61AF9" w:rsidRDefault="00E61AF9" w:rsidP="00D34D5B">
            <w:pPr>
              <w:spacing w:line="240" w:lineRule="atLeast"/>
              <w:jc w:val="right"/>
              <w:rPr>
                <w:rFonts w:ascii="Tahoma" w:hAnsi="Tahoma"/>
                <w:b/>
                <w:bCs/>
                <w:color w:val="000000" w:themeColor="text1"/>
                <w:sz w:val="16"/>
                <w:lang w:val="en-GB"/>
              </w:rPr>
            </w:pPr>
            <w:r w:rsidRPr="00E61AF9">
              <w:rPr>
                <w:rFonts w:ascii="Tahoma" w:hAnsi="Tahoma"/>
                <w:b/>
                <w:bCs/>
                <w:color w:val="000000" w:themeColor="text1"/>
                <w:sz w:val="16"/>
                <w:lang w:val="en-GB"/>
              </w:rPr>
              <w:t>301</w:t>
            </w:r>
          </w:p>
        </w:tc>
        <w:tc>
          <w:tcPr>
            <w:tcW w:w="1134" w:type="dxa"/>
            <w:tcBorders>
              <w:bottom w:val="single" w:sz="4" w:space="0" w:color="auto"/>
            </w:tcBorders>
            <w:shd w:val="clear" w:color="auto" w:fill="auto"/>
            <w:tcMar>
              <w:top w:w="57" w:type="dxa"/>
              <w:left w:w="0" w:type="dxa"/>
              <w:bottom w:w="57" w:type="dxa"/>
              <w:right w:w="0" w:type="dxa"/>
            </w:tcMar>
            <w:vAlign w:val="bottom"/>
          </w:tcPr>
          <w:p w14:paraId="1CB78857" w14:textId="77777777" w:rsidR="00E61AF9" w:rsidRPr="00E61AF9" w:rsidRDefault="00E61AF9" w:rsidP="00D34D5B">
            <w:pPr>
              <w:spacing w:line="240" w:lineRule="atLeast"/>
              <w:jc w:val="right"/>
              <w:rPr>
                <w:rFonts w:ascii="Tahoma" w:hAnsi="Tahoma"/>
                <w:color w:val="000000" w:themeColor="text1"/>
                <w:sz w:val="16"/>
                <w:lang w:val="en-GB"/>
              </w:rPr>
            </w:pPr>
            <w:r w:rsidRPr="00E61AF9">
              <w:rPr>
                <w:rFonts w:ascii="Tahoma" w:hAnsi="Tahoma"/>
                <w:color w:val="000000" w:themeColor="text1"/>
                <w:sz w:val="16"/>
                <w:lang w:val="en-GB"/>
              </w:rPr>
              <w:t>101</w:t>
            </w:r>
          </w:p>
        </w:tc>
        <w:tc>
          <w:tcPr>
            <w:tcW w:w="1134" w:type="dxa"/>
            <w:tcBorders>
              <w:bottom w:val="single" w:sz="4" w:space="0" w:color="auto"/>
            </w:tcBorders>
            <w:shd w:val="clear" w:color="auto" w:fill="auto"/>
            <w:tcMar>
              <w:top w:w="57" w:type="dxa"/>
              <w:left w:w="0" w:type="dxa"/>
              <w:bottom w:w="57" w:type="dxa"/>
              <w:right w:w="0" w:type="dxa"/>
            </w:tcMar>
            <w:vAlign w:val="bottom"/>
          </w:tcPr>
          <w:p w14:paraId="47F62D06" w14:textId="77777777" w:rsidR="00E61AF9" w:rsidRPr="00E61AF9" w:rsidRDefault="00E61AF9" w:rsidP="00D34D5B">
            <w:pPr>
              <w:spacing w:line="240" w:lineRule="atLeast"/>
              <w:jc w:val="right"/>
              <w:rPr>
                <w:rFonts w:ascii="Tahoma" w:hAnsi="Tahoma"/>
                <w:color w:val="000000" w:themeColor="text1"/>
                <w:sz w:val="16"/>
                <w:lang w:val="en-GB"/>
              </w:rPr>
            </w:pPr>
            <w:r w:rsidRPr="00E61AF9">
              <w:rPr>
                <w:rFonts w:ascii="Tahoma" w:hAnsi="Tahoma"/>
                <w:color w:val="000000" w:themeColor="text1"/>
                <w:sz w:val="16"/>
                <w:lang w:val="en-GB"/>
              </w:rPr>
              <w:t>&gt;100</w:t>
            </w:r>
          </w:p>
        </w:tc>
        <w:tc>
          <w:tcPr>
            <w:tcW w:w="1134" w:type="dxa"/>
            <w:tcBorders>
              <w:left w:val="nil"/>
              <w:bottom w:val="single" w:sz="4" w:space="0" w:color="auto"/>
              <w:right w:val="single" w:sz="4" w:space="0" w:color="auto"/>
            </w:tcBorders>
            <w:shd w:val="clear" w:color="auto" w:fill="auto"/>
            <w:tcMar>
              <w:top w:w="57" w:type="dxa"/>
              <w:left w:w="0" w:type="dxa"/>
              <w:bottom w:w="57" w:type="dxa"/>
              <w:right w:w="0" w:type="dxa"/>
            </w:tcMar>
            <w:vAlign w:val="bottom"/>
          </w:tcPr>
          <w:p w14:paraId="4A2A1A98" w14:textId="77777777" w:rsidR="00E61AF9" w:rsidRPr="00E61AF9" w:rsidRDefault="00E61AF9" w:rsidP="00B227FB">
            <w:pPr>
              <w:spacing w:line="240" w:lineRule="atLeast"/>
              <w:ind w:right="113"/>
              <w:jc w:val="right"/>
              <w:rPr>
                <w:rFonts w:ascii="Tahoma" w:hAnsi="Tahoma"/>
                <w:color w:val="000000" w:themeColor="text1"/>
                <w:sz w:val="16"/>
                <w:lang w:val="en-GB"/>
              </w:rPr>
            </w:pPr>
            <w:r w:rsidRPr="00E61AF9">
              <w:rPr>
                <w:rFonts w:ascii="Tahoma" w:hAnsi="Tahoma"/>
                <w:color w:val="000000" w:themeColor="text1"/>
                <w:sz w:val="16"/>
                <w:lang w:val="en-GB"/>
              </w:rPr>
              <w:t>378</w:t>
            </w:r>
          </w:p>
        </w:tc>
      </w:tr>
      <w:tr w:rsidR="00615190" w:rsidRPr="00E61AF9" w14:paraId="6B9D69B1" w14:textId="77777777" w:rsidTr="00A64BBE">
        <w:trPr>
          <w:trHeight w:val="60"/>
        </w:trPr>
        <w:tc>
          <w:tcPr>
            <w:tcW w:w="397" w:type="dxa"/>
            <w:shd w:val="clear" w:color="auto" w:fill="auto"/>
            <w:tcMar>
              <w:top w:w="57" w:type="dxa"/>
              <w:left w:w="0" w:type="dxa"/>
              <w:bottom w:w="57" w:type="dxa"/>
              <w:right w:w="0" w:type="dxa"/>
            </w:tcMar>
            <w:vAlign w:val="bottom"/>
          </w:tcPr>
          <w:p w14:paraId="74DC9280" w14:textId="77777777" w:rsidR="00E61AF9" w:rsidRPr="00E61AF9" w:rsidRDefault="00E61AF9" w:rsidP="00615190">
            <w:pPr>
              <w:spacing w:line="240" w:lineRule="atLeast"/>
              <w:rPr>
                <w:rFonts w:ascii="Tahoma" w:hAnsi="Tahoma"/>
                <w:color w:val="000000" w:themeColor="text1"/>
                <w:sz w:val="16"/>
                <w:lang w:val="en-GB"/>
              </w:rPr>
            </w:pPr>
          </w:p>
        </w:tc>
        <w:tc>
          <w:tcPr>
            <w:tcW w:w="5273" w:type="dxa"/>
            <w:shd w:val="clear" w:color="auto" w:fill="auto"/>
            <w:tcMar>
              <w:top w:w="57" w:type="dxa"/>
              <w:left w:w="0" w:type="dxa"/>
              <w:bottom w:w="57" w:type="dxa"/>
              <w:right w:w="0" w:type="dxa"/>
            </w:tcMar>
            <w:vAlign w:val="bottom"/>
          </w:tcPr>
          <w:p w14:paraId="4CED34F5" w14:textId="77777777" w:rsidR="00E61AF9" w:rsidRPr="00E61AF9" w:rsidRDefault="00E61AF9" w:rsidP="00615190">
            <w:pPr>
              <w:spacing w:line="240" w:lineRule="atLeast"/>
              <w:rPr>
                <w:rFonts w:ascii="Tahoma" w:hAnsi="Tahoma"/>
                <w:i/>
                <w:iCs/>
                <w:color w:val="000000" w:themeColor="text1"/>
                <w:sz w:val="16"/>
                <w:lang w:val="en-GB"/>
              </w:rPr>
            </w:pPr>
            <w:r w:rsidRPr="00E61AF9">
              <w:rPr>
                <w:rFonts w:ascii="Tahoma" w:hAnsi="Tahoma"/>
                <w:i/>
                <w:iCs/>
                <w:color w:val="000000" w:themeColor="text1"/>
                <w:sz w:val="16"/>
                <w:lang w:val="en-GB"/>
              </w:rPr>
              <w:t>Social and Internet Platforms</w:t>
            </w:r>
          </w:p>
        </w:tc>
        <w:tc>
          <w:tcPr>
            <w:tcW w:w="1134" w:type="dxa"/>
            <w:tcBorders>
              <w:top w:val="single" w:sz="4" w:space="0" w:color="auto"/>
              <w:bottom w:val="single" w:sz="4" w:space="0" w:color="auto"/>
            </w:tcBorders>
            <w:shd w:val="clear" w:color="auto" w:fill="auto"/>
            <w:tcMar>
              <w:top w:w="57" w:type="dxa"/>
              <w:left w:w="0" w:type="dxa"/>
              <w:bottom w:w="57" w:type="dxa"/>
              <w:right w:w="0" w:type="dxa"/>
            </w:tcMar>
            <w:vAlign w:val="bottom"/>
          </w:tcPr>
          <w:p w14:paraId="4315699B" w14:textId="77777777" w:rsidR="00E61AF9" w:rsidRPr="00E61AF9" w:rsidRDefault="00E61AF9" w:rsidP="00D34D5B">
            <w:pPr>
              <w:spacing w:line="240" w:lineRule="atLeast"/>
              <w:jc w:val="right"/>
              <w:rPr>
                <w:rFonts w:ascii="Tahoma" w:hAnsi="Tahoma"/>
                <w:b/>
                <w:bCs/>
                <w:color w:val="000000" w:themeColor="text1"/>
                <w:sz w:val="16"/>
                <w:lang w:val="en-GB"/>
              </w:rPr>
            </w:pPr>
            <w:r w:rsidRPr="00E61AF9">
              <w:rPr>
                <w:rFonts w:ascii="Tahoma" w:hAnsi="Tahoma"/>
                <w:b/>
                <w:bCs/>
                <w:color w:val="000000" w:themeColor="text1"/>
                <w:sz w:val="16"/>
                <w:lang w:val="en-GB"/>
              </w:rPr>
              <w:t>11 309</w:t>
            </w:r>
          </w:p>
        </w:tc>
        <w:tc>
          <w:tcPr>
            <w:tcW w:w="1134" w:type="dxa"/>
            <w:tcBorders>
              <w:top w:val="single" w:sz="4" w:space="0" w:color="auto"/>
              <w:bottom w:val="single" w:sz="4" w:space="0" w:color="auto"/>
            </w:tcBorders>
            <w:shd w:val="clear" w:color="auto" w:fill="auto"/>
            <w:tcMar>
              <w:top w:w="57" w:type="dxa"/>
              <w:left w:w="0" w:type="dxa"/>
              <w:bottom w:w="57" w:type="dxa"/>
              <w:right w:w="0" w:type="dxa"/>
            </w:tcMar>
            <w:vAlign w:val="bottom"/>
          </w:tcPr>
          <w:p w14:paraId="2781278B" w14:textId="77777777" w:rsidR="00E61AF9" w:rsidRPr="00E61AF9" w:rsidRDefault="00E61AF9" w:rsidP="00D34D5B">
            <w:pPr>
              <w:spacing w:line="240" w:lineRule="atLeast"/>
              <w:jc w:val="right"/>
              <w:rPr>
                <w:rFonts w:ascii="Tahoma" w:hAnsi="Tahoma"/>
                <w:color w:val="000000" w:themeColor="text1"/>
                <w:sz w:val="16"/>
                <w:lang w:val="en-GB"/>
              </w:rPr>
            </w:pPr>
            <w:r w:rsidRPr="00E61AF9">
              <w:rPr>
                <w:rFonts w:ascii="Tahoma" w:hAnsi="Tahoma"/>
                <w:color w:val="000000" w:themeColor="text1"/>
                <w:sz w:val="16"/>
                <w:lang w:val="en-GB"/>
              </w:rPr>
              <w:t>12 463</w:t>
            </w:r>
          </w:p>
        </w:tc>
        <w:tc>
          <w:tcPr>
            <w:tcW w:w="1134" w:type="dxa"/>
            <w:tcBorders>
              <w:top w:val="single" w:sz="4" w:space="0" w:color="auto"/>
              <w:bottom w:val="single" w:sz="4" w:space="0" w:color="auto"/>
            </w:tcBorders>
            <w:shd w:val="clear" w:color="auto" w:fill="auto"/>
            <w:tcMar>
              <w:top w:w="57" w:type="dxa"/>
              <w:left w:w="0" w:type="dxa"/>
              <w:bottom w:w="57" w:type="dxa"/>
              <w:right w:w="0" w:type="dxa"/>
            </w:tcMar>
            <w:vAlign w:val="bottom"/>
          </w:tcPr>
          <w:p w14:paraId="20D6B6DF" w14:textId="77777777" w:rsidR="00E61AF9" w:rsidRPr="00E61AF9" w:rsidRDefault="00E61AF9" w:rsidP="00D34D5B">
            <w:pPr>
              <w:spacing w:line="240" w:lineRule="atLeast"/>
              <w:jc w:val="right"/>
              <w:rPr>
                <w:rFonts w:ascii="Tahoma" w:hAnsi="Tahoma"/>
                <w:color w:val="000000" w:themeColor="text1"/>
                <w:sz w:val="16"/>
                <w:lang w:val="en-GB"/>
              </w:rPr>
            </w:pPr>
            <w:r w:rsidRPr="00E61AF9">
              <w:rPr>
                <w:rFonts w:ascii="Tahoma" w:hAnsi="Tahoma"/>
                <w:color w:val="000000" w:themeColor="text1"/>
                <w:sz w:val="16"/>
                <w:lang w:val="en-GB"/>
              </w:rPr>
              <w:t>(9)</w:t>
            </w:r>
          </w:p>
        </w:tc>
        <w:tc>
          <w:tcPr>
            <w:tcW w:w="1134" w:type="dxa"/>
            <w:tcBorders>
              <w:top w:val="single" w:sz="4" w:space="0" w:color="auto"/>
              <w:left w:val="nil"/>
              <w:bottom w:val="single" w:sz="4" w:space="0" w:color="auto"/>
            </w:tcBorders>
            <w:shd w:val="clear" w:color="auto" w:fill="auto"/>
            <w:tcMar>
              <w:top w:w="57" w:type="dxa"/>
              <w:left w:w="0" w:type="dxa"/>
              <w:bottom w:w="57" w:type="dxa"/>
              <w:right w:w="0" w:type="dxa"/>
            </w:tcMar>
            <w:vAlign w:val="bottom"/>
          </w:tcPr>
          <w:p w14:paraId="68324567" w14:textId="77777777" w:rsidR="00E61AF9" w:rsidRPr="00E61AF9" w:rsidRDefault="00E61AF9" w:rsidP="00B227FB">
            <w:pPr>
              <w:spacing w:line="240" w:lineRule="atLeast"/>
              <w:ind w:right="113"/>
              <w:jc w:val="right"/>
              <w:rPr>
                <w:rFonts w:ascii="Tahoma" w:hAnsi="Tahoma"/>
                <w:color w:val="000000" w:themeColor="text1"/>
                <w:sz w:val="16"/>
                <w:lang w:val="en-GB"/>
              </w:rPr>
            </w:pPr>
            <w:r w:rsidRPr="00E61AF9">
              <w:rPr>
                <w:rFonts w:ascii="Tahoma" w:hAnsi="Tahoma"/>
                <w:color w:val="000000" w:themeColor="text1"/>
                <w:sz w:val="16"/>
                <w:lang w:val="en-GB"/>
              </w:rPr>
              <w:t>25 794</w:t>
            </w:r>
          </w:p>
        </w:tc>
      </w:tr>
      <w:tr w:rsidR="00615190" w:rsidRPr="00E61AF9" w14:paraId="59C29146" w14:textId="77777777" w:rsidTr="00A64BBE">
        <w:trPr>
          <w:trHeight w:val="60"/>
        </w:trPr>
        <w:tc>
          <w:tcPr>
            <w:tcW w:w="397" w:type="dxa"/>
            <w:shd w:val="clear" w:color="auto" w:fill="auto"/>
            <w:tcMar>
              <w:top w:w="57" w:type="dxa"/>
              <w:left w:w="0" w:type="dxa"/>
              <w:bottom w:w="57" w:type="dxa"/>
              <w:right w:w="0" w:type="dxa"/>
            </w:tcMar>
            <w:vAlign w:val="bottom"/>
          </w:tcPr>
          <w:p w14:paraId="10EC8D03" w14:textId="77777777" w:rsidR="00E61AF9" w:rsidRPr="00E61AF9" w:rsidRDefault="00E61AF9" w:rsidP="00615190">
            <w:pPr>
              <w:spacing w:line="240" w:lineRule="atLeast"/>
              <w:rPr>
                <w:rFonts w:ascii="Tahoma" w:hAnsi="Tahoma"/>
                <w:color w:val="000000" w:themeColor="text1"/>
                <w:sz w:val="16"/>
                <w:lang w:val="en-GB"/>
              </w:rPr>
            </w:pPr>
          </w:p>
        </w:tc>
        <w:tc>
          <w:tcPr>
            <w:tcW w:w="5273" w:type="dxa"/>
            <w:tcBorders>
              <w:right w:val="single" w:sz="4" w:space="0" w:color="auto"/>
            </w:tcBorders>
            <w:shd w:val="clear" w:color="auto" w:fill="auto"/>
            <w:tcMar>
              <w:top w:w="57" w:type="dxa"/>
              <w:left w:w="113" w:type="dxa"/>
              <w:bottom w:w="57" w:type="dxa"/>
              <w:right w:w="0" w:type="dxa"/>
            </w:tcMar>
            <w:vAlign w:val="bottom"/>
          </w:tcPr>
          <w:p w14:paraId="5DEA5A2B" w14:textId="77777777" w:rsidR="00E61AF9" w:rsidRPr="00E61AF9" w:rsidRDefault="00E61AF9" w:rsidP="00615190">
            <w:pPr>
              <w:spacing w:line="240" w:lineRule="atLeast"/>
              <w:rPr>
                <w:rFonts w:ascii="Tahoma" w:hAnsi="Tahoma"/>
                <w:color w:val="000000" w:themeColor="text1"/>
                <w:sz w:val="16"/>
                <w:lang w:val="en-GB"/>
              </w:rPr>
            </w:pPr>
            <w:r w:rsidRPr="00E61AF9">
              <w:rPr>
                <w:rFonts w:ascii="Tahoma" w:hAnsi="Tahoma"/>
                <w:color w:val="000000" w:themeColor="text1"/>
                <w:sz w:val="16"/>
                <w:lang w:val="en-GB"/>
              </w:rPr>
              <w:t>Tencent</w:t>
            </w:r>
          </w:p>
        </w:tc>
        <w:tc>
          <w:tcPr>
            <w:tcW w:w="1134" w:type="dxa"/>
            <w:tcBorders>
              <w:top w:val="single" w:sz="4" w:space="0" w:color="auto"/>
              <w:left w:val="single" w:sz="4" w:space="0" w:color="auto"/>
            </w:tcBorders>
            <w:shd w:val="clear" w:color="auto" w:fill="auto"/>
            <w:tcMar>
              <w:top w:w="57" w:type="dxa"/>
              <w:left w:w="0" w:type="dxa"/>
              <w:bottom w:w="57" w:type="dxa"/>
              <w:right w:w="0" w:type="dxa"/>
            </w:tcMar>
            <w:vAlign w:val="bottom"/>
          </w:tcPr>
          <w:p w14:paraId="029218AA" w14:textId="77777777" w:rsidR="00E61AF9" w:rsidRPr="00E61AF9" w:rsidRDefault="00E61AF9" w:rsidP="00D34D5B">
            <w:pPr>
              <w:spacing w:line="240" w:lineRule="atLeast"/>
              <w:jc w:val="right"/>
              <w:rPr>
                <w:rFonts w:ascii="Tahoma" w:hAnsi="Tahoma"/>
                <w:b/>
                <w:bCs/>
                <w:color w:val="000000" w:themeColor="text1"/>
                <w:sz w:val="16"/>
                <w:lang w:val="en-GB"/>
              </w:rPr>
            </w:pPr>
            <w:r w:rsidRPr="00E61AF9">
              <w:rPr>
                <w:rFonts w:ascii="Tahoma" w:hAnsi="Tahoma"/>
                <w:b/>
                <w:bCs/>
                <w:color w:val="000000" w:themeColor="text1"/>
                <w:sz w:val="16"/>
                <w:lang w:val="en-GB"/>
              </w:rPr>
              <w:t>11 309</w:t>
            </w:r>
          </w:p>
        </w:tc>
        <w:tc>
          <w:tcPr>
            <w:tcW w:w="1134" w:type="dxa"/>
            <w:tcBorders>
              <w:top w:val="single" w:sz="4" w:space="0" w:color="auto"/>
            </w:tcBorders>
            <w:shd w:val="clear" w:color="auto" w:fill="auto"/>
            <w:tcMar>
              <w:top w:w="57" w:type="dxa"/>
              <w:left w:w="0" w:type="dxa"/>
              <w:bottom w:w="57" w:type="dxa"/>
              <w:right w:w="0" w:type="dxa"/>
            </w:tcMar>
            <w:vAlign w:val="bottom"/>
          </w:tcPr>
          <w:p w14:paraId="39C8DA98" w14:textId="77777777" w:rsidR="00E61AF9" w:rsidRPr="00E61AF9" w:rsidRDefault="00E61AF9" w:rsidP="00D34D5B">
            <w:pPr>
              <w:spacing w:line="240" w:lineRule="atLeast"/>
              <w:jc w:val="right"/>
              <w:rPr>
                <w:rFonts w:ascii="Tahoma" w:hAnsi="Tahoma"/>
                <w:color w:val="000000" w:themeColor="text1"/>
                <w:sz w:val="16"/>
                <w:lang w:val="en-GB"/>
              </w:rPr>
            </w:pPr>
            <w:r w:rsidRPr="00E61AF9">
              <w:rPr>
                <w:rFonts w:ascii="Tahoma" w:hAnsi="Tahoma"/>
                <w:color w:val="000000" w:themeColor="text1"/>
                <w:sz w:val="16"/>
                <w:lang w:val="en-GB"/>
              </w:rPr>
              <w:t>12 250</w:t>
            </w:r>
          </w:p>
        </w:tc>
        <w:tc>
          <w:tcPr>
            <w:tcW w:w="1134" w:type="dxa"/>
            <w:tcBorders>
              <w:top w:val="single" w:sz="4" w:space="0" w:color="auto"/>
            </w:tcBorders>
            <w:shd w:val="clear" w:color="auto" w:fill="auto"/>
            <w:tcMar>
              <w:top w:w="57" w:type="dxa"/>
              <w:left w:w="0" w:type="dxa"/>
              <w:bottom w:w="57" w:type="dxa"/>
              <w:right w:w="0" w:type="dxa"/>
            </w:tcMar>
            <w:vAlign w:val="bottom"/>
          </w:tcPr>
          <w:p w14:paraId="6976D2D5" w14:textId="77777777" w:rsidR="00E61AF9" w:rsidRPr="00E61AF9" w:rsidRDefault="00E61AF9" w:rsidP="00D34D5B">
            <w:pPr>
              <w:spacing w:line="240" w:lineRule="atLeast"/>
              <w:jc w:val="right"/>
              <w:rPr>
                <w:rFonts w:ascii="Tahoma" w:hAnsi="Tahoma"/>
                <w:color w:val="000000" w:themeColor="text1"/>
                <w:sz w:val="16"/>
                <w:lang w:val="en-GB"/>
              </w:rPr>
            </w:pPr>
            <w:r w:rsidRPr="00E61AF9">
              <w:rPr>
                <w:rFonts w:ascii="Tahoma" w:hAnsi="Tahoma"/>
                <w:color w:val="000000" w:themeColor="text1"/>
                <w:sz w:val="16"/>
                <w:lang w:val="en-GB"/>
              </w:rPr>
              <w:t>(8)</w:t>
            </w:r>
          </w:p>
        </w:tc>
        <w:tc>
          <w:tcPr>
            <w:tcW w:w="1134" w:type="dxa"/>
            <w:tcBorders>
              <w:top w:val="single" w:sz="4" w:space="0" w:color="auto"/>
              <w:left w:val="nil"/>
              <w:right w:val="single" w:sz="4" w:space="0" w:color="auto"/>
            </w:tcBorders>
            <w:shd w:val="clear" w:color="auto" w:fill="auto"/>
            <w:tcMar>
              <w:top w:w="57" w:type="dxa"/>
              <w:left w:w="0" w:type="dxa"/>
              <w:bottom w:w="57" w:type="dxa"/>
              <w:right w:w="0" w:type="dxa"/>
            </w:tcMar>
            <w:vAlign w:val="bottom"/>
          </w:tcPr>
          <w:p w14:paraId="0E832F84" w14:textId="77777777" w:rsidR="00E61AF9" w:rsidRPr="00E61AF9" w:rsidRDefault="00E61AF9" w:rsidP="00B227FB">
            <w:pPr>
              <w:spacing w:line="240" w:lineRule="atLeast"/>
              <w:ind w:right="113"/>
              <w:jc w:val="right"/>
              <w:rPr>
                <w:rFonts w:ascii="Tahoma" w:hAnsi="Tahoma"/>
                <w:color w:val="000000" w:themeColor="text1"/>
                <w:sz w:val="16"/>
                <w:lang w:val="en-GB"/>
              </w:rPr>
            </w:pPr>
            <w:r w:rsidRPr="00E61AF9">
              <w:rPr>
                <w:rFonts w:ascii="Tahoma" w:hAnsi="Tahoma"/>
                <w:color w:val="000000" w:themeColor="text1"/>
                <w:sz w:val="16"/>
                <w:lang w:val="en-GB"/>
              </w:rPr>
              <w:t>25 261</w:t>
            </w:r>
          </w:p>
        </w:tc>
      </w:tr>
      <w:tr w:rsidR="00615190" w:rsidRPr="00E61AF9" w14:paraId="3A2D8725" w14:textId="77777777" w:rsidTr="00A64BBE">
        <w:trPr>
          <w:trHeight w:val="60"/>
        </w:trPr>
        <w:tc>
          <w:tcPr>
            <w:tcW w:w="397" w:type="dxa"/>
            <w:shd w:val="clear" w:color="auto" w:fill="auto"/>
            <w:tcMar>
              <w:top w:w="57" w:type="dxa"/>
              <w:left w:w="0" w:type="dxa"/>
              <w:bottom w:w="57" w:type="dxa"/>
              <w:right w:w="0" w:type="dxa"/>
            </w:tcMar>
            <w:vAlign w:val="bottom"/>
          </w:tcPr>
          <w:p w14:paraId="184C1EB9" w14:textId="77777777" w:rsidR="00E61AF9" w:rsidRPr="00E61AF9" w:rsidRDefault="00E61AF9" w:rsidP="00615190">
            <w:pPr>
              <w:spacing w:line="240" w:lineRule="atLeast"/>
              <w:rPr>
                <w:rFonts w:ascii="Tahoma" w:hAnsi="Tahoma"/>
                <w:color w:val="000000" w:themeColor="text1"/>
                <w:sz w:val="16"/>
                <w:lang w:val="en-GB"/>
              </w:rPr>
            </w:pPr>
          </w:p>
        </w:tc>
        <w:tc>
          <w:tcPr>
            <w:tcW w:w="5273" w:type="dxa"/>
            <w:tcBorders>
              <w:right w:val="single" w:sz="4" w:space="0" w:color="auto"/>
            </w:tcBorders>
            <w:shd w:val="clear" w:color="auto" w:fill="auto"/>
            <w:tcMar>
              <w:top w:w="57" w:type="dxa"/>
              <w:left w:w="113" w:type="dxa"/>
              <w:bottom w:w="57" w:type="dxa"/>
              <w:right w:w="0" w:type="dxa"/>
            </w:tcMar>
            <w:vAlign w:val="bottom"/>
          </w:tcPr>
          <w:p w14:paraId="3B434F16" w14:textId="77777777" w:rsidR="00E61AF9" w:rsidRPr="00E61AF9" w:rsidRDefault="00E61AF9" w:rsidP="00615190">
            <w:pPr>
              <w:spacing w:line="240" w:lineRule="atLeast"/>
              <w:rPr>
                <w:rFonts w:ascii="Tahoma" w:hAnsi="Tahoma"/>
                <w:color w:val="000000" w:themeColor="text1"/>
                <w:sz w:val="16"/>
                <w:lang w:val="en-GB"/>
              </w:rPr>
            </w:pPr>
            <w:r w:rsidRPr="00E61AF9">
              <w:rPr>
                <w:rFonts w:ascii="Tahoma" w:hAnsi="Tahoma"/>
                <w:color w:val="000000" w:themeColor="text1"/>
                <w:sz w:val="16"/>
                <w:lang w:val="en-GB"/>
              </w:rPr>
              <w:t>VK</w:t>
            </w:r>
            <w:r w:rsidRPr="00E61AF9">
              <w:rPr>
                <w:rFonts w:ascii="Tahoma" w:hAnsi="Tahoma"/>
                <w:color w:val="000000" w:themeColor="text1"/>
                <w:sz w:val="16"/>
                <w:vertAlign w:val="superscript"/>
                <w:lang w:val="en-GB"/>
              </w:rPr>
              <w:t>2</w:t>
            </w:r>
          </w:p>
        </w:tc>
        <w:tc>
          <w:tcPr>
            <w:tcW w:w="1134" w:type="dxa"/>
            <w:tcBorders>
              <w:left w:val="single" w:sz="4" w:space="0" w:color="auto"/>
              <w:bottom w:val="single" w:sz="4" w:space="0" w:color="auto"/>
            </w:tcBorders>
            <w:shd w:val="clear" w:color="auto" w:fill="auto"/>
            <w:tcMar>
              <w:top w:w="57" w:type="dxa"/>
              <w:left w:w="0" w:type="dxa"/>
              <w:bottom w:w="57" w:type="dxa"/>
              <w:right w:w="0" w:type="dxa"/>
            </w:tcMar>
            <w:vAlign w:val="bottom"/>
          </w:tcPr>
          <w:p w14:paraId="203DDB75" w14:textId="77777777" w:rsidR="00E61AF9" w:rsidRPr="00E61AF9" w:rsidRDefault="00E61AF9" w:rsidP="00D34D5B">
            <w:pPr>
              <w:spacing w:line="240" w:lineRule="atLeast"/>
              <w:jc w:val="right"/>
              <w:rPr>
                <w:rFonts w:ascii="Tahoma" w:hAnsi="Tahoma"/>
                <w:b/>
                <w:bCs/>
                <w:color w:val="000000" w:themeColor="text1"/>
                <w:sz w:val="16"/>
                <w:lang w:val="en-GB"/>
              </w:rPr>
            </w:pPr>
            <w:r w:rsidRPr="00E61AF9">
              <w:rPr>
                <w:rFonts w:ascii="Tahoma" w:hAnsi="Tahoma"/>
                <w:b/>
                <w:bCs/>
                <w:color w:val="000000" w:themeColor="text1"/>
                <w:sz w:val="16"/>
                <w:lang w:val="en-GB"/>
              </w:rPr>
              <w:t>—</w:t>
            </w:r>
          </w:p>
        </w:tc>
        <w:tc>
          <w:tcPr>
            <w:tcW w:w="1134" w:type="dxa"/>
            <w:tcBorders>
              <w:bottom w:val="single" w:sz="4" w:space="0" w:color="auto"/>
            </w:tcBorders>
            <w:shd w:val="clear" w:color="auto" w:fill="auto"/>
            <w:tcMar>
              <w:top w:w="57" w:type="dxa"/>
              <w:left w:w="0" w:type="dxa"/>
              <w:bottom w:w="57" w:type="dxa"/>
              <w:right w:w="0" w:type="dxa"/>
            </w:tcMar>
            <w:vAlign w:val="bottom"/>
          </w:tcPr>
          <w:p w14:paraId="0018D087" w14:textId="77777777" w:rsidR="00E61AF9" w:rsidRPr="00E61AF9" w:rsidRDefault="00E61AF9" w:rsidP="00D34D5B">
            <w:pPr>
              <w:spacing w:line="240" w:lineRule="atLeast"/>
              <w:jc w:val="right"/>
              <w:rPr>
                <w:rFonts w:ascii="Tahoma" w:hAnsi="Tahoma"/>
                <w:color w:val="000000" w:themeColor="text1"/>
                <w:sz w:val="16"/>
                <w:lang w:val="en-GB"/>
              </w:rPr>
            </w:pPr>
            <w:r w:rsidRPr="00E61AF9">
              <w:rPr>
                <w:rFonts w:ascii="Tahoma" w:hAnsi="Tahoma"/>
                <w:color w:val="000000" w:themeColor="text1"/>
                <w:sz w:val="16"/>
                <w:lang w:val="en-GB"/>
              </w:rPr>
              <w:t>213</w:t>
            </w:r>
          </w:p>
        </w:tc>
        <w:tc>
          <w:tcPr>
            <w:tcW w:w="1134" w:type="dxa"/>
            <w:tcBorders>
              <w:bottom w:val="single" w:sz="4" w:space="0" w:color="auto"/>
            </w:tcBorders>
            <w:shd w:val="clear" w:color="auto" w:fill="auto"/>
            <w:tcMar>
              <w:top w:w="57" w:type="dxa"/>
              <w:left w:w="0" w:type="dxa"/>
              <w:bottom w:w="57" w:type="dxa"/>
              <w:right w:w="0" w:type="dxa"/>
            </w:tcMar>
            <w:vAlign w:val="bottom"/>
          </w:tcPr>
          <w:p w14:paraId="53048749" w14:textId="77777777" w:rsidR="00E61AF9" w:rsidRPr="00E61AF9" w:rsidRDefault="00E61AF9" w:rsidP="00D34D5B">
            <w:pPr>
              <w:spacing w:line="240" w:lineRule="atLeast"/>
              <w:jc w:val="right"/>
              <w:rPr>
                <w:rFonts w:ascii="Tahoma" w:hAnsi="Tahoma"/>
                <w:color w:val="000000" w:themeColor="text1"/>
                <w:sz w:val="16"/>
                <w:lang w:val="en-GB"/>
              </w:rPr>
            </w:pPr>
            <w:r w:rsidRPr="00E61AF9">
              <w:rPr>
                <w:rFonts w:ascii="Tahoma" w:hAnsi="Tahoma"/>
                <w:color w:val="000000" w:themeColor="text1"/>
                <w:sz w:val="16"/>
                <w:lang w:val="en-GB"/>
              </w:rPr>
              <w:t>(100)</w:t>
            </w:r>
          </w:p>
        </w:tc>
        <w:tc>
          <w:tcPr>
            <w:tcW w:w="1134" w:type="dxa"/>
            <w:tcBorders>
              <w:left w:val="nil"/>
              <w:bottom w:val="single" w:sz="4" w:space="0" w:color="auto"/>
              <w:right w:val="single" w:sz="4" w:space="0" w:color="auto"/>
            </w:tcBorders>
            <w:shd w:val="clear" w:color="auto" w:fill="auto"/>
            <w:tcMar>
              <w:top w:w="57" w:type="dxa"/>
              <w:left w:w="0" w:type="dxa"/>
              <w:bottom w:w="57" w:type="dxa"/>
              <w:right w:w="0" w:type="dxa"/>
            </w:tcMar>
            <w:vAlign w:val="bottom"/>
          </w:tcPr>
          <w:p w14:paraId="6FC6D6DB" w14:textId="77777777" w:rsidR="00E61AF9" w:rsidRPr="00E61AF9" w:rsidRDefault="00E61AF9" w:rsidP="00B227FB">
            <w:pPr>
              <w:spacing w:line="240" w:lineRule="atLeast"/>
              <w:ind w:right="113"/>
              <w:jc w:val="right"/>
              <w:rPr>
                <w:rFonts w:ascii="Tahoma" w:hAnsi="Tahoma"/>
                <w:color w:val="000000" w:themeColor="text1"/>
                <w:sz w:val="16"/>
                <w:lang w:val="en-GB"/>
              </w:rPr>
            </w:pPr>
            <w:r w:rsidRPr="00E61AF9">
              <w:rPr>
                <w:rFonts w:ascii="Tahoma" w:hAnsi="Tahoma"/>
                <w:color w:val="000000" w:themeColor="text1"/>
                <w:sz w:val="16"/>
                <w:lang w:val="en-GB"/>
              </w:rPr>
              <w:t>533</w:t>
            </w:r>
          </w:p>
        </w:tc>
      </w:tr>
      <w:tr w:rsidR="00615190" w:rsidRPr="00E61AF9" w14:paraId="20C125FC" w14:textId="77777777" w:rsidTr="008562E6">
        <w:trPr>
          <w:trHeight w:val="60"/>
        </w:trPr>
        <w:tc>
          <w:tcPr>
            <w:tcW w:w="397" w:type="dxa"/>
            <w:shd w:val="clear" w:color="auto" w:fill="auto"/>
            <w:tcMar>
              <w:top w:w="57" w:type="dxa"/>
              <w:left w:w="0" w:type="dxa"/>
              <w:bottom w:w="85" w:type="dxa"/>
              <w:right w:w="0" w:type="dxa"/>
            </w:tcMar>
            <w:vAlign w:val="bottom"/>
          </w:tcPr>
          <w:p w14:paraId="7FA66C61" w14:textId="77777777" w:rsidR="00E61AF9" w:rsidRPr="00E61AF9" w:rsidRDefault="00E61AF9" w:rsidP="00615190">
            <w:pPr>
              <w:spacing w:line="240" w:lineRule="atLeast"/>
              <w:rPr>
                <w:rFonts w:ascii="Tahoma" w:hAnsi="Tahoma"/>
                <w:color w:val="000000" w:themeColor="text1"/>
                <w:sz w:val="16"/>
                <w:lang w:val="en-GB"/>
              </w:rPr>
            </w:pPr>
          </w:p>
        </w:tc>
        <w:tc>
          <w:tcPr>
            <w:tcW w:w="5273" w:type="dxa"/>
            <w:tcBorders>
              <w:bottom w:val="single" w:sz="4" w:space="0" w:color="auto"/>
            </w:tcBorders>
            <w:shd w:val="clear" w:color="auto" w:fill="auto"/>
            <w:tcMar>
              <w:top w:w="57" w:type="dxa"/>
              <w:left w:w="0" w:type="dxa"/>
              <w:bottom w:w="85" w:type="dxa"/>
              <w:right w:w="0" w:type="dxa"/>
            </w:tcMar>
            <w:vAlign w:val="bottom"/>
          </w:tcPr>
          <w:p w14:paraId="2E98D28E" w14:textId="77777777" w:rsidR="00E61AF9" w:rsidRPr="00E61AF9" w:rsidRDefault="00E61AF9" w:rsidP="00615190">
            <w:pPr>
              <w:spacing w:line="240" w:lineRule="atLeast"/>
              <w:rPr>
                <w:rFonts w:ascii="Tahoma" w:hAnsi="Tahoma"/>
                <w:color w:val="000000" w:themeColor="text1"/>
                <w:sz w:val="16"/>
                <w:lang w:val="en-GB"/>
              </w:rPr>
            </w:pPr>
            <w:r w:rsidRPr="00E61AF9">
              <w:rPr>
                <w:rFonts w:ascii="Tahoma" w:hAnsi="Tahoma"/>
                <w:color w:val="000000" w:themeColor="text1"/>
                <w:sz w:val="16"/>
                <w:lang w:val="en-GB"/>
              </w:rPr>
              <w:t>Corporate segment</w:t>
            </w:r>
          </w:p>
        </w:tc>
        <w:tc>
          <w:tcPr>
            <w:tcW w:w="1134" w:type="dxa"/>
            <w:tcBorders>
              <w:top w:val="single" w:sz="4" w:space="0" w:color="auto"/>
              <w:bottom w:val="single" w:sz="4" w:space="0" w:color="auto"/>
            </w:tcBorders>
            <w:shd w:val="clear" w:color="auto" w:fill="auto"/>
            <w:tcMar>
              <w:top w:w="57" w:type="dxa"/>
              <w:left w:w="0" w:type="dxa"/>
              <w:bottom w:w="85" w:type="dxa"/>
              <w:right w:w="0" w:type="dxa"/>
            </w:tcMar>
            <w:vAlign w:val="bottom"/>
          </w:tcPr>
          <w:p w14:paraId="37D25B3E" w14:textId="77777777" w:rsidR="00E61AF9" w:rsidRPr="00E61AF9" w:rsidRDefault="00E61AF9" w:rsidP="00D34D5B">
            <w:pPr>
              <w:spacing w:line="240" w:lineRule="atLeast"/>
              <w:jc w:val="right"/>
              <w:rPr>
                <w:rFonts w:ascii="Tahoma" w:hAnsi="Tahoma"/>
                <w:b/>
                <w:bCs/>
                <w:color w:val="000000" w:themeColor="text1"/>
                <w:sz w:val="16"/>
                <w:lang w:val="en-GB"/>
              </w:rPr>
            </w:pPr>
            <w:r w:rsidRPr="00E61AF9">
              <w:rPr>
                <w:rFonts w:ascii="Tahoma" w:hAnsi="Tahoma"/>
                <w:b/>
                <w:bCs/>
                <w:color w:val="000000" w:themeColor="text1"/>
                <w:sz w:val="16"/>
                <w:lang w:val="en-GB"/>
              </w:rPr>
              <w:t>—</w:t>
            </w:r>
          </w:p>
        </w:tc>
        <w:tc>
          <w:tcPr>
            <w:tcW w:w="1134" w:type="dxa"/>
            <w:tcBorders>
              <w:top w:val="single" w:sz="4" w:space="0" w:color="auto"/>
              <w:bottom w:val="single" w:sz="4" w:space="0" w:color="auto"/>
            </w:tcBorders>
            <w:shd w:val="clear" w:color="auto" w:fill="auto"/>
            <w:tcMar>
              <w:top w:w="57" w:type="dxa"/>
              <w:left w:w="0" w:type="dxa"/>
              <w:bottom w:w="85" w:type="dxa"/>
              <w:right w:w="0" w:type="dxa"/>
            </w:tcMar>
            <w:vAlign w:val="bottom"/>
          </w:tcPr>
          <w:p w14:paraId="1C032235" w14:textId="77777777" w:rsidR="00E61AF9" w:rsidRPr="00E61AF9" w:rsidRDefault="00E61AF9" w:rsidP="00D34D5B">
            <w:pPr>
              <w:spacing w:line="240" w:lineRule="atLeast"/>
              <w:jc w:val="right"/>
              <w:rPr>
                <w:rFonts w:ascii="Tahoma" w:hAnsi="Tahoma"/>
                <w:color w:val="000000" w:themeColor="text1"/>
                <w:sz w:val="16"/>
                <w:lang w:val="en-GB"/>
              </w:rPr>
            </w:pPr>
            <w:r w:rsidRPr="00E61AF9">
              <w:rPr>
                <w:rFonts w:ascii="Tahoma" w:hAnsi="Tahoma"/>
                <w:color w:val="000000" w:themeColor="text1"/>
                <w:sz w:val="16"/>
                <w:lang w:val="en-GB"/>
              </w:rPr>
              <w:t>—</w:t>
            </w:r>
          </w:p>
        </w:tc>
        <w:tc>
          <w:tcPr>
            <w:tcW w:w="1134" w:type="dxa"/>
            <w:tcBorders>
              <w:top w:val="single" w:sz="4" w:space="0" w:color="auto"/>
              <w:bottom w:val="single" w:sz="4" w:space="0" w:color="auto"/>
            </w:tcBorders>
            <w:shd w:val="clear" w:color="auto" w:fill="auto"/>
            <w:tcMar>
              <w:top w:w="57" w:type="dxa"/>
              <w:left w:w="0" w:type="dxa"/>
              <w:bottom w:w="85" w:type="dxa"/>
              <w:right w:w="0" w:type="dxa"/>
            </w:tcMar>
            <w:vAlign w:val="bottom"/>
          </w:tcPr>
          <w:p w14:paraId="3F440613" w14:textId="77777777" w:rsidR="00E61AF9" w:rsidRPr="00E61AF9" w:rsidRDefault="00E61AF9" w:rsidP="00D34D5B">
            <w:pPr>
              <w:spacing w:line="240" w:lineRule="atLeast"/>
              <w:jc w:val="right"/>
              <w:rPr>
                <w:rFonts w:ascii="Tahoma" w:hAnsi="Tahoma"/>
                <w:color w:val="000000" w:themeColor="text1"/>
                <w:sz w:val="16"/>
                <w:lang w:val="en-GB"/>
              </w:rPr>
            </w:pPr>
            <w:r w:rsidRPr="00E61AF9">
              <w:rPr>
                <w:rFonts w:ascii="Tahoma" w:hAnsi="Tahoma"/>
                <w:color w:val="000000" w:themeColor="text1"/>
                <w:sz w:val="16"/>
                <w:lang w:val="en-GB"/>
              </w:rPr>
              <w:t>—</w:t>
            </w:r>
          </w:p>
        </w:tc>
        <w:tc>
          <w:tcPr>
            <w:tcW w:w="1134" w:type="dxa"/>
            <w:tcBorders>
              <w:top w:val="single" w:sz="4" w:space="0" w:color="auto"/>
              <w:left w:val="nil"/>
              <w:bottom w:val="single" w:sz="4" w:space="0" w:color="auto"/>
            </w:tcBorders>
            <w:shd w:val="clear" w:color="auto" w:fill="auto"/>
            <w:tcMar>
              <w:top w:w="57" w:type="dxa"/>
              <w:left w:w="0" w:type="dxa"/>
              <w:bottom w:w="85" w:type="dxa"/>
              <w:right w:w="0" w:type="dxa"/>
            </w:tcMar>
            <w:vAlign w:val="bottom"/>
          </w:tcPr>
          <w:p w14:paraId="2FA9D0EF" w14:textId="77777777" w:rsidR="00E61AF9" w:rsidRPr="00E61AF9" w:rsidRDefault="00E61AF9" w:rsidP="00B227FB">
            <w:pPr>
              <w:spacing w:line="240" w:lineRule="atLeast"/>
              <w:ind w:right="113"/>
              <w:jc w:val="right"/>
              <w:rPr>
                <w:rFonts w:ascii="Tahoma" w:hAnsi="Tahoma"/>
                <w:color w:val="000000" w:themeColor="text1"/>
                <w:sz w:val="16"/>
                <w:lang w:val="en-GB"/>
              </w:rPr>
            </w:pPr>
            <w:r w:rsidRPr="00E61AF9">
              <w:rPr>
                <w:rFonts w:ascii="Tahoma" w:hAnsi="Tahoma"/>
                <w:color w:val="000000" w:themeColor="text1"/>
                <w:sz w:val="16"/>
                <w:lang w:val="en-GB"/>
              </w:rPr>
              <w:t>—</w:t>
            </w:r>
          </w:p>
        </w:tc>
      </w:tr>
      <w:tr w:rsidR="00615190" w:rsidRPr="00E61AF9" w14:paraId="4CFE0493" w14:textId="77777777" w:rsidTr="00BF7B7D">
        <w:trPr>
          <w:trHeight w:val="60"/>
        </w:trPr>
        <w:tc>
          <w:tcPr>
            <w:tcW w:w="397" w:type="dxa"/>
            <w:shd w:val="clear" w:color="auto" w:fill="auto"/>
            <w:tcMar>
              <w:top w:w="85" w:type="dxa"/>
              <w:left w:w="0" w:type="dxa"/>
              <w:bottom w:w="57" w:type="dxa"/>
              <w:right w:w="0" w:type="dxa"/>
            </w:tcMar>
            <w:vAlign w:val="bottom"/>
          </w:tcPr>
          <w:p w14:paraId="2CDB0120" w14:textId="77777777" w:rsidR="00E61AF9" w:rsidRPr="00E61AF9" w:rsidRDefault="00E61AF9" w:rsidP="00615190">
            <w:pPr>
              <w:spacing w:line="240" w:lineRule="atLeast"/>
              <w:rPr>
                <w:rFonts w:ascii="Tahoma" w:hAnsi="Tahoma"/>
                <w:color w:val="000000" w:themeColor="text1"/>
                <w:sz w:val="16"/>
                <w:lang w:val="en-GB"/>
              </w:rPr>
            </w:pPr>
          </w:p>
        </w:tc>
        <w:tc>
          <w:tcPr>
            <w:tcW w:w="5273" w:type="dxa"/>
            <w:tcBorders>
              <w:top w:val="single" w:sz="4" w:space="0" w:color="auto"/>
            </w:tcBorders>
            <w:shd w:val="clear" w:color="auto" w:fill="auto"/>
            <w:tcMar>
              <w:top w:w="85" w:type="dxa"/>
              <w:left w:w="0" w:type="dxa"/>
              <w:bottom w:w="57" w:type="dxa"/>
              <w:right w:w="0" w:type="dxa"/>
            </w:tcMar>
            <w:vAlign w:val="bottom"/>
          </w:tcPr>
          <w:p w14:paraId="68C6F486" w14:textId="77777777" w:rsidR="00E61AF9" w:rsidRPr="00E61AF9" w:rsidRDefault="00E61AF9" w:rsidP="00615190">
            <w:pPr>
              <w:spacing w:line="240" w:lineRule="atLeast"/>
              <w:rPr>
                <w:rFonts w:ascii="Tahoma" w:hAnsi="Tahoma"/>
                <w:b/>
                <w:bCs/>
                <w:color w:val="000000" w:themeColor="text1"/>
                <w:sz w:val="16"/>
                <w:lang w:val="en-GB"/>
              </w:rPr>
            </w:pPr>
            <w:r w:rsidRPr="00E61AF9">
              <w:rPr>
                <w:rFonts w:ascii="Tahoma" w:hAnsi="Tahoma"/>
                <w:b/>
                <w:bCs/>
                <w:color w:val="000000" w:themeColor="text1"/>
                <w:sz w:val="16"/>
                <w:lang w:val="en-GB"/>
              </w:rPr>
              <w:t>Total economic interest from continuing operations</w:t>
            </w:r>
          </w:p>
        </w:tc>
        <w:tc>
          <w:tcPr>
            <w:tcW w:w="1134" w:type="dxa"/>
            <w:tcBorders>
              <w:top w:val="single" w:sz="4" w:space="0" w:color="auto"/>
            </w:tcBorders>
            <w:shd w:val="clear" w:color="auto" w:fill="auto"/>
            <w:tcMar>
              <w:top w:w="85" w:type="dxa"/>
              <w:left w:w="0" w:type="dxa"/>
              <w:bottom w:w="57" w:type="dxa"/>
              <w:right w:w="0" w:type="dxa"/>
            </w:tcMar>
            <w:vAlign w:val="bottom"/>
          </w:tcPr>
          <w:p w14:paraId="339FB8F5" w14:textId="77777777" w:rsidR="00E61AF9" w:rsidRPr="00E61AF9" w:rsidRDefault="00E61AF9" w:rsidP="00D34D5B">
            <w:pPr>
              <w:spacing w:line="240" w:lineRule="atLeast"/>
              <w:jc w:val="right"/>
              <w:rPr>
                <w:rFonts w:ascii="Tahoma" w:hAnsi="Tahoma"/>
                <w:b/>
                <w:bCs/>
                <w:color w:val="000000" w:themeColor="text1"/>
                <w:sz w:val="16"/>
                <w:lang w:val="en-GB"/>
              </w:rPr>
            </w:pPr>
            <w:r w:rsidRPr="00E61AF9">
              <w:rPr>
                <w:rFonts w:ascii="Tahoma" w:hAnsi="Tahoma"/>
                <w:b/>
                <w:bCs/>
                <w:color w:val="000000" w:themeColor="text1"/>
                <w:sz w:val="16"/>
                <w:lang w:val="en-GB"/>
              </w:rPr>
              <w:t>16 526</w:t>
            </w:r>
          </w:p>
        </w:tc>
        <w:tc>
          <w:tcPr>
            <w:tcW w:w="1134" w:type="dxa"/>
            <w:tcBorders>
              <w:top w:val="single" w:sz="4" w:space="0" w:color="auto"/>
            </w:tcBorders>
            <w:shd w:val="clear" w:color="auto" w:fill="auto"/>
            <w:tcMar>
              <w:top w:w="85" w:type="dxa"/>
              <w:left w:w="0" w:type="dxa"/>
              <w:bottom w:w="57" w:type="dxa"/>
              <w:right w:w="0" w:type="dxa"/>
            </w:tcMar>
            <w:vAlign w:val="bottom"/>
          </w:tcPr>
          <w:p w14:paraId="118767A6" w14:textId="77777777" w:rsidR="00E61AF9" w:rsidRPr="00E61AF9" w:rsidRDefault="00E61AF9" w:rsidP="00D34D5B">
            <w:pPr>
              <w:spacing w:line="240" w:lineRule="atLeast"/>
              <w:jc w:val="right"/>
              <w:rPr>
                <w:rFonts w:ascii="Tahoma" w:hAnsi="Tahoma"/>
                <w:color w:val="000000" w:themeColor="text1"/>
                <w:sz w:val="16"/>
                <w:lang w:val="en-GB"/>
              </w:rPr>
            </w:pPr>
            <w:r w:rsidRPr="00E61AF9">
              <w:rPr>
                <w:rFonts w:ascii="Tahoma" w:hAnsi="Tahoma"/>
                <w:color w:val="000000" w:themeColor="text1"/>
                <w:sz w:val="16"/>
                <w:lang w:val="en-GB"/>
              </w:rPr>
              <w:t>16 321</w:t>
            </w:r>
          </w:p>
        </w:tc>
        <w:tc>
          <w:tcPr>
            <w:tcW w:w="1134" w:type="dxa"/>
            <w:tcBorders>
              <w:top w:val="single" w:sz="4" w:space="0" w:color="auto"/>
            </w:tcBorders>
            <w:shd w:val="clear" w:color="auto" w:fill="auto"/>
            <w:tcMar>
              <w:top w:w="85" w:type="dxa"/>
              <w:left w:w="0" w:type="dxa"/>
              <w:bottom w:w="57" w:type="dxa"/>
              <w:right w:w="0" w:type="dxa"/>
            </w:tcMar>
            <w:vAlign w:val="bottom"/>
          </w:tcPr>
          <w:p w14:paraId="129FFA37" w14:textId="77777777" w:rsidR="00E61AF9" w:rsidRPr="00E61AF9" w:rsidRDefault="00E61AF9" w:rsidP="00D34D5B">
            <w:pPr>
              <w:spacing w:line="240" w:lineRule="atLeast"/>
              <w:jc w:val="right"/>
              <w:rPr>
                <w:rFonts w:ascii="Tahoma" w:hAnsi="Tahoma"/>
                <w:color w:val="000000" w:themeColor="text1"/>
                <w:sz w:val="16"/>
                <w:lang w:val="en-GB"/>
              </w:rPr>
            </w:pPr>
            <w:r w:rsidRPr="00E61AF9">
              <w:rPr>
                <w:rFonts w:ascii="Tahoma" w:hAnsi="Tahoma"/>
                <w:color w:val="000000" w:themeColor="text1"/>
                <w:sz w:val="16"/>
                <w:lang w:val="en-GB"/>
              </w:rPr>
              <w:t>1</w:t>
            </w:r>
          </w:p>
        </w:tc>
        <w:tc>
          <w:tcPr>
            <w:tcW w:w="1134" w:type="dxa"/>
            <w:tcBorders>
              <w:top w:val="single" w:sz="4" w:space="0" w:color="auto"/>
              <w:left w:val="nil"/>
            </w:tcBorders>
            <w:shd w:val="clear" w:color="auto" w:fill="auto"/>
            <w:tcMar>
              <w:top w:w="85" w:type="dxa"/>
              <w:left w:w="0" w:type="dxa"/>
              <w:bottom w:w="57" w:type="dxa"/>
              <w:right w:w="0" w:type="dxa"/>
            </w:tcMar>
            <w:vAlign w:val="bottom"/>
          </w:tcPr>
          <w:p w14:paraId="1E4EB838" w14:textId="77777777" w:rsidR="00E61AF9" w:rsidRPr="00E61AF9" w:rsidRDefault="00E61AF9" w:rsidP="00B227FB">
            <w:pPr>
              <w:spacing w:line="240" w:lineRule="atLeast"/>
              <w:ind w:right="113"/>
              <w:jc w:val="right"/>
              <w:rPr>
                <w:rFonts w:ascii="Tahoma" w:hAnsi="Tahoma"/>
                <w:color w:val="000000" w:themeColor="text1"/>
                <w:sz w:val="16"/>
                <w:lang w:val="en-GB"/>
              </w:rPr>
            </w:pPr>
            <w:r w:rsidRPr="00E61AF9">
              <w:rPr>
                <w:rFonts w:ascii="Tahoma" w:hAnsi="Tahoma"/>
                <w:color w:val="000000" w:themeColor="text1"/>
                <w:sz w:val="16"/>
                <w:lang w:val="en-GB"/>
              </w:rPr>
              <w:t>34 988</w:t>
            </w:r>
          </w:p>
        </w:tc>
      </w:tr>
      <w:tr w:rsidR="00615190" w:rsidRPr="00E61AF9" w14:paraId="4ABCC355" w14:textId="77777777" w:rsidTr="000C0AEE">
        <w:trPr>
          <w:trHeight w:val="60"/>
        </w:trPr>
        <w:tc>
          <w:tcPr>
            <w:tcW w:w="397" w:type="dxa"/>
            <w:shd w:val="clear" w:color="auto" w:fill="auto"/>
            <w:tcMar>
              <w:top w:w="57" w:type="dxa"/>
              <w:left w:w="0" w:type="dxa"/>
              <w:bottom w:w="85" w:type="dxa"/>
              <w:right w:w="0" w:type="dxa"/>
            </w:tcMar>
            <w:vAlign w:val="bottom"/>
          </w:tcPr>
          <w:p w14:paraId="48025923" w14:textId="77777777" w:rsidR="00E61AF9" w:rsidRPr="00E61AF9" w:rsidRDefault="00E61AF9" w:rsidP="00615190">
            <w:pPr>
              <w:spacing w:line="240" w:lineRule="atLeast"/>
              <w:rPr>
                <w:rFonts w:ascii="Tahoma" w:hAnsi="Tahoma"/>
                <w:color w:val="000000" w:themeColor="text1"/>
                <w:sz w:val="16"/>
                <w:lang w:val="en-GB"/>
              </w:rPr>
            </w:pPr>
          </w:p>
        </w:tc>
        <w:tc>
          <w:tcPr>
            <w:tcW w:w="5273" w:type="dxa"/>
            <w:tcBorders>
              <w:bottom w:val="single" w:sz="4" w:space="0" w:color="auto"/>
            </w:tcBorders>
            <w:shd w:val="clear" w:color="auto" w:fill="auto"/>
            <w:tcMar>
              <w:top w:w="57" w:type="dxa"/>
              <w:left w:w="0" w:type="dxa"/>
              <w:bottom w:w="85" w:type="dxa"/>
              <w:right w:w="0" w:type="dxa"/>
            </w:tcMar>
            <w:vAlign w:val="bottom"/>
          </w:tcPr>
          <w:p w14:paraId="1D227679" w14:textId="77777777" w:rsidR="00E61AF9" w:rsidRPr="00E61AF9" w:rsidRDefault="00E61AF9" w:rsidP="00615190">
            <w:pPr>
              <w:spacing w:line="240" w:lineRule="atLeast"/>
              <w:rPr>
                <w:rFonts w:ascii="Tahoma" w:hAnsi="Tahoma"/>
                <w:color w:val="000000" w:themeColor="text1"/>
                <w:sz w:val="16"/>
                <w:lang w:val="en-GB"/>
              </w:rPr>
            </w:pPr>
            <w:r w:rsidRPr="00E61AF9">
              <w:rPr>
                <w:rFonts w:ascii="Tahoma" w:hAnsi="Tahoma"/>
                <w:i/>
                <w:iCs/>
                <w:color w:val="000000" w:themeColor="text1"/>
                <w:sz w:val="16"/>
                <w:lang w:val="en-GB"/>
              </w:rPr>
              <w:t>Less</w:t>
            </w:r>
            <w:r w:rsidRPr="00E61AF9">
              <w:rPr>
                <w:rFonts w:ascii="Tahoma" w:hAnsi="Tahoma"/>
                <w:color w:val="000000" w:themeColor="text1"/>
                <w:sz w:val="16"/>
                <w:lang w:val="en-GB"/>
              </w:rPr>
              <w:t>: Equity-accounted investments</w:t>
            </w:r>
          </w:p>
        </w:tc>
        <w:tc>
          <w:tcPr>
            <w:tcW w:w="1134" w:type="dxa"/>
            <w:tcBorders>
              <w:bottom w:val="single" w:sz="4" w:space="0" w:color="auto"/>
            </w:tcBorders>
            <w:shd w:val="clear" w:color="auto" w:fill="auto"/>
            <w:tcMar>
              <w:top w:w="57" w:type="dxa"/>
              <w:left w:w="0" w:type="dxa"/>
              <w:bottom w:w="85" w:type="dxa"/>
              <w:right w:w="0" w:type="dxa"/>
            </w:tcMar>
            <w:vAlign w:val="bottom"/>
          </w:tcPr>
          <w:p w14:paraId="4E27C2DE" w14:textId="77777777" w:rsidR="00E61AF9" w:rsidRPr="00E61AF9" w:rsidRDefault="00E61AF9" w:rsidP="00D34D5B">
            <w:pPr>
              <w:spacing w:line="240" w:lineRule="atLeast"/>
              <w:jc w:val="right"/>
              <w:rPr>
                <w:rFonts w:ascii="Tahoma" w:hAnsi="Tahoma"/>
                <w:b/>
                <w:bCs/>
                <w:color w:val="000000" w:themeColor="text1"/>
                <w:sz w:val="16"/>
                <w:lang w:val="en-GB"/>
              </w:rPr>
            </w:pPr>
            <w:r w:rsidRPr="00E61AF9">
              <w:rPr>
                <w:rFonts w:ascii="Tahoma" w:hAnsi="Tahoma"/>
                <w:b/>
                <w:bCs/>
                <w:color w:val="000000" w:themeColor="text1"/>
                <w:sz w:val="16"/>
                <w:lang w:val="en-GB"/>
              </w:rPr>
              <w:t>(13 286)</w:t>
            </w:r>
          </w:p>
        </w:tc>
        <w:tc>
          <w:tcPr>
            <w:tcW w:w="1134" w:type="dxa"/>
            <w:tcBorders>
              <w:bottom w:val="single" w:sz="4" w:space="0" w:color="auto"/>
            </w:tcBorders>
            <w:shd w:val="clear" w:color="auto" w:fill="auto"/>
            <w:tcMar>
              <w:top w:w="57" w:type="dxa"/>
              <w:left w:w="0" w:type="dxa"/>
              <w:bottom w:w="85" w:type="dxa"/>
              <w:right w:w="0" w:type="dxa"/>
            </w:tcMar>
            <w:vAlign w:val="bottom"/>
          </w:tcPr>
          <w:p w14:paraId="666BA05A" w14:textId="77777777" w:rsidR="00E61AF9" w:rsidRPr="00E61AF9" w:rsidRDefault="00E61AF9" w:rsidP="00D34D5B">
            <w:pPr>
              <w:spacing w:line="240" w:lineRule="atLeast"/>
              <w:jc w:val="right"/>
              <w:rPr>
                <w:rFonts w:ascii="Tahoma" w:hAnsi="Tahoma"/>
                <w:color w:val="000000" w:themeColor="text1"/>
                <w:sz w:val="16"/>
                <w:lang w:val="en-GB"/>
              </w:rPr>
            </w:pPr>
            <w:r w:rsidRPr="00E61AF9">
              <w:rPr>
                <w:rFonts w:ascii="Tahoma" w:hAnsi="Tahoma"/>
                <w:color w:val="000000" w:themeColor="text1"/>
                <w:sz w:val="16"/>
                <w:lang w:val="en-GB"/>
              </w:rPr>
              <w:t>(13 568)</w:t>
            </w:r>
          </w:p>
        </w:tc>
        <w:tc>
          <w:tcPr>
            <w:tcW w:w="1134" w:type="dxa"/>
            <w:tcBorders>
              <w:bottom w:val="single" w:sz="4" w:space="0" w:color="auto"/>
            </w:tcBorders>
            <w:shd w:val="clear" w:color="auto" w:fill="auto"/>
            <w:tcMar>
              <w:top w:w="57" w:type="dxa"/>
              <w:left w:w="0" w:type="dxa"/>
              <w:bottom w:w="85" w:type="dxa"/>
              <w:right w:w="0" w:type="dxa"/>
            </w:tcMar>
            <w:vAlign w:val="bottom"/>
          </w:tcPr>
          <w:p w14:paraId="49F39781" w14:textId="77777777" w:rsidR="00E61AF9" w:rsidRPr="00E61AF9" w:rsidRDefault="00E61AF9" w:rsidP="00D34D5B">
            <w:pPr>
              <w:spacing w:line="240" w:lineRule="atLeast"/>
              <w:jc w:val="right"/>
              <w:rPr>
                <w:rFonts w:ascii="Tahoma" w:hAnsi="Tahoma"/>
                <w:color w:val="000000" w:themeColor="text1"/>
                <w:sz w:val="16"/>
                <w:lang w:val="en-GB"/>
              </w:rPr>
            </w:pPr>
            <w:r w:rsidRPr="00E61AF9">
              <w:rPr>
                <w:rFonts w:ascii="Tahoma" w:hAnsi="Tahoma"/>
                <w:color w:val="000000" w:themeColor="text1"/>
                <w:sz w:val="16"/>
                <w:lang w:val="en-GB"/>
              </w:rPr>
              <w:t>(2)</w:t>
            </w:r>
          </w:p>
        </w:tc>
        <w:tc>
          <w:tcPr>
            <w:tcW w:w="1134" w:type="dxa"/>
            <w:tcBorders>
              <w:left w:val="nil"/>
              <w:bottom w:val="single" w:sz="4" w:space="0" w:color="auto"/>
            </w:tcBorders>
            <w:shd w:val="clear" w:color="auto" w:fill="auto"/>
            <w:tcMar>
              <w:top w:w="57" w:type="dxa"/>
              <w:left w:w="0" w:type="dxa"/>
              <w:bottom w:w="85" w:type="dxa"/>
              <w:right w:w="0" w:type="dxa"/>
            </w:tcMar>
            <w:vAlign w:val="bottom"/>
          </w:tcPr>
          <w:p w14:paraId="2107FE8A" w14:textId="77777777" w:rsidR="00E61AF9" w:rsidRPr="00E61AF9" w:rsidRDefault="00E61AF9" w:rsidP="00B227FB">
            <w:pPr>
              <w:spacing w:line="240" w:lineRule="atLeast"/>
              <w:ind w:right="113"/>
              <w:jc w:val="right"/>
              <w:rPr>
                <w:rFonts w:ascii="Tahoma" w:hAnsi="Tahoma"/>
                <w:color w:val="000000" w:themeColor="text1"/>
                <w:sz w:val="16"/>
                <w:lang w:val="en-GB"/>
              </w:rPr>
            </w:pPr>
            <w:r w:rsidRPr="00E61AF9">
              <w:rPr>
                <w:rFonts w:ascii="Tahoma" w:hAnsi="Tahoma"/>
                <w:color w:val="000000" w:themeColor="text1"/>
                <w:sz w:val="16"/>
                <w:lang w:val="en-GB"/>
              </w:rPr>
              <w:t>(28 751)</w:t>
            </w:r>
          </w:p>
        </w:tc>
      </w:tr>
      <w:tr w:rsidR="00615190" w:rsidRPr="00E61AF9" w14:paraId="79CB15C0" w14:textId="77777777" w:rsidTr="000C0AEE">
        <w:trPr>
          <w:trHeight w:val="60"/>
        </w:trPr>
        <w:tc>
          <w:tcPr>
            <w:tcW w:w="397" w:type="dxa"/>
            <w:shd w:val="clear" w:color="auto" w:fill="auto"/>
            <w:tcMar>
              <w:top w:w="85" w:type="dxa"/>
              <w:left w:w="0" w:type="dxa"/>
              <w:bottom w:w="85" w:type="dxa"/>
              <w:right w:w="0" w:type="dxa"/>
            </w:tcMar>
            <w:vAlign w:val="bottom"/>
          </w:tcPr>
          <w:p w14:paraId="469E6D7E" w14:textId="77777777" w:rsidR="00E61AF9" w:rsidRPr="00E61AF9" w:rsidRDefault="00E61AF9" w:rsidP="00615190">
            <w:pPr>
              <w:spacing w:line="240" w:lineRule="atLeast"/>
              <w:rPr>
                <w:rFonts w:ascii="Tahoma" w:hAnsi="Tahoma"/>
                <w:color w:val="000000" w:themeColor="text1"/>
                <w:sz w:val="16"/>
                <w:lang w:val="en-GB"/>
              </w:rPr>
            </w:pPr>
          </w:p>
        </w:tc>
        <w:tc>
          <w:tcPr>
            <w:tcW w:w="5273" w:type="dxa"/>
            <w:tcBorders>
              <w:top w:val="single" w:sz="4" w:space="0" w:color="auto"/>
              <w:bottom w:val="single" w:sz="4" w:space="0" w:color="auto"/>
            </w:tcBorders>
            <w:shd w:val="clear" w:color="auto" w:fill="auto"/>
            <w:tcMar>
              <w:top w:w="85" w:type="dxa"/>
              <w:left w:w="0" w:type="dxa"/>
              <w:bottom w:w="85" w:type="dxa"/>
              <w:right w:w="0" w:type="dxa"/>
            </w:tcMar>
            <w:vAlign w:val="bottom"/>
          </w:tcPr>
          <w:p w14:paraId="46DB5DE7" w14:textId="77777777" w:rsidR="00E61AF9" w:rsidRPr="00E61AF9" w:rsidRDefault="00E61AF9" w:rsidP="00615190">
            <w:pPr>
              <w:spacing w:line="240" w:lineRule="atLeast"/>
              <w:rPr>
                <w:rFonts w:ascii="Tahoma" w:hAnsi="Tahoma"/>
                <w:b/>
                <w:bCs/>
                <w:color w:val="000000" w:themeColor="text1"/>
                <w:sz w:val="16"/>
                <w:lang w:val="en-GB"/>
              </w:rPr>
            </w:pPr>
            <w:r w:rsidRPr="00E61AF9">
              <w:rPr>
                <w:rFonts w:ascii="Tahoma" w:hAnsi="Tahoma"/>
                <w:b/>
                <w:bCs/>
                <w:color w:val="000000" w:themeColor="text1"/>
                <w:sz w:val="16"/>
                <w:lang w:val="en-GB"/>
              </w:rPr>
              <w:t>Total consolidated from continuing operations</w:t>
            </w:r>
          </w:p>
        </w:tc>
        <w:tc>
          <w:tcPr>
            <w:tcW w:w="1134" w:type="dxa"/>
            <w:tcBorders>
              <w:top w:val="single" w:sz="4" w:space="0" w:color="auto"/>
              <w:bottom w:val="single" w:sz="4" w:space="0" w:color="auto"/>
            </w:tcBorders>
            <w:shd w:val="clear" w:color="auto" w:fill="auto"/>
            <w:tcMar>
              <w:top w:w="85" w:type="dxa"/>
              <w:left w:w="0" w:type="dxa"/>
              <w:bottom w:w="85" w:type="dxa"/>
              <w:right w:w="0" w:type="dxa"/>
            </w:tcMar>
            <w:vAlign w:val="bottom"/>
          </w:tcPr>
          <w:p w14:paraId="68AE4CAB" w14:textId="77777777" w:rsidR="00E61AF9" w:rsidRPr="00E61AF9" w:rsidRDefault="00E61AF9" w:rsidP="00D34D5B">
            <w:pPr>
              <w:spacing w:line="240" w:lineRule="atLeast"/>
              <w:jc w:val="right"/>
              <w:rPr>
                <w:rFonts w:ascii="Tahoma" w:hAnsi="Tahoma"/>
                <w:b/>
                <w:bCs/>
                <w:color w:val="000000" w:themeColor="text1"/>
                <w:sz w:val="16"/>
                <w:lang w:val="en-GB"/>
              </w:rPr>
            </w:pPr>
            <w:r w:rsidRPr="00E61AF9">
              <w:rPr>
                <w:rFonts w:ascii="Tahoma" w:hAnsi="Tahoma"/>
                <w:b/>
                <w:bCs/>
                <w:color w:val="000000" w:themeColor="text1"/>
                <w:sz w:val="16"/>
                <w:lang w:val="en-GB"/>
              </w:rPr>
              <w:t>3 240</w:t>
            </w:r>
          </w:p>
        </w:tc>
        <w:tc>
          <w:tcPr>
            <w:tcW w:w="1134" w:type="dxa"/>
            <w:tcBorders>
              <w:top w:val="single" w:sz="4" w:space="0" w:color="auto"/>
              <w:bottom w:val="single" w:sz="4" w:space="0" w:color="auto"/>
            </w:tcBorders>
            <w:shd w:val="clear" w:color="auto" w:fill="auto"/>
            <w:tcMar>
              <w:top w:w="85" w:type="dxa"/>
              <w:left w:w="0" w:type="dxa"/>
              <w:bottom w:w="85" w:type="dxa"/>
              <w:right w:w="0" w:type="dxa"/>
            </w:tcMar>
            <w:vAlign w:val="bottom"/>
          </w:tcPr>
          <w:p w14:paraId="01C02F97" w14:textId="77777777" w:rsidR="00E61AF9" w:rsidRPr="00E61AF9" w:rsidRDefault="00E61AF9" w:rsidP="00D34D5B">
            <w:pPr>
              <w:spacing w:line="240" w:lineRule="atLeast"/>
              <w:jc w:val="right"/>
              <w:rPr>
                <w:rFonts w:ascii="Tahoma" w:hAnsi="Tahoma"/>
                <w:color w:val="000000" w:themeColor="text1"/>
                <w:sz w:val="16"/>
                <w:lang w:val="en-GB"/>
              </w:rPr>
            </w:pPr>
            <w:r w:rsidRPr="00E61AF9">
              <w:rPr>
                <w:rFonts w:ascii="Tahoma" w:hAnsi="Tahoma"/>
                <w:color w:val="000000" w:themeColor="text1"/>
                <w:sz w:val="16"/>
                <w:lang w:val="en-GB"/>
              </w:rPr>
              <w:t>2 753</w:t>
            </w:r>
          </w:p>
        </w:tc>
        <w:tc>
          <w:tcPr>
            <w:tcW w:w="1134" w:type="dxa"/>
            <w:tcBorders>
              <w:top w:val="single" w:sz="4" w:space="0" w:color="auto"/>
              <w:bottom w:val="single" w:sz="4" w:space="0" w:color="auto"/>
            </w:tcBorders>
            <w:shd w:val="clear" w:color="auto" w:fill="auto"/>
            <w:tcMar>
              <w:top w:w="85" w:type="dxa"/>
              <w:left w:w="0" w:type="dxa"/>
              <w:bottom w:w="85" w:type="dxa"/>
              <w:right w:w="0" w:type="dxa"/>
            </w:tcMar>
            <w:vAlign w:val="bottom"/>
          </w:tcPr>
          <w:p w14:paraId="44EE63CF" w14:textId="77777777" w:rsidR="00E61AF9" w:rsidRPr="00E61AF9" w:rsidRDefault="00E61AF9" w:rsidP="00D34D5B">
            <w:pPr>
              <w:spacing w:line="240" w:lineRule="atLeast"/>
              <w:jc w:val="right"/>
              <w:rPr>
                <w:rFonts w:ascii="Tahoma" w:hAnsi="Tahoma"/>
                <w:color w:val="000000" w:themeColor="text1"/>
                <w:sz w:val="16"/>
                <w:lang w:val="en-GB"/>
              </w:rPr>
            </w:pPr>
            <w:r w:rsidRPr="00E61AF9">
              <w:rPr>
                <w:rFonts w:ascii="Tahoma" w:hAnsi="Tahoma"/>
                <w:color w:val="000000" w:themeColor="text1"/>
                <w:sz w:val="16"/>
                <w:lang w:val="en-GB"/>
              </w:rPr>
              <w:t>18</w:t>
            </w:r>
          </w:p>
        </w:tc>
        <w:tc>
          <w:tcPr>
            <w:tcW w:w="1134" w:type="dxa"/>
            <w:tcBorders>
              <w:top w:val="single" w:sz="4" w:space="0" w:color="auto"/>
              <w:left w:val="nil"/>
              <w:bottom w:val="single" w:sz="4" w:space="0" w:color="auto"/>
            </w:tcBorders>
            <w:shd w:val="clear" w:color="auto" w:fill="auto"/>
            <w:tcMar>
              <w:top w:w="85" w:type="dxa"/>
              <w:left w:w="0" w:type="dxa"/>
              <w:bottom w:w="85" w:type="dxa"/>
              <w:right w:w="0" w:type="dxa"/>
            </w:tcMar>
            <w:vAlign w:val="bottom"/>
          </w:tcPr>
          <w:p w14:paraId="0877DFA3" w14:textId="77777777" w:rsidR="00E61AF9" w:rsidRPr="00E61AF9" w:rsidRDefault="00E61AF9" w:rsidP="00B227FB">
            <w:pPr>
              <w:spacing w:line="240" w:lineRule="atLeast"/>
              <w:ind w:right="113"/>
              <w:jc w:val="right"/>
              <w:rPr>
                <w:rFonts w:ascii="Tahoma" w:hAnsi="Tahoma"/>
                <w:color w:val="000000" w:themeColor="text1"/>
                <w:sz w:val="16"/>
                <w:lang w:val="en-GB"/>
              </w:rPr>
            </w:pPr>
            <w:r w:rsidRPr="00E61AF9">
              <w:rPr>
                <w:rFonts w:ascii="Tahoma" w:hAnsi="Tahoma"/>
                <w:color w:val="000000" w:themeColor="text1"/>
                <w:sz w:val="16"/>
                <w:lang w:val="en-GB"/>
              </w:rPr>
              <w:t>6 237</w:t>
            </w:r>
          </w:p>
        </w:tc>
      </w:tr>
      <w:tr w:rsidR="00615190" w:rsidRPr="00E61AF9" w14:paraId="365AED99" w14:textId="77777777" w:rsidTr="000C0AEE">
        <w:trPr>
          <w:trHeight w:val="60"/>
        </w:trPr>
        <w:tc>
          <w:tcPr>
            <w:tcW w:w="397" w:type="dxa"/>
            <w:shd w:val="clear" w:color="auto" w:fill="auto"/>
            <w:tcMar>
              <w:top w:w="85" w:type="dxa"/>
              <w:left w:w="0" w:type="dxa"/>
              <w:bottom w:w="85" w:type="dxa"/>
              <w:right w:w="0" w:type="dxa"/>
            </w:tcMar>
            <w:vAlign w:val="bottom"/>
          </w:tcPr>
          <w:p w14:paraId="7F0E6706" w14:textId="77777777" w:rsidR="00E61AF9" w:rsidRPr="00E61AF9" w:rsidRDefault="00E61AF9" w:rsidP="00615190">
            <w:pPr>
              <w:spacing w:line="240" w:lineRule="atLeast"/>
              <w:rPr>
                <w:rFonts w:ascii="Tahoma" w:hAnsi="Tahoma"/>
                <w:color w:val="000000" w:themeColor="text1"/>
                <w:sz w:val="16"/>
                <w:lang w:val="en-GB"/>
              </w:rPr>
            </w:pPr>
          </w:p>
        </w:tc>
        <w:tc>
          <w:tcPr>
            <w:tcW w:w="5273" w:type="dxa"/>
            <w:tcBorders>
              <w:top w:val="single" w:sz="4" w:space="0" w:color="auto"/>
              <w:bottom w:val="single" w:sz="4" w:space="0" w:color="auto"/>
            </w:tcBorders>
            <w:shd w:val="clear" w:color="auto" w:fill="auto"/>
            <w:tcMar>
              <w:top w:w="85" w:type="dxa"/>
              <w:left w:w="0" w:type="dxa"/>
              <w:bottom w:w="85" w:type="dxa"/>
              <w:right w:w="0" w:type="dxa"/>
            </w:tcMar>
            <w:vAlign w:val="bottom"/>
          </w:tcPr>
          <w:p w14:paraId="6693502E" w14:textId="77777777" w:rsidR="00E61AF9" w:rsidRPr="00E61AF9" w:rsidRDefault="00E61AF9" w:rsidP="00615190">
            <w:pPr>
              <w:spacing w:line="240" w:lineRule="atLeast"/>
              <w:rPr>
                <w:rFonts w:ascii="Tahoma" w:hAnsi="Tahoma"/>
                <w:b/>
                <w:bCs/>
                <w:color w:val="000000" w:themeColor="text1"/>
                <w:sz w:val="16"/>
                <w:lang w:val="en-GB"/>
              </w:rPr>
            </w:pPr>
            <w:r w:rsidRPr="00E61AF9">
              <w:rPr>
                <w:rFonts w:ascii="Tahoma" w:hAnsi="Tahoma"/>
                <w:b/>
                <w:bCs/>
                <w:color w:val="000000" w:themeColor="text1"/>
                <w:sz w:val="16"/>
                <w:lang w:val="en-GB"/>
              </w:rPr>
              <w:t>Total from discontinued operations</w:t>
            </w:r>
            <w:r w:rsidRPr="00E61AF9">
              <w:rPr>
                <w:rFonts w:ascii="Tahoma" w:hAnsi="Tahoma"/>
                <w:b/>
                <w:bCs/>
                <w:color w:val="000000" w:themeColor="text1"/>
                <w:sz w:val="16"/>
                <w:vertAlign w:val="superscript"/>
                <w:lang w:val="en-GB"/>
              </w:rPr>
              <w:t>1</w:t>
            </w:r>
          </w:p>
        </w:tc>
        <w:tc>
          <w:tcPr>
            <w:tcW w:w="1134" w:type="dxa"/>
            <w:tcBorders>
              <w:top w:val="single" w:sz="4" w:space="0" w:color="auto"/>
              <w:bottom w:val="single" w:sz="4" w:space="0" w:color="auto"/>
            </w:tcBorders>
            <w:shd w:val="clear" w:color="auto" w:fill="auto"/>
            <w:tcMar>
              <w:top w:w="85" w:type="dxa"/>
              <w:left w:w="0" w:type="dxa"/>
              <w:bottom w:w="85" w:type="dxa"/>
              <w:right w:w="0" w:type="dxa"/>
            </w:tcMar>
            <w:vAlign w:val="bottom"/>
          </w:tcPr>
          <w:p w14:paraId="3C77F06B" w14:textId="77777777" w:rsidR="00E61AF9" w:rsidRPr="00E61AF9" w:rsidRDefault="00E61AF9" w:rsidP="00D34D5B">
            <w:pPr>
              <w:spacing w:line="240" w:lineRule="atLeast"/>
              <w:jc w:val="right"/>
              <w:rPr>
                <w:rFonts w:ascii="Tahoma" w:hAnsi="Tahoma"/>
                <w:b/>
                <w:bCs/>
                <w:color w:val="000000" w:themeColor="text1"/>
                <w:sz w:val="16"/>
                <w:lang w:val="en-GB"/>
              </w:rPr>
            </w:pPr>
            <w:r w:rsidRPr="00E61AF9">
              <w:rPr>
                <w:rFonts w:ascii="Tahoma" w:hAnsi="Tahoma"/>
                <w:b/>
                <w:bCs/>
                <w:color w:val="000000" w:themeColor="text1"/>
                <w:sz w:val="16"/>
                <w:lang w:val="en-GB"/>
              </w:rPr>
              <w:t>540</w:t>
            </w:r>
          </w:p>
        </w:tc>
        <w:tc>
          <w:tcPr>
            <w:tcW w:w="1134" w:type="dxa"/>
            <w:tcBorders>
              <w:top w:val="single" w:sz="4" w:space="0" w:color="auto"/>
              <w:bottom w:val="single" w:sz="4" w:space="0" w:color="auto"/>
            </w:tcBorders>
            <w:shd w:val="clear" w:color="auto" w:fill="auto"/>
            <w:tcMar>
              <w:top w:w="85" w:type="dxa"/>
              <w:left w:w="0" w:type="dxa"/>
              <w:bottom w:w="85" w:type="dxa"/>
              <w:right w:w="0" w:type="dxa"/>
            </w:tcMar>
            <w:vAlign w:val="bottom"/>
          </w:tcPr>
          <w:p w14:paraId="604F0E70" w14:textId="77777777" w:rsidR="00E61AF9" w:rsidRPr="00E61AF9" w:rsidRDefault="00E61AF9" w:rsidP="00D34D5B">
            <w:pPr>
              <w:spacing w:line="240" w:lineRule="atLeast"/>
              <w:jc w:val="right"/>
              <w:rPr>
                <w:rFonts w:ascii="Tahoma" w:hAnsi="Tahoma"/>
                <w:color w:val="000000" w:themeColor="text1"/>
                <w:sz w:val="16"/>
                <w:lang w:val="en-GB"/>
              </w:rPr>
            </w:pPr>
            <w:r w:rsidRPr="00E61AF9">
              <w:rPr>
                <w:rFonts w:ascii="Tahoma" w:hAnsi="Tahoma"/>
                <w:color w:val="000000" w:themeColor="text1"/>
                <w:sz w:val="16"/>
                <w:lang w:val="en-GB"/>
              </w:rPr>
              <w:t>312</w:t>
            </w:r>
          </w:p>
        </w:tc>
        <w:tc>
          <w:tcPr>
            <w:tcW w:w="1134" w:type="dxa"/>
            <w:tcBorders>
              <w:top w:val="single" w:sz="4" w:space="0" w:color="auto"/>
              <w:bottom w:val="single" w:sz="4" w:space="0" w:color="auto"/>
            </w:tcBorders>
            <w:shd w:val="clear" w:color="auto" w:fill="auto"/>
            <w:tcMar>
              <w:top w:w="85" w:type="dxa"/>
              <w:left w:w="0" w:type="dxa"/>
              <w:bottom w:w="85" w:type="dxa"/>
              <w:right w:w="0" w:type="dxa"/>
            </w:tcMar>
            <w:vAlign w:val="bottom"/>
          </w:tcPr>
          <w:p w14:paraId="53E9C929" w14:textId="77777777" w:rsidR="00E61AF9" w:rsidRPr="00E61AF9" w:rsidRDefault="00E61AF9" w:rsidP="00D34D5B">
            <w:pPr>
              <w:spacing w:line="240" w:lineRule="atLeast"/>
              <w:jc w:val="right"/>
              <w:rPr>
                <w:rFonts w:ascii="Tahoma" w:hAnsi="Tahoma"/>
                <w:color w:val="000000" w:themeColor="text1"/>
                <w:sz w:val="16"/>
                <w:lang w:val="en-GB"/>
              </w:rPr>
            </w:pPr>
            <w:r w:rsidRPr="00E61AF9">
              <w:rPr>
                <w:rFonts w:ascii="Tahoma" w:hAnsi="Tahoma"/>
                <w:color w:val="000000" w:themeColor="text1"/>
                <w:sz w:val="16"/>
                <w:lang w:val="en-GB"/>
              </w:rPr>
              <w:t>73</w:t>
            </w:r>
          </w:p>
        </w:tc>
        <w:tc>
          <w:tcPr>
            <w:tcW w:w="1134" w:type="dxa"/>
            <w:tcBorders>
              <w:top w:val="single" w:sz="4" w:space="0" w:color="auto"/>
              <w:left w:val="nil"/>
              <w:bottom w:val="single" w:sz="4" w:space="0" w:color="auto"/>
            </w:tcBorders>
            <w:shd w:val="clear" w:color="auto" w:fill="auto"/>
            <w:tcMar>
              <w:top w:w="85" w:type="dxa"/>
              <w:left w:w="0" w:type="dxa"/>
              <w:bottom w:w="85" w:type="dxa"/>
              <w:right w:w="0" w:type="dxa"/>
            </w:tcMar>
            <w:vAlign w:val="bottom"/>
          </w:tcPr>
          <w:p w14:paraId="4AD70801" w14:textId="77777777" w:rsidR="00E61AF9" w:rsidRPr="00E61AF9" w:rsidRDefault="00E61AF9" w:rsidP="00B227FB">
            <w:pPr>
              <w:spacing w:line="240" w:lineRule="atLeast"/>
              <w:ind w:right="113"/>
              <w:jc w:val="right"/>
              <w:rPr>
                <w:rFonts w:ascii="Tahoma" w:hAnsi="Tahoma"/>
                <w:color w:val="000000" w:themeColor="text1"/>
                <w:sz w:val="16"/>
                <w:lang w:val="en-GB"/>
              </w:rPr>
            </w:pPr>
            <w:r w:rsidRPr="00E61AF9">
              <w:rPr>
                <w:rFonts w:ascii="Tahoma" w:hAnsi="Tahoma"/>
                <w:color w:val="000000" w:themeColor="text1"/>
                <w:sz w:val="16"/>
                <w:lang w:val="en-GB"/>
              </w:rPr>
              <w:t>629</w:t>
            </w:r>
          </w:p>
        </w:tc>
      </w:tr>
      <w:tr w:rsidR="00615190" w:rsidRPr="00E61AF9" w14:paraId="677BA7E0" w14:textId="77777777" w:rsidTr="000C0AEE">
        <w:trPr>
          <w:trHeight w:val="60"/>
        </w:trPr>
        <w:tc>
          <w:tcPr>
            <w:tcW w:w="397" w:type="dxa"/>
            <w:shd w:val="clear" w:color="auto" w:fill="auto"/>
            <w:tcMar>
              <w:top w:w="85" w:type="dxa"/>
              <w:left w:w="0" w:type="dxa"/>
              <w:bottom w:w="85" w:type="dxa"/>
              <w:right w:w="0" w:type="dxa"/>
            </w:tcMar>
            <w:vAlign w:val="bottom"/>
          </w:tcPr>
          <w:p w14:paraId="5959DB40" w14:textId="77777777" w:rsidR="00E61AF9" w:rsidRPr="00E61AF9" w:rsidRDefault="00E61AF9" w:rsidP="00615190">
            <w:pPr>
              <w:spacing w:line="240" w:lineRule="atLeast"/>
              <w:rPr>
                <w:rFonts w:ascii="Tahoma" w:hAnsi="Tahoma"/>
                <w:color w:val="000000" w:themeColor="text1"/>
                <w:sz w:val="16"/>
                <w:lang w:val="en-GB"/>
              </w:rPr>
            </w:pPr>
          </w:p>
        </w:tc>
        <w:tc>
          <w:tcPr>
            <w:tcW w:w="5273"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673D09D4" w14:textId="77777777" w:rsidR="00E61AF9" w:rsidRPr="00E61AF9" w:rsidRDefault="00E61AF9" w:rsidP="00615190">
            <w:pPr>
              <w:spacing w:line="240" w:lineRule="atLeast"/>
              <w:rPr>
                <w:rFonts w:ascii="Tahoma" w:hAnsi="Tahoma"/>
                <w:b/>
                <w:bCs/>
                <w:color w:val="000000" w:themeColor="text1"/>
                <w:sz w:val="16"/>
                <w:lang w:val="en-GB"/>
              </w:rPr>
            </w:pPr>
            <w:r w:rsidRPr="00E61AF9">
              <w:rPr>
                <w:rFonts w:ascii="Tahoma" w:hAnsi="Tahoma"/>
                <w:b/>
                <w:bCs/>
                <w:color w:val="000000" w:themeColor="text1"/>
                <w:sz w:val="16"/>
                <w:lang w:val="en-GB"/>
              </w:rPr>
              <w:t>Total consolidated</w:t>
            </w:r>
          </w:p>
        </w:tc>
        <w:tc>
          <w:tcPr>
            <w:tcW w:w="1134"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2BAEF337" w14:textId="77777777" w:rsidR="00E61AF9" w:rsidRPr="00E61AF9" w:rsidRDefault="00E61AF9" w:rsidP="00D34D5B">
            <w:pPr>
              <w:spacing w:line="240" w:lineRule="atLeast"/>
              <w:jc w:val="right"/>
              <w:rPr>
                <w:rFonts w:ascii="Tahoma" w:hAnsi="Tahoma"/>
                <w:b/>
                <w:bCs/>
                <w:color w:val="000000" w:themeColor="text1"/>
                <w:sz w:val="16"/>
                <w:lang w:val="en-GB"/>
              </w:rPr>
            </w:pPr>
            <w:r w:rsidRPr="00E61AF9">
              <w:rPr>
                <w:rFonts w:ascii="Tahoma" w:hAnsi="Tahoma"/>
                <w:b/>
                <w:bCs/>
                <w:color w:val="000000" w:themeColor="text1"/>
                <w:sz w:val="16"/>
                <w:lang w:val="en-GB"/>
              </w:rPr>
              <w:t>3 780</w:t>
            </w:r>
          </w:p>
        </w:tc>
        <w:tc>
          <w:tcPr>
            <w:tcW w:w="1134"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71B55FB7" w14:textId="77777777" w:rsidR="00E61AF9" w:rsidRPr="00E61AF9" w:rsidRDefault="00E61AF9" w:rsidP="00D34D5B">
            <w:pPr>
              <w:spacing w:line="240" w:lineRule="atLeast"/>
              <w:jc w:val="right"/>
              <w:rPr>
                <w:rFonts w:ascii="Tahoma" w:hAnsi="Tahoma"/>
                <w:color w:val="000000" w:themeColor="text1"/>
                <w:sz w:val="16"/>
                <w:lang w:val="en-GB"/>
              </w:rPr>
            </w:pPr>
            <w:r w:rsidRPr="00E61AF9">
              <w:rPr>
                <w:rFonts w:ascii="Tahoma" w:hAnsi="Tahoma"/>
                <w:color w:val="000000" w:themeColor="text1"/>
                <w:sz w:val="16"/>
                <w:lang w:val="en-GB"/>
              </w:rPr>
              <w:t>3 065</w:t>
            </w:r>
          </w:p>
        </w:tc>
        <w:tc>
          <w:tcPr>
            <w:tcW w:w="1134"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5625EE68" w14:textId="77777777" w:rsidR="00E61AF9" w:rsidRPr="00E61AF9" w:rsidRDefault="00E61AF9" w:rsidP="00D34D5B">
            <w:pPr>
              <w:spacing w:line="240" w:lineRule="atLeast"/>
              <w:jc w:val="right"/>
              <w:rPr>
                <w:rFonts w:ascii="Tahoma" w:hAnsi="Tahoma"/>
                <w:color w:val="000000" w:themeColor="text1"/>
                <w:sz w:val="16"/>
                <w:lang w:val="en-GB"/>
              </w:rPr>
            </w:pPr>
            <w:r w:rsidRPr="00E61AF9">
              <w:rPr>
                <w:rFonts w:ascii="Tahoma" w:hAnsi="Tahoma"/>
                <w:color w:val="000000" w:themeColor="text1"/>
                <w:sz w:val="16"/>
                <w:lang w:val="en-GB"/>
              </w:rPr>
              <w:t>23</w:t>
            </w:r>
          </w:p>
        </w:tc>
        <w:tc>
          <w:tcPr>
            <w:tcW w:w="1134" w:type="dxa"/>
            <w:tcBorders>
              <w:top w:val="single" w:sz="4" w:space="0" w:color="auto"/>
              <w:left w:val="nil"/>
              <w:bottom w:val="single" w:sz="12" w:space="0" w:color="auto"/>
            </w:tcBorders>
            <w:shd w:val="clear" w:color="auto" w:fill="auto"/>
            <w:tcMar>
              <w:top w:w="85" w:type="dxa"/>
              <w:left w:w="0" w:type="dxa"/>
              <w:bottom w:w="85" w:type="dxa"/>
              <w:right w:w="0" w:type="dxa"/>
            </w:tcMar>
            <w:vAlign w:val="bottom"/>
          </w:tcPr>
          <w:p w14:paraId="08380099" w14:textId="77777777" w:rsidR="00E61AF9" w:rsidRPr="00E61AF9" w:rsidRDefault="00E61AF9" w:rsidP="00B227FB">
            <w:pPr>
              <w:spacing w:line="240" w:lineRule="atLeast"/>
              <w:ind w:right="113"/>
              <w:jc w:val="right"/>
              <w:rPr>
                <w:rFonts w:ascii="Tahoma" w:hAnsi="Tahoma"/>
                <w:color w:val="000000" w:themeColor="text1"/>
                <w:sz w:val="16"/>
                <w:lang w:val="en-GB"/>
              </w:rPr>
            </w:pPr>
            <w:r w:rsidRPr="00E61AF9">
              <w:rPr>
                <w:rFonts w:ascii="Tahoma" w:hAnsi="Tahoma"/>
                <w:color w:val="000000" w:themeColor="text1"/>
                <w:sz w:val="16"/>
                <w:lang w:val="en-GB"/>
              </w:rPr>
              <w:t>6 866</w:t>
            </w:r>
          </w:p>
        </w:tc>
      </w:tr>
      <w:tr w:rsidR="00615190" w:rsidRPr="00E61AF9" w14:paraId="469C6386" w14:textId="77777777" w:rsidTr="000C0AEE">
        <w:trPr>
          <w:trHeight w:val="60"/>
        </w:trPr>
        <w:tc>
          <w:tcPr>
            <w:tcW w:w="397" w:type="dxa"/>
            <w:shd w:val="clear" w:color="auto" w:fill="auto"/>
            <w:tcMar>
              <w:top w:w="85" w:type="dxa"/>
              <w:left w:w="0" w:type="dxa"/>
              <w:bottom w:w="57" w:type="dxa"/>
              <w:right w:w="0" w:type="dxa"/>
            </w:tcMar>
            <w:vAlign w:val="bottom"/>
          </w:tcPr>
          <w:p w14:paraId="0DE4225B" w14:textId="77777777" w:rsidR="00E61AF9" w:rsidRPr="00E61AF9" w:rsidRDefault="00E61AF9" w:rsidP="00615190">
            <w:pPr>
              <w:spacing w:line="240" w:lineRule="atLeast"/>
              <w:rPr>
                <w:rFonts w:ascii="Tahoma" w:hAnsi="Tahoma"/>
                <w:color w:val="000000" w:themeColor="text1"/>
                <w:sz w:val="16"/>
                <w:lang w:val="en-GB"/>
              </w:rPr>
            </w:pPr>
          </w:p>
        </w:tc>
        <w:tc>
          <w:tcPr>
            <w:tcW w:w="9809" w:type="dxa"/>
            <w:gridSpan w:val="5"/>
            <w:tcBorders>
              <w:top w:val="single" w:sz="12" w:space="0" w:color="auto"/>
            </w:tcBorders>
            <w:shd w:val="clear" w:color="auto" w:fill="auto"/>
            <w:tcMar>
              <w:top w:w="85" w:type="dxa"/>
              <w:left w:w="0" w:type="dxa"/>
              <w:bottom w:w="57" w:type="dxa"/>
              <w:right w:w="0" w:type="dxa"/>
            </w:tcMar>
            <w:vAlign w:val="bottom"/>
          </w:tcPr>
          <w:p w14:paraId="0406B8B5" w14:textId="77777777" w:rsidR="00E61AF9" w:rsidRPr="002C53B3" w:rsidRDefault="00E61AF9" w:rsidP="002C53B3">
            <w:pPr>
              <w:pStyle w:val="FootnotesProsus2022FrontStylesProsus2022"/>
            </w:pPr>
            <w:r w:rsidRPr="002C53B3">
              <w:t>1</w:t>
            </w:r>
            <w:r w:rsidRPr="002C53B3">
              <w:tab/>
              <w:t xml:space="preserve">From 1 April 2022, following the separation from OLX Group, the CODM reviewed the financial results of </w:t>
            </w:r>
            <w:proofErr w:type="spellStart"/>
            <w:r w:rsidRPr="002C53B3">
              <w:t>Avito</w:t>
            </w:r>
            <w:proofErr w:type="spellEnd"/>
            <w:r w:rsidRPr="002C53B3">
              <w:t xml:space="preserve"> separately. Subsequent to the group’s decision to exit this Russian business, </w:t>
            </w:r>
            <w:proofErr w:type="spellStart"/>
            <w:r w:rsidRPr="002C53B3">
              <w:t>Avito</w:t>
            </w:r>
            <w:proofErr w:type="spellEnd"/>
            <w:r w:rsidRPr="002C53B3">
              <w:t xml:space="preserve"> was presented as a discontinued operation. The comparative financial results of </w:t>
            </w:r>
            <w:proofErr w:type="spellStart"/>
            <w:r w:rsidRPr="002C53B3">
              <w:t>Avito</w:t>
            </w:r>
            <w:proofErr w:type="spellEnd"/>
            <w:r w:rsidRPr="002C53B3">
              <w:t>, previously presented in the Classifieds Ecommerce segment, have been reclassified and presented in discontinued operations (refer to note 5).</w:t>
            </w:r>
          </w:p>
          <w:p w14:paraId="10E89B59" w14:textId="77777777" w:rsidR="00E61AF9" w:rsidRPr="002C53B3" w:rsidRDefault="00E61AF9" w:rsidP="002C53B3">
            <w:pPr>
              <w:pStyle w:val="FootnotesProsus2022FrontStylesProsus2022"/>
            </w:pPr>
            <w:r w:rsidRPr="002C53B3">
              <w:t>2</w:t>
            </w:r>
            <w:r w:rsidRPr="002C53B3">
              <w:tab/>
              <w:t>During the year ended 31 March 2022, the group lost significant influence in VK and the group now accounts for its investment at fair value through other comprehensive income.</w:t>
            </w:r>
          </w:p>
        </w:tc>
      </w:tr>
    </w:tbl>
    <w:p w14:paraId="78A2DC60" w14:textId="77777777" w:rsidR="00E61AF9" w:rsidRPr="00615190" w:rsidRDefault="00E61AF9" w:rsidP="00615190">
      <w:pPr>
        <w:spacing w:line="240" w:lineRule="atLeast"/>
        <w:rPr>
          <w:rFonts w:ascii="Tahoma" w:hAnsi="Tahoma"/>
          <w:color w:val="000000" w:themeColor="text1"/>
          <w:sz w:val="16"/>
        </w:rPr>
      </w:pPr>
    </w:p>
    <w:p w14:paraId="1AED40C5" w14:textId="77777777" w:rsidR="00E61AF9" w:rsidRPr="00615190" w:rsidRDefault="00483963" w:rsidP="00FB1994">
      <w:pPr>
        <w:rPr>
          <w:rFonts w:ascii="Tahoma" w:hAnsi="Tahoma"/>
          <w:color w:val="000000" w:themeColor="text1"/>
          <w:sz w:val="16"/>
        </w:rPr>
      </w:pPr>
      <w:r>
        <w:rPr>
          <w:rFonts w:ascii="Tahoma" w:hAnsi="Tahoma"/>
          <w:color w:val="000000" w:themeColor="text1"/>
          <w:sz w:val="16"/>
        </w:rPr>
        <w:br w:type="page"/>
      </w:r>
    </w:p>
    <w:tbl>
      <w:tblPr>
        <w:tblW w:w="10206" w:type="dxa"/>
        <w:tblInd w:w="-8" w:type="dxa"/>
        <w:tblLayout w:type="fixed"/>
        <w:tblCellMar>
          <w:left w:w="0" w:type="dxa"/>
          <w:right w:w="0" w:type="dxa"/>
        </w:tblCellMar>
        <w:tblLook w:val="0000" w:firstRow="0" w:lastRow="0" w:firstColumn="0" w:lastColumn="0" w:noHBand="0" w:noVBand="0"/>
      </w:tblPr>
      <w:tblGrid>
        <w:gridCol w:w="397"/>
        <w:gridCol w:w="5273"/>
        <w:gridCol w:w="1134"/>
        <w:gridCol w:w="1134"/>
        <w:gridCol w:w="1134"/>
        <w:gridCol w:w="1134"/>
      </w:tblGrid>
      <w:tr w:rsidR="00483963" w:rsidRPr="00E61AF9" w14:paraId="6A239043" w14:textId="77777777" w:rsidTr="00046A2B">
        <w:trPr>
          <w:trHeight w:val="60"/>
        </w:trPr>
        <w:tc>
          <w:tcPr>
            <w:tcW w:w="397" w:type="dxa"/>
            <w:shd w:val="clear" w:color="auto" w:fill="auto"/>
            <w:tcMar>
              <w:top w:w="0" w:type="dxa"/>
              <w:left w:w="0" w:type="dxa"/>
              <w:bottom w:w="113" w:type="dxa"/>
              <w:right w:w="0" w:type="dxa"/>
            </w:tcMar>
            <w:vAlign w:val="bottom"/>
          </w:tcPr>
          <w:p w14:paraId="1ADA7CA4" w14:textId="77777777" w:rsidR="00483963" w:rsidRPr="00E61AF9" w:rsidRDefault="00483963" w:rsidP="00483963">
            <w:pPr>
              <w:spacing w:line="240" w:lineRule="atLeast"/>
              <w:rPr>
                <w:rFonts w:ascii="Tahoma" w:hAnsi="Tahoma"/>
                <w:b/>
                <w:bCs/>
                <w:color w:val="000000" w:themeColor="text1"/>
                <w:sz w:val="16"/>
                <w:lang w:val="en-GB"/>
              </w:rPr>
            </w:pPr>
            <w:r w:rsidRPr="00E61AF9">
              <w:rPr>
                <w:rFonts w:ascii="Tahoma" w:hAnsi="Tahoma"/>
                <w:b/>
                <w:bCs/>
                <w:color w:val="000000" w:themeColor="text1"/>
                <w:sz w:val="16"/>
                <w:lang w:val="en-GB"/>
              </w:rPr>
              <w:lastRenderedPageBreak/>
              <w:t>4.</w:t>
            </w:r>
          </w:p>
        </w:tc>
        <w:tc>
          <w:tcPr>
            <w:tcW w:w="9809" w:type="dxa"/>
            <w:gridSpan w:val="5"/>
            <w:shd w:val="clear" w:color="auto" w:fill="auto"/>
            <w:tcMar>
              <w:top w:w="0" w:type="dxa"/>
              <w:left w:w="0" w:type="dxa"/>
              <w:bottom w:w="113" w:type="dxa"/>
              <w:right w:w="0" w:type="dxa"/>
            </w:tcMar>
            <w:vAlign w:val="bottom"/>
          </w:tcPr>
          <w:p w14:paraId="4AEC6676" w14:textId="77777777" w:rsidR="00483963" w:rsidRPr="00E61AF9" w:rsidRDefault="00483963" w:rsidP="00483963">
            <w:pPr>
              <w:spacing w:line="240" w:lineRule="atLeast"/>
              <w:rPr>
                <w:rFonts w:ascii="Tahoma" w:hAnsi="Tahoma"/>
                <w:b/>
                <w:bCs/>
                <w:color w:val="000000" w:themeColor="text1"/>
                <w:sz w:val="16"/>
                <w:lang w:val="en-GB"/>
              </w:rPr>
            </w:pPr>
            <w:r w:rsidRPr="00E61AF9">
              <w:rPr>
                <w:rFonts w:ascii="Tahoma" w:hAnsi="Tahoma"/>
                <w:b/>
                <w:bCs/>
                <w:color w:val="000000" w:themeColor="text1"/>
                <w:sz w:val="16"/>
                <w:lang w:val="en-GB"/>
              </w:rPr>
              <w:t>SEGMENTAL REVIEW (continued)</w:t>
            </w:r>
          </w:p>
        </w:tc>
      </w:tr>
      <w:tr w:rsidR="00615190" w:rsidRPr="00E61AF9" w14:paraId="081FB19C" w14:textId="77777777" w:rsidTr="00046A2B">
        <w:trPr>
          <w:trHeight w:val="60"/>
        </w:trPr>
        <w:tc>
          <w:tcPr>
            <w:tcW w:w="397" w:type="dxa"/>
            <w:shd w:val="clear" w:color="auto" w:fill="auto"/>
            <w:tcMar>
              <w:top w:w="85" w:type="dxa"/>
              <w:left w:w="0" w:type="dxa"/>
              <w:bottom w:w="57" w:type="dxa"/>
              <w:right w:w="0" w:type="dxa"/>
            </w:tcMar>
            <w:vAlign w:val="bottom"/>
          </w:tcPr>
          <w:p w14:paraId="71623A8C" w14:textId="77777777" w:rsidR="00E61AF9" w:rsidRPr="00E61AF9" w:rsidRDefault="00E61AF9" w:rsidP="00615190">
            <w:pPr>
              <w:spacing w:line="240" w:lineRule="atLeast"/>
              <w:rPr>
                <w:rFonts w:ascii="Tahoma" w:hAnsi="Tahoma"/>
                <w:color w:val="000000" w:themeColor="text1"/>
                <w:sz w:val="16"/>
                <w:lang w:val="en-GB"/>
              </w:rPr>
            </w:pPr>
          </w:p>
        </w:tc>
        <w:tc>
          <w:tcPr>
            <w:tcW w:w="5273" w:type="dxa"/>
            <w:shd w:val="clear" w:color="auto" w:fill="auto"/>
            <w:tcMar>
              <w:top w:w="85" w:type="dxa"/>
              <w:left w:w="0" w:type="dxa"/>
              <w:bottom w:w="57" w:type="dxa"/>
              <w:right w:w="0" w:type="dxa"/>
            </w:tcMar>
            <w:vAlign w:val="bottom"/>
          </w:tcPr>
          <w:p w14:paraId="606CEF63" w14:textId="77777777" w:rsidR="00E61AF9" w:rsidRPr="00E61AF9" w:rsidRDefault="00E61AF9" w:rsidP="00615190">
            <w:pPr>
              <w:spacing w:line="240" w:lineRule="atLeast"/>
              <w:rPr>
                <w:rFonts w:ascii="Tahoma" w:hAnsi="Tahoma"/>
                <w:color w:val="000000" w:themeColor="text1"/>
                <w:sz w:val="16"/>
                <w:lang w:val="en-GB"/>
              </w:rPr>
            </w:pPr>
          </w:p>
        </w:tc>
        <w:tc>
          <w:tcPr>
            <w:tcW w:w="4536" w:type="dxa"/>
            <w:gridSpan w:val="4"/>
            <w:shd w:val="clear" w:color="auto" w:fill="auto"/>
            <w:tcMar>
              <w:top w:w="85" w:type="dxa"/>
              <w:left w:w="0" w:type="dxa"/>
              <w:bottom w:w="57" w:type="dxa"/>
              <w:right w:w="0" w:type="dxa"/>
            </w:tcMar>
            <w:vAlign w:val="bottom"/>
          </w:tcPr>
          <w:p w14:paraId="4E28A3C6" w14:textId="77777777" w:rsidR="00E61AF9" w:rsidRPr="00E61AF9" w:rsidRDefault="00E61AF9" w:rsidP="00F72EAF">
            <w:pPr>
              <w:spacing w:line="240" w:lineRule="atLeast"/>
              <w:jc w:val="center"/>
              <w:rPr>
                <w:rFonts w:ascii="Tahoma" w:hAnsi="Tahoma"/>
                <w:b/>
                <w:bCs/>
                <w:color w:val="000000" w:themeColor="text1"/>
                <w:sz w:val="16"/>
                <w:lang w:val="en-GB"/>
              </w:rPr>
            </w:pPr>
            <w:r w:rsidRPr="00E61AF9">
              <w:rPr>
                <w:rFonts w:ascii="Tahoma" w:hAnsi="Tahoma"/>
                <w:b/>
                <w:bCs/>
                <w:color w:val="000000" w:themeColor="text1"/>
                <w:sz w:val="16"/>
                <w:lang w:val="en-GB"/>
              </w:rPr>
              <w:t>Adjusted EBITDA</w:t>
            </w:r>
          </w:p>
        </w:tc>
      </w:tr>
      <w:tr w:rsidR="00615190" w:rsidRPr="00E61AF9" w14:paraId="2BFB7608" w14:textId="77777777" w:rsidTr="0038251B">
        <w:trPr>
          <w:trHeight w:val="60"/>
        </w:trPr>
        <w:tc>
          <w:tcPr>
            <w:tcW w:w="397" w:type="dxa"/>
            <w:shd w:val="clear" w:color="auto" w:fill="auto"/>
            <w:tcMar>
              <w:top w:w="57" w:type="dxa"/>
              <w:left w:w="0" w:type="dxa"/>
              <w:bottom w:w="85" w:type="dxa"/>
              <w:right w:w="0" w:type="dxa"/>
            </w:tcMar>
            <w:vAlign w:val="bottom"/>
          </w:tcPr>
          <w:p w14:paraId="42ED5682" w14:textId="77777777" w:rsidR="00E61AF9" w:rsidRPr="00E61AF9" w:rsidRDefault="00E61AF9" w:rsidP="00615190">
            <w:pPr>
              <w:spacing w:line="240" w:lineRule="atLeast"/>
              <w:rPr>
                <w:rFonts w:ascii="Tahoma" w:hAnsi="Tahoma"/>
                <w:color w:val="000000" w:themeColor="text1"/>
                <w:sz w:val="16"/>
                <w:lang w:val="en-GB"/>
              </w:rPr>
            </w:pPr>
          </w:p>
        </w:tc>
        <w:tc>
          <w:tcPr>
            <w:tcW w:w="5273" w:type="dxa"/>
            <w:shd w:val="clear" w:color="auto" w:fill="auto"/>
            <w:tcMar>
              <w:top w:w="57" w:type="dxa"/>
              <w:left w:w="0" w:type="dxa"/>
              <w:bottom w:w="85" w:type="dxa"/>
              <w:right w:w="0" w:type="dxa"/>
            </w:tcMar>
            <w:vAlign w:val="bottom"/>
          </w:tcPr>
          <w:p w14:paraId="261C92D8" w14:textId="77777777" w:rsidR="00E61AF9" w:rsidRPr="00E61AF9" w:rsidRDefault="00E61AF9" w:rsidP="00615190">
            <w:pPr>
              <w:spacing w:line="240" w:lineRule="atLeast"/>
              <w:rPr>
                <w:rFonts w:ascii="Tahoma" w:hAnsi="Tahoma"/>
                <w:color w:val="000000" w:themeColor="text1"/>
                <w:sz w:val="16"/>
                <w:lang w:val="en-GB"/>
              </w:rPr>
            </w:pPr>
          </w:p>
        </w:tc>
        <w:tc>
          <w:tcPr>
            <w:tcW w:w="2268" w:type="dxa"/>
            <w:gridSpan w:val="2"/>
            <w:shd w:val="clear" w:color="auto" w:fill="auto"/>
            <w:tcMar>
              <w:top w:w="57" w:type="dxa"/>
              <w:left w:w="0" w:type="dxa"/>
              <w:bottom w:w="85" w:type="dxa"/>
              <w:right w:w="0" w:type="dxa"/>
            </w:tcMar>
            <w:vAlign w:val="bottom"/>
          </w:tcPr>
          <w:p w14:paraId="313A253D" w14:textId="77777777" w:rsidR="00E61AF9" w:rsidRPr="00E61AF9" w:rsidRDefault="00E61AF9" w:rsidP="008528A5">
            <w:pPr>
              <w:spacing w:line="240" w:lineRule="atLeast"/>
              <w:ind w:left="577"/>
              <w:jc w:val="center"/>
              <w:rPr>
                <w:rFonts w:ascii="Tahoma" w:hAnsi="Tahoma"/>
                <w:b/>
                <w:bCs/>
                <w:color w:val="000000" w:themeColor="text1"/>
                <w:sz w:val="16"/>
                <w:lang w:val="en-GB"/>
              </w:rPr>
            </w:pPr>
            <w:r w:rsidRPr="00E61AF9">
              <w:rPr>
                <w:rFonts w:ascii="Tahoma" w:hAnsi="Tahoma"/>
                <w:b/>
                <w:bCs/>
                <w:color w:val="000000" w:themeColor="text1"/>
                <w:sz w:val="16"/>
                <w:lang w:val="en-GB"/>
              </w:rPr>
              <w:t>Six months ended</w:t>
            </w:r>
          </w:p>
          <w:p w14:paraId="1EB3548D" w14:textId="77777777" w:rsidR="00E61AF9" w:rsidRPr="00E61AF9" w:rsidRDefault="00E61AF9" w:rsidP="008528A5">
            <w:pPr>
              <w:spacing w:line="240" w:lineRule="atLeast"/>
              <w:ind w:left="577"/>
              <w:jc w:val="center"/>
              <w:rPr>
                <w:rFonts w:ascii="Tahoma" w:hAnsi="Tahoma"/>
                <w:color w:val="000000" w:themeColor="text1"/>
                <w:sz w:val="16"/>
                <w:lang w:val="en-GB"/>
              </w:rPr>
            </w:pPr>
            <w:r w:rsidRPr="00E61AF9">
              <w:rPr>
                <w:rFonts w:ascii="Tahoma" w:hAnsi="Tahoma"/>
                <w:b/>
                <w:bCs/>
                <w:color w:val="000000" w:themeColor="text1"/>
                <w:sz w:val="16"/>
                <w:lang w:val="en-GB"/>
              </w:rPr>
              <w:t>30 September</w:t>
            </w:r>
          </w:p>
        </w:tc>
        <w:tc>
          <w:tcPr>
            <w:tcW w:w="1134" w:type="dxa"/>
            <w:shd w:val="clear" w:color="auto" w:fill="auto"/>
            <w:tcMar>
              <w:top w:w="57" w:type="dxa"/>
              <w:left w:w="0" w:type="dxa"/>
              <w:bottom w:w="85" w:type="dxa"/>
              <w:right w:w="0" w:type="dxa"/>
            </w:tcMar>
            <w:vAlign w:val="bottom"/>
          </w:tcPr>
          <w:p w14:paraId="60BF7252" w14:textId="77777777" w:rsidR="00E61AF9" w:rsidRPr="00E61AF9" w:rsidRDefault="00E61AF9" w:rsidP="00200D91">
            <w:pPr>
              <w:spacing w:line="240" w:lineRule="atLeast"/>
              <w:jc w:val="right"/>
              <w:rPr>
                <w:rFonts w:ascii="Tahoma" w:hAnsi="Tahoma"/>
                <w:color w:val="000000" w:themeColor="text1"/>
                <w:sz w:val="16"/>
                <w:lang w:val="en-GB"/>
              </w:rPr>
            </w:pPr>
          </w:p>
        </w:tc>
        <w:tc>
          <w:tcPr>
            <w:tcW w:w="1134" w:type="dxa"/>
            <w:shd w:val="clear" w:color="auto" w:fill="auto"/>
            <w:tcMar>
              <w:top w:w="57" w:type="dxa"/>
              <w:left w:w="0" w:type="dxa"/>
              <w:bottom w:w="85" w:type="dxa"/>
              <w:right w:w="0" w:type="dxa"/>
            </w:tcMar>
            <w:vAlign w:val="bottom"/>
          </w:tcPr>
          <w:p w14:paraId="2B91B079" w14:textId="77777777" w:rsidR="00E61AF9" w:rsidRPr="00E61AF9" w:rsidRDefault="00E61AF9" w:rsidP="00BA7BA6">
            <w:pPr>
              <w:spacing w:line="240" w:lineRule="atLeast"/>
              <w:ind w:right="113"/>
              <w:jc w:val="right"/>
              <w:rPr>
                <w:rFonts w:ascii="Tahoma" w:hAnsi="Tahoma"/>
                <w:color w:val="000000" w:themeColor="text1"/>
                <w:sz w:val="16"/>
                <w:lang w:val="en-GB"/>
              </w:rPr>
            </w:pPr>
            <w:r w:rsidRPr="00E61AF9">
              <w:rPr>
                <w:rFonts w:ascii="Tahoma" w:hAnsi="Tahoma"/>
                <w:color w:val="000000" w:themeColor="text1"/>
                <w:sz w:val="16"/>
                <w:lang w:val="en-GB"/>
              </w:rPr>
              <w:t>Year</w:t>
            </w:r>
          </w:p>
          <w:p w14:paraId="0F2BCF07" w14:textId="77777777" w:rsidR="00E61AF9" w:rsidRPr="00E61AF9" w:rsidRDefault="00E61AF9" w:rsidP="00BA7BA6">
            <w:pPr>
              <w:spacing w:line="240" w:lineRule="atLeast"/>
              <w:ind w:right="113"/>
              <w:jc w:val="right"/>
              <w:rPr>
                <w:rFonts w:ascii="Tahoma" w:hAnsi="Tahoma"/>
                <w:color w:val="000000" w:themeColor="text1"/>
                <w:sz w:val="16"/>
                <w:lang w:val="en-GB"/>
              </w:rPr>
            </w:pPr>
            <w:r w:rsidRPr="00E61AF9">
              <w:rPr>
                <w:rFonts w:ascii="Tahoma" w:hAnsi="Tahoma"/>
                <w:color w:val="000000" w:themeColor="text1"/>
                <w:sz w:val="16"/>
                <w:lang w:val="en-GB"/>
              </w:rPr>
              <w:t>ended</w:t>
            </w:r>
          </w:p>
          <w:p w14:paraId="1EB1F472" w14:textId="77777777" w:rsidR="00E61AF9" w:rsidRPr="00E61AF9" w:rsidRDefault="00E61AF9" w:rsidP="00BA7BA6">
            <w:pPr>
              <w:spacing w:line="240" w:lineRule="atLeast"/>
              <w:ind w:right="113"/>
              <w:jc w:val="right"/>
              <w:rPr>
                <w:rFonts w:ascii="Tahoma" w:hAnsi="Tahoma"/>
                <w:color w:val="000000" w:themeColor="text1"/>
                <w:sz w:val="16"/>
                <w:lang w:val="en-GB"/>
              </w:rPr>
            </w:pPr>
            <w:r w:rsidRPr="00E61AF9">
              <w:rPr>
                <w:rFonts w:ascii="Tahoma" w:hAnsi="Tahoma"/>
                <w:color w:val="000000" w:themeColor="text1"/>
                <w:sz w:val="16"/>
                <w:lang w:val="en-GB"/>
              </w:rPr>
              <w:t>31 March</w:t>
            </w:r>
          </w:p>
        </w:tc>
      </w:tr>
      <w:tr w:rsidR="00615190" w:rsidRPr="00E61AF9" w14:paraId="1D377D03" w14:textId="77777777" w:rsidTr="0038251B">
        <w:trPr>
          <w:trHeight w:val="60"/>
        </w:trPr>
        <w:tc>
          <w:tcPr>
            <w:tcW w:w="397" w:type="dxa"/>
            <w:shd w:val="clear" w:color="auto" w:fill="auto"/>
            <w:tcMar>
              <w:top w:w="113" w:type="dxa"/>
              <w:left w:w="0" w:type="dxa"/>
              <w:bottom w:w="113" w:type="dxa"/>
              <w:right w:w="0" w:type="dxa"/>
            </w:tcMar>
            <w:vAlign w:val="bottom"/>
          </w:tcPr>
          <w:p w14:paraId="68EBE8B8" w14:textId="77777777" w:rsidR="00E61AF9" w:rsidRPr="00E61AF9" w:rsidRDefault="00E61AF9" w:rsidP="00615190">
            <w:pPr>
              <w:spacing w:line="240" w:lineRule="atLeast"/>
              <w:rPr>
                <w:rFonts w:ascii="Tahoma" w:hAnsi="Tahoma"/>
                <w:color w:val="000000" w:themeColor="text1"/>
                <w:sz w:val="16"/>
                <w:lang w:val="en-GB"/>
              </w:rPr>
            </w:pPr>
          </w:p>
        </w:tc>
        <w:tc>
          <w:tcPr>
            <w:tcW w:w="5273" w:type="dxa"/>
            <w:tcBorders>
              <w:bottom w:val="single" w:sz="12" w:space="0" w:color="auto"/>
            </w:tcBorders>
            <w:shd w:val="clear" w:color="auto" w:fill="auto"/>
            <w:tcMar>
              <w:top w:w="113" w:type="dxa"/>
              <w:left w:w="0" w:type="dxa"/>
              <w:bottom w:w="113" w:type="dxa"/>
              <w:right w:w="0" w:type="dxa"/>
            </w:tcMar>
            <w:vAlign w:val="bottom"/>
          </w:tcPr>
          <w:p w14:paraId="3D4BD68D" w14:textId="77777777" w:rsidR="00E61AF9" w:rsidRPr="00E61AF9" w:rsidRDefault="00E61AF9" w:rsidP="00615190">
            <w:pPr>
              <w:spacing w:line="240" w:lineRule="atLeast"/>
              <w:rPr>
                <w:rFonts w:ascii="Tahoma" w:hAnsi="Tahoma"/>
                <w:color w:val="000000" w:themeColor="text1"/>
                <w:sz w:val="16"/>
                <w:lang w:val="en-GB"/>
              </w:rPr>
            </w:pPr>
          </w:p>
        </w:tc>
        <w:tc>
          <w:tcPr>
            <w:tcW w:w="1134" w:type="dxa"/>
            <w:tcBorders>
              <w:bottom w:val="single" w:sz="12" w:space="0" w:color="auto"/>
            </w:tcBorders>
            <w:shd w:val="clear" w:color="auto" w:fill="auto"/>
            <w:tcMar>
              <w:top w:w="113" w:type="dxa"/>
              <w:left w:w="0" w:type="dxa"/>
              <w:bottom w:w="113" w:type="dxa"/>
              <w:right w:w="0" w:type="dxa"/>
            </w:tcMar>
            <w:vAlign w:val="bottom"/>
          </w:tcPr>
          <w:p w14:paraId="2172B4CB" w14:textId="77777777" w:rsidR="00E61AF9" w:rsidRPr="00E61AF9" w:rsidRDefault="00E61AF9" w:rsidP="00200D91">
            <w:pPr>
              <w:spacing w:line="240" w:lineRule="atLeast"/>
              <w:jc w:val="right"/>
              <w:rPr>
                <w:rFonts w:ascii="Tahoma" w:hAnsi="Tahoma"/>
                <w:b/>
                <w:bCs/>
                <w:color w:val="000000" w:themeColor="text1"/>
                <w:sz w:val="16"/>
                <w:lang w:val="en-GB"/>
              </w:rPr>
            </w:pPr>
            <w:r w:rsidRPr="00E61AF9">
              <w:rPr>
                <w:rFonts w:ascii="Tahoma" w:hAnsi="Tahoma"/>
                <w:b/>
                <w:bCs/>
                <w:color w:val="000000" w:themeColor="text1"/>
                <w:sz w:val="16"/>
                <w:lang w:val="en-GB"/>
              </w:rPr>
              <w:t>2022</w:t>
            </w:r>
          </w:p>
          <w:p w14:paraId="488E93DB" w14:textId="77777777" w:rsidR="00E61AF9" w:rsidRPr="00E61AF9" w:rsidRDefault="00E61AF9" w:rsidP="00200D91">
            <w:pPr>
              <w:spacing w:line="240" w:lineRule="atLeast"/>
              <w:jc w:val="right"/>
              <w:rPr>
                <w:rFonts w:ascii="Tahoma" w:hAnsi="Tahoma"/>
                <w:b/>
                <w:bCs/>
                <w:color w:val="000000" w:themeColor="text1"/>
                <w:sz w:val="16"/>
                <w:lang w:val="en-GB"/>
              </w:rPr>
            </w:pPr>
            <w:proofErr w:type="spellStart"/>
            <w:r w:rsidRPr="00E61AF9">
              <w:rPr>
                <w:rFonts w:ascii="Tahoma" w:hAnsi="Tahoma"/>
                <w:b/>
                <w:bCs/>
                <w:color w:val="000000" w:themeColor="text1"/>
                <w:sz w:val="16"/>
                <w:lang w:val="en-GB"/>
              </w:rPr>
              <w:t>US$’m</w:t>
            </w:r>
            <w:proofErr w:type="spellEnd"/>
          </w:p>
        </w:tc>
        <w:tc>
          <w:tcPr>
            <w:tcW w:w="1134" w:type="dxa"/>
            <w:tcBorders>
              <w:bottom w:val="single" w:sz="12" w:space="0" w:color="auto"/>
            </w:tcBorders>
            <w:shd w:val="clear" w:color="auto" w:fill="auto"/>
            <w:tcMar>
              <w:top w:w="113" w:type="dxa"/>
              <w:left w:w="0" w:type="dxa"/>
              <w:bottom w:w="113" w:type="dxa"/>
              <w:right w:w="0" w:type="dxa"/>
            </w:tcMar>
            <w:vAlign w:val="bottom"/>
          </w:tcPr>
          <w:p w14:paraId="20CB16AC" w14:textId="77777777" w:rsidR="00E61AF9" w:rsidRPr="00E61AF9" w:rsidRDefault="00E61AF9" w:rsidP="00200D91">
            <w:pPr>
              <w:spacing w:line="240" w:lineRule="atLeast"/>
              <w:jc w:val="right"/>
              <w:rPr>
                <w:rFonts w:ascii="Tahoma" w:hAnsi="Tahoma"/>
                <w:color w:val="000000" w:themeColor="text1"/>
                <w:sz w:val="16"/>
                <w:lang w:val="en-GB"/>
              </w:rPr>
            </w:pPr>
            <w:r w:rsidRPr="00E61AF9">
              <w:rPr>
                <w:rFonts w:ascii="Tahoma" w:hAnsi="Tahoma"/>
                <w:color w:val="000000" w:themeColor="text1"/>
                <w:sz w:val="16"/>
                <w:lang w:val="en-GB"/>
              </w:rPr>
              <w:t>2021</w:t>
            </w:r>
          </w:p>
          <w:p w14:paraId="2A317D5B" w14:textId="77777777" w:rsidR="00E61AF9" w:rsidRPr="00E61AF9" w:rsidRDefault="00E61AF9" w:rsidP="00200D91">
            <w:pPr>
              <w:spacing w:line="240" w:lineRule="atLeast"/>
              <w:jc w:val="right"/>
              <w:rPr>
                <w:rFonts w:ascii="Tahoma" w:hAnsi="Tahoma"/>
                <w:color w:val="000000" w:themeColor="text1"/>
                <w:sz w:val="16"/>
                <w:lang w:val="en-GB"/>
              </w:rPr>
            </w:pPr>
            <w:proofErr w:type="spellStart"/>
            <w:r w:rsidRPr="00E61AF9">
              <w:rPr>
                <w:rFonts w:ascii="Tahoma" w:hAnsi="Tahoma"/>
                <w:color w:val="000000" w:themeColor="text1"/>
                <w:sz w:val="16"/>
                <w:lang w:val="en-GB"/>
              </w:rPr>
              <w:t>US$’m</w:t>
            </w:r>
            <w:proofErr w:type="spellEnd"/>
          </w:p>
        </w:tc>
        <w:tc>
          <w:tcPr>
            <w:tcW w:w="1134" w:type="dxa"/>
            <w:tcBorders>
              <w:bottom w:val="single" w:sz="12" w:space="0" w:color="auto"/>
            </w:tcBorders>
            <w:shd w:val="clear" w:color="auto" w:fill="auto"/>
            <w:tcMar>
              <w:top w:w="113" w:type="dxa"/>
              <w:left w:w="0" w:type="dxa"/>
              <w:bottom w:w="113" w:type="dxa"/>
              <w:right w:w="0" w:type="dxa"/>
            </w:tcMar>
            <w:vAlign w:val="bottom"/>
          </w:tcPr>
          <w:p w14:paraId="47A2E0BA" w14:textId="77777777" w:rsidR="00E61AF9" w:rsidRPr="00E61AF9" w:rsidRDefault="00E61AF9" w:rsidP="00200D91">
            <w:pPr>
              <w:spacing w:line="240" w:lineRule="atLeast"/>
              <w:jc w:val="right"/>
              <w:rPr>
                <w:rFonts w:ascii="Tahoma" w:hAnsi="Tahoma"/>
                <w:color w:val="000000" w:themeColor="text1"/>
                <w:sz w:val="16"/>
                <w:lang w:val="en-GB"/>
              </w:rPr>
            </w:pPr>
            <w:r w:rsidRPr="00E61AF9">
              <w:rPr>
                <w:rFonts w:ascii="Tahoma" w:hAnsi="Tahoma"/>
                <w:color w:val="000000" w:themeColor="text1"/>
                <w:sz w:val="16"/>
                <w:lang w:val="en-GB"/>
              </w:rPr>
              <w:t>%</w:t>
            </w:r>
          </w:p>
          <w:p w14:paraId="4E942326" w14:textId="77777777" w:rsidR="00E61AF9" w:rsidRPr="00E61AF9" w:rsidRDefault="00E61AF9" w:rsidP="00200D91">
            <w:pPr>
              <w:spacing w:line="240" w:lineRule="atLeast"/>
              <w:jc w:val="right"/>
              <w:rPr>
                <w:rFonts w:ascii="Tahoma" w:hAnsi="Tahoma"/>
                <w:color w:val="000000" w:themeColor="text1"/>
                <w:sz w:val="16"/>
                <w:lang w:val="en-GB"/>
              </w:rPr>
            </w:pPr>
            <w:r w:rsidRPr="00E61AF9">
              <w:rPr>
                <w:rFonts w:ascii="Tahoma" w:hAnsi="Tahoma"/>
                <w:color w:val="000000" w:themeColor="text1"/>
                <w:sz w:val="16"/>
                <w:lang w:val="en-GB"/>
              </w:rPr>
              <w:t>change</w:t>
            </w:r>
          </w:p>
        </w:tc>
        <w:tc>
          <w:tcPr>
            <w:tcW w:w="1134" w:type="dxa"/>
            <w:tcBorders>
              <w:bottom w:val="single" w:sz="12" w:space="0" w:color="auto"/>
            </w:tcBorders>
            <w:shd w:val="clear" w:color="auto" w:fill="auto"/>
            <w:tcMar>
              <w:top w:w="113" w:type="dxa"/>
              <w:left w:w="0" w:type="dxa"/>
              <w:bottom w:w="113" w:type="dxa"/>
              <w:right w:w="0" w:type="dxa"/>
            </w:tcMar>
            <w:vAlign w:val="bottom"/>
          </w:tcPr>
          <w:p w14:paraId="24155202" w14:textId="77777777" w:rsidR="00E61AF9" w:rsidRPr="00E61AF9" w:rsidRDefault="00E61AF9" w:rsidP="00BA7BA6">
            <w:pPr>
              <w:spacing w:line="240" w:lineRule="atLeast"/>
              <w:ind w:right="113"/>
              <w:jc w:val="right"/>
              <w:rPr>
                <w:rFonts w:ascii="Tahoma" w:hAnsi="Tahoma"/>
                <w:color w:val="000000" w:themeColor="text1"/>
                <w:sz w:val="16"/>
                <w:lang w:val="en-GB"/>
              </w:rPr>
            </w:pPr>
            <w:r w:rsidRPr="00E61AF9">
              <w:rPr>
                <w:rFonts w:ascii="Tahoma" w:hAnsi="Tahoma"/>
                <w:color w:val="000000" w:themeColor="text1"/>
                <w:sz w:val="16"/>
                <w:lang w:val="en-GB"/>
              </w:rPr>
              <w:t>2022</w:t>
            </w:r>
          </w:p>
          <w:p w14:paraId="60F7CB1A" w14:textId="77777777" w:rsidR="00E61AF9" w:rsidRPr="00E61AF9" w:rsidRDefault="00E61AF9" w:rsidP="00BA7BA6">
            <w:pPr>
              <w:spacing w:line="240" w:lineRule="atLeast"/>
              <w:ind w:right="113"/>
              <w:jc w:val="right"/>
              <w:rPr>
                <w:rFonts w:ascii="Tahoma" w:hAnsi="Tahoma"/>
                <w:color w:val="000000" w:themeColor="text1"/>
                <w:sz w:val="16"/>
                <w:lang w:val="en-GB"/>
              </w:rPr>
            </w:pPr>
            <w:proofErr w:type="spellStart"/>
            <w:r w:rsidRPr="00E61AF9">
              <w:rPr>
                <w:rFonts w:ascii="Tahoma" w:hAnsi="Tahoma"/>
                <w:color w:val="000000" w:themeColor="text1"/>
                <w:sz w:val="16"/>
                <w:lang w:val="en-GB"/>
              </w:rPr>
              <w:t>US$’m</w:t>
            </w:r>
            <w:proofErr w:type="spellEnd"/>
          </w:p>
        </w:tc>
      </w:tr>
      <w:tr w:rsidR="00615190" w:rsidRPr="00E61AF9" w14:paraId="38EB94B4" w14:textId="77777777" w:rsidTr="0038251B">
        <w:trPr>
          <w:trHeight w:val="60"/>
        </w:trPr>
        <w:tc>
          <w:tcPr>
            <w:tcW w:w="397" w:type="dxa"/>
            <w:shd w:val="clear" w:color="auto" w:fill="auto"/>
            <w:tcMar>
              <w:top w:w="142" w:type="dxa"/>
              <w:left w:w="0" w:type="dxa"/>
              <w:bottom w:w="57" w:type="dxa"/>
              <w:right w:w="0" w:type="dxa"/>
            </w:tcMar>
            <w:vAlign w:val="bottom"/>
          </w:tcPr>
          <w:p w14:paraId="74C3AA63" w14:textId="77777777" w:rsidR="00E61AF9" w:rsidRPr="00E61AF9" w:rsidRDefault="00E61AF9" w:rsidP="00615190">
            <w:pPr>
              <w:spacing w:line="240" w:lineRule="atLeast"/>
              <w:rPr>
                <w:rFonts w:ascii="Tahoma" w:hAnsi="Tahoma"/>
                <w:color w:val="000000" w:themeColor="text1"/>
                <w:sz w:val="16"/>
                <w:lang w:val="en-GB"/>
              </w:rPr>
            </w:pPr>
          </w:p>
        </w:tc>
        <w:tc>
          <w:tcPr>
            <w:tcW w:w="5273" w:type="dxa"/>
            <w:tcBorders>
              <w:top w:val="single" w:sz="12" w:space="0" w:color="auto"/>
            </w:tcBorders>
            <w:shd w:val="clear" w:color="auto" w:fill="auto"/>
            <w:tcMar>
              <w:top w:w="142" w:type="dxa"/>
              <w:left w:w="0" w:type="dxa"/>
              <w:bottom w:w="57" w:type="dxa"/>
              <w:right w:w="0" w:type="dxa"/>
            </w:tcMar>
            <w:vAlign w:val="bottom"/>
          </w:tcPr>
          <w:p w14:paraId="116C910D" w14:textId="77777777" w:rsidR="00E61AF9" w:rsidRPr="00E61AF9" w:rsidRDefault="00E61AF9" w:rsidP="00615190">
            <w:pPr>
              <w:spacing w:line="240" w:lineRule="atLeast"/>
              <w:rPr>
                <w:rFonts w:ascii="Tahoma" w:hAnsi="Tahoma"/>
                <w:color w:val="000000" w:themeColor="text1"/>
                <w:sz w:val="16"/>
                <w:lang w:val="en-GB"/>
              </w:rPr>
            </w:pPr>
            <w:r w:rsidRPr="00E61AF9">
              <w:rPr>
                <w:rFonts w:ascii="Tahoma" w:hAnsi="Tahoma"/>
                <w:color w:val="000000" w:themeColor="text1"/>
                <w:sz w:val="16"/>
                <w:lang w:val="en-GB"/>
              </w:rPr>
              <w:t>Continuing operations</w:t>
            </w:r>
          </w:p>
        </w:tc>
        <w:tc>
          <w:tcPr>
            <w:tcW w:w="1134" w:type="dxa"/>
            <w:tcBorders>
              <w:top w:val="single" w:sz="12" w:space="0" w:color="auto"/>
            </w:tcBorders>
            <w:shd w:val="clear" w:color="auto" w:fill="auto"/>
            <w:tcMar>
              <w:top w:w="142" w:type="dxa"/>
              <w:left w:w="0" w:type="dxa"/>
              <w:bottom w:w="57" w:type="dxa"/>
              <w:right w:w="0" w:type="dxa"/>
            </w:tcMar>
            <w:vAlign w:val="bottom"/>
          </w:tcPr>
          <w:p w14:paraId="0D056795" w14:textId="77777777" w:rsidR="00E61AF9" w:rsidRPr="00E61AF9" w:rsidRDefault="00E61AF9" w:rsidP="00200D91">
            <w:pPr>
              <w:spacing w:line="240" w:lineRule="atLeast"/>
              <w:jc w:val="right"/>
              <w:rPr>
                <w:rFonts w:ascii="Tahoma" w:hAnsi="Tahoma"/>
                <w:b/>
                <w:bCs/>
                <w:color w:val="000000" w:themeColor="text1"/>
                <w:sz w:val="16"/>
                <w:lang w:val="en-GB"/>
              </w:rPr>
            </w:pPr>
          </w:p>
        </w:tc>
        <w:tc>
          <w:tcPr>
            <w:tcW w:w="1134" w:type="dxa"/>
            <w:tcBorders>
              <w:top w:val="single" w:sz="12" w:space="0" w:color="auto"/>
            </w:tcBorders>
            <w:shd w:val="clear" w:color="auto" w:fill="auto"/>
            <w:tcMar>
              <w:top w:w="142" w:type="dxa"/>
              <w:left w:w="0" w:type="dxa"/>
              <w:bottom w:w="57" w:type="dxa"/>
              <w:right w:w="0" w:type="dxa"/>
            </w:tcMar>
            <w:vAlign w:val="bottom"/>
          </w:tcPr>
          <w:p w14:paraId="23637A06" w14:textId="77777777" w:rsidR="00E61AF9" w:rsidRPr="00E61AF9" w:rsidRDefault="00E61AF9" w:rsidP="00200D91">
            <w:pPr>
              <w:spacing w:line="240" w:lineRule="atLeast"/>
              <w:jc w:val="right"/>
              <w:rPr>
                <w:rFonts w:ascii="Tahoma" w:hAnsi="Tahoma"/>
                <w:color w:val="000000" w:themeColor="text1"/>
                <w:sz w:val="16"/>
                <w:lang w:val="en-GB"/>
              </w:rPr>
            </w:pPr>
          </w:p>
        </w:tc>
        <w:tc>
          <w:tcPr>
            <w:tcW w:w="1134" w:type="dxa"/>
            <w:tcBorders>
              <w:top w:val="single" w:sz="12" w:space="0" w:color="auto"/>
            </w:tcBorders>
            <w:shd w:val="clear" w:color="auto" w:fill="auto"/>
            <w:tcMar>
              <w:top w:w="142" w:type="dxa"/>
              <w:left w:w="0" w:type="dxa"/>
              <w:bottom w:w="57" w:type="dxa"/>
              <w:right w:w="0" w:type="dxa"/>
            </w:tcMar>
            <w:vAlign w:val="bottom"/>
          </w:tcPr>
          <w:p w14:paraId="3A4D092E" w14:textId="77777777" w:rsidR="00E61AF9" w:rsidRPr="00E61AF9" w:rsidRDefault="00E61AF9" w:rsidP="00200D91">
            <w:pPr>
              <w:spacing w:line="240" w:lineRule="atLeast"/>
              <w:jc w:val="right"/>
              <w:rPr>
                <w:rFonts w:ascii="Tahoma" w:hAnsi="Tahoma"/>
                <w:color w:val="000000" w:themeColor="text1"/>
                <w:sz w:val="16"/>
                <w:lang w:val="en-GB"/>
              </w:rPr>
            </w:pPr>
          </w:p>
        </w:tc>
        <w:tc>
          <w:tcPr>
            <w:tcW w:w="1134" w:type="dxa"/>
            <w:tcBorders>
              <w:top w:val="single" w:sz="12" w:space="0" w:color="auto"/>
            </w:tcBorders>
            <w:shd w:val="clear" w:color="auto" w:fill="auto"/>
            <w:tcMar>
              <w:top w:w="142" w:type="dxa"/>
              <w:left w:w="0" w:type="dxa"/>
              <w:bottom w:w="57" w:type="dxa"/>
              <w:right w:w="0" w:type="dxa"/>
            </w:tcMar>
            <w:vAlign w:val="bottom"/>
          </w:tcPr>
          <w:p w14:paraId="3865EAC0" w14:textId="77777777" w:rsidR="00E61AF9" w:rsidRPr="00E61AF9" w:rsidRDefault="00E61AF9" w:rsidP="00BA7BA6">
            <w:pPr>
              <w:spacing w:line="240" w:lineRule="atLeast"/>
              <w:ind w:right="113"/>
              <w:jc w:val="right"/>
              <w:rPr>
                <w:rFonts w:ascii="Tahoma" w:hAnsi="Tahoma"/>
                <w:color w:val="000000" w:themeColor="text1"/>
                <w:sz w:val="16"/>
                <w:lang w:val="en-GB"/>
              </w:rPr>
            </w:pPr>
          </w:p>
        </w:tc>
      </w:tr>
      <w:tr w:rsidR="00615190" w:rsidRPr="00E61AF9" w14:paraId="4819D905" w14:textId="77777777" w:rsidTr="0020228D">
        <w:trPr>
          <w:trHeight w:val="60"/>
        </w:trPr>
        <w:tc>
          <w:tcPr>
            <w:tcW w:w="397" w:type="dxa"/>
            <w:shd w:val="clear" w:color="auto" w:fill="auto"/>
            <w:tcMar>
              <w:top w:w="57" w:type="dxa"/>
              <w:left w:w="0" w:type="dxa"/>
              <w:bottom w:w="57" w:type="dxa"/>
              <w:right w:w="0" w:type="dxa"/>
            </w:tcMar>
            <w:vAlign w:val="bottom"/>
          </w:tcPr>
          <w:p w14:paraId="40B485C6" w14:textId="77777777" w:rsidR="00E61AF9" w:rsidRPr="00E61AF9" w:rsidRDefault="00E61AF9" w:rsidP="00615190">
            <w:pPr>
              <w:spacing w:line="240" w:lineRule="atLeast"/>
              <w:rPr>
                <w:rFonts w:ascii="Tahoma" w:hAnsi="Tahoma"/>
                <w:color w:val="000000" w:themeColor="text1"/>
                <w:sz w:val="16"/>
                <w:lang w:val="en-GB"/>
              </w:rPr>
            </w:pPr>
          </w:p>
        </w:tc>
        <w:tc>
          <w:tcPr>
            <w:tcW w:w="5273" w:type="dxa"/>
            <w:shd w:val="clear" w:color="auto" w:fill="auto"/>
            <w:tcMar>
              <w:top w:w="57" w:type="dxa"/>
              <w:left w:w="0" w:type="dxa"/>
              <w:bottom w:w="57" w:type="dxa"/>
              <w:right w:w="0" w:type="dxa"/>
            </w:tcMar>
            <w:vAlign w:val="bottom"/>
          </w:tcPr>
          <w:p w14:paraId="687CC23C" w14:textId="77777777" w:rsidR="00E61AF9" w:rsidRPr="00E61AF9" w:rsidRDefault="00E61AF9" w:rsidP="00615190">
            <w:pPr>
              <w:spacing w:line="240" w:lineRule="atLeast"/>
              <w:rPr>
                <w:rFonts w:ascii="Tahoma" w:hAnsi="Tahoma"/>
                <w:i/>
                <w:iCs/>
                <w:color w:val="000000" w:themeColor="text1"/>
                <w:sz w:val="16"/>
                <w:lang w:val="en-GB"/>
              </w:rPr>
            </w:pPr>
            <w:r w:rsidRPr="00E61AF9">
              <w:rPr>
                <w:rFonts w:ascii="Tahoma" w:hAnsi="Tahoma"/>
                <w:i/>
                <w:iCs/>
                <w:color w:val="000000" w:themeColor="text1"/>
                <w:sz w:val="16"/>
                <w:lang w:val="en-GB"/>
              </w:rPr>
              <w:t>Ecommerce</w:t>
            </w:r>
          </w:p>
        </w:tc>
        <w:tc>
          <w:tcPr>
            <w:tcW w:w="1134" w:type="dxa"/>
            <w:tcBorders>
              <w:bottom w:val="single" w:sz="4" w:space="0" w:color="auto"/>
            </w:tcBorders>
            <w:shd w:val="clear" w:color="auto" w:fill="auto"/>
            <w:tcMar>
              <w:top w:w="57" w:type="dxa"/>
              <w:left w:w="0" w:type="dxa"/>
              <w:bottom w:w="57" w:type="dxa"/>
              <w:right w:w="0" w:type="dxa"/>
            </w:tcMar>
            <w:vAlign w:val="bottom"/>
          </w:tcPr>
          <w:p w14:paraId="153478AD" w14:textId="77777777" w:rsidR="00E61AF9" w:rsidRPr="00E61AF9" w:rsidRDefault="00E61AF9" w:rsidP="00200D91">
            <w:pPr>
              <w:spacing w:line="240" w:lineRule="atLeast"/>
              <w:jc w:val="right"/>
              <w:rPr>
                <w:rFonts w:ascii="Tahoma" w:hAnsi="Tahoma"/>
                <w:b/>
                <w:bCs/>
                <w:color w:val="000000" w:themeColor="text1"/>
                <w:sz w:val="16"/>
                <w:lang w:val="en-GB"/>
              </w:rPr>
            </w:pPr>
            <w:r w:rsidRPr="00E61AF9">
              <w:rPr>
                <w:rFonts w:ascii="Tahoma" w:hAnsi="Tahoma"/>
                <w:b/>
                <w:bCs/>
                <w:color w:val="000000" w:themeColor="text1"/>
                <w:sz w:val="16"/>
                <w:lang w:val="en-GB"/>
              </w:rPr>
              <w:t>(879)</w:t>
            </w:r>
          </w:p>
        </w:tc>
        <w:tc>
          <w:tcPr>
            <w:tcW w:w="1134" w:type="dxa"/>
            <w:tcBorders>
              <w:bottom w:val="single" w:sz="4" w:space="0" w:color="auto"/>
            </w:tcBorders>
            <w:shd w:val="clear" w:color="auto" w:fill="auto"/>
            <w:tcMar>
              <w:top w:w="57" w:type="dxa"/>
              <w:left w:w="0" w:type="dxa"/>
              <w:bottom w:w="57" w:type="dxa"/>
              <w:right w:w="0" w:type="dxa"/>
            </w:tcMar>
            <w:vAlign w:val="bottom"/>
          </w:tcPr>
          <w:p w14:paraId="19064883" w14:textId="77777777" w:rsidR="00E61AF9" w:rsidRPr="00E61AF9" w:rsidRDefault="00E61AF9" w:rsidP="00200D91">
            <w:pPr>
              <w:spacing w:line="240" w:lineRule="atLeast"/>
              <w:jc w:val="right"/>
              <w:rPr>
                <w:rFonts w:ascii="Tahoma" w:hAnsi="Tahoma"/>
                <w:color w:val="000000" w:themeColor="text1"/>
                <w:sz w:val="16"/>
                <w:lang w:val="en-GB"/>
              </w:rPr>
            </w:pPr>
            <w:r w:rsidRPr="00E61AF9">
              <w:rPr>
                <w:rFonts w:ascii="Tahoma" w:hAnsi="Tahoma"/>
                <w:color w:val="000000" w:themeColor="text1"/>
                <w:sz w:val="16"/>
                <w:lang w:val="en-GB"/>
              </w:rPr>
              <w:t>(439)</w:t>
            </w:r>
          </w:p>
        </w:tc>
        <w:tc>
          <w:tcPr>
            <w:tcW w:w="1134" w:type="dxa"/>
            <w:tcBorders>
              <w:bottom w:val="single" w:sz="4" w:space="0" w:color="auto"/>
            </w:tcBorders>
            <w:shd w:val="clear" w:color="auto" w:fill="auto"/>
            <w:tcMar>
              <w:top w:w="57" w:type="dxa"/>
              <w:left w:w="0" w:type="dxa"/>
              <w:bottom w:w="57" w:type="dxa"/>
              <w:right w:w="0" w:type="dxa"/>
            </w:tcMar>
            <w:vAlign w:val="bottom"/>
          </w:tcPr>
          <w:p w14:paraId="21187DE4" w14:textId="77777777" w:rsidR="00E61AF9" w:rsidRPr="00E61AF9" w:rsidRDefault="00E61AF9" w:rsidP="00200D91">
            <w:pPr>
              <w:spacing w:line="240" w:lineRule="atLeast"/>
              <w:jc w:val="right"/>
              <w:rPr>
                <w:rFonts w:ascii="Tahoma" w:hAnsi="Tahoma"/>
                <w:color w:val="000000" w:themeColor="text1"/>
                <w:sz w:val="16"/>
                <w:lang w:val="en-GB"/>
              </w:rPr>
            </w:pPr>
            <w:r w:rsidRPr="00E61AF9">
              <w:rPr>
                <w:rFonts w:ascii="Tahoma" w:hAnsi="Tahoma"/>
                <w:color w:val="000000" w:themeColor="text1"/>
                <w:sz w:val="16"/>
                <w:lang w:val="en-GB"/>
              </w:rPr>
              <w:t>(100)</w:t>
            </w:r>
          </w:p>
        </w:tc>
        <w:tc>
          <w:tcPr>
            <w:tcW w:w="1134" w:type="dxa"/>
            <w:tcBorders>
              <w:bottom w:val="single" w:sz="4" w:space="0" w:color="auto"/>
            </w:tcBorders>
            <w:shd w:val="clear" w:color="auto" w:fill="auto"/>
            <w:tcMar>
              <w:top w:w="57" w:type="dxa"/>
              <w:left w:w="0" w:type="dxa"/>
              <w:bottom w:w="57" w:type="dxa"/>
              <w:right w:w="0" w:type="dxa"/>
            </w:tcMar>
            <w:vAlign w:val="bottom"/>
          </w:tcPr>
          <w:p w14:paraId="43A2656D" w14:textId="77777777" w:rsidR="00E61AF9" w:rsidRPr="00E61AF9" w:rsidRDefault="00E61AF9" w:rsidP="00BA7BA6">
            <w:pPr>
              <w:spacing w:line="240" w:lineRule="atLeast"/>
              <w:ind w:right="113"/>
              <w:jc w:val="right"/>
              <w:rPr>
                <w:rFonts w:ascii="Tahoma" w:hAnsi="Tahoma"/>
                <w:color w:val="000000" w:themeColor="text1"/>
                <w:sz w:val="16"/>
                <w:lang w:val="en-GB"/>
              </w:rPr>
            </w:pPr>
            <w:r w:rsidRPr="00E61AF9">
              <w:rPr>
                <w:rFonts w:ascii="Tahoma" w:hAnsi="Tahoma"/>
                <w:color w:val="000000" w:themeColor="text1"/>
                <w:sz w:val="16"/>
                <w:lang w:val="en-GB"/>
              </w:rPr>
              <w:t>(1 135)</w:t>
            </w:r>
          </w:p>
        </w:tc>
      </w:tr>
      <w:tr w:rsidR="00615190" w:rsidRPr="00E61AF9" w14:paraId="61424734" w14:textId="77777777" w:rsidTr="0020228D">
        <w:trPr>
          <w:trHeight w:val="60"/>
        </w:trPr>
        <w:tc>
          <w:tcPr>
            <w:tcW w:w="397" w:type="dxa"/>
            <w:shd w:val="clear" w:color="auto" w:fill="auto"/>
            <w:tcMar>
              <w:top w:w="57" w:type="dxa"/>
              <w:left w:w="0" w:type="dxa"/>
              <w:bottom w:w="57" w:type="dxa"/>
              <w:right w:w="0" w:type="dxa"/>
            </w:tcMar>
            <w:vAlign w:val="bottom"/>
          </w:tcPr>
          <w:p w14:paraId="22A7672A" w14:textId="77777777" w:rsidR="00E61AF9" w:rsidRPr="00E61AF9" w:rsidRDefault="00E61AF9" w:rsidP="00615190">
            <w:pPr>
              <w:spacing w:line="240" w:lineRule="atLeast"/>
              <w:rPr>
                <w:rFonts w:ascii="Tahoma" w:hAnsi="Tahoma"/>
                <w:color w:val="000000" w:themeColor="text1"/>
                <w:sz w:val="16"/>
                <w:lang w:val="en-GB"/>
              </w:rPr>
            </w:pPr>
          </w:p>
        </w:tc>
        <w:tc>
          <w:tcPr>
            <w:tcW w:w="5273" w:type="dxa"/>
            <w:tcBorders>
              <w:right w:val="single" w:sz="4" w:space="0" w:color="auto"/>
            </w:tcBorders>
            <w:shd w:val="clear" w:color="auto" w:fill="auto"/>
            <w:tcMar>
              <w:top w:w="57" w:type="dxa"/>
              <w:left w:w="113" w:type="dxa"/>
              <w:bottom w:w="57" w:type="dxa"/>
              <w:right w:w="0" w:type="dxa"/>
            </w:tcMar>
            <w:vAlign w:val="bottom"/>
          </w:tcPr>
          <w:p w14:paraId="0B2D81A4" w14:textId="77777777" w:rsidR="00E61AF9" w:rsidRPr="00E61AF9" w:rsidRDefault="00E61AF9" w:rsidP="00615190">
            <w:pPr>
              <w:spacing w:line="240" w:lineRule="atLeast"/>
              <w:rPr>
                <w:rFonts w:ascii="Tahoma" w:hAnsi="Tahoma"/>
                <w:color w:val="000000" w:themeColor="text1"/>
                <w:sz w:val="16"/>
                <w:lang w:val="en-GB"/>
              </w:rPr>
            </w:pPr>
            <w:r w:rsidRPr="00E61AF9">
              <w:rPr>
                <w:rFonts w:ascii="Tahoma" w:hAnsi="Tahoma"/>
                <w:color w:val="000000" w:themeColor="text1"/>
                <w:sz w:val="16"/>
                <w:lang w:val="en-GB"/>
              </w:rPr>
              <w:t>Classifieds</w:t>
            </w:r>
            <w:r w:rsidRPr="00E61AF9">
              <w:rPr>
                <w:rFonts w:ascii="Tahoma" w:hAnsi="Tahoma"/>
                <w:color w:val="000000" w:themeColor="text1"/>
                <w:sz w:val="16"/>
                <w:vertAlign w:val="superscript"/>
                <w:lang w:val="en-GB"/>
              </w:rPr>
              <w:t>1</w:t>
            </w:r>
          </w:p>
        </w:tc>
        <w:tc>
          <w:tcPr>
            <w:tcW w:w="1134" w:type="dxa"/>
            <w:tcBorders>
              <w:top w:val="single" w:sz="4" w:space="0" w:color="auto"/>
              <w:left w:val="single" w:sz="4" w:space="0" w:color="auto"/>
            </w:tcBorders>
            <w:shd w:val="clear" w:color="auto" w:fill="auto"/>
            <w:tcMar>
              <w:top w:w="57" w:type="dxa"/>
              <w:left w:w="0" w:type="dxa"/>
              <w:bottom w:w="57" w:type="dxa"/>
              <w:right w:w="0" w:type="dxa"/>
            </w:tcMar>
            <w:vAlign w:val="bottom"/>
          </w:tcPr>
          <w:p w14:paraId="6BD319B6" w14:textId="77777777" w:rsidR="00E61AF9" w:rsidRPr="00E61AF9" w:rsidRDefault="00E61AF9" w:rsidP="00200D91">
            <w:pPr>
              <w:spacing w:line="240" w:lineRule="atLeast"/>
              <w:jc w:val="right"/>
              <w:rPr>
                <w:rFonts w:ascii="Tahoma" w:hAnsi="Tahoma"/>
                <w:b/>
                <w:bCs/>
                <w:color w:val="000000" w:themeColor="text1"/>
                <w:sz w:val="16"/>
                <w:lang w:val="en-GB"/>
              </w:rPr>
            </w:pPr>
            <w:r w:rsidRPr="00E61AF9">
              <w:rPr>
                <w:rFonts w:ascii="Tahoma" w:hAnsi="Tahoma"/>
                <w:b/>
                <w:bCs/>
                <w:color w:val="000000" w:themeColor="text1"/>
                <w:sz w:val="16"/>
                <w:lang w:val="en-GB"/>
              </w:rPr>
              <w:t>(133)</w:t>
            </w:r>
          </w:p>
        </w:tc>
        <w:tc>
          <w:tcPr>
            <w:tcW w:w="1134" w:type="dxa"/>
            <w:tcBorders>
              <w:top w:val="single" w:sz="4" w:space="0" w:color="auto"/>
            </w:tcBorders>
            <w:shd w:val="clear" w:color="auto" w:fill="auto"/>
            <w:tcMar>
              <w:top w:w="57" w:type="dxa"/>
              <w:left w:w="0" w:type="dxa"/>
              <w:bottom w:w="57" w:type="dxa"/>
              <w:right w:w="0" w:type="dxa"/>
            </w:tcMar>
            <w:vAlign w:val="bottom"/>
          </w:tcPr>
          <w:p w14:paraId="1C8E509B" w14:textId="77777777" w:rsidR="00E61AF9" w:rsidRPr="00E61AF9" w:rsidRDefault="00E61AF9" w:rsidP="00200D91">
            <w:pPr>
              <w:spacing w:line="240" w:lineRule="atLeast"/>
              <w:jc w:val="right"/>
              <w:rPr>
                <w:rFonts w:ascii="Tahoma" w:hAnsi="Tahoma"/>
                <w:color w:val="000000" w:themeColor="text1"/>
                <w:sz w:val="16"/>
                <w:lang w:val="en-GB"/>
              </w:rPr>
            </w:pPr>
            <w:r w:rsidRPr="00E61AF9">
              <w:rPr>
                <w:rFonts w:ascii="Tahoma" w:hAnsi="Tahoma"/>
                <w:color w:val="000000" w:themeColor="text1"/>
                <w:sz w:val="16"/>
                <w:lang w:val="en-GB"/>
              </w:rPr>
              <w:t>(22)</w:t>
            </w:r>
          </w:p>
        </w:tc>
        <w:tc>
          <w:tcPr>
            <w:tcW w:w="1134" w:type="dxa"/>
            <w:tcBorders>
              <w:top w:val="single" w:sz="4" w:space="0" w:color="auto"/>
            </w:tcBorders>
            <w:shd w:val="clear" w:color="auto" w:fill="auto"/>
            <w:tcMar>
              <w:top w:w="57" w:type="dxa"/>
              <w:left w:w="0" w:type="dxa"/>
              <w:bottom w:w="57" w:type="dxa"/>
              <w:right w:w="0" w:type="dxa"/>
            </w:tcMar>
            <w:vAlign w:val="bottom"/>
          </w:tcPr>
          <w:p w14:paraId="1AB71CF5" w14:textId="77777777" w:rsidR="00E61AF9" w:rsidRPr="00E61AF9" w:rsidRDefault="00E61AF9" w:rsidP="00200D91">
            <w:pPr>
              <w:spacing w:line="240" w:lineRule="atLeast"/>
              <w:jc w:val="right"/>
              <w:rPr>
                <w:rFonts w:ascii="Tahoma" w:hAnsi="Tahoma"/>
                <w:color w:val="000000" w:themeColor="text1"/>
                <w:sz w:val="16"/>
                <w:lang w:val="en-GB"/>
              </w:rPr>
            </w:pPr>
            <w:proofErr w:type="gramStart"/>
            <w:r w:rsidRPr="00E61AF9">
              <w:rPr>
                <w:rFonts w:ascii="Tahoma" w:hAnsi="Tahoma"/>
                <w:color w:val="000000" w:themeColor="text1"/>
                <w:sz w:val="16"/>
                <w:lang w:val="en-GB"/>
              </w:rPr>
              <w:t>&gt;(</w:t>
            </w:r>
            <w:proofErr w:type="gramEnd"/>
            <w:r w:rsidRPr="00E61AF9">
              <w:rPr>
                <w:rFonts w:ascii="Tahoma" w:hAnsi="Tahoma"/>
                <w:color w:val="000000" w:themeColor="text1"/>
                <w:sz w:val="16"/>
                <w:lang w:val="en-GB"/>
              </w:rPr>
              <w:t>100)</w:t>
            </w:r>
          </w:p>
        </w:tc>
        <w:tc>
          <w:tcPr>
            <w:tcW w:w="1134" w:type="dxa"/>
            <w:tcBorders>
              <w:top w:val="single" w:sz="4" w:space="0" w:color="auto"/>
              <w:right w:val="single" w:sz="4" w:space="0" w:color="auto"/>
            </w:tcBorders>
            <w:shd w:val="clear" w:color="auto" w:fill="auto"/>
            <w:tcMar>
              <w:top w:w="57" w:type="dxa"/>
              <w:left w:w="0" w:type="dxa"/>
              <w:bottom w:w="57" w:type="dxa"/>
              <w:right w:w="0" w:type="dxa"/>
            </w:tcMar>
            <w:vAlign w:val="bottom"/>
          </w:tcPr>
          <w:p w14:paraId="7DDEA3E3" w14:textId="77777777" w:rsidR="00E61AF9" w:rsidRPr="00E61AF9" w:rsidRDefault="00E61AF9" w:rsidP="00BA7BA6">
            <w:pPr>
              <w:spacing w:line="240" w:lineRule="atLeast"/>
              <w:ind w:right="113"/>
              <w:jc w:val="right"/>
              <w:rPr>
                <w:rFonts w:ascii="Tahoma" w:hAnsi="Tahoma"/>
                <w:color w:val="000000" w:themeColor="text1"/>
                <w:sz w:val="16"/>
                <w:lang w:val="en-GB"/>
              </w:rPr>
            </w:pPr>
            <w:r w:rsidRPr="00E61AF9">
              <w:rPr>
                <w:rFonts w:ascii="Tahoma" w:hAnsi="Tahoma"/>
                <w:color w:val="000000" w:themeColor="text1"/>
                <w:sz w:val="16"/>
                <w:lang w:val="en-GB"/>
              </w:rPr>
              <w:t>(150)</w:t>
            </w:r>
          </w:p>
        </w:tc>
      </w:tr>
      <w:tr w:rsidR="00615190" w:rsidRPr="00E61AF9" w14:paraId="1FCBAC1E" w14:textId="77777777" w:rsidTr="0020228D">
        <w:trPr>
          <w:trHeight w:val="60"/>
        </w:trPr>
        <w:tc>
          <w:tcPr>
            <w:tcW w:w="397" w:type="dxa"/>
            <w:shd w:val="clear" w:color="auto" w:fill="auto"/>
            <w:tcMar>
              <w:top w:w="57" w:type="dxa"/>
              <w:left w:w="0" w:type="dxa"/>
              <w:bottom w:w="57" w:type="dxa"/>
              <w:right w:w="0" w:type="dxa"/>
            </w:tcMar>
            <w:vAlign w:val="bottom"/>
          </w:tcPr>
          <w:p w14:paraId="46B28CF4" w14:textId="77777777" w:rsidR="00E61AF9" w:rsidRPr="00E61AF9" w:rsidRDefault="00E61AF9" w:rsidP="00615190">
            <w:pPr>
              <w:spacing w:line="240" w:lineRule="atLeast"/>
              <w:rPr>
                <w:rFonts w:ascii="Tahoma" w:hAnsi="Tahoma"/>
                <w:color w:val="000000" w:themeColor="text1"/>
                <w:sz w:val="16"/>
                <w:lang w:val="en-GB"/>
              </w:rPr>
            </w:pPr>
          </w:p>
        </w:tc>
        <w:tc>
          <w:tcPr>
            <w:tcW w:w="5273" w:type="dxa"/>
            <w:tcBorders>
              <w:right w:val="single" w:sz="4" w:space="0" w:color="auto"/>
            </w:tcBorders>
            <w:shd w:val="clear" w:color="auto" w:fill="auto"/>
            <w:tcMar>
              <w:top w:w="57" w:type="dxa"/>
              <w:left w:w="113" w:type="dxa"/>
              <w:bottom w:w="57" w:type="dxa"/>
              <w:right w:w="0" w:type="dxa"/>
            </w:tcMar>
            <w:vAlign w:val="bottom"/>
          </w:tcPr>
          <w:p w14:paraId="4AD6382B" w14:textId="77777777" w:rsidR="00E61AF9" w:rsidRPr="00E61AF9" w:rsidRDefault="00E61AF9" w:rsidP="00615190">
            <w:pPr>
              <w:spacing w:line="240" w:lineRule="atLeast"/>
              <w:rPr>
                <w:rFonts w:ascii="Tahoma" w:hAnsi="Tahoma"/>
                <w:color w:val="000000" w:themeColor="text1"/>
                <w:sz w:val="16"/>
                <w:lang w:val="en-GB"/>
              </w:rPr>
            </w:pPr>
            <w:r w:rsidRPr="00E61AF9">
              <w:rPr>
                <w:rFonts w:ascii="Tahoma" w:hAnsi="Tahoma"/>
                <w:color w:val="000000" w:themeColor="text1"/>
                <w:sz w:val="16"/>
                <w:lang w:val="en-GB"/>
              </w:rPr>
              <w:t>Food Delivery</w:t>
            </w:r>
          </w:p>
        </w:tc>
        <w:tc>
          <w:tcPr>
            <w:tcW w:w="1134" w:type="dxa"/>
            <w:tcBorders>
              <w:left w:val="single" w:sz="4" w:space="0" w:color="auto"/>
            </w:tcBorders>
            <w:shd w:val="clear" w:color="auto" w:fill="auto"/>
            <w:tcMar>
              <w:top w:w="57" w:type="dxa"/>
              <w:left w:w="0" w:type="dxa"/>
              <w:bottom w:w="57" w:type="dxa"/>
              <w:right w:w="0" w:type="dxa"/>
            </w:tcMar>
            <w:vAlign w:val="bottom"/>
          </w:tcPr>
          <w:p w14:paraId="1735A70F" w14:textId="77777777" w:rsidR="00E61AF9" w:rsidRPr="00E61AF9" w:rsidRDefault="00E61AF9" w:rsidP="00200D91">
            <w:pPr>
              <w:spacing w:line="240" w:lineRule="atLeast"/>
              <w:jc w:val="right"/>
              <w:rPr>
                <w:rFonts w:ascii="Tahoma" w:hAnsi="Tahoma"/>
                <w:b/>
                <w:bCs/>
                <w:color w:val="000000" w:themeColor="text1"/>
                <w:sz w:val="16"/>
                <w:lang w:val="en-GB"/>
              </w:rPr>
            </w:pPr>
            <w:r w:rsidRPr="00E61AF9">
              <w:rPr>
                <w:rFonts w:ascii="Tahoma" w:hAnsi="Tahoma"/>
                <w:b/>
                <w:bCs/>
                <w:color w:val="000000" w:themeColor="text1"/>
                <w:sz w:val="16"/>
                <w:lang w:val="en-GB"/>
              </w:rPr>
              <w:t>(333)</w:t>
            </w:r>
          </w:p>
        </w:tc>
        <w:tc>
          <w:tcPr>
            <w:tcW w:w="1134" w:type="dxa"/>
            <w:shd w:val="clear" w:color="auto" w:fill="auto"/>
            <w:tcMar>
              <w:top w:w="57" w:type="dxa"/>
              <w:left w:w="0" w:type="dxa"/>
              <w:bottom w:w="57" w:type="dxa"/>
              <w:right w:w="0" w:type="dxa"/>
            </w:tcMar>
            <w:vAlign w:val="bottom"/>
          </w:tcPr>
          <w:p w14:paraId="0056B156" w14:textId="77777777" w:rsidR="00E61AF9" w:rsidRPr="00E61AF9" w:rsidRDefault="00E61AF9" w:rsidP="00200D91">
            <w:pPr>
              <w:spacing w:line="240" w:lineRule="atLeast"/>
              <w:jc w:val="right"/>
              <w:rPr>
                <w:rFonts w:ascii="Tahoma" w:hAnsi="Tahoma"/>
                <w:color w:val="000000" w:themeColor="text1"/>
                <w:sz w:val="16"/>
                <w:lang w:val="en-GB"/>
              </w:rPr>
            </w:pPr>
            <w:r w:rsidRPr="00E61AF9">
              <w:rPr>
                <w:rFonts w:ascii="Tahoma" w:hAnsi="Tahoma"/>
                <w:color w:val="000000" w:themeColor="text1"/>
                <w:sz w:val="16"/>
                <w:lang w:val="en-GB"/>
              </w:rPr>
              <w:t>(281)</w:t>
            </w:r>
          </w:p>
        </w:tc>
        <w:tc>
          <w:tcPr>
            <w:tcW w:w="1134" w:type="dxa"/>
            <w:shd w:val="clear" w:color="auto" w:fill="auto"/>
            <w:tcMar>
              <w:top w:w="57" w:type="dxa"/>
              <w:left w:w="0" w:type="dxa"/>
              <w:bottom w:w="57" w:type="dxa"/>
              <w:right w:w="0" w:type="dxa"/>
            </w:tcMar>
            <w:vAlign w:val="bottom"/>
          </w:tcPr>
          <w:p w14:paraId="18DDDD47" w14:textId="77777777" w:rsidR="00E61AF9" w:rsidRPr="00E61AF9" w:rsidRDefault="00E61AF9" w:rsidP="00200D91">
            <w:pPr>
              <w:spacing w:line="240" w:lineRule="atLeast"/>
              <w:jc w:val="right"/>
              <w:rPr>
                <w:rFonts w:ascii="Tahoma" w:hAnsi="Tahoma"/>
                <w:color w:val="000000" w:themeColor="text1"/>
                <w:sz w:val="16"/>
                <w:lang w:val="en-GB"/>
              </w:rPr>
            </w:pPr>
            <w:r w:rsidRPr="00E61AF9">
              <w:rPr>
                <w:rFonts w:ascii="Tahoma" w:hAnsi="Tahoma"/>
                <w:color w:val="000000" w:themeColor="text1"/>
                <w:sz w:val="16"/>
                <w:lang w:val="en-GB"/>
              </w:rPr>
              <w:t>(19)</w:t>
            </w:r>
          </w:p>
        </w:tc>
        <w:tc>
          <w:tcPr>
            <w:tcW w:w="1134" w:type="dxa"/>
            <w:tcBorders>
              <w:right w:val="single" w:sz="4" w:space="0" w:color="auto"/>
            </w:tcBorders>
            <w:shd w:val="clear" w:color="auto" w:fill="auto"/>
            <w:tcMar>
              <w:top w:w="57" w:type="dxa"/>
              <w:left w:w="0" w:type="dxa"/>
              <w:bottom w:w="57" w:type="dxa"/>
              <w:right w:w="0" w:type="dxa"/>
            </w:tcMar>
            <w:vAlign w:val="bottom"/>
          </w:tcPr>
          <w:p w14:paraId="127EA6A4" w14:textId="77777777" w:rsidR="00E61AF9" w:rsidRPr="00E61AF9" w:rsidRDefault="00E61AF9" w:rsidP="00BA7BA6">
            <w:pPr>
              <w:spacing w:line="240" w:lineRule="atLeast"/>
              <w:ind w:right="113"/>
              <w:jc w:val="right"/>
              <w:rPr>
                <w:rFonts w:ascii="Tahoma" w:hAnsi="Tahoma"/>
                <w:color w:val="000000" w:themeColor="text1"/>
                <w:sz w:val="16"/>
                <w:lang w:val="en-GB"/>
              </w:rPr>
            </w:pPr>
            <w:r w:rsidRPr="00E61AF9">
              <w:rPr>
                <w:rFonts w:ascii="Tahoma" w:hAnsi="Tahoma"/>
                <w:color w:val="000000" w:themeColor="text1"/>
                <w:sz w:val="16"/>
                <w:lang w:val="en-GB"/>
              </w:rPr>
              <w:t>(651)</w:t>
            </w:r>
          </w:p>
        </w:tc>
      </w:tr>
      <w:tr w:rsidR="00615190" w:rsidRPr="00E61AF9" w14:paraId="3BD46B5E" w14:textId="77777777" w:rsidTr="0020228D">
        <w:trPr>
          <w:trHeight w:val="60"/>
        </w:trPr>
        <w:tc>
          <w:tcPr>
            <w:tcW w:w="397" w:type="dxa"/>
            <w:shd w:val="clear" w:color="auto" w:fill="auto"/>
            <w:tcMar>
              <w:top w:w="57" w:type="dxa"/>
              <w:left w:w="0" w:type="dxa"/>
              <w:bottom w:w="57" w:type="dxa"/>
              <w:right w:w="0" w:type="dxa"/>
            </w:tcMar>
            <w:vAlign w:val="bottom"/>
          </w:tcPr>
          <w:p w14:paraId="6396ABF5" w14:textId="77777777" w:rsidR="00E61AF9" w:rsidRPr="00E61AF9" w:rsidRDefault="00E61AF9" w:rsidP="00615190">
            <w:pPr>
              <w:spacing w:line="240" w:lineRule="atLeast"/>
              <w:rPr>
                <w:rFonts w:ascii="Tahoma" w:hAnsi="Tahoma"/>
                <w:color w:val="000000" w:themeColor="text1"/>
                <w:sz w:val="16"/>
                <w:lang w:val="en-GB"/>
              </w:rPr>
            </w:pPr>
          </w:p>
        </w:tc>
        <w:tc>
          <w:tcPr>
            <w:tcW w:w="5273" w:type="dxa"/>
            <w:tcBorders>
              <w:right w:val="single" w:sz="4" w:space="0" w:color="auto"/>
            </w:tcBorders>
            <w:shd w:val="clear" w:color="auto" w:fill="auto"/>
            <w:tcMar>
              <w:top w:w="57" w:type="dxa"/>
              <w:left w:w="113" w:type="dxa"/>
              <w:bottom w:w="57" w:type="dxa"/>
              <w:right w:w="0" w:type="dxa"/>
            </w:tcMar>
            <w:vAlign w:val="bottom"/>
          </w:tcPr>
          <w:p w14:paraId="264FB6BD" w14:textId="77777777" w:rsidR="00E61AF9" w:rsidRPr="00E61AF9" w:rsidRDefault="00E61AF9" w:rsidP="00615190">
            <w:pPr>
              <w:spacing w:line="240" w:lineRule="atLeast"/>
              <w:rPr>
                <w:rFonts w:ascii="Tahoma" w:hAnsi="Tahoma"/>
                <w:color w:val="000000" w:themeColor="text1"/>
                <w:sz w:val="16"/>
                <w:lang w:val="en-GB"/>
              </w:rPr>
            </w:pPr>
            <w:r w:rsidRPr="00E61AF9">
              <w:rPr>
                <w:rFonts w:ascii="Tahoma" w:hAnsi="Tahoma"/>
                <w:color w:val="000000" w:themeColor="text1"/>
                <w:sz w:val="16"/>
                <w:lang w:val="en-GB"/>
              </w:rPr>
              <w:t>Payments and Fintech</w:t>
            </w:r>
          </w:p>
        </w:tc>
        <w:tc>
          <w:tcPr>
            <w:tcW w:w="1134" w:type="dxa"/>
            <w:tcBorders>
              <w:left w:val="single" w:sz="4" w:space="0" w:color="auto"/>
            </w:tcBorders>
            <w:shd w:val="clear" w:color="auto" w:fill="auto"/>
            <w:tcMar>
              <w:top w:w="57" w:type="dxa"/>
              <w:left w:w="0" w:type="dxa"/>
              <w:bottom w:w="57" w:type="dxa"/>
              <w:right w:w="0" w:type="dxa"/>
            </w:tcMar>
            <w:vAlign w:val="bottom"/>
          </w:tcPr>
          <w:p w14:paraId="5B22373E" w14:textId="77777777" w:rsidR="00E61AF9" w:rsidRPr="00E61AF9" w:rsidRDefault="00E61AF9" w:rsidP="00200D91">
            <w:pPr>
              <w:spacing w:line="240" w:lineRule="atLeast"/>
              <w:jc w:val="right"/>
              <w:rPr>
                <w:rFonts w:ascii="Tahoma" w:hAnsi="Tahoma"/>
                <w:b/>
                <w:bCs/>
                <w:color w:val="000000" w:themeColor="text1"/>
                <w:sz w:val="16"/>
                <w:lang w:val="en-GB"/>
              </w:rPr>
            </w:pPr>
            <w:r w:rsidRPr="00E61AF9">
              <w:rPr>
                <w:rFonts w:ascii="Tahoma" w:hAnsi="Tahoma"/>
                <w:b/>
                <w:bCs/>
                <w:color w:val="000000" w:themeColor="text1"/>
                <w:sz w:val="16"/>
                <w:lang w:val="en-GB"/>
              </w:rPr>
              <w:t>(93)</w:t>
            </w:r>
          </w:p>
        </w:tc>
        <w:tc>
          <w:tcPr>
            <w:tcW w:w="1134" w:type="dxa"/>
            <w:shd w:val="clear" w:color="auto" w:fill="auto"/>
            <w:tcMar>
              <w:top w:w="57" w:type="dxa"/>
              <w:left w:w="0" w:type="dxa"/>
              <w:bottom w:w="57" w:type="dxa"/>
              <w:right w:w="0" w:type="dxa"/>
            </w:tcMar>
            <w:vAlign w:val="bottom"/>
          </w:tcPr>
          <w:p w14:paraId="4AAE2369" w14:textId="77777777" w:rsidR="00E61AF9" w:rsidRPr="00E61AF9" w:rsidRDefault="00E61AF9" w:rsidP="00200D91">
            <w:pPr>
              <w:spacing w:line="240" w:lineRule="atLeast"/>
              <w:jc w:val="right"/>
              <w:rPr>
                <w:rFonts w:ascii="Tahoma" w:hAnsi="Tahoma"/>
                <w:color w:val="000000" w:themeColor="text1"/>
                <w:sz w:val="16"/>
                <w:lang w:val="en-GB"/>
              </w:rPr>
            </w:pPr>
            <w:r w:rsidRPr="00E61AF9">
              <w:rPr>
                <w:rFonts w:ascii="Tahoma" w:hAnsi="Tahoma"/>
                <w:color w:val="000000" w:themeColor="text1"/>
                <w:sz w:val="16"/>
                <w:lang w:val="en-GB"/>
              </w:rPr>
              <w:t>(27)</w:t>
            </w:r>
          </w:p>
        </w:tc>
        <w:tc>
          <w:tcPr>
            <w:tcW w:w="1134" w:type="dxa"/>
            <w:shd w:val="clear" w:color="auto" w:fill="auto"/>
            <w:tcMar>
              <w:top w:w="57" w:type="dxa"/>
              <w:left w:w="0" w:type="dxa"/>
              <w:bottom w:w="57" w:type="dxa"/>
              <w:right w:w="0" w:type="dxa"/>
            </w:tcMar>
            <w:vAlign w:val="bottom"/>
          </w:tcPr>
          <w:p w14:paraId="15913D7A" w14:textId="77777777" w:rsidR="00E61AF9" w:rsidRPr="00E61AF9" w:rsidRDefault="00E61AF9" w:rsidP="00200D91">
            <w:pPr>
              <w:spacing w:line="240" w:lineRule="atLeast"/>
              <w:jc w:val="right"/>
              <w:rPr>
                <w:rFonts w:ascii="Tahoma" w:hAnsi="Tahoma"/>
                <w:color w:val="000000" w:themeColor="text1"/>
                <w:sz w:val="16"/>
                <w:lang w:val="en-GB"/>
              </w:rPr>
            </w:pPr>
            <w:proofErr w:type="gramStart"/>
            <w:r w:rsidRPr="00E61AF9">
              <w:rPr>
                <w:rFonts w:ascii="Tahoma" w:hAnsi="Tahoma"/>
                <w:color w:val="000000" w:themeColor="text1"/>
                <w:sz w:val="16"/>
                <w:lang w:val="en-GB"/>
              </w:rPr>
              <w:t>&gt;(</w:t>
            </w:r>
            <w:proofErr w:type="gramEnd"/>
            <w:r w:rsidRPr="00E61AF9">
              <w:rPr>
                <w:rFonts w:ascii="Tahoma" w:hAnsi="Tahoma"/>
                <w:color w:val="000000" w:themeColor="text1"/>
                <w:sz w:val="16"/>
                <w:lang w:val="en-GB"/>
              </w:rPr>
              <w:t>100)</w:t>
            </w:r>
          </w:p>
        </w:tc>
        <w:tc>
          <w:tcPr>
            <w:tcW w:w="1134" w:type="dxa"/>
            <w:tcBorders>
              <w:right w:val="single" w:sz="4" w:space="0" w:color="auto"/>
            </w:tcBorders>
            <w:shd w:val="clear" w:color="auto" w:fill="auto"/>
            <w:tcMar>
              <w:top w:w="57" w:type="dxa"/>
              <w:left w:w="0" w:type="dxa"/>
              <w:bottom w:w="57" w:type="dxa"/>
              <w:right w:w="0" w:type="dxa"/>
            </w:tcMar>
            <w:vAlign w:val="bottom"/>
          </w:tcPr>
          <w:p w14:paraId="7FF02BFC" w14:textId="77777777" w:rsidR="00E61AF9" w:rsidRPr="00E61AF9" w:rsidRDefault="00E61AF9" w:rsidP="00BA7BA6">
            <w:pPr>
              <w:spacing w:line="240" w:lineRule="atLeast"/>
              <w:ind w:right="113"/>
              <w:jc w:val="right"/>
              <w:rPr>
                <w:rFonts w:ascii="Tahoma" w:hAnsi="Tahoma"/>
                <w:color w:val="000000" w:themeColor="text1"/>
                <w:sz w:val="16"/>
                <w:lang w:val="en-GB"/>
              </w:rPr>
            </w:pPr>
            <w:r w:rsidRPr="00E61AF9">
              <w:rPr>
                <w:rFonts w:ascii="Tahoma" w:hAnsi="Tahoma"/>
                <w:color w:val="000000" w:themeColor="text1"/>
                <w:sz w:val="16"/>
                <w:lang w:val="en-GB"/>
              </w:rPr>
              <w:t>(52)</w:t>
            </w:r>
          </w:p>
        </w:tc>
      </w:tr>
      <w:tr w:rsidR="00615190" w:rsidRPr="00E61AF9" w14:paraId="1B09B5A0" w14:textId="77777777" w:rsidTr="0020228D">
        <w:trPr>
          <w:trHeight w:val="60"/>
        </w:trPr>
        <w:tc>
          <w:tcPr>
            <w:tcW w:w="397" w:type="dxa"/>
            <w:shd w:val="clear" w:color="auto" w:fill="auto"/>
            <w:tcMar>
              <w:top w:w="57" w:type="dxa"/>
              <w:left w:w="0" w:type="dxa"/>
              <w:bottom w:w="57" w:type="dxa"/>
              <w:right w:w="0" w:type="dxa"/>
            </w:tcMar>
            <w:vAlign w:val="bottom"/>
          </w:tcPr>
          <w:p w14:paraId="5F27C2B3" w14:textId="77777777" w:rsidR="00E61AF9" w:rsidRPr="00E61AF9" w:rsidRDefault="00E61AF9" w:rsidP="00615190">
            <w:pPr>
              <w:spacing w:line="240" w:lineRule="atLeast"/>
              <w:rPr>
                <w:rFonts w:ascii="Tahoma" w:hAnsi="Tahoma"/>
                <w:color w:val="000000" w:themeColor="text1"/>
                <w:sz w:val="16"/>
                <w:lang w:val="en-GB"/>
              </w:rPr>
            </w:pPr>
          </w:p>
        </w:tc>
        <w:tc>
          <w:tcPr>
            <w:tcW w:w="5273" w:type="dxa"/>
            <w:tcBorders>
              <w:right w:val="single" w:sz="4" w:space="0" w:color="auto"/>
            </w:tcBorders>
            <w:shd w:val="clear" w:color="auto" w:fill="auto"/>
            <w:tcMar>
              <w:top w:w="57" w:type="dxa"/>
              <w:left w:w="113" w:type="dxa"/>
              <w:bottom w:w="57" w:type="dxa"/>
              <w:right w:w="0" w:type="dxa"/>
            </w:tcMar>
            <w:vAlign w:val="bottom"/>
          </w:tcPr>
          <w:p w14:paraId="136526CB" w14:textId="77777777" w:rsidR="00E61AF9" w:rsidRPr="00E61AF9" w:rsidRDefault="00E61AF9" w:rsidP="00615190">
            <w:pPr>
              <w:spacing w:line="240" w:lineRule="atLeast"/>
              <w:rPr>
                <w:rFonts w:ascii="Tahoma" w:hAnsi="Tahoma"/>
                <w:color w:val="000000" w:themeColor="text1"/>
                <w:sz w:val="16"/>
                <w:lang w:val="en-GB"/>
              </w:rPr>
            </w:pPr>
            <w:r w:rsidRPr="00E61AF9">
              <w:rPr>
                <w:rFonts w:ascii="Tahoma" w:hAnsi="Tahoma"/>
                <w:color w:val="000000" w:themeColor="text1"/>
                <w:sz w:val="16"/>
                <w:lang w:val="en-GB"/>
              </w:rPr>
              <w:t>Edtech</w:t>
            </w:r>
          </w:p>
        </w:tc>
        <w:tc>
          <w:tcPr>
            <w:tcW w:w="1134" w:type="dxa"/>
            <w:tcBorders>
              <w:left w:val="single" w:sz="4" w:space="0" w:color="auto"/>
            </w:tcBorders>
            <w:shd w:val="clear" w:color="auto" w:fill="auto"/>
            <w:tcMar>
              <w:top w:w="57" w:type="dxa"/>
              <w:left w:w="0" w:type="dxa"/>
              <w:bottom w:w="57" w:type="dxa"/>
              <w:right w:w="0" w:type="dxa"/>
            </w:tcMar>
            <w:vAlign w:val="bottom"/>
          </w:tcPr>
          <w:p w14:paraId="2A8E0474" w14:textId="77777777" w:rsidR="00E61AF9" w:rsidRPr="00E61AF9" w:rsidRDefault="00E61AF9" w:rsidP="00200D91">
            <w:pPr>
              <w:spacing w:line="240" w:lineRule="atLeast"/>
              <w:jc w:val="right"/>
              <w:rPr>
                <w:rFonts w:ascii="Tahoma" w:hAnsi="Tahoma"/>
                <w:b/>
                <w:bCs/>
                <w:color w:val="000000" w:themeColor="text1"/>
                <w:sz w:val="16"/>
                <w:lang w:val="en-GB"/>
              </w:rPr>
            </w:pPr>
            <w:r w:rsidRPr="00E61AF9">
              <w:rPr>
                <w:rFonts w:ascii="Tahoma" w:hAnsi="Tahoma"/>
                <w:b/>
                <w:bCs/>
                <w:color w:val="000000" w:themeColor="text1"/>
                <w:sz w:val="16"/>
                <w:lang w:val="en-GB"/>
              </w:rPr>
              <w:t>(167)</w:t>
            </w:r>
          </w:p>
        </w:tc>
        <w:tc>
          <w:tcPr>
            <w:tcW w:w="1134" w:type="dxa"/>
            <w:shd w:val="clear" w:color="auto" w:fill="auto"/>
            <w:tcMar>
              <w:top w:w="57" w:type="dxa"/>
              <w:left w:w="0" w:type="dxa"/>
              <w:bottom w:w="57" w:type="dxa"/>
              <w:right w:w="0" w:type="dxa"/>
            </w:tcMar>
            <w:vAlign w:val="bottom"/>
          </w:tcPr>
          <w:p w14:paraId="254D8D4A" w14:textId="77777777" w:rsidR="00E61AF9" w:rsidRPr="00E61AF9" w:rsidRDefault="00E61AF9" w:rsidP="00200D91">
            <w:pPr>
              <w:spacing w:line="240" w:lineRule="atLeast"/>
              <w:jc w:val="right"/>
              <w:rPr>
                <w:rFonts w:ascii="Tahoma" w:hAnsi="Tahoma"/>
                <w:color w:val="000000" w:themeColor="text1"/>
                <w:sz w:val="16"/>
                <w:lang w:val="en-GB"/>
              </w:rPr>
            </w:pPr>
            <w:r w:rsidRPr="00E61AF9">
              <w:rPr>
                <w:rFonts w:ascii="Tahoma" w:hAnsi="Tahoma"/>
                <w:color w:val="000000" w:themeColor="text1"/>
                <w:sz w:val="16"/>
                <w:lang w:val="en-GB"/>
              </w:rPr>
              <w:t>(42)</w:t>
            </w:r>
          </w:p>
        </w:tc>
        <w:tc>
          <w:tcPr>
            <w:tcW w:w="1134" w:type="dxa"/>
            <w:shd w:val="clear" w:color="auto" w:fill="auto"/>
            <w:tcMar>
              <w:top w:w="57" w:type="dxa"/>
              <w:left w:w="0" w:type="dxa"/>
              <w:bottom w:w="57" w:type="dxa"/>
              <w:right w:w="0" w:type="dxa"/>
            </w:tcMar>
            <w:vAlign w:val="bottom"/>
          </w:tcPr>
          <w:p w14:paraId="2B321DBC" w14:textId="77777777" w:rsidR="00E61AF9" w:rsidRPr="00E61AF9" w:rsidRDefault="00E61AF9" w:rsidP="00200D91">
            <w:pPr>
              <w:spacing w:line="240" w:lineRule="atLeast"/>
              <w:jc w:val="right"/>
              <w:rPr>
                <w:rFonts w:ascii="Tahoma" w:hAnsi="Tahoma"/>
                <w:color w:val="000000" w:themeColor="text1"/>
                <w:sz w:val="16"/>
                <w:lang w:val="en-GB"/>
              </w:rPr>
            </w:pPr>
            <w:proofErr w:type="gramStart"/>
            <w:r w:rsidRPr="00E61AF9">
              <w:rPr>
                <w:rFonts w:ascii="Tahoma" w:hAnsi="Tahoma"/>
                <w:color w:val="000000" w:themeColor="text1"/>
                <w:sz w:val="16"/>
                <w:lang w:val="en-GB"/>
              </w:rPr>
              <w:t>&gt;(</w:t>
            </w:r>
            <w:proofErr w:type="gramEnd"/>
            <w:r w:rsidRPr="00E61AF9">
              <w:rPr>
                <w:rFonts w:ascii="Tahoma" w:hAnsi="Tahoma"/>
                <w:color w:val="000000" w:themeColor="text1"/>
                <w:sz w:val="16"/>
                <w:lang w:val="en-GB"/>
              </w:rPr>
              <w:t>100)</w:t>
            </w:r>
          </w:p>
        </w:tc>
        <w:tc>
          <w:tcPr>
            <w:tcW w:w="1134" w:type="dxa"/>
            <w:tcBorders>
              <w:right w:val="single" w:sz="4" w:space="0" w:color="auto"/>
            </w:tcBorders>
            <w:shd w:val="clear" w:color="auto" w:fill="auto"/>
            <w:tcMar>
              <w:top w:w="57" w:type="dxa"/>
              <w:left w:w="0" w:type="dxa"/>
              <w:bottom w:w="57" w:type="dxa"/>
              <w:right w:w="0" w:type="dxa"/>
            </w:tcMar>
            <w:vAlign w:val="bottom"/>
          </w:tcPr>
          <w:p w14:paraId="3CAB8492" w14:textId="77777777" w:rsidR="00E61AF9" w:rsidRPr="00E61AF9" w:rsidRDefault="00E61AF9" w:rsidP="00BA7BA6">
            <w:pPr>
              <w:spacing w:line="240" w:lineRule="atLeast"/>
              <w:ind w:right="113"/>
              <w:jc w:val="right"/>
              <w:rPr>
                <w:rFonts w:ascii="Tahoma" w:hAnsi="Tahoma"/>
                <w:color w:val="000000" w:themeColor="text1"/>
                <w:sz w:val="16"/>
                <w:lang w:val="en-GB"/>
              </w:rPr>
            </w:pPr>
            <w:r w:rsidRPr="00E61AF9">
              <w:rPr>
                <w:rFonts w:ascii="Tahoma" w:hAnsi="Tahoma"/>
                <w:color w:val="000000" w:themeColor="text1"/>
                <w:sz w:val="16"/>
                <w:lang w:val="en-GB"/>
              </w:rPr>
              <w:t>(100)</w:t>
            </w:r>
          </w:p>
        </w:tc>
      </w:tr>
      <w:tr w:rsidR="00615190" w:rsidRPr="00E61AF9" w14:paraId="6BB5C004" w14:textId="77777777" w:rsidTr="0020228D">
        <w:trPr>
          <w:trHeight w:val="60"/>
        </w:trPr>
        <w:tc>
          <w:tcPr>
            <w:tcW w:w="397" w:type="dxa"/>
            <w:shd w:val="clear" w:color="auto" w:fill="auto"/>
            <w:tcMar>
              <w:top w:w="57" w:type="dxa"/>
              <w:left w:w="0" w:type="dxa"/>
              <w:bottom w:w="57" w:type="dxa"/>
              <w:right w:w="0" w:type="dxa"/>
            </w:tcMar>
            <w:vAlign w:val="bottom"/>
          </w:tcPr>
          <w:p w14:paraId="5E8973C5" w14:textId="77777777" w:rsidR="00E61AF9" w:rsidRPr="00E61AF9" w:rsidRDefault="00E61AF9" w:rsidP="00615190">
            <w:pPr>
              <w:spacing w:line="240" w:lineRule="atLeast"/>
              <w:rPr>
                <w:rFonts w:ascii="Tahoma" w:hAnsi="Tahoma"/>
                <w:color w:val="000000" w:themeColor="text1"/>
                <w:sz w:val="16"/>
                <w:lang w:val="en-GB"/>
              </w:rPr>
            </w:pPr>
          </w:p>
        </w:tc>
        <w:tc>
          <w:tcPr>
            <w:tcW w:w="5273" w:type="dxa"/>
            <w:tcBorders>
              <w:right w:val="single" w:sz="4" w:space="0" w:color="auto"/>
            </w:tcBorders>
            <w:shd w:val="clear" w:color="auto" w:fill="auto"/>
            <w:tcMar>
              <w:top w:w="57" w:type="dxa"/>
              <w:left w:w="113" w:type="dxa"/>
              <w:bottom w:w="57" w:type="dxa"/>
              <w:right w:w="0" w:type="dxa"/>
            </w:tcMar>
            <w:vAlign w:val="bottom"/>
          </w:tcPr>
          <w:p w14:paraId="5A2B32B1" w14:textId="77777777" w:rsidR="00E61AF9" w:rsidRPr="00E61AF9" w:rsidRDefault="00E61AF9" w:rsidP="00615190">
            <w:pPr>
              <w:spacing w:line="240" w:lineRule="atLeast"/>
              <w:rPr>
                <w:rFonts w:ascii="Tahoma" w:hAnsi="Tahoma"/>
                <w:color w:val="000000" w:themeColor="text1"/>
                <w:sz w:val="16"/>
                <w:lang w:val="en-GB"/>
              </w:rPr>
            </w:pPr>
            <w:r w:rsidRPr="00E61AF9">
              <w:rPr>
                <w:rFonts w:ascii="Tahoma" w:hAnsi="Tahoma"/>
                <w:color w:val="000000" w:themeColor="text1"/>
                <w:sz w:val="16"/>
                <w:lang w:val="en-GB"/>
              </w:rPr>
              <w:t>Etail</w:t>
            </w:r>
          </w:p>
        </w:tc>
        <w:tc>
          <w:tcPr>
            <w:tcW w:w="1134" w:type="dxa"/>
            <w:tcBorders>
              <w:left w:val="single" w:sz="4" w:space="0" w:color="auto"/>
            </w:tcBorders>
            <w:shd w:val="clear" w:color="auto" w:fill="auto"/>
            <w:tcMar>
              <w:top w:w="57" w:type="dxa"/>
              <w:left w:w="0" w:type="dxa"/>
              <w:bottom w:w="57" w:type="dxa"/>
              <w:right w:w="0" w:type="dxa"/>
            </w:tcMar>
            <w:vAlign w:val="bottom"/>
          </w:tcPr>
          <w:p w14:paraId="4644A03E" w14:textId="77777777" w:rsidR="00E61AF9" w:rsidRPr="00E61AF9" w:rsidRDefault="00E61AF9" w:rsidP="00200D91">
            <w:pPr>
              <w:spacing w:line="240" w:lineRule="atLeast"/>
              <w:jc w:val="right"/>
              <w:rPr>
                <w:rFonts w:ascii="Tahoma" w:hAnsi="Tahoma"/>
                <w:b/>
                <w:bCs/>
                <w:color w:val="000000" w:themeColor="text1"/>
                <w:sz w:val="16"/>
                <w:lang w:val="en-GB"/>
              </w:rPr>
            </w:pPr>
            <w:r w:rsidRPr="00E61AF9">
              <w:rPr>
                <w:rFonts w:ascii="Tahoma" w:hAnsi="Tahoma"/>
                <w:b/>
                <w:bCs/>
                <w:color w:val="000000" w:themeColor="text1"/>
                <w:sz w:val="16"/>
                <w:lang w:val="en-GB"/>
              </w:rPr>
              <w:t>(14)</w:t>
            </w:r>
          </w:p>
        </w:tc>
        <w:tc>
          <w:tcPr>
            <w:tcW w:w="1134" w:type="dxa"/>
            <w:shd w:val="clear" w:color="auto" w:fill="auto"/>
            <w:tcMar>
              <w:top w:w="57" w:type="dxa"/>
              <w:left w:w="0" w:type="dxa"/>
              <w:bottom w:w="57" w:type="dxa"/>
              <w:right w:w="0" w:type="dxa"/>
            </w:tcMar>
            <w:vAlign w:val="bottom"/>
          </w:tcPr>
          <w:p w14:paraId="51C45299" w14:textId="77777777" w:rsidR="00E61AF9" w:rsidRPr="00E61AF9" w:rsidRDefault="00E61AF9" w:rsidP="00200D91">
            <w:pPr>
              <w:spacing w:line="240" w:lineRule="atLeast"/>
              <w:jc w:val="right"/>
              <w:rPr>
                <w:rFonts w:ascii="Tahoma" w:hAnsi="Tahoma"/>
                <w:color w:val="000000" w:themeColor="text1"/>
                <w:sz w:val="16"/>
                <w:lang w:val="en-GB"/>
              </w:rPr>
            </w:pPr>
            <w:r w:rsidRPr="00E61AF9">
              <w:rPr>
                <w:rFonts w:ascii="Tahoma" w:hAnsi="Tahoma"/>
                <w:color w:val="000000" w:themeColor="text1"/>
                <w:sz w:val="16"/>
                <w:lang w:val="en-GB"/>
              </w:rPr>
              <w:t>10</w:t>
            </w:r>
          </w:p>
        </w:tc>
        <w:tc>
          <w:tcPr>
            <w:tcW w:w="1134" w:type="dxa"/>
            <w:shd w:val="clear" w:color="auto" w:fill="auto"/>
            <w:tcMar>
              <w:top w:w="57" w:type="dxa"/>
              <w:left w:w="0" w:type="dxa"/>
              <w:bottom w:w="57" w:type="dxa"/>
              <w:right w:w="0" w:type="dxa"/>
            </w:tcMar>
            <w:vAlign w:val="bottom"/>
          </w:tcPr>
          <w:p w14:paraId="73A19CE2" w14:textId="77777777" w:rsidR="00E61AF9" w:rsidRPr="00E61AF9" w:rsidRDefault="00E61AF9" w:rsidP="00200D91">
            <w:pPr>
              <w:spacing w:line="240" w:lineRule="atLeast"/>
              <w:jc w:val="right"/>
              <w:rPr>
                <w:rFonts w:ascii="Tahoma" w:hAnsi="Tahoma"/>
                <w:color w:val="000000" w:themeColor="text1"/>
                <w:sz w:val="16"/>
                <w:lang w:val="en-GB"/>
              </w:rPr>
            </w:pPr>
            <w:proofErr w:type="gramStart"/>
            <w:r w:rsidRPr="00E61AF9">
              <w:rPr>
                <w:rFonts w:ascii="Tahoma" w:hAnsi="Tahoma"/>
                <w:color w:val="000000" w:themeColor="text1"/>
                <w:sz w:val="16"/>
                <w:lang w:val="en-GB"/>
              </w:rPr>
              <w:t>&gt;(</w:t>
            </w:r>
            <w:proofErr w:type="gramEnd"/>
            <w:r w:rsidRPr="00E61AF9">
              <w:rPr>
                <w:rFonts w:ascii="Tahoma" w:hAnsi="Tahoma"/>
                <w:color w:val="000000" w:themeColor="text1"/>
                <w:sz w:val="16"/>
                <w:lang w:val="en-GB"/>
              </w:rPr>
              <w:t>100)</w:t>
            </w:r>
          </w:p>
        </w:tc>
        <w:tc>
          <w:tcPr>
            <w:tcW w:w="1134" w:type="dxa"/>
            <w:tcBorders>
              <w:right w:val="single" w:sz="4" w:space="0" w:color="auto"/>
            </w:tcBorders>
            <w:shd w:val="clear" w:color="auto" w:fill="auto"/>
            <w:tcMar>
              <w:top w:w="57" w:type="dxa"/>
              <w:left w:w="0" w:type="dxa"/>
              <w:bottom w:w="57" w:type="dxa"/>
              <w:right w:w="0" w:type="dxa"/>
            </w:tcMar>
            <w:vAlign w:val="bottom"/>
          </w:tcPr>
          <w:p w14:paraId="1A0C7A1F" w14:textId="77777777" w:rsidR="00E61AF9" w:rsidRPr="00E61AF9" w:rsidRDefault="00E61AF9" w:rsidP="00BA7BA6">
            <w:pPr>
              <w:spacing w:line="240" w:lineRule="atLeast"/>
              <w:ind w:right="113"/>
              <w:jc w:val="right"/>
              <w:rPr>
                <w:rFonts w:ascii="Tahoma" w:hAnsi="Tahoma"/>
                <w:color w:val="000000" w:themeColor="text1"/>
                <w:sz w:val="16"/>
                <w:lang w:val="en-GB"/>
              </w:rPr>
            </w:pPr>
            <w:r w:rsidRPr="00E61AF9">
              <w:rPr>
                <w:rFonts w:ascii="Tahoma" w:hAnsi="Tahoma"/>
                <w:color w:val="000000" w:themeColor="text1"/>
                <w:sz w:val="16"/>
                <w:lang w:val="en-GB"/>
              </w:rPr>
              <w:t>12</w:t>
            </w:r>
          </w:p>
        </w:tc>
      </w:tr>
      <w:tr w:rsidR="00615190" w:rsidRPr="00E61AF9" w14:paraId="3FD07E4A" w14:textId="77777777" w:rsidTr="0020228D">
        <w:trPr>
          <w:trHeight w:val="60"/>
        </w:trPr>
        <w:tc>
          <w:tcPr>
            <w:tcW w:w="397" w:type="dxa"/>
            <w:shd w:val="clear" w:color="auto" w:fill="auto"/>
            <w:tcMar>
              <w:top w:w="57" w:type="dxa"/>
              <w:left w:w="0" w:type="dxa"/>
              <w:bottom w:w="57" w:type="dxa"/>
              <w:right w:w="0" w:type="dxa"/>
            </w:tcMar>
            <w:vAlign w:val="bottom"/>
          </w:tcPr>
          <w:p w14:paraId="3694419B" w14:textId="77777777" w:rsidR="00E61AF9" w:rsidRPr="00E61AF9" w:rsidRDefault="00E61AF9" w:rsidP="00615190">
            <w:pPr>
              <w:spacing w:line="240" w:lineRule="atLeast"/>
              <w:rPr>
                <w:rFonts w:ascii="Tahoma" w:hAnsi="Tahoma"/>
                <w:color w:val="000000" w:themeColor="text1"/>
                <w:sz w:val="16"/>
                <w:lang w:val="en-GB"/>
              </w:rPr>
            </w:pPr>
          </w:p>
        </w:tc>
        <w:tc>
          <w:tcPr>
            <w:tcW w:w="5273" w:type="dxa"/>
            <w:tcBorders>
              <w:right w:val="single" w:sz="4" w:space="0" w:color="auto"/>
            </w:tcBorders>
            <w:shd w:val="clear" w:color="auto" w:fill="auto"/>
            <w:tcMar>
              <w:top w:w="57" w:type="dxa"/>
              <w:left w:w="113" w:type="dxa"/>
              <w:bottom w:w="57" w:type="dxa"/>
              <w:right w:w="0" w:type="dxa"/>
            </w:tcMar>
            <w:vAlign w:val="bottom"/>
          </w:tcPr>
          <w:p w14:paraId="70A59D5D" w14:textId="77777777" w:rsidR="00E61AF9" w:rsidRPr="00E61AF9" w:rsidRDefault="00E61AF9" w:rsidP="00615190">
            <w:pPr>
              <w:spacing w:line="240" w:lineRule="atLeast"/>
              <w:rPr>
                <w:rFonts w:ascii="Tahoma" w:hAnsi="Tahoma"/>
                <w:color w:val="000000" w:themeColor="text1"/>
                <w:sz w:val="16"/>
                <w:lang w:val="en-GB"/>
              </w:rPr>
            </w:pPr>
            <w:r w:rsidRPr="00E61AF9">
              <w:rPr>
                <w:rFonts w:ascii="Tahoma" w:hAnsi="Tahoma"/>
                <w:color w:val="000000" w:themeColor="text1"/>
                <w:sz w:val="16"/>
                <w:lang w:val="en-GB"/>
              </w:rPr>
              <w:t>Other</w:t>
            </w:r>
          </w:p>
        </w:tc>
        <w:tc>
          <w:tcPr>
            <w:tcW w:w="1134" w:type="dxa"/>
            <w:tcBorders>
              <w:left w:val="single" w:sz="4" w:space="0" w:color="auto"/>
              <w:bottom w:val="single" w:sz="4" w:space="0" w:color="auto"/>
            </w:tcBorders>
            <w:shd w:val="clear" w:color="auto" w:fill="auto"/>
            <w:tcMar>
              <w:top w:w="57" w:type="dxa"/>
              <w:left w:w="0" w:type="dxa"/>
              <w:bottom w:w="57" w:type="dxa"/>
              <w:right w:w="0" w:type="dxa"/>
            </w:tcMar>
            <w:vAlign w:val="bottom"/>
          </w:tcPr>
          <w:p w14:paraId="1C92F29F" w14:textId="77777777" w:rsidR="00E61AF9" w:rsidRPr="00E61AF9" w:rsidRDefault="00E61AF9" w:rsidP="00200D91">
            <w:pPr>
              <w:spacing w:line="240" w:lineRule="atLeast"/>
              <w:jc w:val="right"/>
              <w:rPr>
                <w:rFonts w:ascii="Tahoma" w:hAnsi="Tahoma"/>
                <w:b/>
                <w:bCs/>
                <w:color w:val="000000" w:themeColor="text1"/>
                <w:sz w:val="16"/>
                <w:lang w:val="en-GB"/>
              </w:rPr>
            </w:pPr>
            <w:r w:rsidRPr="00E61AF9">
              <w:rPr>
                <w:rFonts w:ascii="Tahoma" w:hAnsi="Tahoma"/>
                <w:b/>
                <w:bCs/>
                <w:color w:val="000000" w:themeColor="text1"/>
                <w:sz w:val="16"/>
                <w:lang w:val="en-GB"/>
              </w:rPr>
              <w:t>(139)</w:t>
            </w:r>
          </w:p>
        </w:tc>
        <w:tc>
          <w:tcPr>
            <w:tcW w:w="1134" w:type="dxa"/>
            <w:tcBorders>
              <w:bottom w:val="single" w:sz="4" w:space="0" w:color="auto"/>
            </w:tcBorders>
            <w:shd w:val="clear" w:color="auto" w:fill="auto"/>
            <w:tcMar>
              <w:top w:w="57" w:type="dxa"/>
              <w:left w:w="0" w:type="dxa"/>
              <w:bottom w:w="57" w:type="dxa"/>
              <w:right w:w="0" w:type="dxa"/>
            </w:tcMar>
            <w:vAlign w:val="bottom"/>
          </w:tcPr>
          <w:p w14:paraId="4C727EB9" w14:textId="77777777" w:rsidR="00E61AF9" w:rsidRPr="00E61AF9" w:rsidRDefault="00E61AF9" w:rsidP="00200D91">
            <w:pPr>
              <w:spacing w:line="240" w:lineRule="atLeast"/>
              <w:jc w:val="right"/>
              <w:rPr>
                <w:rFonts w:ascii="Tahoma" w:hAnsi="Tahoma"/>
                <w:color w:val="000000" w:themeColor="text1"/>
                <w:sz w:val="16"/>
                <w:lang w:val="en-GB"/>
              </w:rPr>
            </w:pPr>
            <w:r w:rsidRPr="00E61AF9">
              <w:rPr>
                <w:rFonts w:ascii="Tahoma" w:hAnsi="Tahoma"/>
                <w:color w:val="000000" w:themeColor="text1"/>
                <w:sz w:val="16"/>
                <w:lang w:val="en-GB"/>
              </w:rPr>
              <w:t>(77)</w:t>
            </w:r>
          </w:p>
        </w:tc>
        <w:tc>
          <w:tcPr>
            <w:tcW w:w="1134" w:type="dxa"/>
            <w:tcBorders>
              <w:bottom w:val="single" w:sz="4" w:space="0" w:color="auto"/>
            </w:tcBorders>
            <w:shd w:val="clear" w:color="auto" w:fill="auto"/>
            <w:tcMar>
              <w:top w:w="57" w:type="dxa"/>
              <w:left w:w="0" w:type="dxa"/>
              <w:bottom w:w="57" w:type="dxa"/>
              <w:right w:w="0" w:type="dxa"/>
            </w:tcMar>
            <w:vAlign w:val="bottom"/>
          </w:tcPr>
          <w:p w14:paraId="5F746B8D" w14:textId="77777777" w:rsidR="00E61AF9" w:rsidRPr="00E61AF9" w:rsidRDefault="00E61AF9" w:rsidP="00200D91">
            <w:pPr>
              <w:spacing w:line="240" w:lineRule="atLeast"/>
              <w:jc w:val="right"/>
              <w:rPr>
                <w:rFonts w:ascii="Tahoma" w:hAnsi="Tahoma"/>
                <w:color w:val="000000" w:themeColor="text1"/>
                <w:sz w:val="16"/>
                <w:lang w:val="en-GB"/>
              </w:rPr>
            </w:pPr>
            <w:r w:rsidRPr="00E61AF9">
              <w:rPr>
                <w:rFonts w:ascii="Tahoma" w:hAnsi="Tahoma"/>
                <w:color w:val="000000" w:themeColor="text1"/>
                <w:sz w:val="16"/>
                <w:lang w:val="en-GB"/>
              </w:rPr>
              <w:t>(81)</w:t>
            </w:r>
          </w:p>
        </w:tc>
        <w:tc>
          <w:tcPr>
            <w:tcW w:w="1134" w:type="dxa"/>
            <w:tcBorders>
              <w:bottom w:val="single" w:sz="4" w:space="0" w:color="auto"/>
              <w:right w:val="single" w:sz="4" w:space="0" w:color="auto"/>
            </w:tcBorders>
            <w:shd w:val="clear" w:color="auto" w:fill="auto"/>
            <w:tcMar>
              <w:top w:w="57" w:type="dxa"/>
              <w:left w:w="0" w:type="dxa"/>
              <w:bottom w:w="57" w:type="dxa"/>
              <w:right w:w="0" w:type="dxa"/>
            </w:tcMar>
            <w:vAlign w:val="bottom"/>
          </w:tcPr>
          <w:p w14:paraId="104EF317" w14:textId="77777777" w:rsidR="00E61AF9" w:rsidRPr="00E61AF9" w:rsidRDefault="00E61AF9" w:rsidP="00BA7BA6">
            <w:pPr>
              <w:spacing w:line="240" w:lineRule="atLeast"/>
              <w:ind w:right="113"/>
              <w:jc w:val="right"/>
              <w:rPr>
                <w:rFonts w:ascii="Tahoma" w:hAnsi="Tahoma"/>
                <w:color w:val="000000" w:themeColor="text1"/>
                <w:sz w:val="16"/>
                <w:lang w:val="en-GB"/>
              </w:rPr>
            </w:pPr>
            <w:r w:rsidRPr="00E61AF9">
              <w:rPr>
                <w:rFonts w:ascii="Tahoma" w:hAnsi="Tahoma"/>
                <w:color w:val="000000" w:themeColor="text1"/>
                <w:sz w:val="16"/>
                <w:lang w:val="en-GB"/>
              </w:rPr>
              <w:t>(194)</w:t>
            </w:r>
          </w:p>
        </w:tc>
      </w:tr>
      <w:tr w:rsidR="00615190" w:rsidRPr="00E61AF9" w14:paraId="4063391D" w14:textId="77777777" w:rsidTr="00EA4BE7">
        <w:trPr>
          <w:trHeight w:val="60"/>
        </w:trPr>
        <w:tc>
          <w:tcPr>
            <w:tcW w:w="397" w:type="dxa"/>
            <w:shd w:val="clear" w:color="auto" w:fill="auto"/>
            <w:tcMar>
              <w:top w:w="57" w:type="dxa"/>
              <w:left w:w="0" w:type="dxa"/>
              <w:bottom w:w="57" w:type="dxa"/>
              <w:right w:w="0" w:type="dxa"/>
            </w:tcMar>
            <w:vAlign w:val="bottom"/>
          </w:tcPr>
          <w:p w14:paraId="3C89BAEB" w14:textId="77777777" w:rsidR="00E61AF9" w:rsidRPr="00E61AF9" w:rsidRDefault="00E61AF9" w:rsidP="00615190">
            <w:pPr>
              <w:spacing w:line="240" w:lineRule="atLeast"/>
              <w:rPr>
                <w:rFonts w:ascii="Tahoma" w:hAnsi="Tahoma"/>
                <w:color w:val="000000" w:themeColor="text1"/>
                <w:sz w:val="16"/>
                <w:lang w:val="en-GB"/>
              </w:rPr>
            </w:pPr>
          </w:p>
        </w:tc>
        <w:tc>
          <w:tcPr>
            <w:tcW w:w="5273" w:type="dxa"/>
            <w:shd w:val="clear" w:color="auto" w:fill="auto"/>
            <w:tcMar>
              <w:top w:w="57" w:type="dxa"/>
              <w:left w:w="0" w:type="dxa"/>
              <w:bottom w:w="57" w:type="dxa"/>
              <w:right w:w="0" w:type="dxa"/>
            </w:tcMar>
            <w:vAlign w:val="bottom"/>
          </w:tcPr>
          <w:p w14:paraId="0AD4A1A4" w14:textId="77777777" w:rsidR="00E61AF9" w:rsidRPr="00E61AF9" w:rsidRDefault="00E61AF9" w:rsidP="00615190">
            <w:pPr>
              <w:spacing w:line="240" w:lineRule="atLeast"/>
              <w:rPr>
                <w:rFonts w:ascii="Tahoma" w:hAnsi="Tahoma"/>
                <w:i/>
                <w:iCs/>
                <w:color w:val="000000" w:themeColor="text1"/>
                <w:sz w:val="16"/>
                <w:lang w:val="en-GB"/>
              </w:rPr>
            </w:pPr>
            <w:r w:rsidRPr="00E61AF9">
              <w:rPr>
                <w:rFonts w:ascii="Tahoma" w:hAnsi="Tahoma"/>
                <w:i/>
                <w:iCs/>
                <w:color w:val="000000" w:themeColor="text1"/>
                <w:sz w:val="16"/>
                <w:lang w:val="en-GB"/>
              </w:rPr>
              <w:t>Social and Internet Platforms</w:t>
            </w:r>
          </w:p>
        </w:tc>
        <w:tc>
          <w:tcPr>
            <w:tcW w:w="1134" w:type="dxa"/>
            <w:tcBorders>
              <w:top w:val="single" w:sz="4" w:space="0" w:color="auto"/>
              <w:bottom w:val="single" w:sz="4" w:space="0" w:color="auto"/>
            </w:tcBorders>
            <w:shd w:val="clear" w:color="auto" w:fill="auto"/>
            <w:tcMar>
              <w:top w:w="57" w:type="dxa"/>
              <w:left w:w="0" w:type="dxa"/>
              <w:bottom w:w="57" w:type="dxa"/>
              <w:right w:w="0" w:type="dxa"/>
            </w:tcMar>
            <w:vAlign w:val="bottom"/>
          </w:tcPr>
          <w:p w14:paraId="1A49C302" w14:textId="77777777" w:rsidR="00E61AF9" w:rsidRPr="00E61AF9" w:rsidRDefault="00E61AF9" w:rsidP="00200D91">
            <w:pPr>
              <w:spacing w:line="240" w:lineRule="atLeast"/>
              <w:jc w:val="right"/>
              <w:rPr>
                <w:rFonts w:ascii="Tahoma" w:hAnsi="Tahoma"/>
                <w:b/>
                <w:bCs/>
                <w:color w:val="000000" w:themeColor="text1"/>
                <w:sz w:val="16"/>
                <w:lang w:val="en-GB"/>
              </w:rPr>
            </w:pPr>
            <w:r w:rsidRPr="00E61AF9">
              <w:rPr>
                <w:rFonts w:ascii="Tahoma" w:hAnsi="Tahoma"/>
                <w:b/>
                <w:bCs/>
                <w:color w:val="000000" w:themeColor="text1"/>
                <w:sz w:val="16"/>
                <w:lang w:val="en-GB"/>
              </w:rPr>
              <w:t>3 142</w:t>
            </w:r>
          </w:p>
        </w:tc>
        <w:tc>
          <w:tcPr>
            <w:tcW w:w="1134" w:type="dxa"/>
            <w:tcBorders>
              <w:top w:val="single" w:sz="4" w:space="0" w:color="auto"/>
              <w:bottom w:val="single" w:sz="4" w:space="0" w:color="auto"/>
            </w:tcBorders>
            <w:shd w:val="clear" w:color="auto" w:fill="auto"/>
            <w:tcMar>
              <w:top w:w="57" w:type="dxa"/>
              <w:left w:w="0" w:type="dxa"/>
              <w:bottom w:w="57" w:type="dxa"/>
              <w:right w:w="0" w:type="dxa"/>
            </w:tcMar>
            <w:vAlign w:val="bottom"/>
          </w:tcPr>
          <w:p w14:paraId="1ACAE092" w14:textId="77777777" w:rsidR="00E61AF9" w:rsidRPr="00E61AF9" w:rsidRDefault="00E61AF9" w:rsidP="00200D91">
            <w:pPr>
              <w:spacing w:line="240" w:lineRule="atLeast"/>
              <w:jc w:val="right"/>
              <w:rPr>
                <w:rFonts w:ascii="Tahoma" w:hAnsi="Tahoma"/>
                <w:color w:val="000000" w:themeColor="text1"/>
                <w:sz w:val="16"/>
                <w:lang w:val="en-GB"/>
              </w:rPr>
            </w:pPr>
            <w:r w:rsidRPr="00E61AF9">
              <w:rPr>
                <w:rFonts w:ascii="Tahoma" w:hAnsi="Tahoma"/>
                <w:color w:val="000000" w:themeColor="text1"/>
                <w:sz w:val="16"/>
                <w:lang w:val="en-GB"/>
              </w:rPr>
              <w:t>4 012</w:t>
            </w:r>
          </w:p>
        </w:tc>
        <w:tc>
          <w:tcPr>
            <w:tcW w:w="1134" w:type="dxa"/>
            <w:tcBorders>
              <w:top w:val="single" w:sz="4" w:space="0" w:color="auto"/>
              <w:bottom w:val="single" w:sz="4" w:space="0" w:color="auto"/>
            </w:tcBorders>
            <w:shd w:val="clear" w:color="auto" w:fill="auto"/>
            <w:tcMar>
              <w:top w:w="57" w:type="dxa"/>
              <w:left w:w="0" w:type="dxa"/>
              <w:bottom w:w="57" w:type="dxa"/>
              <w:right w:w="0" w:type="dxa"/>
            </w:tcMar>
            <w:vAlign w:val="bottom"/>
          </w:tcPr>
          <w:p w14:paraId="74160765" w14:textId="77777777" w:rsidR="00E61AF9" w:rsidRPr="00E61AF9" w:rsidRDefault="00E61AF9" w:rsidP="00200D91">
            <w:pPr>
              <w:spacing w:line="240" w:lineRule="atLeast"/>
              <w:jc w:val="right"/>
              <w:rPr>
                <w:rFonts w:ascii="Tahoma" w:hAnsi="Tahoma"/>
                <w:color w:val="000000" w:themeColor="text1"/>
                <w:sz w:val="16"/>
                <w:lang w:val="en-GB"/>
              </w:rPr>
            </w:pPr>
            <w:r w:rsidRPr="00E61AF9">
              <w:rPr>
                <w:rFonts w:ascii="Tahoma" w:hAnsi="Tahoma"/>
                <w:color w:val="000000" w:themeColor="text1"/>
                <w:sz w:val="16"/>
                <w:lang w:val="en-GB"/>
              </w:rPr>
              <w:t>(22)</w:t>
            </w:r>
          </w:p>
        </w:tc>
        <w:tc>
          <w:tcPr>
            <w:tcW w:w="1134" w:type="dxa"/>
            <w:tcBorders>
              <w:top w:val="single" w:sz="4" w:space="0" w:color="auto"/>
              <w:bottom w:val="single" w:sz="4" w:space="0" w:color="auto"/>
            </w:tcBorders>
            <w:shd w:val="clear" w:color="auto" w:fill="auto"/>
            <w:tcMar>
              <w:top w:w="57" w:type="dxa"/>
              <w:left w:w="0" w:type="dxa"/>
              <w:bottom w:w="57" w:type="dxa"/>
              <w:right w:w="0" w:type="dxa"/>
            </w:tcMar>
            <w:vAlign w:val="bottom"/>
          </w:tcPr>
          <w:p w14:paraId="0C269D0A" w14:textId="77777777" w:rsidR="00E61AF9" w:rsidRPr="00E61AF9" w:rsidRDefault="00E61AF9" w:rsidP="00BA7BA6">
            <w:pPr>
              <w:spacing w:line="240" w:lineRule="atLeast"/>
              <w:ind w:right="113"/>
              <w:jc w:val="right"/>
              <w:rPr>
                <w:rFonts w:ascii="Tahoma" w:hAnsi="Tahoma"/>
                <w:color w:val="000000" w:themeColor="text1"/>
                <w:sz w:val="16"/>
                <w:lang w:val="en-GB"/>
              </w:rPr>
            </w:pPr>
            <w:r w:rsidRPr="00E61AF9">
              <w:rPr>
                <w:rFonts w:ascii="Tahoma" w:hAnsi="Tahoma"/>
                <w:color w:val="000000" w:themeColor="text1"/>
                <w:sz w:val="16"/>
                <w:lang w:val="en-GB"/>
              </w:rPr>
              <w:t>7 623</w:t>
            </w:r>
          </w:p>
        </w:tc>
      </w:tr>
      <w:tr w:rsidR="00615190" w:rsidRPr="00E61AF9" w14:paraId="7F7424AB" w14:textId="77777777" w:rsidTr="00EA4BE7">
        <w:trPr>
          <w:trHeight w:val="60"/>
        </w:trPr>
        <w:tc>
          <w:tcPr>
            <w:tcW w:w="397" w:type="dxa"/>
            <w:shd w:val="clear" w:color="auto" w:fill="auto"/>
            <w:tcMar>
              <w:top w:w="57" w:type="dxa"/>
              <w:left w:w="0" w:type="dxa"/>
              <w:bottom w:w="57" w:type="dxa"/>
              <w:right w:w="0" w:type="dxa"/>
            </w:tcMar>
            <w:vAlign w:val="bottom"/>
          </w:tcPr>
          <w:p w14:paraId="3992D504" w14:textId="77777777" w:rsidR="00E61AF9" w:rsidRPr="00E61AF9" w:rsidRDefault="00E61AF9" w:rsidP="00615190">
            <w:pPr>
              <w:spacing w:line="240" w:lineRule="atLeast"/>
              <w:rPr>
                <w:rFonts w:ascii="Tahoma" w:hAnsi="Tahoma"/>
                <w:color w:val="000000" w:themeColor="text1"/>
                <w:sz w:val="16"/>
                <w:lang w:val="en-GB"/>
              </w:rPr>
            </w:pPr>
          </w:p>
        </w:tc>
        <w:tc>
          <w:tcPr>
            <w:tcW w:w="5273" w:type="dxa"/>
            <w:tcBorders>
              <w:right w:val="single" w:sz="4" w:space="0" w:color="auto"/>
            </w:tcBorders>
            <w:shd w:val="clear" w:color="auto" w:fill="auto"/>
            <w:tcMar>
              <w:top w:w="57" w:type="dxa"/>
              <w:left w:w="113" w:type="dxa"/>
              <w:bottom w:w="57" w:type="dxa"/>
              <w:right w:w="0" w:type="dxa"/>
            </w:tcMar>
            <w:vAlign w:val="bottom"/>
          </w:tcPr>
          <w:p w14:paraId="5102DF3B" w14:textId="77777777" w:rsidR="00E61AF9" w:rsidRPr="00E61AF9" w:rsidRDefault="00E61AF9" w:rsidP="00615190">
            <w:pPr>
              <w:spacing w:line="240" w:lineRule="atLeast"/>
              <w:rPr>
                <w:rFonts w:ascii="Tahoma" w:hAnsi="Tahoma"/>
                <w:color w:val="000000" w:themeColor="text1"/>
                <w:sz w:val="16"/>
                <w:lang w:val="en-GB"/>
              </w:rPr>
            </w:pPr>
            <w:r w:rsidRPr="00E61AF9">
              <w:rPr>
                <w:rFonts w:ascii="Tahoma" w:hAnsi="Tahoma"/>
                <w:color w:val="000000" w:themeColor="text1"/>
                <w:sz w:val="16"/>
                <w:lang w:val="en-GB"/>
              </w:rPr>
              <w:t>Tencent</w:t>
            </w:r>
          </w:p>
        </w:tc>
        <w:tc>
          <w:tcPr>
            <w:tcW w:w="1134" w:type="dxa"/>
            <w:tcBorders>
              <w:top w:val="single" w:sz="4" w:space="0" w:color="auto"/>
              <w:left w:val="single" w:sz="4" w:space="0" w:color="auto"/>
            </w:tcBorders>
            <w:shd w:val="clear" w:color="auto" w:fill="auto"/>
            <w:tcMar>
              <w:top w:w="57" w:type="dxa"/>
              <w:left w:w="0" w:type="dxa"/>
              <w:bottom w:w="57" w:type="dxa"/>
              <w:right w:w="0" w:type="dxa"/>
            </w:tcMar>
            <w:vAlign w:val="bottom"/>
          </w:tcPr>
          <w:p w14:paraId="763AC009" w14:textId="77777777" w:rsidR="00E61AF9" w:rsidRPr="00E61AF9" w:rsidRDefault="00E61AF9" w:rsidP="00200D91">
            <w:pPr>
              <w:spacing w:line="240" w:lineRule="atLeast"/>
              <w:jc w:val="right"/>
              <w:rPr>
                <w:rFonts w:ascii="Tahoma" w:hAnsi="Tahoma"/>
                <w:b/>
                <w:bCs/>
                <w:color w:val="000000" w:themeColor="text1"/>
                <w:sz w:val="16"/>
                <w:lang w:val="en-GB"/>
              </w:rPr>
            </w:pPr>
            <w:r w:rsidRPr="00E61AF9">
              <w:rPr>
                <w:rFonts w:ascii="Tahoma" w:hAnsi="Tahoma"/>
                <w:b/>
                <w:bCs/>
                <w:color w:val="000000" w:themeColor="text1"/>
                <w:sz w:val="16"/>
                <w:lang w:val="en-GB"/>
              </w:rPr>
              <w:t>3 142</w:t>
            </w:r>
          </w:p>
        </w:tc>
        <w:tc>
          <w:tcPr>
            <w:tcW w:w="1134" w:type="dxa"/>
            <w:tcBorders>
              <w:top w:val="single" w:sz="4" w:space="0" w:color="auto"/>
            </w:tcBorders>
            <w:shd w:val="clear" w:color="auto" w:fill="auto"/>
            <w:tcMar>
              <w:top w:w="57" w:type="dxa"/>
              <w:left w:w="0" w:type="dxa"/>
              <w:bottom w:w="57" w:type="dxa"/>
              <w:right w:w="0" w:type="dxa"/>
            </w:tcMar>
            <w:vAlign w:val="bottom"/>
          </w:tcPr>
          <w:p w14:paraId="46E5FECC" w14:textId="77777777" w:rsidR="00E61AF9" w:rsidRPr="00E61AF9" w:rsidRDefault="00E61AF9" w:rsidP="00200D91">
            <w:pPr>
              <w:spacing w:line="240" w:lineRule="atLeast"/>
              <w:jc w:val="right"/>
              <w:rPr>
                <w:rFonts w:ascii="Tahoma" w:hAnsi="Tahoma"/>
                <w:color w:val="000000" w:themeColor="text1"/>
                <w:sz w:val="16"/>
                <w:lang w:val="en-GB"/>
              </w:rPr>
            </w:pPr>
            <w:r w:rsidRPr="00E61AF9">
              <w:rPr>
                <w:rFonts w:ascii="Tahoma" w:hAnsi="Tahoma"/>
                <w:color w:val="000000" w:themeColor="text1"/>
                <w:sz w:val="16"/>
                <w:lang w:val="en-GB"/>
              </w:rPr>
              <w:t>3 969</w:t>
            </w:r>
          </w:p>
        </w:tc>
        <w:tc>
          <w:tcPr>
            <w:tcW w:w="1134" w:type="dxa"/>
            <w:tcBorders>
              <w:top w:val="single" w:sz="4" w:space="0" w:color="auto"/>
            </w:tcBorders>
            <w:shd w:val="clear" w:color="auto" w:fill="auto"/>
            <w:tcMar>
              <w:top w:w="57" w:type="dxa"/>
              <w:left w:w="0" w:type="dxa"/>
              <w:bottom w:w="57" w:type="dxa"/>
              <w:right w:w="0" w:type="dxa"/>
            </w:tcMar>
            <w:vAlign w:val="bottom"/>
          </w:tcPr>
          <w:p w14:paraId="006CB6BF" w14:textId="77777777" w:rsidR="00E61AF9" w:rsidRPr="00E61AF9" w:rsidRDefault="00E61AF9" w:rsidP="00200D91">
            <w:pPr>
              <w:spacing w:line="240" w:lineRule="atLeast"/>
              <w:jc w:val="right"/>
              <w:rPr>
                <w:rFonts w:ascii="Tahoma" w:hAnsi="Tahoma"/>
                <w:color w:val="000000" w:themeColor="text1"/>
                <w:sz w:val="16"/>
                <w:lang w:val="en-GB"/>
              </w:rPr>
            </w:pPr>
            <w:r w:rsidRPr="00E61AF9">
              <w:rPr>
                <w:rFonts w:ascii="Tahoma" w:hAnsi="Tahoma"/>
                <w:color w:val="000000" w:themeColor="text1"/>
                <w:sz w:val="16"/>
                <w:lang w:val="en-GB"/>
              </w:rPr>
              <w:t>(21)</w:t>
            </w:r>
          </w:p>
        </w:tc>
        <w:tc>
          <w:tcPr>
            <w:tcW w:w="1134" w:type="dxa"/>
            <w:tcBorders>
              <w:top w:val="single" w:sz="4" w:space="0" w:color="auto"/>
              <w:right w:val="single" w:sz="4" w:space="0" w:color="auto"/>
            </w:tcBorders>
            <w:shd w:val="clear" w:color="auto" w:fill="auto"/>
            <w:tcMar>
              <w:top w:w="57" w:type="dxa"/>
              <w:left w:w="0" w:type="dxa"/>
              <w:bottom w:w="57" w:type="dxa"/>
              <w:right w:w="0" w:type="dxa"/>
            </w:tcMar>
            <w:vAlign w:val="bottom"/>
          </w:tcPr>
          <w:p w14:paraId="65AB80AC" w14:textId="77777777" w:rsidR="00E61AF9" w:rsidRPr="00E61AF9" w:rsidRDefault="00E61AF9" w:rsidP="00BA7BA6">
            <w:pPr>
              <w:spacing w:line="240" w:lineRule="atLeast"/>
              <w:ind w:right="113"/>
              <w:jc w:val="right"/>
              <w:rPr>
                <w:rFonts w:ascii="Tahoma" w:hAnsi="Tahoma"/>
                <w:color w:val="000000" w:themeColor="text1"/>
                <w:sz w:val="16"/>
                <w:lang w:val="en-GB"/>
              </w:rPr>
            </w:pPr>
            <w:r w:rsidRPr="00E61AF9">
              <w:rPr>
                <w:rFonts w:ascii="Tahoma" w:hAnsi="Tahoma"/>
                <w:color w:val="000000" w:themeColor="text1"/>
                <w:sz w:val="16"/>
                <w:lang w:val="en-GB"/>
              </w:rPr>
              <w:t>7 502</w:t>
            </w:r>
          </w:p>
        </w:tc>
      </w:tr>
      <w:tr w:rsidR="00615190" w:rsidRPr="00E61AF9" w14:paraId="724AB94A" w14:textId="77777777" w:rsidTr="00EA4BE7">
        <w:trPr>
          <w:trHeight w:val="60"/>
        </w:trPr>
        <w:tc>
          <w:tcPr>
            <w:tcW w:w="397" w:type="dxa"/>
            <w:shd w:val="clear" w:color="auto" w:fill="auto"/>
            <w:tcMar>
              <w:top w:w="57" w:type="dxa"/>
              <w:left w:w="0" w:type="dxa"/>
              <w:bottom w:w="57" w:type="dxa"/>
              <w:right w:w="0" w:type="dxa"/>
            </w:tcMar>
            <w:vAlign w:val="bottom"/>
          </w:tcPr>
          <w:p w14:paraId="25AFA5CA" w14:textId="77777777" w:rsidR="00E61AF9" w:rsidRPr="00E61AF9" w:rsidRDefault="00E61AF9" w:rsidP="00615190">
            <w:pPr>
              <w:spacing w:line="240" w:lineRule="atLeast"/>
              <w:rPr>
                <w:rFonts w:ascii="Tahoma" w:hAnsi="Tahoma"/>
                <w:color w:val="000000" w:themeColor="text1"/>
                <w:sz w:val="16"/>
                <w:lang w:val="en-GB"/>
              </w:rPr>
            </w:pPr>
          </w:p>
        </w:tc>
        <w:tc>
          <w:tcPr>
            <w:tcW w:w="5273" w:type="dxa"/>
            <w:tcBorders>
              <w:right w:val="single" w:sz="4" w:space="0" w:color="auto"/>
            </w:tcBorders>
            <w:shd w:val="clear" w:color="auto" w:fill="auto"/>
            <w:tcMar>
              <w:top w:w="57" w:type="dxa"/>
              <w:left w:w="113" w:type="dxa"/>
              <w:bottom w:w="57" w:type="dxa"/>
              <w:right w:w="0" w:type="dxa"/>
            </w:tcMar>
            <w:vAlign w:val="bottom"/>
          </w:tcPr>
          <w:p w14:paraId="5E77FEFD" w14:textId="77777777" w:rsidR="00E61AF9" w:rsidRPr="00E61AF9" w:rsidRDefault="00E61AF9" w:rsidP="00615190">
            <w:pPr>
              <w:spacing w:line="240" w:lineRule="atLeast"/>
              <w:rPr>
                <w:rFonts w:ascii="Tahoma" w:hAnsi="Tahoma"/>
                <w:color w:val="000000" w:themeColor="text1"/>
                <w:sz w:val="16"/>
                <w:lang w:val="en-GB"/>
              </w:rPr>
            </w:pPr>
            <w:r w:rsidRPr="00E61AF9">
              <w:rPr>
                <w:rFonts w:ascii="Tahoma" w:hAnsi="Tahoma"/>
                <w:color w:val="000000" w:themeColor="text1"/>
                <w:sz w:val="16"/>
                <w:lang w:val="en-GB"/>
              </w:rPr>
              <w:t>VK</w:t>
            </w:r>
            <w:r w:rsidRPr="00E61AF9">
              <w:rPr>
                <w:rFonts w:ascii="Tahoma" w:hAnsi="Tahoma"/>
                <w:color w:val="000000" w:themeColor="text1"/>
                <w:sz w:val="16"/>
                <w:vertAlign w:val="superscript"/>
                <w:lang w:val="en-GB"/>
              </w:rPr>
              <w:t>2</w:t>
            </w:r>
          </w:p>
        </w:tc>
        <w:tc>
          <w:tcPr>
            <w:tcW w:w="1134" w:type="dxa"/>
            <w:tcBorders>
              <w:left w:val="single" w:sz="4" w:space="0" w:color="auto"/>
              <w:bottom w:val="single" w:sz="4" w:space="0" w:color="auto"/>
            </w:tcBorders>
            <w:shd w:val="clear" w:color="auto" w:fill="auto"/>
            <w:tcMar>
              <w:top w:w="57" w:type="dxa"/>
              <w:left w:w="0" w:type="dxa"/>
              <w:bottom w:w="57" w:type="dxa"/>
              <w:right w:w="0" w:type="dxa"/>
            </w:tcMar>
            <w:vAlign w:val="bottom"/>
          </w:tcPr>
          <w:p w14:paraId="3C7E0A20" w14:textId="77777777" w:rsidR="00E61AF9" w:rsidRPr="00E61AF9" w:rsidRDefault="00E61AF9" w:rsidP="00200D91">
            <w:pPr>
              <w:spacing w:line="240" w:lineRule="atLeast"/>
              <w:jc w:val="right"/>
              <w:rPr>
                <w:rFonts w:ascii="Tahoma" w:hAnsi="Tahoma"/>
                <w:b/>
                <w:bCs/>
                <w:color w:val="000000" w:themeColor="text1"/>
                <w:sz w:val="16"/>
                <w:lang w:val="en-GB"/>
              </w:rPr>
            </w:pPr>
            <w:r w:rsidRPr="00E61AF9">
              <w:rPr>
                <w:rFonts w:ascii="Tahoma" w:hAnsi="Tahoma"/>
                <w:b/>
                <w:bCs/>
                <w:color w:val="000000" w:themeColor="text1"/>
                <w:sz w:val="16"/>
                <w:lang w:val="en-GB"/>
              </w:rPr>
              <w:t>—</w:t>
            </w:r>
          </w:p>
        </w:tc>
        <w:tc>
          <w:tcPr>
            <w:tcW w:w="1134" w:type="dxa"/>
            <w:tcBorders>
              <w:bottom w:val="single" w:sz="4" w:space="0" w:color="auto"/>
            </w:tcBorders>
            <w:shd w:val="clear" w:color="auto" w:fill="auto"/>
            <w:tcMar>
              <w:top w:w="57" w:type="dxa"/>
              <w:left w:w="0" w:type="dxa"/>
              <w:bottom w:w="57" w:type="dxa"/>
              <w:right w:w="0" w:type="dxa"/>
            </w:tcMar>
            <w:vAlign w:val="bottom"/>
          </w:tcPr>
          <w:p w14:paraId="4A573BC6" w14:textId="77777777" w:rsidR="00E61AF9" w:rsidRPr="00E61AF9" w:rsidRDefault="00E61AF9" w:rsidP="00200D91">
            <w:pPr>
              <w:spacing w:line="240" w:lineRule="atLeast"/>
              <w:jc w:val="right"/>
              <w:rPr>
                <w:rFonts w:ascii="Tahoma" w:hAnsi="Tahoma"/>
                <w:color w:val="000000" w:themeColor="text1"/>
                <w:sz w:val="16"/>
                <w:lang w:val="en-GB"/>
              </w:rPr>
            </w:pPr>
            <w:r w:rsidRPr="00E61AF9">
              <w:rPr>
                <w:rFonts w:ascii="Tahoma" w:hAnsi="Tahoma"/>
                <w:color w:val="000000" w:themeColor="text1"/>
                <w:sz w:val="16"/>
                <w:lang w:val="en-GB"/>
              </w:rPr>
              <w:t>43</w:t>
            </w:r>
          </w:p>
        </w:tc>
        <w:tc>
          <w:tcPr>
            <w:tcW w:w="1134" w:type="dxa"/>
            <w:tcBorders>
              <w:bottom w:val="single" w:sz="4" w:space="0" w:color="auto"/>
            </w:tcBorders>
            <w:shd w:val="clear" w:color="auto" w:fill="auto"/>
            <w:tcMar>
              <w:top w:w="57" w:type="dxa"/>
              <w:left w:w="0" w:type="dxa"/>
              <w:bottom w:w="57" w:type="dxa"/>
              <w:right w:w="0" w:type="dxa"/>
            </w:tcMar>
            <w:vAlign w:val="bottom"/>
          </w:tcPr>
          <w:p w14:paraId="0F9D0615" w14:textId="77777777" w:rsidR="00E61AF9" w:rsidRPr="00E61AF9" w:rsidRDefault="00E61AF9" w:rsidP="00200D91">
            <w:pPr>
              <w:spacing w:line="240" w:lineRule="atLeast"/>
              <w:jc w:val="right"/>
              <w:rPr>
                <w:rFonts w:ascii="Tahoma" w:hAnsi="Tahoma"/>
                <w:color w:val="000000" w:themeColor="text1"/>
                <w:sz w:val="16"/>
                <w:lang w:val="en-GB"/>
              </w:rPr>
            </w:pPr>
            <w:r w:rsidRPr="00E61AF9">
              <w:rPr>
                <w:rFonts w:ascii="Tahoma" w:hAnsi="Tahoma"/>
                <w:color w:val="000000" w:themeColor="text1"/>
                <w:sz w:val="16"/>
                <w:lang w:val="en-GB"/>
              </w:rPr>
              <w:t>(100)</w:t>
            </w:r>
          </w:p>
        </w:tc>
        <w:tc>
          <w:tcPr>
            <w:tcW w:w="1134" w:type="dxa"/>
            <w:tcBorders>
              <w:bottom w:val="single" w:sz="4" w:space="0" w:color="auto"/>
              <w:right w:val="single" w:sz="4" w:space="0" w:color="auto"/>
            </w:tcBorders>
            <w:shd w:val="clear" w:color="auto" w:fill="auto"/>
            <w:tcMar>
              <w:top w:w="57" w:type="dxa"/>
              <w:left w:w="0" w:type="dxa"/>
              <w:bottom w:w="57" w:type="dxa"/>
              <w:right w:w="0" w:type="dxa"/>
            </w:tcMar>
            <w:vAlign w:val="bottom"/>
          </w:tcPr>
          <w:p w14:paraId="15FEFD5E" w14:textId="77777777" w:rsidR="00E61AF9" w:rsidRPr="00E61AF9" w:rsidRDefault="00E61AF9" w:rsidP="00BA7BA6">
            <w:pPr>
              <w:spacing w:line="240" w:lineRule="atLeast"/>
              <w:ind w:right="113"/>
              <w:jc w:val="right"/>
              <w:rPr>
                <w:rFonts w:ascii="Tahoma" w:hAnsi="Tahoma"/>
                <w:color w:val="000000" w:themeColor="text1"/>
                <w:sz w:val="16"/>
                <w:lang w:val="en-GB"/>
              </w:rPr>
            </w:pPr>
            <w:r w:rsidRPr="00E61AF9">
              <w:rPr>
                <w:rFonts w:ascii="Tahoma" w:hAnsi="Tahoma"/>
                <w:color w:val="000000" w:themeColor="text1"/>
                <w:sz w:val="16"/>
                <w:lang w:val="en-GB"/>
              </w:rPr>
              <w:t>121</w:t>
            </w:r>
          </w:p>
        </w:tc>
      </w:tr>
      <w:tr w:rsidR="00615190" w:rsidRPr="00E61AF9" w14:paraId="1EA23600" w14:textId="77777777" w:rsidTr="009D4076">
        <w:trPr>
          <w:trHeight w:val="60"/>
        </w:trPr>
        <w:tc>
          <w:tcPr>
            <w:tcW w:w="397" w:type="dxa"/>
            <w:shd w:val="clear" w:color="auto" w:fill="auto"/>
            <w:tcMar>
              <w:top w:w="57" w:type="dxa"/>
              <w:left w:w="0" w:type="dxa"/>
              <w:bottom w:w="85" w:type="dxa"/>
              <w:right w:w="0" w:type="dxa"/>
            </w:tcMar>
            <w:vAlign w:val="bottom"/>
          </w:tcPr>
          <w:p w14:paraId="37B34A4A" w14:textId="77777777" w:rsidR="00E61AF9" w:rsidRPr="00E61AF9" w:rsidRDefault="00E61AF9" w:rsidP="00615190">
            <w:pPr>
              <w:spacing w:line="240" w:lineRule="atLeast"/>
              <w:rPr>
                <w:rFonts w:ascii="Tahoma" w:hAnsi="Tahoma"/>
                <w:color w:val="000000" w:themeColor="text1"/>
                <w:sz w:val="16"/>
                <w:lang w:val="en-GB"/>
              </w:rPr>
            </w:pPr>
          </w:p>
        </w:tc>
        <w:tc>
          <w:tcPr>
            <w:tcW w:w="5273" w:type="dxa"/>
            <w:tcBorders>
              <w:bottom w:val="single" w:sz="4" w:space="0" w:color="auto"/>
            </w:tcBorders>
            <w:shd w:val="clear" w:color="auto" w:fill="auto"/>
            <w:tcMar>
              <w:top w:w="57" w:type="dxa"/>
              <w:left w:w="0" w:type="dxa"/>
              <w:bottom w:w="85" w:type="dxa"/>
              <w:right w:w="0" w:type="dxa"/>
            </w:tcMar>
            <w:vAlign w:val="bottom"/>
          </w:tcPr>
          <w:p w14:paraId="7435BCD7" w14:textId="77777777" w:rsidR="00E61AF9" w:rsidRPr="00E61AF9" w:rsidRDefault="00E61AF9" w:rsidP="00615190">
            <w:pPr>
              <w:spacing w:line="240" w:lineRule="atLeast"/>
              <w:rPr>
                <w:rFonts w:ascii="Tahoma" w:hAnsi="Tahoma"/>
                <w:color w:val="000000" w:themeColor="text1"/>
                <w:sz w:val="16"/>
                <w:lang w:val="en-GB"/>
              </w:rPr>
            </w:pPr>
            <w:r w:rsidRPr="00E61AF9">
              <w:rPr>
                <w:rFonts w:ascii="Tahoma" w:hAnsi="Tahoma"/>
                <w:color w:val="000000" w:themeColor="text1"/>
                <w:sz w:val="16"/>
                <w:lang w:val="en-GB"/>
              </w:rPr>
              <w:t>Corporate segment</w:t>
            </w:r>
          </w:p>
        </w:tc>
        <w:tc>
          <w:tcPr>
            <w:tcW w:w="1134" w:type="dxa"/>
            <w:tcBorders>
              <w:top w:val="single" w:sz="4" w:space="0" w:color="auto"/>
              <w:bottom w:val="single" w:sz="4" w:space="0" w:color="auto"/>
            </w:tcBorders>
            <w:shd w:val="clear" w:color="auto" w:fill="auto"/>
            <w:tcMar>
              <w:top w:w="57" w:type="dxa"/>
              <w:left w:w="0" w:type="dxa"/>
              <w:bottom w:w="85" w:type="dxa"/>
              <w:right w:w="0" w:type="dxa"/>
            </w:tcMar>
            <w:vAlign w:val="bottom"/>
          </w:tcPr>
          <w:p w14:paraId="4C9A7AA4" w14:textId="77777777" w:rsidR="00E61AF9" w:rsidRPr="00E61AF9" w:rsidRDefault="00E61AF9" w:rsidP="00200D91">
            <w:pPr>
              <w:spacing w:line="240" w:lineRule="atLeast"/>
              <w:jc w:val="right"/>
              <w:rPr>
                <w:rFonts w:ascii="Tahoma" w:hAnsi="Tahoma"/>
                <w:b/>
                <w:bCs/>
                <w:color w:val="000000" w:themeColor="text1"/>
                <w:sz w:val="16"/>
                <w:lang w:val="en-GB"/>
              </w:rPr>
            </w:pPr>
            <w:r w:rsidRPr="00E61AF9">
              <w:rPr>
                <w:rFonts w:ascii="Tahoma" w:hAnsi="Tahoma"/>
                <w:b/>
                <w:bCs/>
                <w:color w:val="000000" w:themeColor="text1"/>
                <w:sz w:val="16"/>
                <w:lang w:val="en-GB"/>
              </w:rPr>
              <w:t>(78)</w:t>
            </w:r>
          </w:p>
        </w:tc>
        <w:tc>
          <w:tcPr>
            <w:tcW w:w="1134" w:type="dxa"/>
            <w:tcBorders>
              <w:top w:val="single" w:sz="4" w:space="0" w:color="auto"/>
              <w:bottom w:val="single" w:sz="4" w:space="0" w:color="auto"/>
            </w:tcBorders>
            <w:shd w:val="clear" w:color="auto" w:fill="auto"/>
            <w:tcMar>
              <w:top w:w="57" w:type="dxa"/>
              <w:left w:w="0" w:type="dxa"/>
              <w:bottom w:w="85" w:type="dxa"/>
              <w:right w:w="0" w:type="dxa"/>
            </w:tcMar>
            <w:vAlign w:val="bottom"/>
          </w:tcPr>
          <w:p w14:paraId="5D5FCD34" w14:textId="77777777" w:rsidR="00E61AF9" w:rsidRPr="00E61AF9" w:rsidRDefault="00E61AF9" w:rsidP="00200D91">
            <w:pPr>
              <w:spacing w:line="240" w:lineRule="atLeast"/>
              <w:jc w:val="right"/>
              <w:rPr>
                <w:rFonts w:ascii="Tahoma" w:hAnsi="Tahoma"/>
                <w:color w:val="000000" w:themeColor="text1"/>
                <w:sz w:val="16"/>
                <w:lang w:val="en-GB"/>
              </w:rPr>
            </w:pPr>
            <w:r w:rsidRPr="00E61AF9">
              <w:rPr>
                <w:rFonts w:ascii="Tahoma" w:hAnsi="Tahoma"/>
                <w:color w:val="000000" w:themeColor="text1"/>
                <w:sz w:val="16"/>
                <w:lang w:val="en-GB"/>
              </w:rPr>
              <w:t>(75)</w:t>
            </w:r>
          </w:p>
        </w:tc>
        <w:tc>
          <w:tcPr>
            <w:tcW w:w="1134" w:type="dxa"/>
            <w:tcBorders>
              <w:top w:val="single" w:sz="4" w:space="0" w:color="auto"/>
              <w:bottom w:val="single" w:sz="4" w:space="0" w:color="auto"/>
            </w:tcBorders>
            <w:shd w:val="clear" w:color="auto" w:fill="auto"/>
            <w:tcMar>
              <w:top w:w="57" w:type="dxa"/>
              <w:left w:w="0" w:type="dxa"/>
              <w:bottom w:w="85" w:type="dxa"/>
              <w:right w:w="0" w:type="dxa"/>
            </w:tcMar>
            <w:vAlign w:val="bottom"/>
          </w:tcPr>
          <w:p w14:paraId="3F5025BF" w14:textId="77777777" w:rsidR="00E61AF9" w:rsidRPr="00E61AF9" w:rsidRDefault="00E61AF9" w:rsidP="00200D91">
            <w:pPr>
              <w:spacing w:line="240" w:lineRule="atLeast"/>
              <w:jc w:val="right"/>
              <w:rPr>
                <w:rFonts w:ascii="Tahoma" w:hAnsi="Tahoma"/>
                <w:color w:val="000000" w:themeColor="text1"/>
                <w:sz w:val="16"/>
                <w:lang w:val="en-GB"/>
              </w:rPr>
            </w:pPr>
            <w:r w:rsidRPr="00E61AF9">
              <w:rPr>
                <w:rFonts w:ascii="Tahoma" w:hAnsi="Tahoma"/>
                <w:color w:val="000000" w:themeColor="text1"/>
                <w:sz w:val="16"/>
                <w:lang w:val="en-GB"/>
              </w:rPr>
              <w:t>(4)</w:t>
            </w:r>
          </w:p>
        </w:tc>
        <w:tc>
          <w:tcPr>
            <w:tcW w:w="1134" w:type="dxa"/>
            <w:tcBorders>
              <w:top w:val="single" w:sz="4" w:space="0" w:color="auto"/>
              <w:bottom w:val="single" w:sz="4" w:space="0" w:color="auto"/>
            </w:tcBorders>
            <w:shd w:val="clear" w:color="auto" w:fill="auto"/>
            <w:tcMar>
              <w:top w:w="57" w:type="dxa"/>
              <w:left w:w="0" w:type="dxa"/>
              <w:bottom w:w="85" w:type="dxa"/>
              <w:right w:w="0" w:type="dxa"/>
            </w:tcMar>
            <w:vAlign w:val="bottom"/>
          </w:tcPr>
          <w:p w14:paraId="00C4F2C6" w14:textId="77777777" w:rsidR="00E61AF9" w:rsidRPr="00E61AF9" w:rsidRDefault="00E61AF9" w:rsidP="00BA7BA6">
            <w:pPr>
              <w:spacing w:line="240" w:lineRule="atLeast"/>
              <w:ind w:right="113"/>
              <w:jc w:val="right"/>
              <w:rPr>
                <w:rFonts w:ascii="Tahoma" w:hAnsi="Tahoma"/>
                <w:color w:val="000000" w:themeColor="text1"/>
                <w:sz w:val="16"/>
                <w:lang w:val="en-GB"/>
              </w:rPr>
            </w:pPr>
            <w:r w:rsidRPr="00E61AF9">
              <w:rPr>
                <w:rFonts w:ascii="Tahoma" w:hAnsi="Tahoma"/>
                <w:color w:val="000000" w:themeColor="text1"/>
                <w:sz w:val="16"/>
                <w:lang w:val="en-GB"/>
              </w:rPr>
              <w:t>(160)</w:t>
            </w:r>
          </w:p>
        </w:tc>
      </w:tr>
      <w:tr w:rsidR="00615190" w:rsidRPr="00E61AF9" w14:paraId="4311CA20" w14:textId="77777777" w:rsidTr="00EA1F9B">
        <w:trPr>
          <w:trHeight w:val="60"/>
        </w:trPr>
        <w:tc>
          <w:tcPr>
            <w:tcW w:w="397" w:type="dxa"/>
            <w:shd w:val="clear" w:color="auto" w:fill="auto"/>
            <w:tcMar>
              <w:top w:w="85" w:type="dxa"/>
              <w:left w:w="0" w:type="dxa"/>
              <w:bottom w:w="57" w:type="dxa"/>
              <w:right w:w="0" w:type="dxa"/>
            </w:tcMar>
            <w:vAlign w:val="bottom"/>
          </w:tcPr>
          <w:p w14:paraId="4FFE6DF3" w14:textId="77777777" w:rsidR="00E61AF9" w:rsidRPr="00E61AF9" w:rsidRDefault="00E61AF9" w:rsidP="00615190">
            <w:pPr>
              <w:spacing w:line="240" w:lineRule="atLeast"/>
              <w:rPr>
                <w:rFonts w:ascii="Tahoma" w:hAnsi="Tahoma"/>
                <w:color w:val="000000" w:themeColor="text1"/>
                <w:sz w:val="16"/>
                <w:lang w:val="en-GB"/>
              </w:rPr>
            </w:pPr>
          </w:p>
        </w:tc>
        <w:tc>
          <w:tcPr>
            <w:tcW w:w="5273" w:type="dxa"/>
            <w:tcBorders>
              <w:top w:val="single" w:sz="4" w:space="0" w:color="auto"/>
            </w:tcBorders>
            <w:shd w:val="clear" w:color="auto" w:fill="auto"/>
            <w:tcMar>
              <w:top w:w="85" w:type="dxa"/>
              <w:left w:w="0" w:type="dxa"/>
              <w:bottom w:w="57" w:type="dxa"/>
              <w:right w:w="0" w:type="dxa"/>
            </w:tcMar>
            <w:vAlign w:val="bottom"/>
          </w:tcPr>
          <w:p w14:paraId="6ECCE159" w14:textId="77777777" w:rsidR="00E61AF9" w:rsidRPr="00E61AF9" w:rsidRDefault="00E61AF9" w:rsidP="00615190">
            <w:pPr>
              <w:spacing w:line="240" w:lineRule="atLeast"/>
              <w:rPr>
                <w:rFonts w:ascii="Tahoma" w:hAnsi="Tahoma"/>
                <w:b/>
                <w:bCs/>
                <w:color w:val="000000" w:themeColor="text1"/>
                <w:sz w:val="16"/>
                <w:lang w:val="en-GB"/>
              </w:rPr>
            </w:pPr>
            <w:r w:rsidRPr="00E61AF9">
              <w:rPr>
                <w:rFonts w:ascii="Tahoma" w:hAnsi="Tahoma"/>
                <w:b/>
                <w:bCs/>
                <w:color w:val="000000" w:themeColor="text1"/>
                <w:sz w:val="16"/>
                <w:lang w:val="en-GB"/>
              </w:rPr>
              <w:t>Total economic interest from continuing operations</w:t>
            </w:r>
          </w:p>
        </w:tc>
        <w:tc>
          <w:tcPr>
            <w:tcW w:w="1134" w:type="dxa"/>
            <w:tcBorders>
              <w:top w:val="single" w:sz="4" w:space="0" w:color="auto"/>
            </w:tcBorders>
            <w:shd w:val="clear" w:color="auto" w:fill="auto"/>
            <w:tcMar>
              <w:top w:w="85" w:type="dxa"/>
              <w:left w:w="0" w:type="dxa"/>
              <w:bottom w:w="57" w:type="dxa"/>
              <w:right w:w="0" w:type="dxa"/>
            </w:tcMar>
            <w:vAlign w:val="bottom"/>
          </w:tcPr>
          <w:p w14:paraId="44EE023A" w14:textId="77777777" w:rsidR="00E61AF9" w:rsidRPr="00E61AF9" w:rsidRDefault="00E61AF9" w:rsidP="00200D91">
            <w:pPr>
              <w:spacing w:line="240" w:lineRule="atLeast"/>
              <w:jc w:val="right"/>
              <w:rPr>
                <w:rFonts w:ascii="Tahoma" w:hAnsi="Tahoma"/>
                <w:b/>
                <w:bCs/>
                <w:color w:val="000000" w:themeColor="text1"/>
                <w:sz w:val="16"/>
                <w:lang w:val="en-GB"/>
              </w:rPr>
            </w:pPr>
            <w:r w:rsidRPr="00E61AF9">
              <w:rPr>
                <w:rFonts w:ascii="Tahoma" w:hAnsi="Tahoma"/>
                <w:b/>
                <w:bCs/>
                <w:color w:val="000000" w:themeColor="text1"/>
                <w:sz w:val="16"/>
                <w:lang w:val="en-GB"/>
              </w:rPr>
              <w:t>2 185</w:t>
            </w:r>
          </w:p>
        </w:tc>
        <w:tc>
          <w:tcPr>
            <w:tcW w:w="1134" w:type="dxa"/>
            <w:tcBorders>
              <w:top w:val="single" w:sz="4" w:space="0" w:color="auto"/>
            </w:tcBorders>
            <w:shd w:val="clear" w:color="auto" w:fill="auto"/>
            <w:tcMar>
              <w:top w:w="85" w:type="dxa"/>
              <w:left w:w="0" w:type="dxa"/>
              <w:bottom w:w="57" w:type="dxa"/>
              <w:right w:w="0" w:type="dxa"/>
            </w:tcMar>
            <w:vAlign w:val="bottom"/>
          </w:tcPr>
          <w:p w14:paraId="79D83E50" w14:textId="77777777" w:rsidR="00E61AF9" w:rsidRPr="00E61AF9" w:rsidRDefault="00E61AF9" w:rsidP="00200D91">
            <w:pPr>
              <w:spacing w:line="240" w:lineRule="atLeast"/>
              <w:jc w:val="right"/>
              <w:rPr>
                <w:rFonts w:ascii="Tahoma" w:hAnsi="Tahoma"/>
                <w:color w:val="000000" w:themeColor="text1"/>
                <w:sz w:val="16"/>
                <w:lang w:val="en-GB"/>
              </w:rPr>
            </w:pPr>
            <w:r w:rsidRPr="00E61AF9">
              <w:rPr>
                <w:rFonts w:ascii="Tahoma" w:hAnsi="Tahoma"/>
                <w:color w:val="000000" w:themeColor="text1"/>
                <w:sz w:val="16"/>
                <w:lang w:val="en-GB"/>
              </w:rPr>
              <w:t>3 498</w:t>
            </w:r>
          </w:p>
        </w:tc>
        <w:tc>
          <w:tcPr>
            <w:tcW w:w="1134" w:type="dxa"/>
            <w:tcBorders>
              <w:top w:val="single" w:sz="4" w:space="0" w:color="auto"/>
            </w:tcBorders>
            <w:shd w:val="clear" w:color="auto" w:fill="auto"/>
            <w:tcMar>
              <w:top w:w="85" w:type="dxa"/>
              <w:left w:w="0" w:type="dxa"/>
              <w:bottom w:w="57" w:type="dxa"/>
              <w:right w:w="0" w:type="dxa"/>
            </w:tcMar>
            <w:vAlign w:val="bottom"/>
          </w:tcPr>
          <w:p w14:paraId="77DB7BB2" w14:textId="77777777" w:rsidR="00E61AF9" w:rsidRPr="00E61AF9" w:rsidRDefault="00E61AF9" w:rsidP="00200D91">
            <w:pPr>
              <w:spacing w:line="240" w:lineRule="atLeast"/>
              <w:jc w:val="right"/>
              <w:rPr>
                <w:rFonts w:ascii="Tahoma" w:hAnsi="Tahoma"/>
                <w:color w:val="000000" w:themeColor="text1"/>
                <w:sz w:val="16"/>
                <w:lang w:val="en-GB"/>
              </w:rPr>
            </w:pPr>
            <w:r w:rsidRPr="00E61AF9">
              <w:rPr>
                <w:rFonts w:ascii="Tahoma" w:hAnsi="Tahoma"/>
                <w:color w:val="000000" w:themeColor="text1"/>
                <w:sz w:val="16"/>
                <w:lang w:val="en-GB"/>
              </w:rPr>
              <w:t>(38)</w:t>
            </w:r>
          </w:p>
        </w:tc>
        <w:tc>
          <w:tcPr>
            <w:tcW w:w="1134" w:type="dxa"/>
            <w:tcBorders>
              <w:top w:val="single" w:sz="4" w:space="0" w:color="auto"/>
            </w:tcBorders>
            <w:shd w:val="clear" w:color="auto" w:fill="auto"/>
            <w:tcMar>
              <w:top w:w="85" w:type="dxa"/>
              <w:left w:w="0" w:type="dxa"/>
              <w:bottom w:w="57" w:type="dxa"/>
              <w:right w:w="0" w:type="dxa"/>
            </w:tcMar>
            <w:vAlign w:val="bottom"/>
          </w:tcPr>
          <w:p w14:paraId="3A254696" w14:textId="77777777" w:rsidR="00E61AF9" w:rsidRPr="00E61AF9" w:rsidRDefault="00E61AF9" w:rsidP="00BA7BA6">
            <w:pPr>
              <w:spacing w:line="240" w:lineRule="atLeast"/>
              <w:ind w:right="113"/>
              <w:jc w:val="right"/>
              <w:rPr>
                <w:rFonts w:ascii="Tahoma" w:hAnsi="Tahoma"/>
                <w:color w:val="000000" w:themeColor="text1"/>
                <w:sz w:val="16"/>
                <w:lang w:val="en-GB"/>
              </w:rPr>
            </w:pPr>
            <w:r w:rsidRPr="00E61AF9">
              <w:rPr>
                <w:rFonts w:ascii="Tahoma" w:hAnsi="Tahoma"/>
                <w:color w:val="000000" w:themeColor="text1"/>
                <w:sz w:val="16"/>
                <w:lang w:val="en-GB"/>
              </w:rPr>
              <w:t>6 328</w:t>
            </w:r>
          </w:p>
        </w:tc>
      </w:tr>
      <w:tr w:rsidR="00615190" w:rsidRPr="00E61AF9" w14:paraId="1B3B9962" w14:textId="77777777" w:rsidTr="007747B2">
        <w:trPr>
          <w:trHeight w:val="60"/>
        </w:trPr>
        <w:tc>
          <w:tcPr>
            <w:tcW w:w="397" w:type="dxa"/>
            <w:shd w:val="clear" w:color="auto" w:fill="auto"/>
            <w:tcMar>
              <w:top w:w="57" w:type="dxa"/>
              <w:left w:w="0" w:type="dxa"/>
              <w:bottom w:w="85" w:type="dxa"/>
              <w:right w:w="0" w:type="dxa"/>
            </w:tcMar>
            <w:vAlign w:val="bottom"/>
          </w:tcPr>
          <w:p w14:paraId="1C83FB1A" w14:textId="77777777" w:rsidR="00E61AF9" w:rsidRPr="00E61AF9" w:rsidRDefault="00E61AF9" w:rsidP="00615190">
            <w:pPr>
              <w:spacing w:line="240" w:lineRule="atLeast"/>
              <w:rPr>
                <w:rFonts w:ascii="Tahoma" w:hAnsi="Tahoma"/>
                <w:color w:val="000000" w:themeColor="text1"/>
                <w:sz w:val="16"/>
                <w:lang w:val="en-GB"/>
              </w:rPr>
            </w:pPr>
          </w:p>
        </w:tc>
        <w:tc>
          <w:tcPr>
            <w:tcW w:w="5273" w:type="dxa"/>
            <w:tcBorders>
              <w:bottom w:val="single" w:sz="4" w:space="0" w:color="auto"/>
            </w:tcBorders>
            <w:shd w:val="clear" w:color="auto" w:fill="auto"/>
            <w:tcMar>
              <w:top w:w="57" w:type="dxa"/>
              <w:left w:w="0" w:type="dxa"/>
              <w:bottom w:w="85" w:type="dxa"/>
              <w:right w:w="0" w:type="dxa"/>
            </w:tcMar>
            <w:vAlign w:val="bottom"/>
          </w:tcPr>
          <w:p w14:paraId="0E44E73F" w14:textId="77777777" w:rsidR="00E61AF9" w:rsidRPr="00E61AF9" w:rsidRDefault="00E61AF9" w:rsidP="00615190">
            <w:pPr>
              <w:spacing w:line="240" w:lineRule="atLeast"/>
              <w:rPr>
                <w:rFonts w:ascii="Tahoma" w:hAnsi="Tahoma"/>
                <w:color w:val="000000" w:themeColor="text1"/>
                <w:sz w:val="16"/>
                <w:lang w:val="en-GB"/>
              </w:rPr>
            </w:pPr>
            <w:r w:rsidRPr="00E61AF9">
              <w:rPr>
                <w:rFonts w:ascii="Tahoma" w:hAnsi="Tahoma"/>
                <w:i/>
                <w:iCs/>
                <w:color w:val="000000" w:themeColor="text1"/>
                <w:sz w:val="16"/>
                <w:lang w:val="en-GB"/>
              </w:rPr>
              <w:t>Less</w:t>
            </w:r>
            <w:r w:rsidRPr="00E61AF9">
              <w:rPr>
                <w:rFonts w:ascii="Tahoma" w:hAnsi="Tahoma"/>
                <w:color w:val="000000" w:themeColor="text1"/>
                <w:sz w:val="16"/>
                <w:lang w:val="en-GB"/>
              </w:rPr>
              <w:t>: Equity-accounted investments</w:t>
            </w:r>
          </w:p>
        </w:tc>
        <w:tc>
          <w:tcPr>
            <w:tcW w:w="1134" w:type="dxa"/>
            <w:tcBorders>
              <w:bottom w:val="single" w:sz="4" w:space="0" w:color="auto"/>
            </w:tcBorders>
            <w:shd w:val="clear" w:color="auto" w:fill="auto"/>
            <w:tcMar>
              <w:top w:w="57" w:type="dxa"/>
              <w:left w:w="0" w:type="dxa"/>
              <w:bottom w:w="85" w:type="dxa"/>
              <w:right w:w="0" w:type="dxa"/>
            </w:tcMar>
            <w:vAlign w:val="bottom"/>
          </w:tcPr>
          <w:p w14:paraId="0468045A" w14:textId="77777777" w:rsidR="00E61AF9" w:rsidRPr="00E61AF9" w:rsidRDefault="00E61AF9" w:rsidP="00200D91">
            <w:pPr>
              <w:spacing w:line="240" w:lineRule="atLeast"/>
              <w:jc w:val="right"/>
              <w:rPr>
                <w:rFonts w:ascii="Tahoma" w:hAnsi="Tahoma"/>
                <w:b/>
                <w:bCs/>
                <w:color w:val="000000" w:themeColor="text1"/>
                <w:sz w:val="16"/>
                <w:lang w:val="en-GB"/>
              </w:rPr>
            </w:pPr>
            <w:r w:rsidRPr="00E61AF9">
              <w:rPr>
                <w:rFonts w:ascii="Tahoma" w:hAnsi="Tahoma"/>
                <w:b/>
                <w:bCs/>
                <w:color w:val="000000" w:themeColor="text1"/>
                <w:sz w:val="16"/>
                <w:lang w:val="en-GB"/>
              </w:rPr>
              <w:t>(2 654)</w:t>
            </w:r>
          </w:p>
        </w:tc>
        <w:tc>
          <w:tcPr>
            <w:tcW w:w="1134" w:type="dxa"/>
            <w:tcBorders>
              <w:bottom w:val="single" w:sz="4" w:space="0" w:color="auto"/>
            </w:tcBorders>
            <w:shd w:val="clear" w:color="auto" w:fill="auto"/>
            <w:tcMar>
              <w:top w:w="57" w:type="dxa"/>
              <w:left w:w="0" w:type="dxa"/>
              <w:bottom w:w="85" w:type="dxa"/>
              <w:right w:w="0" w:type="dxa"/>
            </w:tcMar>
            <w:vAlign w:val="bottom"/>
          </w:tcPr>
          <w:p w14:paraId="257BA778" w14:textId="77777777" w:rsidR="00E61AF9" w:rsidRPr="00E61AF9" w:rsidRDefault="00E61AF9" w:rsidP="00200D91">
            <w:pPr>
              <w:spacing w:line="240" w:lineRule="atLeast"/>
              <w:jc w:val="right"/>
              <w:rPr>
                <w:rFonts w:ascii="Tahoma" w:hAnsi="Tahoma"/>
                <w:color w:val="000000" w:themeColor="text1"/>
                <w:sz w:val="16"/>
                <w:lang w:val="en-GB"/>
              </w:rPr>
            </w:pPr>
            <w:r w:rsidRPr="00E61AF9">
              <w:rPr>
                <w:rFonts w:ascii="Tahoma" w:hAnsi="Tahoma"/>
                <w:color w:val="000000" w:themeColor="text1"/>
                <w:sz w:val="16"/>
                <w:lang w:val="en-GB"/>
              </w:rPr>
              <w:t>(3 767)</w:t>
            </w:r>
          </w:p>
        </w:tc>
        <w:tc>
          <w:tcPr>
            <w:tcW w:w="1134" w:type="dxa"/>
            <w:tcBorders>
              <w:bottom w:val="single" w:sz="4" w:space="0" w:color="auto"/>
            </w:tcBorders>
            <w:shd w:val="clear" w:color="auto" w:fill="auto"/>
            <w:tcMar>
              <w:top w:w="57" w:type="dxa"/>
              <w:left w:w="0" w:type="dxa"/>
              <w:bottom w:w="85" w:type="dxa"/>
              <w:right w:w="0" w:type="dxa"/>
            </w:tcMar>
            <w:vAlign w:val="bottom"/>
          </w:tcPr>
          <w:p w14:paraId="13D477F8" w14:textId="77777777" w:rsidR="00E61AF9" w:rsidRPr="00E61AF9" w:rsidRDefault="00E61AF9" w:rsidP="00200D91">
            <w:pPr>
              <w:spacing w:line="240" w:lineRule="atLeast"/>
              <w:jc w:val="right"/>
              <w:rPr>
                <w:rFonts w:ascii="Tahoma" w:hAnsi="Tahoma"/>
                <w:color w:val="000000" w:themeColor="text1"/>
                <w:sz w:val="16"/>
                <w:lang w:val="en-GB"/>
              </w:rPr>
            </w:pPr>
            <w:r w:rsidRPr="00E61AF9">
              <w:rPr>
                <w:rFonts w:ascii="Tahoma" w:hAnsi="Tahoma"/>
                <w:color w:val="000000" w:themeColor="text1"/>
                <w:sz w:val="16"/>
                <w:lang w:val="en-GB"/>
              </w:rPr>
              <w:t>(30)</w:t>
            </w:r>
          </w:p>
        </w:tc>
        <w:tc>
          <w:tcPr>
            <w:tcW w:w="1134" w:type="dxa"/>
            <w:tcBorders>
              <w:bottom w:val="single" w:sz="4" w:space="0" w:color="auto"/>
            </w:tcBorders>
            <w:shd w:val="clear" w:color="auto" w:fill="auto"/>
            <w:tcMar>
              <w:top w:w="57" w:type="dxa"/>
              <w:left w:w="0" w:type="dxa"/>
              <w:bottom w:w="85" w:type="dxa"/>
              <w:right w:w="0" w:type="dxa"/>
            </w:tcMar>
            <w:vAlign w:val="bottom"/>
          </w:tcPr>
          <w:p w14:paraId="590B229C" w14:textId="77777777" w:rsidR="00E61AF9" w:rsidRPr="00E61AF9" w:rsidRDefault="00E61AF9" w:rsidP="00BA7BA6">
            <w:pPr>
              <w:spacing w:line="240" w:lineRule="atLeast"/>
              <w:ind w:right="113"/>
              <w:jc w:val="right"/>
              <w:rPr>
                <w:rFonts w:ascii="Tahoma" w:hAnsi="Tahoma"/>
                <w:color w:val="000000" w:themeColor="text1"/>
                <w:sz w:val="16"/>
                <w:lang w:val="en-GB"/>
              </w:rPr>
            </w:pPr>
            <w:r w:rsidRPr="00E61AF9">
              <w:rPr>
                <w:rFonts w:ascii="Tahoma" w:hAnsi="Tahoma"/>
                <w:color w:val="000000" w:themeColor="text1"/>
                <w:sz w:val="16"/>
                <w:lang w:val="en-GB"/>
              </w:rPr>
              <w:t>(6 985)</w:t>
            </w:r>
          </w:p>
        </w:tc>
      </w:tr>
      <w:tr w:rsidR="00615190" w:rsidRPr="00E61AF9" w14:paraId="4422B127" w14:textId="77777777" w:rsidTr="007747B2">
        <w:trPr>
          <w:trHeight w:val="60"/>
        </w:trPr>
        <w:tc>
          <w:tcPr>
            <w:tcW w:w="397" w:type="dxa"/>
            <w:shd w:val="clear" w:color="auto" w:fill="auto"/>
            <w:tcMar>
              <w:top w:w="85" w:type="dxa"/>
              <w:left w:w="0" w:type="dxa"/>
              <w:bottom w:w="85" w:type="dxa"/>
              <w:right w:w="0" w:type="dxa"/>
            </w:tcMar>
            <w:vAlign w:val="bottom"/>
          </w:tcPr>
          <w:p w14:paraId="58780EDB" w14:textId="77777777" w:rsidR="00E61AF9" w:rsidRPr="00E61AF9" w:rsidRDefault="00E61AF9" w:rsidP="00615190">
            <w:pPr>
              <w:spacing w:line="240" w:lineRule="atLeast"/>
              <w:rPr>
                <w:rFonts w:ascii="Tahoma" w:hAnsi="Tahoma"/>
                <w:color w:val="000000" w:themeColor="text1"/>
                <w:sz w:val="16"/>
                <w:lang w:val="en-GB"/>
              </w:rPr>
            </w:pPr>
          </w:p>
        </w:tc>
        <w:tc>
          <w:tcPr>
            <w:tcW w:w="5273" w:type="dxa"/>
            <w:tcBorders>
              <w:top w:val="single" w:sz="4" w:space="0" w:color="auto"/>
              <w:bottom w:val="single" w:sz="4" w:space="0" w:color="auto"/>
            </w:tcBorders>
            <w:shd w:val="clear" w:color="auto" w:fill="auto"/>
            <w:tcMar>
              <w:top w:w="85" w:type="dxa"/>
              <w:left w:w="0" w:type="dxa"/>
              <w:bottom w:w="85" w:type="dxa"/>
              <w:right w:w="0" w:type="dxa"/>
            </w:tcMar>
            <w:vAlign w:val="bottom"/>
          </w:tcPr>
          <w:p w14:paraId="10DEC1A0" w14:textId="77777777" w:rsidR="00E61AF9" w:rsidRPr="00E61AF9" w:rsidRDefault="00E61AF9" w:rsidP="00615190">
            <w:pPr>
              <w:spacing w:line="240" w:lineRule="atLeast"/>
              <w:rPr>
                <w:rFonts w:ascii="Tahoma" w:hAnsi="Tahoma"/>
                <w:b/>
                <w:bCs/>
                <w:color w:val="000000" w:themeColor="text1"/>
                <w:sz w:val="16"/>
                <w:lang w:val="en-GB"/>
              </w:rPr>
            </w:pPr>
            <w:r w:rsidRPr="00E61AF9">
              <w:rPr>
                <w:rFonts w:ascii="Tahoma" w:hAnsi="Tahoma"/>
                <w:b/>
                <w:bCs/>
                <w:color w:val="000000" w:themeColor="text1"/>
                <w:sz w:val="16"/>
                <w:lang w:val="en-GB"/>
              </w:rPr>
              <w:t>Total consolidated from continuing operations</w:t>
            </w:r>
          </w:p>
        </w:tc>
        <w:tc>
          <w:tcPr>
            <w:tcW w:w="1134" w:type="dxa"/>
            <w:tcBorders>
              <w:top w:val="single" w:sz="4" w:space="0" w:color="auto"/>
              <w:bottom w:val="single" w:sz="4" w:space="0" w:color="auto"/>
            </w:tcBorders>
            <w:shd w:val="clear" w:color="auto" w:fill="auto"/>
            <w:tcMar>
              <w:top w:w="85" w:type="dxa"/>
              <w:left w:w="0" w:type="dxa"/>
              <w:bottom w:w="85" w:type="dxa"/>
              <w:right w:w="0" w:type="dxa"/>
            </w:tcMar>
            <w:vAlign w:val="bottom"/>
          </w:tcPr>
          <w:p w14:paraId="4CB6D757" w14:textId="77777777" w:rsidR="00E61AF9" w:rsidRPr="00E61AF9" w:rsidRDefault="00E61AF9" w:rsidP="00200D91">
            <w:pPr>
              <w:spacing w:line="240" w:lineRule="atLeast"/>
              <w:jc w:val="right"/>
              <w:rPr>
                <w:rFonts w:ascii="Tahoma" w:hAnsi="Tahoma"/>
                <w:b/>
                <w:bCs/>
                <w:color w:val="000000" w:themeColor="text1"/>
                <w:sz w:val="16"/>
                <w:lang w:val="en-GB"/>
              </w:rPr>
            </w:pPr>
            <w:r w:rsidRPr="00E61AF9">
              <w:rPr>
                <w:rFonts w:ascii="Tahoma" w:hAnsi="Tahoma"/>
                <w:b/>
                <w:bCs/>
                <w:color w:val="000000" w:themeColor="text1"/>
                <w:sz w:val="16"/>
                <w:lang w:val="en-GB"/>
              </w:rPr>
              <w:t>(469)</w:t>
            </w:r>
          </w:p>
        </w:tc>
        <w:tc>
          <w:tcPr>
            <w:tcW w:w="1134" w:type="dxa"/>
            <w:tcBorders>
              <w:top w:val="single" w:sz="4" w:space="0" w:color="auto"/>
              <w:bottom w:val="single" w:sz="4" w:space="0" w:color="auto"/>
            </w:tcBorders>
            <w:shd w:val="clear" w:color="auto" w:fill="auto"/>
            <w:tcMar>
              <w:top w:w="85" w:type="dxa"/>
              <w:left w:w="0" w:type="dxa"/>
              <w:bottom w:w="85" w:type="dxa"/>
              <w:right w:w="0" w:type="dxa"/>
            </w:tcMar>
            <w:vAlign w:val="bottom"/>
          </w:tcPr>
          <w:p w14:paraId="1D6FF1A2" w14:textId="77777777" w:rsidR="00E61AF9" w:rsidRPr="00E61AF9" w:rsidRDefault="00E61AF9" w:rsidP="00200D91">
            <w:pPr>
              <w:spacing w:line="240" w:lineRule="atLeast"/>
              <w:jc w:val="right"/>
              <w:rPr>
                <w:rFonts w:ascii="Tahoma" w:hAnsi="Tahoma"/>
                <w:color w:val="000000" w:themeColor="text1"/>
                <w:sz w:val="16"/>
                <w:lang w:val="en-GB"/>
              </w:rPr>
            </w:pPr>
            <w:r w:rsidRPr="00E61AF9">
              <w:rPr>
                <w:rFonts w:ascii="Tahoma" w:hAnsi="Tahoma"/>
                <w:color w:val="000000" w:themeColor="text1"/>
                <w:sz w:val="16"/>
                <w:lang w:val="en-GB"/>
              </w:rPr>
              <w:t>(269)</w:t>
            </w:r>
          </w:p>
        </w:tc>
        <w:tc>
          <w:tcPr>
            <w:tcW w:w="1134" w:type="dxa"/>
            <w:tcBorders>
              <w:top w:val="single" w:sz="4" w:space="0" w:color="auto"/>
              <w:bottom w:val="single" w:sz="4" w:space="0" w:color="auto"/>
            </w:tcBorders>
            <w:shd w:val="clear" w:color="auto" w:fill="auto"/>
            <w:tcMar>
              <w:top w:w="85" w:type="dxa"/>
              <w:left w:w="0" w:type="dxa"/>
              <w:bottom w:w="85" w:type="dxa"/>
              <w:right w:w="0" w:type="dxa"/>
            </w:tcMar>
            <w:vAlign w:val="bottom"/>
          </w:tcPr>
          <w:p w14:paraId="6A95A333" w14:textId="77777777" w:rsidR="00E61AF9" w:rsidRPr="00E61AF9" w:rsidRDefault="00E61AF9" w:rsidP="00200D91">
            <w:pPr>
              <w:spacing w:line="240" w:lineRule="atLeast"/>
              <w:jc w:val="right"/>
              <w:rPr>
                <w:rFonts w:ascii="Tahoma" w:hAnsi="Tahoma"/>
                <w:color w:val="000000" w:themeColor="text1"/>
                <w:sz w:val="16"/>
                <w:lang w:val="en-GB"/>
              </w:rPr>
            </w:pPr>
            <w:r w:rsidRPr="00E61AF9">
              <w:rPr>
                <w:rFonts w:ascii="Tahoma" w:hAnsi="Tahoma"/>
                <w:color w:val="000000" w:themeColor="text1"/>
                <w:sz w:val="16"/>
                <w:lang w:val="en-GB"/>
              </w:rPr>
              <w:t>(74)</w:t>
            </w:r>
          </w:p>
        </w:tc>
        <w:tc>
          <w:tcPr>
            <w:tcW w:w="1134" w:type="dxa"/>
            <w:tcBorders>
              <w:top w:val="single" w:sz="4" w:space="0" w:color="auto"/>
              <w:bottom w:val="single" w:sz="4" w:space="0" w:color="auto"/>
            </w:tcBorders>
            <w:shd w:val="clear" w:color="auto" w:fill="auto"/>
            <w:tcMar>
              <w:top w:w="85" w:type="dxa"/>
              <w:left w:w="0" w:type="dxa"/>
              <w:bottom w:w="85" w:type="dxa"/>
              <w:right w:w="0" w:type="dxa"/>
            </w:tcMar>
            <w:vAlign w:val="bottom"/>
          </w:tcPr>
          <w:p w14:paraId="09A2C315" w14:textId="77777777" w:rsidR="00E61AF9" w:rsidRPr="00E61AF9" w:rsidRDefault="00E61AF9" w:rsidP="00BA7BA6">
            <w:pPr>
              <w:spacing w:line="240" w:lineRule="atLeast"/>
              <w:ind w:right="113"/>
              <w:jc w:val="right"/>
              <w:rPr>
                <w:rFonts w:ascii="Tahoma" w:hAnsi="Tahoma"/>
                <w:color w:val="000000" w:themeColor="text1"/>
                <w:sz w:val="16"/>
                <w:lang w:val="en-GB"/>
              </w:rPr>
            </w:pPr>
            <w:r w:rsidRPr="00E61AF9">
              <w:rPr>
                <w:rFonts w:ascii="Tahoma" w:hAnsi="Tahoma"/>
                <w:color w:val="000000" w:themeColor="text1"/>
                <w:sz w:val="16"/>
                <w:lang w:val="en-GB"/>
              </w:rPr>
              <w:t>(657)</w:t>
            </w:r>
          </w:p>
        </w:tc>
      </w:tr>
      <w:tr w:rsidR="00615190" w:rsidRPr="00E61AF9" w14:paraId="150097F2" w14:textId="77777777" w:rsidTr="007747B2">
        <w:trPr>
          <w:trHeight w:val="60"/>
        </w:trPr>
        <w:tc>
          <w:tcPr>
            <w:tcW w:w="397" w:type="dxa"/>
            <w:shd w:val="clear" w:color="auto" w:fill="auto"/>
            <w:tcMar>
              <w:top w:w="85" w:type="dxa"/>
              <w:left w:w="0" w:type="dxa"/>
              <w:bottom w:w="85" w:type="dxa"/>
              <w:right w:w="0" w:type="dxa"/>
            </w:tcMar>
            <w:vAlign w:val="bottom"/>
          </w:tcPr>
          <w:p w14:paraId="01F30BAD" w14:textId="77777777" w:rsidR="00E61AF9" w:rsidRPr="00E61AF9" w:rsidRDefault="00E61AF9" w:rsidP="00615190">
            <w:pPr>
              <w:spacing w:line="240" w:lineRule="atLeast"/>
              <w:rPr>
                <w:rFonts w:ascii="Tahoma" w:hAnsi="Tahoma"/>
                <w:color w:val="000000" w:themeColor="text1"/>
                <w:sz w:val="16"/>
                <w:lang w:val="en-GB"/>
              </w:rPr>
            </w:pPr>
          </w:p>
        </w:tc>
        <w:tc>
          <w:tcPr>
            <w:tcW w:w="5273" w:type="dxa"/>
            <w:tcBorders>
              <w:top w:val="single" w:sz="4" w:space="0" w:color="auto"/>
              <w:bottom w:val="single" w:sz="4" w:space="0" w:color="auto"/>
            </w:tcBorders>
            <w:shd w:val="clear" w:color="auto" w:fill="auto"/>
            <w:tcMar>
              <w:top w:w="85" w:type="dxa"/>
              <w:left w:w="0" w:type="dxa"/>
              <w:bottom w:w="85" w:type="dxa"/>
              <w:right w:w="0" w:type="dxa"/>
            </w:tcMar>
            <w:vAlign w:val="bottom"/>
          </w:tcPr>
          <w:p w14:paraId="64138B8A" w14:textId="77777777" w:rsidR="00E61AF9" w:rsidRPr="00E61AF9" w:rsidRDefault="00E61AF9" w:rsidP="00615190">
            <w:pPr>
              <w:spacing w:line="240" w:lineRule="atLeast"/>
              <w:rPr>
                <w:rFonts w:ascii="Tahoma" w:hAnsi="Tahoma"/>
                <w:b/>
                <w:bCs/>
                <w:color w:val="000000" w:themeColor="text1"/>
                <w:sz w:val="16"/>
                <w:lang w:val="en-GB"/>
              </w:rPr>
            </w:pPr>
            <w:r w:rsidRPr="00E61AF9">
              <w:rPr>
                <w:rFonts w:ascii="Tahoma" w:hAnsi="Tahoma"/>
                <w:b/>
                <w:bCs/>
                <w:color w:val="000000" w:themeColor="text1"/>
                <w:sz w:val="16"/>
                <w:lang w:val="en-GB"/>
              </w:rPr>
              <w:t>Total from discontinued operations</w:t>
            </w:r>
            <w:r w:rsidRPr="00E61AF9">
              <w:rPr>
                <w:rFonts w:ascii="Tahoma" w:hAnsi="Tahoma"/>
                <w:b/>
                <w:bCs/>
                <w:color w:val="000000" w:themeColor="text1"/>
                <w:sz w:val="16"/>
                <w:vertAlign w:val="superscript"/>
                <w:lang w:val="en-GB"/>
              </w:rPr>
              <w:t>1</w:t>
            </w:r>
          </w:p>
        </w:tc>
        <w:tc>
          <w:tcPr>
            <w:tcW w:w="1134" w:type="dxa"/>
            <w:tcBorders>
              <w:top w:val="single" w:sz="4" w:space="0" w:color="auto"/>
              <w:bottom w:val="single" w:sz="4" w:space="0" w:color="auto"/>
            </w:tcBorders>
            <w:shd w:val="clear" w:color="auto" w:fill="auto"/>
            <w:tcMar>
              <w:top w:w="85" w:type="dxa"/>
              <w:left w:w="0" w:type="dxa"/>
              <w:bottom w:w="85" w:type="dxa"/>
              <w:right w:w="0" w:type="dxa"/>
            </w:tcMar>
            <w:vAlign w:val="bottom"/>
          </w:tcPr>
          <w:p w14:paraId="5CDD26F8" w14:textId="77777777" w:rsidR="00E61AF9" w:rsidRPr="00E61AF9" w:rsidRDefault="00E61AF9" w:rsidP="00200D91">
            <w:pPr>
              <w:spacing w:line="240" w:lineRule="atLeast"/>
              <w:jc w:val="right"/>
              <w:rPr>
                <w:rFonts w:ascii="Tahoma" w:hAnsi="Tahoma"/>
                <w:b/>
                <w:bCs/>
                <w:color w:val="000000" w:themeColor="text1"/>
                <w:sz w:val="16"/>
                <w:lang w:val="en-GB"/>
              </w:rPr>
            </w:pPr>
            <w:r w:rsidRPr="00E61AF9">
              <w:rPr>
                <w:rFonts w:ascii="Tahoma" w:hAnsi="Tahoma"/>
                <w:b/>
                <w:bCs/>
                <w:color w:val="000000" w:themeColor="text1"/>
                <w:sz w:val="16"/>
                <w:lang w:val="en-GB"/>
              </w:rPr>
              <w:t>218</w:t>
            </w:r>
          </w:p>
        </w:tc>
        <w:tc>
          <w:tcPr>
            <w:tcW w:w="1134" w:type="dxa"/>
            <w:tcBorders>
              <w:top w:val="single" w:sz="4" w:space="0" w:color="auto"/>
              <w:bottom w:val="single" w:sz="4" w:space="0" w:color="auto"/>
            </w:tcBorders>
            <w:shd w:val="clear" w:color="auto" w:fill="auto"/>
            <w:tcMar>
              <w:top w:w="85" w:type="dxa"/>
              <w:left w:w="0" w:type="dxa"/>
              <w:bottom w:w="85" w:type="dxa"/>
              <w:right w:w="0" w:type="dxa"/>
            </w:tcMar>
            <w:vAlign w:val="bottom"/>
          </w:tcPr>
          <w:p w14:paraId="2B2CCFE9" w14:textId="77777777" w:rsidR="00E61AF9" w:rsidRPr="00E61AF9" w:rsidRDefault="00E61AF9" w:rsidP="00200D91">
            <w:pPr>
              <w:spacing w:line="240" w:lineRule="atLeast"/>
              <w:jc w:val="right"/>
              <w:rPr>
                <w:rFonts w:ascii="Tahoma" w:hAnsi="Tahoma"/>
                <w:color w:val="000000" w:themeColor="text1"/>
                <w:sz w:val="16"/>
                <w:lang w:val="en-GB"/>
              </w:rPr>
            </w:pPr>
            <w:r w:rsidRPr="00E61AF9">
              <w:rPr>
                <w:rFonts w:ascii="Tahoma" w:hAnsi="Tahoma"/>
                <w:color w:val="000000" w:themeColor="text1"/>
                <w:sz w:val="16"/>
                <w:lang w:val="en-GB"/>
              </w:rPr>
              <w:t>164</w:t>
            </w:r>
          </w:p>
        </w:tc>
        <w:tc>
          <w:tcPr>
            <w:tcW w:w="1134" w:type="dxa"/>
            <w:tcBorders>
              <w:top w:val="single" w:sz="4" w:space="0" w:color="auto"/>
              <w:bottom w:val="single" w:sz="4" w:space="0" w:color="auto"/>
            </w:tcBorders>
            <w:shd w:val="clear" w:color="auto" w:fill="auto"/>
            <w:tcMar>
              <w:top w:w="85" w:type="dxa"/>
              <w:left w:w="0" w:type="dxa"/>
              <w:bottom w:w="85" w:type="dxa"/>
              <w:right w:w="0" w:type="dxa"/>
            </w:tcMar>
            <w:vAlign w:val="bottom"/>
          </w:tcPr>
          <w:p w14:paraId="7130F2FC" w14:textId="77777777" w:rsidR="00E61AF9" w:rsidRPr="00E61AF9" w:rsidRDefault="00E61AF9" w:rsidP="00200D91">
            <w:pPr>
              <w:spacing w:line="240" w:lineRule="atLeast"/>
              <w:jc w:val="right"/>
              <w:rPr>
                <w:rFonts w:ascii="Tahoma" w:hAnsi="Tahoma"/>
                <w:color w:val="000000" w:themeColor="text1"/>
                <w:sz w:val="16"/>
                <w:lang w:val="en-GB"/>
              </w:rPr>
            </w:pPr>
            <w:r w:rsidRPr="00E61AF9">
              <w:rPr>
                <w:rFonts w:ascii="Tahoma" w:hAnsi="Tahoma"/>
                <w:color w:val="000000" w:themeColor="text1"/>
                <w:sz w:val="16"/>
                <w:lang w:val="en-GB"/>
              </w:rPr>
              <w:t>33</w:t>
            </w:r>
          </w:p>
        </w:tc>
        <w:tc>
          <w:tcPr>
            <w:tcW w:w="1134" w:type="dxa"/>
            <w:tcBorders>
              <w:top w:val="single" w:sz="4" w:space="0" w:color="auto"/>
              <w:bottom w:val="single" w:sz="4" w:space="0" w:color="auto"/>
            </w:tcBorders>
            <w:shd w:val="clear" w:color="auto" w:fill="auto"/>
            <w:tcMar>
              <w:top w:w="85" w:type="dxa"/>
              <w:left w:w="0" w:type="dxa"/>
              <w:bottom w:w="85" w:type="dxa"/>
              <w:right w:w="0" w:type="dxa"/>
            </w:tcMar>
            <w:vAlign w:val="bottom"/>
          </w:tcPr>
          <w:p w14:paraId="7DE6A97A" w14:textId="77777777" w:rsidR="00E61AF9" w:rsidRPr="00E61AF9" w:rsidRDefault="00E61AF9" w:rsidP="00BA7BA6">
            <w:pPr>
              <w:spacing w:line="240" w:lineRule="atLeast"/>
              <w:ind w:right="113"/>
              <w:jc w:val="right"/>
              <w:rPr>
                <w:rFonts w:ascii="Tahoma" w:hAnsi="Tahoma"/>
                <w:color w:val="000000" w:themeColor="text1"/>
                <w:sz w:val="16"/>
                <w:lang w:val="en-GB"/>
              </w:rPr>
            </w:pPr>
            <w:r w:rsidRPr="00E61AF9">
              <w:rPr>
                <w:rFonts w:ascii="Tahoma" w:hAnsi="Tahoma"/>
                <w:color w:val="000000" w:themeColor="text1"/>
                <w:sz w:val="16"/>
                <w:lang w:val="en-GB"/>
              </w:rPr>
              <w:t>246</w:t>
            </w:r>
          </w:p>
        </w:tc>
      </w:tr>
      <w:tr w:rsidR="00615190" w:rsidRPr="00E61AF9" w14:paraId="0AFCF9B4" w14:textId="77777777" w:rsidTr="007747B2">
        <w:trPr>
          <w:trHeight w:val="60"/>
        </w:trPr>
        <w:tc>
          <w:tcPr>
            <w:tcW w:w="397" w:type="dxa"/>
            <w:shd w:val="clear" w:color="auto" w:fill="auto"/>
            <w:tcMar>
              <w:top w:w="85" w:type="dxa"/>
              <w:left w:w="0" w:type="dxa"/>
              <w:bottom w:w="85" w:type="dxa"/>
              <w:right w:w="0" w:type="dxa"/>
            </w:tcMar>
            <w:vAlign w:val="bottom"/>
          </w:tcPr>
          <w:p w14:paraId="52D1E4AC" w14:textId="77777777" w:rsidR="00E61AF9" w:rsidRPr="00E61AF9" w:rsidRDefault="00E61AF9" w:rsidP="00615190">
            <w:pPr>
              <w:spacing w:line="240" w:lineRule="atLeast"/>
              <w:rPr>
                <w:rFonts w:ascii="Tahoma" w:hAnsi="Tahoma"/>
                <w:color w:val="000000" w:themeColor="text1"/>
                <w:sz w:val="16"/>
                <w:lang w:val="en-GB"/>
              </w:rPr>
            </w:pPr>
          </w:p>
        </w:tc>
        <w:tc>
          <w:tcPr>
            <w:tcW w:w="5273"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593E7871" w14:textId="77777777" w:rsidR="00E61AF9" w:rsidRPr="00E61AF9" w:rsidRDefault="00E61AF9" w:rsidP="00615190">
            <w:pPr>
              <w:spacing w:line="240" w:lineRule="atLeast"/>
              <w:rPr>
                <w:rFonts w:ascii="Tahoma" w:hAnsi="Tahoma"/>
                <w:b/>
                <w:bCs/>
                <w:color w:val="000000" w:themeColor="text1"/>
                <w:sz w:val="16"/>
                <w:lang w:val="en-GB"/>
              </w:rPr>
            </w:pPr>
            <w:r w:rsidRPr="00E61AF9">
              <w:rPr>
                <w:rFonts w:ascii="Tahoma" w:hAnsi="Tahoma"/>
                <w:b/>
                <w:bCs/>
                <w:color w:val="000000" w:themeColor="text1"/>
                <w:sz w:val="16"/>
                <w:lang w:val="en-GB"/>
              </w:rPr>
              <w:t>Total consolidated</w:t>
            </w:r>
          </w:p>
        </w:tc>
        <w:tc>
          <w:tcPr>
            <w:tcW w:w="1134"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4C9F7EB6" w14:textId="77777777" w:rsidR="00E61AF9" w:rsidRPr="00E61AF9" w:rsidRDefault="00E61AF9" w:rsidP="00200D91">
            <w:pPr>
              <w:spacing w:line="240" w:lineRule="atLeast"/>
              <w:jc w:val="right"/>
              <w:rPr>
                <w:rFonts w:ascii="Tahoma" w:hAnsi="Tahoma"/>
                <w:b/>
                <w:bCs/>
                <w:color w:val="000000" w:themeColor="text1"/>
                <w:sz w:val="16"/>
                <w:lang w:val="en-GB"/>
              </w:rPr>
            </w:pPr>
            <w:r w:rsidRPr="00E61AF9">
              <w:rPr>
                <w:rFonts w:ascii="Tahoma" w:hAnsi="Tahoma"/>
                <w:b/>
                <w:bCs/>
                <w:color w:val="000000" w:themeColor="text1"/>
                <w:sz w:val="16"/>
                <w:lang w:val="en-GB"/>
              </w:rPr>
              <w:t>(251)</w:t>
            </w:r>
          </w:p>
        </w:tc>
        <w:tc>
          <w:tcPr>
            <w:tcW w:w="1134"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1DCCE908" w14:textId="77777777" w:rsidR="00E61AF9" w:rsidRPr="00E61AF9" w:rsidRDefault="00E61AF9" w:rsidP="00200D91">
            <w:pPr>
              <w:spacing w:line="240" w:lineRule="atLeast"/>
              <w:jc w:val="right"/>
              <w:rPr>
                <w:rFonts w:ascii="Tahoma" w:hAnsi="Tahoma"/>
                <w:color w:val="000000" w:themeColor="text1"/>
                <w:sz w:val="16"/>
                <w:lang w:val="en-GB"/>
              </w:rPr>
            </w:pPr>
            <w:r w:rsidRPr="00E61AF9">
              <w:rPr>
                <w:rFonts w:ascii="Tahoma" w:hAnsi="Tahoma"/>
                <w:color w:val="000000" w:themeColor="text1"/>
                <w:sz w:val="16"/>
                <w:lang w:val="en-GB"/>
              </w:rPr>
              <w:t>(105)</w:t>
            </w:r>
          </w:p>
        </w:tc>
        <w:tc>
          <w:tcPr>
            <w:tcW w:w="1134"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5914945F" w14:textId="77777777" w:rsidR="00E61AF9" w:rsidRPr="00E61AF9" w:rsidRDefault="00E61AF9" w:rsidP="00200D91">
            <w:pPr>
              <w:spacing w:line="240" w:lineRule="atLeast"/>
              <w:jc w:val="right"/>
              <w:rPr>
                <w:rFonts w:ascii="Tahoma" w:hAnsi="Tahoma"/>
                <w:color w:val="000000" w:themeColor="text1"/>
                <w:sz w:val="16"/>
                <w:lang w:val="en-GB"/>
              </w:rPr>
            </w:pPr>
            <w:r w:rsidRPr="00E61AF9">
              <w:rPr>
                <w:rFonts w:ascii="Tahoma" w:hAnsi="Tahoma"/>
                <w:color w:val="000000" w:themeColor="text1"/>
                <w:sz w:val="16"/>
                <w:lang w:val="en-GB"/>
              </w:rPr>
              <w:t>(139)</w:t>
            </w:r>
          </w:p>
        </w:tc>
        <w:tc>
          <w:tcPr>
            <w:tcW w:w="1134"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058CF0C2" w14:textId="77777777" w:rsidR="00E61AF9" w:rsidRPr="00E61AF9" w:rsidRDefault="00E61AF9" w:rsidP="00BA7BA6">
            <w:pPr>
              <w:spacing w:line="240" w:lineRule="atLeast"/>
              <w:ind w:right="113"/>
              <w:jc w:val="right"/>
              <w:rPr>
                <w:rFonts w:ascii="Tahoma" w:hAnsi="Tahoma"/>
                <w:color w:val="000000" w:themeColor="text1"/>
                <w:sz w:val="16"/>
                <w:lang w:val="en-GB"/>
              </w:rPr>
            </w:pPr>
            <w:r w:rsidRPr="00E61AF9">
              <w:rPr>
                <w:rFonts w:ascii="Tahoma" w:hAnsi="Tahoma"/>
                <w:color w:val="000000" w:themeColor="text1"/>
                <w:sz w:val="16"/>
                <w:lang w:val="en-GB"/>
              </w:rPr>
              <w:t>(411)</w:t>
            </w:r>
          </w:p>
        </w:tc>
      </w:tr>
      <w:tr w:rsidR="00615190" w:rsidRPr="00E61AF9" w14:paraId="43B8575A" w14:textId="77777777" w:rsidTr="0038251B">
        <w:trPr>
          <w:trHeight w:val="60"/>
        </w:trPr>
        <w:tc>
          <w:tcPr>
            <w:tcW w:w="397" w:type="dxa"/>
            <w:shd w:val="clear" w:color="auto" w:fill="auto"/>
            <w:tcMar>
              <w:top w:w="85" w:type="dxa"/>
              <w:left w:w="0" w:type="dxa"/>
              <w:bottom w:w="57" w:type="dxa"/>
              <w:right w:w="0" w:type="dxa"/>
            </w:tcMar>
            <w:vAlign w:val="bottom"/>
          </w:tcPr>
          <w:p w14:paraId="26041CD9" w14:textId="77777777" w:rsidR="00E61AF9" w:rsidRPr="00E61AF9" w:rsidRDefault="00E61AF9" w:rsidP="00046A2B">
            <w:pPr>
              <w:pStyle w:val="FootnotesProsus2022FrontStylesProsus2022"/>
            </w:pPr>
          </w:p>
        </w:tc>
        <w:tc>
          <w:tcPr>
            <w:tcW w:w="9809" w:type="dxa"/>
            <w:gridSpan w:val="5"/>
            <w:tcBorders>
              <w:top w:val="single" w:sz="12" w:space="0" w:color="auto"/>
            </w:tcBorders>
            <w:shd w:val="clear" w:color="auto" w:fill="auto"/>
            <w:tcMar>
              <w:top w:w="85" w:type="dxa"/>
              <w:left w:w="0" w:type="dxa"/>
              <w:bottom w:w="57" w:type="dxa"/>
              <w:right w:w="0" w:type="dxa"/>
            </w:tcMar>
            <w:vAlign w:val="bottom"/>
          </w:tcPr>
          <w:p w14:paraId="06D37BFD" w14:textId="77777777" w:rsidR="00E61AF9" w:rsidRPr="00E61AF9" w:rsidRDefault="00E61AF9" w:rsidP="00046A2B">
            <w:pPr>
              <w:pStyle w:val="FootnotesProsus2022FrontStylesProsus2022"/>
            </w:pPr>
            <w:r w:rsidRPr="00E61AF9">
              <w:t>1</w:t>
            </w:r>
            <w:r w:rsidRPr="00E61AF9">
              <w:tab/>
              <w:t xml:space="preserve">From 1 April 2022, following the separation from OLX Group, the CODM reviewed the financial results of </w:t>
            </w:r>
            <w:proofErr w:type="spellStart"/>
            <w:r w:rsidRPr="00E61AF9">
              <w:t>Avito</w:t>
            </w:r>
            <w:proofErr w:type="spellEnd"/>
            <w:r w:rsidRPr="00E61AF9">
              <w:t xml:space="preserve"> separately. Subsequent to the group’s decision to exit this Russian business, </w:t>
            </w:r>
            <w:proofErr w:type="spellStart"/>
            <w:r w:rsidRPr="00E61AF9">
              <w:t>Avito</w:t>
            </w:r>
            <w:proofErr w:type="spellEnd"/>
            <w:r w:rsidRPr="00E61AF9">
              <w:t xml:space="preserve"> was presented as a discontinued operation. The comparative financial results of </w:t>
            </w:r>
            <w:proofErr w:type="spellStart"/>
            <w:r w:rsidRPr="00E61AF9">
              <w:t>Avito</w:t>
            </w:r>
            <w:proofErr w:type="spellEnd"/>
            <w:r w:rsidRPr="00E61AF9">
              <w:t>, previously presented in the Classifieds Ecommerce segment, have been reclassified and presented in discontinued operations (refer to note 5).</w:t>
            </w:r>
          </w:p>
          <w:p w14:paraId="7A485380" w14:textId="77777777" w:rsidR="00E61AF9" w:rsidRPr="00E61AF9" w:rsidRDefault="00E61AF9" w:rsidP="00046A2B">
            <w:pPr>
              <w:pStyle w:val="FootnotesProsus2022FrontStylesProsus2022"/>
            </w:pPr>
            <w:r w:rsidRPr="00E61AF9">
              <w:t>2</w:t>
            </w:r>
            <w:r w:rsidRPr="00E61AF9">
              <w:tab/>
              <w:t>During the year ended 31 March 2022, the group lost significant influence in VK and the group now accounts for its investment at fair value through other comprehensive income.</w:t>
            </w:r>
          </w:p>
        </w:tc>
      </w:tr>
    </w:tbl>
    <w:p w14:paraId="11FBE94C" w14:textId="77777777" w:rsidR="000D22D2" w:rsidRDefault="000D22D2" w:rsidP="00615190">
      <w:pPr>
        <w:spacing w:line="240" w:lineRule="atLeast"/>
        <w:rPr>
          <w:rFonts w:ascii="Tahoma" w:hAnsi="Tahoma"/>
          <w:color w:val="000000" w:themeColor="text1"/>
          <w:sz w:val="16"/>
        </w:rPr>
      </w:pPr>
    </w:p>
    <w:p w14:paraId="0831B4AC" w14:textId="77777777" w:rsidR="00E61AF9" w:rsidRPr="00615190" w:rsidRDefault="000D22D2" w:rsidP="000D22D2">
      <w:pPr>
        <w:rPr>
          <w:rFonts w:ascii="Tahoma" w:hAnsi="Tahoma"/>
          <w:color w:val="000000" w:themeColor="text1"/>
          <w:sz w:val="16"/>
        </w:rPr>
      </w:pPr>
      <w:r>
        <w:rPr>
          <w:rFonts w:ascii="Tahoma" w:hAnsi="Tahoma"/>
          <w:color w:val="000000" w:themeColor="text1"/>
          <w:sz w:val="16"/>
        </w:rPr>
        <w:br w:type="page"/>
      </w:r>
    </w:p>
    <w:tbl>
      <w:tblPr>
        <w:tblW w:w="10206" w:type="dxa"/>
        <w:tblInd w:w="-8" w:type="dxa"/>
        <w:tblLayout w:type="fixed"/>
        <w:tblCellMar>
          <w:left w:w="0" w:type="dxa"/>
          <w:right w:w="0" w:type="dxa"/>
        </w:tblCellMar>
        <w:tblLook w:val="0000" w:firstRow="0" w:lastRow="0" w:firstColumn="0" w:lastColumn="0" w:noHBand="0" w:noVBand="0"/>
      </w:tblPr>
      <w:tblGrid>
        <w:gridCol w:w="397"/>
        <w:gridCol w:w="5273"/>
        <w:gridCol w:w="1134"/>
        <w:gridCol w:w="1134"/>
        <w:gridCol w:w="1134"/>
        <w:gridCol w:w="1134"/>
      </w:tblGrid>
      <w:tr w:rsidR="002629D6" w:rsidRPr="001A46E8" w14:paraId="7641348F" w14:textId="77777777" w:rsidTr="000D22D2">
        <w:trPr>
          <w:trHeight w:val="60"/>
        </w:trPr>
        <w:tc>
          <w:tcPr>
            <w:tcW w:w="397" w:type="dxa"/>
            <w:shd w:val="clear" w:color="auto" w:fill="auto"/>
            <w:tcMar>
              <w:top w:w="0" w:type="dxa"/>
              <w:left w:w="0" w:type="dxa"/>
              <w:bottom w:w="113" w:type="dxa"/>
              <w:right w:w="0" w:type="dxa"/>
            </w:tcMar>
            <w:vAlign w:val="bottom"/>
          </w:tcPr>
          <w:p w14:paraId="75ECD677" w14:textId="77777777" w:rsidR="002629D6" w:rsidRPr="00E61AF9" w:rsidRDefault="002629D6" w:rsidP="002629D6">
            <w:pPr>
              <w:spacing w:line="240" w:lineRule="atLeast"/>
              <w:rPr>
                <w:rFonts w:ascii="Tahoma" w:hAnsi="Tahoma"/>
                <w:b/>
                <w:bCs/>
                <w:color w:val="000000" w:themeColor="text1"/>
                <w:sz w:val="16"/>
                <w:lang w:val="en-GB"/>
              </w:rPr>
            </w:pPr>
            <w:r w:rsidRPr="00E61AF9">
              <w:rPr>
                <w:rFonts w:ascii="Tahoma" w:hAnsi="Tahoma"/>
                <w:b/>
                <w:bCs/>
                <w:color w:val="000000" w:themeColor="text1"/>
                <w:sz w:val="16"/>
                <w:lang w:val="en-GB"/>
              </w:rPr>
              <w:lastRenderedPageBreak/>
              <w:t>4.</w:t>
            </w:r>
          </w:p>
        </w:tc>
        <w:tc>
          <w:tcPr>
            <w:tcW w:w="5273" w:type="dxa"/>
            <w:shd w:val="clear" w:color="auto" w:fill="auto"/>
            <w:tcMar>
              <w:top w:w="0" w:type="dxa"/>
              <w:left w:w="0" w:type="dxa"/>
              <w:bottom w:w="113" w:type="dxa"/>
              <w:right w:w="0" w:type="dxa"/>
            </w:tcMar>
            <w:vAlign w:val="bottom"/>
          </w:tcPr>
          <w:p w14:paraId="19EC84F9" w14:textId="77777777" w:rsidR="002629D6" w:rsidRPr="00E61AF9" w:rsidRDefault="002629D6" w:rsidP="002629D6">
            <w:pPr>
              <w:spacing w:line="240" w:lineRule="atLeast"/>
              <w:rPr>
                <w:rFonts w:ascii="Tahoma" w:hAnsi="Tahoma"/>
                <w:b/>
                <w:bCs/>
                <w:color w:val="000000" w:themeColor="text1"/>
                <w:sz w:val="16"/>
                <w:lang w:val="en-GB"/>
              </w:rPr>
            </w:pPr>
            <w:r w:rsidRPr="00E61AF9">
              <w:rPr>
                <w:rFonts w:ascii="Tahoma" w:hAnsi="Tahoma"/>
                <w:b/>
                <w:bCs/>
                <w:color w:val="000000" w:themeColor="text1"/>
                <w:sz w:val="16"/>
                <w:lang w:val="en-GB"/>
              </w:rPr>
              <w:t>SEGMENTAL REVIEW (continued)</w:t>
            </w:r>
          </w:p>
        </w:tc>
        <w:tc>
          <w:tcPr>
            <w:tcW w:w="1134" w:type="dxa"/>
            <w:shd w:val="clear" w:color="auto" w:fill="auto"/>
            <w:tcMar>
              <w:top w:w="0" w:type="dxa"/>
              <w:left w:w="0" w:type="dxa"/>
              <w:bottom w:w="113" w:type="dxa"/>
              <w:right w:w="0" w:type="dxa"/>
            </w:tcMar>
            <w:vAlign w:val="bottom"/>
          </w:tcPr>
          <w:p w14:paraId="21B6141C" w14:textId="77777777" w:rsidR="002629D6" w:rsidRPr="001A46E8" w:rsidRDefault="002629D6" w:rsidP="002629D6">
            <w:pPr>
              <w:spacing w:line="240" w:lineRule="atLeast"/>
              <w:rPr>
                <w:rFonts w:ascii="Tahoma" w:hAnsi="Tahoma"/>
                <w:color w:val="000000" w:themeColor="text1"/>
                <w:sz w:val="16"/>
                <w:lang w:val="en-GB"/>
              </w:rPr>
            </w:pPr>
          </w:p>
        </w:tc>
        <w:tc>
          <w:tcPr>
            <w:tcW w:w="1134" w:type="dxa"/>
            <w:shd w:val="clear" w:color="auto" w:fill="auto"/>
            <w:tcMar>
              <w:top w:w="0" w:type="dxa"/>
              <w:left w:w="0" w:type="dxa"/>
              <w:bottom w:w="113" w:type="dxa"/>
              <w:right w:w="0" w:type="dxa"/>
            </w:tcMar>
            <w:vAlign w:val="bottom"/>
          </w:tcPr>
          <w:p w14:paraId="612E2CDE" w14:textId="77777777" w:rsidR="002629D6" w:rsidRPr="001A46E8" w:rsidRDefault="002629D6" w:rsidP="002629D6">
            <w:pPr>
              <w:spacing w:line="240" w:lineRule="atLeast"/>
              <w:rPr>
                <w:rFonts w:ascii="Tahoma" w:hAnsi="Tahoma"/>
                <w:color w:val="000000" w:themeColor="text1"/>
                <w:sz w:val="16"/>
                <w:lang w:val="en-GB"/>
              </w:rPr>
            </w:pPr>
          </w:p>
        </w:tc>
        <w:tc>
          <w:tcPr>
            <w:tcW w:w="1134" w:type="dxa"/>
            <w:shd w:val="clear" w:color="auto" w:fill="auto"/>
            <w:tcMar>
              <w:top w:w="0" w:type="dxa"/>
              <w:left w:w="0" w:type="dxa"/>
              <w:bottom w:w="113" w:type="dxa"/>
              <w:right w:w="0" w:type="dxa"/>
            </w:tcMar>
            <w:vAlign w:val="bottom"/>
          </w:tcPr>
          <w:p w14:paraId="437C316A" w14:textId="77777777" w:rsidR="002629D6" w:rsidRPr="001A46E8" w:rsidRDefault="002629D6" w:rsidP="002629D6">
            <w:pPr>
              <w:spacing w:line="240" w:lineRule="atLeast"/>
              <w:rPr>
                <w:rFonts w:ascii="Tahoma" w:hAnsi="Tahoma"/>
                <w:color w:val="000000" w:themeColor="text1"/>
                <w:sz w:val="16"/>
                <w:lang w:val="en-GB"/>
              </w:rPr>
            </w:pPr>
          </w:p>
        </w:tc>
        <w:tc>
          <w:tcPr>
            <w:tcW w:w="1134" w:type="dxa"/>
            <w:shd w:val="clear" w:color="auto" w:fill="auto"/>
            <w:tcMar>
              <w:top w:w="0" w:type="dxa"/>
              <w:left w:w="0" w:type="dxa"/>
              <w:bottom w:w="113" w:type="dxa"/>
              <w:right w:w="0" w:type="dxa"/>
            </w:tcMar>
            <w:vAlign w:val="bottom"/>
          </w:tcPr>
          <w:p w14:paraId="0E809783" w14:textId="77777777" w:rsidR="002629D6" w:rsidRPr="001A46E8" w:rsidRDefault="002629D6" w:rsidP="002629D6">
            <w:pPr>
              <w:spacing w:line="240" w:lineRule="atLeast"/>
              <w:rPr>
                <w:rFonts w:ascii="Tahoma" w:hAnsi="Tahoma"/>
                <w:color w:val="000000" w:themeColor="text1"/>
                <w:sz w:val="16"/>
                <w:lang w:val="en-GB"/>
              </w:rPr>
            </w:pPr>
          </w:p>
        </w:tc>
      </w:tr>
      <w:tr w:rsidR="00615190" w:rsidRPr="001A46E8" w14:paraId="72C2B17F" w14:textId="77777777" w:rsidTr="000D22D2">
        <w:trPr>
          <w:trHeight w:val="60"/>
        </w:trPr>
        <w:tc>
          <w:tcPr>
            <w:tcW w:w="397" w:type="dxa"/>
            <w:shd w:val="clear" w:color="auto" w:fill="auto"/>
            <w:tcMar>
              <w:top w:w="85" w:type="dxa"/>
              <w:left w:w="0" w:type="dxa"/>
              <w:bottom w:w="57" w:type="dxa"/>
              <w:right w:w="0" w:type="dxa"/>
            </w:tcMar>
            <w:vAlign w:val="bottom"/>
          </w:tcPr>
          <w:p w14:paraId="3E8A4617" w14:textId="77777777" w:rsidR="001A46E8" w:rsidRPr="001A46E8" w:rsidRDefault="001A46E8" w:rsidP="00615190">
            <w:pPr>
              <w:spacing w:line="240" w:lineRule="atLeast"/>
              <w:rPr>
                <w:rFonts w:ascii="Tahoma" w:hAnsi="Tahoma"/>
                <w:color w:val="000000" w:themeColor="text1"/>
                <w:sz w:val="16"/>
                <w:lang w:val="en-GB"/>
              </w:rPr>
            </w:pPr>
          </w:p>
        </w:tc>
        <w:tc>
          <w:tcPr>
            <w:tcW w:w="5273" w:type="dxa"/>
            <w:shd w:val="clear" w:color="auto" w:fill="auto"/>
            <w:tcMar>
              <w:top w:w="85" w:type="dxa"/>
              <w:left w:w="0" w:type="dxa"/>
              <w:bottom w:w="57" w:type="dxa"/>
              <w:right w:w="0" w:type="dxa"/>
            </w:tcMar>
            <w:vAlign w:val="bottom"/>
          </w:tcPr>
          <w:p w14:paraId="59AFA8CF" w14:textId="77777777" w:rsidR="001A46E8" w:rsidRPr="001A46E8" w:rsidRDefault="001A46E8" w:rsidP="00615190">
            <w:pPr>
              <w:spacing w:line="240" w:lineRule="atLeast"/>
              <w:rPr>
                <w:rFonts w:ascii="Tahoma" w:hAnsi="Tahoma"/>
                <w:color w:val="000000" w:themeColor="text1"/>
                <w:sz w:val="16"/>
                <w:lang w:val="en-GB"/>
              </w:rPr>
            </w:pPr>
          </w:p>
        </w:tc>
        <w:tc>
          <w:tcPr>
            <w:tcW w:w="4536" w:type="dxa"/>
            <w:gridSpan w:val="4"/>
            <w:shd w:val="clear" w:color="auto" w:fill="auto"/>
            <w:tcMar>
              <w:top w:w="85" w:type="dxa"/>
              <w:left w:w="0" w:type="dxa"/>
              <w:bottom w:w="57" w:type="dxa"/>
              <w:right w:w="0" w:type="dxa"/>
            </w:tcMar>
            <w:vAlign w:val="bottom"/>
          </w:tcPr>
          <w:p w14:paraId="42EBFFD7" w14:textId="77777777" w:rsidR="001A46E8" w:rsidRPr="001A46E8" w:rsidRDefault="001A46E8" w:rsidP="007A195E">
            <w:pPr>
              <w:spacing w:line="240" w:lineRule="atLeast"/>
              <w:jc w:val="center"/>
              <w:rPr>
                <w:rFonts w:ascii="Tahoma" w:hAnsi="Tahoma"/>
                <w:b/>
                <w:bCs/>
                <w:color w:val="000000" w:themeColor="text1"/>
                <w:sz w:val="16"/>
                <w:lang w:val="en-GB"/>
              </w:rPr>
            </w:pPr>
            <w:r w:rsidRPr="001A46E8">
              <w:rPr>
                <w:rFonts w:ascii="Tahoma" w:hAnsi="Tahoma"/>
                <w:b/>
                <w:bCs/>
                <w:color w:val="000000" w:themeColor="text1"/>
                <w:sz w:val="16"/>
                <w:lang w:val="en-GB"/>
              </w:rPr>
              <w:t>Trading (loss)/profit</w:t>
            </w:r>
          </w:p>
        </w:tc>
      </w:tr>
      <w:tr w:rsidR="00615190" w:rsidRPr="001A46E8" w14:paraId="3F07A0F9" w14:textId="77777777" w:rsidTr="00E9574E">
        <w:trPr>
          <w:trHeight w:val="657"/>
        </w:trPr>
        <w:tc>
          <w:tcPr>
            <w:tcW w:w="397" w:type="dxa"/>
            <w:shd w:val="clear" w:color="auto" w:fill="auto"/>
            <w:tcMar>
              <w:top w:w="57" w:type="dxa"/>
              <w:left w:w="0" w:type="dxa"/>
              <w:bottom w:w="85" w:type="dxa"/>
              <w:right w:w="0" w:type="dxa"/>
            </w:tcMar>
            <w:vAlign w:val="bottom"/>
          </w:tcPr>
          <w:p w14:paraId="32203F89" w14:textId="77777777" w:rsidR="001A46E8" w:rsidRPr="001A46E8" w:rsidRDefault="001A46E8" w:rsidP="00615190">
            <w:pPr>
              <w:spacing w:line="240" w:lineRule="atLeast"/>
              <w:rPr>
                <w:rFonts w:ascii="Tahoma" w:hAnsi="Tahoma"/>
                <w:color w:val="000000" w:themeColor="text1"/>
                <w:sz w:val="16"/>
                <w:lang w:val="en-GB"/>
              </w:rPr>
            </w:pPr>
          </w:p>
        </w:tc>
        <w:tc>
          <w:tcPr>
            <w:tcW w:w="5273" w:type="dxa"/>
            <w:shd w:val="clear" w:color="auto" w:fill="auto"/>
            <w:tcMar>
              <w:top w:w="57" w:type="dxa"/>
              <w:left w:w="0" w:type="dxa"/>
              <w:bottom w:w="85" w:type="dxa"/>
              <w:right w:w="0" w:type="dxa"/>
            </w:tcMar>
            <w:vAlign w:val="bottom"/>
          </w:tcPr>
          <w:p w14:paraId="1A3241EA" w14:textId="77777777" w:rsidR="001A46E8" w:rsidRPr="001A46E8" w:rsidRDefault="001A46E8" w:rsidP="00615190">
            <w:pPr>
              <w:spacing w:line="240" w:lineRule="atLeast"/>
              <w:rPr>
                <w:rFonts w:ascii="Tahoma" w:hAnsi="Tahoma"/>
                <w:color w:val="000000" w:themeColor="text1"/>
                <w:sz w:val="16"/>
                <w:lang w:val="en-GB"/>
              </w:rPr>
            </w:pPr>
          </w:p>
        </w:tc>
        <w:tc>
          <w:tcPr>
            <w:tcW w:w="2268" w:type="dxa"/>
            <w:gridSpan w:val="2"/>
            <w:shd w:val="clear" w:color="auto" w:fill="auto"/>
            <w:tcMar>
              <w:top w:w="57" w:type="dxa"/>
              <w:left w:w="0" w:type="dxa"/>
              <w:bottom w:w="85" w:type="dxa"/>
              <w:right w:w="0" w:type="dxa"/>
            </w:tcMar>
            <w:vAlign w:val="bottom"/>
          </w:tcPr>
          <w:p w14:paraId="15176B01" w14:textId="77777777" w:rsidR="001A46E8" w:rsidRPr="001A46E8" w:rsidRDefault="001A46E8" w:rsidP="007A195E">
            <w:pPr>
              <w:spacing w:line="240" w:lineRule="atLeast"/>
              <w:ind w:left="719"/>
              <w:jc w:val="center"/>
              <w:rPr>
                <w:rFonts w:ascii="Tahoma" w:hAnsi="Tahoma"/>
                <w:b/>
                <w:bCs/>
                <w:color w:val="000000" w:themeColor="text1"/>
                <w:sz w:val="16"/>
                <w:lang w:val="en-GB"/>
              </w:rPr>
            </w:pPr>
            <w:r w:rsidRPr="001A46E8">
              <w:rPr>
                <w:rFonts w:ascii="Tahoma" w:hAnsi="Tahoma"/>
                <w:b/>
                <w:bCs/>
                <w:color w:val="000000" w:themeColor="text1"/>
                <w:sz w:val="16"/>
                <w:lang w:val="en-GB"/>
              </w:rPr>
              <w:t>Six months ended</w:t>
            </w:r>
          </w:p>
          <w:p w14:paraId="3E70B34B" w14:textId="77777777" w:rsidR="001A46E8" w:rsidRPr="001A46E8" w:rsidRDefault="001A46E8" w:rsidP="007A195E">
            <w:pPr>
              <w:spacing w:line="240" w:lineRule="atLeast"/>
              <w:ind w:left="719"/>
              <w:jc w:val="center"/>
              <w:rPr>
                <w:rFonts w:ascii="Tahoma" w:hAnsi="Tahoma"/>
                <w:color w:val="000000" w:themeColor="text1"/>
                <w:sz w:val="16"/>
                <w:lang w:val="en-GB"/>
              </w:rPr>
            </w:pPr>
            <w:r w:rsidRPr="001A46E8">
              <w:rPr>
                <w:rFonts w:ascii="Tahoma" w:hAnsi="Tahoma"/>
                <w:b/>
                <w:bCs/>
                <w:color w:val="000000" w:themeColor="text1"/>
                <w:sz w:val="16"/>
                <w:lang w:val="en-GB"/>
              </w:rPr>
              <w:t>30 September</w:t>
            </w:r>
          </w:p>
        </w:tc>
        <w:tc>
          <w:tcPr>
            <w:tcW w:w="1134" w:type="dxa"/>
            <w:shd w:val="clear" w:color="auto" w:fill="auto"/>
            <w:tcMar>
              <w:top w:w="57" w:type="dxa"/>
              <w:left w:w="0" w:type="dxa"/>
              <w:bottom w:w="85" w:type="dxa"/>
              <w:right w:w="0" w:type="dxa"/>
            </w:tcMar>
            <w:vAlign w:val="bottom"/>
          </w:tcPr>
          <w:p w14:paraId="049B2B5A" w14:textId="77777777" w:rsidR="001A46E8" w:rsidRPr="001A46E8" w:rsidRDefault="001A46E8" w:rsidP="00615190">
            <w:pPr>
              <w:spacing w:line="240" w:lineRule="atLeast"/>
              <w:rPr>
                <w:rFonts w:ascii="Tahoma" w:hAnsi="Tahoma"/>
                <w:color w:val="000000" w:themeColor="text1"/>
                <w:sz w:val="16"/>
                <w:lang w:val="en-GB"/>
              </w:rPr>
            </w:pPr>
          </w:p>
        </w:tc>
        <w:tc>
          <w:tcPr>
            <w:tcW w:w="1134" w:type="dxa"/>
            <w:shd w:val="clear" w:color="auto" w:fill="auto"/>
            <w:tcMar>
              <w:top w:w="57" w:type="dxa"/>
              <w:left w:w="0" w:type="dxa"/>
              <w:bottom w:w="85" w:type="dxa"/>
              <w:right w:w="0" w:type="dxa"/>
            </w:tcMar>
            <w:vAlign w:val="bottom"/>
          </w:tcPr>
          <w:p w14:paraId="4FDACCC6" w14:textId="77777777" w:rsidR="001A46E8" w:rsidRPr="001A46E8" w:rsidRDefault="001A46E8" w:rsidP="00B13315">
            <w:pPr>
              <w:spacing w:line="240" w:lineRule="atLeast"/>
              <w:ind w:right="113"/>
              <w:jc w:val="right"/>
              <w:rPr>
                <w:rFonts w:ascii="Tahoma" w:hAnsi="Tahoma"/>
                <w:color w:val="000000" w:themeColor="text1"/>
                <w:sz w:val="16"/>
                <w:lang w:val="en-GB"/>
              </w:rPr>
            </w:pPr>
            <w:r w:rsidRPr="001A46E8">
              <w:rPr>
                <w:rFonts w:ascii="Tahoma" w:hAnsi="Tahoma"/>
                <w:color w:val="000000" w:themeColor="text1"/>
                <w:sz w:val="16"/>
                <w:lang w:val="en-GB"/>
              </w:rPr>
              <w:t>Year</w:t>
            </w:r>
          </w:p>
          <w:p w14:paraId="17EEA0CC" w14:textId="77777777" w:rsidR="001A46E8" w:rsidRPr="001A46E8" w:rsidRDefault="001A46E8" w:rsidP="00B13315">
            <w:pPr>
              <w:spacing w:line="240" w:lineRule="atLeast"/>
              <w:ind w:right="113"/>
              <w:jc w:val="right"/>
              <w:rPr>
                <w:rFonts w:ascii="Tahoma" w:hAnsi="Tahoma"/>
                <w:color w:val="000000" w:themeColor="text1"/>
                <w:sz w:val="16"/>
                <w:lang w:val="en-GB"/>
              </w:rPr>
            </w:pPr>
            <w:r w:rsidRPr="001A46E8">
              <w:rPr>
                <w:rFonts w:ascii="Tahoma" w:hAnsi="Tahoma"/>
                <w:color w:val="000000" w:themeColor="text1"/>
                <w:sz w:val="16"/>
                <w:lang w:val="en-GB"/>
              </w:rPr>
              <w:t>ended</w:t>
            </w:r>
          </w:p>
          <w:p w14:paraId="389B75EC" w14:textId="77777777" w:rsidR="001A46E8" w:rsidRPr="001A46E8" w:rsidRDefault="001A46E8" w:rsidP="00B13315">
            <w:pPr>
              <w:spacing w:line="240" w:lineRule="atLeast"/>
              <w:ind w:right="113"/>
              <w:jc w:val="right"/>
              <w:rPr>
                <w:rFonts w:ascii="Tahoma" w:hAnsi="Tahoma"/>
                <w:color w:val="000000" w:themeColor="text1"/>
                <w:sz w:val="16"/>
                <w:lang w:val="en-GB"/>
              </w:rPr>
            </w:pPr>
            <w:r w:rsidRPr="001A46E8">
              <w:rPr>
                <w:rFonts w:ascii="Tahoma" w:hAnsi="Tahoma"/>
                <w:color w:val="000000" w:themeColor="text1"/>
                <w:sz w:val="16"/>
                <w:lang w:val="en-GB"/>
              </w:rPr>
              <w:t>31 March</w:t>
            </w:r>
          </w:p>
        </w:tc>
      </w:tr>
      <w:tr w:rsidR="00615190" w:rsidRPr="001A46E8" w14:paraId="56566AA9" w14:textId="77777777" w:rsidTr="00E9574E">
        <w:trPr>
          <w:trHeight w:val="60"/>
        </w:trPr>
        <w:tc>
          <w:tcPr>
            <w:tcW w:w="397" w:type="dxa"/>
            <w:shd w:val="clear" w:color="auto" w:fill="auto"/>
            <w:tcMar>
              <w:top w:w="113" w:type="dxa"/>
              <w:left w:w="0" w:type="dxa"/>
              <w:bottom w:w="113" w:type="dxa"/>
              <w:right w:w="0" w:type="dxa"/>
            </w:tcMar>
            <w:vAlign w:val="bottom"/>
          </w:tcPr>
          <w:p w14:paraId="22B739D0" w14:textId="77777777" w:rsidR="001A46E8" w:rsidRPr="001A46E8" w:rsidRDefault="001A46E8" w:rsidP="00615190">
            <w:pPr>
              <w:spacing w:line="240" w:lineRule="atLeast"/>
              <w:rPr>
                <w:rFonts w:ascii="Tahoma" w:hAnsi="Tahoma"/>
                <w:color w:val="000000" w:themeColor="text1"/>
                <w:sz w:val="16"/>
                <w:lang w:val="en-GB"/>
              </w:rPr>
            </w:pPr>
          </w:p>
        </w:tc>
        <w:tc>
          <w:tcPr>
            <w:tcW w:w="5273" w:type="dxa"/>
            <w:tcBorders>
              <w:bottom w:val="single" w:sz="12" w:space="0" w:color="auto"/>
            </w:tcBorders>
            <w:shd w:val="clear" w:color="auto" w:fill="auto"/>
            <w:tcMar>
              <w:top w:w="113" w:type="dxa"/>
              <w:left w:w="0" w:type="dxa"/>
              <w:bottom w:w="113" w:type="dxa"/>
              <w:right w:w="0" w:type="dxa"/>
            </w:tcMar>
            <w:vAlign w:val="bottom"/>
          </w:tcPr>
          <w:p w14:paraId="6A31B3BB" w14:textId="77777777" w:rsidR="001A46E8" w:rsidRPr="001A46E8" w:rsidRDefault="001A46E8" w:rsidP="00615190">
            <w:pPr>
              <w:spacing w:line="240" w:lineRule="atLeast"/>
              <w:rPr>
                <w:rFonts w:ascii="Tahoma" w:hAnsi="Tahoma"/>
                <w:color w:val="000000" w:themeColor="text1"/>
                <w:sz w:val="16"/>
                <w:lang w:val="en-GB"/>
              </w:rPr>
            </w:pPr>
          </w:p>
        </w:tc>
        <w:tc>
          <w:tcPr>
            <w:tcW w:w="1134" w:type="dxa"/>
            <w:tcBorders>
              <w:bottom w:val="single" w:sz="12" w:space="0" w:color="auto"/>
            </w:tcBorders>
            <w:shd w:val="clear" w:color="auto" w:fill="auto"/>
            <w:tcMar>
              <w:top w:w="113" w:type="dxa"/>
              <w:left w:w="0" w:type="dxa"/>
              <w:bottom w:w="113" w:type="dxa"/>
              <w:right w:w="0" w:type="dxa"/>
            </w:tcMar>
            <w:vAlign w:val="bottom"/>
          </w:tcPr>
          <w:p w14:paraId="0FC8FE9A" w14:textId="77777777" w:rsidR="001A46E8" w:rsidRPr="001A46E8" w:rsidRDefault="001A46E8" w:rsidP="00432C4F">
            <w:pPr>
              <w:spacing w:line="240" w:lineRule="atLeast"/>
              <w:jc w:val="right"/>
              <w:rPr>
                <w:rFonts w:ascii="Tahoma" w:hAnsi="Tahoma"/>
                <w:b/>
                <w:bCs/>
                <w:color w:val="000000" w:themeColor="text1"/>
                <w:sz w:val="16"/>
                <w:lang w:val="en-GB"/>
              </w:rPr>
            </w:pPr>
            <w:r w:rsidRPr="001A46E8">
              <w:rPr>
                <w:rFonts w:ascii="Tahoma" w:hAnsi="Tahoma"/>
                <w:b/>
                <w:bCs/>
                <w:color w:val="000000" w:themeColor="text1"/>
                <w:sz w:val="16"/>
                <w:lang w:val="en-GB"/>
              </w:rPr>
              <w:t>2022</w:t>
            </w:r>
          </w:p>
          <w:p w14:paraId="2CDC227A" w14:textId="77777777" w:rsidR="001A46E8" w:rsidRPr="001A46E8" w:rsidRDefault="001A46E8" w:rsidP="00432C4F">
            <w:pPr>
              <w:spacing w:line="240" w:lineRule="atLeast"/>
              <w:jc w:val="right"/>
              <w:rPr>
                <w:rFonts w:ascii="Tahoma" w:hAnsi="Tahoma"/>
                <w:b/>
                <w:bCs/>
                <w:color w:val="000000" w:themeColor="text1"/>
                <w:sz w:val="16"/>
                <w:lang w:val="en-GB"/>
              </w:rPr>
            </w:pPr>
            <w:proofErr w:type="spellStart"/>
            <w:r w:rsidRPr="001A46E8">
              <w:rPr>
                <w:rFonts w:ascii="Tahoma" w:hAnsi="Tahoma"/>
                <w:b/>
                <w:bCs/>
                <w:color w:val="000000" w:themeColor="text1"/>
                <w:sz w:val="16"/>
                <w:lang w:val="en-GB"/>
              </w:rPr>
              <w:t>US$’m</w:t>
            </w:r>
            <w:proofErr w:type="spellEnd"/>
          </w:p>
        </w:tc>
        <w:tc>
          <w:tcPr>
            <w:tcW w:w="1134" w:type="dxa"/>
            <w:tcBorders>
              <w:bottom w:val="single" w:sz="12" w:space="0" w:color="auto"/>
            </w:tcBorders>
            <w:shd w:val="clear" w:color="auto" w:fill="auto"/>
            <w:tcMar>
              <w:top w:w="113" w:type="dxa"/>
              <w:left w:w="0" w:type="dxa"/>
              <w:bottom w:w="113" w:type="dxa"/>
              <w:right w:w="0" w:type="dxa"/>
            </w:tcMar>
            <w:vAlign w:val="bottom"/>
          </w:tcPr>
          <w:p w14:paraId="14237592" w14:textId="77777777" w:rsidR="001A46E8" w:rsidRPr="001A46E8" w:rsidRDefault="001A46E8" w:rsidP="00432C4F">
            <w:pPr>
              <w:spacing w:line="240" w:lineRule="atLeast"/>
              <w:jc w:val="right"/>
              <w:rPr>
                <w:rFonts w:ascii="Tahoma" w:hAnsi="Tahoma"/>
                <w:color w:val="000000" w:themeColor="text1"/>
                <w:sz w:val="16"/>
                <w:lang w:val="en-GB"/>
              </w:rPr>
            </w:pPr>
            <w:r w:rsidRPr="001A46E8">
              <w:rPr>
                <w:rFonts w:ascii="Tahoma" w:hAnsi="Tahoma"/>
                <w:color w:val="000000" w:themeColor="text1"/>
                <w:sz w:val="16"/>
                <w:lang w:val="en-GB"/>
              </w:rPr>
              <w:t>2021</w:t>
            </w:r>
          </w:p>
          <w:p w14:paraId="2F620DF3" w14:textId="77777777" w:rsidR="001A46E8" w:rsidRPr="001A46E8" w:rsidRDefault="001A46E8" w:rsidP="00432C4F">
            <w:pPr>
              <w:spacing w:line="240" w:lineRule="atLeast"/>
              <w:jc w:val="right"/>
              <w:rPr>
                <w:rFonts w:ascii="Tahoma" w:hAnsi="Tahoma"/>
                <w:color w:val="000000" w:themeColor="text1"/>
                <w:sz w:val="16"/>
                <w:lang w:val="en-GB"/>
              </w:rPr>
            </w:pPr>
            <w:proofErr w:type="spellStart"/>
            <w:r w:rsidRPr="001A46E8">
              <w:rPr>
                <w:rFonts w:ascii="Tahoma" w:hAnsi="Tahoma"/>
                <w:color w:val="000000" w:themeColor="text1"/>
                <w:sz w:val="16"/>
                <w:lang w:val="en-GB"/>
              </w:rPr>
              <w:t>US$’m</w:t>
            </w:r>
            <w:proofErr w:type="spellEnd"/>
          </w:p>
        </w:tc>
        <w:tc>
          <w:tcPr>
            <w:tcW w:w="1134" w:type="dxa"/>
            <w:tcBorders>
              <w:bottom w:val="single" w:sz="12" w:space="0" w:color="auto"/>
            </w:tcBorders>
            <w:shd w:val="clear" w:color="auto" w:fill="auto"/>
            <w:tcMar>
              <w:top w:w="113" w:type="dxa"/>
              <w:left w:w="0" w:type="dxa"/>
              <w:bottom w:w="113" w:type="dxa"/>
              <w:right w:w="0" w:type="dxa"/>
            </w:tcMar>
            <w:vAlign w:val="bottom"/>
          </w:tcPr>
          <w:p w14:paraId="5FBDE7AF" w14:textId="77777777" w:rsidR="001A46E8" w:rsidRPr="001A46E8" w:rsidRDefault="001A46E8" w:rsidP="00432C4F">
            <w:pPr>
              <w:spacing w:line="240" w:lineRule="atLeast"/>
              <w:jc w:val="right"/>
              <w:rPr>
                <w:rFonts w:ascii="Tahoma" w:hAnsi="Tahoma"/>
                <w:color w:val="000000" w:themeColor="text1"/>
                <w:sz w:val="16"/>
                <w:lang w:val="en-GB"/>
              </w:rPr>
            </w:pPr>
            <w:r w:rsidRPr="001A46E8">
              <w:rPr>
                <w:rFonts w:ascii="Tahoma" w:hAnsi="Tahoma"/>
                <w:color w:val="000000" w:themeColor="text1"/>
                <w:sz w:val="16"/>
                <w:lang w:val="en-GB"/>
              </w:rPr>
              <w:t>%</w:t>
            </w:r>
          </w:p>
          <w:p w14:paraId="136E1E8F" w14:textId="77777777" w:rsidR="001A46E8" w:rsidRPr="001A46E8" w:rsidRDefault="001A46E8" w:rsidP="00432C4F">
            <w:pPr>
              <w:spacing w:line="240" w:lineRule="atLeast"/>
              <w:jc w:val="right"/>
              <w:rPr>
                <w:rFonts w:ascii="Tahoma" w:hAnsi="Tahoma"/>
                <w:color w:val="000000" w:themeColor="text1"/>
                <w:sz w:val="16"/>
                <w:lang w:val="en-GB"/>
              </w:rPr>
            </w:pPr>
            <w:r w:rsidRPr="001A46E8">
              <w:rPr>
                <w:rFonts w:ascii="Tahoma" w:hAnsi="Tahoma"/>
                <w:color w:val="000000" w:themeColor="text1"/>
                <w:sz w:val="16"/>
                <w:lang w:val="en-GB"/>
              </w:rPr>
              <w:t>change</w:t>
            </w:r>
          </w:p>
        </w:tc>
        <w:tc>
          <w:tcPr>
            <w:tcW w:w="1134" w:type="dxa"/>
            <w:tcBorders>
              <w:bottom w:val="single" w:sz="12" w:space="0" w:color="auto"/>
            </w:tcBorders>
            <w:shd w:val="clear" w:color="auto" w:fill="auto"/>
            <w:tcMar>
              <w:top w:w="113" w:type="dxa"/>
              <w:left w:w="0" w:type="dxa"/>
              <w:bottom w:w="113" w:type="dxa"/>
              <w:right w:w="0" w:type="dxa"/>
            </w:tcMar>
            <w:vAlign w:val="bottom"/>
          </w:tcPr>
          <w:p w14:paraId="029722B4" w14:textId="77777777" w:rsidR="001A46E8" w:rsidRPr="001A46E8" w:rsidRDefault="001A46E8" w:rsidP="00432C4F">
            <w:pPr>
              <w:spacing w:line="240" w:lineRule="atLeast"/>
              <w:ind w:right="113"/>
              <w:jc w:val="right"/>
              <w:rPr>
                <w:rFonts w:ascii="Tahoma" w:hAnsi="Tahoma"/>
                <w:color w:val="000000" w:themeColor="text1"/>
                <w:sz w:val="16"/>
                <w:lang w:val="en-GB"/>
              </w:rPr>
            </w:pPr>
            <w:r w:rsidRPr="001A46E8">
              <w:rPr>
                <w:rFonts w:ascii="Tahoma" w:hAnsi="Tahoma"/>
                <w:color w:val="000000" w:themeColor="text1"/>
                <w:sz w:val="16"/>
                <w:lang w:val="en-GB"/>
              </w:rPr>
              <w:t>2022</w:t>
            </w:r>
          </w:p>
          <w:p w14:paraId="7B1B0331" w14:textId="77777777" w:rsidR="001A46E8" w:rsidRPr="001A46E8" w:rsidRDefault="001A46E8" w:rsidP="00432C4F">
            <w:pPr>
              <w:spacing w:line="240" w:lineRule="atLeast"/>
              <w:ind w:right="113"/>
              <w:jc w:val="right"/>
              <w:rPr>
                <w:rFonts w:ascii="Tahoma" w:hAnsi="Tahoma"/>
                <w:color w:val="000000" w:themeColor="text1"/>
                <w:sz w:val="16"/>
                <w:lang w:val="en-GB"/>
              </w:rPr>
            </w:pPr>
            <w:proofErr w:type="spellStart"/>
            <w:r w:rsidRPr="001A46E8">
              <w:rPr>
                <w:rFonts w:ascii="Tahoma" w:hAnsi="Tahoma"/>
                <w:color w:val="000000" w:themeColor="text1"/>
                <w:sz w:val="16"/>
                <w:lang w:val="en-GB"/>
              </w:rPr>
              <w:t>US$’m</w:t>
            </w:r>
            <w:proofErr w:type="spellEnd"/>
          </w:p>
        </w:tc>
      </w:tr>
      <w:tr w:rsidR="00615190" w:rsidRPr="001A46E8" w14:paraId="5D1DD95D" w14:textId="77777777" w:rsidTr="00E9574E">
        <w:trPr>
          <w:trHeight w:val="60"/>
        </w:trPr>
        <w:tc>
          <w:tcPr>
            <w:tcW w:w="397" w:type="dxa"/>
            <w:shd w:val="clear" w:color="auto" w:fill="auto"/>
            <w:tcMar>
              <w:top w:w="142" w:type="dxa"/>
              <w:left w:w="0" w:type="dxa"/>
              <w:bottom w:w="57" w:type="dxa"/>
              <w:right w:w="0" w:type="dxa"/>
            </w:tcMar>
            <w:vAlign w:val="bottom"/>
          </w:tcPr>
          <w:p w14:paraId="4C46A98A" w14:textId="77777777" w:rsidR="001A46E8" w:rsidRPr="001A46E8" w:rsidRDefault="001A46E8" w:rsidP="00615190">
            <w:pPr>
              <w:spacing w:line="240" w:lineRule="atLeast"/>
              <w:rPr>
                <w:rFonts w:ascii="Tahoma" w:hAnsi="Tahoma"/>
                <w:color w:val="000000" w:themeColor="text1"/>
                <w:sz w:val="16"/>
                <w:lang w:val="en-GB"/>
              </w:rPr>
            </w:pPr>
          </w:p>
        </w:tc>
        <w:tc>
          <w:tcPr>
            <w:tcW w:w="5273" w:type="dxa"/>
            <w:tcBorders>
              <w:top w:val="single" w:sz="12" w:space="0" w:color="auto"/>
            </w:tcBorders>
            <w:shd w:val="clear" w:color="auto" w:fill="auto"/>
            <w:tcMar>
              <w:top w:w="142" w:type="dxa"/>
              <w:left w:w="0" w:type="dxa"/>
              <w:bottom w:w="57" w:type="dxa"/>
              <w:right w:w="0" w:type="dxa"/>
            </w:tcMar>
            <w:vAlign w:val="bottom"/>
          </w:tcPr>
          <w:p w14:paraId="4DE2EC4C" w14:textId="77777777" w:rsidR="001A46E8" w:rsidRPr="001A46E8" w:rsidRDefault="001A46E8" w:rsidP="00615190">
            <w:pPr>
              <w:spacing w:line="240" w:lineRule="atLeast"/>
              <w:rPr>
                <w:rFonts w:ascii="Tahoma" w:hAnsi="Tahoma"/>
                <w:color w:val="000000" w:themeColor="text1"/>
                <w:sz w:val="16"/>
                <w:lang w:val="en-GB"/>
              </w:rPr>
            </w:pPr>
            <w:r w:rsidRPr="001A46E8">
              <w:rPr>
                <w:rFonts w:ascii="Tahoma" w:hAnsi="Tahoma"/>
                <w:color w:val="000000" w:themeColor="text1"/>
                <w:sz w:val="16"/>
                <w:lang w:val="en-GB"/>
              </w:rPr>
              <w:t>Continuing operations</w:t>
            </w:r>
          </w:p>
        </w:tc>
        <w:tc>
          <w:tcPr>
            <w:tcW w:w="1134" w:type="dxa"/>
            <w:tcBorders>
              <w:top w:val="single" w:sz="12" w:space="0" w:color="auto"/>
            </w:tcBorders>
            <w:shd w:val="clear" w:color="auto" w:fill="auto"/>
            <w:tcMar>
              <w:top w:w="142" w:type="dxa"/>
              <w:left w:w="0" w:type="dxa"/>
              <w:bottom w:w="57" w:type="dxa"/>
              <w:right w:w="0" w:type="dxa"/>
            </w:tcMar>
            <w:vAlign w:val="bottom"/>
          </w:tcPr>
          <w:p w14:paraId="158FFF4C" w14:textId="77777777" w:rsidR="001A46E8" w:rsidRPr="001A46E8" w:rsidRDefault="001A46E8" w:rsidP="00432C4F">
            <w:pPr>
              <w:spacing w:line="240" w:lineRule="atLeast"/>
              <w:jc w:val="right"/>
              <w:rPr>
                <w:rFonts w:ascii="Tahoma" w:hAnsi="Tahoma"/>
                <w:b/>
                <w:bCs/>
                <w:color w:val="000000" w:themeColor="text1"/>
                <w:sz w:val="16"/>
                <w:lang w:val="en-GB"/>
              </w:rPr>
            </w:pPr>
          </w:p>
        </w:tc>
        <w:tc>
          <w:tcPr>
            <w:tcW w:w="1134" w:type="dxa"/>
            <w:tcBorders>
              <w:top w:val="single" w:sz="12" w:space="0" w:color="auto"/>
            </w:tcBorders>
            <w:shd w:val="clear" w:color="auto" w:fill="auto"/>
            <w:tcMar>
              <w:top w:w="142" w:type="dxa"/>
              <w:left w:w="0" w:type="dxa"/>
              <w:bottom w:w="57" w:type="dxa"/>
              <w:right w:w="0" w:type="dxa"/>
            </w:tcMar>
            <w:vAlign w:val="bottom"/>
          </w:tcPr>
          <w:p w14:paraId="5041B85C" w14:textId="77777777" w:rsidR="001A46E8" w:rsidRPr="001A46E8" w:rsidRDefault="001A46E8" w:rsidP="00432C4F">
            <w:pPr>
              <w:spacing w:line="240" w:lineRule="atLeast"/>
              <w:jc w:val="right"/>
              <w:rPr>
                <w:rFonts w:ascii="Tahoma" w:hAnsi="Tahoma"/>
                <w:color w:val="000000" w:themeColor="text1"/>
                <w:sz w:val="16"/>
                <w:lang w:val="en-GB"/>
              </w:rPr>
            </w:pPr>
          </w:p>
        </w:tc>
        <w:tc>
          <w:tcPr>
            <w:tcW w:w="1134" w:type="dxa"/>
            <w:tcBorders>
              <w:top w:val="single" w:sz="12" w:space="0" w:color="auto"/>
            </w:tcBorders>
            <w:shd w:val="clear" w:color="auto" w:fill="auto"/>
            <w:tcMar>
              <w:top w:w="142" w:type="dxa"/>
              <w:left w:w="0" w:type="dxa"/>
              <w:bottom w:w="57" w:type="dxa"/>
              <w:right w:w="0" w:type="dxa"/>
            </w:tcMar>
            <w:vAlign w:val="bottom"/>
          </w:tcPr>
          <w:p w14:paraId="044A92A4" w14:textId="77777777" w:rsidR="001A46E8" w:rsidRPr="001A46E8" w:rsidRDefault="001A46E8" w:rsidP="00432C4F">
            <w:pPr>
              <w:spacing w:line="240" w:lineRule="atLeast"/>
              <w:jc w:val="right"/>
              <w:rPr>
                <w:rFonts w:ascii="Tahoma" w:hAnsi="Tahoma"/>
                <w:color w:val="000000" w:themeColor="text1"/>
                <w:sz w:val="16"/>
                <w:lang w:val="en-GB"/>
              </w:rPr>
            </w:pPr>
          </w:p>
        </w:tc>
        <w:tc>
          <w:tcPr>
            <w:tcW w:w="1134" w:type="dxa"/>
            <w:tcBorders>
              <w:top w:val="single" w:sz="12" w:space="0" w:color="auto"/>
            </w:tcBorders>
            <w:shd w:val="clear" w:color="auto" w:fill="auto"/>
            <w:tcMar>
              <w:top w:w="142" w:type="dxa"/>
              <w:left w:w="0" w:type="dxa"/>
              <w:bottom w:w="57" w:type="dxa"/>
              <w:right w:w="0" w:type="dxa"/>
            </w:tcMar>
            <w:vAlign w:val="bottom"/>
          </w:tcPr>
          <w:p w14:paraId="3BE862AA" w14:textId="77777777" w:rsidR="001A46E8" w:rsidRPr="001A46E8" w:rsidRDefault="001A46E8" w:rsidP="00432C4F">
            <w:pPr>
              <w:spacing w:line="240" w:lineRule="atLeast"/>
              <w:ind w:right="113"/>
              <w:jc w:val="right"/>
              <w:rPr>
                <w:rFonts w:ascii="Tahoma" w:hAnsi="Tahoma"/>
                <w:color w:val="000000" w:themeColor="text1"/>
                <w:sz w:val="16"/>
                <w:lang w:val="en-GB"/>
              </w:rPr>
            </w:pPr>
          </w:p>
        </w:tc>
      </w:tr>
      <w:tr w:rsidR="00615190" w:rsidRPr="001A46E8" w14:paraId="6347211F" w14:textId="77777777" w:rsidTr="00CD7A84">
        <w:trPr>
          <w:trHeight w:val="60"/>
        </w:trPr>
        <w:tc>
          <w:tcPr>
            <w:tcW w:w="397" w:type="dxa"/>
            <w:shd w:val="clear" w:color="auto" w:fill="auto"/>
            <w:tcMar>
              <w:top w:w="57" w:type="dxa"/>
              <w:left w:w="0" w:type="dxa"/>
              <w:bottom w:w="57" w:type="dxa"/>
              <w:right w:w="0" w:type="dxa"/>
            </w:tcMar>
            <w:vAlign w:val="bottom"/>
          </w:tcPr>
          <w:p w14:paraId="5D28BB2C" w14:textId="77777777" w:rsidR="001A46E8" w:rsidRPr="001A46E8" w:rsidRDefault="001A46E8" w:rsidP="00615190">
            <w:pPr>
              <w:spacing w:line="240" w:lineRule="atLeast"/>
              <w:rPr>
                <w:rFonts w:ascii="Tahoma" w:hAnsi="Tahoma"/>
                <w:color w:val="000000" w:themeColor="text1"/>
                <w:sz w:val="16"/>
                <w:lang w:val="en-GB"/>
              </w:rPr>
            </w:pPr>
          </w:p>
        </w:tc>
        <w:tc>
          <w:tcPr>
            <w:tcW w:w="5273" w:type="dxa"/>
            <w:shd w:val="clear" w:color="auto" w:fill="auto"/>
            <w:tcMar>
              <w:top w:w="57" w:type="dxa"/>
              <w:left w:w="0" w:type="dxa"/>
              <w:bottom w:w="57" w:type="dxa"/>
              <w:right w:w="0" w:type="dxa"/>
            </w:tcMar>
            <w:vAlign w:val="bottom"/>
          </w:tcPr>
          <w:p w14:paraId="7EA16085" w14:textId="77777777" w:rsidR="001A46E8" w:rsidRPr="001A46E8" w:rsidRDefault="001A46E8" w:rsidP="00615190">
            <w:pPr>
              <w:spacing w:line="240" w:lineRule="atLeast"/>
              <w:rPr>
                <w:rFonts w:ascii="Tahoma" w:hAnsi="Tahoma"/>
                <w:i/>
                <w:iCs/>
                <w:color w:val="000000" w:themeColor="text1"/>
                <w:sz w:val="16"/>
                <w:lang w:val="en-GB"/>
              </w:rPr>
            </w:pPr>
            <w:r w:rsidRPr="001A46E8">
              <w:rPr>
                <w:rFonts w:ascii="Tahoma" w:hAnsi="Tahoma"/>
                <w:i/>
                <w:iCs/>
                <w:color w:val="000000" w:themeColor="text1"/>
                <w:sz w:val="16"/>
                <w:lang w:val="en-GB"/>
              </w:rPr>
              <w:t>Ecommerce</w:t>
            </w:r>
          </w:p>
        </w:tc>
        <w:tc>
          <w:tcPr>
            <w:tcW w:w="1134" w:type="dxa"/>
            <w:tcBorders>
              <w:bottom w:val="single" w:sz="4" w:space="0" w:color="auto"/>
            </w:tcBorders>
            <w:shd w:val="clear" w:color="auto" w:fill="auto"/>
            <w:tcMar>
              <w:top w:w="57" w:type="dxa"/>
              <w:left w:w="0" w:type="dxa"/>
              <w:bottom w:w="57" w:type="dxa"/>
              <w:right w:w="0" w:type="dxa"/>
            </w:tcMar>
            <w:vAlign w:val="bottom"/>
          </w:tcPr>
          <w:p w14:paraId="1000D0D8" w14:textId="77777777" w:rsidR="001A46E8" w:rsidRPr="001A46E8" w:rsidRDefault="001A46E8" w:rsidP="00432C4F">
            <w:pPr>
              <w:spacing w:line="240" w:lineRule="atLeast"/>
              <w:jc w:val="right"/>
              <w:rPr>
                <w:rFonts w:ascii="Tahoma" w:hAnsi="Tahoma"/>
                <w:b/>
                <w:bCs/>
                <w:color w:val="000000" w:themeColor="text1"/>
                <w:sz w:val="16"/>
                <w:lang w:val="en-GB"/>
              </w:rPr>
            </w:pPr>
            <w:r w:rsidRPr="001A46E8">
              <w:rPr>
                <w:rFonts w:ascii="Tahoma" w:hAnsi="Tahoma"/>
                <w:b/>
                <w:bCs/>
                <w:color w:val="000000" w:themeColor="text1"/>
                <w:sz w:val="16"/>
                <w:lang w:val="en-GB"/>
              </w:rPr>
              <w:t>(998)</w:t>
            </w:r>
          </w:p>
        </w:tc>
        <w:tc>
          <w:tcPr>
            <w:tcW w:w="1134" w:type="dxa"/>
            <w:tcBorders>
              <w:bottom w:val="single" w:sz="4" w:space="0" w:color="auto"/>
            </w:tcBorders>
            <w:shd w:val="clear" w:color="auto" w:fill="auto"/>
            <w:tcMar>
              <w:top w:w="57" w:type="dxa"/>
              <w:left w:w="0" w:type="dxa"/>
              <w:bottom w:w="57" w:type="dxa"/>
              <w:right w:w="0" w:type="dxa"/>
            </w:tcMar>
            <w:vAlign w:val="bottom"/>
          </w:tcPr>
          <w:p w14:paraId="0A58B222" w14:textId="77777777" w:rsidR="001A46E8" w:rsidRPr="001A46E8" w:rsidRDefault="001A46E8" w:rsidP="00432C4F">
            <w:pPr>
              <w:spacing w:line="240" w:lineRule="atLeast"/>
              <w:jc w:val="right"/>
              <w:rPr>
                <w:rFonts w:ascii="Tahoma" w:hAnsi="Tahoma"/>
                <w:color w:val="000000" w:themeColor="text1"/>
                <w:sz w:val="16"/>
                <w:lang w:val="en-GB"/>
              </w:rPr>
            </w:pPr>
            <w:r w:rsidRPr="001A46E8">
              <w:rPr>
                <w:rFonts w:ascii="Tahoma" w:hAnsi="Tahoma"/>
                <w:color w:val="000000" w:themeColor="text1"/>
                <w:sz w:val="16"/>
                <w:lang w:val="en-GB"/>
              </w:rPr>
              <w:t>(522)</w:t>
            </w:r>
          </w:p>
        </w:tc>
        <w:tc>
          <w:tcPr>
            <w:tcW w:w="1134" w:type="dxa"/>
            <w:tcBorders>
              <w:bottom w:val="single" w:sz="4" w:space="0" w:color="auto"/>
            </w:tcBorders>
            <w:shd w:val="clear" w:color="auto" w:fill="auto"/>
            <w:tcMar>
              <w:top w:w="57" w:type="dxa"/>
              <w:left w:w="0" w:type="dxa"/>
              <w:bottom w:w="57" w:type="dxa"/>
              <w:right w:w="0" w:type="dxa"/>
            </w:tcMar>
            <w:vAlign w:val="bottom"/>
          </w:tcPr>
          <w:p w14:paraId="07B676A8" w14:textId="77777777" w:rsidR="001A46E8" w:rsidRPr="001A46E8" w:rsidRDefault="001A46E8" w:rsidP="00432C4F">
            <w:pPr>
              <w:spacing w:line="240" w:lineRule="atLeast"/>
              <w:jc w:val="right"/>
              <w:rPr>
                <w:rFonts w:ascii="Tahoma" w:hAnsi="Tahoma"/>
                <w:color w:val="000000" w:themeColor="text1"/>
                <w:sz w:val="16"/>
                <w:lang w:val="en-GB"/>
              </w:rPr>
            </w:pPr>
            <w:r w:rsidRPr="001A46E8">
              <w:rPr>
                <w:rFonts w:ascii="Tahoma" w:hAnsi="Tahoma"/>
                <w:color w:val="000000" w:themeColor="text1"/>
                <w:sz w:val="16"/>
                <w:lang w:val="en-GB"/>
              </w:rPr>
              <w:t>(91)</w:t>
            </w:r>
          </w:p>
        </w:tc>
        <w:tc>
          <w:tcPr>
            <w:tcW w:w="1134" w:type="dxa"/>
            <w:tcBorders>
              <w:bottom w:val="single" w:sz="4" w:space="0" w:color="auto"/>
            </w:tcBorders>
            <w:shd w:val="clear" w:color="auto" w:fill="auto"/>
            <w:tcMar>
              <w:top w:w="57" w:type="dxa"/>
              <w:left w:w="0" w:type="dxa"/>
              <w:bottom w:w="57" w:type="dxa"/>
              <w:right w:w="0" w:type="dxa"/>
            </w:tcMar>
            <w:vAlign w:val="bottom"/>
          </w:tcPr>
          <w:p w14:paraId="7DF2B643" w14:textId="77777777" w:rsidR="001A46E8" w:rsidRPr="001A46E8" w:rsidRDefault="001A46E8" w:rsidP="00432C4F">
            <w:pPr>
              <w:spacing w:line="240" w:lineRule="atLeast"/>
              <w:ind w:right="113"/>
              <w:jc w:val="right"/>
              <w:rPr>
                <w:rFonts w:ascii="Tahoma" w:hAnsi="Tahoma"/>
                <w:color w:val="000000" w:themeColor="text1"/>
                <w:sz w:val="16"/>
                <w:lang w:val="en-GB"/>
              </w:rPr>
            </w:pPr>
            <w:r w:rsidRPr="001A46E8">
              <w:rPr>
                <w:rFonts w:ascii="Tahoma" w:hAnsi="Tahoma"/>
                <w:color w:val="000000" w:themeColor="text1"/>
                <w:sz w:val="16"/>
                <w:lang w:val="en-GB"/>
              </w:rPr>
              <w:t>(1 330)</w:t>
            </w:r>
          </w:p>
        </w:tc>
      </w:tr>
      <w:tr w:rsidR="00615190" w:rsidRPr="001A46E8" w14:paraId="75B9866B" w14:textId="77777777" w:rsidTr="00CD7A84">
        <w:trPr>
          <w:trHeight w:val="60"/>
        </w:trPr>
        <w:tc>
          <w:tcPr>
            <w:tcW w:w="397" w:type="dxa"/>
            <w:shd w:val="clear" w:color="auto" w:fill="auto"/>
            <w:tcMar>
              <w:top w:w="57" w:type="dxa"/>
              <w:left w:w="0" w:type="dxa"/>
              <w:bottom w:w="57" w:type="dxa"/>
              <w:right w:w="0" w:type="dxa"/>
            </w:tcMar>
            <w:vAlign w:val="bottom"/>
          </w:tcPr>
          <w:p w14:paraId="3ACE9AF9" w14:textId="77777777" w:rsidR="001A46E8" w:rsidRPr="001A46E8" w:rsidRDefault="001A46E8" w:rsidP="00615190">
            <w:pPr>
              <w:spacing w:line="240" w:lineRule="atLeast"/>
              <w:rPr>
                <w:rFonts w:ascii="Tahoma" w:hAnsi="Tahoma"/>
                <w:color w:val="000000" w:themeColor="text1"/>
                <w:sz w:val="16"/>
                <w:lang w:val="en-GB"/>
              </w:rPr>
            </w:pPr>
          </w:p>
        </w:tc>
        <w:tc>
          <w:tcPr>
            <w:tcW w:w="5273" w:type="dxa"/>
            <w:tcBorders>
              <w:right w:val="single" w:sz="4" w:space="0" w:color="auto"/>
            </w:tcBorders>
            <w:shd w:val="clear" w:color="auto" w:fill="auto"/>
            <w:tcMar>
              <w:top w:w="57" w:type="dxa"/>
              <w:left w:w="113" w:type="dxa"/>
              <w:bottom w:w="57" w:type="dxa"/>
              <w:right w:w="0" w:type="dxa"/>
            </w:tcMar>
            <w:vAlign w:val="bottom"/>
          </w:tcPr>
          <w:p w14:paraId="231C0DD6" w14:textId="77777777" w:rsidR="001A46E8" w:rsidRPr="001A46E8" w:rsidRDefault="001A46E8" w:rsidP="00615190">
            <w:pPr>
              <w:spacing w:line="240" w:lineRule="atLeast"/>
              <w:rPr>
                <w:rFonts w:ascii="Tahoma" w:hAnsi="Tahoma"/>
                <w:color w:val="000000" w:themeColor="text1"/>
                <w:sz w:val="16"/>
                <w:lang w:val="en-GB"/>
              </w:rPr>
            </w:pPr>
            <w:r w:rsidRPr="001A46E8">
              <w:rPr>
                <w:rFonts w:ascii="Tahoma" w:hAnsi="Tahoma"/>
                <w:color w:val="000000" w:themeColor="text1"/>
                <w:sz w:val="16"/>
                <w:lang w:val="en-GB"/>
              </w:rPr>
              <w:t>Classifieds</w:t>
            </w:r>
            <w:r w:rsidRPr="001A46E8">
              <w:rPr>
                <w:rFonts w:ascii="Tahoma" w:hAnsi="Tahoma"/>
                <w:color w:val="000000" w:themeColor="text1"/>
                <w:sz w:val="16"/>
                <w:vertAlign w:val="superscript"/>
                <w:lang w:val="en-GB"/>
              </w:rPr>
              <w:t>1</w:t>
            </w:r>
          </w:p>
        </w:tc>
        <w:tc>
          <w:tcPr>
            <w:tcW w:w="1134" w:type="dxa"/>
            <w:tcBorders>
              <w:top w:val="single" w:sz="4" w:space="0" w:color="auto"/>
              <w:left w:val="single" w:sz="4" w:space="0" w:color="auto"/>
            </w:tcBorders>
            <w:shd w:val="clear" w:color="auto" w:fill="auto"/>
            <w:tcMar>
              <w:top w:w="57" w:type="dxa"/>
              <w:left w:w="0" w:type="dxa"/>
              <w:bottom w:w="57" w:type="dxa"/>
              <w:right w:w="0" w:type="dxa"/>
            </w:tcMar>
            <w:vAlign w:val="bottom"/>
          </w:tcPr>
          <w:p w14:paraId="064B9A3F" w14:textId="77777777" w:rsidR="001A46E8" w:rsidRPr="001A46E8" w:rsidRDefault="001A46E8" w:rsidP="00432C4F">
            <w:pPr>
              <w:spacing w:line="240" w:lineRule="atLeast"/>
              <w:jc w:val="right"/>
              <w:rPr>
                <w:rFonts w:ascii="Tahoma" w:hAnsi="Tahoma"/>
                <w:b/>
                <w:bCs/>
                <w:color w:val="000000" w:themeColor="text1"/>
                <w:sz w:val="16"/>
                <w:lang w:val="en-GB"/>
              </w:rPr>
            </w:pPr>
            <w:r w:rsidRPr="001A46E8">
              <w:rPr>
                <w:rFonts w:ascii="Tahoma" w:hAnsi="Tahoma"/>
                <w:b/>
                <w:bCs/>
                <w:color w:val="000000" w:themeColor="text1"/>
                <w:sz w:val="16"/>
                <w:lang w:val="en-GB"/>
              </w:rPr>
              <w:t>(159)</w:t>
            </w:r>
          </w:p>
        </w:tc>
        <w:tc>
          <w:tcPr>
            <w:tcW w:w="1134" w:type="dxa"/>
            <w:tcBorders>
              <w:top w:val="single" w:sz="4" w:space="0" w:color="auto"/>
            </w:tcBorders>
            <w:shd w:val="clear" w:color="auto" w:fill="auto"/>
            <w:tcMar>
              <w:top w:w="57" w:type="dxa"/>
              <w:left w:w="0" w:type="dxa"/>
              <w:bottom w:w="57" w:type="dxa"/>
              <w:right w:w="0" w:type="dxa"/>
            </w:tcMar>
            <w:vAlign w:val="bottom"/>
          </w:tcPr>
          <w:p w14:paraId="1D690BA6" w14:textId="77777777" w:rsidR="001A46E8" w:rsidRPr="001A46E8" w:rsidRDefault="001A46E8" w:rsidP="00432C4F">
            <w:pPr>
              <w:spacing w:line="240" w:lineRule="atLeast"/>
              <w:jc w:val="right"/>
              <w:rPr>
                <w:rFonts w:ascii="Tahoma" w:hAnsi="Tahoma"/>
                <w:color w:val="000000" w:themeColor="text1"/>
                <w:sz w:val="16"/>
                <w:lang w:val="en-GB"/>
              </w:rPr>
            </w:pPr>
            <w:r w:rsidRPr="001A46E8">
              <w:rPr>
                <w:rFonts w:ascii="Tahoma" w:hAnsi="Tahoma"/>
                <w:color w:val="000000" w:themeColor="text1"/>
                <w:sz w:val="16"/>
                <w:lang w:val="en-GB"/>
              </w:rPr>
              <w:t>(42)</w:t>
            </w:r>
          </w:p>
        </w:tc>
        <w:tc>
          <w:tcPr>
            <w:tcW w:w="1134" w:type="dxa"/>
            <w:tcBorders>
              <w:top w:val="single" w:sz="4" w:space="0" w:color="auto"/>
            </w:tcBorders>
            <w:shd w:val="clear" w:color="auto" w:fill="auto"/>
            <w:tcMar>
              <w:top w:w="57" w:type="dxa"/>
              <w:left w:w="0" w:type="dxa"/>
              <w:bottom w:w="57" w:type="dxa"/>
              <w:right w:w="0" w:type="dxa"/>
            </w:tcMar>
            <w:vAlign w:val="bottom"/>
          </w:tcPr>
          <w:p w14:paraId="61F0B1F3" w14:textId="77777777" w:rsidR="001A46E8" w:rsidRPr="001A46E8" w:rsidRDefault="001A46E8" w:rsidP="00432C4F">
            <w:pPr>
              <w:spacing w:line="240" w:lineRule="atLeast"/>
              <w:jc w:val="right"/>
              <w:rPr>
                <w:rFonts w:ascii="Tahoma" w:hAnsi="Tahoma"/>
                <w:color w:val="000000" w:themeColor="text1"/>
                <w:sz w:val="16"/>
                <w:lang w:val="en-GB"/>
              </w:rPr>
            </w:pPr>
            <w:proofErr w:type="gramStart"/>
            <w:r w:rsidRPr="001A46E8">
              <w:rPr>
                <w:rFonts w:ascii="Tahoma" w:hAnsi="Tahoma"/>
                <w:color w:val="000000" w:themeColor="text1"/>
                <w:sz w:val="16"/>
                <w:lang w:val="en-GB"/>
              </w:rPr>
              <w:t>&gt;(</w:t>
            </w:r>
            <w:proofErr w:type="gramEnd"/>
            <w:r w:rsidRPr="001A46E8">
              <w:rPr>
                <w:rFonts w:ascii="Tahoma" w:hAnsi="Tahoma"/>
                <w:color w:val="000000" w:themeColor="text1"/>
                <w:sz w:val="16"/>
                <w:lang w:val="en-GB"/>
              </w:rPr>
              <w:t>100)</w:t>
            </w:r>
          </w:p>
        </w:tc>
        <w:tc>
          <w:tcPr>
            <w:tcW w:w="1134" w:type="dxa"/>
            <w:tcBorders>
              <w:top w:val="single" w:sz="4" w:space="0" w:color="auto"/>
              <w:right w:val="single" w:sz="4" w:space="0" w:color="auto"/>
            </w:tcBorders>
            <w:shd w:val="clear" w:color="auto" w:fill="auto"/>
            <w:tcMar>
              <w:top w:w="57" w:type="dxa"/>
              <w:left w:w="0" w:type="dxa"/>
              <w:bottom w:w="57" w:type="dxa"/>
              <w:right w:w="0" w:type="dxa"/>
            </w:tcMar>
            <w:vAlign w:val="bottom"/>
          </w:tcPr>
          <w:p w14:paraId="69E79E87" w14:textId="77777777" w:rsidR="001A46E8" w:rsidRPr="001A46E8" w:rsidRDefault="001A46E8" w:rsidP="00432C4F">
            <w:pPr>
              <w:spacing w:line="240" w:lineRule="atLeast"/>
              <w:ind w:right="113"/>
              <w:jc w:val="right"/>
              <w:rPr>
                <w:rFonts w:ascii="Tahoma" w:hAnsi="Tahoma"/>
                <w:color w:val="000000" w:themeColor="text1"/>
                <w:sz w:val="16"/>
                <w:lang w:val="en-GB"/>
              </w:rPr>
            </w:pPr>
            <w:r w:rsidRPr="001A46E8">
              <w:rPr>
                <w:rFonts w:ascii="Tahoma" w:hAnsi="Tahoma"/>
                <w:color w:val="000000" w:themeColor="text1"/>
                <w:sz w:val="16"/>
                <w:lang w:val="en-GB"/>
              </w:rPr>
              <w:t>(194)</w:t>
            </w:r>
          </w:p>
        </w:tc>
      </w:tr>
      <w:tr w:rsidR="00615190" w:rsidRPr="001A46E8" w14:paraId="0981061B" w14:textId="77777777" w:rsidTr="00CD7A84">
        <w:trPr>
          <w:trHeight w:val="60"/>
        </w:trPr>
        <w:tc>
          <w:tcPr>
            <w:tcW w:w="397" w:type="dxa"/>
            <w:shd w:val="clear" w:color="auto" w:fill="auto"/>
            <w:tcMar>
              <w:top w:w="57" w:type="dxa"/>
              <w:left w:w="0" w:type="dxa"/>
              <w:bottom w:w="57" w:type="dxa"/>
              <w:right w:w="0" w:type="dxa"/>
            </w:tcMar>
            <w:vAlign w:val="bottom"/>
          </w:tcPr>
          <w:p w14:paraId="6966ADDB" w14:textId="77777777" w:rsidR="001A46E8" w:rsidRPr="001A46E8" w:rsidRDefault="001A46E8" w:rsidP="00615190">
            <w:pPr>
              <w:spacing w:line="240" w:lineRule="atLeast"/>
              <w:rPr>
                <w:rFonts w:ascii="Tahoma" w:hAnsi="Tahoma"/>
                <w:color w:val="000000" w:themeColor="text1"/>
                <w:sz w:val="16"/>
                <w:lang w:val="en-GB"/>
              </w:rPr>
            </w:pPr>
          </w:p>
        </w:tc>
        <w:tc>
          <w:tcPr>
            <w:tcW w:w="5273" w:type="dxa"/>
            <w:tcBorders>
              <w:right w:val="single" w:sz="4" w:space="0" w:color="auto"/>
            </w:tcBorders>
            <w:shd w:val="clear" w:color="auto" w:fill="auto"/>
            <w:tcMar>
              <w:top w:w="57" w:type="dxa"/>
              <w:left w:w="113" w:type="dxa"/>
              <w:bottom w:w="57" w:type="dxa"/>
              <w:right w:w="0" w:type="dxa"/>
            </w:tcMar>
            <w:vAlign w:val="bottom"/>
          </w:tcPr>
          <w:p w14:paraId="2328957C" w14:textId="77777777" w:rsidR="001A46E8" w:rsidRPr="001A46E8" w:rsidRDefault="001A46E8" w:rsidP="00615190">
            <w:pPr>
              <w:spacing w:line="240" w:lineRule="atLeast"/>
              <w:rPr>
                <w:rFonts w:ascii="Tahoma" w:hAnsi="Tahoma"/>
                <w:color w:val="000000" w:themeColor="text1"/>
                <w:sz w:val="16"/>
                <w:lang w:val="en-GB"/>
              </w:rPr>
            </w:pPr>
            <w:r w:rsidRPr="001A46E8">
              <w:rPr>
                <w:rFonts w:ascii="Tahoma" w:hAnsi="Tahoma"/>
                <w:color w:val="000000" w:themeColor="text1"/>
                <w:sz w:val="16"/>
                <w:lang w:val="en-GB"/>
              </w:rPr>
              <w:t>Food Delivery</w:t>
            </w:r>
          </w:p>
        </w:tc>
        <w:tc>
          <w:tcPr>
            <w:tcW w:w="1134" w:type="dxa"/>
            <w:tcBorders>
              <w:left w:val="single" w:sz="4" w:space="0" w:color="auto"/>
            </w:tcBorders>
            <w:shd w:val="clear" w:color="auto" w:fill="auto"/>
            <w:tcMar>
              <w:top w:w="57" w:type="dxa"/>
              <w:left w:w="0" w:type="dxa"/>
              <w:bottom w:w="57" w:type="dxa"/>
              <w:right w:w="0" w:type="dxa"/>
            </w:tcMar>
            <w:vAlign w:val="bottom"/>
          </w:tcPr>
          <w:p w14:paraId="66FB713D" w14:textId="77777777" w:rsidR="001A46E8" w:rsidRPr="001A46E8" w:rsidRDefault="001A46E8" w:rsidP="00432C4F">
            <w:pPr>
              <w:spacing w:line="240" w:lineRule="atLeast"/>
              <w:jc w:val="right"/>
              <w:rPr>
                <w:rFonts w:ascii="Tahoma" w:hAnsi="Tahoma"/>
                <w:b/>
                <w:bCs/>
                <w:color w:val="000000" w:themeColor="text1"/>
                <w:sz w:val="16"/>
                <w:lang w:val="en-GB"/>
              </w:rPr>
            </w:pPr>
            <w:r w:rsidRPr="001A46E8">
              <w:rPr>
                <w:rFonts w:ascii="Tahoma" w:hAnsi="Tahoma"/>
                <w:b/>
                <w:bCs/>
                <w:color w:val="000000" w:themeColor="text1"/>
                <w:sz w:val="16"/>
                <w:lang w:val="en-GB"/>
              </w:rPr>
              <w:t>(381)</w:t>
            </w:r>
          </w:p>
        </w:tc>
        <w:tc>
          <w:tcPr>
            <w:tcW w:w="1134" w:type="dxa"/>
            <w:shd w:val="clear" w:color="auto" w:fill="auto"/>
            <w:tcMar>
              <w:top w:w="57" w:type="dxa"/>
              <w:left w:w="0" w:type="dxa"/>
              <w:bottom w:w="57" w:type="dxa"/>
              <w:right w:w="0" w:type="dxa"/>
            </w:tcMar>
            <w:vAlign w:val="bottom"/>
          </w:tcPr>
          <w:p w14:paraId="57341E08" w14:textId="77777777" w:rsidR="001A46E8" w:rsidRPr="001A46E8" w:rsidRDefault="001A46E8" w:rsidP="00432C4F">
            <w:pPr>
              <w:spacing w:line="240" w:lineRule="atLeast"/>
              <w:jc w:val="right"/>
              <w:rPr>
                <w:rFonts w:ascii="Tahoma" w:hAnsi="Tahoma"/>
                <w:color w:val="000000" w:themeColor="text1"/>
                <w:sz w:val="16"/>
                <w:lang w:val="en-GB"/>
              </w:rPr>
            </w:pPr>
            <w:r w:rsidRPr="001A46E8">
              <w:rPr>
                <w:rFonts w:ascii="Tahoma" w:hAnsi="Tahoma"/>
                <w:color w:val="000000" w:themeColor="text1"/>
                <w:sz w:val="16"/>
                <w:lang w:val="en-GB"/>
              </w:rPr>
              <w:t>(312)</w:t>
            </w:r>
          </w:p>
        </w:tc>
        <w:tc>
          <w:tcPr>
            <w:tcW w:w="1134" w:type="dxa"/>
            <w:shd w:val="clear" w:color="auto" w:fill="auto"/>
            <w:tcMar>
              <w:top w:w="57" w:type="dxa"/>
              <w:left w:w="0" w:type="dxa"/>
              <w:bottom w:w="57" w:type="dxa"/>
              <w:right w:w="0" w:type="dxa"/>
            </w:tcMar>
            <w:vAlign w:val="bottom"/>
          </w:tcPr>
          <w:p w14:paraId="0570EFD4" w14:textId="77777777" w:rsidR="001A46E8" w:rsidRPr="001A46E8" w:rsidRDefault="001A46E8" w:rsidP="00432C4F">
            <w:pPr>
              <w:spacing w:line="240" w:lineRule="atLeast"/>
              <w:jc w:val="right"/>
              <w:rPr>
                <w:rFonts w:ascii="Tahoma" w:hAnsi="Tahoma"/>
                <w:color w:val="000000" w:themeColor="text1"/>
                <w:sz w:val="16"/>
                <w:lang w:val="en-GB"/>
              </w:rPr>
            </w:pPr>
            <w:r w:rsidRPr="001A46E8">
              <w:rPr>
                <w:rFonts w:ascii="Tahoma" w:hAnsi="Tahoma"/>
                <w:color w:val="000000" w:themeColor="text1"/>
                <w:sz w:val="16"/>
                <w:lang w:val="en-GB"/>
              </w:rPr>
              <w:t>(22)</w:t>
            </w:r>
          </w:p>
        </w:tc>
        <w:tc>
          <w:tcPr>
            <w:tcW w:w="1134" w:type="dxa"/>
            <w:tcBorders>
              <w:right w:val="single" w:sz="4" w:space="0" w:color="auto"/>
            </w:tcBorders>
            <w:shd w:val="clear" w:color="auto" w:fill="auto"/>
            <w:tcMar>
              <w:top w:w="57" w:type="dxa"/>
              <w:left w:w="0" w:type="dxa"/>
              <w:bottom w:w="57" w:type="dxa"/>
              <w:right w:w="0" w:type="dxa"/>
            </w:tcMar>
            <w:vAlign w:val="bottom"/>
          </w:tcPr>
          <w:p w14:paraId="58AD401A" w14:textId="77777777" w:rsidR="001A46E8" w:rsidRPr="001A46E8" w:rsidRDefault="001A46E8" w:rsidP="00432C4F">
            <w:pPr>
              <w:spacing w:line="240" w:lineRule="atLeast"/>
              <w:ind w:right="113"/>
              <w:jc w:val="right"/>
              <w:rPr>
                <w:rFonts w:ascii="Tahoma" w:hAnsi="Tahoma"/>
                <w:color w:val="000000" w:themeColor="text1"/>
                <w:sz w:val="16"/>
                <w:lang w:val="en-GB"/>
              </w:rPr>
            </w:pPr>
            <w:r w:rsidRPr="001A46E8">
              <w:rPr>
                <w:rFonts w:ascii="Tahoma" w:hAnsi="Tahoma"/>
                <w:color w:val="000000" w:themeColor="text1"/>
                <w:sz w:val="16"/>
                <w:lang w:val="en-GB"/>
              </w:rPr>
              <w:t>(724)</w:t>
            </w:r>
          </w:p>
        </w:tc>
      </w:tr>
      <w:tr w:rsidR="00615190" w:rsidRPr="001A46E8" w14:paraId="745F1D65" w14:textId="77777777" w:rsidTr="00CD7A84">
        <w:trPr>
          <w:trHeight w:val="60"/>
        </w:trPr>
        <w:tc>
          <w:tcPr>
            <w:tcW w:w="397" w:type="dxa"/>
            <w:shd w:val="clear" w:color="auto" w:fill="auto"/>
            <w:tcMar>
              <w:top w:w="57" w:type="dxa"/>
              <w:left w:w="0" w:type="dxa"/>
              <w:bottom w:w="57" w:type="dxa"/>
              <w:right w:w="0" w:type="dxa"/>
            </w:tcMar>
            <w:vAlign w:val="bottom"/>
          </w:tcPr>
          <w:p w14:paraId="35D3F96C" w14:textId="77777777" w:rsidR="001A46E8" w:rsidRPr="001A46E8" w:rsidRDefault="001A46E8" w:rsidP="00615190">
            <w:pPr>
              <w:spacing w:line="240" w:lineRule="atLeast"/>
              <w:rPr>
                <w:rFonts w:ascii="Tahoma" w:hAnsi="Tahoma"/>
                <w:color w:val="000000" w:themeColor="text1"/>
                <w:sz w:val="16"/>
                <w:lang w:val="en-GB"/>
              </w:rPr>
            </w:pPr>
          </w:p>
        </w:tc>
        <w:tc>
          <w:tcPr>
            <w:tcW w:w="5273" w:type="dxa"/>
            <w:tcBorders>
              <w:right w:val="single" w:sz="4" w:space="0" w:color="auto"/>
            </w:tcBorders>
            <w:shd w:val="clear" w:color="auto" w:fill="auto"/>
            <w:tcMar>
              <w:top w:w="57" w:type="dxa"/>
              <w:left w:w="113" w:type="dxa"/>
              <w:bottom w:w="57" w:type="dxa"/>
              <w:right w:w="0" w:type="dxa"/>
            </w:tcMar>
            <w:vAlign w:val="bottom"/>
          </w:tcPr>
          <w:p w14:paraId="2014863E" w14:textId="77777777" w:rsidR="001A46E8" w:rsidRPr="001A46E8" w:rsidRDefault="001A46E8" w:rsidP="00615190">
            <w:pPr>
              <w:spacing w:line="240" w:lineRule="atLeast"/>
              <w:rPr>
                <w:rFonts w:ascii="Tahoma" w:hAnsi="Tahoma"/>
                <w:color w:val="000000" w:themeColor="text1"/>
                <w:sz w:val="16"/>
                <w:lang w:val="en-GB"/>
              </w:rPr>
            </w:pPr>
            <w:r w:rsidRPr="001A46E8">
              <w:rPr>
                <w:rFonts w:ascii="Tahoma" w:hAnsi="Tahoma"/>
                <w:color w:val="000000" w:themeColor="text1"/>
                <w:sz w:val="16"/>
                <w:lang w:val="en-GB"/>
              </w:rPr>
              <w:t>Payments and Fintech</w:t>
            </w:r>
          </w:p>
        </w:tc>
        <w:tc>
          <w:tcPr>
            <w:tcW w:w="1134" w:type="dxa"/>
            <w:tcBorders>
              <w:left w:val="single" w:sz="4" w:space="0" w:color="auto"/>
            </w:tcBorders>
            <w:shd w:val="clear" w:color="auto" w:fill="auto"/>
            <w:tcMar>
              <w:top w:w="57" w:type="dxa"/>
              <w:left w:w="0" w:type="dxa"/>
              <w:bottom w:w="57" w:type="dxa"/>
              <w:right w:w="0" w:type="dxa"/>
            </w:tcMar>
            <w:vAlign w:val="bottom"/>
          </w:tcPr>
          <w:p w14:paraId="4E6EC27A" w14:textId="77777777" w:rsidR="001A46E8" w:rsidRPr="001A46E8" w:rsidRDefault="001A46E8" w:rsidP="00432C4F">
            <w:pPr>
              <w:spacing w:line="240" w:lineRule="atLeast"/>
              <w:jc w:val="right"/>
              <w:rPr>
                <w:rFonts w:ascii="Tahoma" w:hAnsi="Tahoma"/>
                <w:b/>
                <w:bCs/>
                <w:color w:val="000000" w:themeColor="text1"/>
                <w:sz w:val="16"/>
                <w:lang w:val="en-GB"/>
              </w:rPr>
            </w:pPr>
            <w:r w:rsidRPr="001A46E8">
              <w:rPr>
                <w:rFonts w:ascii="Tahoma" w:hAnsi="Tahoma"/>
                <w:b/>
                <w:bCs/>
                <w:color w:val="000000" w:themeColor="text1"/>
                <w:sz w:val="16"/>
                <w:lang w:val="en-GB"/>
              </w:rPr>
              <w:t>(97)</w:t>
            </w:r>
          </w:p>
        </w:tc>
        <w:tc>
          <w:tcPr>
            <w:tcW w:w="1134" w:type="dxa"/>
            <w:shd w:val="clear" w:color="auto" w:fill="auto"/>
            <w:tcMar>
              <w:top w:w="57" w:type="dxa"/>
              <w:left w:w="0" w:type="dxa"/>
              <w:bottom w:w="57" w:type="dxa"/>
              <w:right w:w="0" w:type="dxa"/>
            </w:tcMar>
            <w:vAlign w:val="bottom"/>
          </w:tcPr>
          <w:p w14:paraId="0A27A6E1" w14:textId="77777777" w:rsidR="001A46E8" w:rsidRPr="001A46E8" w:rsidRDefault="001A46E8" w:rsidP="00432C4F">
            <w:pPr>
              <w:spacing w:line="240" w:lineRule="atLeast"/>
              <w:jc w:val="right"/>
              <w:rPr>
                <w:rFonts w:ascii="Tahoma" w:hAnsi="Tahoma"/>
                <w:color w:val="000000" w:themeColor="text1"/>
                <w:sz w:val="16"/>
                <w:lang w:val="en-GB"/>
              </w:rPr>
            </w:pPr>
            <w:r w:rsidRPr="001A46E8">
              <w:rPr>
                <w:rFonts w:ascii="Tahoma" w:hAnsi="Tahoma"/>
                <w:color w:val="000000" w:themeColor="text1"/>
                <w:sz w:val="16"/>
                <w:lang w:val="en-GB"/>
              </w:rPr>
              <w:t>(31)</w:t>
            </w:r>
          </w:p>
        </w:tc>
        <w:tc>
          <w:tcPr>
            <w:tcW w:w="1134" w:type="dxa"/>
            <w:shd w:val="clear" w:color="auto" w:fill="auto"/>
            <w:tcMar>
              <w:top w:w="57" w:type="dxa"/>
              <w:left w:w="0" w:type="dxa"/>
              <w:bottom w:w="57" w:type="dxa"/>
              <w:right w:w="0" w:type="dxa"/>
            </w:tcMar>
            <w:vAlign w:val="bottom"/>
          </w:tcPr>
          <w:p w14:paraId="2E39B013" w14:textId="77777777" w:rsidR="001A46E8" w:rsidRPr="001A46E8" w:rsidRDefault="001A46E8" w:rsidP="00432C4F">
            <w:pPr>
              <w:spacing w:line="240" w:lineRule="atLeast"/>
              <w:jc w:val="right"/>
              <w:rPr>
                <w:rFonts w:ascii="Tahoma" w:hAnsi="Tahoma"/>
                <w:color w:val="000000" w:themeColor="text1"/>
                <w:sz w:val="16"/>
                <w:lang w:val="en-GB"/>
              </w:rPr>
            </w:pPr>
            <w:proofErr w:type="gramStart"/>
            <w:r w:rsidRPr="001A46E8">
              <w:rPr>
                <w:rFonts w:ascii="Tahoma" w:hAnsi="Tahoma"/>
                <w:color w:val="000000" w:themeColor="text1"/>
                <w:sz w:val="16"/>
                <w:lang w:val="en-GB"/>
              </w:rPr>
              <w:t>&gt;(</w:t>
            </w:r>
            <w:proofErr w:type="gramEnd"/>
            <w:r w:rsidRPr="001A46E8">
              <w:rPr>
                <w:rFonts w:ascii="Tahoma" w:hAnsi="Tahoma"/>
                <w:color w:val="000000" w:themeColor="text1"/>
                <w:sz w:val="16"/>
                <w:lang w:val="en-GB"/>
              </w:rPr>
              <w:t>100)</w:t>
            </w:r>
          </w:p>
        </w:tc>
        <w:tc>
          <w:tcPr>
            <w:tcW w:w="1134" w:type="dxa"/>
            <w:tcBorders>
              <w:right w:val="single" w:sz="4" w:space="0" w:color="auto"/>
            </w:tcBorders>
            <w:shd w:val="clear" w:color="auto" w:fill="auto"/>
            <w:tcMar>
              <w:top w:w="57" w:type="dxa"/>
              <w:left w:w="0" w:type="dxa"/>
              <w:bottom w:w="57" w:type="dxa"/>
              <w:right w:w="0" w:type="dxa"/>
            </w:tcMar>
            <w:vAlign w:val="bottom"/>
          </w:tcPr>
          <w:p w14:paraId="7624946D" w14:textId="77777777" w:rsidR="001A46E8" w:rsidRPr="001A46E8" w:rsidRDefault="001A46E8" w:rsidP="00432C4F">
            <w:pPr>
              <w:spacing w:line="240" w:lineRule="atLeast"/>
              <w:ind w:right="113"/>
              <w:jc w:val="right"/>
              <w:rPr>
                <w:rFonts w:ascii="Tahoma" w:hAnsi="Tahoma"/>
                <w:color w:val="000000" w:themeColor="text1"/>
                <w:sz w:val="16"/>
                <w:lang w:val="en-GB"/>
              </w:rPr>
            </w:pPr>
            <w:r w:rsidRPr="001A46E8">
              <w:rPr>
                <w:rFonts w:ascii="Tahoma" w:hAnsi="Tahoma"/>
                <w:color w:val="000000" w:themeColor="text1"/>
                <w:sz w:val="16"/>
                <w:lang w:val="en-GB"/>
              </w:rPr>
              <w:t>(60)</w:t>
            </w:r>
          </w:p>
        </w:tc>
      </w:tr>
      <w:tr w:rsidR="00615190" w:rsidRPr="001A46E8" w14:paraId="5742B4D5" w14:textId="77777777" w:rsidTr="00CD7A84">
        <w:trPr>
          <w:trHeight w:val="60"/>
        </w:trPr>
        <w:tc>
          <w:tcPr>
            <w:tcW w:w="397" w:type="dxa"/>
            <w:shd w:val="clear" w:color="auto" w:fill="auto"/>
            <w:tcMar>
              <w:top w:w="57" w:type="dxa"/>
              <w:left w:w="0" w:type="dxa"/>
              <w:bottom w:w="57" w:type="dxa"/>
              <w:right w:w="0" w:type="dxa"/>
            </w:tcMar>
            <w:vAlign w:val="bottom"/>
          </w:tcPr>
          <w:p w14:paraId="7FF79902" w14:textId="77777777" w:rsidR="001A46E8" w:rsidRPr="001A46E8" w:rsidRDefault="001A46E8" w:rsidP="00615190">
            <w:pPr>
              <w:spacing w:line="240" w:lineRule="atLeast"/>
              <w:rPr>
                <w:rFonts w:ascii="Tahoma" w:hAnsi="Tahoma"/>
                <w:color w:val="000000" w:themeColor="text1"/>
                <w:sz w:val="16"/>
                <w:lang w:val="en-GB"/>
              </w:rPr>
            </w:pPr>
          </w:p>
        </w:tc>
        <w:tc>
          <w:tcPr>
            <w:tcW w:w="5273" w:type="dxa"/>
            <w:tcBorders>
              <w:right w:val="single" w:sz="4" w:space="0" w:color="auto"/>
            </w:tcBorders>
            <w:shd w:val="clear" w:color="auto" w:fill="auto"/>
            <w:tcMar>
              <w:top w:w="57" w:type="dxa"/>
              <w:left w:w="113" w:type="dxa"/>
              <w:bottom w:w="57" w:type="dxa"/>
              <w:right w:w="0" w:type="dxa"/>
            </w:tcMar>
            <w:vAlign w:val="bottom"/>
          </w:tcPr>
          <w:p w14:paraId="58B5E287" w14:textId="77777777" w:rsidR="001A46E8" w:rsidRPr="001A46E8" w:rsidRDefault="001A46E8" w:rsidP="00615190">
            <w:pPr>
              <w:spacing w:line="240" w:lineRule="atLeast"/>
              <w:rPr>
                <w:rFonts w:ascii="Tahoma" w:hAnsi="Tahoma"/>
                <w:color w:val="000000" w:themeColor="text1"/>
                <w:sz w:val="16"/>
                <w:lang w:val="en-GB"/>
              </w:rPr>
            </w:pPr>
            <w:r w:rsidRPr="001A46E8">
              <w:rPr>
                <w:rFonts w:ascii="Tahoma" w:hAnsi="Tahoma"/>
                <w:color w:val="000000" w:themeColor="text1"/>
                <w:sz w:val="16"/>
                <w:lang w:val="en-GB"/>
              </w:rPr>
              <w:t>Edtech</w:t>
            </w:r>
          </w:p>
        </w:tc>
        <w:tc>
          <w:tcPr>
            <w:tcW w:w="1134" w:type="dxa"/>
            <w:tcBorders>
              <w:left w:val="single" w:sz="4" w:space="0" w:color="auto"/>
            </w:tcBorders>
            <w:shd w:val="clear" w:color="auto" w:fill="auto"/>
            <w:tcMar>
              <w:top w:w="57" w:type="dxa"/>
              <w:left w:w="0" w:type="dxa"/>
              <w:bottom w:w="57" w:type="dxa"/>
              <w:right w:w="0" w:type="dxa"/>
            </w:tcMar>
            <w:vAlign w:val="bottom"/>
          </w:tcPr>
          <w:p w14:paraId="54C0382C" w14:textId="77777777" w:rsidR="001A46E8" w:rsidRPr="001A46E8" w:rsidRDefault="001A46E8" w:rsidP="00432C4F">
            <w:pPr>
              <w:spacing w:line="240" w:lineRule="atLeast"/>
              <w:jc w:val="right"/>
              <w:rPr>
                <w:rFonts w:ascii="Tahoma" w:hAnsi="Tahoma"/>
                <w:b/>
                <w:bCs/>
                <w:color w:val="000000" w:themeColor="text1"/>
                <w:sz w:val="16"/>
                <w:lang w:val="en-GB"/>
              </w:rPr>
            </w:pPr>
            <w:r w:rsidRPr="001A46E8">
              <w:rPr>
                <w:rFonts w:ascii="Tahoma" w:hAnsi="Tahoma"/>
                <w:b/>
                <w:bCs/>
                <w:color w:val="000000" w:themeColor="text1"/>
                <w:sz w:val="16"/>
                <w:lang w:val="en-GB"/>
              </w:rPr>
              <w:t>(178)</w:t>
            </w:r>
          </w:p>
        </w:tc>
        <w:tc>
          <w:tcPr>
            <w:tcW w:w="1134" w:type="dxa"/>
            <w:shd w:val="clear" w:color="auto" w:fill="auto"/>
            <w:tcMar>
              <w:top w:w="57" w:type="dxa"/>
              <w:left w:w="0" w:type="dxa"/>
              <w:bottom w:w="57" w:type="dxa"/>
              <w:right w:w="0" w:type="dxa"/>
            </w:tcMar>
            <w:vAlign w:val="bottom"/>
          </w:tcPr>
          <w:p w14:paraId="6D37D5BC" w14:textId="77777777" w:rsidR="001A46E8" w:rsidRPr="001A46E8" w:rsidRDefault="001A46E8" w:rsidP="00432C4F">
            <w:pPr>
              <w:spacing w:line="240" w:lineRule="atLeast"/>
              <w:jc w:val="right"/>
              <w:rPr>
                <w:rFonts w:ascii="Tahoma" w:hAnsi="Tahoma"/>
                <w:color w:val="000000" w:themeColor="text1"/>
                <w:sz w:val="16"/>
                <w:lang w:val="en-GB"/>
              </w:rPr>
            </w:pPr>
            <w:r w:rsidRPr="001A46E8">
              <w:rPr>
                <w:rFonts w:ascii="Tahoma" w:hAnsi="Tahoma"/>
                <w:color w:val="000000" w:themeColor="text1"/>
                <w:sz w:val="16"/>
                <w:lang w:val="en-GB"/>
              </w:rPr>
              <w:t>(48)</w:t>
            </w:r>
          </w:p>
        </w:tc>
        <w:tc>
          <w:tcPr>
            <w:tcW w:w="1134" w:type="dxa"/>
            <w:shd w:val="clear" w:color="auto" w:fill="auto"/>
            <w:tcMar>
              <w:top w:w="57" w:type="dxa"/>
              <w:left w:w="0" w:type="dxa"/>
              <w:bottom w:w="57" w:type="dxa"/>
              <w:right w:w="0" w:type="dxa"/>
            </w:tcMar>
            <w:vAlign w:val="bottom"/>
          </w:tcPr>
          <w:p w14:paraId="120F80C4" w14:textId="77777777" w:rsidR="001A46E8" w:rsidRPr="001A46E8" w:rsidRDefault="001A46E8" w:rsidP="00432C4F">
            <w:pPr>
              <w:spacing w:line="240" w:lineRule="atLeast"/>
              <w:jc w:val="right"/>
              <w:rPr>
                <w:rFonts w:ascii="Tahoma" w:hAnsi="Tahoma"/>
                <w:color w:val="000000" w:themeColor="text1"/>
                <w:sz w:val="16"/>
                <w:lang w:val="en-GB"/>
              </w:rPr>
            </w:pPr>
            <w:proofErr w:type="gramStart"/>
            <w:r w:rsidRPr="001A46E8">
              <w:rPr>
                <w:rFonts w:ascii="Tahoma" w:hAnsi="Tahoma"/>
                <w:color w:val="000000" w:themeColor="text1"/>
                <w:sz w:val="16"/>
                <w:lang w:val="en-GB"/>
              </w:rPr>
              <w:t>&gt;(</w:t>
            </w:r>
            <w:proofErr w:type="gramEnd"/>
            <w:r w:rsidRPr="001A46E8">
              <w:rPr>
                <w:rFonts w:ascii="Tahoma" w:hAnsi="Tahoma"/>
                <w:color w:val="000000" w:themeColor="text1"/>
                <w:sz w:val="16"/>
                <w:lang w:val="en-GB"/>
              </w:rPr>
              <w:t>100)</w:t>
            </w:r>
          </w:p>
        </w:tc>
        <w:tc>
          <w:tcPr>
            <w:tcW w:w="1134" w:type="dxa"/>
            <w:tcBorders>
              <w:right w:val="single" w:sz="4" w:space="0" w:color="auto"/>
            </w:tcBorders>
            <w:shd w:val="clear" w:color="auto" w:fill="auto"/>
            <w:tcMar>
              <w:top w:w="57" w:type="dxa"/>
              <w:left w:w="0" w:type="dxa"/>
              <w:bottom w:w="57" w:type="dxa"/>
              <w:right w:w="0" w:type="dxa"/>
            </w:tcMar>
            <w:vAlign w:val="bottom"/>
          </w:tcPr>
          <w:p w14:paraId="77CB8F3B" w14:textId="77777777" w:rsidR="001A46E8" w:rsidRPr="001A46E8" w:rsidRDefault="001A46E8" w:rsidP="00432C4F">
            <w:pPr>
              <w:spacing w:line="240" w:lineRule="atLeast"/>
              <w:ind w:right="113"/>
              <w:jc w:val="right"/>
              <w:rPr>
                <w:rFonts w:ascii="Tahoma" w:hAnsi="Tahoma"/>
                <w:color w:val="000000" w:themeColor="text1"/>
                <w:sz w:val="16"/>
                <w:lang w:val="en-GB"/>
              </w:rPr>
            </w:pPr>
            <w:r w:rsidRPr="001A46E8">
              <w:rPr>
                <w:rFonts w:ascii="Tahoma" w:hAnsi="Tahoma"/>
                <w:color w:val="000000" w:themeColor="text1"/>
                <w:sz w:val="16"/>
                <w:lang w:val="en-GB"/>
              </w:rPr>
              <w:t>(117)</w:t>
            </w:r>
          </w:p>
        </w:tc>
      </w:tr>
      <w:tr w:rsidR="00615190" w:rsidRPr="001A46E8" w14:paraId="38A18928" w14:textId="77777777" w:rsidTr="00CD7A84">
        <w:trPr>
          <w:trHeight w:val="60"/>
        </w:trPr>
        <w:tc>
          <w:tcPr>
            <w:tcW w:w="397" w:type="dxa"/>
            <w:shd w:val="clear" w:color="auto" w:fill="auto"/>
            <w:tcMar>
              <w:top w:w="57" w:type="dxa"/>
              <w:left w:w="0" w:type="dxa"/>
              <w:bottom w:w="57" w:type="dxa"/>
              <w:right w:w="0" w:type="dxa"/>
            </w:tcMar>
            <w:vAlign w:val="bottom"/>
          </w:tcPr>
          <w:p w14:paraId="35202686" w14:textId="77777777" w:rsidR="001A46E8" w:rsidRPr="001A46E8" w:rsidRDefault="001A46E8" w:rsidP="00615190">
            <w:pPr>
              <w:spacing w:line="240" w:lineRule="atLeast"/>
              <w:rPr>
                <w:rFonts w:ascii="Tahoma" w:hAnsi="Tahoma"/>
                <w:color w:val="000000" w:themeColor="text1"/>
                <w:sz w:val="16"/>
                <w:lang w:val="en-GB"/>
              </w:rPr>
            </w:pPr>
          </w:p>
        </w:tc>
        <w:tc>
          <w:tcPr>
            <w:tcW w:w="5273" w:type="dxa"/>
            <w:tcBorders>
              <w:right w:val="single" w:sz="4" w:space="0" w:color="auto"/>
            </w:tcBorders>
            <w:shd w:val="clear" w:color="auto" w:fill="auto"/>
            <w:tcMar>
              <w:top w:w="57" w:type="dxa"/>
              <w:left w:w="113" w:type="dxa"/>
              <w:bottom w:w="57" w:type="dxa"/>
              <w:right w:w="0" w:type="dxa"/>
            </w:tcMar>
            <w:vAlign w:val="bottom"/>
          </w:tcPr>
          <w:p w14:paraId="2D729FAC" w14:textId="77777777" w:rsidR="001A46E8" w:rsidRPr="001A46E8" w:rsidRDefault="001A46E8" w:rsidP="00615190">
            <w:pPr>
              <w:spacing w:line="240" w:lineRule="atLeast"/>
              <w:rPr>
                <w:rFonts w:ascii="Tahoma" w:hAnsi="Tahoma"/>
                <w:color w:val="000000" w:themeColor="text1"/>
                <w:sz w:val="16"/>
                <w:lang w:val="en-GB"/>
              </w:rPr>
            </w:pPr>
            <w:r w:rsidRPr="001A46E8">
              <w:rPr>
                <w:rFonts w:ascii="Tahoma" w:hAnsi="Tahoma"/>
                <w:color w:val="000000" w:themeColor="text1"/>
                <w:sz w:val="16"/>
                <w:lang w:val="en-GB"/>
              </w:rPr>
              <w:t>Etail</w:t>
            </w:r>
          </w:p>
        </w:tc>
        <w:tc>
          <w:tcPr>
            <w:tcW w:w="1134" w:type="dxa"/>
            <w:tcBorders>
              <w:left w:val="single" w:sz="4" w:space="0" w:color="auto"/>
            </w:tcBorders>
            <w:shd w:val="clear" w:color="auto" w:fill="auto"/>
            <w:tcMar>
              <w:top w:w="57" w:type="dxa"/>
              <w:left w:w="0" w:type="dxa"/>
              <w:bottom w:w="57" w:type="dxa"/>
              <w:right w:w="0" w:type="dxa"/>
            </w:tcMar>
            <w:vAlign w:val="bottom"/>
          </w:tcPr>
          <w:p w14:paraId="21645DC8" w14:textId="77777777" w:rsidR="001A46E8" w:rsidRPr="001A46E8" w:rsidRDefault="001A46E8" w:rsidP="00432C4F">
            <w:pPr>
              <w:spacing w:line="240" w:lineRule="atLeast"/>
              <w:jc w:val="right"/>
              <w:rPr>
                <w:rFonts w:ascii="Tahoma" w:hAnsi="Tahoma"/>
                <w:b/>
                <w:bCs/>
                <w:color w:val="000000" w:themeColor="text1"/>
                <w:sz w:val="16"/>
                <w:lang w:val="en-GB"/>
              </w:rPr>
            </w:pPr>
            <w:r w:rsidRPr="001A46E8">
              <w:rPr>
                <w:rFonts w:ascii="Tahoma" w:hAnsi="Tahoma"/>
                <w:b/>
                <w:bCs/>
                <w:color w:val="000000" w:themeColor="text1"/>
                <w:sz w:val="16"/>
                <w:lang w:val="en-GB"/>
              </w:rPr>
              <w:t>(38)</w:t>
            </w:r>
          </w:p>
        </w:tc>
        <w:tc>
          <w:tcPr>
            <w:tcW w:w="1134" w:type="dxa"/>
            <w:shd w:val="clear" w:color="auto" w:fill="auto"/>
            <w:tcMar>
              <w:top w:w="57" w:type="dxa"/>
              <w:left w:w="0" w:type="dxa"/>
              <w:bottom w:w="57" w:type="dxa"/>
              <w:right w:w="0" w:type="dxa"/>
            </w:tcMar>
            <w:vAlign w:val="bottom"/>
          </w:tcPr>
          <w:p w14:paraId="226E8265" w14:textId="77777777" w:rsidR="001A46E8" w:rsidRPr="001A46E8" w:rsidRDefault="001A46E8" w:rsidP="00432C4F">
            <w:pPr>
              <w:spacing w:line="240" w:lineRule="atLeast"/>
              <w:jc w:val="right"/>
              <w:rPr>
                <w:rFonts w:ascii="Tahoma" w:hAnsi="Tahoma"/>
                <w:color w:val="000000" w:themeColor="text1"/>
                <w:sz w:val="16"/>
                <w:lang w:val="en-GB"/>
              </w:rPr>
            </w:pPr>
            <w:r w:rsidRPr="001A46E8">
              <w:rPr>
                <w:rFonts w:ascii="Tahoma" w:hAnsi="Tahoma"/>
                <w:color w:val="000000" w:themeColor="text1"/>
                <w:sz w:val="16"/>
                <w:lang w:val="en-GB"/>
              </w:rPr>
              <w:t>(11)</w:t>
            </w:r>
          </w:p>
        </w:tc>
        <w:tc>
          <w:tcPr>
            <w:tcW w:w="1134" w:type="dxa"/>
            <w:shd w:val="clear" w:color="auto" w:fill="auto"/>
            <w:tcMar>
              <w:top w:w="57" w:type="dxa"/>
              <w:left w:w="0" w:type="dxa"/>
              <w:bottom w:w="57" w:type="dxa"/>
              <w:right w:w="0" w:type="dxa"/>
            </w:tcMar>
            <w:vAlign w:val="bottom"/>
          </w:tcPr>
          <w:p w14:paraId="048D3423" w14:textId="77777777" w:rsidR="001A46E8" w:rsidRPr="001A46E8" w:rsidRDefault="001A46E8" w:rsidP="00432C4F">
            <w:pPr>
              <w:spacing w:line="240" w:lineRule="atLeast"/>
              <w:jc w:val="right"/>
              <w:rPr>
                <w:rFonts w:ascii="Tahoma" w:hAnsi="Tahoma"/>
                <w:color w:val="000000" w:themeColor="text1"/>
                <w:sz w:val="16"/>
                <w:lang w:val="en-GB"/>
              </w:rPr>
            </w:pPr>
            <w:proofErr w:type="gramStart"/>
            <w:r w:rsidRPr="001A46E8">
              <w:rPr>
                <w:rFonts w:ascii="Tahoma" w:hAnsi="Tahoma"/>
                <w:color w:val="000000" w:themeColor="text1"/>
                <w:sz w:val="16"/>
                <w:lang w:val="en-GB"/>
              </w:rPr>
              <w:t>&gt;(</w:t>
            </w:r>
            <w:proofErr w:type="gramEnd"/>
            <w:r w:rsidRPr="001A46E8">
              <w:rPr>
                <w:rFonts w:ascii="Tahoma" w:hAnsi="Tahoma"/>
                <w:color w:val="000000" w:themeColor="text1"/>
                <w:sz w:val="16"/>
                <w:lang w:val="en-GB"/>
              </w:rPr>
              <w:t>100)</w:t>
            </w:r>
          </w:p>
        </w:tc>
        <w:tc>
          <w:tcPr>
            <w:tcW w:w="1134" w:type="dxa"/>
            <w:tcBorders>
              <w:right w:val="single" w:sz="4" w:space="0" w:color="auto"/>
            </w:tcBorders>
            <w:shd w:val="clear" w:color="auto" w:fill="auto"/>
            <w:tcMar>
              <w:top w:w="57" w:type="dxa"/>
              <w:left w:w="0" w:type="dxa"/>
              <w:bottom w:w="57" w:type="dxa"/>
              <w:right w:w="0" w:type="dxa"/>
            </w:tcMar>
            <w:vAlign w:val="bottom"/>
          </w:tcPr>
          <w:p w14:paraId="3815D538" w14:textId="77777777" w:rsidR="001A46E8" w:rsidRPr="001A46E8" w:rsidRDefault="001A46E8" w:rsidP="00432C4F">
            <w:pPr>
              <w:spacing w:line="240" w:lineRule="atLeast"/>
              <w:ind w:right="113"/>
              <w:jc w:val="right"/>
              <w:rPr>
                <w:rFonts w:ascii="Tahoma" w:hAnsi="Tahoma"/>
                <w:color w:val="000000" w:themeColor="text1"/>
                <w:sz w:val="16"/>
                <w:lang w:val="en-GB"/>
              </w:rPr>
            </w:pPr>
            <w:r w:rsidRPr="001A46E8">
              <w:rPr>
                <w:rFonts w:ascii="Tahoma" w:hAnsi="Tahoma"/>
                <w:color w:val="000000" w:themeColor="text1"/>
                <w:sz w:val="16"/>
                <w:lang w:val="en-GB"/>
              </w:rPr>
              <w:t>(35)</w:t>
            </w:r>
          </w:p>
        </w:tc>
      </w:tr>
      <w:tr w:rsidR="00615190" w:rsidRPr="001A46E8" w14:paraId="49D125F2" w14:textId="77777777" w:rsidTr="00CD7A84">
        <w:trPr>
          <w:trHeight w:val="60"/>
        </w:trPr>
        <w:tc>
          <w:tcPr>
            <w:tcW w:w="397" w:type="dxa"/>
            <w:shd w:val="clear" w:color="auto" w:fill="auto"/>
            <w:tcMar>
              <w:top w:w="57" w:type="dxa"/>
              <w:left w:w="0" w:type="dxa"/>
              <w:bottom w:w="57" w:type="dxa"/>
              <w:right w:w="0" w:type="dxa"/>
            </w:tcMar>
            <w:vAlign w:val="bottom"/>
          </w:tcPr>
          <w:p w14:paraId="281785C5" w14:textId="77777777" w:rsidR="001A46E8" w:rsidRPr="001A46E8" w:rsidRDefault="001A46E8" w:rsidP="00615190">
            <w:pPr>
              <w:spacing w:line="240" w:lineRule="atLeast"/>
              <w:rPr>
                <w:rFonts w:ascii="Tahoma" w:hAnsi="Tahoma"/>
                <w:color w:val="000000" w:themeColor="text1"/>
                <w:sz w:val="16"/>
                <w:lang w:val="en-GB"/>
              </w:rPr>
            </w:pPr>
          </w:p>
        </w:tc>
        <w:tc>
          <w:tcPr>
            <w:tcW w:w="5273" w:type="dxa"/>
            <w:tcBorders>
              <w:right w:val="single" w:sz="4" w:space="0" w:color="auto"/>
            </w:tcBorders>
            <w:shd w:val="clear" w:color="auto" w:fill="auto"/>
            <w:tcMar>
              <w:top w:w="57" w:type="dxa"/>
              <w:left w:w="113" w:type="dxa"/>
              <w:bottom w:w="57" w:type="dxa"/>
              <w:right w:w="0" w:type="dxa"/>
            </w:tcMar>
            <w:vAlign w:val="bottom"/>
          </w:tcPr>
          <w:p w14:paraId="29739FEC" w14:textId="77777777" w:rsidR="001A46E8" w:rsidRPr="001A46E8" w:rsidRDefault="001A46E8" w:rsidP="00615190">
            <w:pPr>
              <w:spacing w:line="240" w:lineRule="atLeast"/>
              <w:rPr>
                <w:rFonts w:ascii="Tahoma" w:hAnsi="Tahoma"/>
                <w:color w:val="000000" w:themeColor="text1"/>
                <w:sz w:val="16"/>
                <w:lang w:val="en-GB"/>
              </w:rPr>
            </w:pPr>
            <w:r w:rsidRPr="001A46E8">
              <w:rPr>
                <w:rFonts w:ascii="Tahoma" w:hAnsi="Tahoma"/>
                <w:color w:val="000000" w:themeColor="text1"/>
                <w:sz w:val="16"/>
                <w:lang w:val="en-GB"/>
              </w:rPr>
              <w:t>Other</w:t>
            </w:r>
          </w:p>
        </w:tc>
        <w:tc>
          <w:tcPr>
            <w:tcW w:w="1134" w:type="dxa"/>
            <w:tcBorders>
              <w:left w:val="single" w:sz="4" w:space="0" w:color="auto"/>
              <w:bottom w:val="single" w:sz="4" w:space="0" w:color="auto"/>
            </w:tcBorders>
            <w:shd w:val="clear" w:color="auto" w:fill="auto"/>
            <w:tcMar>
              <w:top w:w="57" w:type="dxa"/>
              <w:left w:w="0" w:type="dxa"/>
              <w:bottom w:w="57" w:type="dxa"/>
              <w:right w:w="0" w:type="dxa"/>
            </w:tcMar>
            <w:vAlign w:val="bottom"/>
          </w:tcPr>
          <w:p w14:paraId="53CAF3E7" w14:textId="77777777" w:rsidR="001A46E8" w:rsidRPr="001A46E8" w:rsidRDefault="001A46E8" w:rsidP="00432C4F">
            <w:pPr>
              <w:spacing w:line="240" w:lineRule="atLeast"/>
              <w:jc w:val="right"/>
              <w:rPr>
                <w:rFonts w:ascii="Tahoma" w:hAnsi="Tahoma"/>
                <w:b/>
                <w:bCs/>
                <w:color w:val="000000" w:themeColor="text1"/>
                <w:sz w:val="16"/>
                <w:lang w:val="en-GB"/>
              </w:rPr>
            </w:pPr>
            <w:r w:rsidRPr="001A46E8">
              <w:rPr>
                <w:rFonts w:ascii="Tahoma" w:hAnsi="Tahoma"/>
                <w:b/>
                <w:bCs/>
                <w:color w:val="000000" w:themeColor="text1"/>
                <w:sz w:val="16"/>
                <w:lang w:val="en-GB"/>
              </w:rPr>
              <w:t>(145)</w:t>
            </w:r>
          </w:p>
        </w:tc>
        <w:tc>
          <w:tcPr>
            <w:tcW w:w="1134" w:type="dxa"/>
            <w:tcBorders>
              <w:bottom w:val="single" w:sz="4" w:space="0" w:color="auto"/>
            </w:tcBorders>
            <w:shd w:val="clear" w:color="auto" w:fill="auto"/>
            <w:tcMar>
              <w:top w:w="57" w:type="dxa"/>
              <w:left w:w="0" w:type="dxa"/>
              <w:bottom w:w="57" w:type="dxa"/>
              <w:right w:w="0" w:type="dxa"/>
            </w:tcMar>
            <w:vAlign w:val="bottom"/>
          </w:tcPr>
          <w:p w14:paraId="2BFBD696" w14:textId="77777777" w:rsidR="001A46E8" w:rsidRPr="001A46E8" w:rsidRDefault="001A46E8" w:rsidP="00432C4F">
            <w:pPr>
              <w:spacing w:line="240" w:lineRule="atLeast"/>
              <w:jc w:val="right"/>
              <w:rPr>
                <w:rFonts w:ascii="Tahoma" w:hAnsi="Tahoma"/>
                <w:color w:val="000000" w:themeColor="text1"/>
                <w:sz w:val="16"/>
                <w:lang w:val="en-GB"/>
              </w:rPr>
            </w:pPr>
            <w:r w:rsidRPr="001A46E8">
              <w:rPr>
                <w:rFonts w:ascii="Tahoma" w:hAnsi="Tahoma"/>
                <w:color w:val="000000" w:themeColor="text1"/>
                <w:sz w:val="16"/>
                <w:lang w:val="en-GB"/>
              </w:rPr>
              <w:t>(78)</w:t>
            </w:r>
          </w:p>
        </w:tc>
        <w:tc>
          <w:tcPr>
            <w:tcW w:w="1134" w:type="dxa"/>
            <w:tcBorders>
              <w:bottom w:val="single" w:sz="4" w:space="0" w:color="auto"/>
            </w:tcBorders>
            <w:shd w:val="clear" w:color="auto" w:fill="auto"/>
            <w:tcMar>
              <w:top w:w="57" w:type="dxa"/>
              <w:left w:w="0" w:type="dxa"/>
              <w:bottom w:w="57" w:type="dxa"/>
              <w:right w:w="0" w:type="dxa"/>
            </w:tcMar>
            <w:vAlign w:val="bottom"/>
          </w:tcPr>
          <w:p w14:paraId="77640105" w14:textId="77777777" w:rsidR="001A46E8" w:rsidRPr="001A46E8" w:rsidRDefault="001A46E8" w:rsidP="00432C4F">
            <w:pPr>
              <w:spacing w:line="240" w:lineRule="atLeast"/>
              <w:jc w:val="right"/>
              <w:rPr>
                <w:rFonts w:ascii="Tahoma" w:hAnsi="Tahoma"/>
                <w:color w:val="000000" w:themeColor="text1"/>
                <w:sz w:val="16"/>
                <w:lang w:val="en-GB"/>
              </w:rPr>
            </w:pPr>
            <w:r w:rsidRPr="001A46E8">
              <w:rPr>
                <w:rFonts w:ascii="Tahoma" w:hAnsi="Tahoma"/>
                <w:color w:val="000000" w:themeColor="text1"/>
                <w:sz w:val="16"/>
                <w:lang w:val="en-GB"/>
              </w:rPr>
              <w:t>(86)</w:t>
            </w:r>
          </w:p>
        </w:tc>
        <w:tc>
          <w:tcPr>
            <w:tcW w:w="1134" w:type="dxa"/>
            <w:tcBorders>
              <w:bottom w:val="single" w:sz="4" w:space="0" w:color="auto"/>
              <w:right w:val="single" w:sz="4" w:space="0" w:color="auto"/>
            </w:tcBorders>
            <w:shd w:val="clear" w:color="auto" w:fill="auto"/>
            <w:tcMar>
              <w:top w:w="57" w:type="dxa"/>
              <w:left w:w="0" w:type="dxa"/>
              <w:bottom w:w="57" w:type="dxa"/>
              <w:right w:w="0" w:type="dxa"/>
            </w:tcMar>
            <w:vAlign w:val="bottom"/>
          </w:tcPr>
          <w:p w14:paraId="5288166D" w14:textId="77777777" w:rsidR="001A46E8" w:rsidRPr="001A46E8" w:rsidRDefault="001A46E8" w:rsidP="00432C4F">
            <w:pPr>
              <w:spacing w:line="240" w:lineRule="atLeast"/>
              <w:ind w:right="113"/>
              <w:jc w:val="right"/>
              <w:rPr>
                <w:rFonts w:ascii="Tahoma" w:hAnsi="Tahoma"/>
                <w:color w:val="000000" w:themeColor="text1"/>
                <w:sz w:val="16"/>
                <w:lang w:val="en-GB"/>
              </w:rPr>
            </w:pPr>
            <w:r w:rsidRPr="001A46E8">
              <w:rPr>
                <w:rFonts w:ascii="Tahoma" w:hAnsi="Tahoma"/>
                <w:color w:val="000000" w:themeColor="text1"/>
                <w:sz w:val="16"/>
                <w:lang w:val="en-GB"/>
              </w:rPr>
              <w:t>(200)</w:t>
            </w:r>
          </w:p>
        </w:tc>
      </w:tr>
      <w:tr w:rsidR="00615190" w:rsidRPr="001A46E8" w14:paraId="519FC2A7" w14:textId="77777777" w:rsidTr="00CD7A84">
        <w:trPr>
          <w:trHeight w:val="60"/>
        </w:trPr>
        <w:tc>
          <w:tcPr>
            <w:tcW w:w="397" w:type="dxa"/>
            <w:shd w:val="clear" w:color="auto" w:fill="auto"/>
            <w:tcMar>
              <w:top w:w="57" w:type="dxa"/>
              <w:left w:w="0" w:type="dxa"/>
              <w:bottom w:w="57" w:type="dxa"/>
              <w:right w:w="0" w:type="dxa"/>
            </w:tcMar>
            <w:vAlign w:val="bottom"/>
          </w:tcPr>
          <w:p w14:paraId="77A9804A" w14:textId="77777777" w:rsidR="001A46E8" w:rsidRPr="001A46E8" w:rsidRDefault="001A46E8" w:rsidP="00615190">
            <w:pPr>
              <w:spacing w:line="240" w:lineRule="atLeast"/>
              <w:rPr>
                <w:rFonts w:ascii="Tahoma" w:hAnsi="Tahoma"/>
                <w:color w:val="000000" w:themeColor="text1"/>
                <w:sz w:val="16"/>
                <w:lang w:val="en-GB"/>
              </w:rPr>
            </w:pPr>
          </w:p>
        </w:tc>
        <w:tc>
          <w:tcPr>
            <w:tcW w:w="5273" w:type="dxa"/>
            <w:shd w:val="clear" w:color="auto" w:fill="auto"/>
            <w:tcMar>
              <w:top w:w="57" w:type="dxa"/>
              <w:left w:w="0" w:type="dxa"/>
              <w:bottom w:w="57" w:type="dxa"/>
              <w:right w:w="0" w:type="dxa"/>
            </w:tcMar>
            <w:vAlign w:val="bottom"/>
          </w:tcPr>
          <w:p w14:paraId="3CAB8CBF" w14:textId="77777777" w:rsidR="001A46E8" w:rsidRPr="001A46E8" w:rsidRDefault="001A46E8" w:rsidP="00615190">
            <w:pPr>
              <w:spacing w:line="240" w:lineRule="atLeast"/>
              <w:rPr>
                <w:rFonts w:ascii="Tahoma" w:hAnsi="Tahoma"/>
                <w:i/>
                <w:iCs/>
                <w:color w:val="000000" w:themeColor="text1"/>
                <w:sz w:val="16"/>
                <w:lang w:val="en-GB"/>
              </w:rPr>
            </w:pPr>
            <w:r w:rsidRPr="001A46E8">
              <w:rPr>
                <w:rFonts w:ascii="Tahoma" w:hAnsi="Tahoma"/>
                <w:i/>
                <w:iCs/>
                <w:color w:val="000000" w:themeColor="text1"/>
                <w:sz w:val="16"/>
                <w:lang w:val="en-GB"/>
              </w:rPr>
              <w:t>Social and Internet Platforms</w:t>
            </w:r>
          </w:p>
        </w:tc>
        <w:tc>
          <w:tcPr>
            <w:tcW w:w="1134" w:type="dxa"/>
            <w:tcBorders>
              <w:top w:val="single" w:sz="4" w:space="0" w:color="auto"/>
              <w:bottom w:val="single" w:sz="4" w:space="0" w:color="auto"/>
            </w:tcBorders>
            <w:shd w:val="clear" w:color="auto" w:fill="auto"/>
            <w:tcMar>
              <w:top w:w="57" w:type="dxa"/>
              <w:left w:w="0" w:type="dxa"/>
              <w:bottom w:w="57" w:type="dxa"/>
              <w:right w:w="0" w:type="dxa"/>
            </w:tcMar>
            <w:vAlign w:val="bottom"/>
          </w:tcPr>
          <w:p w14:paraId="1C434A97" w14:textId="77777777" w:rsidR="001A46E8" w:rsidRPr="001A46E8" w:rsidRDefault="001A46E8" w:rsidP="00432C4F">
            <w:pPr>
              <w:spacing w:line="240" w:lineRule="atLeast"/>
              <w:jc w:val="right"/>
              <w:rPr>
                <w:rFonts w:ascii="Tahoma" w:hAnsi="Tahoma"/>
                <w:b/>
                <w:bCs/>
                <w:color w:val="000000" w:themeColor="text1"/>
                <w:sz w:val="16"/>
                <w:lang w:val="en-GB"/>
              </w:rPr>
            </w:pPr>
            <w:r w:rsidRPr="001A46E8">
              <w:rPr>
                <w:rFonts w:ascii="Tahoma" w:hAnsi="Tahoma"/>
                <w:b/>
                <w:bCs/>
                <w:color w:val="000000" w:themeColor="text1"/>
                <w:sz w:val="16"/>
                <w:lang w:val="en-GB"/>
              </w:rPr>
              <w:t>2 497</w:t>
            </w:r>
          </w:p>
        </w:tc>
        <w:tc>
          <w:tcPr>
            <w:tcW w:w="1134" w:type="dxa"/>
            <w:tcBorders>
              <w:top w:val="single" w:sz="4" w:space="0" w:color="auto"/>
              <w:bottom w:val="single" w:sz="4" w:space="0" w:color="auto"/>
            </w:tcBorders>
            <w:shd w:val="clear" w:color="auto" w:fill="auto"/>
            <w:tcMar>
              <w:top w:w="57" w:type="dxa"/>
              <w:left w:w="0" w:type="dxa"/>
              <w:bottom w:w="57" w:type="dxa"/>
              <w:right w:w="0" w:type="dxa"/>
            </w:tcMar>
            <w:vAlign w:val="bottom"/>
          </w:tcPr>
          <w:p w14:paraId="5C91361B" w14:textId="77777777" w:rsidR="001A46E8" w:rsidRPr="001A46E8" w:rsidRDefault="001A46E8" w:rsidP="00432C4F">
            <w:pPr>
              <w:spacing w:line="240" w:lineRule="atLeast"/>
              <w:jc w:val="right"/>
              <w:rPr>
                <w:rFonts w:ascii="Tahoma" w:hAnsi="Tahoma"/>
                <w:color w:val="000000" w:themeColor="text1"/>
                <w:sz w:val="16"/>
                <w:lang w:val="en-GB"/>
              </w:rPr>
            </w:pPr>
            <w:r w:rsidRPr="001A46E8">
              <w:rPr>
                <w:rFonts w:ascii="Tahoma" w:hAnsi="Tahoma"/>
                <w:color w:val="000000" w:themeColor="text1"/>
                <w:sz w:val="16"/>
                <w:lang w:val="en-GB"/>
              </w:rPr>
              <w:t>3 385</w:t>
            </w:r>
          </w:p>
        </w:tc>
        <w:tc>
          <w:tcPr>
            <w:tcW w:w="1134" w:type="dxa"/>
            <w:tcBorders>
              <w:top w:val="single" w:sz="4" w:space="0" w:color="auto"/>
              <w:bottom w:val="single" w:sz="4" w:space="0" w:color="auto"/>
            </w:tcBorders>
            <w:shd w:val="clear" w:color="auto" w:fill="auto"/>
            <w:tcMar>
              <w:top w:w="57" w:type="dxa"/>
              <w:left w:w="0" w:type="dxa"/>
              <w:bottom w:w="57" w:type="dxa"/>
              <w:right w:w="0" w:type="dxa"/>
            </w:tcMar>
            <w:vAlign w:val="bottom"/>
          </w:tcPr>
          <w:p w14:paraId="49D58CF0" w14:textId="77777777" w:rsidR="001A46E8" w:rsidRPr="001A46E8" w:rsidRDefault="001A46E8" w:rsidP="00432C4F">
            <w:pPr>
              <w:spacing w:line="240" w:lineRule="atLeast"/>
              <w:jc w:val="right"/>
              <w:rPr>
                <w:rFonts w:ascii="Tahoma" w:hAnsi="Tahoma"/>
                <w:color w:val="000000" w:themeColor="text1"/>
                <w:sz w:val="16"/>
                <w:lang w:val="en-GB"/>
              </w:rPr>
            </w:pPr>
            <w:r w:rsidRPr="001A46E8">
              <w:rPr>
                <w:rFonts w:ascii="Tahoma" w:hAnsi="Tahoma"/>
                <w:color w:val="000000" w:themeColor="text1"/>
                <w:sz w:val="16"/>
                <w:lang w:val="en-GB"/>
              </w:rPr>
              <w:t>(26)</w:t>
            </w:r>
          </w:p>
        </w:tc>
        <w:tc>
          <w:tcPr>
            <w:tcW w:w="1134" w:type="dxa"/>
            <w:tcBorders>
              <w:top w:val="single" w:sz="4" w:space="0" w:color="auto"/>
              <w:bottom w:val="single" w:sz="4" w:space="0" w:color="auto"/>
            </w:tcBorders>
            <w:shd w:val="clear" w:color="auto" w:fill="auto"/>
            <w:tcMar>
              <w:top w:w="57" w:type="dxa"/>
              <w:left w:w="0" w:type="dxa"/>
              <w:bottom w:w="57" w:type="dxa"/>
              <w:right w:w="0" w:type="dxa"/>
            </w:tcMar>
            <w:vAlign w:val="bottom"/>
          </w:tcPr>
          <w:p w14:paraId="208CB8F1" w14:textId="77777777" w:rsidR="001A46E8" w:rsidRPr="001A46E8" w:rsidRDefault="001A46E8" w:rsidP="00432C4F">
            <w:pPr>
              <w:spacing w:line="240" w:lineRule="atLeast"/>
              <w:ind w:right="113"/>
              <w:jc w:val="right"/>
              <w:rPr>
                <w:rFonts w:ascii="Tahoma" w:hAnsi="Tahoma"/>
                <w:color w:val="000000" w:themeColor="text1"/>
                <w:sz w:val="16"/>
                <w:lang w:val="en-GB"/>
              </w:rPr>
            </w:pPr>
            <w:r w:rsidRPr="001A46E8">
              <w:rPr>
                <w:rFonts w:ascii="Tahoma" w:hAnsi="Tahoma"/>
                <w:color w:val="000000" w:themeColor="text1"/>
                <w:sz w:val="16"/>
                <w:lang w:val="en-GB"/>
              </w:rPr>
              <w:t>6 319</w:t>
            </w:r>
          </w:p>
        </w:tc>
      </w:tr>
      <w:tr w:rsidR="00615190" w:rsidRPr="001A46E8" w14:paraId="41440F0D" w14:textId="77777777" w:rsidTr="00CD7A84">
        <w:trPr>
          <w:trHeight w:val="60"/>
        </w:trPr>
        <w:tc>
          <w:tcPr>
            <w:tcW w:w="397" w:type="dxa"/>
            <w:shd w:val="clear" w:color="auto" w:fill="auto"/>
            <w:tcMar>
              <w:top w:w="57" w:type="dxa"/>
              <w:left w:w="0" w:type="dxa"/>
              <w:bottom w:w="57" w:type="dxa"/>
              <w:right w:w="0" w:type="dxa"/>
            </w:tcMar>
            <w:vAlign w:val="bottom"/>
          </w:tcPr>
          <w:p w14:paraId="78FB56FB" w14:textId="77777777" w:rsidR="001A46E8" w:rsidRPr="001A46E8" w:rsidRDefault="001A46E8" w:rsidP="00615190">
            <w:pPr>
              <w:spacing w:line="240" w:lineRule="atLeast"/>
              <w:rPr>
                <w:rFonts w:ascii="Tahoma" w:hAnsi="Tahoma"/>
                <w:color w:val="000000" w:themeColor="text1"/>
                <w:sz w:val="16"/>
                <w:lang w:val="en-GB"/>
              </w:rPr>
            </w:pPr>
          </w:p>
        </w:tc>
        <w:tc>
          <w:tcPr>
            <w:tcW w:w="5273" w:type="dxa"/>
            <w:tcBorders>
              <w:right w:val="single" w:sz="4" w:space="0" w:color="auto"/>
            </w:tcBorders>
            <w:shd w:val="clear" w:color="auto" w:fill="auto"/>
            <w:tcMar>
              <w:top w:w="57" w:type="dxa"/>
              <w:left w:w="113" w:type="dxa"/>
              <w:bottom w:w="57" w:type="dxa"/>
              <w:right w:w="0" w:type="dxa"/>
            </w:tcMar>
            <w:vAlign w:val="bottom"/>
          </w:tcPr>
          <w:p w14:paraId="5D44E4FA" w14:textId="77777777" w:rsidR="001A46E8" w:rsidRPr="001A46E8" w:rsidRDefault="001A46E8" w:rsidP="00615190">
            <w:pPr>
              <w:spacing w:line="240" w:lineRule="atLeast"/>
              <w:rPr>
                <w:rFonts w:ascii="Tahoma" w:hAnsi="Tahoma"/>
                <w:color w:val="000000" w:themeColor="text1"/>
                <w:sz w:val="16"/>
                <w:lang w:val="en-GB"/>
              </w:rPr>
            </w:pPr>
            <w:r w:rsidRPr="001A46E8">
              <w:rPr>
                <w:rFonts w:ascii="Tahoma" w:hAnsi="Tahoma"/>
                <w:color w:val="000000" w:themeColor="text1"/>
                <w:sz w:val="16"/>
                <w:lang w:val="en-GB"/>
              </w:rPr>
              <w:t>Tencent</w:t>
            </w:r>
          </w:p>
        </w:tc>
        <w:tc>
          <w:tcPr>
            <w:tcW w:w="1134" w:type="dxa"/>
            <w:tcBorders>
              <w:top w:val="single" w:sz="4" w:space="0" w:color="auto"/>
              <w:left w:val="single" w:sz="4" w:space="0" w:color="auto"/>
            </w:tcBorders>
            <w:shd w:val="clear" w:color="auto" w:fill="auto"/>
            <w:tcMar>
              <w:top w:w="57" w:type="dxa"/>
              <w:left w:w="0" w:type="dxa"/>
              <w:bottom w:w="57" w:type="dxa"/>
              <w:right w:w="0" w:type="dxa"/>
            </w:tcMar>
            <w:vAlign w:val="bottom"/>
          </w:tcPr>
          <w:p w14:paraId="37112629" w14:textId="77777777" w:rsidR="001A46E8" w:rsidRPr="001A46E8" w:rsidRDefault="001A46E8" w:rsidP="00432C4F">
            <w:pPr>
              <w:spacing w:line="240" w:lineRule="atLeast"/>
              <w:jc w:val="right"/>
              <w:rPr>
                <w:rFonts w:ascii="Tahoma" w:hAnsi="Tahoma"/>
                <w:b/>
                <w:bCs/>
                <w:color w:val="000000" w:themeColor="text1"/>
                <w:sz w:val="16"/>
                <w:lang w:val="en-GB"/>
              </w:rPr>
            </w:pPr>
            <w:r w:rsidRPr="001A46E8">
              <w:rPr>
                <w:rFonts w:ascii="Tahoma" w:hAnsi="Tahoma"/>
                <w:b/>
                <w:bCs/>
                <w:color w:val="000000" w:themeColor="text1"/>
                <w:sz w:val="16"/>
                <w:lang w:val="en-GB"/>
              </w:rPr>
              <w:t>2 497</w:t>
            </w:r>
          </w:p>
        </w:tc>
        <w:tc>
          <w:tcPr>
            <w:tcW w:w="1134" w:type="dxa"/>
            <w:tcBorders>
              <w:top w:val="single" w:sz="4" w:space="0" w:color="auto"/>
            </w:tcBorders>
            <w:shd w:val="clear" w:color="auto" w:fill="auto"/>
            <w:tcMar>
              <w:top w:w="57" w:type="dxa"/>
              <w:left w:w="0" w:type="dxa"/>
              <w:bottom w:w="57" w:type="dxa"/>
              <w:right w:w="0" w:type="dxa"/>
            </w:tcMar>
            <w:vAlign w:val="bottom"/>
          </w:tcPr>
          <w:p w14:paraId="27F1B67B" w14:textId="77777777" w:rsidR="001A46E8" w:rsidRPr="001A46E8" w:rsidRDefault="001A46E8" w:rsidP="00432C4F">
            <w:pPr>
              <w:spacing w:line="240" w:lineRule="atLeast"/>
              <w:jc w:val="right"/>
              <w:rPr>
                <w:rFonts w:ascii="Tahoma" w:hAnsi="Tahoma"/>
                <w:color w:val="000000" w:themeColor="text1"/>
                <w:sz w:val="16"/>
                <w:lang w:val="en-GB"/>
              </w:rPr>
            </w:pPr>
            <w:r w:rsidRPr="001A46E8">
              <w:rPr>
                <w:rFonts w:ascii="Tahoma" w:hAnsi="Tahoma"/>
                <w:color w:val="000000" w:themeColor="text1"/>
                <w:sz w:val="16"/>
                <w:lang w:val="en-GB"/>
              </w:rPr>
              <w:t>3 373</w:t>
            </w:r>
          </w:p>
        </w:tc>
        <w:tc>
          <w:tcPr>
            <w:tcW w:w="1134" w:type="dxa"/>
            <w:tcBorders>
              <w:top w:val="single" w:sz="4" w:space="0" w:color="auto"/>
            </w:tcBorders>
            <w:shd w:val="clear" w:color="auto" w:fill="auto"/>
            <w:tcMar>
              <w:top w:w="57" w:type="dxa"/>
              <w:left w:w="0" w:type="dxa"/>
              <w:bottom w:w="57" w:type="dxa"/>
              <w:right w:w="0" w:type="dxa"/>
            </w:tcMar>
            <w:vAlign w:val="bottom"/>
          </w:tcPr>
          <w:p w14:paraId="7EF26060" w14:textId="77777777" w:rsidR="001A46E8" w:rsidRPr="001A46E8" w:rsidRDefault="001A46E8" w:rsidP="00432C4F">
            <w:pPr>
              <w:spacing w:line="240" w:lineRule="atLeast"/>
              <w:jc w:val="right"/>
              <w:rPr>
                <w:rFonts w:ascii="Tahoma" w:hAnsi="Tahoma"/>
                <w:color w:val="000000" w:themeColor="text1"/>
                <w:sz w:val="16"/>
                <w:lang w:val="en-GB"/>
              </w:rPr>
            </w:pPr>
            <w:r w:rsidRPr="001A46E8">
              <w:rPr>
                <w:rFonts w:ascii="Tahoma" w:hAnsi="Tahoma"/>
                <w:color w:val="000000" w:themeColor="text1"/>
                <w:sz w:val="16"/>
                <w:lang w:val="en-GB"/>
              </w:rPr>
              <w:t>(26)</w:t>
            </w:r>
          </w:p>
        </w:tc>
        <w:tc>
          <w:tcPr>
            <w:tcW w:w="1134" w:type="dxa"/>
            <w:tcBorders>
              <w:top w:val="single" w:sz="4" w:space="0" w:color="auto"/>
              <w:right w:val="single" w:sz="4" w:space="0" w:color="auto"/>
            </w:tcBorders>
            <w:shd w:val="clear" w:color="auto" w:fill="auto"/>
            <w:tcMar>
              <w:top w:w="57" w:type="dxa"/>
              <w:left w:w="0" w:type="dxa"/>
              <w:bottom w:w="57" w:type="dxa"/>
              <w:right w:w="0" w:type="dxa"/>
            </w:tcMar>
            <w:vAlign w:val="bottom"/>
          </w:tcPr>
          <w:p w14:paraId="33683EF5" w14:textId="77777777" w:rsidR="001A46E8" w:rsidRPr="001A46E8" w:rsidRDefault="001A46E8" w:rsidP="00432C4F">
            <w:pPr>
              <w:spacing w:line="240" w:lineRule="atLeast"/>
              <w:ind w:right="113"/>
              <w:jc w:val="right"/>
              <w:rPr>
                <w:rFonts w:ascii="Tahoma" w:hAnsi="Tahoma"/>
                <w:color w:val="000000" w:themeColor="text1"/>
                <w:sz w:val="16"/>
                <w:lang w:val="en-GB"/>
              </w:rPr>
            </w:pPr>
            <w:r w:rsidRPr="001A46E8">
              <w:rPr>
                <w:rFonts w:ascii="Tahoma" w:hAnsi="Tahoma"/>
                <w:color w:val="000000" w:themeColor="text1"/>
                <w:sz w:val="16"/>
                <w:lang w:val="en-GB"/>
              </w:rPr>
              <w:t>6 273</w:t>
            </w:r>
          </w:p>
        </w:tc>
      </w:tr>
      <w:tr w:rsidR="00615190" w:rsidRPr="001A46E8" w14:paraId="43D54C7E" w14:textId="77777777" w:rsidTr="00CD7A84">
        <w:trPr>
          <w:trHeight w:val="60"/>
        </w:trPr>
        <w:tc>
          <w:tcPr>
            <w:tcW w:w="397" w:type="dxa"/>
            <w:shd w:val="clear" w:color="auto" w:fill="auto"/>
            <w:tcMar>
              <w:top w:w="57" w:type="dxa"/>
              <w:left w:w="0" w:type="dxa"/>
              <w:bottom w:w="57" w:type="dxa"/>
              <w:right w:w="0" w:type="dxa"/>
            </w:tcMar>
            <w:vAlign w:val="bottom"/>
          </w:tcPr>
          <w:p w14:paraId="6B023B97" w14:textId="77777777" w:rsidR="001A46E8" w:rsidRPr="001A46E8" w:rsidRDefault="001A46E8" w:rsidP="00615190">
            <w:pPr>
              <w:spacing w:line="240" w:lineRule="atLeast"/>
              <w:rPr>
                <w:rFonts w:ascii="Tahoma" w:hAnsi="Tahoma"/>
                <w:color w:val="000000" w:themeColor="text1"/>
                <w:sz w:val="16"/>
                <w:lang w:val="en-GB"/>
              </w:rPr>
            </w:pPr>
          </w:p>
        </w:tc>
        <w:tc>
          <w:tcPr>
            <w:tcW w:w="5273" w:type="dxa"/>
            <w:tcBorders>
              <w:right w:val="single" w:sz="4" w:space="0" w:color="auto"/>
            </w:tcBorders>
            <w:shd w:val="clear" w:color="auto" w:fill="auto"/>
            <w:tcMar>
              <w:top w:w="57" w:type="dxa"/>
              <w:left w:w="113" w:type="dxa"/>
              <w:bottom w:w="57" w:type="dxa"/>
              <w:right w:w="0" w:type="dxa"/>
            </w:tcMar>
            <w:vAlign w:val="bottom"/>
          </w:tcPr>
          <w:p w14:paraId="4FB4EFD7" w14:textId="77777777" w:rsidR="001A46E8" w:rsidRPr="001A46E8" w:rsidRDefault="001A46E8" w:rsidP="00615190">
            <w:pPr>
              <w:spacing w:line="240" w:lineRule="atLeast"/>
              <w:rPr>
                <w:rFonts w:ascii="Tahoma" w:hAnsi="Tahoma"/>
                <w:color w:val="000000" w:themeColor="text1"/>
                <w:sz w:val="16"/>
                <w:lang w:val="en-GB"/>
              </w:rPr>
            </w:pPr>
            <w:r w:rsidRPr="001A46E8">
              <w:rPr>
                <w:rFonts w:ascii="Tahoma" w:hAnsi="Tahoma"/>
                <w:color w:val="000000" w:themeColor="text1"/>
                <w:sz w:val="16"/>
                <w:lang w:val="en-GB"/>
              </w:rPr>
              <w:t>VK</w:t>
            </w:r>
            <w:r w:rsidRPr="001A46E8">
              <w:rPr>
                <w:rFonts w:ascii="Tahoma" w:hAnsi="Tahoma"/>
                <w:color w:val="000000" w:themeColor="text1"/>
                <w:sz w:val="16"/>
                <w:vertAlign w:val="superscript"/>
                <w:lang w:val="en-GB"/>
              </w:rPr>
              <w:t>2</w:t>
            </w:r>
          </w:p>
        </w:tc>
        <w:tc>
          <w:tcPr>
            <w:tcW w:w="1134" w:type="dxa"/>
            <w:tcBorders>
              <w:left w:val="single" w:sz="4" w:space="0" w:color="auto"/>
              <w:bottom w:val="single" w:sz="4" w:space="0" w:color="auto"/>
            </w:tcBorders>
            <w:shd w:val="clear" w:color="auto" w:fill="auto"/>
            <w:tcMar>
              <w:top w:w="57" w:type="dxa"/>
              <w:left w:w="0" w:type="dxa"/>
              <w:bottom w:w="57" w:type="dxa"/>
              <w:right w:w="0" w:type="dxa"/>
            </w:tcMar>
            <w:vAlign w:val="bottom"/>
          </w:tcPr>
          <w:p w14:paraId="6B61D8CE" w14:textId="77777777" w:rsidR="001A46E8" w:rsidRPr="001A46E8" w:rsidRDefault="001A46E8" w:rsidP="00432C4F">
            <w:pPr>
              <w:spacing w:line="240" w:lineRule="atLeast"/>
              <w:jc w:val="right"/>
              <w:rPr>
                <w:rFonts w:ascii="Tahoma" w:hAnsi="Tahoma"/>
                <w:b/>
                <w:bCs/>
                <w:color w:val="000000" w:themeColor="text1"/>
                <w:sz w:val="16"/>
                <w:lang w:val="en-GB"/>
              </w:rPr>
            </w:pPr>
            <w:r w:rsidRPr="001A46E8">
              <w:rPr>
                <w:rFonts w:ascii="Tahoma" w:hAnsi="Tahoma"/>
                <w:b/>
                <w:bCs/>
                <w:color w:val="000000" w:themeColor="text1"/>
                <w:sz w:val="16"/>
                <w:lang w:val="en-GB"/>
              </w:rPr>
              <w:t>—</w:t>
            </w:r>
          </w:p>
        </w:tc>
        <w:tc>
          <w:tcPr>
            <w:tcW w:w="1134" w:type="dxa"/>
            <w:tcBorders>
              <w:bottom w:val="single" w:sz="4" w:space="0" w:color="auto"/>
            </w:tcBorders>
            <w:shd w:val="clear" w:color="auto" w:fill="auto"/>
            <w:tcMar>
              <w:top w:w="57" w:type="dxa"/>
              <w:left w:w="0" w:type="dxa"/>
              <w:bottom w:w="57" w:type="dxa"/>
              <w:right w:w="0" w:type="dxa"/>
            </w:tcMar>
            <w:vAlign w:val="bottom"/>
          </w:tcPr>
          <w:p w14:paraId="23C73E8A" w14:textId="77777777" w:rsidR="001A46E8" w:rsidRPr="001A46E8" w:rsidRDefault="001A46E8" w:rsidP="00432C4F">
            <w:pPr>
              <w:spacing w:line="240" w:lineRule="atLeast"/>
              <w:jc w:val="right"/>
              <w:rPr>
                <w:rFonts w:ascii="Tahoma" w:hAnsi="Tahoma"/>
                <w:color w:val="000000" w:themeColor="text1"/>
                <w:sz w:val="16"/>
                <w:lang w:val="en-GB"/>
              </w:rPr>
            </w:pPr>
            <w:r w:rsidRPr="001A46E8">
              <w:rPr>
                <w:rFonts w:ascii="Tahoma" w:hAnsi="Tahoma"/>
                <w:color w:val="000000" w:themeColor="text1"/>
                <w:sz w:val="16"/>
                <w:lang w:val="en-GB"/>
              </w:rPr>
              <w:t>12</w:t>
            </w:r>
          </w:p>
        </w:tc>
        <w:tc>
          <w:tcPr>
            <w:tcW w:w="1134" w:type="dxa"/>
            <w:tcBorders>
              <w:bottom w:val="single" w:sz="4" w:space="0" w:color="auto"/>
            </w:tcBorders>
            <w:shd w:val="clear" w:color="auto" w:fill="auto"/>
            <w:tcMar>
              <w:top w:w="57" w:type="dxa"/>
              <w:left w:w="0" w:type="dxa"/>
              <w:bottom w:w="57" w:type="dxa"/>
              <w:right w:w="0" w:type="dxa"/>
            </w:tcMar>
            <w:vAlign w:val="bottom"/>
          </w:tcPr>
          <w:p w14:paraId="2DB6F698" w14:textId="77777777" w:rsidR="001A46E8" w:rsidRPr="001A46E8" w:rsidRDefault="001A46E8" w:rsidP="00432C4F">
            <w:pPr>
              <w:spacing w:line="240" w:lineRule="atLeast"/>
              <w:jc w:val="right"/>
              <w:rPr>
                <w:rFonts w:ascii="Tahoma" w:hAnsi="Tahoma"/>
                <w:color w:val="000000" w:themeColor="text1"/>
                <w:sz w:val="16"/>
                <w:lang w:val="en-GB"/>
              </w:rPr>
            </w:pPr>
            <w:r w:rsidRPr="001A46E8">
              <w:rPr>
                <w:rFonts w:ascii="Tahoma" w:hAnsi="Tahoma"/>
                <w:color w:val="000000" w:themeColor="text1"/>
                <w:sz w:val="16"/>
                <w:lang w:val="en-GB"/>
              </w:rPr>
              <w:t>(100)</w:t>
            </w:r>
          </w:p>
        </w:tc>
        <w:tc>
          <w:tcPr>
            <w:tcW w:w="1134" w:type="dxa"/>
            <w:tcBorders>
              <w:bottom w:val="single" w:sz="4" w:space="0" w:color="auto"/>
              <w:right w:val="single" w:sz="4" w:space="0" w:color="auto"/>
            </w:tcBorders>
            <w:shd w:val="clear" w:color="auto" w:fill="auto"/>
            <w:tcMar>
              <w:top w:w="57" w:type="dxa"/>
              <w:left w:w="0" w:type="dxa"/>
              <w:bottom w:w="57" w:type="dxa"/>
              <w:right w:w="0" w:type="dxa"/>
            </w:tcMar>
            <w:vAlign w:val="bottom"/>
          </w:tcPr>
          <w:p w14:paraId="5F1F037A" w14:textId="77777777" w:rsidR="001A46E8" w:rsidRPr="001A46E8" w:rsidRDefault="001A46E8" w:rsidP="00432C4F">
            <w:pPr>
              <w:spacing w:line="240" w:lineRule="atLeast"/>
              <w:ind w:right="113"/>
              <w:jc w:val="right"/>
              <w:rPr>
                <w:rFonts w:ascii="Tahoma" w:hAnsi="Tahoma"/>
                <w:color w:val="000000" w:themeColor="text1"/>
                <w:sz w:val="16"/>
                <w:lang w:val="en-GB"/>
              </w:rPr>
            </w:pPr>
            <w:r w:rsidRPr="001A46E8">
              <w:rPr>
                <w:rFonts w:ascii="Tahoma" w:hAnsi="Tahoma"/>
                <w:color w:val="000000" w:themeColor="text1"/>
                <w:sz w:val="16"/>
                <w:lang w:val="en-GB"/>
              </w:rPr>
              <w:t>46</w:t>
            </w:r>
          </w:p>
        </w:tc>
      </w:tr>
      <w:tr w:rsidR="00615190" w:rsidRPr="001A46E8" w14:paraId="025DCB02" w14:textId="77777777" w:rsidTr="00DD4C30">
        <w:trPr>
          <w:trHeight w:val="60"/>
        </w:trPr>
        <w:tc>
          <w:tcPr>
            <w:tcW w:w="397" w:type="dxa"/>
            <w:shd w:val="clear" w:color="auto" w:fill="auto"/>
            <w:tcMar>
              <w:top w:w="57" w:type="dxa"/>
              <w:left w:w="0" w:type="dxa"/>
              <w:bottom w:w="85" w:type="dxa"/>
              <w:right w:w="0" w:type="dxa"/>
            </w:tcMar>
            <w:vAlign w:val="bottom"/>
          </w:tcPr>
          <w:p w14:paraId="68E44A33" w14:textId="77777777" w:rsidR="001A46E8" w:rsidRPr="001A46E8" w:rsidRDefault="001A46E8" w:rsidP="00615190">
            <w:pPr>
              <w:spacing w:line="240" w:lineRule="atLeast"/>
              <w:rPr>
                <w:rFonts w:ascii="Tahoma" w:hAnsi="Tahoma"/>
                <w:color w:val="000000" w:themeColor="text1"/>
                <w:sz w:val="16"/>
                <w:lang w:val="en-GB"/>
              </w:rPr>
            </w:pPr>
          </w:p>
        </w:tc>
        <w:tc>
          <w:tcPr>
            <w:tcW w:w="5273" w:type="dxa"/>
            <w:tcBorders>
              <w:bottom w:val="single" w:sz="4" w:space="0" w:color="auto"/>
            </w:tcBorders>
            <w:shd w:val="clear" w:color="auto" w:fill="auto"/>
            <w:tcMar>
              <w:top w:w="57" w:type="dxa"/>
              <w:left w:w="0" w:type="dxa"/>
              <w:bottom w:w="85" w:type="dxa"/>
              <w:right w:w="0" w:type="dxa"/>
            </w:tcMar>
            <w:vAlign w:val="bottom"/>
          </w:tcPr>
          <w:p w14:paraId="18FF6ADC" w14:textId="77777777" w:rsidR="001A46E8" w:rsidRPr="001A46E8" w:rsidRDefault="001A46E8" w:rsidP="00615190">
            <w:pPr>
              <w:spacing w:line="240" w:lineRule="atLeast"/>
              <w:rPr>
                <w:rFonts w:ascii="Tahoma" w:hAnsi="Tahoma"/>
                <w:color w:val="000000" w:themeColor="text1"/>
                <w:sz w:val="16"/>
                <w:lang w:val="en-GB"/>
              </w:rPr>
            </w:pPr>
            <w:r w:rsidRPr="001A46E8">
              <w:rPr>
                <w:rFonts w:ascii="Tahoma" w:hAnsi="Tahoma"/>
                <w:color w:val="000000" w:themeColor="text1"/>
                <w:sz w:val="16"/>
                <w:lang w:val="en-GB"/>
              </w:rPr>
              <w:t>Corporate segment</w:t>
            </w:r>
          </w:p>
        </w:tc>
        <w:tc>
          <w:tcPr>
            <w:tcW w:w="1134" w:type="dxa"/>
            <w:tcBorders>
              <w:top w:val="single" w:sz="4" w:space="0" w:color="auto"/>
              <w:bottom w:val="single" w:sz="4" w:space="0" w:color="auto"/>
            </w:tcBorders>
            <w:shd w:val="clear" w:color="auto" w:fill="auto"/>
            <w:tcMar>
              <w:top w:w="57" w:type="dxa"/>
              <w:left w:w="0" w:type="dxa"/>
              <w:bottom w:w="85" w:type="dxa"/>
              <w:right w:w="0" w:type="dxa"/>
            </w:tcMar>
            <w:vAlign w:val="bottom"/>
          </w:tcPr>
          <w:p w14:paraId="19B335B8" w14:textId="77777777" w:rsidR="001A46E8" w:rsidRPr="001A46E8" w:rsidRDefault="001A46E8" w:rsidP="00432C4F">
            <w:pPr>
              <w:spacing w:line="240" w:lineRule="atLeast"/>
              <w:jc w:val="right"/>
              <w:rPr>
                <w:rFonts w:ascii="Tahoma" w:hAnsi="Tahoma"/>
                <w:b/>
                <w:bCs/>
                <w:color w:val="000000" w:themeColor="text1"/>
                <w:sz w:val="16"/>
                <w:lang w:val="en-GB"/>
              </w:rPr>
            </w:pPr>
            <w:r w:rsidRPr="001A46E8">
              <w:rPr>
                <w:rFonts w:ascii="Tahoma" w:hAnsi="Tahoma"/>
                <w:b/>
                <w:bCs/>
                <w:color w:val="000000" w:themeColor="text1"/>
                <w:sz w:val="16"/>
                <w:lang w:val="en-GB"/>
              </w:rPr>
              <w:t>(81)</w:t>
            </w:r>
          </w:p>
        </w:tc>
        <w:tc>
          <w:tcPr>
            <w:tcW w:w="1134" w:type="dxa"/>
            <w:tcBorders>
              <w:top w:val="single" w:sz="4" w:space="0" w:color="auto"/>
              <w:bottom w:val="single" w:sz="4" w:space="0" w:color="auto"/>
            </w:tcBorders>
            <w:shd w:val="clear" w:color="auto" w:fill="auto"/>
            <w:tcMar>
              <w:top w:w="57" w:type="dxa"/>
              <w:left w:w="0" w:type="dxa"/>
              <w:bottom w:w="85" w:type="dxa"/>
              <w:right w:w="0" w:type="dxa"/>
            </w:tcMar>
            <w:vAlign w:val="bottom"/>
          </w:tcPr>
          <w:p w14:paraId="0B208560" w14:textId="77777777" w:rsidR="001A46E8" w:rsidRPr="001A46E8" w:rsidRDefault="001A46E8" w:rsidP="00432C4F">
            <w:pPr>
              <w:spacing w:line="240" w:lineRule="atLeast"/>
              <w:jc w:val="right"/>
              <w:rPr>
                <w:rFonts w:ascii="Tahoma" w:hAnsi="Tahoma"/>
                <w:color w:val="000000" w:themeColor="text1"/>
                <w:sz w:val="16"/>
                <w:lang w:val="en-GB"/>
              </w:rPr>
            </w:pPr>
            <w:r w:rsidRPr="001A46E8">
              <w:rPr>
                <w:rFonts w:ascii="Tahoma" w:hAnsi="Tahoma"/>
                <w:color w:val="000000" w:themeColor="text1"/>
                <w:sz w:val="16"/>
                <w:lang w:val="en-GB"/>
              </w:rPr>
              <w:t>(78)</w:t>
            </w:r>
          </w:p>
        </w:tc>
        <w:tc>
          <w:tcPr>
            <w:tcW w:w="1134" w:type="dxa"/>
            <w:tcBorders>
              <w:top w:val="single" w:sz="4" w:space="0" w:color="auto"/>
              <w:bottom w:val="single" w:sz="4" w:space="0" w:color="auto"/>
            </w:tcBorders>
            <w:shd w:val="clear" w:color="auto" w:fill="auto"/>
            <w:tcMar>
              <w:top w:w="57" w:type="dxa"/>
              <w:left w:w="0" w:type="dxa"/>
              <w:bottom w:w="85" w:type="dxa"/>
              <w:right w:w="0" w:type="dxa"/>
            </w:tcMar>
            <w:vAlign w:val="bottom"/>
          </w:tcPr>
          <w:p w14:paraId="79A969D2" w14:textId="77777777" w:rsidR="001A46E8" w:rsidRPr="001A46E8" w:rsidRDefault="001A46E8" w:rsidP="00432C4F">
            <w:pPr>
              <w:spacing w:line="240" w:lineRule="atLeast"/>
              <w:jc w:val="right"/>
              <w:rPr>
                <w:rFonts w:ascii="Tahoma" w:hAnsi="Tahoma"/>
                <w:color w:val="000000" w:themeColor="text1"/>
                <w:sz w:val="16"/>
                <w:lang w:val="en-GB"/>
              </w:rPr>
            </w:pPr>
            <w:r w:rsidRPr="001A46E8">
              <w:rPr>
                <w:rFonts w:ascii="Tahoma" w:hAnsi="Tahoma"/>
                <w:color w:val="000000" w:themeColor="text1"/>
                <w:sz w:val="16"/>
                <w:lang w:val="en-GB"/>
              </w:rPr>
              <w:t>(4)</w:t>
            </w:r>
          </w:p>
        </w:tc>
        <w:tc>
          <w:tcPr>
            <w:tcW w:w="1134" w:type="dxa"/>
            <w:tcBorders>
              <w:top w:val="single" w:sz="4" w:space="0" w:color="auto"/>
              <w:bottom w:val="single" w:sz="4" w:space="0" w:color="auto"/>
            </w:tcBorders>
            <w:shd w:val="clear" w:color="auto" w:fill="auto"/>
            <w:tcMar>
              <w:top w:w="57" w:type="dxa"/>
              <w:left w:w="0" w:type="dxa"/>
              <w:bottom w:w="85" w:type="dxa"/>
              <w:right w:w="0" w:type="dxa"/>
            </w:tcMar>
            <w:vAlign w:val="bottom"/>
          </w:tcPr>
          <w:p w14:paraId="734D9519" w14:textId="77777777" w:rsidR="001A46E8" w:rsidRPr="001A46E8" w:rsidRDefault="001A46E8" w:rsidP="00432C4F">
            <w:pPr>
              <w:spacing w:line="240" w:lineRule="atLeast"/>
              <w:ind w:right="113"/>
              <w:jc w:val="right"/>
              <w:rPr>
                <w:rFonts w:ascii="Tahoma" w:hAnsi="Tahoma"/>
                <w:color w:val="000000" w:themeColor="text1"/>
                <w:sz w:val="16"/>
                <w:lang w:val="en-GB"/>
              </w:rPr>
            </w:pPr>
            <w:r w:rsidRPr="001A46E8">
              <w:rPr>
                <w:rFonts w:ascii="Tahoma" w:hAnsi="Tahoma"/>
                <w:color w:val="000000" w:themeColor="text1"/>
                <w:sz w:val="16"/>
                <w:lang w:val="en-GB"/>
              </w:rPr>
              <w:t>(167)</w:t>
            </w:r>
          </w:p>
        </w:tc>
      </w:tr>
      <w:tr w:rsidR="00615190" w:rsidRPr="001A46E8" w14:paraId="01ED4ABF" w14:textId="77777777" w:rsidTr="006B2C92">
        <w:trPr>
          <w:trHeight w:val="60"/>
        </w:trPr>
        <w:tc>
          <w:tcPr>
            <w:tcW w:w="397" w:type="dxa"/>
            <w:shd w:val="clear" w:color="auto" w:fill="auto"/>
            <w:tcMar>
              <w:top w:w="85" w:type="dxa"/>
              <w:left w:w="0" w:type="dxa"/>
              <w:bottom w:w="57" w:type="dxa"/>
              <w:right w:w="0" w:type="dxa"/>
            </w:tcMar>
            <w:vAlign w:val="bottom"/>
          </w:tcPr>
          <w:p w14:paraId="6341C6FE" w14:textId="77777777" w:rsidR="001A46E8" w:rsidRPr="001A46E8" w:rsidRDefault="001A46E8" w:rsidP="00615190">
            <w:pPr>
              <w:spacing w:line="240" w:lineRule="atLeast"/>
              <w:rPr>
                <w:rFonts w:ascii="Tahoma" w:hAnsi="Tahoma"/>
                <w:color w:val="000000" w:themeColor="text1"/>
                <w:sz w:val="16"/>
                <w:lang w:val="en-GB"/>
              </w:rPr>
            </w:pPr>
          </w:p>
        </w:tc>
        <w:tc>
          <w:tcPr>
            <w:tcW w:w="5273" w:type="dxa"/>
            <w:tcBorders>
              <w:top w:val="single" w:sz="4" w:space="0" w:color="auto"/>
            </w:tcBorders>
            <w:shd w:val="clear" w:color="auto" w:fill="auto"/>
            <w:tcMar>
              <w:top w:w="85" w:type="dxa"/>
              <w:left w:w="0" w:type="dxa"/>
              <w:bottom w:w="57" w:type="dxa"/>
              <w:right w:w="0" w:type="dxa"/>
            </w:tcMar>
            <w:vAlign w:val="bottom"/>
          </w:tcPr>
          <w:p w14:paraId="6D7BF21D" w14:textId="77777777" w:rsidR="001A46E8" w:rsidRPr="001A46E8" w:rsidRDefault="001A46E8" w:rsidP="00615190">
            <w:pPr>
              <w:spacing w:line="240" w:lineRule="atLeast"/>
              <w:rPr>
                <w:rFonts w:ascii="Tahoma" w:hAnsi="Tahoma"/>
                <w:b/>
                <w:bCs/>
                <w:color w:val="000000" w:themeColor="text1"/>
                <w:sz w:val="16"/>
                <w:lang w:val="en-GB"/>
              </w:rPr>
            </w:pPr>
            <w:r w:rsidRPr="001A46E8">
              <w:rPr>
                <w:rFonts w:ascii="Tahoma" w:hAnsi="Tahoma"/>
                <w:b/>
                <w:bCs/>
                <w:color w:val="000000" w:themeColor="text1"/>
                <w:sz w:val="16"/>
                <w:lang w:val="en-GB"/>
              </w:rPr>
              <w:t>Total economic interest from continuing operations</w:t>
            </w:r>
          </w:p>
        </w:tc>
        <w:tc>
          <w:tcPr>
            <w:tcW w:w="1134" w:type="dxa"/>
            <w:tcBorders>
              <w:top w:val="single" w:sz="4" w:space="0" w:color="auto"/>
            </w:tcBorders>
            <w:shd w:val="clear" w:color="auto" w:fill="auto"/>
            <w:tcMar>
              <w:top w:w="85" w:type="dxa"/>
              <w:left w:w="0" w:type="dxa"/>
              <w:bottom w:w="57" w:type="dxa"/>
              <w:right w:w="0" w:type="dxa"/>
            </w:tcMar>
            <w:vAlign w:val="bottom"/>
          </w:tcPr>
          <w:p w14:paraId="47042C55" w14:textId="77777777" w:rsidR="001A46E8" w:rsidRPr="001A46E8" w:rsidRDefault="001A46E8" w:rsidP="00432C4F">
            <w:pPr>
              <w:spacing w:line="240" w:lineRule="atLeast"/>
              <w:jc w:val="right"/>
              <w:rPr>
                <w:rFonts w:ascii="Tahoma" w:hAnsi="Tahoma"/>
                <w:b/>
                <w:bCs/>
                <w:color w:val="000000" w:themeColor="text1"/>
                <w:sz w:val="16"/>
                <w:lang w:val="en-GB"/>
              </w:rPr>
            </w:pPr>
            <w:r w:rsidRPr="001A46E8">
              <w:rPr>
                <w:rFonts w:ascii="Tahoma" w:hAnsi="Tahoma"/>
                <w:b/>
                <w:bCs/>
                <w:color w:val="000000" w:themeColor="text1"/>
                <w:sz w:val="16"/>
                <w:lang w:val="en-GB"/>
              </w:rPr>
              <w:t>1 418</w:t>
            </w:r>
          </w:p>
        </w:tc>
        <w:tc>
          <w:tcPr>
            <w:tcW w:w="1134" w:type="dxa"/>
            <w:tcBorders>
              <w:top w:val="single" w:sz="4" w:space="0" w:color="auto"/>
            </w:tcBorders>
            <w:shd w:val="clear" w:color="auto" w:fill="auto"/>
            <w:tcMar>
              <w:top w:w="85" w:type="dxa"/>
              <w:left w:w="0" w:type="dxa"/>
              <w:bottom w:w="57" w:type="dxa"/>
              <w:right w:w="0" w:type="dxa"/>
            </w:tcMar>
            <w:vAlign w:val="bottom"/>
          </w:tcPr>
          <w:p w14:paraId="0625A501" w14:textId="77777777" w:rsidR="001A46E8" w:rsidRPr="001A46E8" w:rsidRDefault="001A46E8" w:rsidP="00432C4F">
            <w:pPr>
              <w:spacing w:line="240" w:lineRule="atLeast"/>
              <w:jc w:val="right"/>
              <w:rPr>
                <w:rFonts w:ascii="Tahoma" w:hAnsi="Tahoma"/>
                <w:color w:val="000000" w:themeColor="text1"/>
                <w:sz w:val="16"/>
                <w:lang w:val="en-GB"/>
              </w:rPr>
            </w:pPr>
            <w:r w:rsidRPr="001A46E8">
              <w:rPr>
                <w:rFonts w:ascii="Tahoma" w:hAnsi="Tahoma"/>
                <w:color w:val="000000" w:themeColor="text1"/>
                <w:sz w:val="16"/>
                <w:lang w:val="en-GB"/>
              </w:rPr>
              <w:t>2 785</w:t>
            </w:r>
          </w:p>
        </w:tc>
        <w:tc>
          <w:tcPr>
            <w:tcW w:w="1134" w:type="dxa"/>
            <w:tcBorders>
              <w:top w:val="single" w:sz="4" w:space="0" w:color="auto"/>
            </w:tcBorders>
            <w:shd w:val="clear" w:color="auto" w:fill="auto"/>
            <w:tcMar>
              <w:top w:w="85" w:type="dxa"/>
              <w:left w:w="0" w:type="dxa"/>
              <w:bottom w:w="57" w:type="dxa"/>
              <w:right w:w="0" w:type="dxa"/>
            </w:tcMar>
            <w:vAlign w:val="bottom"/>
          </w:tcPr>
          <w:p w14:paraId="6D37CEF5" w14:textId="77777777" w:rsidR="001A46E8" w:rsidRPr="001A46E8" w:rsidRDefault="001A46E8" w:rsidP="00432C4F">
            <w:pPr>
              <w:spacing w:line="240" w:lineRule="atLeast"/>
              <w:jc w:val="right"/>
              <w:rPr>
                <w:rFonts w:ascii="Tahoma" w:hAnsi="Tahoma"/>
                <w:color w:val="000000" w:themeColor="text1"/>
                <w:sz w:val="16"/>
                <w:lang w:val="en-GB"/>
              </w:rPr>
            </w:pPr>
            <w:r w:rsidRPr="001A46E8">
              <w:rPr>
                <w:rFonts w:ascii="Tahoma" w:hAnsi="Tahoma"/>
                <w:color w:val="000000" w:themeColor="text1"/>
                <w:sz w:val="16"/>
                <w:lang w:val="en-GB"/>
              </w:rPr>
              <w:t>(49)</w:t>
            </w:r>
          </w:p>
        </w:tc>
        <w:tc>
          <w:tcPr>
            <w:tcW w:w="1134" w:type="dxa"/>
            <w:tcBorders>
              <w:top w:val="single" w:sz="4" w:space="0" w:color="auto"/>
            </w:tcBorders>
            <w:shd w:val="clear" w:color="auto" w:fill="auto"/>
            <w:tcMar>
              <w:top w:w="85" w:type="dxa"/>
              <w:left w:w="0" w:type="dxa"/>
              <w:bottom w:w="57" w:type="dxa"/>
              <w:right w:w="0" w:type="dxa"/>
            </w:tcMar>
            <w:vAlign w:val="bottom"/>
          </w:tcPr>
          <w:p w14:paraId="110B84AB" w14:textId="77777777" w:rsidR="001A46E8" w:rsidRPr="001A46E8" w:rsidRDefault="001A46E8" w:rsidP="00432C4F">
            <w:pPr>
              <w:spacing w:line="240" w:lineRule="atLeast"/>
              <w:ind w:right="113"/>
              <w:jc w:val="right"/>
              <w:rPr>
                <w:rFonts w:ascii="Tahoma" w:hAnsi="Tahoma"/>
                <w:color w:val="000000" w:themeColor="text1"/>
                <w:sz w:val="16"/>
                <w:lang w:val="en-GB"/>
              </w:rPr>
            </w:pPr>
            <w:r w:rsidRPr="001A46E8">
              <w:rPr>
                <w:rFonts w:ascii="Tahoma" w:hAnsi="Tahoma"/>
                <w:color w:val="000000" w:themeColor="text1"/>
                <w:sz w:val="16"/>
                <w:lang w:val="en-GB"/>
              </w:rPr>
              <w:t>4 822</w:t>
            </w:r>
          </w:p>
        </w:tc>
      </w:tr>
      <w:tr w:rsidR="00615190" w:rsidRPr="001A46E8" w14:paraId="67AF055D" w14:textId="77777777" w:rsidTr="00E9574E">
        <w:trPr>
          <w:trHeight w:val="60"/>
        </w:trPr>
        <w:tc>
          <w:tcPr>
            <w:tcW w:w="397" w:type="dxa"/>
            <w:shd w:val="clear" w:color="auto" w:fill="auto"/>
            <w:tcMar>
              <w:top w:w="57" w:type="dxa"/>
              <w:left w:w="0" w:type="dxa"/>
              <w:bottom w:w="85" w:type="dxa"/>
              <w:right w:w="0" w:type="dxa"/>
            </w:tcMar>
            <w:vAlign w:val="bottom"/>
          </w:tcPr>
          <w:p w14:paraId="075944D3" w14:textId="77777777" w:rsidR="001A46E8" w:rsidRPr="001A46E8" w:rsidRDefault="001A46E8" w:rsidP="00615190">
            <w:pPr>
              <w:spacing w:line="240" w:lineRule="atLeast"/>
              <w:rPr>
                <w:rFonts w:ascii="Tahoma" w:hAnsi="Tahoma"/>
                <w:color w:val="000000" w:themeColor="text1"/>
                <w:sz w:val="16"/>
                <w:lang w:val="en-GB"/>
              </w:rPr>
            </w:pPr>
          </w:p>
        </w:tc>
        <w:tc>
          <w:tcPr>
            <w:tcW w:w="5273" w:type="dxa"/>
            <w:tcBorders>
              <w:bottom w:val="single" w:sz="4" w:space="0" w:color="auto"/>
            </w:tcBorders>
            <w:shd w:val="clear" w:color="auto" w:fill="auto"/>
            <w:tcMar>
              <w:top w:w="57" w:type="dxa"/>
              <w:left w:w="0" w:type="dxa"/>
              <w:bottom w:w="85" w:type="dxa"/>
              <w:right w:w="0" w:type="dxa"/>
            </w:tcMar>
            <w:vAlign w:val="bottom"/>
          </w:tcPr>
          <w:p w14:paraId="06B2186B" w14:textId="77777777" w:rsidR="001A46E8" w:rsidRPr="001A46E8" w:rsidRDefault="001A46E8" w:rsidP="00615190">
            <w:pPr>
              <w:spacing w:line="240" w:lineRule="atLeast"/>
              <w:rPr>
                <w:rFonts w:ascii="Tahoma" w:hAnsi="Tahoma"/>
                <w:color w:val="000000" w:themeColor="text1"/>
                <w:sz w:val="16"/>
                <w:lang w:val="en-GB"/>
              </w:rPr>
            </w:pPr>
            <w:r w:rsidRPr="001A46E8">
              <w:rPr>
                <w:rFonts w:ascii="Tahoma" w:hAnsi="Tahoma"/>
                <w:i/>
                <w:iCs/>
                <w:color w:val="000000" w:themeColor="text1"/>
                <w:sz w:val="16"/>
                <w:lang w:val="en-GB"/>
              </w:rPr>
              <w:t>Less</w:t>
            </w:r>
            <w:r w:rsidRPr="001A46E8">
              <w:rPr>
                <w:rFonts w:ascii="Tahoma" w:hAnsi="Tahoma"/>
                <w:color w:val="000000" w:themeColor="text1"/>
                <w:sz w:val="16"/>
                <w:lang w:val="en-GB"/>
              </w:rPr>
              <w:t>: Equity-accounted investments</w:t>
            </w:r>
          </w:p>
        </w:tc>
        <w:tc>
          <w:tcPr>
            <w:tcW w:w="1134" w:type="dxa"/>
            <w:tcBorders>
              <w:bottom w:val="single" w:sz="4" w:space="0" w:color="auto"/>
            </w:tcBorders>
            <w:shd w:val="clear" w:color="auto" w:fill="auto"/>
            <w:tcMar>
              <w:top w:w="57" w:type="dxa"/>
              <w:left w:w="0" w:type="dxa"/>
              <w:bottom w:w="85" w:type="dxa"/>
              <w:right w:w="0" w:type="dxa"/>
            </w:tcMar>
            <w:vAlign w:val="bottom"/>
          </w:tcPr>
          <w:p w14:paraId="795F6918" w14:textId="77777777" w:rsidR="001A46E8" w:rsidRPr="001A46E8" w:rsidRDefault="001A46E8" w:rsidP="00432C4F">
            <w:pPr>
              <w:spacing w:line="240" w:lineRule="atLeast"/>
              <w:jc w:val="right"/>
              <w:rPr>
                <w:rFonts w:ascii="Tahoma" w:hAnsi="Tahoma"/>
                <w:b/>
                <w:bCs/>
                <w:color w:val="000000" w:themeColor="text1"/>
                <w:sz w:val="16"/>
                <w:lang w:val="en-GB"/>
              </w:rPr>
            </w:pPr>
            <w:r w:rsidRPr="001A46E8">
              <w:rPr>
                <w:rFonts w:ascii="Tahoma" w:hAnsi="Tahoma"/>
                <w:b/>
                <w:bCs/>
                <w:color w:val="000000" w:themeColor="text1"/>
                <w:sz w:val="16"/>
                <w:lang w:val="en-GB"/>
              </w:rPr>
              <w:t>(1 949)</w:t>
            </w:r>
          </w:p>
        </w:tc>
        <w:tc>
          <w:tcPr>
            <w:tcW w:w="1134" w:type="dxa"/>
            <w:tcBorders>
              <w:bottom w:val="single" w:sz="4" w:space="0" w:color="auto"/>
            </w:tcBorders>
            <w:shd w:val="clear" w:color="auto" w:fill="auto"/>
            <w:tcMar>
              <w:top w:w="57" w:type="dxa"/>
              <w:left w:w="0" w:type="dxa"/>
              <w:bottom w:w="85" w:type="dxa"/>
              <w:right w:w="0" w:type="dxa"/>
            </w:tcMar>
            <w:vAlign w:val="bottom"/>
          </w:tcPr>
          <w:p w14:paraId="5C4FC36B" w14:textId="77777777" w:rsidR="001A46E8" w:rsidRPr="001A46E8" w:rsidRDefault="001A46E8" w:rsidP="00432C4F">
            <w:pPr>
              <w:spacing w:line="240" w:lineRule="atLeast"/>
              <w:jc w:val="right"/>
              <w:rPr>
                <w:rFonts w:ascii="Tahoma" w:hAnsi="Tahoma"/>
                <w:color w:val="000000" w:themeColor="text1"/>
                <w:sz w:val="16"/>
                <w:lang w:val="en-GB"/>
              </w:rPr>
            </w:pPr>
            <w:r w:rsidRPr="001A46E8">
              <w:rPr>
                <w:rFonts w:ascii="Tahoma" w:hAnsi="Tahoma"/>
                <w:color w:val="000000" w:themeColor="text1"/>
                <w:sz w:val="16"/>
                <w:lang w:val="en-GB"/>
              </w:rPr>
              <w:t>(3 103)</w:t>
            </w:r>
          </w:p>
        </w:tc>
        <w:tc>
          <w:tcPr>
            <w:tcW w:w="1134" w:type="dxa"/>
            <w:tcBorders>
              <w:bottom w:val="single" w:sz="4" w:space="0" w:color="auto"/>
            </w:tcBorders>
            <w:shd w:val="clear" w:color="auto" w:fill="auto"/>
            <w:tcMar>
              <w:top w:w="57" w:type="dxa"/>
              <w:left w:w="0" w:type="dxa"/>
              <w:bottom w:w="85" w:type="dxa"/>
              <w:right w:w="0" w:type="dxa"/>
            </w:tcMar>
            <w:vAlign w:val="bottom"/>
          </w:tcPr>
          <w:p w14:paraId="7B08C2FF" w14:textId="77777777" w:rsidR="001A46E8" w:rsidRPr="001A46E8" w:rsidRDefault="001A46E8" w:rsidP="00432C4F">
            <w:pPr>
              <w:spacing w:line="240" w:lineRule="atLeast"/>
              <w:jc w:val="right"/>
              <w:rPr>
                <w:rFonts w:ascii="Tahoma" w:hAnsi="Tahoma"/>
                <w:color w:val="000000" w:themeColor="text1"/>
                <w:sz w:val="16"/>
                <w:lang w:val="en-GB"/>
              </w:rPr>
            </w:pPr>
            <w:r w:rsidRPr="001A46E8">
              <w:rPr>
                <w:rFonts w:ascii="Tahoma" w:hAnsi="Tahoma"/>
                <w:color w:val="000000" w:themeColor="text1"/>
                <w:sz w:val="16"/>
                <w:lang w:val="en-GB"/>
              </w:rPr>
              <w:t>(37)</w:t>
            </w:r>
          </w:p>
        </w:tc>
        <w:tc>
          <w:tcPr>
            <w:tcW w:w="1134" w:type="dxa"/>
            <w:tcBorders>
              <w:bottom w:val="single" w:sz="4" w:space="0" w:color="auto"/>
            </w:tcBorders>
            <w:shd w:val="clear" w:color="auto" w:fill="auto"/>
            <w:tcMar>
              <w:top w:w="57" w:type="dxa"/>
              <w:left w:w="0" w:type="dxa"/>
              <w:bottom w:w="85" w:type="dxa"/>
              <w:right w:w="0" w:type="dxa"/>
            </w:tcMar>
            <w:vAlign w:val="bottom"/>
          </w:tcPr>
          <w:p w14:paraId="1A2DBCC1" w14:textId="77777777" w:rsidR="001A46E8" w:rsidRPr="001A46E8" w:rsidRDefault="001A46E8" w:rsidP="00432C4F">
            <w:pPr>
              <w:spacing w:line="240" w:lineRule="atLeast"/>
              <w:ind w:right="113"/>
              <w:jc w:val="right"/>
              <w:rPr>
                <w:rFonts w:ascii="Tahoma" w:hAnsi="Tahoma"/>
                <w:color w:val="000000" w:themeColor="text1"/>
                <w:sz w:val="16"/>
                <w:lang w:val="en-GB"/>
              </w:rPr>
            </w:pPr>
            <w:r w:rsidRPr="001A46E8">
              <w:rPr>
                <w:rFonts w:ascii="Tahoma" w:hAnsi="Tahoma"/>
                <w:color w:val="000000" w:themeColor="text1"/>
                <w:sz w:val="16"/>
                <w:lang w:val="en-GB"/>
              </w:rPr>
              <w:t>(5 589)</w:t>
            </w:r>
          </w:p>
        </w:tc>
      </w:tr>
      <w:tr w:rsidR="00615190" w:rsidRPr="001A46E8" w14:paraId="2D933715" w14:textId="77777777" w:rsidTr="00E9574E">
        <w:trPr>
          <w:trHeight w:val="60"/>
        </w:trPr>
        <w:tc>
          <w:tcPr>
            <w:tcW w:w="397" w:type="dxa"/>
            <w:shd w:val="clear" w:color="auto" w:fill="auto"/>
            <w:tcMar>
              <w:top w:w="85" w:type="dxa"/>
              <w:left w:w="0" w:type="dxa"/>
              <w:bottom w:w="85" w:type="dxa"/>
              <w:right w:w="0" w:type="dxa"/>
            </w:tcMar>
            <w:vAlign w:val="bottom"/>
          </w:tcPr>
          <w:p w14:paraId="406DA50A" w14:textId="77777777" w:rsidR="001A46E8" w:rsidRPr="001A46E8" w:rsidRDefault="001A46E8" w:rsidP="00615190">
            <w:pPr>
              <w:spacing w:line="240" w:lineRule="atLeast"/>
              <w:rPr>
                <w:rFonts w:ascii="Tahoma" w:hAnsi="Tahoma"/>
                <w:color w:val="000000" w:themeColor="text1"/>
                <w:sz w:val="16"/>
                <w:lang w:val="en-GB"/>
              </w:rPr>
            </w:pPr>
          </w:p>
        </w:tc>
        <w:tc>
          <w:tcPr>
            <w:tcW w:w="5273" w:type="dxa"/>
            <w:tcBorders>
              <w:top w:val="single" w:sz="4" w:space="0" w:color="auto"/>
              <w:bottom w:val="single" w:sz="4" w:space="0" w:color="auto"/>
            </w:tcBorders>
            <w:shd w:val="clear" w:color="auto" w:fill="auto"/>
            <w:tcMar>
              <w:top w:w="85" w:type="dxa"/>
              <w:left w:w="0" w:type="dxa"/>
              <w:bottom w:w="85" w:type="dxa"/>
              <w:right w:w="0" w:type="dxa"/>
            </w:tcMar>
            <w:vAlign w:val="bottom"/>
          </w:tcPr>
          <w:p w14:paraId="49614BD2" w14:textId="77777777" w:rsidR="001A46E8" w:rsidRPr="001A46E8" w:rsidRDefault="001A46E8" w:rsidP="00615190">
            <w:pPr>
              <w:spacing w:line="240" w:lineRule="atLeast"/>
              <w:rPr>
                <w:rFonts w:ascii="Tahoma" w:hAnsi="Tahoma"/>
                <w:b/>
                <w:bCs/>
                <w:color w:val="000000" w:themeColor="text1"/>
                <w:sz w:val="16"/>
                <w:lang w:val="en-GB"/>
              </w:rPr>
            </w:pPr>
            <w:r w:rsidRPr="001A46E8">
              <w:rPr>
                <w:rFonts w:ascii="Tahoma" w:hAnsi="Tahoma"/>
                <w:b/>
                <w:bCs/>
                <w:color w:val="000000" w:themeColor="text1"/>
                <w:sz w:val="16"/>
                <w:lang w:val="en-GB"/>
              </w:rPr>
              <w:t>Total consolidated from continuing operations</w:t>
            </w:r>
          </w:p>
        </w:tc>
        <w:tc>
          <w:tcPr>
            <w:tcW w:w="1134" w:type="dxa"/>
            <w:tcBorders>
              <w:top w:val="single" w:sz="4" w:space="0" w:color="auto"/>
              <w:bottom w:val="single" w:sz="4" w:space="0" w:color="auto"/>
            </w:tcBorders>
            <w:shd w:val="clear" w:color="auto" w:fill="auto"/>
            <w:tcMar>
              <w:top w:w="85" w:type="dxa"/>
              <w:left w:w="0" w:type="dxa"/>
              <w:bottom w:w="85" w:type="dxa"/>
              <w:right w:w="0" w:type="dxa"/>
            </w:tcMar>
            <w:vAlign w:val="bottom"/>
          </w:tcPr>
          <w:p w14:paraId="34A6934D" w14:textId="77777777" w:rsidR="001A46E8" w:rsidRPr="001A46E8" w:rsidRDefault="001A46E8" w:rsidP="00432C4F">
            <w:pPr>
              <w:spacing w:line="240" w:lineRule="atLeast"/>
              <w:jc w:val="right"/>
              <w:rPr>
                <w:rFonts w:ascii="Tahoma" w:hAnsi="Tahoma"/>
                <w:b/>
                <w:bCs/>
                <w:color w:val="000000" w:themeColor="text1"/>
                <w:sz w:val="16"/>
                <w:lang w:val="en-GB"/>
              </w:rPr>
            </w:pPr>
            <w:r w:rsidRPr="001A46E8">
              <w:rPr>
                <w:rFonts w:ascii="Tahoma" w:hAnsi="Tahoma"/>
                <w:b/>
                <w:bCs/>
                <w:color w:val="000000" w:themeColor="text1"/>
                <w:sz w:val="16"/>
                <w:lang w:val="en-GB"/>
              </w:rPr>
              <w:t>(531)</w:t>
            </w:r>
          </w:p>
        </w:tc>
        <w:tc>
          <w:tcPr>
            <w:tcW w:w="1134" w:type="dxa"/>
            <w:tcBorders>
              <w:top w:val="single" w:sz="4" w:space="0" w:color="auto"/>
              <w:bottom w:val="single" w:sz="4" w:space="0" w:color="auto"/>
            </w:tcBorders>
            <w:shd w:val="clear" w:color="auto" w:fill="auto"/>
            <w:tcMar>
              <w:top w:w="85" w:type="dxa"/>
              <w:left w:w="0" w:type="dxa"/>
              <w:bottom w:w="85" w:type="dxa"/>
              <w:right w:w="0" w:type="dxa"/>
            </w:tcMar>
            <w:vAlign w:val="bottom"/>
          </w:tcPr>
          <w:p w14:paraId="756DCCE8" w14:textId="77777777" w:rsidR="001A46E8" w:rsidRPr="001A46E8" w:rsidRDefault="001A46E8" w:rsidP="00432C4F">
            <w:pPr>
              <w:spacing w:line="240" w:lineRule="atLeast"/>
              <w:jc w:val="right"/>
              <w:rPr>
                <w:rFonts w:ascii="Tahoma" w:hAnsi="Tahoma"/>
                <w:color w:val="000000" w:themeColor="text1"/>
                <w:sz w:val="16"/>
                <w:lang w:val="en-GB"/>
              </w:rPr>
            </w:pPr>
            <w:r w:rsidRPr="001A46E8">
              <w:rPr>
                <w:rFonts w:ascii="Tahoma" w:hAnsi="Tahoma"/>
                <w:color w:val="000000" w:themeColor="text1"/>
                <w:sz w:val="16"/>
                <w:lang w:val="en-GB"/>
              </w:rPr>
              <w:t>(318)</w:t>
            </w:r>
          </w:p>
        </w:tc>
        <w:tc>
          <w:tcPr>
            <w:tcW w:w="1134" w:type="dxa"/>
            <w:tcBorders>
              <w:top w:val="single" w:sz="4" w:space="0" w:color="auto"/>
              <w:bottom w:val="single" w:sz="4" w:space="0" w:color="auto"/>
            </w:tcBorders>
            <w:shd w:val="clear" w:color="auto" w:fill="auto"/>
            <w:tcMar>
              <w:top w:w="85" w:type="dxa"/>
              <w:left w:w="0" w:type="dxa"/>
              <w:bottom w:w="85" w:type="dxa"/>
              <w:right w:w="0" w:type="dxa"/>
            </w:tcMar>
            <w:vAlign w:val="bottom"/>
          </w:tcPr>
          <w:p w14:paraId="105ADB9E" w14:textId="77777777" w:rsidR="001A46E8" w:rsidRPr="001A46E8" w:rsidRDefault="001A46E8" w:rsidP="00432C4F">
            <w:pPr>
              <w:spacing w:line="240" w:lineRule="atLeast"/>
              <w:jc w:val="right"/>
              <w:rPr>
                <w:rFonts w:ascii="Tahoma" w:hAnsi="Tahoma"/>
                <w:color w:val="000000" w:themeColor="text1"/>
                <w:sz w:val="16"/>
                <w:lang w:val="en-GB"/>
              </w:rPr>
            </w:pPr>
            <w:r w:rsidRPr="001A46E8">
              <w:rPr>
                <w:rFonts w:ascii="Tahoma" w:hAnsi="Tahoma"/>
                <w:color w:val="000000" w:themeColor="text1"/>
                <w:sz w:val="16"/>
                <w:lang w:val="en-GB"/>
              </w:rPr>
              <w:t>(67)</w:t>
            </w:r>
          </w:p>
        </w:tc>
        <w:tc>
          <w:tcPr>
            <w:tcW w:w="1134" w:type="dxa"/>
            <w:tcBorders>
              <w:top w:val="single" w:sz="4" w:space="0" w:color="auto"/>
              <w:bottom w:val="single" w:sz="4" w:space="0" w:color="auto"/>
            </w:tcBorders>
            <w:shd w:val="clear" w:color="auto" w:fill="auto"/>
            <w:tcMar>
              <w:top w:w="85" w:type="dxa"/>
              <w:left w:w="0" w:type="dxa"/>
              <w:bottom w:w="85" w:type="dxa"/>
              <w:right w:w="0" w:type="dxa"/>
            </w:tcMar>
            <w:vAlign w:val="bottom"/>
          </w:tcPr>
          <w:p w14:paraId="08A7EF47" w14:textId="77777777" w:rsidR="001A46E8" w:rsidRPr="001A46E8" w:rsidRDefault="001A46E8" w:rsidP="00432C4F">
            <w:pPr>
              <w:spacing w:line="240" w:lineRule="atLeast"/>
              <w:ind w:right="113"/>
              <w:jc w:val="right"/>
              <w:rPr>
                <w:rFonts w:ascii="Tahoma" w:hAnsi="Tahoma"/>
                <w:color w:val="000000" w:themeColor="text1"/>
                <w:sz w:val="16"/>
                <w:lang w:val="en-GB"/>
              </w:rPr>
            </w:pPr>
            <w:r w:rsidRPr="001A46E8">
              <w:rPr>
                <w:rFonts w:ascii="Tahoma" w:hAnsi="Tahoma"/>
                <w:color w:val="000000" w:themeColor="text1"/>
                <w:sz w:val="16"/>
                <w:lang w:val="en-GB"/>
              </w:rPr>
              <w:t>(767)</w:t>
            </w:r>
          </w:p>
        </w:tc>
      </w:tr>
      <w:tr w:rsidR="00615190" w:rsidRPr="001A46E8" w14:paraId="309345B3" w14:textId="77777777" w:rsidTr="00E9574E">
        <w:trPr>
          <w:trHeight w:val="60"/>
        </w:trPr>
        <w:tc>
          <w:tcPr>
            <w:tcW w:w="397" w:type="dxa"/>
            <w:shd w:val="clear" w:color="auto" w:fill="auto"/>
            <w:tcMar>
              <w:top w:w="85" w:type="dxa"/>
              <w:left w:w="0" w:type="dxa"/>
              <w:bottom w:w="85" w:type="dxa"/>
              <w:right w:w="0" w:type="dxa"/>
            </w:tcMar>
            <w:vAlign w:val="bottom"/>
          </w:tcPr>
          <w:p w14:paraId="03B4F4A1" w14:textId="77777777" w:rsidR="001A46E8" w:rsidRPr="001A46E8" w:rsidRDefault="001A46E8" w:rsidP="00615190">
            <w:pPr>
              <w:spacing w:line="240" w:lineRule="atLeast"/>
              <w:rPr>
                <w:rFonts w:ascii="Tahoma" w:hAnsi="Tahoma"/>
                <w:color w:val="000000" w:themeColor="text1"/>
                <w:sz w:val="16"/>
                <w:lang w:val="en-GB"/>
              </w:rPr>
            </w:pPr>
          </w:p>
        </w:tc>
        <w:tc>
          <w:tcPr>
            <w:tcW w:w="5273" w:type="dxa"/>
            <w:tcBorders>
              <w:top w:val="single" w:sz="4" w:space="0" w:color="auto"/>
              <w:bottom w:val="single" w:sz="4" w:space="0" w:color="auto"/>
            </w:tcBorders>
            <w:shd w:val="clear" w:color="auto" w:fill="auto"/>
            <w:tcMar>
              <w:top w:w="85" w:type="dxa"/>
              <w:left w:w="0" w:type="dxa"/>
              <w:bottom w:w="85" w:type="dxa"/>
              <w:right w:w="0" w:type="dxa"/>
            </w:tcMar>
            <w:vAlign w:val="bottom"/>
          </w:tcPr>
          <w:p w14:paraId="5019695A" w14:textId="77777777" w:rsidR="001A46E8" w:rsidRPr="001A46E8" w:rsidRDefault="001A46E8" w:rsidP="00615190">
            <w:pPr>
              <w:spacing w:line="240" w:lineRule="atLeast"/>
              <w:rPr>
                <w:rFonts w:ascii="Tahoma" w:hAnsi="Tahoma"/>
                <w:b/>
                <w:bCs/>
                <w:color w:val="000000" w:themeColor="text1"/>
                <w:sz w:val="16"/>
                <w:lang w:val="en-GB"/>
              </w:rPr>
            </w:pPr>
            <w:r w:rsidRPr="001A46E8">
              <w:rPr>
                <w:rFonts w:ascii="Tahoma" w:hAnsi="Tahoma"/>
                <w:b/>
                <w:bCs/>
                <w:color w:val="000000" w:themeColor="text1"/>
                <w:sz w:val="16"/>
                <w:lang w:val="en-GB"/>
              </w:rPr>
              <w:t>Total from discontinued operations</w:t>
            </w:r>
            <w:r w:rsidRPr="001A46E8">
              <w:rPr>
                <w:rFonts w:ascii="Tahoma" w:hAnsi="Tahoma"/>
                <w:b/>
                <w:bCs/>
                <w:color w:val="000000" w:themeColor="text1"/>
                <w:sz w:val="16"/>
                <w:vertAlign w:val="superscript"/>
                <w:lang w:val="en-GB"/>
              </w:rPr>
              <w:t>1</w:t>
            </w:r>
          </w:p>
        </w:tc>
        <w:tc>
          <w:tcPr>
            <w:tcW w:w="1134" w:type="dxa"/>
            <w:tcBorders>
              <w:top w:val="single" w:sz="4" w:space="0" w:color="auto"/>
              <w:bottom w:val="single" w:sz="4" w:space="0" w:color="auto"/>
            </w:tcBorders>
            <w:shd w:val="clear" w:color="auto" w:fill="auto"/>
            <w:tcMar>
              <w:top w:w="85" w:type="dxa"/>
              <w:left w:w="0" w:type="dxa"/>
              <w:bottom w:w="85" w:type="dxa"/>
              <w:right w:w="0" w:type="dxa"/>
            </w:tcMar>
            <w:vAlign w:val="bottom"/>
          </w:tcPr>
          <w:p w14:paraId="79EB899E" w14:textId="77777777" w:rsidR="001A46E8" w:rsidRPr="001A46E8" w:rsidRDefault="001A46E8" w:rsidP="00432C4F">
            <w:pPr>
              <w:spacing w:line="240" w:lineRule="atLeast"/>
              <w:jc w:val="right"/>
              <w:rPr>
                <w:rFonts w:ascii="Tahoma" w:hAnsi="Tahoma"/>
                <w:b/>
                <w:bCs/>
                <w:color w:val="000000" w:themeColor="text1"/>
                <w:sz w:val="16"/>
                <w:lang w:val="en-GB"/>
              </w:rPr>
            </w:pPr>
            <w:r w:rsidRPr="001A46E8">
              <w:rPr>
                <w:rFonts w:ascii="Tahoma" w:hAnsi="Tahoma"/>
                <w:b/>
                <w:bCs/>
                <w:color w:val="000000" w:themeColor="text1"/>
                <w:sz w:val="16"/>
                <w:lang w:val="en-GB"/>
              </w:rPr>
              <w:t>210</w:t>
            </w:r>
          </w:p>
        </w:tc>
        <w:tc>
          <w:tcPr>
            <w:tcW w:w="1134" w:type="dxa"/>
            <w:tcBorders>
              <w:top w:val="single" w:sz="4" w:space="0" w:color="auto"/>
              <w:bottom w:val="single" w:sz="4" w:space="0" w:color="auto"/>
            </w:tcBorders>
            <w:shd w:val="clear" w:color="auto" w:fill="auto"/>
            <w:tcMar>
              <w:top w:w="85" w:type="dxa"/>
              <w:left w:w="0" w:type="dxa"/>
              <w:bottom w:w="85" w:type="dxa"/>
              <w:right w:w="0" w:type="dxa"/>
            </w:tcMar>
            <w:vAlign w:val="bottom"/>
          </w:tcPr>
          <w:p w14:paraId="5C0B7020" w14:textId="77777777" w:rsidR="001A46E8" w:rsidRPr="001A46E8" w:rsidRDefault="001A46E8" w:rsidP="00432C4F">
            <w:pPr>
              <w:spacing w:line="240" w:lineRule="atLeast"/>
              <w:jc w:val="right"/>
              <w:rPr>
                <w:rFonts w:ascii="Tahoma" w:hAnsi="Tahoma"/>
                <w:color w:val="000000" w:themeColor="text1"/>
                <w:sz w:val="16"/>
                <w:lang w:val="en-GB"/>
              </w:rPr>
            </w:pPr>
            <w:r w:rsidRPr="001A46E8">
              <w:rPr>
                <w:rFonts w:ascii="Tahoma" w:hAnsi="Tahoma"/>
                <w:color w:val="000000" w:themeColor="text1"/>
                <w:sz w:val="16"/>
                <w:lang w:val="en-GB"/>
              </w:rPr>
              <w:t>151</w:t>
            </w:r>
          </w:p>
        </w:tc>
        <w:tc>
          <w:tcPr>
            <w:tcW w:w="1134" w:type="dxa"/>
            <w:tcBorders>
              <w:top w:val="single" w:sz="4" w:space="0" w:color="auto"/>
              <w:bottom w:val="single" w:sz="4" w:space="0" w:color="auto"/>
            </w:tcBorders>
            <w:shd w:val="clear" w:color="auto" w:fill="auto"/>
            <w:tcMar>
              <w:top w:w="85" w:type="dxa"/>
              <w:left w:w="0" w:type="dxa"/>
              <w:bottom w:w="85" w:type="dxa"/>
              <w:right w:w="0" w:type="dxa"/>
            </w:tcMar>
            <w:vAlign w:val="bottom"/>
          </w:tcPr>
          <w:p w14:paraId="3DD97409" w14:textId="77777777" w:rsidR="001A46E8" w:rsidRPr="001A46E8" w:rsidRDefault="001A46E8" w:rsidP="00432C4F">
            <w:pPr>
              <w:spacing w:line="240" w:lineRule="atLeast"/>
              <w:jc w:val="right"/>
              <w:rPr>
                <w:rFonts w:ascii="Tahoma" w:hAnsi="Tahoma"/>
                <w:color w:val="000000" w:themeColor="text1"/>
                <w:sz w:val="16"/>
                <w:lang w:val="en-GB"/>
              </w:rPr>
            </w:pPr>
            <w:r w:rsidRPr="001A46E8">
              <w:rPr>
                <w:rFonts w:ascii="Tahoma" w:hAnsi="Tahoma"/>
                <w:color w:val="000000" w:themeColor="text1"/>
                <w:sz w:val="16"/>
                <w:lang w:val="en-GB"/>
              </w:rPr>
              <w:t>39</w:t>
            </w:r>
          </w:p>
        </w:tc>
        <w:tc>
          <w:tcPr>
            <w:tcW w:w="1134" w:type="dxa"/>
            <w:tcBorders>
              <w:top w:val="single" w:sz="4" w:space="0" w:color="auto"/>
              <w:bottom w:val="single" w:sz="4" w:space="0" w:color="auto"/>
            </w:tcBorders>
            <w:shd w:val="clear" w:color="auto" w:fill="auto"/>
            <w:tcMar>
              <w:top w:w="85" w:type="dxa"/>
              <w:left w:w="0" w:type="dxa"/>
              <w:bottom w:w="85" w:type="dxa"/>
              <w:right w:w="0" w:type="dxa"/>
            </w:tcMar>
            <w:vAlign w:val="bottom"/>
          </w:tcPr>
          <w:p w14:paraId="5A455323" w14:textId="77777777" w:rsidR="001A46E8" w:rsidRPr="001A46E8" w:rsidRDefault="001A46E8" w:rsidP="00432C4F">
            <w:pPr>
              <w:spacing w:line="240" w:lineRule="atLeast"/>
              <w:ind w:right="113"/>
              <w:jc w:val="right"/>
              <w:rPr>
                <w:rFonts w:ascii="Tahoma" w:hAnsi="Tahoma"/>
                <w:color w:val="000000" w:themeColor="text1"/>
                <w:sz w:val="16"/>
                <w:lang w:val="en-GB"/>
              </w:rPr>
            </w:pPr>
            <w:r w:rsidRPr="001A46E8">
              <w:rPr>
                <w:rFonts w:ascii="Tahoma" w:hAnsi="Tahoma"/>
                <w:color w:val="000000" w:themeColor="text1"/>
                <w:sz w:val="16"/>
                <w:lang w:val="en-GB"/>
              </w:rPr>
              <w:t>220</w:t>
            </w:r>
          </w:p>
        </w:tc>
      </w:tr>
      <w:tr w:rsidR="00615190" w:rsidRPr="001A46E8" w14:paraId="44ED03A4" w14:textId="77777777" w:rsidTr="00E9574E">
        <w:trPr>
          <w:trHeight w:val="60"/>
        </w:trPr>
        <w:tc>
          <w:tcPr>
            <w:tcW w:w="397" w:type="dxa"/>
            <w:shd w:val="clear" w:color="auto" w:fill="auto"/>
            <w:tcMar>
              <w:top w:w="85" w:type="dxa"/>
              <w:left w:w="0" w:type="dxa"/>
              <w:bottom w:w="85" w:type="dxa"/>
              <w:right w:w="0" w:type="dxa"/>
            </w:tcMar>
            <w:vAlign w:val="bottom"/>
          </w:tcPr>
          <w:p w14:paraId="1CE5B1A8" w14:textId="77777777" w:rsidR="001A46E8" w:rsidRPr="001A46E8" w:rsidRDefault="001A46E8" w:rsidP="00615190">
            <w:pPr>
              <w:spacing w:line="240" w:lineRule="atLeast"/>
              <w:rPr>
                <w:rFonts w:ascii="Tahoma" w:hAnsi="Tahoma"/>
                <w:color w:val="000000" w:themeColor="text1"/>
                <w:sz w:val="16"/>
                <w:lang w:val="en-GB"/>
              </w:rPr>
            </w:pPr>
          </w:p>
        </w:tc>
        <w:tc>
          <w:tcPr>
            <w:tcW w:w="5273"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32DD3467" w14:textId="77777777" w:rsidR="001A46E8" w:rsidRPr="001A46E8" w:rsidRDefault="001A46E8" w:rsidP="00615190">
            <w:pPr>
              <w:spacing w:line="240" w:lineRule="atLeast"/>
              <w:rPr>
                <w:rFonts w:ascii="Tahoma" w:hAnsi="Tahoma"/>
                <w:b/>
                <w:bCs/>
                <w:color w:val="000000" w:themeColor="text1"/>
                <w:sz w:val="16"/>
                <w:lang w:val="en-GB"/>
              </w:rPr>
            </w:pPr>
            <w:r w:rsidRPr="001A46E8">
              <w:rPr>
                <w:rFonts w:ascii="Tahoma" w:hAnsi="Tahoma"/>
                <w:b/>
                <w:bCs/>
                <w:color w:val="000000" w:themeColor="text1"/>
                <w:sz w:val="16"/>
                <w:lang w:val="en-GB"/>
              </w:rPr>
              <w:t>Total consolidated</w:t>
            </w:r>
          </w:p>
        </w:tc>
        <w:tc>
          <w:tcPr>
            <w:tcW w:w="1134"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6B301A00" w14:textId="77777777" w:rsidR="001A46E8" w:rsidRPr="001A46E8" w:rsidRDefault="001A46E8" w:rsidP="00432C4F">
            <w:pPr>
              <w:spacing w:line="240" w:lineRule="atLeast"/>
              <w:jc w:val="right"/>
              <w:rPr>
                <w:rFonts w:ascii="Tahoma" w:hAnsi="Tahoma"/>
                <w:b/>
                <w:bCs/>
                <w:color w:val="000000" w:themeColor="text1"/>
                <w:sz w:val="16"/>
                <w:lang w:val="en-GB"/>
              </w:rPr>
            </w:pPr>
            <w:r w:rsidRPr="001A46E8">
              <w:rPr>
                <w:rFonts w:ascii="Tahoma" w:hAnsi="Tahoma"/>
                <w:b/>
                <w:bCs/>
                <w:color w:val="000000" w:themeColor="text1"/>
                <w:sz w:val="16"/>
                <w:lang w:val="en-GB"/>
              </w:rPr>
              <w:t>(321)</w:t>
            </w:r>
          </w:p>
        </w:tc>
        <w:tc>
          <w:tcPr>
            <w:tcW w:w="1134"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2F624FE3" w14:textId="77777777" w:rsidR="001A46E8" w:rsidRPr="001A46E8" w:rsidRDefault="001A46E8" w:rsidP="00432C4F">
            <w:pPr>
              <w:spacing w:line="240" w:lineRule="atLeast"/>
              <w:jc w:val="right"/>
              <w:rPr>
                <w:rFonts w:ascii="Tahoma" w:hAnsi="Tahoma"/>
                <w:color w:val="000000" w:themeColor="text1"/>
                <w:sz w:val="16"/>
                <w:lang w:val="en-GB"/>
              </w:rPr>
            </w:pPr>
            <w:r w:rsidRPr="001A46E8">
              <w:rPr>
                <w:rFonts w:ascii="Tahoma" w:hAnsi="Tahoma"/>
                <w:color w:val="000000" w:themeColor="text1"/>
                <w:sz w:val="16"/>
                <w:lang w:val="en-GB"/>
              </w:rPr>
              <w:t>(167)</w:t>
            </w:r>
          </w:p>
        </w:tc>
        <w:tc>
          <w:tcPr>
            <w:tcW w:w="1134"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699F81DE" w14:textId="77777777" w:rsidR="001A46E8" w:rsidRPr="001A46E8" w:rsidRDefault="001A46E8" w:rsidP="00432C4F">
            <w:pPr>
              <w:spacing w:line="240" w:lineRule="atLeast"/>
              <w:jc w:val="right"/>
              <w:rPr>
                <w:rFonts w:ascii="Tahoma" w:hAnsi="Tahoma"/>
                <w:color w:val="000000" w:themeColor="text1"/>
                <w:sz w:val="16"/>
                <w:lang w:val="en-GB"/>
              </w:rPr>
            </w:pPr>
            <w:r w:rsidRPr="001A46E8">
              <w:rPr>
                <w:rFonts w:ascii="Tahoma" w:hAnsi="Tahoma"/>
                <w:color w:val="000000" w:themeColor="text1"/>
                <w:sz w:val="16"/>
                <w:lang w:val="en-GB"/>
              </w:rPr>
              <w:t>(92)</w:t>
            </w:r>
          </w:p>
        </w:tc>
        <w:tc>
          <w:tcPr>
            <w:tcW w:w="1134"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274609A7" w14:textId="77777777" w:rsidR="001A46E8" w:rsidRPr="001A46E8" w:rsidRDefault="001A46E8" w:rsidP="00432C4F">
            <w:pPr>
              <w:spacing w:line="240" w:lineRule="atLeast"/>
              <w:ind w:right="113"/>
              <w:jc w:val="right"/>
              <w:rPr>
                <w:rFonts w:ascii="Tahoma" w:hAnsi="Tahoma"/>
                <w:color w:val="000000" w:themeColor="text1"/>
                <w:sz w:val="16"/>
                <w:lang w:val="en-GB"/>
              </w:rPr>
            </w:pPr>
            <w:r w:rsidRPr="001A46E8">
              <w:rPr>
                <w:rFonts w:ascii="Tahoma" w:hAnsi="Tahoma"/>
                <w:color w:val="000000" w:themeColor="text1"/>
                <w:sz w:val="16"/>
                <w:lang w:val="en-GB"/>
              </w:rPr>
              <w:t>(547)</w:t>
            </w:r>
          </w:p>
        </w:tc>
      </w:tr>
      <w:tr w:rsidR="00615190" w:rsidRPr="001A46E8" w14:paraId="3D4AF90C" w14:textId="77777777" w:rsidTr="00E9574E">
        <w:trPr>
          <w:trHeight w:val="60"/>
        </w:trPr>
        <w:tc>
          <w:tcPr>
            <w:tcW w:w="397" w:type="dxa"/>
            <w:shd w:val="clear" w:color="auto" w:fill="auto"/>
            <w:tcMar>
              <w:top w:w="85" w:type="dxa"/>
              <w:left w:w="0" w:type="dxa"/>
              <w:bottom w:w="85" w:type="dxa"/>
              <w:right w:w="0" w:type="dxa"/>
            </w:tcMar>
            <w:vAlign w:val="bottom"/>
          </w:tcPr>
          <w:p w14:paraId="53B1785A" w14:textId="77777777" w:rsidR="001A46E8" w:rsidRPr="001A46E8" w:rsidRDefault="001A46E8" w:rsidP="00615190">
            <w:pPr>
              <w:spacing w:line="240" w:lineRule="atLeast"/>
              <w:rPr>
                <w:rFonts w:ascii="Tahoma" w:hAnsi="Tahoma"/>
                <w:color w:val="000000" w:themeColor="text1"/>
                <w:sz w:val="16"/>
                <w:lang w:val="en-GB"/>
              </w:rPr>
            </w:pPr>
          </w:p>
        </w:tc>
        <w:tc>
          <w:tcPr>
            <w:tcW w:w="9809" w:type="dxa"/>
            <w:gridSpan w:val="5"/>
            <w:tcBorders>
              <w:top w:val="single" w:sz="12" w:space="0" w:color="auto"/>
            </w:tcBorders>
            <w:shd w:val="clear" w:color="auto" w:fill="auto"/>
            <w:tcMar>
              <w:top w:w="85" w:type="dxa"/>
              <w:left w:w="0" w:type="dxa"/>
              <w:bottom w:w="85" w:type="dxa"/>
              <w:right w:w="0" w:type="dxa"/>
            </w:tcMar>
            <w:vAlign w:val="bottom"/>
          </w:tcPr>
          <w:p w14:paraId="5A63035D" w14:textId="77777777" w:rsidR="001A46E8" w:rsidRPr="00AC1048" w:rsidRDefault="001A46E8" w:rsidP="00AC1048">
            <w:pPr>
              <w:pStyle w:val="FootnotesProsus2022FrontStylesProsus2022"/>
            </w:pPr>
            <w:r w:rsidRPr="00AC1048">
              <w:t>1</w:t>
            </w:r>
            <w:r w:rsidRPr="00AC1048">
              <w:tab/>
              <w:t xml:space="preserve">From 1 April 2022, following the separation from OLX Group, the CODM reviewed the financial results of </w:t>
            </w:r>
            <w:proofErr w:type="spellStart"/>
            <w:r w:rsidRPr="00AC1048">
              <w:t>Avito</w:t>
            </w:r>
            <w:proofErr w:type="spellEnd"/>
            <w:r w:rsidRPr="00AC1048">
              <w:t xml:space="preserve"> separately. Subsequent to the group’s decision to exit this Russian business, </w:t>
            </w:r>
            <w:proofErr w:type="spellStart"/>
            <w:r w:rsidRPr="00AC1048">
              <w:t>Avito</w:t>
            </w:r>
            <w:proofErr w:type="spellEnd"/>
            <w:r w:rsidRPr="00AC1048">
              <w:t xml:space="preserve"> was presented as a discontinued operation. The comparative financial results of </w:t>
            </w:r>
            <w:proofErr w:type="spellStart"/>
            <w:r w:rsidRPr="00AC1048">
              <w:t>Avito</w:t>
            </w:r>
            <w:proofErr w:type="spellEnd"/>
            <w:r w:rsidRPr="00AC1048">
              <w:t>, previously presented in the Classifieds Ecommerce segment, have been reclassified and presented in discontinued operations (refer to note 5).</w:t>
            </w:r>
          </w:p>
          <w:p w14:paraId="2384EB7E" w14:textId="77777777" w:rsidR="001A46E8" w:rsidRPr="00AC1048" w:rsidRDefault="001A46E8" w:rsidP="00AC1048">
            <w:pPr>
              <w:pStyle w:val="FootnotesProsus2022FrontStylesProsus2022"/>
            </w:pPr>
            <w:r w:rsidRPr="00AC1048">
              <w:t>2</w:t>
            </w:r>
            <w:r w:rsidRPr="00AC1048">
              <w:tab/>
              <w:t>During the year ended 31 March 2022, the group lost significant influence in VK and the group now accounts for its investment at fair value through other comprehensive income.</w:t>
            </w:r>
          </w:p>
        </w:tc>
      </w:tr>
    </w:tbl>
    <w:p w14:paraId="004104A6" w14:textId="77777777" w:rsidR="004644ED" w:rsidRDefault="004644ED" w:rsidP="00615190">
      <w:pPr>
        <w:spacing w:line="240" w:lineRule="atLeast"/>
        <w:rPr>
          <w:rFonts w:ascii="Tahoma" w:hAnsi="Tahoma"/>
          <w:color w:val="000000" w:themeColor="text1"/>
          <w:sz w:val="16"/>
        </w:rPr>
      </w:pPr>
    </w:p>
    <w:p w14:paraId="595C0C20" w14:textId="77777777" w:rsidR="004644ED" w:rsidRDefault="004644ED">
      <w:pPr>
        <w:rPr>
          <w:rFonts w:ascii="Tahoma" w:hAnsi="Tahoma"/>
          <w:color w:val="000000" w:themeColor="text1"/>
          <w:sz w:val="16"/>
        </w:rPr>
      </w:pPr>
      <w:r>
        <w:rPr>
          <w:rFonts w:ascii="Tahoma" w:hAnsi="Tahoma"/>
          <w:color w:val="000000" w:themeColor="text1"/>
          <w:sz w:val="16"/>
        </w:rPr>
        <w:br w:type="page"/>
      </w:r>
    </w:p>
    <w:p w14:paraId="3B4A0DD4" w14:textId="77777777" w:rsidR="00CF44E9" w:rsidRPr="00615190" w:rsidRDefault="00CF44E9" w:rsidP="00615190">
      <w:pPr>
        <w:spacing w:line="240" w:lineRule="atLeast"/>
        <w:rPr>
          <w:rFonts w:ascii="Tahoma" w:hAnsi="Tahoma"/>
          <w:color w:val="000000" w:themeColor="text1"/>
          <w:sz w:val="16"/>
        </w:rPr>
      </w:pPr>
    </w:p>
    <w:tbl>
      <w:tblPr>
        <w:tblW w:w="10206" w:type="dxa"/>
        <w:tblInd w:w="-8" w:type="dxa"/>
        <w:tblLayout w:type="fixed"/>
        <w:tblCellMar>
          <w:left w:w="0" w:type="dxa"/>
          <w:right w:w="0" w:type="dxa"/>
        </w:tblCellMar>
        <w:tblLook w:val="0000" w:firstRow="0" w:lastRow="0" w:firstColumn="0" w:lastColumn="0" w:noHBand="0" w:noVBand="0"/>
      </w:tblPr>
      <w:tblGrid>
        <w:gridCol w:w="397"/>
        <w:gridCol w:w="6407"/>
        <w:gridCol w:w="1134"/>
        <w:gridCol w:w="1134"/>
        <w:gridCol w:w="1134"/>
      </w:tblGrid>
      <w:tr w:rsidR="00615190" w:rsidRPr="00247C82" w14:paraId="6DD85763" w14:textId="77777777" w:rsidTr="00011A5E">
        <w:trPr>
          <w:trHeight w:val="60"/>
        </w:trPr>
        <w:tc>
          <w:tcPr>
            <w:tcW w:w="397" w:type="dxa"/>
            <w:shd w:val="clear" w:color="auto" w:fill="auto"/>
            <w:tcMar>
              <w:top w:w="0" w:type="dxa"/>
              <w:left w:w="0" w:type="dxa"/>
              <w:bottom w:w="57" w:type="dxa"/>
              <w:right w:w="0" w:type="dxa"/>
            </w:tcMar>
            <w:vAlign w:val="bottom"/>
          </w:tcPr>
          <w:p w14:paraId="23015CF4" w14:textId="77777777" w:rsidR="00247C82" w:rsidRPr="00247C82" w:rsidRDefault="00162B1D" w:rsidP="00615190">
            <w:pPr>
              <w:spacing w:line="240" w:lineRule="atLeast"/>
              <w:rPr>
                <w:rFonts w:ascii="Tahoma" w:hAnsi="Tahoma"/>
                <w:b/>
                <w:bCs/>
                <w:color w:val="000000" w:themeColor="text1"/>
                <w:sz w:val="16"/>
                <w:lang w:val="en-GB"/>
              </w:rPr>
            </w:pPr>
            <w:r w:rsidRPr="00247C82">
              <w:rPr>
                <w:rFonts w:ascii="Tahoma" w:hAnsi="Tahoma"/>
                <w:b/>
                <w:bCs/>
                <w:color w:val="000000" w:themeColor="text1"/>
                <w:sz w:val="16"/>
                <w:lang w:val="en-GB"/>
              </w:rPr>
              <w:t>5.</w:t>
            </w:r>
          </w:p>
        </w:tc>
        <w:tc>
          <w:tcPr>
            <w:tcW w:w="9809" w:type="dxa"/>
            <w:gridSpan w:val="4"/>
            <w:shd w:val="clear" w:color="auto" w:fill="auto"/>
            <w:tcMar>
              <w:top w:w="0" w:type="dxa"/>
              <w:left w:w="0" w:type="dxa"/>
              <w:bottom w:w="57" w:type="dxa"/>
              <w:right w:w="0" w:type="dxa"/>
            </w:tcMar>
            <w:vAlign w:val="bottom"/>
          </w:tcPr>
          <w:p w14:paraId="0657B571" w14:textId="77777777" w:rsidR="00247C82" w:rsidRPr="00247C82" w:rsidRDefault="00162B1D" w:rsidP="00615190">
            <w:pPr>
              <w:spacing w:line="240" w:lineRule="atLeast"/>
              <w:rPr>
                <w:rFonts w:ascii="Tahoma" w:hAnsi="Tahoma"/>
                <w:b/>
                <w:bCs/>
                <w:color w:val="000000" w:themeColor="text1"/>
                <w:sz w:val="16"/>
                <w:lang w:val="en-GB"/>
              </w:rPr>
            </w:pPr>
            <w:r w:rsidRPr="00247C82">
              <w:rPr>
                <w:rFonts w:ascii="Tahoma" w:hAnsi="Tahoma"/>
                <w:b/>
                <w:bCs/>
                <w:color w:val="000000" w:themeColor="text1"/>
                <w:sz w:val="16"/>
                <w:lang w:val="en-GB"/>
              </w:rPr>
              <w:t>PROFIT FROM DISCONTINUED OPERATIONS</w:t>
            </w:r>
          </w:p>
        </w:tc>
      </w:tr>
      <w:tr w:rsidR="00615190" w:rsidRPr="00247C82" w14:paraId="4F22E463" w14:textId="77777777" w:rsidTr="00011A5E">
        <w:trPr>
          <w:trHeight w:val="60"/>
        </w:trPr>
        <w:tc>
          <w:tcPr>
            <w:tcW w:w="397" w:type="dxa"/>
            <w:shd w:val="clear" w:color="auto" w:fill="auto"/>
            <w:tcMar>
              <w:top w:w="57" w:type="dxa"/>
              <w:left w:w="0" w:type="dxa"/>
              <w:bottom w:w="57" w:type="dxa"/>
              <w:right w:w="0" w:type="dxa"/>
            </w:tcMar>
            <w:vAlign w:val="bottom"/>
          </w:tcPr>
          <w:p w14:paraId="1F9D58AB" w14:textId="77777777" w:rsidR="00247C82" w:rsidRPr="00247C82" w:rsidRDefault="00247C82" w:rsidP="00615190">
            <w:pPr>
              <w:spacing w:line="240" w:lineRule="atLeast"/>
              <w:rPr>
                <w:rFonts w:ascii="Tahoma" w:hAnsi="Tahoma"/>
                <w:color w:val="000000" w:themeColor="text1"/>
                <w:sz w:val="16"/>
                <w:lang w:val="en-GB"/>
              </w:rPr>
            </w:pPr>
          </w:p>
        </w:tc>
        <w:tc>
          <w:tcPr>
            <w:tcW w:w="9809" w:type="dxa"/>
            <w:gridSpan w:val="4"/>
            <w:shd w:val="clear" w:color="auto" w:fill="auto"/>
            <w:tcMar>
              <w:top w:w="57" w:type="dxa"/>
              <w:left w:w="0" w:type="dxa"/>
              <w:bottom w:w="57" w:type="dxa"/>
              <w:right w:w="0" w:type="dxa"/>
            </w:tcMar>
            <w:vAlign w:val="bottom"/>
          </w:tcPr>
          <w:p w14:paraId="725F5A94" w14:textId="77777777" w:rsidR="00247C82" w:rsidRPr="00247C82" w:rsidRDefault="00247C82" w:rsidP="00615190">
            <w:pPr>
              <w:spacing w:line="240" w:lineRule="atLeast"/>
              <w:rPr>
                <w:rFonts w:ascii="Tahoma" w:hAnsi="Tahoma"/>
                <w:color w:val="000000" w:themeColor="text1"/>
                <w:sz w:val="16"/>
                <w:lang w:val="en-GB"/>
              </w:rPr>
            </w:pPr>
            <w:r w:rsidRPr="00247C82">
              <w:rPr>
                <w:rFonts w:ascii="Tahoma" w:hAnsi="Tahoma"/>
                <w:color w:val="000000" w:themeColor="text1"/>
                <w:sz w:val="16"/>
                <w:lang w:val="en-GB"/>
              </w:rPr>
              <w:t xml:space="preserve">In May 2022, the group announced its decision to sell its investment in </w:t>
            </w:r>
            <w:proofErr w:type="spellStart"/>
            <w:r w:rsidRPr="00247C82">
              <w:rPr>
                <w:rFonts w:ascii="Tahoma" w:hAnsi="Tahoma"/>
                <w:color w:val="000000" w:themeColor="text1"/>
                <w:sz w:val="16"/>
                <w:lang w:val="en-GB"/>
              </w:rPr>
              <w:t>Avito</w:t>
            </w:r>
            <w:proofErr w:type="spellEnd"/>
            <w:r w:rsidRPr="00247C82">
              <w:rPr>
                <w:rFonts w:ascii="Tahoma" w:hAnsi="Tahoma"/>
                <w:color w:val="000000" w:themeColor="text1"/>
                <w:sz w:val="16"/>
                <w:lang w:val="en-GB"/>
              </w:rPr>
              <w:t xml:space="preserve">. </w:t>
            </w:r>
            <w:proofErr w:type="spellStart"/>
            <w:r w:rsidRPr="00247C82">
              <w:rPr>
                <w:rFonts w:ascii="Tahoma" w:hAnsi="Tahoma"/>
                <w:color w:val="000000" w:themeColor="text1"/>
                <w:sz w:val="16"/>
                <w:lang w:val="en-GB"/>
              </w:rPr>
              <w:t>Avito</w:t>
            </w:r>
            <w:proofErr w:type="spellEnd"/>
            <w:r w:rsidRPr="00247C82">
              <w:rPr>
                <w:rFonts w:ascii="Tahoma" w:hAnsi="Tahoma"/>
                <w:color w:val="000000" w:themeColor="text1"/>
                <w:sz w:val="16"/>
                <w:lang w:val="en-GB"/>
              </w:rPr>
              <w:t xml:space="preserve"> was presented as a discontinued operation as it is a separate major line of business in a geographical area. The assets and liabilities of </w:t>
            </w:r>
            <w:proofErr w:type="spellStart"/>
            <w:r w:rsidRPr="00247C82">
              <w:rPr>
                <w:rFonts w:ascii="Tahoma" w:hAnsi="Tahoma"/>
                <w:color w:val="000000" w:themeColor="text1"/>
                <w:sz w:val="16"/>
                <w:lang w:val="en-GB"/>
              </w:rPr>
              <w:t>Avito</w:t>
            </w:r>
            <w:proofErr w:type="spellEnd"/>
            <w:r w:rsidRPr="00247C82">
              <w:rPr>
                <w:rFonts w:ascii="Tahoma" w:hAnsi="Tahoma"/>
                <w:color w:val="000000" w:themeColor="text1"/>
                <w:sz w:val="16"/>
                <w:lang w:val="en-GB"/>
              </w:rPr>
              <w:t xml:space="preserve"> were classified as held for sale (refer to note 14).</w:t>
            </w:r>
          </w:p>
        </w:tc>
      </w:tr>
      <w:tr w:rsidR="00615190" w:rsidRPr="00247C82" w14:paraId="7960AB2F" w14:textId="77777777" w:rsidTr="00011A5E">
        <w:trPr>
          <w:trHeight w:val="60"/>
        </w:trPr>
        <w:tc>
          <w:tcPr>
            <w:tcW w:w="397" w:type="dxa"/>
            <w:shd w:val="clear" w:color="auto" w:fill="auto"/>
            <w:tcMar>
              <w:top w:w="142" w:type="dxa"/>
              <w:left w:w="0" w:type="dxa"/>
              <w:bottom w:w="113" w:type="dxa"/>
              <w:right w:w="0" w:type="dxa"/>
            </w:tcMar>
            <w:vAlign w:val="bottom"/>
          </w:tcPr>
          <w:p w14:paraId="08A0974A" w14:textId="77777777" w:rsidR="00247C82" w:rsidRPr="00247C82" w:rsidRDefault="00247C82" w:rsidP="00615190">
            <w:pPr>
              <w:spacing w:line="240" w:lineRule="atLeast"/>
              <w:rPr>
                <w:rFonts w:ascii="Tahoma" w:hAnsi="Tahoma"/>
                <w:color w:val="000000" w:themeColor="text1"/>
                <w:sz w:val="16"/>
                <w:lang w:val="en-GB"/>
              </w:rPr>
            </w:pPr>
          </w:p>
        </w:tc>
        <w:tc>
          <w:tcPr>
            <w:tcW w:w="9809" w:type="dxa"/>
            <w:gridSpan w:val="4"/>
            <w:shd w:val="clear" w:color="auto" w:fill="auto"/>
            <w:tcMar>
              <w:top w:w="142" w:type="dxa"/>
              <w:left w:w="0" w:type="dxa"/>
              <w:bottom w:w="113" w:type="dxa"/>
              <w:right w:w="0" w:type="dxa"/>
            </w:tcMar>
            <w:vAlign w:val="bottom"/>
          </w:tcPr>
          <w:p w14:paraId="13D8A5E3" w14:textId="77777777" w:rsidR="00247C82" w:rsidRPr="00247C82" w:rsidRDefault="00247C82" w:rsidP="00615190">
            <w:pPr>
              <w:spacing w:line="240" w:lineRule="atLeast"/>
              <w:rPr>
                <w:rFonts w:ascii="Tahoma" w:hAnsi="Tahoma"/>
                <w:b/>
                <w:bCs/>
                <w:color w:val="000000" w:themeColor="text1"/>
                <w:sz w:val="16"/>
                <w:lang w:val="en-GB"/>
              </w:rPr>
            </w:pPr>
            <w:r w:rsidRPr="00247C82">
              <w:rPr>
                <w:rFonts w:ascii="Tahoma" w:hAnsi="Tahoma"/>
                <w:b/>
                <w:bCs/>
                <w:color w:val="000000" w:themeColor="text1"/>
                <w:sz w:val="16"/>
                <w:lang w:val="en-GB"/>
              </w:rPr>
              <w:t>Income statement information of discontinued operations</w:t>
            </w:r>
          </w:p>
        </w:tc>
      </w:tr>
      <w:tr w:rsidR="00615190" w:rsidRPr="00247C82" w14:paraId="180C49EE" w14:textId="77777777" w:rsidTr="00011A5E">
        <w:trPr>
          <w:trHeight w:val="60"/>
        </w:trPr>
        <w:tc>
          <w:tcPr>
            <w:tcW w:w="397" w:type="dxa"/>
            <w:shd w:val="clear" w:color="auto" w:fill="auto"/>
            <w:tcMar>
              <w:top w:w="85" w:type="dxa"/>
              <w:left w:w="0" w:type="dxa"/>
              <w:bottom w:w="85" w:type="dxa"/>
              <w:right w:w="0" w:type="dxa"/>
            </w:tcMar>
            <w:vAlign w:val="bottom"/>
          </w:tcPr>
          <w:p w14:paraId="0C943359" w14:textId="77777777" w:rsidR="00247C82" w:rsidRPr="00247C82" w:rsidRDefault="00247C82" w:rsidP="00615190">
            <w:pPr>
              <w:spacing w:line="240" w:lineRule="atLeast"/>
              <w:rPr>
                <w:rFonts w:ascii="Tahoma" w:hAnsi="Tahoma"/>
                <w:color w:val="000000" w:themeColor="text1"/>
                <w:sz w:val="16"/>
                <w:lang w:val="en-GB"/>
              </w:rPr>
            </w:pPr>
          </w:p>
        </w:tc>
        <w:tc>
          <w:tcPr>
            <w:tcW w:w="6407" w:type="dxa"/>
            <w:shd w:val="clear" w:color="auto" w:fill="auto"/>
            <w:tcMar>
              <w:top w:w="85" w:type="dxa"/>
              <w:left w:w="0" w:type="dxa"/>
              <w:bottom w:w="85" w:type="dxa"/>
              <w:right w:w="0" w:type="dxa"/>
            </w:tcMar>
            <w:vAlign w:val="bottom"/>
          </w:tcPr>
          <w:p w14:paraId="2C8287D1" w14:textId="77777777" w:rsidR="00247C82" w:rsidRPr="00247C82" w:rsidRDefault="00247C82" w:rsidP="00615190">
            <w:pPr>
              <w:spacing w:line="240" w:lineRule="atLeast"/>
              <w:rPr>
                <w:rFonts w:ascii="Tahoma" w:hAnsi="Tahoma"/>
                <w:color w:val="000000" w:themeColor="text1"/>
                <w:sz w:val="16"/>
                <w:lang w:val="en-GB"/>
              </w:rPr>
            </w:pPr>
          </w:p>
        </w:tc>
        <w:tc>
          <w:tcPr>
            <w:tcW w:w="2268" w:type="dxa"/>
            <w:gridSpan w:val="2"/>
            <w:shd w:val="clear" w:color="auto" w:fill="auto"/>
            <w:tcMar>
              <w:top w:w="85" w:type="dxa"/>
              <w:left w:w="0" w:type="dxa"/>
              <w:bottom w:w="85" w:type="dxa"/>
              <w:right w:w="0" w:type="dxa"/>
            </w:tcMar>
            <w:vAlign w:val="bottom"/>
          </w:tcPr>
          <w:p w14:paraId="26A13664" w14:textId="77777777" w:rsidR="00247C82" w:rsidRPr="00247C82" w:rsidRDefault="00247C82" w:rsidP="00E47834">
            <w:pPr>
              <w:spacing w:line="240" w:lineRule="atLeast"/>
              <w:jc w:val="center"/>
              <w:rPr>
                <w:rFonts w:ascii="Tahoma" w:hAnsi="Tahoma"/>
                <w:b/>
                <w:bCs/>
                <w:color w:val="000000" w:themeColor="text1"/>
                <w:sz w:val="16"/>
                <w:lang w:val="en-GB"/>
              </w:rPr>
            </w:pPr>
            <w:r w:rsidRPr="00247C82">
              <w:rPr>
                <w:rFonts w:ascii="Tahoma" w:hAnsi="Tahoma"/>
                <w:b/>
                <w:bCs/>
                <w:color w:val="000000" w:themeColor="text1"/>
                <w:sz w:val="16"/>
                <w:lang w:val="en-GB"/>
              </w:rPr>
              <w:t>Six months ended</w:t>
            </w:r>
          </w:p>
          <w:p w14:paraId="11B06F86" w14:textId="77777777" w:rsidR="00247C82" w:rsidRPr="00247C82" w:rsidRDefault="00247C82" w:rsidP="00E47834">
            <w:pPr>
              <w:spacing w:line="240" w:lineRule="atLeast"/>
              <w:jc w:val="center"/>
              <w:rPr>
                <w:rFonts w:ascii="Tahoma" w:hAnsi="Tahoma"/>
                <w:b/>
                <w:bCs/>
                <w:color w:val="000000" w:themeColor="text1"/>
                <w:sz w:val="16"/>
                <w:lang w:val="en-GB"/>
              </w:rPr>
            </w:pPr>
            <w:r w:rsidRPr="00247C82">
              <w:rPr>
                <w:rFonts w:ascii="Tahoma" w:hAnsi="Tahoma"/>
                <w:b/>
                <w:bCs/>
                <w:color w:val="000000" w:themeColor="text1"/>
                <w:sz w:val="16"/>
                <w:lang w:val="en-GB"/>
              </w:rPr>
              <w:t>30 September</w:t>
            </w:r>
          </w:p>
        </w:tc>
        <w:tc>
          <w:tcPr>
            <w:tcW w:w="1134" w:type="dxa"/>
            <w:shd w:val="clear" w:color="auto" w:fill="auto"/>
            <w:tcMar>
              <w:top w:w="85" w:type="dxa"/>
              <w:left w:w="0" w:type="dxa"/>
              <w:bottom w:w="85" w:type="dxa"/>
              <w:right w:w="0" w:type="dxa"/>
            </w:tcMar>
            <w:vAlign w:val="bottom"/>
          </w:tcPr>
          <w:p w14:paraId="38B32F50" w14:textId="77777777" w:rsidR="00247C82" w:rsidRPr="00247C82" w:rsidRDefault="00247C82" w:rsidP="00E47834">
            <w:pPr>
              <w:spacing w:line="240" w:lineRule="atLeast"/>
              <w:jc w:val="right"/>
              <w:rPr>
                <w:rFonts w:ascii="Tahoma" w:hAnsi="Tahoma"/>
                <w:color w:val="000000" w:themeColor="text1"/>
                <w:sz w:val="16"/>
                <w:lang w:val="en-GB"/>
              </w:rPr>
            </w:pPr>
            <w:r w:rsidRPr="00247C82">
              <w:rPr>
                <w:rFonts w:ascii="Tahoma" w:hAnsi="Tahoma"/>
                <w:color w:val="000000" w:themeColor="text1"/>
                <w:sz w:val="16"/>
                <w:lang w:val="en-GB"/>
              </w:rPr>
              <w:t>Year</w:t>
            </w:r>
          </w:p>
          <w:p w14:paraId="4D2ADC6A" w14:textId="77777777" w:rsidR="00247C82" w:rsidRPr="00247C82" w:rsidRDefault="00247C82" w:rsidP="00E47834">
            <w:pPr>
              <w:spacing w:line="240" w:lineRule="atLeast"/>
              <w:jc w:val="right"/>
              <w:rPr>
                <w:rFonts w:ascii="Tahoma" w:hAnsi="Tahoma"/>
                <w:color w:val="000000" w:themeColor="text1"/>
                <w:sz w:val="16"/>
                <w:lang w:val="en-GB"/>
              </w:rPr>
            </w:pPr>
            <w:r w:rsidRPr="00247C82">
              <w:rPr>
                <w:rFonts w:ascii="Tahoma" w:hAnsi="Tahoma"/>
                <w:color w:val="000000" w:themeColor="text1"/>
                <w:sz w:val="16"/>
                <w:lang w:val="en-GB"/>
              </w:rPr>
              <w:t>ended</w:t>
            </w:r>
          </w:p>
          <w:p w14:paraId="0056ABDF" w14:textId="77777777" w:rsidR="00247C82" w:rsidRPr="00247C82" w:rsidRDefault="00247C82" w:rsidP="00E47834">
            <w:pPr>
              <w:spacing w:line="240" w:lineRule="atLeast"/>
              <w:jc w:val="right"/>
              <w:rPr>
                <w:rFonts w:ascii="Tahoma" w:hAnsi="Tahoma"/>
                <w:color w:val="000000" w:themeColor="text1"/>
                <w:sz w:val="16"/>
                <w:lang w:val="en-GB"/>
              </w:rPr>
            </w:pPr>
            <w:r w:rsidRPr="00247C82">
              <w:rPr>
                <w:rFonts w:ascii="Tahoma" w:hAnsi="Tahoma"/>
                <w:color w:val="000000" w:themeColor="text1"/>
                <w:sz w:val="16"/>
                <w:lang w:val="en-GB"/>
              </w:rPr>
              <w:t>31 March</w:t>
            </w:r>
          </w:p>
        </w:tc>
      </w:tr>
      <w:tr w:rsidR="00615190" w:rsidRPr="00247C82" w14:paraId="00031FAD" w14:textId="77777777" w:rsidTr="00011A5E">
        <w:trPr>
          <w:trHeight w:val="60"/>
        </w:trPr>
        <w:tc>
          <w:tcPr>
            <w:tcW w:w="397" w:type="dxa"/>
            <w:shd w:val="clear" w:color="auto" w:fill="auto"/>
            <w:tcMar>
              <w:top w:w="113" w:type="dxa"/>
              <w:left w:w="0" w:type="dxa"/>
              <w:bottom w:w="113" w:type="dxa"/>
              <w:right w:w="0" w:type="dxa"/>
            </w:tcMar>
            <w:vAlign w:val="bottom"/>
          </w:tcPr>
          <w:p w14:paraId="2A7CE09E" w14:textId="77777777" w:rsidR="00247C82" w:rsidRPr="00247C82" w:rsidRDefault="00247C82" w:rsidP="00615190">
            <w:pPr>
              <w:spacing w:line="240" w:lineRule="atLeast"/>
              <w:rPr>
                <w:rFonts w:ascii="Tahoma" w:hAnsi="Tahoma"/>
                <w:color w:val="000000" w:themeColor="text1"/>
                <w:sz w:val="16"/>
                <w:lang w:val="en-GB"/>
              </w:rPr>
            </w:pPr>
          </w:p>
        </w:tc>
        <w:tc>
          <w:tcPr>
            <w:tcW w:w="6407" w:type="dxa"/>
            <w:tcBorders>
              <w:bottom w:val="single" w:sz="12" w:space="0" w:color="auto"/>
            </w:tcBorders>
            <w:shd w:val="clear" w:color="auto" w:fill="auto"/>
            <w:tcMar>
              <w:top w:w="113" w:type="dxa"/>
              <w:left w:w="0" w:type="dxa"/>
              <w:bottom w:w="113" w:type="dxa"/>
              <w:right w:w="0" w:type="dxa"/>
            </w:tcMar>
            <w:vAlign w:val="bottom"/>
          </w:tcPr>
          <w:p w14:paraId="13C1D53D" w14:textId="77777777" w:rsidR="00247C82" w:rsidRPr="00247C82" w:rsidRDefault="00247C82" w:rsidP="00615190">
            <w:pPr>
              <w:spacing w:line="240" w:lineRule="atLeast"/>
              <w:rPr>
                <w:rFonts w:ascii="Tahoma" w:hAnsi="Tahoma"/>
                <w:color w:val="000000" w:themeColor="text1"/>
                <w:sz w:val="16"/>
                <w:lang w:val="en-GB"/>
              </w:rPr>
            </w:pPr>
          </w:p>
        </w:tc>
        <w:tc>
          <w:tcPr>
            <w:tcW w:w="1134" w:type="dxa"/>
            <w:tcBorders>
              <w:bottom w:val="single" w:sz="12" w:space="0" w:color="auto"/>
            </w:tcBorders>
            <w:shd w:val="clear" w:color="auto" w:fill="auto"/>
            <w:tcMar>
              <w:top w:w="113" w:type="dxa"/>
              <w:left w:w="0" w:type="dxa"/>
              <w:bottom w:w="113" w:type="dxa"/>
              <w:right w:w="0" w:type="dxa"/>
            </w:tcMar>
            <w:vAlign w:val="bottom"/>
          </w:tcPr>
          <w:p w14:paraId="0E1E47ED" w14:textId="77777777" w:rsidR="00247C82" w:rsidRPr="00247C82" w:rsidRDefault="00247C82" w:rsidP="00E47834">
            <w:pPr>
              <w:spacing w:line="240" w:lineRule="atLeast"/>
              <w:jc w:val="right"/>
              <w:rPr>
                <w:rFonts w:ascii="Tahoma" w:hAnsi="Tahoma"/>
                <w:b/>
                <w:bCs/>
                <w:color w:val="000000" w:themeColor="text1"/>
                <w:sz w:val="16"/>
                <w:lang w:val="en-GB"/>
              </w:rPr>
            </w:pPr>
            <w:r w:rsidRPr="00247C82">
              <w:rPr>
                <w:rFonts w:ascii="Tahoma" w:hAnsi="Tahoma"/>
                <w:b/>
                <w:bCs/>
                <w:color w:val="000000" w:themeColor="text1"/>
                <w:sz w:val="16"/>
                <w:lang w:val="en-GB"/>
              </w:rPr>
              <w:t>2022</w:t>
            </w:r>
          </w:p>
          <w:p w14:paraId="3AB9FC81" w14:textId="77777777" w:rsidR="00247C82" w:rsidRPr="00247C82" w:rsidRDefault="00247C82" w:rsidP="00E47834">
            <w:pPr>
              <w:spacing w:line="240" w:lineRule="atLeast"/>
              <w:jc w:val="right"/>
              <w:rPr>
                <w:rFonts w:ascii="Tahoma" w:hAnsi="Tahoma"/>
                <w:b/>
                <w:bCs/>
                <w:color w:val="000000" w:themeColor="text1"/>
                <w:sz w:val="16"/>
                <w:lang w:val="en-GB"/>
              </w:rPr>
            </w:pPr>
            <w:proofErr w:type="spellStart"/>
            <w:r w:rsidRPr="00247C82">
              <w:rPr>
                <w:rFonts w:ascii="Tahoma" w:hAnsi="Tahoma"/>
                <w:b/>
                <w:bCs/>
                <w:color w:val="000000" w:themeColor="text1"/>
                <w:sz w:val="16"/>
                <w:lang w:val="en-GB"/>
              </w:rPr>
              <w:t>US$’m</w:t>
            </w:r>
            <w:proofErr w:type="spellEnd"/>
          </w:p>
        </w:tc>
        <w:tc>
          <w:tcPr>
            <w:tcW w:w="1134" w:type="dxa"/>
            <w:tcBorders>
              <w:bottom w:val="single" w:sz="12" w:space="0" w:color="auto"/>
            </w:tcBorders>
            <w:shd w:val="clear" w:color="auto" w:fill="auto"/>
            <w:tcMar>
              <w:top w:w="113" w:type="dxa"/>
              <w:left w:w="0" w:type="dxa"/>
              <w:bottom w:w="113" w:type="dxa"/>
              <w:right w:w="0" w:type="dxa"/>
            </w:tcMar>
            <w:vAlign w:val="bottom"/>
          </w:tcPr>
          <w:p w14:paraId="0C18BD8E" w14:textId="77777777" w:rsidR="00247C82" w:rsidRPr="00247C82" w:rsidRDefault="00247C82" w:rsidP="00E47834">
            <w:pPr>
              <w:spacing w:line="240" w:lineRule="atLeast"/>
              <w:jc w:val="right"/>
              <w:rPr>
                <w:rFonts w:ascii="Tahoma" w:hAnsi="Tahoma"/>
                <w:color w:val="000000" w:themeColor="text1"/>
                <w:sz w:val="16"/>
                <w:lang w:val="en-GB"/>
              </w:rPr>
            </w:pPr>
            <w:r w:rsidRPr="00247C82">
              <w:rPr>
                <w:rFonts w:ascii="Tahoma" w:hAnsi="Tahoma"/>
                <w:color w:val="000000" w:themeColor="text1"/>
                <w:sz w:val="16"/>
                <w:lang w:val="en-GB"/>
              </w:rPr>
              <w:t>2021</w:t>
            </w:r>
          </w:p>
          <w:p w14:paraId="2C2C9826" w14:textId="77777777" w:rsidR="00247C82" w:rsidRPr="00247C82" w:rsidRDefault="00247C82" w:rsidP="00E47834">
            <w:pPr>
              <w:spacing w:line="240" w:lineRule="atLeast"/>
              <w:jc w:val="right"/>
              <w:rPr>
                <w:rFonts w:ascii="Tahoma" w:hAnsi="Tahoma"/>
                <w:color w:val="000000" w:themeColor="text1"/>
                <w:sz w:val="16"/>
                <w:lang w:val="en-GB"/>
              </w:rPr>
            </w:pPr>
            <w:proofErr w:type="spellStart"/>
            <w:r w:rsidRPr="00247C82">
              <w:rPr>
                <w:rFonts w:ascii="Tahoma" w:hAnsi="Tahoma"/>
                <w:color w:val="000000" w:themeColor="text1"/>
                <w:sz w:val="16"/>
                <w:lang w:val="en-GB"/>
              </w:rPr>
              <w:t>US$’m</w:t>
            </w:r>
            <w:proofErr w:type="spellEnd"/>
          </w:p>
        </w:tc>
        <w:tc>
          <w:tcPr>
            <w:tcW w:w="1134" w:type="dxa"/>
            <w:tcBorders>
              <w:bottom w:val="single" w:sz="12" w:space="0" w:color="auto"/>
            </w:tcBorders>
            <w:shd w:val="clear" w:color="auto" w:fill="auto"/>
            <w:tcMar>
              <w:top w:w="113" w:type="dxa"/>
              <w:left w:w="0" w:type="dxa"/>
              <w:bottom w:w="113" w:type="dxa"/>
              <w:right w:w="0" w:type="dxa"/>
            </w:tcMar>
            <w:vAlign w:val="bottom"/>
          </w:tcPr>
          <w:p w14:paraId="45D5C00C" w14:textId="77777777" w:rsidR="00247C82" w:rsidRPr="00247C82" w:rsidRDefault="00247C82" w:rsidP="00E47834">
            <w:pPr>
              <w:spacing w:line="240" w:lineRule="atLeast"/>
              <w:jc w:val="right"/>
              <w:rPr>
                <w:rFonts w:ascii="Tahoma" w:hAnsi="Tahoma"/>
                <w:color w:val="000000" w:themeColor="text1"/>
                <w:sz w:val="16"/>
                <w:lang w:val="en-GB"/>
              </w:rPr>
            </w:pPr>
            <w:r w:rsidRPr="00247C82">
              <w:rPr>
                <w:rFonts w:ascii="Tahoma" w:hAnsi="Tahoma"/>
                <w:color w:val="000000" w:themeColor="text1"/>
                <w:sz w:val="16"/>
                <w:lang w:val="en-GB"/>
              </w:rPr>
              <w:t>2022</w:t>
            </w:r>
          </w:p>
          <w:p w14:paraId="343568D2" w14:textId="77777777" w:rsidR="00247C82" w:rsidRPr="00247C82" w:rsidRDefault="00247C82" w:rsidP="00E47834">
            <w:pPr>
              <w:spacing w:line="240" w:lineRule="atLeast"/>
              <w:jc w:val="right"/>
              <w:rPr>
                <w:rFonts w:ascii="Tahoma" w:hAnsi="Tahoma"/>
                <w:color w:val="000000" w:themeColor="text1"/>
                <w:sz w:val="16"/>
                <w:lang w:val="en-GB"/>
              </w:rPr>
            </w:pPr>
            <w:proofErr w:type="spellStart"/>
            <w:r w:rsidRPr="00247C82">
              <w:rPr>
                <w:rFonts w:ascii="Tahoma" w:hAnsi="Tahoma"/>
                <w:color w:val="000000" w:themeColor="text1"/>
                <w:sz w:val="16"/>
                <w:lang w:val="en-GB"/>
              </w:rPr>
              <w:t>US$’m</w:t>
            </w:r>
            <w:proofErr w:type="spellEnd"/>
          </w:p>
        </w:tc>
      </w:tr>
      <w:tr w:rsidR="00615190" w:rsidRPr="00247C82" w14:paraId="44FE4E60" w14:textId="77777777" w:rsidTr="00546FCB">
        <w:trPr>
          <w:trHeight w:val="60"/>
        </w:trPr>
        <w:tc>
          <w:tcPr>
            <w:tcW w:w="397" w:type="dxa"/>
            <w:shd w:val="clear" w:color="auto" w:fill="auto"/>
            <w:tcMar>
              <w:top w:w="142" w:type="dxa"/>
              <w:left w:w="0" w:type="dxa"/>
              <w:bottom w:w="40" w:type="dxa"/>
              <w:right w:w="0" w:type="dxa"/>
            </w:tcMar>
            <w:vAlign w:val="bottom"/>
          </w:tcPr>
          <w:p w14:paraId="12E2EC18" w14:textId="77777777" w:rsidR="00247C82" w:rsidRPr="00247C82" w:rsidRDefault="00247C82" w:rsidP="00615190">
            <w:pPr>
              <w:spacing w:line="240" w:lineRule="atLeast"/>
              <w:rPr>
                <w:rFonts w:ascii="Tahoma" w:hAnsi="Tahoma"/>
                <w:color w:val="000000" w:themeColor="text1"/>
                <w:sz w:val="16"/>
                <w:lang w:val="en-GB"/>
              </w:rPr>
            </w:pPr>
          </w:p>
        </w:tc>
        <w:tc>
          <w:tcPr>
            <w:tcW w:w="6407" w:type="dxa"/>
            <w:tcBorders>
              <w:top w:val="single" w:sz="12" w:space="0" w:color="auto"/>
            </w:tcBorders>
            <w:shd w:val="clear" w:color="auto" w:fill="auto"/>
            <w:tcMar>
              <w:top w:w="142" w:type="dxa"/>
              <w:left w:w="0" w:type="dxa"/>
              <w:bottom w:w="40" w:type="dxa"/>
              <w:right w:w="0" w:type="dxa"/>
            </w:tcMar>
            <w:vAlign w:val="bottom"/>
          </w:tcPr>
          <w:p w14:paraId="268809B2" w14:textId="77777777" w:rsidR="00247C82" w:rsidRPr="00247C82" w:rsidRDefault="00247C82" w:rsidP="00615190">
            <w:pPr>
              <w:spacing w:line="240" w:lineRule="atLeast"/>
              <w:rPr>
                <w:rFonts w:ascii="Tahoma" w:hAnsi="Tahoma"/>
                <w:color w:val="000000" w:themeColor="text1"/>
                <w:sz w:val="16"/>
                <w:lang w:val="en-GB"/>
              </w:rPr>
            </w:pPr>
            <w:r w:rsidRPr="00247C82">
              <w:rPr>
                <w:rFonts w:ascii="Tahoma" w:hAnsi="Tahoma"/>
                <w:color w:val="000000" w:themeColor="text1"/>
                <w:sz w:val="16"/>
                <w:lang w:val="en-GB"/>
              </w:rPr>
              <w:t>Revenue from contracts with customers</w:t>
            </w:r>
            <w:r w:rsidRPr="00247C82">
              <w:rPr>
                <w:rFonts w:ascii="Tahoma" w:hAnsi="Tahoma"/>
                <w:color w:val="000000" w:themeColor="text1"/>
                <w:sz w:val="16"/>
                <w:vertAlign w:val="superscript"/>
                <w:lang w:val="en-GB"/>
              </w:rPr>
              <w:t>1</w:t>
            </w:r>
          </w:p>
        </w:tc>
        <w:tc>
          <w:tcPr>
            <w:tcW w:w="1134" w:type="dxa"/>
            <w:tcBorders>
              <w:top w:val="single" w:sz="12" w:space="0" w:color="auto"/>
            </w:tcBorders>
            <w:shd w:val="clear" w:color="auto" w:fill="auto"/>
            <w:tcMar>
              <w:top w:w="142" w:type="dxa"/>
              <w:left w:w="0" w:type="dxa"/>
              <w:bottom w:w="40" w:type="dxa"/>
              <w:right w:w="0" w:type="dxa"/>
            </w:tcMar>
            <w:vAlign w:val="bottom"/>
          </w:tcPr>
          <w:p w14:paraId="4BE8C313" w14:textId="77777777" w:rsidR="00247C82" w:rsidRPr="00247C82" w:rsidRDefault="00247C82" w:rsidP="00E47834">
            <w:pPr>
              <w:spacing w:line="240" w:lineRule="atLeast"/>
              <w:jc w:val="right"/>
              <w:rPr>
                <w:rFonts w:ascii="Tahoma" w:hAnsi="Tahoma"/>
                <w:b/>
                <w:bCs/>
                <w:color w:val="000000" w:themeColor="text1"/>
                <w:sz w:val="16"/>
                <w:lang w:val="en-GB"/>
              </w:rPr>
            </w:pPr>
            <w:r w:rsidRPr="00247C82">
              <w:rPr>
                <w:rFonts w:ascii="Tahoma" w:hAnsi="Tahoma"/>
                <w:b/>
                <w:bCs/>
                <w:color w:val="000000" w:themeColor="text1"/>
                <w:sz w:val="16"/>
                <w:lang w:val="en-GB"/>
              </w:rPr>
              <w:t>540</w:t>
            </w:r>
          </w:p>
        </w:tc>
        <w:tc>
          <w:tcPr>
            <w:tcW w:w="1134" w:type="dxa"/>
            <w:tcBorders>
              <w:top w:val="single" w:sz="12" w:space="0" w:color="auto"/>
            </w:tcBorders>
            <w:shd w:val="clear" w:color="auto" w:fill="auto"/>
            <w:tcMar>
              <w:top w:w="142" w:type="dxa"/>
              <w:left w:w="0" w:type="dxa"/>
              <w:bottom w:w="40" w:type="dxa"/>
              <w:right w:w="0" w:type="dxa"/>
            </w:tcMar>
            <w:vAlign w:val="bottom"/>
          </w:tcPr>
          <w:p w14:paraId="3B908416" w14:textId="77777777" w:rsidR="00247C82" w:rsidRPr="00247C82" w:rsidRDefault="00247C82" w:rsidP="00E47834">
            <w:pPr>
              <w:spacing w:line="240" w:lineRule="atLeast"/>
              <w:jc w:val="right"/>
              <w:rPr>
                <w:rFonts w:ascii="Tahoma" w:hAnsi="Tahoma"/>
                <w:color w:val="000000" w:themeColor="text1"/>
                <w:sz w:val="16"/>
                <w:lang w:val="en-GB"/>
              </w:rPr>
            </w:pPr>
            <w:r w:rsidRPr="00247C82">
              <w:rPr>
                <w:rFonts w:ascii="Tahoma" w:hAnsi="Tahoma"/>
                <w:color w:val="000000" w:themeColor="text1"/>
                <w:sz w:val="16"/>
                <w:lang w:val="en-GB"/>
              </w:rPr>
              <w:t>312</w:t>
            </w:r>
          </w:p>
        </w:tc>
        <w:tc>
          <w:tcPr>
            <w:tcW w:w="1134" w:type="dxa"/>
            <w:tcBorders>
              <w:top w:val="single" w:sz="12" w:space="0" w:color="auto"/>
            </w:tcBorders>
            <w:shd w:val="clear" w:color="auto" w:fill="auto"/>
            <w:tcMar>
              <w:top w:w="142" w:type="dxa"/>
              <w:left w:w="0" w:type="dxa"/>
              <w:bottom w:w="40" w:type="dxa"/>
              <w:right w:w="0" w:type="dxa"/>
            </w:tcMar>
            <w:vAlign w:val="bottom"/>
          </w:tcPr>
          <w:p w14:paraId="3228096C" w14:textId="77777777" w:rsidR="00247C82" w:rsidRPr="00247C82" w:rsidRDefault="00247C82" w:rsidP="00E47834">
            <w:pPr>
              <w:spacing w:line="240" w:lineRule="atLeast"/>
              <w:jc w:val="right"/>
              <w:rPr>
                <w:rFonts w:ascii="Tahoma" w:hAnsi="Tahoma"/>
                <w:color w:val="000000" w:themeColor="text1"/>
                <w:sz w:val="16"/>
                <w:lang w:val="en-GB"/>
              </w:rPr>
            </w:pPr>
            <w:r w:rsidRPr="00247C82">
              <w:rPr>
                <w:rFonts w:ascii="Tahoma" w:hAnsi="Tahoma"/>
                <w:color w:val="000000" w:themeColor="text1"/>
                <w:sz w:val="16"/>
                <w:lang w:val="en-GB"/>
              </w:rPr>
              <w:t>629</w:t>
            </w:r>
          </w:p>
        </w:tc>
      </w:tr>
      <w:tr w:rsidR="00615190" w:rsidRPr="00247C82" w14:paraId="2B966900" w14:textId="77777777" w:rsidTr="00546FCB">
        <w:trPr>
          <w:trHeight w:val="60"/>
        </w:trPr>
        <w:tc>
          <w:tcPr>
            <w:tcW w:w="397" w:type="dxa"/>
            <w:shd w:val="clear" w:color="auto" w:fill="auto"/>
            <w:tcMar>
              <w:top w:w="40" w:type="dxa"/>
              <w:left w:w="0" w:type="dxa"/>
              <w:bottom w:w="68" w:type="dxa"/>
              <w:right w:w="0" w:type="dxa"/>
            </w:tcMar>
            <w:vAlign w:val="bottom"/>
          </w:tcPr>
          <w:p w14:paraId="6B11800E" w14:textId="77777777" w:rsidR="00247C82" w:rsidRPr="00247C82" w:rsidRDefault="00247C82" w:rsidP="00615190">
            <w:pPr>
              <w:spacing w:line="240" w:lineRule="atLeast"/>
              <w:rPr>
                <w:rFonts w:ascii="Tahoma" w:hAnsi="Tahoma"/>
                <w:color w:val="000000" w:themeColor="text1"/>
                <w:sz w:val="16"/>
                <w:lang w:val="en-GB"/>
              </w:rPr>
            </w:pPr>
          </w:p>
        </w:tc>
        <w:tc>
          <w:tcPr>
            <w:tcW w:w="6407" w:type="dxa"/>
            <w:tcBorders>
              <w:bottom w:val="single" w:sz="4" w:space="0" w:color="auto"/>
            </w:tcBorders>
            <w:shd w:val="clear" w:color="auto" w:fill="auto"/>
            <w:tcMar>
              <w:top w:w="40" w:type="dxa"/>
              <w:left w:w="0" w:type="dxa"/>
              <w:bottom w:w="68" w:type="dxa"/>
              <w:right w:w="0" w:type="dxa"/>
            </w:tcMar>
            <w:vAlign w:val="bottom"/>
          </w:tcPr>
          <w:p w14:paraId="196A885B" w14:textId="77777777" w:rsidR="00247C82" w:rsidRPr="00247C82" w:rsidRDefault="00247C82" w:rsidP="00615190">
            <w:pPr>
              <w:spacing w:line="240" w:lineRule="atLeast"/>
              <w:rPr>
                <w:rFonts w:ascii="Tahoma" w:hAnsi="Tahoma"/>
                <w:color w:val="000000" w:themeColor="text1"/>
                <w:sz w:val="16"/>
                <w:lang w:val="en-GB"/>
              </w:rPr>
            </w:pPr>
            <w:r w:rsidRPr="00247C82">
              <w:rPr>
                <w:rFonts w:ascii="Tahoma" w:hAnsi="Tahoma"/>
                <w:color w:val="000000" w:themeColor="text1"/>
                <w:sz w:val="16"/>
                <w:lang w:val="en-GB"/>
              </w:rPr>
              <w:t>Expenses</w:t>
            </w:r>
          </w:p>
        </w:tc>
        <w:tc>
          <w:tcPr>
            <w:tcW w:w="1134" w:type="dxa"/>
            <w:tcBorders>
              <w:bottom w:val="single" w:sz="4" w:space="0" w:color="auto"/>
            </w:tcBorders>
            <w:shd w:val="clear" w:color="auto" w:fill="auto"/>
            <w:tcMar>
              <w:top w:w="40" w:type="dxa"/>
              <w:left w:w="0" w:type="dxa"/>
              <w:bottom w:w="68" w:type="dxa"/>
              <w:right w:w="0" w:type="dxa"/>
            </w:tcMar>
            <w:vAlign w:val="bottom"/>
          </w:tcPr>
          <w:p w14:paraId="26FDDADC" w14:textId="77777777" w:rsidR="00247C82" w:rsidRPr="00247C82" w:rsidRDefault="00247C82" w:rsidP="00E47834">
            <w:pPr>
              <w:spacing w:line="240" w:lineRule="atLeast"/>
              <w:jc w:val="right"/>
              <w:rPr>
                <w:rFonts w:ascii="Tahoma" w:hAnsi="Tahoma"/>
                <w:b/>
                <w:bCs/>
                <w:color w:val="000000" w:themeColor="text1"/>
                <w:sz w:val="16"/>
                <w:lang w:val="en-GB"/>
              </w:rPr>
            </w:pPr>
            <w:r w:rsidRPr="00247C82">
              <w:rPr>
                <w:rFonts w:ascii="Tahoma" w:hAnsi="Tahoma"/>
                <w:b/>
                <w:bCs/>
                <w:color w:val="000000" w:themeColor="text1"/>
                <w:sz w:val="16"/>
                <w:lang w:val="en-GB"/>
              </w:rPr>
              <w:t>(313)</w:t>
            </w:r>
          </w:p>
        </w:tc>
        <w:tc>
          <w:tcPr>
            <w:tcW w:w="1134" w:type="dxa"/>
            <w:tcBorders>
              <w:bottom w:val="single" w:sz="4" w:space="0" w:color="auto"/>
            </w:tcBorders>
            <w:shd w:val="clear" w:color="auto" w:fill="auto"/>
            <w:tcMar>
              <w:top w:w="40" w:type="dxa"/>
              <w:left w:w="0" w:type="dxa"/>
              <w:bottom w:w="68" w:type="dxa"/>
              <w:right w:w="0" w:type="dxa"/>
            </w:tcMar>
            <w:vAlign w:val="bottom"/>
          </w:tcPr>
          <w:p w14:paraId="73C1EE8E" w14:textId="77777777" w:rsidR="00247C82" w:rsidRPr="00247C82" w:rsidRDefault="00247C82" w:rsidP="00E47834">
            <w:pPr>
              <w:spacing w:line="240" w:lineRule="atLeast"/>
              <w:jc w:val="right"/>
              <w:rPr>
                <w:rFonts w:ascii="Tahoma" w:hAnsi="Tahoma"/>
                <w:color w:val="000000" w:themeColor="text1"/>
                <w:sz w:val="16"/>
                <w:lang w:val="en-GB"/>
              </w:rPr>
            </w:pPr>
            <w:r w:rsidRPr="00247C82">
              <w:rPr>
                <w:rFonts w:ascii="Tahoma" w:hAnsi="Tahoma"/>
                <w:color w:val="000000" w:themeColor="text1"/>
                <w:sz w:val="16"/>
                <w:lang w:val="en-GB"/>
              </w:rPr>
              <w:t>(189)</w:t>
            </w:r>
          </w:p>
        </w:tc>
        <w:tc>
          <w:tcPr>
            <w:tcW w:w="1134" w:type="dxa"/>
            <w:tcBorders>
              <w:bottom w:val="single" w:sz="4" w:space="0" w:color="auto"/>
            </w:tcBorders>
            <w:shd w:val="clear" w:color="auto" w:fill="auto"/>
            <w:tcMar>
              <w:top w:w="40" w:type="dxa"/>
              <w:left w:w="0" w:type="dxa"/>
              <w:bottom w:w="68" w:type="dxa"/>
              <w:right w:w="0" w:type="dxa"/>
            </w:tcMar>
            <w:vAlign w:val="bottom"/>
          </w:tcPr>
          <w:p w14:paraId="71E9A61C" w14:textId="77777777" w:rsidR="00247C82" w:rsidRPr="00247C82" w:rsidRDefault="00247C82" w:rsidP="00E47834">
            <w:pPr>
              <w:spacing w:line="240" w:lineRule="atLeast"/>
              <w:jc w:val="right"/>
              <w:rPr>
                <w:rFonts w:ascii="Tahoma" w:hAnsi="Tahoma"/>
                <w:color w:val="000000" w:themeColor="text1"/>
                <w:sz w:val="16"/>
                <w:lang w:val="en-GB"/>
              </w:rPr>
            </w:pPr>
            <w:r w:rsidRPr="00247C82">
              <w:rPr>
                <w:rFonts w:ascii="Tahoma" w:hAnsi="Tahoma"/>
                <w:color w:val="000000" w:themeColor="text1"/>
                <w:sz w:val="16"/>
                <w:lang w:val="en-GB"/>
              </w:rPr>
              <w:t>(434)</w:t>
            </w:r>
          </w:p>
        </w:tc>
      </w:tr>
      <w:tr w:rsidR="00615190" w:rsidRPr="00247C82" w14:paraId="1D18EE2D" w14:textId="77777777" w:rsidTr="002F6DD3">
        <w:trPr>
          <w:trHeight w:val="60"/>
        </w:trPr>
        <w:tc>
          <w:tcPr>
            <w:tcW w:w="397" w:type="dxa"/>
            <w:shd w:val="clear" w:color="auto" w:fill="auto"/>
            <w:tcMar>
              <w:top w:w="68" w:type="dxa"/>
              <w:left w:w="0" w:type="dxa"/>
              <w:bottom w:w="40" w:type="dxa"/>
              <w:right w:w="0" w:type="dxa"/>
            </w:tcMar>
            <w:vAlign w:val="bottom"/>
          </w:tcPr>
          <w:p w14:paraId="4446DCF9" w14:textId="77777777" w:rsidR="00247C82" w:rsidRPr="00247C82" w:rsidRDefault="00247C82" w:rsidP="00615190">
            <w:pPr>
              <w:spacing w:line="240" w:lineRule="atLeast"/>
              <w:rPr>
                <w:rFonts w:ascii="Tahoma" w:hAnsi="Tahoma"/>
                <w:color w:val="000000" w:themeColor="text1"/>
                <w:sz w:val="16"/>
                <w:lang w:val="en-GB"/>
              </w:rPr>
            </w:pPr>
          </w:p>
        </w:tc>
        <w:tc>
          <w:tcPr>
            <w:tcW w:w="6407" w:type="dxa"/>
            <w:tcBorders>
              <w:top w:val="single" w:sz="4" w:space="0" w:color="auto"/>
            </w:tcBorders>
            <w:shd w:val="clear" w:color="auto" w:fill="auto"/>
            <w:tcMar>
              <w:top w:w="68" w:type="dxa"/>
              <w:left w:w="0" w:type="dxa"/>
              <w:bottom w:w="40" w:type="dxa"/>
              <w:right w:w="0" w:type="dxa"/>
            </w:tcMar>
            <w:vAlign w:val="bottom"/>
          </w:tcPr>
          <w:p w14:paraId="6D980A3B" w14:textId="77777777" w:rsidR="00247C82" w:rsidRPr="00247C82" w:rsidRDefault="00247C82" w:rsidP="00615190">
            <w:pPr>
              <w:spacing w:line="240" w:lineRule="atLeast"/>
              <w:rPr>
                <w:rFonts w:ascii="Tahoma" w:hAnsi="Tahoma"/>
                <w:b/>
                <w:bCs/>
                <w:color w:val="000000" w:themeColor="text1"/>
                <w:sz w:val="16"/>
                <w:lang w:val="en-GB"/>
              </w:rPr>
            </w:pPr>
            <w:r w:rsidRPr="00247C82">
              <w:rPr>
                <w:rFonts w:ascii="Tahoma" w:hAnsi="Tahoma"/>
                <w:b/>
                <w:bCs/>
                <w:color w:val="000000" w:themeColor="text1"/>
                <w:sz w:val="16"/>
                <w:lang w:val="en-GB"/>
              </w:rPr>
              <w:t>Profit before tax</w:t>
            </w:r>
          </w:p>
        </w:tc>
        <w:tc>
          <w:tcPr>
            <w:tcW w:w="1134" w:type="dxa"/>
            <w:tcBorders>
              <w:top w:val="single" w:sz="4" w:space="0" w:color="auto"/>
            </w:tcBorders>
            <w:shd w:val="clear" w:color="auto" w:fill="auto"/>
            <w:tcMar>
              <w:top w:w="68" w:type="dxa"/>
              <w:left w:w="0" w:type="dxa"/>
              <w:bottom w:w="40" w:type="dxa"/>
              <w:right w:w="0" w:type="dxa"/>
            </w:tcMar>
            <w:vAlign w:val="bottom"/>
          </w:tcPr>
          <w:p w14:paraId="7CCD6819" w14:textId="77777777" w:rsidR="00247C82" w:rsidRPr="00247C82" w:rsidRDefault="00247C82" w:rsidP="00E47834">
            <w:pPr>
              <w:spacing w:line="240" w:lineRule="atLeast"/>
              <w:jc w:val="right"/>
              <w:rPr>
                <w:rFonts w:ascii="Tahoma" w:hAnsi="Tahoma"/>
                <w:b/>
                <w:bCs/>
                <w:color w:val="000000" w:themeColor="text1"/>
                <w:sz w:val="16"/>
                <w:lang w:val="en-GB"/>
              </w:rPr>
            </w:pPr>
            <w:r w:rsidRPr="00247C82">
              <w:rPr>
                <w:rFonts w:ascii="Tahoma" w:hAnsi="Tahoma"/>
                <w:b/>
                <w:bCs/>
                <w:color w:val="000000" w:themeColor="text1"/>
                <w:sz w:val="16"/>
                <w:lang w:val="en-GB"/>
              </w:rPr>
              <w:t>227</w:t>
            </w:r>
          </w:p>
        </w:tc>
        <w:tc>
          <w:tcPr>
            <w:tcW w:w="1134" w:type="dxa"/>
            <w:tcBorders>
              <w:top w:val="single" w:sz="4" w:space="0" w:color="auto"/>
            </w:tcBorders>
            <w:shd w:val="clear" w:color="auto" w:fill="auto"/>
            <w:tcMar>
              <w:top w:w="68" w:type="dxa"/>
              <w:left w:w="0" w:type="dxa"/>
              <w:bottom w:w="40" w:type="dxa"/>
              <w:right w:w="0" w:type="dxa"/>
            </w:tcMar>
            <w:vAlign w:val="bottom"/>
          </w:tcPr>
          <w:p w14:paraId="6F1F9239" w14:textId="77777777" w:rsidR="00247C82" w:rsidRPr="00247C82" w:rsidRDefault="00247C82" w:rsidP="00E47834">
            <w:pPr>
              <w:spacing w:line="240" w:lineRule="atLeast"/>
              <w:jc w:val="right"/>
              <w:rPr>
                <w:rFonts w:ascii="Tahoma" w:hAnsi="Tahoma"/>
                <w:color w:val="000000" w:themeColor="text1"/>
                <w:sz w:val="16"/>
                <w:lang w:val="en-GB"/>
              </w:rPr>
            </w:pPr>
            <w:r w:rsidRPr="00247C82">
              <w:rPr>
                <w:rFonts w:ascii="Tahoma" w:hAnsi="Tahoma"/>
                <w:color w:val="000000" w:themeColor="text1"/>
                <w:sz w:val="16"/>
                <w:lang w:val="en-GB"/>
              </w:rPr>
              <w:t>123</w:t>
            </w:r>
          </w:p>
        </w:tc>
        <w:tc>
          <w:tcPr>
            <w:tcW w:w="1134" w:type="dxa"/>
            <w:tcBorders>
              <w:top w:val="single" w:sz="4" w:space="0" w:color="auto"/>
            </w:tcBorders>
            <w:shd w:val="clear" w:color="auto" w:fill="auto"/>
            <w:tcMar>
              <w:top w:w="68" w:type="dxa"/>
              <w:left w:w="0" w:type="dxa"/>
              <w:bottom w:w="40" w:type="dxa"/>
              <w:right w:w="0" w:type="dxa"/>
            </w:tcMar>
            <w:vAlign w:val="bottom"/>
          </w:tcPr>
          <w:p w14:paraId="29397A63" w14:textId="77777777" w:rsidR="00247C82" w:rsidRPr="00247C82" w:rsidRDefault="00247C82" w:rsidP="00E47834">
            <w:pPr>
              <w:spacing w:line="240" w:lineRule="atLeast"/>
              <w:jc w:val="right"/>
              <w:rPr>
                <w:rFonts w:ascii="Tahoma" w:hAnsi="Tahoma"/>
                <w:color w:val="000000" w:themeColor="text1"/>
                <w:sz w:val="16"/>
                <w:lang w:val="en-GB"/>
              </w:rPr>
            </w:pPr>
            <w:r w:rsidRPr="00247C82">
              <w:rPr>
                <w:rFonts w:ascii="Tahoma" w:hAnsi="Tahoma"/>
                <w:color w:val="000000" w:themeColor="text1"/>
                <w:sz w:val="16"/>
                <w:lang w:val="en-GB"/>
              </w:rPr>
              <w:t>195</w:t>
            </w:r>
          </w:p>
        </w:tc>
      </w:tr>
      <w:tr w:rsidR="00615190" w:rsidRPr="00247C82" w14:paraId="7584ECE4" w14:textId="77777777" w:rsidTr="007A164E">
        <w:trPr>
          <w:trHeight w:val="60"/>
        </w:trPr>
        <w:tc>
          <w:tcPr>
            <w:tcW w:w="397" w:type="dxa"/>
            <w:shd w:val="clear" w:color="auto" w:fill="auto"/>
            <w:tcMar>
              <w:top w:w="40" w:type="dxa"/>
              <w:left w:w="0" w:type="dxa"/>
              <w:bottom w:w="68" w:type="dxa"/>
              <w:right w:w="0" w:type="dxa"/>
            </w:tcMar>
            <w:vAlign w:val="bottom"/>
          </w:tcPr>
          <w:p w14:paraId="6075EF64" w14:textId="77777777" w:rsidR="00247C82" w:rsidRPr="00247C82" w:rsidRDefault="00247C82" w:rsidP="00615190">
            <w:pPr>
              <w:spacing w:line="240" w:lineRule="atLeast"/>
              <w:rPr>
                <w:rFonts w:ascii="Tahoma" w:hAnsi="Tahoma"/>
                <w:color w:val="000000" w:themeColor="text1"/>
                <w:sz w:val="16"/>
                <w:lang w:val="en-GB"/>
              </w:rPr>
            </w:pPr>
          </w:p>
        </w:tc>
        <w:tc>
          <w:tcPr>
            <w:tcW w:w="6407" w:type="dxa"/>
            <w:tcBorders>
              <w:bottom w:val="single" w:sz="4" w:space="0" w:color="auto"/>
            </w:tcBorders>
            <w:shd w:val="clear" w:color="auto" w:fill="auto"/>
            <w:tcMar>
              <w:top w:w="40" w:type="dxa"/>
              <w:left w:w="0" w:type="dxa"/>
              <w:bottom w:w="68" w:type="dxa"/>
              <w:right w:w="0" w:type="dxa"/>
            </w:tcMar>
            <w:vAlign w:val="bottom"/>
          </w:tcPr>
          <w:p w14:paraId="276DAE44" w14:textId="77777777" w:rsidR="00247C82" w:rsidRPr="00247C82" w:rsidRDefault="00247C82" w:rsidP="00615190">
            <w:pPr>
              <w:spacing w:line="240" w:lineRule="atLeast"/>
              <w:rPr>
                <w:rFonts w:ascii="Tahoma" w:hAnsi="Tahoma"/>
                <w:color w:val="000000" w:themeColor="text1"/>
                <w:sz w:val="16"/>
                <w:lang w:val="en-GB"/>
              </w:rPr>
            </w:pPr>
            <w:r w:rsidRPr="00247C82">
              <w:rPr>
                <w:rFonts w:ascii="Tahoma" w:hAnsi="Tahoma"/>
                <w:color w:val="000000" w:themeColor="text1"/>
                <w:sz w:val="16"/>
                <w:lang w:val="en-GB"/>
              </w:rPr>
              <w:t>Taxation</w:t>
            </w:r>
          </w:p>
        </w:tc>
        <w:tc>
          <w:tcPr>
            <w:tcW w:w="1134" w:type="dxa"/>
            <w:tcBorders>
              <w:bottom w:val="single" w:sz="4" w:space="0" w:color="auto"/>
            </w:tcBorders>
            <w:shd w:val="clear" w:color="auto" w:fill="auto"/>
            <w:tcMar>
              <w:top w:w="40" w:type="dxa"/>
              <w:left w:w="0" w:type="dxa"/>
              <w:bottom w:w="68" w:type="dxa"/>
              <w:right w:w="0" w:type="dxa"/>
            </w:tcMar>
            <w:vAlign w:val="bottom"/>
          </w:tcPr>
          <w:p w14:paraId="35C31F80" w14:textId="77777777" w:rsidR="00247C82" w:rsidRPr="00247C82" w:rsidRDefault="00247C82" w:rsidP="00E47834">
            <w:pPr>
              <w:spacing w:line="240" w:lineRule="atLeast"/>
              <w:jc w:val="right"/>
              <w:rPr>
                <w:rFonts w:ascii="Tahoma" w:hAnsi="Tahoma"/>
                <w:b/>
                <w:bCs/>
                <w:color w:val="000000" w:themeColor="text1"/>
                <w:sz w:val="16"/>
                <w:lang w:val="en-GB"/>
              </w:rPr>
            </w:pPr>
            <w:r w:rsidRPr="00247C82">
              <w:rPr>
                <w:rFonts w:ascii="Tahoma" w:hAnsi="Tahoma"/>
                <w:b/>
                <w:bCs/>
                <w:color w:val="000000" w:themeColor="text1"/>
                <w:sz w:val="16"/>
                <w:lang w:val="en-GB"/>
              </w:rPr>
              <w:t>(39)</w:t>
            </w:r>
          </w:p>
        </w:tc>
        <w:tc>
          <w:tcPr>
            <w:tcW w:w="1134" w:type="dxa"/>
            <w:tcBorders>
              <w:bottom w:val="single" w:sz="4" w:space="0" w:color="auto"/>
            </w:tcBorders>
            <w:shd w:val="clear" w:color="auto" w:fill="auto"/>
            <w:tcMar>
              <w:top w:w="40" w:type="dxa"/>
              <w:left w:w="0" w:type="dxa"/>
              <w:bottom w:w="68" w:type="dxa"/>
              <w:right w:w="0" w:type="dxa"/>
            </w:tcMar>
            <w:vAlign w:val="bottom"/>
          </w:tcPr>
          <w:p w14:paraId="199C3F34" w14:textId="77777777" w:rsidR="00247C82" w:rsidRPr="00247C82" w:rsidRDefault="00247C82" w:rsidP="00E47834">
            <w:pPr>
              <w:spacing w:line="240" w:lineRule="atLeast"/>
              <w:jc w:val="right"/>
              <w:rPr>
                <w:rFonts w:ascii="Tahoma" w:hAnsi="Tahoma"/>
                <w:color w:val="000000" w:themeColor="text1"/>
                <w:sz w:val="16"/>
                <w:lang w:val="en-GB"/>
              </w:rPr>
            </w:pPr>
            <w:r w:rsidRPr="00247C82">
              <w:rPr>
                <w:rFonts w:ascii="Tahoma" w:hAnsi="Tahoma"/>
                <w:color w:val="000000" w:themeColor="text1"/>
                <w:sz w:val="16"/>
                <w:lang w:val="en-GB"/>
              </w:rPr>
              <w:t>(30)</w:t>
            </w:r>
          </w:p>
        </w:tc>
        <w:tc>
          <w:tcPr>
            <w:tcW w:w="1134" w:type="dxa"/>
            <w:tcBorders>
              <w:bottom w:val="single" w:sz="4" w:space="0" w:color="auto"/>
            </w:tcBorders>
            <w:shd w:val="clear" w:color="auto" w:fill="auto"/>
            <w:tcMar>
              <w:top w:w="40" w:type="dxa"/>
              <w:left w:w="0" w:type="dxa"/>
              <w:bottom w:w="68" w:type="dxa"/>
              <w:right w:w="0" w:type="dxa"/>
            </w:tcMar>
            <w:vAlign w:val="bottom"/>
          </w:tcPr>
          <w:p w14:paraId="1A316F3B" w14:textId="77777777" w:rsidR="00247C82" w:rsidRPr="00247C82" w:rsidRDefault="00247C82" w:rsidP="00E47834">
            <w:pPr>
              <w:spacing w:line="240" w:lineRule="atLeast"/>
              <w:jc w:val="right"/>
              <w:rPr>
                <w:rFonts w:ascii="Tahoma" w:hAnsi="Tahoma"/>
                <w:color w:val="000000" w:themeColor="text1"/>
                <w:sz w:val="16"/>
                <w:lang w:val="en-GB"/>
              </w:rPr>
            </w:pPr>
            <w:r w:rsidRPr="00247C82">
              <w:rPr>
                <w:rFonts w:ascii="Tahoma" w:hAnsi="Tahoma"/>
                <w:color w:val="000000" w:themeColor="text1"/>
                <w:sz w:val="16"/>
                <w:lang w:val="en-GB"/>
              </w:rPr>
              <w:t>(42)</w:t>
            </w:r>
          </w:p>
        </w:tc>
      </w:tr>
      <w:tr w:rsidR="00615190" w:rsidRPr="00247C82" w14:paraId="222BA56A" w14:textId="77777777" w:rsidTr="007A164E">
        <w:trPr>
          <w:trHeight w:val="60"/>
        </w:trPr>
        <w:tc>
          <w:tcPr>
            <w:tcW w:w="397" w:type="dxa"/>
            <w:shd w:val="clear" w:color="auto" w:fill="auto"/>
            <w:tcMar>
              <w:top w:w="68" w:type="dxa"/>
              <w:left w:w="0" w:type="dxa"/>
              <w:bottom w:w="68" w:type="dxa"/>
              <w:right w:w="0" w:type="dxa"/>
            </w:tcMar>
            <w:vAlign w:val="bottom"/>
          </w:tcPr>
          <w:p w14:paraId="0780EB74" w14:textId="77777777" w:rsidR="00247C82" w:rsidRPr="00247C82" w:rsidRDefault="00247C82" w:rsidP="00615190">
            <w:pPr>
              <w:spacing w:line="240" w:lineRule="atLeast"/>
              <w:rPr>
                <w:rFonts w:ascii="Tahoma" w:hAnsi="Tahoma"/>
                <w:color w:val="000000" w:themeColor="text1"/>
                <w:sz w:val="16"/>
                <w:lang w:val="en-GB"/>
              </w:rPr>
            </w:pPr>
          </w:p>
        </w:tc>
        <w:tc>
          <w:tcPr>
            <w:tcW w:w="6407" w:type="dxa"/>
            <w:tcBorders>
              <w:top w:val="single" w:sz="4" w:space="0" w:color="auto"/>
              <w:bottom w:val="single" w:sz="4" w:space="0" w:color="auto"/>
            </w:tcBorders>
            <w:shd w:val="clear" w:color="auto" w:fill="auto"/>
            <w:tcMar>
              <w:top w:w="68" w:type="dxa"/>
              <w:left w:w="0" w:type="dxa"/>
              <w:bottom w:w="68" w:type="dxa"/>
              <w:right w:w="0" w:type="dxa"/>
            </w:tcMar>
            <w:vAlign w:val="bottom"/>
          </w:tcPr>
          <w:p w14:paraId="77D58818" w14:textId="77777777" w:rsidR="00247C82" w:rsidRPr="00247C82" w:rsidRDefault="00247C82" w:rsidP="00615190">
            <w:pPr>
              <w:spacing w:line="240" w:lineRule="atLeast"/>
              <w:rPr>
                <w:rFonts w:ascii="Tahoma" w:hAnsi="Tahoma"/>
                <w:b/>
                <w:bCs/>
                <w:color w:val="000000" w:themeColor="text1"/>
                <w:sz w:val="16"/>
                <w:lang w:val="en-GB"/>
              </w:rPr>
            </w:pPr>
            <w:r w:rsidRPr="00247C82">
              <w:rPr>
                <w:rFonts w:ascii="Tahoma" w:hAnsi="Tahoma"/>
                <w:b/>
                <w:bCs/>
                <w:color w:val="000000" w:themeColor="text1"/>
                <w:sz w:val="16"/>
                <w:lang w:val="en-GB"/>
              </w:rPr>
              <w:t>Profit from discontinued operations</w:t>
            </w:r>
          </w:p>
        </w:tc>
        <w:tc>
          <w:tcPr>
            <w:tcW w:w="1134" w:type="dxa"/>
            <w:tcBorders>
              <w:top w:val="single" w:sz="4" w:space="0" w:color="auto"/>
              <w:bottom w:val="single" w:sz="4" w:space="0" w:color="auto"/>
            </w:tcBorders>
            <w:shd w:val="clear" w:color="auto" w:fill="auto"/>
            <w:tcMar>
              <w:top w:w="68" w:type="dxa"/>
              <w:left w:w="0" w:type="dxa"/>
              <w:bottom w:w="68" w:type="dxa"/>
              <w:right w:w="0" w:type="dxa"/>
            </w:tcMar>
            <w:vAlign w:val="bottom"/>
          </w:tcPr>
          <w:p w14:paraId="55D30172" w14:textId="77777777" w:rsidR="00247C82" w:rsidRPr="00247C82" w:rsidRDefault="00247C82" w:rsidP="00E47834">
            <w:pPr>
              <w:spacing w:line="240" w:lineRule="atLeast"/>
              <w:jc w:val="right"/>
              <w:rPr>
                <w:rFonts w:ascii="Tahoma" w:hAnsi="Tahoma"/>
                <w:b/>
                <w:bCs/>
                <w:color w:val="000000" w:themeColor="text1"/>
                <w:sz w:val="16"/>
                <w:lang w:val="en-GB"/>
              </w:rPr>
            </w:pPr>
            <w:r w:rsidRPr="00247C82">
              <w:rPr>
                <w:rFonts w:ascii="Tahoma" w:hAnsi="Tahoma"/>
                <w:b/>
                <w:bCs/>
                <w:color w:val="000000" w:themeColor="text1"/>
                <w:sz w:val="16"/>
                <w:lang w:val="en-GB"/>
              </w:rPr>
              <w:t>188</w:t>
            </w:r>
          </w:p>
        </w:tc>
        <w:tc>
          <w:tcPr>
            <w:tcW w:w="1134" w:type="dxa"/>
            <w:tcBorders>
              <w:top w:val="single" w:sz="4" w:space="0" w:color="auto"/>
              <w:bottom w:val="single" w:sz="4" w:space="0" w:color="auto"/>
            </w:tcBorders>
            <w:shd w:val="clear" w:color="auto" w:fill="auto"/>
            <w:tcMar>
              <w:top w:w="68" w:type="dxa"/>
              <w:left w:w="0" w:type="dxa"/>
              <w:bottom w:w="68" w:type="dxa"/>
              <w:right w:w="0" w:type="dxa"/>
            </w:tcMar>
            <w:vAlign w:val="bottom"/>
          </w:tcPr>
          <w:p w14:paraId="1AEB4EA7" w14:textId="77777777" w:rsidR="00247C82" w:rsidRPr="00247C82" w:rsidRDefault="00247C82" w:rsidP="00E47834">
            <w:pPr>
              <w:spacing w:line="240" w:lineRule="atLeast"/>
              <w:jc w:val="right"/>
              <w:rPr>
                <w:rFonts w:ascii="Tahoma" w:hAnsi="Tahoma"/>
                <w:color w:val="000000" w:themeColor="text1"/>
                <w:sz w:val="16"/>
                <w:lang w:val="en-GB"/>
              </w:rPr>
            </w:pPr>
            <w:r w:rsidRPr="00247C82">
              <w:rPr>
                <w:rFonts w:ascii="Tahoma" w:hAnsi="Tahoma"/>
                <w:color w:val="000000" w:themeColor="text1"/>
                <w:sz w:val="16"/>
                <w:lang w:val="en-GB"/>
              </w:rPr>
              <w:t>93</w:t>
            </w:r>
          </w:p>
        </w:tc>
        <w:tc>
          <w:tcPr>
            <w:tcW w:w="1134" w:type="dxa"/>
            <w:tcBorders>
              <w:top w:val="single" w:sz="4" w:space="0" w:color="auto"/>
              <w:bottom w:val="single" w:sz="4" w:space="0" w:color="auto"/>
            </w:tcBorders>
            <w:shd w:val="clear" w:color="auto" w:fill="auto"/>
            <w:tcMar>
              <w:top w:w="68" w:type="dxa"/>
              <w:left w:w="0" w:type="dxa"/>
              <w:bottom w:w="68" w:type="dxa"/>
              <w:right w:w="0" w:type="dxa"/>
            </w:tcMar>
            <w:vAlign w:val="bottom"/>
          </w:tcPr>
          <w:p w14:paraId="50352725" w14:textId="77777777" w:rsidR="00247C82" w:rsidRPr="00247C82" w:rsidRDefault="00247C82" w:rsidP="00E47834">
            <w:pPr>
              <w:spacing w:line="240" w:lineRule="atLeast"/>
              <w:jc w:val="right"/>
              <w:rPr>
                <w:rFonts w:ascii="Tahoma" w:hAnsi="Tahoma"/>
                <w:color w:val="000000" w:themeColor="text1"/>
                <w:sz w:val="16"/>
                <w:lang w:val="en-GB"/>
              </w:rPr>
            </w:pPr>
            <w:r w:rsidRPr="00247C82">
              <w:rPr>
                <w:rFonts w:ascii="Tahoma" w:hAnsi="Tahoma"/>
                <w:color w:val="000000" w:themeColor="text1"/>
                <w:sz w:val="16"/>
                <w:lang w:val="en-GB"/>
              </w:rPr>
              <w:t>153</w:t>
            </w:r>
          </w:p>
        </w:tc>
      </w:tr>
      <w:tr w:rsidR="00615190" w:rsidRPr="00247C82" w14:paraId="54E45AC7" w14:textId="77777777" w:rsidTr="007A164E">
        <w:trPr>
          <w:trHeight w:val="60"/>
        </w:trPr>
        <w:tc>
          <w:tcPr>
            <w:tcW w:w="397" w:type="dxa"/>
            <w:shd w:val="clear" w:color="auto" w:fill="auto"/>
            <w:tcMar>
              <w:top w:w="68" w:type="dxa"/>
              <w:left w:w="0" w:type="dxa"/>
              <w:bottom w:w="40" w:type="dxa"/>
              <w:right w:w="0" w:type="dxa"/>
            </w:tcMar>
            <w:vAlign w:val="bottom"/>
          </w:tcPr>
          <w:p w14:paraId="7F75875B" w14:textId="77777777" w:rsidR="00247C82" w:rsidRPr="00247C82" w:rsidRDefault="00247C82" w:rsidP="00615190">
            <w:pPr>
              <w:spacing w:line="240" w:lineRule="atLeast"/>
              <w:rPr>
                <w:rFonts w:ascii="Tahoma" w:hAnsi="Tahoma"/>
                <w:color w:val="000000" w:themeColor="text1"/>
                <w:sz w:val="16"/>
                <w:lang w:val="en-GB"/>
              </w:rPr>
            </w:pPr>
          </w:p>
        </w:tc>
        <w:tc>
          <w:tcPr>
            <w:tcW w:w="6407" w:type="dxa"/>
            <w:tcBorders>
              <w:top w:val="single" w:sz="4" w:space="0" w:color="auto"/>
            </w:tcBorders>
            <w:shd w:val="clear" w:color="auto" w:fill="auto"/>
            <w:tcMar>
              <w:top w:w="68" w:type="dxa"/>
              <w:left w:w="0" w:type="dxa"/>
              <w:bottom w:w="40" w:type="dxa"/>
              <w:right w:w="0" w:type="dxa"/>
            </w:tcMar>
            <w:vAlign w:val="bottom"/>
          </w:tcPr>
          <w:p w14:paraId="5AD6A292" w14:textId="77777777" w:rsidR="00247C82" w:rsidRPr="00247C82" w:rsidRDefault="00247C82" w:rsidP="00615190">
            <w:pPr>
              <w:spacing w:line="240" w:lineRule="atLeast"/>
              <w:rPr>
                <w:rFonts w:ascii="Tahoma" w:hAnsi="Tahoma"/>
                <w:b/>
                <w:bCs/>
                <w:color w:val="000000" w:themeColor="text1"/>
                <w:sz w:val="16"/>
                <w:lang w:val="en-GB"/>
              </w:rPr>
            </w:pPr>
            <w:r w:rsidRPr="00247C82">
              <w:rPr>
                <w:rFonts w:ascii="Tahoma" w:hAnsi="Tahoma"/>
                <w:b/>
                <w:bCs/>
                <w:color w:val="000000" w:themeColor="text1"/>
                <w:sz w:val="16"/>
                <w:lang w:val="en-GB"/>
              </w:rPr>
              <w:t>Profit from discontinued operations attributable to:</w:t>
            </w:r>
          </w:p>
        </w:tc>
        <w:tc>
          <w:tcPr>
            <w:tcW w:w="1134" w:type="dxa"/>
            <w:tcBorders>
              <w:top w:val="single" w:sz="4" w:space="0" w:color="auto"/>
            </w:tcBorders>
            <w:shd w:val="clear" w:color="auto" w:fill="auto"/>
            <w:tcMar>
              <w:top w:w="68" w:type="dxa"/>
              <w:left w:w="0" w:type="dxa"/>
              <w:bottom w:w="40" w:type="dxa"/>
              <w:right w:w="0" w:type="dxa"/>
            </w:tcMar>
            <w:vAlign w:val="bottom"/>
          </w:tcPr>
          <w:p w14:paraId="7727A642" w14:textId="77777777" w:rsidR="00247C82" w:rsidRPr="00247C82" w:rsidRDefault="00247C82" w:rsidP="00E47834">
            <w:pPr>
              <w:spacing w:line="240" w:lineRule="atLeast"/>
              <w:jc w:val="right"/>
              <w:rPr>
                <w:rFonts w:ascii="Tahoma" w:hAnsi="Tahoma"/>
                <w:b/>
                <w:bCs/>
                <w:color w:val="000000" w:themeColor="text1"/>
                <w:sz w:val="16"/>
                <w:lang w:val="en-GB"/>
              </w:rPr>
            </w:pPr>
          </w:p>
        </w:tc>
        <w:tc>
          <w:tcPr>
            <w:tcW w:w="1134" w:type="dxa"/>
            <w:tcBorders>
              <w:top w:val="single" w:sz="4" w:space="0" w:color="auto"/>
            </w:tcBorders>
            <w:shd w:val="clear" w:color="auto" w:fill="auto"/>
            <w:tcMar>
              <w:top w:w="68" w:type="dxa"/>
              <w:left w:w="0" w:type="dxa"/>
              <w:bottom w:w="40" w:type="dxa"/>
              <w:right w:w="0" w:type="dxa"/>
            </w:tcMar>
            <w:vAlign w:val="bottom"/>
          </w:tcPr>
          <w:p w14:paraId="47222F68" w14:textId="77777777" w:rsidR="00247C82" w:rsidRPr="00247C82" w:rsidRDefault="00247C82" w:rsidP="00E47834">
            <w:pPr>
              <w:spacing w:line="240" w:lineRule="atLeast"/>
              <w:jc w:val="right"/>
              <w:rPr>
                <w:rFonts w:ascii="Tahoma" w:hAnsi="Tahoma"/>
                <w:color w:val="000000" w:themeColor="text1"/>
                <w:sz w:val="16"/>
                <w:lang w:val="en-GB"/>
              </w:rPr>
            </w:pPr>
          </w:p>
        </w:tc>
        <w:tc>
          <w:tcPr>
            <w:tcW w:w="1134" w:type="dxa"/>
            <w:tcBorders>
              <w:top w:val="single" w:sz="4" w:space="0" w:color="auto"/>
            </w:tcBorders>
            <w:shd w:val="clear" w:color="auto" w:fill="auto"/>
            <w:tcMar>
              <w:top w:w="68" w:type="dxa"/>
              <w:left w:w="0" w:type="dxa"/>
              <w:bottom w:w="40" w:type="dxa"/>
              <w:right w:w="0" w:type="dxa"/>
            </w:tcMar>
            <w:vAlign w:val="bottom"/>
          </w:tcPr>
          <w:p w14:paraId="05818552" w14:textId="77777777" w:rsidR="00247C82" w:rsidRPr="00247C82" w:rsidRDefault="00247C82" w:rsidP="00E47834">
            <w:pPr>
              <w:spacing w:line="240" w:lineRule="atLeast"/>
              <w:jc w:val="right"/>
              <w:rPr>
                <w:rFonts w:ascii="Tahoma" w:hAnsi="Tahoma"/>
                <w:color w:val="000000" w:themeColor="text1"/>
                <w:sz w:val="16"/>
                <w:lang w:val="en-GB"/>
              </w:rPr>
            </w:pPr>
          </w:p>
        </w:tc>
      </w:tr>
      <w:tr w:rsidR="00615190" w:rsidRPr="00247C82" w14:paraId="199346AF" w14:textId="77777777" w:rsidTr="00495E4C">
        <w:trPr>
          <w:trHeight w:val="60"/>
        </w:trPr>
        <w:tc>
          <w:tcPr>
            <w:tcW w:w="397" w:type="dxa"/>
            <w:shd w:val="clear" w:color="auto" w:fill="auto"/>
            <w:tcMar>
              <w:top w:w="40" w:type="dxa"/>
              <w:left w:w="0" w:type="dxa"/>
              <w:bottom w:w="40" w:type="dxa"/>
              <w:right w:w="0" w:type="dxa"/>
            </w:tcMar>
            <w:vAlign w:val="bottom"/>
          </w:tcPr>
          <w:p w14:paraId="577B62C7" w14:textId="77777777" w:rsidR="00247C82" w:rsidRPr="00247C82" w:rsidRDefault="00247C82" w:rsidP="00615190">
            <w:pPr>
              <w:spacing w:line="240" w:lineRule="atLeast"/>
              <w:rPr>
                <w:rFonts w:ascii="Tahoma" w:hAnsi="Tahoma"/>
                <w:color w:val="000000" w:themeColor="text1"/>
                <w:sz w:val="16"/>
                <w:lang w:val="en-GB"/>
              </w:rPr>
            </w:pPr>
          </w:p>
        </w:tc>
        <w:tc>
          <w:tcPr>
            <w:tcW w:w="6407" w:type="dxa"/>
            <w:shd w:val="clear" w:color="auto" w:fill="auto"/>
            <w:tcMar>
              <w:top w:w="40" w:type="dxa"/>
              <w:left w:w="0" w:type="dxa"/>
              <w:bottom w:w="40" w:type="dxa"/>
              <w:right w:w="0" w:type="dxa"/>
            </w:tcMar>
            <w:vAlign w:val="bottom"/>
          </w:tcPr>
          <w:p w14:paraId="33894802" w14:textId="77777777" w:rsidR="00247C82" w:rsidRPr="00247C82" w:rsidRDefault="00247C82" w:rsidP="00615190">
            <w:pPr>
              <w:spacing w:line="240" w:lineRule="atLeast"/>
              <w:rPr>
                <w:rFonts w:ascii="Tahoma" w:hAnsi="Tahoma"/>
                <w:color w:val="000000" w:themeColor="text1"/>
                <w:sz w:val="16"/>
                <w:lang w:val="en-GB"/>
              </w:rPr>
            </w:pPr>
            <w:r w:rsidRPr="00247C82">
              <w:rPr>
                <w:rFonts w:ascii="Tahoma" w:hAnsi="Tahoma"/>
                <w:color w:val="000000" w:themeColor="text1"/>
                <w:sz w:val="16"/>
                <w:lang w:val="en-GB"/>
              </w:rPr>
              <w:t xml:space="preserve">Equity holders of the group </w:t>
            </w:r>
          </w:p>
        </w:tc>
        <w:tc>
          <w:tcPr>
            <w:tcW w:w="1134" w:type="dxa"/>
            <w:shd w:val="clear" w:color="auto" w:fill="auto"/>
            <w:tcMar>
              <w:top w:w="40" w:type="dxa"/>
              <w:left w:w="0" w:type="dxa"/>
              <w:bottom w:w="40" w:type="dxa"/>
              <w:right w:w="0" w:type="dxa"/>
            </w:tcMar>
            <w:vAlign w:val="bottom"/>
          </w:tcPr>
          <w:p w14:paraId="349C34CB" w14:textId="77777777" w:rsidR="00247C82" w:rsidRPr="00247C82" w:rsidRDefault="00247C82" w:rsidP="00E47834">
            <w:pPr>
              <w:spacing w:line="240" w:lineRule="atLeast"/>
              <w:jc w:val="right"/>
              <w:rPr>
                <w:rFonts w:ascii="Tahoma" w:hAnsi="Tahoma"/>
                <w:b/>
                <w:bCs/>
                <w:color w:val="000000" w:themeColor="text1"/>
                <w:sz w:val="16"/>
                <w:lang w:val="en-GB"/>
              </w:rPr>
            </w:pPr>
            <w:r w:rsidRPr="00247C82">
              <w:rPr>
                <w:rFonts w:ascii="Tahoma" w:hAnsi="Tahoma"/>
                <w:b/>
                <w:bCs/>
                <w:color w:val="000000" w:themeColor="text1"/>
                <w:sz w:val="16"/>
                <w:lang w:val="en-GB"/>
              </w:rPr>
              <w:t>190</w:t>
            </w:r>
          </w:p>
        </w:tc>
        <w:tc>
          <w:tcPr>
            <w:tcW w:w="1134" w:type="dxa"/>
            <w:shd w:val="clear" w:color="auto" w:fill="auto"/>
            <w:tcMar>
              <w:top w:w="40" w:type="dxa"/>
              <w:left w:w="0" w:type="dxa"/>
              <w:bottom w:w="40" w:type="dxa"/>
              <w:right w:w="0" w:type="dxa"/>
            </w:tcMar>
            <w:vAlign w:val="bottom"/>
          </w:tcPr>
          <w:p w14:paraId="67A20ED5" w14:textId="77777777" w:rsidR="00247C82" w:rsidRPr="00247C82" w:rsidRDefault="00247C82" w:rsidP="00E47834">
            <w:pPr>
              <w:spacing w:line="240" w:lineRule="atLeast"/>
              <w:jc w:val="right"/>
              <w:rPr>
                <w:rFonts w:ascii="Tahoma" w:hAnsi="Tahoma"/>
                <w:color w:val="000000" w:themeColor="text1"/>
                <w:sz w:val="16"/>
                <w:lang w:val="en-GB"/>
              </w:rPr>
            </w:pPr>
            <w:r w:rsidRPr="00247C82">
              <w:rPr>
                <w:rFonts w:ascii="Tahoma" w:hAnsi="Tahoma"/>
                <w:color w:val="000000" w:themeColor="text1"/>
                <w:sz w:val="16"/>
                <w:lang w:val="en-GB"/>
              </w:rPr>
              <w:t>94</w:t>
            </w:r>
          </w:p>
        </w:tc>
        <w:tc>
          <w:tcPr>
            <w:tcW w:w="1134" w:type="dxa"/>
            <w:shd w:val="clear" w:color="auto" w:fill="auto"/>
            <w:tcMar>
              <w:top w:w="40" w:type="dxa"/>
              <w:left w:w="0" w:type="dxa"/>
              <w:bottom w:w="40" w:type="dxa"/>
              <w:right w:w="0" w:type="dxa"/>
            </w:tcMar>
            <w:vAlign w:val="bottom"/>
          </w:tcPr>
          <w:p w14:paraId="4F1FFF55" w14:textId="77777777" w:rsidR="00247C82" w:rsidRPr="00247C82" w:rsidRDefault="00247C82" w:rsidP="00E47834">
            <w:pPr>
              <w:spacing w:line="240" w:lineRule="atLeast"/>
              <w:jc w:val="right"/>
              <w:rPr>
                <w:rFonts w:ascii="Tahoma" w:hAnsi="Tahoma"/>
                <w:color w:val="000000" w:themeColor="text1"/>
                <w:sz w:val="16"/>
                <w:lang w:val="en-GB"/>
              </w:rPr>
            </w:pPr>
            <w:r w:rsidRPr="00247C82">
              <w:rPr>
                <w:rFonts w:ascii="Tahoma" w:hAnsi="Tahoma"/>
                <w:color w:val="000000" w:themeColor="text1"/>
                <w:sz w:val="16"/>
                <w:lang w:val="en-GB"/>
              </w:rPr>
              <w:t>155</w:t>
            </w:r>
          </w:p>
        </w:tc>
      </w:tr>
      <w:tr w:rsidR="00615190" w:rsidRPr="00247C82" w14:paraId="13B705F0" w14:textId="77777777" w:rsidTr="00495E4C">
        <w:trPr>
          <w:trHeight w:val="60"/>
        </w:trPr>
        <w:tc>
          <w:tcPr>
            <w:tcW w:w="397" w:type="dxa"/>
            <w:shd w:val="clear" w:color="auto" w:fill="auto"/>
            <w:tcMar>
              <w:top w:w="40" w:type="dxa"/>
              <w:left w:w="0" w:type="dxa"/>
              <w:bottom w:w="68" w:type="dxa"/>
              <w:right w:w="0" w:type="dxa"/>
            </w:tcMar>
            <w:vAlign w:val="bottom"/>
          </w:tcPr>
          <w:p w14:paraId="420B6324" w14:textId="77777777" w:rsidR="00247C82" w:rsidRPr="00247C82" w:rsidRDefault="00247C82" w:rsidP="00615190">
            <w:pPr>
              <w:spacing w:line="240" w:lineRule="atLeast"/>
              <w:rPr>
                <w:rFonts w:ascii="Tahoma" w:hAnsi="Tahoma"/>
                <w:color w:val="000000" w:themeColor="text1"/>
                <w:sz w:val="16"/>
                <w:lang w:val="en-GB"/>
              </w:rPr>
            </w:pPr>
          </w:p>
        </w:tc>
        <w:tc>
          <w:tcPr>
            <w:tcW w:w="6407" w:type="dxa"/>
            <w:tcBorders>
              <w:bottom w:val="single" w:sz="4" w:space="0" w:color="auto"/>
            </w:tcBorders>
            <w:shd w:val="clear" w:color="auto" w:fill="auto"/>
            <w:tcMar>
              <w:top w:w="40" w:type="dxa"/>
              <w:left w:w="0" w:type="dxa"/>
              <w:bottom w:w="68" w:type="dxa"/>
              <w:right w:w="0" w:type="dxa"/>
            </w:tcMar>
            <w:vAlign w:val="bottom"/>
          </w:tcPr>
          <w:p w14:paraId="49E7456D" w14:textId="77777777" w:rsidR="00247C82" w:rsidRPr="00247C82" w:rsidRDefault="00247C82" w:rsidP="00615190">
            <w:pPr>
              <w:spacing w:line="240" w:lineRule="atLeast"/>
              <w:rPr>
                <w:rFonts w:ascii="Tahoma" w:hAnsi="Tahoma"/>
                <w:color w:val="000000" w:themeColor="text1"/>
                <w:sz w:val="16"/>
                <w:lang w:val="en-GB"/>
              </w:rPr>
            </w:pPr>
            <w:r w:rsidRPr="00247C82">
              <w:rPr>
                <w:rFonts w:ascii="Tahoma" w:hAnsi="Tahoma"/>
                <w:color w:val="000000" w:themeColor="text1"/>
                <w:sz w:val="16"/>
                <w:lang w:val="en-GB"/>
              </w:rPr>
              <w:t xml:space="preserve">Non-controlling interest </w:t>
            </w:r>
          </w:p>
        </w:tc>
        <w:tc>
          <w:tcPr>
            <w:tcW w:w="1134" w:type="dxa"/>
            <w:tcBorders>
              <w:bottom w:val="single" w:sz="4" w:space="0" w:color="auto"/>
            </w:tcBorders>
            <w:shd w:val="clear" w:color="auto" w:fill="auto"/>
            <w:tcMar>
              <w:top w:w="40" w:type="dxa"/>
              <w:left w:w="0" w:type="dxa"/>
              <w:bottom w:w="68" w:type="dxa"/>
              <w:right w:w="0" w:type="dxa"/>
            </w:tcMar>
            <w:vAlign w:val="bottom"/>
          </w:tcPr>
          <w:p w14:paraId="485F4F46" w14:textId="77777777" w:rsidR="00247C82" w:rsidRPr="00247C82" w:rsidRDefault="00247C82" w:rsidP="00E47834">
            <w:pPr>
              <w:spacing w:line="240" w:lineRule="atLeast"/>
              <w:jc w:val="right"/>
              <w:rPr>
                <w:rFonts w:ascii="Tahoma" w:hAnsi="Tahoma"/>
                <w:b/>
                <w:bCs/>
                <w:color w:val="000000" w:themeColor="text1"/>
                <w:sz w:val="16"/>
                <w:lang w:val="en-GB"/>
              </w:rPr>
            </w:pPr>
            <w:r w:rsidRPr="00247C82">
              <w:rPr>
                <w:rFonts w:ascii="Tahoma" w:hAnsi="Tahoma"/>
                <w:b/>
                <w:bCs/>
                <w:color w:val="000000" w:themeColor="text1"/>
                <w:sz w:val="16"/>
                <w:lang w:val="en-GB"/>
              </w:rPr>
              <w:t>(2)</w:t>
            </w:r>
          </w:p>
        </w:tc>
        <w:tc>
          <w:tcPr>
            <w:tcW w:w="1134" w:type="dxa"/>
            <w:tcBorders>
              <w:bottom w:val="single" w:sz="4" w:space="0" w:color="auto"/>
            </w:tcBorders>
            <w:shd w:val="clear" w:color="auto" w:fill="auto"/>
            <w:tcMar>
              <w:top w:w="40" w:type="dxa"/>
              <w:left w:w="0" w:type="dxa"/>
              <w:bottom w:w="68" w:type="dxa"/>
              <w:right w:w="0" w:type="dxa"/>
            </w:tcMar>
            <w:vAlign w:val="bottom"/>
          </w:tcPr>
          <w:p w14:paraId="0B7100C2" w14:textId="77777777" w:rsidR="00247C82" w:rsidRPr="00247C82" w:rsidRDefault="00247C82" w:rsidP="00E47834">
            <w:pPr>
              <w:spacing w:line="240" w:lineRule="atLeast"/>
              <w:jc w:val="right"/>
              <w:rPr>
                <w:rFonts w:ascii="Tahoma" w:hAnsi="Tahoma"/>
                <w:color w:val="000000" w:themeColor="text1"/>
                <w:sz w:val="16"/>
                <w:lang w:val="en-GB"/>
              </w:rPr>
            </w:pPr>
            <w:r w:rsidRPr="00247C82">
              <w:rPr>
                <w:rFonts w:ascii="Tahoma" w:hAnsi="Tahoma"/>
                <w:color w:val="000000" w:themeColor="text1"/>
                <w:sz w:val="16"/>
                <w:lang w:val="en-GB"/>
              </w:rPr>
              <w:t>(1)</w:t>
            </w:r>
          </w:p>
        </w:tc>
        <w:tc>
          <w:tcPr>
            <w:tcW w:w="1134" w:type="dxa"/>
            <w:tcBorders>
              <w:bottom w:val="single" w:sz="4" w:space="0" w:color="auto"/>
            </w:tcBorders>
            <w:shd w:val="clear" w:color="auto" w:fill="auto"/>
            <w:tcMar>
              <w:top w:w="40" w:type="dxa"/>
              <w:left w:w="0" w:type="dxa"/>
              <w:bottom w:w="68" w:type="dxa"/>
              <w:right w:w="0" w:type="dxa"/>
            </w:tcMar>
            <w:vAlign w:val="bottom"/>
          </w:tcPr>
          <w:p w14:paraId="0936BB2B" w14:textId="77777777" w:rsidR="00247C82" w:rsidRPr="00247C82" w:rsidRDefault="00247C82" w:rsidP="00E47834">
            <w:pPr>
              <w:spacing w:line="240" w:lineRule="atLeast"/>
              <w:jc w:val="right"/>
              <w:rPr>
                <w:rFonts w:ascii="Tahoma" w:hAnsi="Tahoma"/>
                <w:color w:val="000000" w:themeColor="text1"/>
                <w:sz w:val="16"/>
                <w:lang w:val="en-GB"/>
              </w:rPr>
            </w:pPr>
            <w:r w:rsidRPr="00247C82">
              <w:rPr>
                <w:rFonts w:ascii="Tahoma" w:hAnsi="Tahoma"/>
                <w:color w:val="000000" w:themeColor="text1"/>
                <w:sz w:val="16"/>
                <w:lang w:val="en-GB"/>
              </w:rPr>
              <w:t>(2)</w:t>
            </w:r>
          </w:p>
        </w:tc>
      </w:tr>
      <w:tr w:rsidR="00615190" w:rsidRPr="00247C82" w14:paraId="57B3717E" w14:textId="77777777" w:rsidTr="00495E4C">
        <w:trPr>
          <w:trHeight w:val="60"/>
        </w:trPr>
        <w:tc>
          <w:tcPr>
            <w:tcW w:w="397" w:type="dxa"/>
            <w:shd w:val="clear" w:color="auto" w:fill="auto"/>
            <w:tcMar>
              <w:top w:w="68" w:type="dxa"/>
              <w:left w:w="0" w:type="dxa"/>
              <w:bottom w:w="68" w:type="dxa"/>
              <w:right w:w="0" w:type="dxa"/>
            </w:tcMar>
            <w:vAlign w:val="bottom"/>
          </w:tcPr>
          <w:p w14:paraId="6F6B8D32" w14:textId="77777777" w:rsidR="00247C82" w:rsidRPr="00247C82" w:rsidRDefault="00247C82" w:rsidP="00615190">
            <w:pPr>
              <w:spacing w:line="240" w:lineRule="atLeast"/>
              <w:rPr>
                <w:rFonts w:ascii="Tahoma" w:hAnsi="Tahoma"/>
                <w:color w:val="000000" w:themeColor="text1"/>
                <w:sz w:val="16"/>
                <w:lang w:val="en-GB"/>
              </w:rPr>
            </w:pPr>
          </w:p>
        </w:tc>
        <w:tc>
          <w:tcPr>
            <w:tcW w:w="6407" w:type="dxa"/>
            <w:tcBorders>
              <w:top w:val="single" w:sz="4" w:space="0" w:color="auto"/>
              <w:bottom w:val="single" w:sz="12" w:space="0" w:color="auto"/>
            </w:tcBorders>
            <w:shd w:val="clear" w:color="auto" w:fill="auto"/>
            <w:tcMar>
              <w:top w:w="68" w:type="dxa"/>
              <w:left w:w="0" w:type="dxa"/>
              <w:bottom w:w="68" w:type="dxa"/>
              <w:right w:w="0" w:type="dxa"/>
            </w:tcMar>
            <w:vAlign w:val="bottom"/>
          </w:tcPr>
          <w:p w14:paraId="0C149C2C" w14:textId="77777777" w:rsidR="00247C82" w:rsidRPr="00247C82" w:rsidRDefault="00247C82" w:rsidP="00615190">
            <w:pPr>
              <w:spacing w:line="240" w:lineRule="atLeast"/>
              <w:rPr>
                <w:rFonts w:ascii="Tahoma" w:hAnsi="Tahoma"/>
                <w:color w:val="000000" w:themeColor="text1"/>
                <w:sz w:val="16"/>
                <w:lang w:val="en-GB"/>
              </w:rPr>
            </w:pPr>
          </w:p>
        </w:tc>
        <w:tc>
          <w:tcPr>
            <w:tcW w:w="1134" w:type="dxa"/>
            <w:tcBorders>
              <w:top w:val="single" w:sz="4" w:space="0" w:color="auto"/>
              <w:bottom w:val="single" w:sz="12" w:space="0" w:color="auto"/>
            </w:tcBorders>
            <w:shd w:val="clear" w:color="auto" w:fill="auto"/>
            <w:tcMar>
              <w:top w:w="68" w:type="dxa"/>
              <w:left w:w="0" w:type="dxa"/>
              <w:bottom w:w="68" w:type="dxa"/>
              <w:right w:w="0" w:type="dxa"/>
            </w:tcMar>
            <w:vAlign w:val="bottom"/>
          </w:tcPr>
          <w:p w14:paraId="0DB7F1C5" w14:textId="77777777" w:rsidR="00247C82" w:rsidRPr="00247C82" w:rsidRDefault="00247C82" w:rsidP="00E47834">
            <w:pPr>
              <w:spacing w:line="240" w:lineRule="atLeast"/>
              <w:jc w:val="right"/>
              <w:rPr>
                <w:rFonts w:ascii="Tahoma" w:hAnsi="Tahoma"/>
                <w:b/>
                <w:bCs/>
                <w:color w:val="000000" w:themeColor="text1"/>
                <w:sz w:val="16"/>
                <w:lang w:val="en-GB"/>
              </w:rPr>
            </w:pPr>
            <w:r w:rsidRPr="00247C82">
              <w:rPr>
                <w:rFonts w:ascii="Tahoma" w:hAnsi="Tahoma"/>
                <w:b/>
                <w:bCs/>
                <w:color w:val="000000" w:themeColor="text1"/>
                <w:sz w:val="16"/>
                <w:lang w:val="en-GB"/>
              </w:rPr>
              <w:t>188</w:t>
            </w:r>
          </w:p>
        </w:tc>
        <w:tc>
          <w:tcPr>
            <w:tcW w:w="1134" w:type="dxa"/>
            <w:tcBorders>
              <w:top w:val="single" w:sz="4" w:space="0" w:color="auto"/>
              <w:bottom w:val="single" w:sz="12" w:space="0" w:color="auto"/>
            </w:tcBorders>
            <w:shd w:val="clear" w:color="auto" w:fill="auto"/>
            <w:tcMar>
              <w:top w:w="68" w:type="dxa"/>
              <w:left w:w="0" w:type="dxa"/>
              <w:bottom w:w="68" w:type="dxa"/>
              <w:right w:w="0" w:type="dxa"/>
            </w:tcMar>
            <w:vAlign w:val="bottom"/>
          </w:tcPr>
          <w:p w14:paraId="64C2C55E" w14:textId="77777777" w:rsidR="00247C82" w:rsidRPr="00247C82" w:rsidRDefault="00247C82" w:rsidP="00E47834">
            <w:pPr>
              <w:spacing w:line="240" w:lineRule="atLeast"/>
              <w:jc w:val="right"/>
              <w:rPr>
                <w:rFonts w:ascii="Tahoma" w:hAnsi="Tahoma"/>
                <w:color w:val="000000" w:themeColor="text1"/>
                <w:sz w:val="16"/>
                <w:lang w:val="en-GB"/>
              </w:rPr>
            </w:pPr>
            <w:r w:rsidRPr="00247C82">
              <w:rPr>
                <w:rFonts w:ascii="Tahoma" w:hAnsi="Tahoma"/>
                <w:color w:val="000000" w:themeColor="text1"/>
                <w:sz w:val="16"/>
                <w:lang w:val="en-GB"/>
              </w:rPr>
              <w:t>93</w:t>
            </w:r>
          </w:p>
        </w:tc>
        <w:tc>
          <w:tcPr>
            <w:tcW w:w="1134" w:type="dxa"/>
            <w:tcBorders>
              <w:top w:val="single" w:sz="4" w:space="0" w:color="auto"/>
              <w:bottom w:val="single" w:sz="12" w:space="0" w:color="auto"/>
            </w:tcBorders>
            <w:shd w:val="clear" w:color="auto" w:fill="auto"/>
            <w:tcMar>
              <w:top w:w="68" w:type="dxa"/>
              <w:left w:w="0" w:type="dxa"/>
              <w:bottom w:w="68" w:type="dxa"/>
              <w:right w:w="0" w:type="dxa"/>
            </w:tcMar>
            <w:vAlign w:val="bottom"/>
          </w:tcPr>
          <w:p w14:paraId="1F1A86D6" w14:textId="77777777" w:rsidR="00247C82" w:rsidRPr="00247C82" w:rsidRDefault="00247C82" w:rsidP="00E47834">
            <w:pPr>
              <w:spacing w:line="240" w:lineRule="atLeast"/>
              <w:jc w:val="right"/>
              <w:rPr>
                <w:rFonts w:ascii="Tahoma" w:hAnsi="Tahoma"/>
                <w:color w:val="000000" w:themeColor="text1"/>
                <w:sz w:val="16"/>
                <w:lang w:val="en-GB"/>
              </w:rPr>
            </w:pPr>
            <w:r w:rsidRPr="00247C82">
              <w:rPr>
                <w:rFonts w:ascii="Tahoma" w:hAnsi="Tahoma"/>
                <w:color w:val="000000" w:themeColor="text1"/>
                <w:sz w:val="16"/>
                <w:lang w:val="en-GB"/>
              </w:rPr>
              <w:t>153</w:t>
            </w:r>
          </w:p>
        </w:tc>
      </w:tr>
      <w:tr w:rsidR="00615190" w:rsidRPr="00247C82" w14:paraId="09FF0709" w14:textId="77777777" w:rsidTr="00014AEC">
        <w:trPr>
          <w:trHeight w:val="60"/>
        </w:trPr>
        <w:tc>
          <w:tcPr>
            <w:tcW w:w="397" w:type="dxa"/>
            <w:shd w:val="clear" w:color="auto" w:fill="auto"/>
            <w:tcMar>
              <w:top w:w="85" w:type="dxa"/>
              <w:left w:w="0" w:type="dxa"/>
              <w:bottom w:w="57" w:type="dxa"/>
              <w:right w:w="0" w:type="dxa"/>
            </w:tcMar>
            <w:vAlign w:val="bottom"/>
          </w:tcPr>
          <w:p w14:paraId="1A15DFFE" w14:textId="77777777" w:rsidR="00247C82" w:rsidRPr="00247C82" w:rsidRDefault="00247C82" w:rsidP="00394980">
            <w:pPr>
              <w:spacing w:line="160" w:lineRule="atLeast"/>
              <w:contextualSpacing/>
              <w:rPr>
                <w:rFonts w:ascii="Tahoma" w:hAnsi="Tahoma"/>
                <w:color w:val="000000" w:themeColor="text1"/>
                <w:sz w:val="16"/>
                <w:lang w:val="en-GB"/>
              </w:rPr>
            </w:pPr>
          </w:p>
        </w:tc>
        <w:tc>
          <w:tcPr>
            <w:tcW w:w="9809" w:type="dxa"/>
            <w:gridSpan w:val="4"/>
            <w:tcBorders>
              <w:top w:val="single" w:sz="12" w:space="0" w:color="auto"/>
            </w:tcBorders>
            <w:shd w:val="clear" w:color="auto" w:fill="auto"/>
            <w:tcMar>
              <w:top w:w="85" w:type="dxa"/>
              <w:left w:w="0" w:type="dxa"/>
              <w:bottom w:w="57" w:type="dxa"/>
              <w:right w:w="0" w:type="dxa"/>
            </w:tcMar>
            <w:vAlign w:val="bottom"/>
          </w:tcPr>
          <w:p w14:paraId="543ED85B" w14:textId="77777777" w:rsidR="00247C82" w:rsidRPr="00247C82" w:rsidRDefault="00247C82" w:rsidP="00394980">
            <w:pPr>
              <w:pStyle w:val="FootnotesProsus2022FrontStylesProsus2022"/>
              <w:spacing w:line="160" w:lineRule="atLeast"/>
              <w:contextualSpacing/>
            </w:pPr>
            <w:r w:rsidRPr="00247C82">
              <w:t>1</w:t>
            </w:r>
            <w:r w:rsidRPr="00247C82">
              <w:tab/>
              <w:t>Relates mainly to Classifieds listings revenue and advertising revenue.</w:t>
            </w:r>
          </w:p>
        </w:tc>
      </w:tr>
      <w:tr w:rsidR="00615190" w:rsidRPr="00247C82" w14:paraId="77318529" w14:textId="77777777" w:rsidTr="00011A5E">
        <w:trPr>
          <w:trHeight w:val="60"/>
        </w:trPr>
        <w:tc>
          <w:tcPr>
            <w:tcW w:w="397" w:type="dxa"/>
            <w:shd w:val="clear" w:color="auto" w:fill="auto"/>
            <w:tcMar>
              <w:top w:w="142" w:type="dxa"/>
              <w:left w:w="0" w:type="dxa"/>
              <w:bottom w:w="113" w:type="dxa"/>
              <w:right w:w="0" w:type="dxa"/>
            </w:tcMar>
            <w:vAlign w:val="bottom"/>
          </w:tcPr>
          <w:p w14:paraId="17BD8DEF" w14:textId="77777777" w:rsidR="00247C82" w:rsidRPr="00247C82" w:rsidRDefault="00247C82" w:rsidP="00615190">
            <w:pPr>
              <w:spacing w:line="240" w:lineRule="atLeast"/>
              <w:rPr>
                <w:rFonts w:ascii="Tahoma" w:hAnsi="Tahoma"/>
                <w:color w:val="000000" w:themeColor="text1"/>
                <w:sz w:val="16"/>
                <w:lang w:val="en-GB"/>
              </w:rPr>
            </w:pPr>
          </w:p>
        </w:tc>
        <w:tc>
          <w:tcPr>
            <w:tcW w:w="9809" w:type="dxa"/>
            <w:gridSpan w:val="4"/>
            <w:shd w:val="clear" w:color="auto" w:fill="auto"/>
            <w:tcMar>
              <w:top w:w="142" w:type="dxa"/>
              <w:left w:w="0" w:type="dxa"/>
              <w:bottom w:w="113" w:type="dxa"/>
              <w:right w:w="0" w:type="dxa"/>
            </w:tcMar>
            <w:vAlign w:val="bottom"/>
          </w:tcPr>
          <w:p w14:paraId="5DFABD00" w14:textId="77777777" w:rsidR="00247C82" w:rsidRPr="00247C82" w:rsidRDefault="00247C82" w:rsidP="00615190">
            <w:pPr>
              <w:spacing w:line="240" w:lineRule="atLeast"/>
              <w:rPr>
                <w:rFonts w:ascii="Tahoma" w:hAnsi="Tahoma"/>
                <w:b/>
                <w:bCs/>
                <w:color w:val="000000" w:themeColor="text1"/>
                <w:sz w:val="16"/>
                <w:lang w:val="en-GB"/>
              </w:rPr>
            </w:pPr>
            <w:r w:rsidRPr="00247C82">
              <w:rPr>
                <w:rFonts w:ascii="Tahoma" w:hAnsi="Tahoma"/>
                <w:b/>
                <w:bCs/>
                <w:color w:val="000000" w:themeColor="text1"/>
                <w:sz w:val="16"/>
                <w:lang w:val="en-GB"/>
              </w:rPr>
              <w:t>Cash flow statement information of discontinued operations</w:t>
            </w:r>
          </w:p>
        </w:tc>
      </w:tr>
      <w:tr w:rsidR="00615190" w:rsidRPr="00247C82" w14:paraId="1EA70987" w14:textId="77777777" w:rsidTr="0072175C">
        <w:trPr>
          <w:trHeight w:val="60"/>
        </w:trPr>
        <w:tc>
          <w:tcPr>
            <w:tcW w:w="397" w:type="dxa"/>
            <w:shd w:val="clear" w:color="auto" w:fill="auto"/>
            <w:tcMar>
              <w:top w:w="85" w:type="dxa"/>
              <w:left w:w="0" w:type="dxa"/>
              <w:bottom w:w="85" w:type="dxa"/>
              <w:right w:w="0" w:type="dxa"/>
            </w:tcMar>
            <w:vAlign w:val="bottom"/>
          </w:tcPr>
          <w:p w14:paraId="41CE5FC5" w14:textId="77777777" w:rsidR="00247C82" w:rsidRPr="00247C82" w:rsidRDefault="00247C82" w:rsidP="00615190">
            <w:pPr>
              <w:spacing w:line="240" w:lineRule="atLeast"/>
              <w:rPr>
                <w:rFonts w:ascii="Tahoma" w:hAnsi="Tahoma"/>
                <w:color w:val="000000" w:themeColor="text1"/>
                <w:sz w:val="16"/>
                <w:lang w:val="en-GB"/>
              </w:rPr>
            </w:pPr>
          </w:p>
        </w:tc>
        <w:tc>
          <w:tcPr>
            <w:tcW w:w="6407" w:type="dxa"/>
            <w:shd w:val="clear" w:color="auto" w:fill="auto"/>
            <w:tcMar>
              <w:top w:w="85" w:type="dxa"/>
              <w:left w:w="0" w:type="dxa"/>
              <w:bottom w:w="85" w:type="dxa"/>
              <w:right w:w="0" w:type="dxa"/>
            </w:tcMar>
            <w:vAlign w:val="bottom"/>
          </w:tcPr>
          <w:p w14:paraId="253CD55F" w14:textId="77777777" w:rsidR="00247C82" w:rsidRPr="00247C82" w:rsidRDefault="00247C82" w:rsidP="00615190">
            <w:pPr>
              <w:spacing w:line="240" w:lineRule="atLeast"/>
              <w:rPr>
                <w:rFonts w:ascii="Tahoma" w:hAnsi="Tahoma"/>
                <w:color w:val="000000" w:themeColor="text1"/>
                <w:sz w:val="16"/>
                <w:lang w:val="en-GB"/>
              </w:rPr>
            </w:pPr>
          </w:p>
        </w:tc>
        <w:tc>
          <w:tcPr>
            <w:tcW w:w="2268" w:type="dxa"/>
            <w:gridSpan w:val="2"/>
            <w:shd w:val="clear" w:color="auto" w:fill="auto"/>
            <w:tcMar>
              <w:top w:w="85" w:type="dxa"/>
              <w:left w:w="0" w:type="dxa"/>
              <w:bottom w:w="85" w:type="dxa"/>
              <w:right w:w="0" w:type="dxa"/>
            </w:tcMar>
            <w:vAlign w:val="bottom"/>
          </w:tcPr>
          <w:p w14:paraId="29D257F5" w14:textId="77777777" w:rsidR="00247C82" w:rsidRPr="00247C82" w:rsidRDefault="00247C82" w:rsidP="00C94B60">
            <w:pPr>
              <w:spacing w:line="240" w:lineRule="atLeast"/>
              <w:ind w:left="571"/>
              <w:jc w:val="center"/>
              <w:rPr>
                <w:rFonts w:ascii="Tahoma" w:hAnsi="Tahoma"/>
                <w:b/>
                <w:bCs/>
                <w:color w:val="000000" w:themeColor="text1"/>
                <w:sz w:val="16"/>
                <w:lang w:val="en-GB"/>
              </w:rPr>
            </w:pPr>
            <w:r w:rsidRPr="00247C82">
              <w:rPr>
                <w:rFonts w:ascii="Tahoma" w:hAnsi="Tahoma"/>
                <w:b/>
                <w:bCs/>
                <w:color w:val="000000" w:themeColor="text1"/>
                <w:sz w:val="16"/>
                <w:lang w:val="en-GB"/>
              </w:rPr>
              <w:t>Six months ended</w:t>
            </w:r>
          </w:p>
          <w:p w14:paraId="05851F8F" w14:textId="77777777" w:rsidR="00247C82" w:rsidRPr="00247C82" w:rsidRDefault="00247C82" w:rsidP="00C94B60">
            <w:pPr>
              <w:spacing w:line="240" w:lineRule="atLeast"/>
              <w:ind w:left="571"/>
              <w:jc w:val="center"/>
              <w:rPr>
                <w:rFonts w:ascii="Tahoma" w:hAnsi="Tahoma"/>
                <w:color w:val="000000" w:themeColor="text1"/>
                <w:sz w:val="16"/>
                <w:lang w:val="en-GB"/>
              </w:rPr>
            </w:pPr>
            <w:r w:rsidRPr="00247C82">
              <w:rPr>
                <w:rFonts w:ascii="Tahoma" w:hAnsi="Tahoma"/>
                <w:b/>
                <w:bCs/>
                <w:color w:val="000000" w:themeColor="text1"/>
                <w:sz w:val="16"/>
                <w:lang w:val="en-GB"/>
              </w:rPr>
              <w:t>30 September</w:t>
            </w:r>
          </w:p>
        </w:tc>
        <w:tc>
          <w:tcPr>
            <w:tcW w:w="1134" w:type="dxa"/>
            <w:shd w:val="clear" w:color="auto" w:fill="auto"/>
            <w:tcMar>
              <w:top w:w="85" w:type="dxa"/>
              <w:left w:w="0" w:type="dxa"/>
              <w:bottom w:w="85" w:type="dxa"/>
              <w:right w:w="0" w:type="dxa"/>
            </w:tcMar>
            <w:vAlign w:val="bottom"/>
          </w:tcPr>
          <w:p w14:paraId="5F186459" w14:textId="77777777" w:rsidR="00247C82" w:rsidRPr="00247C82" w:rsidRDefault="00247C82" w:rsidP="005B09F1">
            <w:pPr>
              <w:spacing w:line="240" w:lineRule="atLeast"/>
              <w:jc w:val="right"/>
              <w:rPr>
                <w:rFonts w:ascii="Tahoma" w:hAnsi="Tahoma"/>
                <w:color w:val="000000" w:themeColor="text1"/>
                <w:sz w:val="16"/>
                <w:lang w:val="en-GB"/>
              </w:rPr>
            </w:pPr>
            <w:r w:rsidRPr="00247C82">
              <w:rPr>
                <w:rFonts w:ascii="Tahoma" w:hAnsi="Tahoma"/>
                <w:color w:val="000000" w:themeColor="text1"/>
                <w:sz w:val="16"/>
                <w:lang w:val="en-GB"/>
              </w:rPr>
              <w:t>Year</w:t>
            </w:r>
          </w:p>
          <w:p w14:paraId="45CE9B66" w14:textId="77777777" w:rsidR="00247C82" w:rsidRPr="00247C82" w:rsidRDefault="00247C82" w:rsidP="005B09F1">
            <w:pPr>
              <w:spacing w:line="240" w:lineRule="atLeast"/>
              <w:jc w:val="right"/>
              <w:rPr>
                <w:rFonts w:ascii="Tahoma" w:hAnsi="Tahoma"/>
                <w:color w:val="000000" w:themeColor="text1"/>
                <w:sz w:val="16"/>
                <w:lang w:val="en-GB"/>
              </w:rPr>
            </w:pPr>
            <w:r w:rsidRPr="00247C82">
              <w:rPr>
                <w:rFonts w:ascii="Tahoma" w:hAnsi="Tahoma"/>
                <w:color w:val="000000" w:themeColor="text1"/>
                <w:sz w:val="16"/>
                <w:lang w:val="en-GB"/>
              </w:rPr>
              <w:t>ended</w:t>
            </w:r>
          </w:p>
          <w:p w14:paraId="222C7591" w14:textId="77777777" w:rsidR="00247C82" w:rsidRPr="00247C82" w:rsidRDefault="00247C82" w:rsidP="005B09F1">
            <w:pPr>
              <w:spacing w:line="240" w:lineRule="atLeast"/>
              <w:jc w:val="right"/>
              <w:rPr>
                <w:rFonts w:ascii="Tahoma" w:hAnsi="Tahoma"/>
                <w:color w:val="000000" w:themeColor="text1"/>
                <w:sz w:val="16"/>
                <w:lang w:val="en-GB"/>
              </w:rPr>
            </w:pPr>
            <w:r w:rsidRPr="00247C82">
              <w:rPr>
                <w:rFonts w:ascii="Tahoma" w:hAnsi="Tahoma"/>
                <w:color w:val="000000" w:themeColor="text1"/>
                <w:sz w:val="16"/>
                <w:lang w:val="en-GB"/>
              </w:rPr>
              <w:t>31 March</w:t>
            </w:r>
          </w:p>
        </w:tc>
      </w:tr>
      <w:tr w:rsidR="00615190" w:rsidRPr="00247C82" w14:paraId="64C66A10" w14:textId="77777777" w:rsidTr="0072175C">
        <w:trPr>
          <w:trHeight w:val="60"/>
        </w:trPr>
        <w:tc>
          <w:tcPr>
            <w:tcW w:w="397" w:type="dxa"/>
            <w:shd w:val="clear" w:color="auto" w:fill="auto"/>
            <w:tcMar>
              <w:top w:w="113" w:type="dxa"/>
              <w:left w:w="0" w:type="dxa"/>
              <w:bottom w:w="113" w:type="dxa"/>
              <w:right w:w="0" w:type="dxa"/>
            </w:tcMar>
            <w:vAlign w:val="bottom"/>
          </w:tcPr>
          <w:p w14:paraId="09254F52" w14:textId="77777777" w:rsidR="00247C82" w:rsidRPr="00247C82" w:rsidRDefault="00247C82" w:rsidP="00615190">
            <w:pPr>
              <w:spacing w:line="240" w:lineRule="atLeast"/>
              <w:rPr>
                <w:rFonts w:ascii="Tahoma" w:hAnsi="Tahoma"/>
                <w:color w:val="000000" w:themeColor="text1"/>
                <w:sz w:val="16"/>
                <w:lang w:val="en-GB"/>
              </w:rPr>
            </w:pPr>
          </w:p>
        </w:tc>
        <w:tc>
          <w:tcPr>
            <w:tcW w:w="6407" w:type="dxa"/>
            <w:tcBorders>
              <w:bottom w:val="single" w:sz="12" w:space="0" w:color="auto"/>
            </w:tcBorders>
            <w:shd w:val="clear" w:color="auto" w:fill="auto"/>
            <w:tcMar>
              <w:top w:w="113" w:type="dxa"/>
              <w:left w:w="0" w:type="dxa"/>
              <w:bottom w:w="113" w:type="dxa"/>
              <w:right w:w="0" w:type="dxa"/>
            </w:tcMar>
            <w:vAlign w:val="bottom"/>
          </w:tcPr>
          <w:p w14:paraId="7760B701" w14:textId="77777777" w:rsidR="00247C82" w:rsidRPr="00247C82" w:rsidRDefault="00247C82" w:rsidP="00615190">
            <w:pPr>
              <w:spacing w:line="240" w:lineRule="atLeast"/>
              <w:rPr>
                <w:rFonts w:ascii="Tahoma" w:hAnsi="Tahoma"/>
                <w:color w:val="000000" w:themeColor="text1"/>
                <w:sz w:val="16"/>
                <w:lang w:val="en-GB"/>
              </w:rPr>
            </w:pPr>
          </w:p>
        </w:tc>
        <w:tc>
          <w:tcPr>
            <w:tcW w:w="1134" w:type="dxa"/>
            <w:tcBorders>
              <w:bottom w:val="single" w:sz="12" w:space="0" w:color="auto"/>
            </w:tcBorders>
            <w:shd w:val="clear" w:color="auto" w:fill="auto"/>
            <w:tcMar>
              <w:top w:w="113" w:type="dxa"/>
              <w:left w:w="0" w:type="dxa"/>
              <w:bottom w:w="113" w:type="dxa"/>
              <w:right w:w="0" w:type="dxa"/>
            </w:tcMar>
            <w:vAlign w:val="bottom"/>
          </w:tcPr>
          <w:p w14:paraId="5459A6BC" w14:textId="77777777" w:rsidR="00247C82" w:rsidRPr="00247C82" w:rsidRDefault="00247C82" w:rsidP="00B53BDB">
            <w:pPr>
              <w:spacing w:line="240" w:lineRule="atLeast"/>
              <w:jc w:val="right"/>
              <w:rPr>
                <w:rFonts w:ascii="Tahoma" w:hAnsi="Tahoma"/>
                <w:b/>
                <w:bCs/>
                <w:color w:val="000000" w:themeColor="text1"/>
                <w:sz w:val="16"/>
                <w:lang w:val="en-GB"/>
              </w:rPr>
            </w:pPr>
            <w:r w:rsidRPr="00247C82">
              <w:rPr>
                <w:rFonts w:ascii="Tahoma" w:hAnsi="Tahoma"/>
                <w:b/>
                <w:bCs/>
                <w:color w:val="000000" w:themeColor="text1"/>
                <w:sz w:val="16"/>
                <w:lang w:val="en-GB"/>
              </w:rPr>
              <w:t>2022</w:t>
            </w:r>
          </w:p>
          <w:p w14:paraId="0E5E606D" w14:textId="77777777" w:rsidR="00247C82" w:rsidRPr="00247C82" w:rsidRDefault="00247C82" w:rsidP="00B53BDB">
            <w:pPr>
              <w:spacing w:line="240" w:lineRule="atLeast"/>
              <w:jc w:val="right"/>
              <w:rPr>
                <w:rFonts w:ascii="Tahoma" w:hAnsi="Tahoma"/>
                <w:b/>
                <w:bCs/>
                <w:color w:val="000000" w:themeColor="text1"/>
                <w:sz w:val="16"/>
                <w:lang w:val="en-GB"/>
              </w:rPr>
            </w:pPr>
            <w:proofErr w:type="spellStart"/>
            <w:r w:rsidRPr="00247C82">
              <w:rPr>
                <w:rFonts w:ascii="Tahoma" w:hAnsi="Tahoma"/>
                <w:b/>
                <w:bCs/>
                <w:color w:val="000000" w:themeColor="text1"/>
                <w:sz w:val="16"/>
                <w:lang w:val="en-GB"/>
              </w:rPr>
              <w:t>US$’m</w:t>
            </w:r>
            <w:proofErr w:type="spellEnd"/>
          </w:p>
        </w:tc>
        <w:tc>
          <w:tcPr>
            <w:tcW w:w="1134" w:type="dxa"/>
            <w:tcBorders>
              <w:bottom w:val="single" w:sz="12" w:space="0" w:color="auto"/>
            </w:tcBorders>
            <w:shd w:val="clear" w:color="auto" w:fill="auto"/>
            <w:tcMar>
              <w:top w:w="113" w:type="dxa"/>
              <w:left w:w="0" w:type="dxa"/>
              <w:bottom w:w="113" w:type="dxa"/>
              <w:right w:w="0" w:type="dxa"/>
            </w:tcMar>
            <w:vAlign w:val="bottom"/>
          </w:tcPr>
          <w:p w14:paraId="55A5FF2D" w14:textId="77777777" w:rsidR="00247C82" w:rsidRPr="00247C82" w:rsidRDefault="00247C82" w:rsidP="00B53BDB">
            <w:pPr>
              <w:spacing w:line="240" w:lineRule="atLeast"/>
              <w:jc w:val="right"/>
              <w:rPr>
                <w:rFonts w:ascii="Tahoma" w:hAnsi="Tahoma"/>
                <w:color w:val="000000" w:themeColor="text1"/>
                <w:sz w:val="16"/>
                <w:lang w:val="en-GB"/>
              </w:rPr>
            </w:pPr>
            <w:r w:rsidRPr="00247C82">
              <w:rPr>
                <w:rFonts w:ascii="Tahoma" w:hAnsi="Tahoma"/>
                <w:color w:val="000000" w:themeColor="text1"/>
                <w:sz w:val="16"/>
                <w:lang w:val="en-GB"/>
              </w:rPr>
              <w:t>2021</w:t>
            </w:r>
          </w:p>
          <w:p w14:paraId="5C3B496C" w14:textId="77777777" w:rsidR="00247C82" w:rsidRPr="00247C82" w:rsidRDefault="00247C82" w:rsidP="00B53BDB">
            <w:pPr>
              <w:spacing w:line="240" w:lineRule="atLeast"/>
              <w:jc w:val="right"/>
              <w:rPr>
                <w:rFonts w:ascii="Tahoma" w:hAnsi="Tahoma"/>
                <w:color w:val="000000" w:themeColor="text1"/>
                <w:sz w:val="16"/>
                <w:lang w:val="en-GB"/>
              </w:rPr>
            </w:pPr>
            <w:proofErr w:type="spellStart"/>
            <w:r w:rsidRPr="00247C82">
              <w:rPr>
                <w:rFonts w:ascii="Tahoma" w:hAnsi="Tahoma"/>
                <w:color w:val="000000" w:themeColor="text1"/>
                <w:sz w:val="16"/>
                <w:lang w:val="en-GB"/>
              </w:rPr>
              <w:t>US$’m</w:t>
            </w:r>
            <w:proofErr w:type="spellEnd"/>
          </w:p>
        </w:tc>
        <w:tc>
          <w:tcPr>
            <w:tcW w:w="1134" w:type="dxa"/>
            <w:tcBorders>
              <w:bottom w:val="single" w:sz="12" w:space="0" w:color="auto"/>
            </w:tcBorders>
            <w:shd w:val="clear" w:color="auto" w:fill="auto"/>
            <w:tcMar>
              <w:top w:w="113" w:type="dxa"/>
              <w:left w:w="0" w:type="dxa"/>
              <w:bottom w:w="113" w:type="dxa"/>
              <w:right w:w="0" w:type="dxa"/>
            </w:tcMar>
            <w:vAlign w:val="bottom"/>
          </w:tcPr>
          <w:p w14:paraId="697C9989" w14:textId="77777777" w:rsidR="00247C82" w:rsidRPr="00247C82" w:rsidRDefault="00247C82" w:rsidP="00B53BDB">
            <w:pPr>
              <w:spacing w:line="240" w:lineRule="atLeast"/>
              <w:jc w:val="right"/>
              <w:rPr>
                <w:rFonts w:ascii="Tahoma" w:hAnsi="Tahoma"/>
                <w:color w:val="000000" w:themeColor="text1"/>
                <w:sz w:val="16"/>
                <w:lang w:val="en-GB"/>
              </w:rPr>
            </w:pPr>
            <w:r w:rsidRPr="00247C82">
              <w:rPr>
                <w:rFonts w:ascii="Tahoma" w:hAnsi="Tahoma"/>
                <w:color w:val="000000" w:themeColor="text1"/>
                <w:sz w:val="16"/>
                <w:lang w:val="en-GB"/>
              </w:rPr>
              <w:t>2022</w:t>
            </w:r>
          </w:p>
          <w:p w14:paraId="6C1B0CC9" w14:textId="77777777" w:rsidR="00247C82" w:rsidRPr="00247C82" w:rsidRDefault="00247C82" w:rsidP="00B53BDB">
            <w:pPr>
              <w:spacing w:line="240" w:lineRule="atLeast"/>
              <w:jc w:val="right"/>
              <w:rPr>
                <w:rFonts w:ascii="Tahoma" w:hAnsi="Tahoma"/>
                <w:color w:val="000000" w:themeColor="text1"/>
                <w:sz w:val="16"/>
                <w:lang w:val="en-GB"/>
              </w:rPr>
            </w:pPr>
            <w:proofErr w:type="spellStart"/>
            <w:r w:rsidRPr="00247C82">
              <w:rPr>
                <w:rFonts w:ascii="Tahoma" w:hAnsi="Tahoma"/>
                <w:color w:val="000000" w:themeColor="text1"/>
                <w:sz w:val="16"/>
                <w:lang w:val="en-GB"/>
              </w:rPr>
              <w:t>US$’m</w:t>
            </w:r>
            <w:proofErr w:type="spellEnd"/>
          </w:p>
        </w:tc>
      </w:tr>
      <w:tr w:rsidR="00615190" w:rsidRPr="00247C82" w14:paraId="2F2D0341" w14:textId="77777777" w:rsidTr="0072175C">
        <w:trPr>
          <w:trHeight w:val="60"/>
        </w:trPr>
        <w:tc>
          <w:tcPr>
            <w:tcW w:w="397" w:type="dxa"/>
            <w:shd w:val="clear" w:color="auto" w:fill="auto"/>
            <w:tcMar>
              <w:top w:w="142" w:type="dxa"/>
              <w:left w:w="0" w:type="dxa"/>
              <w:bottom w:w="40" w:type="dxa"/>
              <w:right w:w="0" w:type="dxa"/>
            </w:tcMar>
            <w:vAlign w:val="bottom"/>
          </w:tcPr>
          <w:p w14:paraId="2ADFC925" w14:textId="77777777" w:rsidR="00247C82" w:rsidRPr="00247C82" w:rsidRDefault="00247C82" w:rsidP="00615190">
            <w:pPr>
              <w:spacing w:line="240" w:lineRule="atLeast"/>
              <w:rPr>
                <w:rFonts w:ascii="Tahoma" w:hAnsi="Tahoma"/>
                <w:color w:val="000000" w:themeColor="text1"/>
                <w:sz w:val="16"/>
                <w:lang w:val="en-GB"/>
              </w:rPr>
            </w:pPr>
          </w:p>
        </w:tc>
        <w:tc>
          <w:tcPr>
            <w:tcW w:w="6407" w:type="dxa"/>
            <w:tcBorders>
              <w:top w:val="single" w:sz="12" w:space="0" w:color="auto"/>
            </w:tcBorders>
            <w:shd w:val="clear" w:color="auto" w:fill="auto"/>
            <w:tcMar>
              <w:top w:w="142" w:type="dxa"/>
              <w:left w:w="0" w:type="dxa"/>
              <w:bottom w:w="40" w:type="dxa"/>
              <w:right w:w="0" w:type="dxa"/>
            </w:tcMar>
            <w:vAlign w:val="bottom"/>
          </w:tcPr>
          <w:p w14:paraId="66346868" w14:textId="77777777" w:rsidR="00247C82" w:rsidRPr="00247C82" w:rsidRDefault="00247C82" w:rsidP="00615190">
            <w:pPr>
              <w:spacing w:line="240" w:lineRule="atLeast"/>
              <w:rPr>
                <w:rFonts w:ascii="Tahoma" w:hAnsi="Tahoma"/>
                <w:color w:val="000000" w:themeColor="text1"/>
                <w:sz w:val="16"/>
                <w:lang w:val="en-GB"/>
              </w:rPr>
            </w:pPr>
            <w:r w:rsidRPr="00247C82">
              <w:rPr>
                <w:rFonts w:ascii="Tahoma" w:hAnsi="Tahoma"/>
                <w:color w:val="000000" w:themeColor="text1"/>
                <w:sz w:val="16"/>
                <w:lang w:val="en-GB"/>
              </w:rPr>
              <w:t>Net cash generated from operating activities</w:t>
            </w:r>
          </w:p>
        </w:tc>
        <w:tc>
          <w:tcPr>
            <w:tcW w:w="1134" w:type="dxa"/>
            <w:tcBorders>
              <w:top w:val="single" w:sz="12" w:space="0" w:color="auto"/>
            </w:tcBorders>
            <w:shd w:val="clear" w:color="auto" w:fill="auto"/>
            <w:tcMar>
              <w:top w:w="142" w:type="dxa"/>
              <w:left w:w="0" w:type="dxa"/>
              <w:bottom w:w="40" w:type="dxa"/>
              <w:right w:w="0" w:type="dxa"/>
            </w:tcMar>
            <w:vAlign w:val="bottom"/>
          </w:tcPr>
          <w:p w14:paraId="03964111" w14:textId="77777777" w:rsidR="00247C82" w:rsidRPr="00247C82" w:rsidRDefault="00247C82" w:rsidP="00B53BDB">
            <w:pPr>
              <w:spacing w:line="240" w:lineRule="atLeast"/>
              <w:jc w:val="right"/>
              <w:rPr>
                <w:rFonts w:ascii="Tahoma" w:hAnsi="Tahoma"/>
                <w:b/>
                <w:bCs/>
                <w:color w:val="000000" w:themeColor="text1"/>
                <w:sz w:val="16"/>
                <w:lang w:val="en-GB"/>
              </w:rPr>
            </w:pPr>
            <w:r w:rsidRPr="00247C82">
              <w:rPr>
                <w:rFonts w:ascii="Tahoma" w:hAnsi="Tahoma"/>
                <w:b/>
                <w:bCs/>
                <w:color w:val="000000" w:themeColor="text1"/>
                <w:sz w:val="16"/>
                <w:lang w:val="en-GB"/>
              </w:rPr>
              <w:t>248</w:t>
            </w:r>
          </w:p>
        </w:tc>
        <w:tc>
          <w:tcPr>
            <w:tcW w:w="1134" w:type="dxa"/>
            <w:tcBorders>
              <w:top w:val="single" w:sz="12" w:space="0" w:color="auto"/>
            </w:tcBorders>
            <w:shd w:val="clear" w:color="auto" w:fill="auto"/>
            <w:tcMar>
              <w:top w:w="142" w:type="dxa"/>
              <w:left w:w="0" w:type="dxa"/>
              <w:bottom w:w="40" w:type="dxa"/>
              <w:right w:w="0" w:type="dxa"/>
            </w:tcMar>
            <w:vAlign w:val="bottom"/>
          </w:tcPr>
          <w:p w14:paraId="364AD024" w14:textId="77777777" w:rsidR="00247C82" w:rsidRPr="00247C82" w:rsidRDefault="00247C82" w:rsidP="00B53BDB">
            <w:pPr>
              <w:spacing w:line="240" w:lineRule="atLeast"/>
              <w:jc w:val="right"/>
              <w:rPr>
                <w:rFonts w:ascii="Tahoma" w:hAnsi="Tahoma"/>
                <w:color w:val="000000" w:themeColor="text1"/>
                <w:sz w:val="16"/>
                <w:lang w:val="en-GB"/>
              </w:rPr>
            </w:pPr>
            <w:r w:rsidRPr="00247C82">
              <w:rPr>
                <w:rFonts w:ascii="Tahoma" w:hAnsi="Tahoma"/>
                <w:color w:val="000000" w:themeColor="text1"/>
                <w:sz w:val="16"/>
                <w:lang w:val="en-GB"/>
              </w:rPr>
              <w:t>161</w:t>
            </w:r>
          </w:p>
        </w:tc>
        <w:tc>
          <w:tcPr>
            <w:tcW w:w="1134" w:type="dxa"/>
            <w:tcBorders>
              <w:top w:val="single" w:sz="12" w:space="0" w:color="auto"/>
            </w:tcBorders>
            <w:shd w:val="clear" w:color="auto" w:fill="auto"/>
            <w:tcMar>
              <w:top w:w="142" w:type="dxa"/>
              <w:left w:w="0" w:type="dxa"/>
              <w:bottom w:w="40" w:type="dxa"/>
              <w:right w:w="0" w:type="dxa"/>
            </w:tcMar>
            <w:vAlign w:val="bottom"/>
          </w:tcPr>
          <w:p w14:paraId="6F1FB9EF" w14:textId="77777777" w:rsidR="00247C82" w:rsidRPr="00247C82" w:rsidRDefault="00247C82" w:rsidP="00B53BDB">
            <w:pPr>
              <w:spacing w:line="240" w:lineRule="atLeast"/>
              <w:jc w:val="right"/>
              <w:rPr>
                <w:rFonts w:ascii="Tahoma" w:hAnsi="Tahoma"/>
                <w:color w:val="000000" w:themeColor="text1"/>
                <w:sz w:val="16"/>
                <w:lang w:val="en-GB"/>
              </w:rPr>
            </w:pPr>
            <w:r w:rsidRPr="00247C82">
              <w:rPr>
                <w:rFonts w:ascii="Tahoma" w:hAnsi="Tahoma"/>
                <w:color w:val="000000" w:themeColor="text1"/>
                <w:sz w:val="16"/>
                <w:lang w:val="en-GB"/>
              </w:rPr>
              <w:t>238</w:t>
            </w:r>
          </w:p>
        </w:tc>
      </w:tr>
      <w:tr w:rsidR="00615190" w:rsidRPr="00247C82" w14:paraId="5F26AF6E" w14:textId="77777777" w:rsidTr="00002031">
        <w:trPr>
          <w:trHeight w:val="60"/>
        </w:trPr>
        <w:tc>
          <w:tcPr>
            <w:tcW w:w="397" w:type="dxa"/>
            <w:shd w:val="clear" w:color="auto" w:fill="auto"/>
            <w:tcMar>
              <w:top w:w="40" w:type="dxa"/>
              <w:left w:w="0" w:type="dxa"/>
              <w:bottom w:w="40" w:type="dxa"/>
              <w:right w:w="0" w:type="dxa"/>
            </w:tcMar>
            <w:vAlign w:val="bottom"/>
          </w:tcPr>
          <w:p w14:paraId="6CE2B126" w14:textId="77777777" w:rsidR="00247C82" w:rsidRPr="00247C82" w:rsidRDefault="00247C82" w:rsidP="00615190">
            <w:pPr>
              <w:spacing w:line="240" w:lineRule="atLeast"/>
              <w:rPr>
                <w:rFonts w:ascii="Tahoma" w:hAnsi="Tahoma"/>
                <w:color w:val="000000" w:themeColor="text1"/>
                <w:sz w:val="16"/>
                <w:lang w:val="en-GB"/>
              </w:rPr>
            </w:pPr>
          </w:p>
        </w:tc>
        <w:tc>
          <w:tcPr>
            <w:tcW w:w="6407" w:type="dxa"/>
            <w:shd w:val="clear" w:color="auto" w:fill="auto"/>
            <w:tcMar>
              <w:top w:w="40" w:type="dxa"/>
              <w:left w:w="0" w:type="dxa"/>
              <w:bottom w:w="40" w:type="dxa"/>
              <w:right w:w="0" w:type="dxa"/>
            </w:tcMar>
            <w:vAlign w:val="bottom"/>
          </w:tcPr>
          <w:p w14:paraId="4FB2E528" w14:textId="77777777" w:rsidR="00247C82" w:rsidRPr="00247C82" w:rsidRDefault="00247C82" w:rsidP="00615190">
            <w:pPr>
              <w:spacing w:line="240" w:lineRule="atLeast"/>
              <w:rPr>
                <w:rFonts w:ascii="Tahoma" w:hAnsi="Tahoma"/>
                <w:color w:val="000000" w:themeColor="text1"/>
                <w:sz w:val="16"/>
                <w:lang w:val="en-GB"/>
              </w:rPr>
            </w:pPr>
            <w:r w:rsidRPr="00247C82">
              <w:rPr>
                <w:rFonts w:ascii="Tahoma" w:hAnsi="Tahoma"/>
                <w:color w:val="000000" w:themeColor="text1"/>
                <w:sz w:val="16"/>
                <w:lang w:val="en-GB"/>
              </w:rPr>
              <w:t>Net cash utilised in investing activities</w:t>
            </w:r>
          </w:p>
        </w:tc>
        <w:tc>
          <w:tcPr>
            <w:tcW w:w="1134" w:type="dxa"/>
            <w:shd w:val="clear" w:color="auto" w:fill="auto"/>
            <w:tcMar>
              <w:top w:w="40" w:type="dxa"/>
              <w:left w:w="0" w:type="dxa"/>
              <w:bottom w:w="40" w:type="dxa"/>
              <w:right w:w="0" w:type="dxa"/>
            </w:tcMar>
            <w:vAlign w:val="bottom"/>
          </w:tcPr>
          <w:p w14:paraId="1D0E0E2B" w14:textId="77777777" w:rsidR="00247C82" w:rsidRPr="00247C82" w:rsidRDefault="00247C82" w:rsidP="00B53BDB">
            <w:pPr>
              <w:spacing w:line="240" w:lineRule="atLeast"/>
              <w:jc w:val="right"/>
              <w:rPr>
                <w:rFonts w:ascii="Tahoma" w:hAnsi="Tahoma"/>
                <w:b/>
                <w:bCs/>
                <w:color w:val="000000" w:themeColor="text1"/>
                <w:sz w:val="16"/>
                <w:lang w:val="en-GB"/>
              </w:rPr>
            </w:pPr>
            <w:r w:rsidRPr="00247C82">
              <w:rPr>
                <w:rFonts w:ascii="Tahoma" w:hAnsi="Tahoma"/>
                <w:b/>
                <w:bCs/>
                <w:color w:val="000000" w:themeColor="text1"/>
                <w:sz w:val="16"/>
                <w:lang w:val="en-GB"/>
              </w:rPr>
              <w:t>(33)</w:t>
            </w:r>
          </w:p>
        </w:tc>
        <w:tc>
          <w:tcPr>
            <w:tcW w:w="1134" w:type="dxa"/>
            <w:shd w:val="clear" w:color="auto" w:fill="auto"/>
            <w:tcMar>
              <w:top w:w="40" w:type="dxa"/>
              <w:left w:w="0" w:type="dxa"/>
              <w:bottom w:w="40" w:type="dxa"/>
              <w:right w:w="0" w:type="dxa"/>
            </w:tcMar>
            <w:vAlign w:val="bottom"/>
          </w:tcPr>
          <w:p w14:paraId="3F424AE8" w14:textId="77777777" w:rsidR="00247C82" w:rsidRPr="00247C82" w:rsidRDefault="00247C82" w:rsidP="00B53BDB">
            <w:pPr>
              <w:spacing w:line="240" w:lineRule="atLeast"/>
              <w:jc w:val="right"/>
              <w:rPr>
                <w:rFonts w:ascii="Tahoma" w:hAnsi="Tahoma"/>
                <w:color w:val="000000" w:themeColor="text1"/>
                <w:sz w:val="16"/>
                <w:lang w:val="en-GB"/>
              </w:rPr>
            </w:pPr>
            <w:r w:rsidRPr="00247C82">
              <w:rPr>
                <w:rFonts w:ascii="Tahoma" w:hAnsi="Tahoma"/>
                <w:color w:val="000000" w:themeColor="text1"/>
                <w:sz w:val="16"/>
                <w:lang w:val="en-GB"/>
              </w:rPr>
              <w:t>(4)</w:t>
            </w:r>
          </w:p>
        </w:tc>
        <w:tc>
          <w:tcPr>
            <w:tcW w:w="1134" w:type="dxa"/>
            <w:shd w:val="clear" w:color="auto" w:fill="auto"/>
            <w:tcMar>
              <w:top w:w="40" w:type="dxa"/>
              <w:left w:w="0" w:type="dxa"/>
              <w:bottom w:w="40" w:type="dxa"/>
              <w:right w:w="0" w:type="dxa"/>
            </w:tcMar>
            <w:vAlign w:val="bottom"/>
          </w:tcPr>
          <w:p w14:paraId="6D408477" w14:textId="77777777" w:rsidR="00247C82" w:rsidRPr="00247C82" w:rsidRDefault="00247C82" w:rsidP="00B53BDB">
            <w:pPr>
              <w:spacing w:line="240" w:lineRule="atLeast"/>
              <w:jc w:val="right"/>
              <w:rPr>
                <w:rFonts w:ascii="Tahoma" w:hAnsi="Tahoma"/>
                <w:color w:val="000000" w:themeColor="text1"/>
                <w:sz w:val="16"/>
                <w:lang w:val="en-GB"/>
              </w:rPr>
            </w:pPr>
            <w:r w:rsidRPr="00247C82">
              <w:rPr>
                <w:rFonts w:ascii="Tahoma" w:hAnsi="Tahoma"/>
                <w:color w:val="000000" w:themeColor="text1"/>
                <w:sz w:val="16"/>
                <w:lang w:val="en-GB"/>
              </w:rPr>
              <w:t>(33)</w:t>
            </w:r>
          </w:p>
        </w:tc>
      </w:tr>
      <w:tr w:rsidR="00615190" w:rsidRPr="00247C82" w14:paraId="3FD16E7D" w14:textId="77777777" w:rsidTr="00002031">
        <w:trPr>
          <w:trHeight w:val="60"/>
        </w:trPr>
        <w:tc>
          <w:tcPr>
            <w:tcW w:w="397" w:type="dxa"/>
            <w:shd w:val="clear" w:color="auto" w:fill="auto"/>
            <w:tcMar>
              <w:top w:w="40" w:type="dxa"/>
              <w:left w:w="0" w:type="dxa"/>
              <w:bottom w:w="68" w:type="dxa"/>
              <w:right w:w="0" w:type="dxa"/>
            </w:tcMar>
            <w:vAlign w:val="bottom"/>
          </w:tcPr>
          <w:p w14:paraId="6A2505DF" w14:textId="77777777" w:rsidR="00247C82" w:rsidRPr="00247C82" w:rsidRDefault="00247C82" w:rsidP="00615190">
            <w:pPr>
              <w:spacing w:line="240" w:lineRule="atLeast"/>
              <w:rPr>
                <w:rFonts w:ascii="Tahoma" w:hAnsi="Tahoma"/>
                <w:color w:val="000000" w:themeColor="text1"/>
                <w:sz w:val="16"/>
                <w:lang w:val="en-GB"/>
              </w:rPr>
            </w:pPr>
          </w:p>
        </w:tc>
        <w:tc>
          <w:tcPr>
            <w:tcW w:w="6407" w:type="dxa"/>
            <w:tcBorders>
              <w:bottom w:val="single" w:sz="4" w:space="0" w:color="auto"/>
            </w:tcBorders>
            <w:shd w:val="clear" w:color="auto" w:fill="auto"/>
            <w:tcMar>
              <w:top w:w="40" w:type="dxa"/>
              <w:left w:w="0" w:type="dxa"/>
              <w:bottom w:w="68" w:type="dxa"/>
              <w:right w:w="0" w:type="dxa"/>
            </w:tcMar>
            <w:vAlign w:val="bottom"/>
          </w:tcPr>
          <w:p w14:paraId="295F1FF8" w14:textId="77777777" w:rsidR="00247C82" w:rsidRPr="00247C82" w:rsidRDefault="00247C82" w:rsidP="00615190">
            <w:pPr>
              <w:spacing w:line="240" w:lineRule="atLeast"/>
              <w:rPr>
                <w:rFonts w:ascii="Tahoma" w:hAnsi="Tahoma"/>
                <w:color w:val="000000" w:themeColor="text1"/>
                <w:sz w:val="16"/>
                <w:lang w:val="en-GB"/>
              </w:rPr>
            </w:pPr>
            <w:r w:rsidRPr="00247C82">
              <w:rPr>
                <w:rFonts w:ascii="Tahoma" w:hAnsi="Tahoma"/>
                <w:color w:val="000000" w:themeColor="text1"/>
                <w:sz w:val="16"/>
                <w:lang w:val="en-GB"/>
              </w:rPr>
              <w:t>Net cash utilised in financing activities</w:t>
            </w:r>
          </w:p>
        </w:tc>
        <w:tc>
          <w:tcPr>
            <w:tcW w:w="1134" w:type="dxa"/>
            <w:tcBorders>
              <w:bottom w:val="single" w:sz="4" w:space="0" w:color="auto"/>
            </w:tcBorders>
            <w:shd w:val="clear" w:color="auto" w:fill="auto"/>
            <w:tcMar>
              <w:top w:w="40" w:type="dxa"/>
              <w:left w:w="0" w:type="dxa"/>
              <w:bottom w:w="68" w:type="dxa"/>
              <w:right w:w="0" w:type="dxa"/>
            </w:tcMar>
            <w:vAlign w:val="bottom"/>
          </w:tcPr>
          <w:p w14:paraId="415A2C69" w14:textId="77777777" w:rsidR="00247C82" w:rsidRPr="00247C82" w:rsidRDefault="00247C82" w:rsidP="00B53BDB">
            <w:pPr>
              <w:spacing w:line="240" w:lineRule="atLeast"/>
              <w:jc w:val="right"/>
              <w:rPr>
                <w:rFonts w:ascii="Tahoma" w:hAnsi="Tahoma"/>
                <w:b/>
                <w:bCs/>
                <w:color w:val="000000" w:themeColor="text1"/>
                <w:sz w:val="16"/>
                <w:lang w:val="en-GB"/>
              </w:rPr>
            </w:pPr>
            <w:r w:rsidRPr="00247C82">
              <w:rPr>
                <w:rFonts w:ascii="Tahoma" w:hAnsi="Tahoma"/>
                <w:b/>
                <w:bCs/>
                <w:color w:val="000000" w:themeColor="text1"/>
                <w:sz w:val="16"/>
                <w:lang w:val="en-GB"/>
              </w:rPr>
              <w:t>(7)</w:t>
            </w:r>
          </w:p>
        </w:tc>
        <w:tc>
          <w:tcPr>
            <w:tcW w:w="1134" w:type="dxa"/>
            <w:tcBorders>
              <w:bottom w:val="single" w:sz="4" w:space="0" w:color="auto"/>
            </w:tcBorders>
            <w:shd w:val="clear" w:color="auto" w:fill="auto"/>
            <w:tcMar>
              <w:top w:w="40" w:type="dxa"/>
              <w:left w:w="0" w:type="dxa"/>
              <w:bottom w:w="68" w:type="dxa"/>
              <w:right w:w="0" w:type="dxa"/>
            </w:tcMar>
            <w:vAlign w:val="bottom"/>
          </w:tcPr>
          <w:p w14:paraId="3B667E47" w14:textId="77777777" w:rsidR="00247C82" w:rsidRPr="00247C82" w:rsidRDefault="00247C82" w:rsidP="00B53BDB">
            <w:pPr>
              <w:spacing w:line="240" w:lineRule="atLeast"/>
              <w:jc w:val="right"/>
              <w:rPr>
                <w:rFonts w:ascii="Tahoma" w:hAnsi="Tahoma"/>
                <w:color w:val="000000" w:themeColor="text1"/>
                <w:sz w:val="16"/>
                <w:lang w:val="en-GB"/>
              </w:rPr>
            </w:pPr>
            <w:r w:rsidRPr="00247C82">
              <w:rPr>
                <w:rFonts w:ascii="Tahoma" w:hAnsi="Tahoma"/>
                <w:color w:val="000000" w:themeColor="text1"/>
                <w:sz w:val="16"/>
                <w:lang w:val="en-GB"/>
              </w:rPr>
              <w:t>(128)</w:t>
            </w:r>
          </w:p>
        </w:tc>
        <w:tc>
          <w:tcPr>
            <w:tcW w:w="1134" w:type="dxa"/>
            <w:tcBorders>
              <w:bottom w:val="single" w:sz="4" w:space="0" w:color="auto"/>
            </w:tcBorders>
            <w:shd w:val="clear" w:color="auto" w:fill="auto"/>
            <w:tcMar>
              <w:top w:w="40" w:type="dxa"/>
              <w:left w:w="0" w:type="dxa"/>
              <w:bottom w:w="68" w:type="dxa"/>
              <w:right w:w="0" w:type="dxa"/>
            </w:tcMar>
            <w:vAlign w:val="bottom"/>
          </w:tcPr>
          <w:p w14:paraId="6607443B" w14:textId="77777777" w:rsidR="00247C82" w:rsidRPr="00247C82" w:rsidRDefault="00247C82" w:rsidP="00B53BDB">
            <w:pPr>
              <w:spacing w:line="240" w:lineRule="atLeast"/>
              <w:jc w:val="right"/>
              <w:rPr>
                <w:rFonts w:ascii="Tahoma" w:hAnsi="Tahoma"/>
                <w:color w:val="000000" w:themeColor="text1"/>
                <w:sz w:val="16"/>
                <w:lang w:val="en-GB"/>
              </w:rPr>
            </w:pPr>
            <w:r w:rsidRPr="00247C82">
              <w:rPr>
                <w:rFonts w:ascii="Tahoma" w:hAnsi="Tahoma"/>
                <w:color w:val="000000" w:themeColor="text1"/>
                <w:sz w:val="16"/>
                <w:lang w:val="en-GB"/>
              </w:rPr>
              <w:t>(182)</w:t>
            </w:r>
          </w:p>
        </w:tc>
      </w:tr>
      <w:tr w:rsidR="00615190" w:rsidRPr="00247C82" w14:paraId="002B9FF8" w14:textId="77777777" w:rsidTr="00002031">
        <w:trPr>
          <w:trHeight w:val="60"/>
        </w:trPr>
        <w:tc>
          <w:tcPr>
            <w:tcW w:w="397" w:type="dxa"/>
            <w:shd w:val="clear" w:color="auto" w:fill="auto"/>
            <w:tcMar>
              <w:top w:w="68" w:type="dxa"/>
              <w:left w:w="0" w:type="dxa"/>
              <w:bottom w:w="68" w:type="dxa"/>
              <w:right w:w="0" w:type="dxa"/>
            </w:tcMar>
            <w:vAlign w:val="bottom"/>
          </w:tcPr>
          <w:p w14:paraId="60889031" w14:textId="77777777" w:rsidR="00247C82" w:rsidRPr="00247C82" w:rsidRDefault="00247C82" w:rsidP="00615190">
            <w:pPr>
              <w:spacing w:line="240" w:lineRule="atLeast"/>
              <w:rPr>
                <w:rFonts w:ascii="Tahoma" w:hAnsi="Tahoma"/>
                <w:color w:val="000000" w:themeColor="text1"/>
                <w:sz w:val="16"/>
                <w:lang w:val="en-GB"/>
              </w:rPr>
            </w:pPr>
          </w:p>
        </w:tc>
        <w:tc>
          <w:tcPr>
            <w:tcW w:w="6407" w:type="dxa"/>
            <w:tcBorders>
              <w:top w:val="single" w:sz="4" w:space="0" w:color="auto"/>
              <w:bottom w:val="single" w:sz="12" w:space="0" w:color="auto"/>
            </w:tcBorders>
            <w:shd w:val="clear" w:color="auto" w:fill="auto"/>
            <w:tcMar>
              <w:top w:w="68" w:type="dxa"/>
              <w:left w:w="0" w:type="dxa"/>
              <w:bottom w:w="68" w:type="dxa"/>
              <w:right w:w="0" w:type="dxa"/>
            </w:tcMar>
            <w:vAlign w:val="bottom"/>
          </w:tcPr>
          <w:p w14:paraId="72109F62" w14:textId="77777777" w:rsidR="00247C82" w:rsidRPr="00247C82" w:rsidRDefault="00247C82" w:rsidP="00615190">
            <w:pPr>
              <w:spacing w:line="240" w:lineRule="atLeast"/>
              <w:rPr>
                <w:rFonts w:ascii="Tahoma" w:hAnsi="Tahoma"/>
                <w:b/>
                <w:bCs/>
                <w:color w:val="000000" w:themeColor="text1"/>
                <w:sz w:val="16"/>
                <w:lang w:val="en-GB"/>
              </w:rPr>
            </w:pPr>
            <w:r w:rsidRPr="00247C82">
              <w:rPr>
                <w:rFonts w:ascii="Tahoma" w:hAnsi="Tahoma"/>
                <w:b/>
                <w:bCs/>
                <w:color w:val="000000" w:themeColor="text1"/>
                <w:sz w:val="16"/>
                <w:lang w:val="en-GB"/>
              </w:rPr>
              <w:t>Cash generated by discontinued operations</w:t>
            </w:r>
          </w:p>
        </w:tc>
        <w:tc>
          <w:tcPr>
            <w:tcW w:w="1134" w:type="dxa"/>
            <w:tcBorders>
              <w:top w:val="single" w:sz="4" w:space="0" w:color="auto"/>
              <w:bottom w:val="single" w:sz="12" w:space="0" w:color="auto"/>
            </w:tcBorders>
            <w:shd w:val="clear" w:color="auto" w:fill="auto"/>
            <w:tcMar>
              <w:top w:w="68" w:type="dxa"/>
              <w:left w:w="0" w:type="dxa"/>
              <w:bottom w:w="68" w:type="dxa"/>
              <w:right w:w="0" w:type="dxa"/>
            </w:tcMar>
            <w:vAlign w:val="bottom"/>
          </w:tcPr>
          <w:p w14:paraId="02BF6EE9" w14:textId="77777777" w:rsidR="00247C82" w:rsidRPr="00247C82" w:rsidRDefault="00247C82" w:rsidP="00B53BDB">
            <w:pPr>
              <w:spacing w:line="240" w:lineRule="atLeast"/>
              <w:jc w:val="right"/>
              <w:rPr>
                <w:rFonts w:ascii="Tahoma" w:hAnsi="Tahoma"/>
                <w:b/>
                <w:bCs/>
                <w:color w:val="000000" w:themeColor="text1"/>
                <w:sz w:val="16"/>
                <w:lang w:val="en-GB"/>
              </w:rPr>
            </w:pPr>
            <w:r w:rsidRPr="00247C82">
              <w:rPr>
                <w:rFonts w:ascii="Tahoma" w:hAnsi="Tahoma"/>
                <w:b/>
                <w:bCs/>
                <w:color w:val="000000" w:themeColor="text1"/>
                <w:sz w:val="16"/>
                <w:lang w:val="en-GB"/>
              </w:rPr>
              <w:t>208</w:t>
            </w:r>
          </w:p>
        </w:tc>
        <w:tc>
          <w:tcPr>
            <w:tcW w:w="1134" w:type="dxa"/>
            <w:tcBorders>
              <w:top w:val="single" w:sz="4" w:space="0" w:color="auto"/>
              <w:bottom w:val="single" w:sz="12" w:space="0" w:color="auto"/>
            </w:tcBorders>
            <w:shd w:val="clear" w:color="auto" w:fill="auto"/>
            <w:tcMar>
              <w:top w:w="68" w:type="dxa"/>
              <w:left w:w="0" w:type="dxa"/>
              <w:bottom w:w="68" w:type="dxa"/>
              <w:right w:w="0" w:type="dxa"/>
            </w:tcMar>
            <w:vAlign w:val="bottom"/>
          </w:tcPr>
          <w:p w14:paraId="050EA150" w14:textId="77777777" w:rsidR="00247C82" w:rsidRPr="00247C82" w:rsidRDefault="00247C82" w:rsidP="00B53BDB">
            <w:pPr>
              <w:spacing w:line="240" w:lineRule="atLeast"/>
              <w:jc w:val="right"/>
              <w:rPr>
                <w:rFonts w:ascii="Tahoma" w:hAnsi="Tahoma"/>
                <w:color w:val="000000" w:themeColor="text1"/>
                <w:sz w:val="16"/>
                <w:lang w:val="en-GB"/>
              </w:rPr>
            </w:pPr>
            <w:r w:rsidRPr="00247C82">
              <w:rPr>
                <w:rFonts w:ascii="Tahoma" w:hAnsi="Tahoma"/>
                <w:color w:val="000000" w:themeColor="text1"/>
                <w:sz w:val="16"/>
                <w:lang w:val="en-GB"/>
              </w:rPr>
              <w:t>29</w:t>
            </w:r>
          </w:p>
        </w:tc>
        <w:tc>
          <w:tcPr>
            <w:tcW w:w="1134" w:type="dxa"/>
            <w:tcBorders>
              <w:top w:val="single" w:sz="4" w:space="0" w:color="auto"/>
              <w:bottom w:val="single" w:sz="12" w:space="0" w:color="auto"/>
            </w:tcBorders>
            <w:shd w:val="clear" w:color="auto" w:fill="auto"/>
            <w:tcMar>
              <w:top w:w="68" w:type="dxa"/>
              <w:left w:w="0" w:type="dxa"/>
              <w:bottom w:w="68" w:type="dxa"/>
              <w:right w:w="0" w:type="dxa"/>
            </w:tcMar>
            <w:vAlign w:val="bottom"/>
          </w:tcPr>
          <w:p w14:paraId="1D4F242D" w14:textId="77777777" w:rsidR="00247C82" w:rsidRPr="00247C82" w:rsidRDefault="00247C82" w:rsidP="00B53BDB">
            <w:pPr>
              <w:spacing w:line="240" w:lineRule="atLeast"/>
              <w:jc w:val="right"/>
              <w:rPr>
                <w:rFonts w:ascii="Tahoma" w:hAnsi="Tahoma"/>
                <w:color w:val="000000" w:themeColor="text1"/>
                <w:sz w:val="16"/>
                <w:lang w:val="en-GB"/>
              </w:rPr>
            </w:pPr>
            <w:r w:rsidRPr="00247C82">
              <w:rPr>
                <w:rFonts w:ascii="Tahoma" w:hAnsi="Tahoma"/>
                <w:color w:val="000000" w:themeColor="text1"/>
                <w:sz w:val="16"/>
                <w:lang w:val="en-GB"/>
              </w:rPr>
              <w:t>23</w:t>
            </w:r>
          </w:p>
        </w:tc>
      </w:tr>
    </w:tbl>
    <w:p w14:paraId="24A49838" w14:textId="77777777" w:rsidR="00247C82" w:rsidRPr="00615190" w:rsidRDefault="00247C82" w:rsidP="00615190">
      <w:pPr>
        <w:spacing w:line="240" w:lineRule="atLeast"/>
        <w:rPr>
          <w:rFonts w:ascii="Tahoma" w:hAnsi="Tahoma"/>
          <w:color w:val="000000" w:themeColor="text1"/>
          <w:sz w:val="16"/>
        </w:rPr>
      </w:pPr>
    </w:p>
    <w:tbl>
      <w:tblPr>
        <w:tblW w:w="10206" w:type="dxa"/>
        <w:tblInd w:w="-8" w:type="dxa"/>
        <w:tblLayout w:type="fixed"/>
        <w:tblCellMar>
          <w:left w:w="0" w:type="dxa"/>
          <w:right w:w="0" w:type="dxa"/>
        </w:tblCellMar>
        <w:tblLook w:val="0000" w:firstRow="0" w:lastRow="0" w:firstColumn="0" w:lastColumn="0" w:noHBand="0" w:noVBand="0"/>
      </w:tblPr>
      <w:tblGrid>
        <w:gridCol w:w="397"/>
        <w:gridCol w:w="6407"/>
        <w:gridCol w:w="1134"/>
        <w:gridCol w:w="1134"/>
        <w:gridCol w:w="1134"/>
      </w:tblGrid>
      <w:tr w:rsidR="00615190" w:rsidRPr="0059083C" w14:paraId="2D9766FA" w14:textId="77777777" w:rsidTr="002048AF">
        <w:trPr>
          <w:trHeight w:val="60"/>
        </w:trPr>
        <w:tc>
          <w:tcPr>
            <w:tcW w:w="397" w:type="dxa"/>
            <w:shd w:val="clear" w:color="auto" w:fill="auto"/>
            <w:tcMar>
              <w:top w:w="142" w:type="dxa"/>
              <w:left w:w="0" w:type="dxa"/>
              <w:bottom w:w="113" w:type="dxa"/>
              <w:right w:w="0" w:type="dxa"/>
            </w:tcMar>
            <w:vAlign w:val="bottom"/>
          </w:tcPr>
          <w:p w14:paraId="59705122" w14:textId="77777777" w:rsidR="0059083C" w:rsidRPr="0059083C" w:rsidRDefault="0059083C" w:rsidP="00615190">
            <w:pPr>
              <w:spacing w:line="240" w:lineRule="atLeast"/>
              <w:rPr>
                <w:rFonts w:ascii="Tahoma" w:hAnsi="Tahoma"/>
                <w:color w:val="000000" w:themeColor="text1"/>
                <w:sz w:val="16"/>
                <w:lang w:val="en-GB"/>
              </w:rPr>
            </w:pPr>
          </w:p>
        </w:tc>
        <w:tc>
          <w:tcPr>
            <w:tcW w:w="9809" w:type="dxa"/>
            <w:gridSpan w:val="4"/>
            <w:shd w:val="clear" w:color="auto" w:fill="auto"/>
            <w:tcMar>
              <w:top w:w="142" w:type="dxa"/>
              <w:left w:w="0" w:type="dxa"/>
              <w:bottom w:w="113" w:type="dxa"/>
              <w:right w:w="0" w:type="dxa"/>
            </w:tcMar>
            <w:vAlign w:val="bottom"/>
          </w:tcPr>
          <w:p w14:paraId="44E55915" w14:textId="77777777" w:rsidR="0059083C" w:rsidRPr="0059083C" w:rsidRDefault="0059083C" w:rsidP="00615190">
            <w:pPr>
              <w:spacing w:line="240" w:lineRule="atLeast"/>
              <w:rPr>
                <w:rFonts w:ascii="Tahoma" w:hAnsi="Tahoma"/>
                <w:b/>
                <w:bCs/>
                <w:color w:val="000000" w:themeColor="text1"/>
                <w:sz w:val="16"/>
                <w:lang w:val="en-GB"/>
              </w:rPr>
            </w:pPr>
            <w:r w:rsidRPr="0059083C">
              <w:rPr>
                <w:rFonts w:ascii="Tahoma" w:hAnsi="Tahoma"/>
                <w:b/>
                <w:bCs/>
                <w:color w:val="000000" w:themeColor="text1"/>
                <w:sz w:val="16"/>
                <w:lang w:val="en-GB"/>
              </w:rPr>
              <w:t>Per share information from discontinued operations</w:t>
            </w:r>
            <w:r w:rsidRPr="0059083C">
              <w:rPr>
                <w:rFonts w:ascii="Tahoma" w:hAnsi="Tahoma"/>
                <w:b/>
                <w:bCs/>
                <w:color w:val="000000" w:themeColor="text1"/>
                <w:sz w:val="16"/>
                <w:vertAlign w:val="superscript"/>
                <w:lang w:val="en-GB"/>
              </w:rPr>
              <w:t>1</w:t>
            </w:r>
          </w:p>
        </w:tc>
      </w:tr>
      <w:tr w:rsidR="00615190" w:rsidRPr="0059083C" w14:paraId="30D5DBF5" w14:textId="77777777" w:rsidTr="005D0953">
        <w:trPr>
          <w:trHeight w:val="742"/>
        </w:trPr>
        <w:tc>
          <w:tcPr>
            <w:tcW w:w="397" w:type="dxa"/>
            <w:shd w:val="clear" w:color="auto" w:fill="auto"/>
            <w:tcMar>
              <w:top w:w="85" w:type="dxa"/>
              <w:left w:w="0" w:type="dxa"/>
              <w:bottom w:w="85" w:type="dxa"/>
              <w:right w:w="0" w:type="dxa"/>
            </w:tcMar>
            <w:vAlign w:val="bottom"/>
          </w:tcPr>
          <w:p w14:paraId="24565153" w14:textId="77777777" w:rsidR="0059083C" w:rsidRPr="0059083C" w:rsidRDefault="0059083C" w:rsidP="00615190">
            <w:pPr>
              <w:spacing w:line="240" w:lineRule="atLeast"/>
              <w:rPr>
                <w:rFonts w:ascii="Tahoma" w:hAnsi="Tahoma"/>
                <w:color w:val="000000" w:themeColor="text1"/>
                <w:sz w:val="16"/>
                <w:lang w:val="en-GB"/>
              </w:rPr>
            </w:pPr>
          </w:p>
        </w:tc>
        <w:tc>
          <w:tcPr>
            <w:tcW w:w="6407" w:type="dxa"/>
            <w:shd w:val="clear" w:color="auto" w:fill="auto"/>
            <w:tcMar>
              <w:top w:w="85" w:type="dxa"/>
              <w:left w:w="0" w:type="dxa"/>
              <w:bottom w:w="85" w:type="dxa"/>
              <w:right w:w="0" w:type="dxa"/>
            </w:tcMar>
            <w:vAlign w:val="bottom"/>
          </w:tcPr>
          <w:p w14:paraId="1E7AA217" w14:textId="77777777" w:rsidR="0059083C" w:rsidRPr="0059083C" w:rsidRDefault="0059083C" w:rsidP="00615190">
            <w:pPr>
              <w:spacing w:line="240" w:lineRule="atLeast"/>
              <w:rPr>
                <w:rFonts w:ascii="Tahoma" w:hAnsi="Tahoma"/>
                <w:color w:val="000000" w:themeColor="text1"/>
                <w:sz w:val="16"/>
                <w:lang w:val="en-GB"/>
              </w:rPr>
            </w:pPr>
          </w:p>
        </w:tc>
        <w:tc>
          <w:tcPr>
            <w:tcW w:w="2268" w:type="dxa"/>
            <w:gridSpan w:val="2"/>
            <w:shd w:val="clear" w:color="auto" w:fill="auto"/>
            <w:tcMar>
              <w:top w:w="85" w:type="dxa"/>
              <w:left w:w="0" w:type="dxa"/>
              <w:bottom w:w="85" w:type="dxa"/>
              <w:right w:w="0" w:type="dxa"/>
            </w:tcMar>
            <w:vAlign w:val="bottom"/>
          </w:tcPr>
          <w:p w14:paraId="61A90407" w14:textId="77777777" w:rsidR="0059083C" w:rsidRPr="0059083C" w:rsidRDefault="0059083C" w:rsidP="00C94B60">
            <w:pPr>
              <w:spacing w:line="240" w:lineRule="atLeast"/>
              <w:ind w:left="430"/>
              <w:jc w:val="center"/>
              <w:rPr>
                <w:rFonts w:ascii="Tahoma" w:hAnsi="Tahoma"/>
                <w:b/>
                <w:bCs/>
                <w:color w:val="000000" w:themeColor="text1"/>
                <w:sz w:val="16"/>
                <w:lang w:val="en-GB"/>
              </w:rPr>
            </w:pPr>
            <w:r w:rsidRPr="0059083C">
              <w:rPr>
                <w:rFonts w:ascii="Tahoma" w:hAnsi="Tahoma"/>
                <w:b/>
                <w:bCs/>
                <w:color w:val="000000" w:themeColor="text1"/>
                <w:sz w:val="16"/>
                <w:lang w:val="en-GB"/>
              </w:rPr>
              <w:t>Six months ended</w:t>
            </w:r>
          </w:p>
          <w:p w14:paraId="2C0C58CF" w14:textId="77777777" w:rsidR="0059083C" w:rsidRPr="0059083C" w:rsidRDefault="0059083C" w:rsidP="00C94B60">
            <w:pPr>
              <w:spacing w:line="240" w:lineRule="atLeast"/>
              <w:ind w:left="430"/>
              <w:jc w:val="center"/>
              <w:rPr>
                <w:rFonts w:ascii="Tahoma" w:hAnsi="Tahoma"/>
                <w:color w:val="000000" w:themeColor="text1"/>
                <w:sz w:val="16"/>
                <w:lang w:val="en-GB"/>
              </w:rPr>
            </w:pPr>
            <w:r w:rsidRPr="0059083C">
              <w:rPr>
                <w:rFonts w:ascii="Tahoma" w:hAnsi="Tahoma"/>
                <w:b/>
                <w:bCs/>
                <w:color w:val="000000" w:themeColor="text1"/>
                <w:sz w:val="16"/>
                <w:lang w:val="en-GB"/>
              </w:rPr>
              <w:t>30 September</w:t>
            </w:r>
          </w:p>
        </w:tc>
        <w:tc>
          <w:tcPr>
            <w:tcW w:w="1134" w:type="dxa"/>
            <w:shd w:val="clear" w:color="auto" w:fill="auto"/>
            <w:tcMar>
              <w:top w:w="85" w:type="dxa"/>
              <w:left w:w="0" w:type="dxa"/>
              <w:bottom w:w="85" w:type="dxa"/>
              <w:right w:w="0" w:type="dxa"/>
            </w:tcMar>
            <w:vAlign w:val="bottom"/>
          </w:tcPr>
          <w:p w14:paraId="70B7D5FD" w14:textId="77777777" w:rsidR="0059083C" w:rsidRPr="0059083C" w:rsidRDefault="0059083C" w:rsidP="00030AFD">
            <w:pPr>
              <w:spacing w:line="240" w:lineRule="atLeast"/>
              <w:jc w:val="right"/>
              <w:rPr>
                <w:rFonts w:ascii="Tahoma" w:hAnsi="Tahoma"/>
                <w:color w:val="000000" w:themeColor="text1"/>
                <w:sz w:val="16"/>
                <w:lang w:val="en-GB"/>
              </w:rPr>
            </w:pPr>
            <w:r w:rsidRPr="0059083C">
              <w:rPr>
                <w:rFonts w:ascii="Tahoma" w:hAnsi="Tahoma"/>
                <w:color w:val="000000" w:themeColor="text1"/>
                <w:sz w:val="16"/>
                <w:lang w:val="en-GB"/>
              </w:rPr>
              <w:t>Year</w:t>
            </w:r>
          </w:p>
          <w:p w14:paraId="57992E1D" w14:textId="77777777" w:rsidR="0059083C" w:rsidRPr="0059083C" w:rsidRDefault="0059083C" w:rsidP="00030AFD">
            <w:pPr>
              <w:spacing w:line="240" w:lineRule="atLeast"/>
              <w:jc w:val="right"/>
              <w:rPr>
                <w:rFonts w:ascii="Tahoma" w:hAnsi="Tahoma"/>
                <w:color w:val="000000" w:themeColor="text1"/>
                <w:sz w:val="16"/>
                <w:lang w:val="en-GB"/>
              </w:rPr>
            </w:pPr>
            <w:r w:rsidRPr="0059083C">
              <w:rPr>
                <w:rFonts w:ascii="Tahoma" w:hAnsi="Tahoma"/>
                <w:color w:val="000000" w:themeColor="text1"/>
                <w:sz w:val="16"/>
                <w:lang w:val="en-GB"/>
              </w:rPr>
              <w:t>ended</w:t>
            </w:r>
          </w:p>
          <w:p w14:paraId="2A8AFB42" w14:textId="77777777" w:rsidR="0059083C" w:rsidRPr="0059083C" w:rsidRDefault="0059083C" w:rsidP="00030AFD">
            <w:pPr>
              <w:spacing w:line="240" w:lineRule="atLeast"/>
              <w:jc w:val="right"/>
              <w:rPr>
                <w:rFonts w:ascii="Tahoma" w:hAnsi="Tahoma"/>
                <w:color w:val="000000" w:themeColor="text1"/>
                <w:sz w:val="16"/>
                <w:lang w:val="en-GB"/>
              </w:rPr>
            </w:pPr>
            <w:r w:rsidRPr="0059083C">
              <w:rPr>
                <w:rFonts w:ascii="Tahoma" w:hAnsi="Tahoma"/>
                <w:color w:val="000000" w:themeColor="text1"/>
                <w:sz w:val="16"/>
                <w:lang w:val="en-GB"/>
              </w:rPr>
              <w:t>31 March</w:t>
            </w:r>
          </w:p>
        </w:tc>
      </w:tr>
      <w:tr w:rsidR="00615190" w:rsidRPr="0059083C" w14:paraId="1ABD89B1" w14:textId="77777777" w:rsidTr="005D0953">
        <w:trPr>
          <w:trHeight w:val="60"/>
        </w:trPr>
        <w:tc>
          <w:tcPr>
            <w:tcW w:w="397" w:type="dxa"/>
            <w:shd w:val="clear" w:color="auto" w:fill="auto"/>
            <w:tcMar>
              <w:top w:w="113" w:type="dxa"/>
              <w:left w:w="0" w:type="dxa"/>
              <w:bottom w:w="113" w:type="dxa"/>
              <w:right w:w="0" w:type="dxa"/>
            </w:tcMar>
            <w:vAlign w:val="bottom"/>
          </w:tcPr>
          <w:p w14:paraId="17641CB3" w14:textId="77777777" w:rsidR="0059083C" w:rsidRPr="0059083C" w:rsidRDefault="0059083C" w:rsidP="00615190">
            <w:pPr>
              <w:spacing w:line="240" w:lineRule="atLeast"/>
              <w:rPr>
                <w:rFonts w:ascii="Tahoma" w:hAnsi="Tahoma"/>
                <w:color w:val="000000" w:themeColor="text1"/>
                <w:sz w:val="16"/>
                <w:lang w:val="en-GB"/>
              </w:rPr>
            </w:pPr>
          </w:p>
        </w:tc>
        <w:tc>
          <w:tcPr>
            <w:tcW w:w="6407" w:type="dxa"/>
            <w:tcBorders>
              <w:bottom w:val="single" w:sz="12" w:space="0" w:color="auto"/>
            </w:tcBorders>
            <w:shd w:val="clear" w:color="auto" w:fill="auto"/>
            <w:tcMar>
              <w:top w:w="113" w:type="dxa"/>
              <w:left w:w="0" w:type="dxa"/>
              <w:bottom w:w="113" w:type="dxa"/>
              <w:right w:w="0" w:type="dxa"/>
            </w:tcMar>
            <w:vAlign w:val="bottom"/>
          </w:tcPr>
          <w:p w14:paraId="76ADB892" w14:textId="77777777" w:rsidR="0059083C" w:rsidRPr="0059083C" w:rsidRDefault="0059083C" w:rsidP="00615190">
            <w:pPr>
              <w:spacing w:line="240" w:lineRule="atLeast"/>
              <w:rPr>
                <w:rFonts w:ascii="Tahoma" w:hAnsi="Tahoma"/>
                <w:color w:val="000000" w:themeColor="text1"/>
                <w:sz w:val="16"/>
                <w:lang w:val="en-GB"/>
              </w:rPr>
            </w:pPr>
          </w:p>
        </w:tc>
        <w:tc>
          <w:tcPr>
            <w:tcW w:w="1134" w:type="dxa"/>
            <w:tcBorders>
              <w:bottom w:val="single" w:sz="12" w:space="0" w:color="auto"/>
            </w:tcBorders>
            <w:shd w:val="clear" w:color="auto" w:fill="auto"/>
            <w:tcMar>
              <w:top w:w="113" w:type="dxa"/>
              <w:left w:w="0" w:type="dxa"/>
              <w:bottom w:w="113" w:type="dxa"/>
              <w:right w:w="0" w:type="dxa"/>
            </w:tcMar>
            <w:vAlign w:val="bottom"/>
          </w:tcPr>
          <w:p w14:paraId="018EA610" w14:textId="77777777" w:rsidR="0059083C" w:rsidRPr="0059083C" w:rsidRDefault="0059083C" w:rsidP="00030AFD">
            <w:pPr>
              <w:spacing w:line="240" w:lineRule="atLeast"/>
              <w:jc w:val="right"/>
              <w:rPr>
                <w:rFonts w:ascii="Tahoma" w:hAnsi="Tahoma"/>
                <w:b/>
                <w:bCs/>
                <w:color w:val="000000" w:themeColor="text1"/>
                <w:sz w:val="16"/>
                <w:lang w:val="en-GB"/>
              </w:rPr>
            </w:pPr>
            <w:r w:rsidRPr="0059083C">
              <w:rPr>
                <w:rFonts w:ascii="Tahoma" w:hAnsi="Tahoma"/>
                <w:b/>
                <w:bCs/>
                <w:color w:val="000000" w:themeColor="text1"/>
                <w:sz w:val="16"/>
                <w:lang w:val="en-GB"/>
              </w:rPr>
              <w:t>2022</w:t>
            </w:r>
          </w:p>
          <w:p w14:paraId="58857260" w14:textId="77777777" w:rsidR="0059083C" w:rsidRPr="0059083C" w:rsidRDefault="0059083C" w:rsidP="00030AFD">
            <w:pPr>
              <w:spacing w:line="240" w:lineRule="atLeast"/>
              <w:jc w:val="right"/>
              <w:rPr>
                <w:rFonts w:ascii="Tahoma" w:hAnsi="Tahoma"/>
                <w:b/>
                <w:bCs/>
                <w:color w:val="000000" w:themeColor="text1"/>
                <w:sz w:val="16"/>
                <w:lang w:val="en-GB"/>
              </w:rPr>
            </w:pPr>
            <w:r w:rsidRPr="0059083C">
              <w:rPr>
                <w:rFonts w:ascii="Tahoma" w:hAnsi="Tahoma"/>
                <w:b/>
                <w:bCs/>
                <w:color w:val="000000" w:themeColor="text1"/>
                <w:sz w:val="16"/>
                <w:lang w:val="en-GB"/>
              </w:rPr>
              <w:t>US cents</w:t>
            </w:r>
          </w:p>
        </w:tc>
        <w:tc>
          <w:tcPr>
            <w:tcW w:w="1134" w:type="dxa"/>
            <w:tcBorders>
              <w:bottom w:val="single" w:sz="12" w:space="0" w:color="auto"/>
            </w:tcBorders>
            <w:shd w:val="clear" w:color="auto" w:fill="auto"/>
            <w:tcMar>
              <w:top w:w="113" w:type="dxa"/>
              <w:left w:w="0" w:type="dxa"/>
              <w:bottom w:w="113" w:type="dxa"/>
              <w:right w:w="0" w:type="dxa"/>
            </w:tcMar>
            <w:vAlign w:val="bottom"/>
          </w:tcPr>
          <w:p w14:paraId="1281C06B" w14:textId="77777777" w:rsidR="0059083C" w:rsidRPr="0059083C" w:rsidRDefault="0059083C" w:rsidP="00030AFD">
            <w:pPr>
              <w:spacing w:line="240" w:lineRule="atLeast"/>
              <w:jc w:val="right"/>
              <w:rPr>
                <w:rFonts w:ascii="Tahoma" w:hAnsi="Tahoma"/>
                <w:color w:val="000000" w:themeColor="text1"/>
                <w:sz w:val="16"/>
                <w:lang w:val="en-GB"/>
              </w:rPr>
            </w:pPr>
            <w:r w:rsidRPr="0059083C">
              <w:rPr>
                <w:rFonts w:ascii="Tahoma" w:hAnsi="Tahoma"/>
                <w:color w:val="000000" w:themeColor="text1"/>
                <w:sz w:val="16"/>
                <w:lang w:val="en-GB"/>
              </w:rPr>
              <w:t>2021</w:t>
            </w:r>
          </w:p>
          <w:p w14:paraId="16BF8B43" w14:textId="77777777" w:rsidR="0059083C" w:rsidRPr="0059083C" w:rsidRDefault="0059083C" w:rsidP="00030AFD">
            <w:pPr>
              <w:spacing w:line="240" w:lineRule="atLeast"/>
              <w:jc w:val="right"/>
              <w:rPr>
                <w:rFonts w:ascii="Tahoma" w:hAnsi="Tahoma"/>
                <w:color w:val="000000" w:themeColor="text1"/>
                <w:sz w:val="16"/>
                <w:lang w:val="en-GB"/>
              </w:rPr>
            </w:pPr>
            <w:r w:rsidRPr="0059083C">
              <w:rPr>
                <w:rFonts w:ascii="Tahoma" w:hAnsi="Tahoma"/>
                <w:color w:val="000000" w:themeColor="text1"/>
                <w:sz w:val="16"/>
                <w:lang w:val="en-GB"/>
              </w:rPr>
              <w:t>US cents</w:t>
            </w:r>
          </w:p>
        </w:tc>
        <w:tc>
          <w:tcPr>
            <w:tcW w:w="1134" w:type="dxa"/>
            <w:tcBorders>
              <w:bottom w:val="single" w:sz="12" w:space="0" w:color="auto"/>
            </w:tcBorders>
            <w:shd w:val="clear" w:color="auto" w:fill="auto"/>
            <w:tcMar>
              <w:top w:w="113" w:type="dxa"/>
              <w:left w:w="0" w:type="dxa"/>
              <w:bottom w:w="113" w:type="dxa"/>
              <w:right w:w="0" w:type="dxa"/>
            </w:tcMar>
            <w:vAlign w:val="bottom"/>
          </w:tcPr>
          <w:p w14:paraId="4D4E3A44" w14:textId="77777777" w:rsidR="0059083C" w:rsidRPr="0059083C" w:rsidRDefault="0059083C" w:rsidP="00030AFD">
            <w:pPr>
              <w:spacing w:line="240" w:lineRule="atLeast"/>
              <w:jc w:val="right"/>
              <w:rPr>
                <w:rFonts w:ascii="Tahoma" w:hAnsi="Tahoma"/>
                <w:color w:val="000000" w:themeColor="text1"/>
                <w:sz w:val="16"/>
                <w:lang w:val="en-GB"/>
              </w:rPr>
            </w:pPr>
            <w:r w:rsidRPr="0059083C">
              <w:rPr>
                <w:rFonts w:ascii="Tahoma" w:hAnsi="Tahoma"/>
                <w:color w:val="000000" w:themeColor="text1"/>
                <w:sz w:val="16"/>
                <w:lang w:val="en-GB"/>
              </w:rPr>
              <w:t>2022</w:t>
            </w:r>
          </w:p>
          <w:p w14:paraId="4D1E33FF" w14:textId="77777777" w:rsidR="0059083C" w:rsidRPr="0059083C" w:rsidRDefault="0059083C" w:rsidP="00030AFD">
            <w:pPr>
              <w:spacing w:line="240" w:lineRule="atLeast"/>
              <w:jc w:val="right"/>
              <w:rPr>
                <w:rFonts w:ascii="Tahoma" w:hAnsi="Tahoma"/>
                <w:color w:val="000000" w:themeColor="text1"/>
                <w:sz w:val="16"/>
                <w:lang w:val="en-GB"/>
              </w:rPr>
            </w:pPr>
            <w:r w:rsidRPr="0059083C">
              <w:rPr>
                <w:rFonts w:ascii="Tahoma" w:hAnsi="Tahoma"/>
                <w:color w:val="000000" w:themeColor="text1"/>
                <w:sz w:val="16"/>
                <w:lang w:val="en-GB"/>
              </w:rPr>
              <w:t>US cents</w:t>
            </w:r>
          </w:p>
        </w:tc>
      </w:tr>
      <w:tr w:rsidR="00615190" w:rsidRPr="0059083C" w14:paraId="387490D5" w14:textId="77777777" w:rsidTr="005D0953">
        <w:trPr>
          <w:trHeight w:val="60"/>
        </w:trPr>
        <w:tc>
          <w:tcPr>
            <w:tcW w:w="397" w:type="dxa"/>
            <w:shd w:val="clear" w:color="auto" w:fill="auto"/>
            <w:tcMar>
              <w:top w:w="142" w:type="dxa"/>
              <w:left w:w="0" w:type="dxa"/>
              <w:bottom w:w="40" w:type="dxa"/>
              <w:right w:w="0" w:type="dxa"/>
            </w:tcMar>
            <w:vAlign w:val="bottom"/>
          </w:tcPr>
          <w:p w14:paraId="74580CC9" w14:textId="77777777" w:rsidR="0059083C" w:rsidRPr="0059083C" w:rsidRDefault="0059083C" w:rsidP="00615190">
            <w:pPr>
              <w:spacing w:line="240" w:lineRule="atLeast"/>
              <w:rPr>
                <w:rFonts w:ascii="Tahoma" w:hAnsi="Tahoma"/>
                <w:color w:val="000000" w:themeColor="text1"/>
                <w:sz w:val="16"/>
                <w:lang w:val="en-GB"/>
              </w:rPr>
            </w:pPr>
          </w:p>
        </w:tc>
        <w:tc>
          <w:tcPr>
            <w:tcW w:w="6407" w:type="dxa"/>
            <w:tcBorders>
              <w:top w:val="single" w:sz="12" w:space="0" w:color="auto"/>
            </w:tcBorders>
            <w:shd w:val="clear" w:color="auto" w:fill="auto"/>
            <w:tcMar>
              <w:top w:w="142" w:type="dxa"/>
              <w:left w:w="0" w:type="dxa"/>
              <w:bottom w:w="40" w:type="dxa"/>
              <w:right w:w="0" w:type="dxa"/>
            </w:tcMar>
            <w:vAlign w:val="bottom"/>
          </w:tcPr>
          <w:p w14:paraId="70EF71C7" w14:textId="77777777" w:rsidR="0059083C" w:rsidRPr="0059083C" w:rsidRDefault="0059083C" w:rsidP="00615190">
            <w:pPr>
              <w:spacing w:line="240" w:lineRule="atLeast"/>
              <w:rPr>
                <w:rFonts w:ascii="Tahoma" w:hAnsi="Tahoma"/>
                <w:color w:val="000000" w:themeColor="text1"/>
                <w:sz w:val="16"/>
                <w:lang w:val="en-GB"/>
              </w:rPr>
            </w:pPr>
            <w:r w:rsidRPr="0059083C">
              <w:rPr>
                <w:rFonts w:ascii="Tahoma" w:hAnsi="Tahoma"/>
                <w:color w:val="000000" w:themeColor="text1"/>
                <w:sz w:val="16"/>
                <w:lang w:val="en-GB"/>
              </w:rPr>
              <w:t>Earnings per ordinary share N</w:t>
            </w:r>
          </w:p>
        </w:tc>
        <w:tc>
          <w:tcPr>
            <w:tcW w:w="1134" w:type="dxa"/>
            <w:tcBorders>
              <w:top w:val="single" w:sz="12" w:space="0" w:color="auto"/>
            </w:tcBorders>
            <w:shd w:val="clear" w:color="auto" w:fill="auto"/>
            <w:tcMar>
              <w:top w:w="142" w:type="dxa"/>
              <w:left w:w="0" w:type="dxa"/>
              <w:bottom w:w="40" w:type="dxa"/>
              <w:right w:w="0" w:type="dxa"/>
            </w:tcMar>
            <w:vAlign w:val="bottom"/>
          </w:tcPr>
          <w:p w14:paraId="2CECDBC0" w14:textId="77777777" w:rsidR="0059083C" w:rsidRPr="0059083C" w:rsidRDefault="0059083C" w:rsidP="00030AFD">
            <w:pPr>
              <w:spacing w:line="240" w:lineRule="atLeast"/>
              <w:jc w:val="right"/>
              <w:rPr>
                <w:rFonts w:ascii="Tahoma" w:hAnsi="Tahoma"/>
                <w:b/>
                <w:bCs/>
                <w:color w:val="000000" w:themeColor="text1"/>
                <w:sz w:val="16"/>
                <w:lang w:val="en-GB"/>
              </w:rPr>
            </w:pPr>
            <w:r w:rsidRPr="0059083C">
              <w:rPr>
                <w:rFonts w:ascii="Tahoma" w:hAnsi="Tahoma"/>
                <w:b/>
                <w:bCs/>
                <w:color w:val="000000" w:themeColor="text1"/>
                <w:sz w:val="16"/>
                <w:lang w:val="en-GB"/>
              </w:rPr>
              <w:t>14</w:t>
            </w:r>
          </w:p>
        </w:tc>
        <w:tc>
          <w:tcPr>
            <w:tcW w:w="1134" w:type="dxa"/>
            <w:tcBorders>
              <w:top w:val="single" w:sz="12" w:space="0" w:color="auto"/>
            </w:tcBorders>
            <w:shd w:val="clear" w:color="auto" w:fill="auto"/>
            <w:tcMar>
              <w:top w:w="142" w:type="dxa"/>
              <w:left w:w="0" w:type="dxa"/>
              <w:bottom w:w="40" w:type="dxa"/>
              <w:right w:w="0" w:type="dxa"/>
            </w:tcMar>
            <w:vAlign w:val="bottom"/>
          </w:tcPr>
          <w:p w14:paraId="15B7235A" w14:textId="77777777" w:rsidR="0059083C" w:rsidRPr="0059083C" w:rsidRDefault="0059083C" w:rsidP="00030AFD">
            <w:pPr>
              <w:spacing w:line="240" w:lineRule="atLeast"/>
              <w:jc w:val="right"/>
              <w:rPr>
                <w:rFonts w:ascii="Tahoma" w:hAnsi="Tahoma"/>
                <w:color w:val="000000" w:themeColor="text1"/>
                <w:sz w:val="16"/>
                <w:lang w:val="en-GB"/>
              </w:rPr>
            </w:pPr>
            <w:r w:rsidRPr="0059083C">
              <w:rPr>
                <w:rFonts w:ascii="Tahoma" w:hAnsi="Tahoma"/>
                <w:color w:val="000000" w:themeColor="text1"/>
                <w:sz w:val="16"/>
                <w:lang w:val="en-GB"/>
              </w:rPr>
              <w:t>6</w:t>
            </w:r>
          </w:p>
        </w:tc>
        <w:tc>
          <w:tcPr>
            <w:tcW w:w="1134" w:type="dxa"/>
            <w:tcBorders>
              <w:top w:val="single" w:sz="12" w:space="0" w:color="auto"/>
            </w:tcBorders>
            <w:shd w:val="clear" w:color="auto" w:fill="auto"/>
            <w:tcMar>
              <w:top w:w="142" w:type="dxa"/>
              <w:left w:w="0" w:type="dxa"/>
              <w:bottom w:w="40" w:type="dxa"/>
              <w:right w:w="0" w:type="dxa"/>
            </w:tcMar>
            <w:vAlign w:val="bottom"/>
          </w:tcPr>
          <w:p w14:paraId="2DD3FBED" w14:textId="77777777" w:rsidR="0059083C" w:rsidRPr="0059083C" w:rsidRDefault="0059083C" w:rsidP="00030AFD">
            <w:pPr>
              <w:spacing w:line="240" w:lineRule="atLeast"/>
              <w:jc w:val="right"/>
              <w:rPr>
                <w:rFonts w:ascii="Tahoma" w:hAnsi="Tahoma"/>
                <w:color w:val="000000" w:themeColor="text1"/>
                <w:sz w:val="16"/>
                <w:lang w:val="en-GB"/>
              </w:rPr>
            </w:pPr>
            <w:r w:rsidRPr="0059083C">
              <w:rPr>
                <w:rFonts w:ascii="Tahoma" w:hAnsi="Tahoma"/>
                <w:color w:val="000000" w:themeColor="text1"/>
                <w:sz w:val="16"/>
                <w:lang w:val="en-GB"/>
              </w:rPr>
              <w:t>10</w:t>
            </w:r>
          </w:p>
        </w:tc>
      </w:tr>
      <w:tr w:rsidR="00615190" w:rsidRPr="0059083C" w14:paraId="4C318DCF" w14:textId="77777777" w:rsidTr="002048AF">
        <w:trPr>
          <w:trHeight w:val="60"/>
        </w:trPr>
        <w:tc>
          <w:tcPr>
            <w:tcW w:w="397" w:type="dxa"/>
            <w:shd w:val="clear" w:color="auto" w:fill="auto"/>
            <w:tcMar>
              <w:top w:w="40" w:type="dxa"/>
              <w:left w:w="0" w:type="dxa"/>
              <w:bottom w:w="40" w:type="dxa"/>
              <w:right w:w="0" w:type="dxa"/>
            </w:tcMar>
            <w:vAlign w:val="bottom"/>
          </w:tcPr>
          <w:p w14:paraId="6AE51E22" w14:textId="77777777" w:rsidR="0059083C" w:rsidRPr="0059083C" w:rsidRDefault="0059083C" w:rsidP="00615190">
            <w:pPr>
              <w:spacing w:line="240" w:lineRule="atLeast"/>
              <w:rPr>
                <w:rFonts w:ascii="Tahoma" w:hAnsi="Tahoma"/>
                <w:color w:val="000000" w:themeColor="text1"/>
                <w:sz w:val="16"/>
                <w:lang w:val="en-GB"/>
              </w:rPr>
            </w:pPr>
          </w:p>
        </w:tc>
        <w:tc>
          <w:tcPr>
            <w:tcW w:w="6407" w:type="dxa"/>
            <w:shd w:val="clear" w:color="auto" w:fill="auto"/>
            <w:tcMar>
              <w:top w:w="40" w:type="dxa"/>
              <w:left w:w="0" w:type="dxa"/>
              <w:bottom w:w="40" w:type="dxa"/>
              <w:right w:w="0" w:type="dxa"/>
            </w:tcMar>
            <w:vAlign w:val="bottom"/>
          </w:tcPr>
          <w:p w14:paraId="72C1E79F" w14:textId="77777777" w:rsidR="0059083C" w:rsidRPr="0059083C" w:rsidRDefault="0059083C" w:rsidP="00615190">
            <w:pPr>
              <w:spacing w:line="240" w:lineRule="atLeast"/>
              <w:rPr>
                <w:rFonts w:ascii="Tahoma" w:hAnsi="Tahoma"/>
                <w:color w:val="000000" w:themeColor="text1"/>
                <w:sz w:val="16"/>
                <w:lang w:val="en-GB"/>
              </w:rPr>
            </w:pPr>
            <w:r w:rsidRPr="0059083C">
              <w:rPr>
                <w:rFonts w:ascii="Tahoma" w:hAnsi="Tahoma"/>
                <w:color w:val="000000" w:themeColor="text1"/>
                <w:sz w:val="16"/>
                <w:lang w:val="en-GB"/>
              </w:rPr>
              <w:t>Diluted earnings per ordinary share N</w:t>
            </w:r>
          </w:p>
        </w:tc>
        <w:tc>
          <w:tcPr>
            <w:tcW w:w="1134" w:type="dxa"/>
            <w:shd w:val="clear" w:color="auto" w:fill="auto"/>
            <w:tcMar>
              <w:top w:w="40" w:type="dxa"/>
              <w:left w:w="0" w:type="dxa"/>
              <w:bottom w:w="40" w:type="dxa"/>
              <w:right w:w="0" w:type="dxa"/>
            </w:tcMar>
            <w:vAlign w:val="bottom"/>
          </w:tcPr>
          <w:p w14:paraId="13DFC6E9" w14:textId="77777777" w:rsidR="0059083C" w:rsidRPr="0059083C" w:rsidRDefault="0059083C" w:rsidP="00030AFD">
            <w:pPr>
              <w:spacing w:line="240" w:lineRule="atLeast"/>
              <w:jc w:val="right"/>
              <w:rPr>
                <w:rFonts w:ascii="Tahoma" w:hAnsi="Tahoma"/>
                <w:b/>
                <w:bCs/>
                <w:color w:val="000000" w:themeColor="text1"/>
                <w:sz w:val="16"/>
                <w:lang w:val="en-GB"/>
              </w:rPr>
            </w:pPr>
            <w:r w:rsidRPr="0059083C">
              <w:rPr>
                <w:rFonts w:ascii="Tahoma" w:hAnsi="Tahoma"/>
                <w:b/>
                <w:bCs/>
                <w:color w:val="000000" w:themeColor="text1"/>
                <w:sz w:val="16"/>
                <w:lang w:val="en-GB"/>
              </w:rPr>
              <w:t>14</w:t>
            </w:r>
          </w:p>
        </w:tc>
        <w:tc>
          <w:tcPr>
            <w:tcW w:w="1134" w:type="dxa"/>
            <w:shd w:val="clear" w:color="auto" w:fill="auto"/>
            <w:tcMar>
              <w:top w:w="40" w:type="dxa"/>
              <w:left w:w="0" w:type="dxa"/>
              <w:bottom w:w="40" w:type="dxa"/>
              <w:right w:w="0" w:type="dxa"/>
            </w:tcMar>
            <w:vAlign w:val="bottom"/>
          </w:tcPr>
          <w:p w14:paraId="0ADE8DC6" w14:textId="77777777" w:rsidR="0059083C" w:rsidRPr="0059083C" w:rsidRDefault="0059083C" w:rsidP="00030AFD">
            <w:pPr>
              <w:spacing w:line="240" w:lineRule="atLeast"/>
              <w:jc w:val="right"/>
              <w:rPr>
                <w:rFonts w:ascii="Tahoma" w:hAnsi="Tahoma"/>
                <w:color w:val="000000" w:themeColor="text1"/>
                <w:sz w:val="16"/>
                <w:lang w:val="en-GB"/>
              </w:rPr>
            </w:pPr>
            <w:r w:rsidRPr="0059083C">
              <w:rPr>
                <w:rFonts w:ascii="Tahoma" w:hAnsi="Tahoma"/>
                <w:color w:val="000000" w:themeColor="text1"/>
                <w:sz w:val="16"/>
                <w:lang w:val="en-GB"/>
              </w:rPr>
              <w:t>6</w:t>
            </w:r>
          </w:p>
        </w:tc>
        <w:tc>
          <w:tcPr>
            <w:tcW w:w="1134" w:type="dxa"/>
            <w:shd w:val="clear" w:color="auto" w:fill="auto"/>
            <w:tcMar>
              <w:top w:w="40" w:type="dxa"/>
              <w:left w:w="0" w:type="dxa"/>
              <w:bottom w:w="40" w:type="dxa"/>
              <w:right w:w="0" w:type="dxa"/>
            </w:tcMar>
            <w:vAlign w:val="bottom"/>
          </w:tcPr>
          <w:p w14:paraId="16F19017" w14:textId="77777777" w:rsidR="0059083C" w:rsidRPr="0059083C" w:rsidRDefault="0059083C" w:rsidP="00030AFD">
            <w:pPr>
              <w:spacing w:line="240" w:lineRule="atLeast"/>
              <w:jc w:val="right"/>
              <w:rPr>
                <w:rFonts w:ascii="Tahoma" w:hAnsi="Tahoma"/>
                <w:color w:val="000000" w:themeColor="text1"/>
                <w:sz w:val="16"/>
                <w:lang w:val="en-GB"/>
              </w:rPr>
            </w:pPr>
            <w:r w:rsidRPr="0059083C">
              <w:rPr>
                <w:rFonts w:ascii="Tahoma" w:hAnsi="Tahoma"/>
                <w:color w:val="000000" w:themeColor="text1"/>
                <w:sz w:val="16"/>
                <w:lang w:val="en-GB"/>
              </w:rPr>
              <w:t>10</w:t>
            </w:r>
          </w:p>
        </w:tc>
      </w:tr>
      <w:tr w:rsidR="00615190" w:rsidRPr="0059083C" w14:paraId="19FDCB7A" w14:textId="77777777" w:rsidTr="008130B9">
        <w:trPr>
          <w:trHeight w:val="60"/>
        </w:trPr>
        <w:tc>
          <w:tcPr>
            <w:tcW w:w="397" w:type="dxa"/>
            <w:shd w:val="clear" w:color="auto" w:fill="auto"/>
            <w:tcMar>
              <w:top w:w="40" w:type="dxa"/>
              <w:left w:w="0" w:type="dxa"/>
              <w:bottom w:w="40" w:type="dxa"/>
              <w:right w:w="0" w:type="dxa"/>
            </w:tcMar>
            <w:vAlign w:val="bottom"/>
          </w:tcPr>
          <w:p w14:paraId="241A14AB" w14:textId="77777777" w:rsidR="0059083C" w:rsidRPr="0059083C" w:rsidRDefault="0059083C" w:rsidP="00615190">
            <w:pPr>
              <w:spacing w:line="240" w:lineRule="atLeast"/>
              <w:rPr>
                <w:rFonts w:ascii="Tahoma" w:hAnsi="Tahoma"/>
                <w:color w:val="000000" w:themeColor="text1"/>
                <w:sz w:val="16"/>
                <w:lang w:val="en-GB"/>
              </w:rPr>
            </w:pPr>
          </w:p>
        </w:tc>
        <w:tc>
          <w:tcPr>
            <w:tcW w:w="6407" w:type="dxa"/>
            <w:shd w:val="clear" w:color="auto" w:fill="auto"/>
            <w:tcMar>
              <w:top w:w="40" w:type="dxa"/>
              <w:left w:w="0" w:type="dxa"/>
              <w:bottom w:w="40" w:type="dxa"/>
              <w:right w:w="0" w:type="dxa"/>
            </w:tcMar>
            <w:vAlign w:val="bottom"/>
          </w:tcPr>
          <w:p w14:paraId="1797AF21" w14:textId="77777777" w:rsidR="0059083C" w:rsidRPr="0059083C" w:rsidRDefault="0059083C" w:rsidP="00615190">
            <w:pPr>
              <w:spacing w:line="240" w:lineRule="atLeast"/>
              <w:rPr>
                <w:rFonts w:ascii="Tahoma" w:hAnsi="Tahoma"/>
                <w:color w:val="000000" w:themeColor="text1"/>
                <w:sz w:val="16"/>
                <w:lang w:val="en-GB"/>
              </w:rPr>
            </w:pPr>
            <w:r w:rsidRPr="0059083C">
              <w:rPr>
                <w:rFonts w:ascii="Tahoma" w:hAnsi="Tahoma"/>
                <w:color w:val="000000" w:themeColor="text1"/>
                <w:sz w:val="16"/>
                <w:lang w:val="en-GB"/>
              </w:rPr>
              <w:t>Headline earnings per ordinary share N</w:t>
            </w:r>
          </w:p>
        </w:tc>
        <w:tc>
          <w:tcPr>
            <w:tcW w:w="1134" w:type="dxa"/>
            <w:shd w:val="clear" w:color="auto" w:fill="auto"/>
            <w:tcMar>
              <w:top w:w="40" w:type="dxa"/>
              <w:left w:w="0" w:type="dxa"/>
              <w:bottom w:w="40" w:type="dxa"/>
              <w:right w:w="0" w:type="dxa"/>
            </w:tcMar>
            <w:vAlign w:val="bottom"/>
          </w:tcPr>
          <w:p w14:paraId="312631A6" w14:textId="77777777" w:rsidR="0059083C" w:rsidRPr="0059083C" w:rsidRDefault="0059083C" w:rsidP="00030AFD">
            <w:pPr>
              <w:spacing w:line="240" w:lineRule="atLeast"/>
              <w:jc w:val="right"/>
              <w:rPr>
                <w:rFonts w:ascii="Tahoma" w:hAnsi="Tahoma"/>
                <w:b/>
                <w:bCs/>
                <w:color w:val="000000" w:themeColor="text1"/>
                <w:sz w:val="16"/>
                <w:lang w:val="en-GB"/>
              </w:rPr>
            </w:pPr>
            <w:r w:rsidRPr="0059083C">
              <w:rPr>
                <w:rFonts w:ascii="Tahoma" w:hAnsi="Tahoma"/>
                <w:b/>
                <w:bCs/>
                <w:color w:val="000000" w:themeColor="text1"/>
                <w:sz w:val="16"/>
                <w:lang w:val="en-GB"/>
              </w:rPr>
              <w:t>14</w:t>
            </w:r>
          </w:p>
        </w:tc>
        <w:tc>
          <w:tcPr>
            <w:tcW w:w="1134" w:type="dxa"/>
            <w:shd w:val="clear" w:color="auto" w:fill="auto"/>
            <w:tcMar>
              <w:top w:w="40" w:type="dxa"/>
              <w:left w:w="0" w:type="dxa"/>
              <w:bottom w:w="40" w:type="dxa"/>
              <w:right w:w="0" w:type="dxa"/>
            </w:tcMar>
            <w:vAlign w:val="bottom"/>
          </w:tcPr>
          <w:p w14:paraId="214B6AAC" w14:textId="77777777" w:rsidR="0059083C" w:rsidRPr="0059083C" w:rsidRDefault="0059083C" w:rsidP="00030AFD">
            <w:pPr>
              <w:spacing w:line="240" w:lineRule="atLeast"/>
              <w:jc w:val="right"/>
              <w:rPr>
                <w:rFonts w:ascii="Tahoma" w:hAnsi="Tahoma"/>
                <w:color w:val="000000" w:themeColor="text1"/>
                <w:sz w:val="16"/>
                <w:lang w:val="en-GB"/>
              </w:rPr>
            </w:pPr>
            <w:r w:rsidRPr="0059083C">
              <w:rPr>
                <w:rFonts w:ascii="Tahoma" w:hAnsi="Tahoma"/>
                <w:color w:val="000000" w:themeColor="text1"/>
                <w:sz w:val="16"/>
                <w:lang w:val="en-GB"/>
              </w:rPr>
              <w:t>6</w:t>
            </w:r>
          </w:p>
        </w:tc>
        <w:tc>
          <w:tcPr>
            <w:tcW w:w="1134" w:type="dxa"/>
            <w:shd w:val="clear" w:color="auto" w:fill="auto"/>
            <w:tcMar>
              <w:top w:w="40" w:type="dxa"/>
              <w:left w:w="0" w:type="dxa"/>
              <w:bottom w:w="40" w:type="dxa"/>
              <w:right w:w="0" w:type="dxa"/>
            </w:tcMar>
            <w:vAlign w:val="bottom"/>
          </w:tcPr>
          <w:p w14:paraId="65481941" w14:textId="77777777" w:rsidR="0059083C" w:rsidRPr="0059083C" w:rsidRDefault="0059083C" w:rsidP="00030AFD">
            <w:pPr>
              <w:spacing w:line="240" w:lineRule="atLeast"/>
              <w:jc w:val="right"/>
              <w:rPr>
                <w:rFonts w:ascii="Tahoma" w:hAnsi="Tahoma"/>
                <w:color w:val="000000" w:themeColor="text1"/>
                <w:sz w:val="16"/>
                <w:lang w:val="en-GB"/>
              </w:rPr>
            </w:pPr>
            <w:r w:rsidRPr="0059083C">
              <w:rPr>
                <w:rFonts w:ascii="Tahoma" w:hAnsi="Tahoma"/>
                <w:color w:val="000000" w:themeColor="text1"/>
                <w:sz w:val="16"/>
                <w:lang w:val="en-GB"/>
              </w:rPr>
              <w:t>10</w:t>
            </w:r>
          </w:p>
        </w:tc>
      </w:tr>
      <w:tr w:rsidR="00615190" w:rsidRPr="0059083C" w14:paraId="658CBF63" w14:textId="77777777" w:rsidTr="008130B9">
        <w:trPr>
          <w:trHeight w:val="60"/>
        </w:trPr>
        <w:tc>
          <w:tcPr>
            <w:tcW w:w="397" w:type="dxa"/>
            <w:shd w:val="clear" w:color="auto" w:fill="auto"/>
            <w:tcMar>
              <w:top w:w="40" w:type="dxa"/>
              <w:left w:w="0" w:type="dxa"/>
              <w:bottom w:w="68" w:type="dxa"/>
              <w:right w:w="0" w:type="dxa"/>
            </w:tcMar>
            <w:vAlign w:val="bottom"/>
          </w:tcPr>
          <w:p w14:paraId="3873BA46" w14:textId="77777777" w:rsidR="0059083C" w:rsidRPr="0059083C" w:rsidRDefault="0059083C" w:rsidP="00615190">
            <w:pPr>
              <w:spacing w:line="240" w:lineRule="atLeast"/>
              <w:rPr>
                <w:rFonts w:ascii="Tahoma" w:hAnsi="Tahoma"/>
                <w:color w:val="000000" w:themeColor="text1"/>
                <w:sz w:val="16"/>
                <w:lang w:val="en-GB"/>
              </w:rPr>
            </w:pPr>
          </w:p>
        </w:tc>
        <w:tc>
          <w:tcPr>
            <w:tcW w:w="6407" w:type="dxa"/>
            <w:tcBorders>
              <w:bottom w:val="single" w:sz="12" w:space="0" w:color="auto"/>
            </w:tcBorders>
            <w:shd w:val="clear" w:color="auto" w:fill="auto"/>
            <w:tcMar>
              <w:top w:w="40" w:type="dxa"/>
              <w:left w:w="0" w:type="dxa"/>
              <w:bottom w:w="68" w:type="dxa"/>
              <w:right w:w="0" w:type="dxa"/>
            </w:tcMar>
            <w:vAlign w:val="bottom"/>
          </w:tcPr>
          <w:p w14:paraId="4ABDD6B0" w14:textId="77777777" w:rsidR="0059083C" w:rsidRPr="0059083C" w:rsidRDefault="0059083C" w:rsidP="00615190">
            <w:pPr>
              <w:spacing w:line="240" w:lineRule="atLeast"/>
              <w:rPr>
                <w:rFonts w:ascii="Tahoma" w:hAnsi="Tahoma"/>
                <w:color w:val="000000" w:themeColor="text1"/>
                <w:sz w:val="16"/>
                <w:lang w:val="en-GB"/>
              </w:rPr>
            </w:pPr>
            <w:r w:rsidRPr="0059083C">
              <w:rPr>
                <w:rFonts w:ascii="Tahoma" w:hAnsi="Tahoma"/>
                <w:color w:val="000000" w:themeColor="text1"/>
                <w:sz w:val="16"/>
                <w:lang w:val="en-GB"/>
              </w:rPr>
              <w:t>Diluted headline earnings per ordinary share N</w:t>
            </w:r>
          </w:p>
        </w:tc>
        <w:tc>
          <w:tcPr>
            <w:tcW w:w="1134" w:type="dxa"/>
            <w:tcBorders>
              <w:bottom w:val="single" w:sz="12" w:space="0" w:color="auto"/>
            </w:tcBorders>
            <w:shd w:val="clear" w:color="auto" w:fill="auto"/>
            <w:tcMar>
              <w:top w:w="40" w:type="dxa"/>
              <w:left w:w="0" w:type="dxa"/>
              <w:bottom w:w="68" w:type="dxa"/>
              <w:right w:w="0" w:type="dxa"/>
            </w:tcMar>
            <w:vAlign w:val="bottom"/>
          </w:tcPr>
          <w:p w14:paraId="6FE1EDCF" w14:textId="77777777" w:rsidR="0059083C" w:rsidRPr="0059083C" w:rsidRDefault="0059083C" w:rsidP="00030AFD">
            <w:pPr>
              <w:spacing w:line="240" w:lineRule="atLeast"/>
              <w:jc w:val="right"/>
              <w:rPr>
                <w:rFonts w:ascii="Tahoma" w:hAnsi="Tahoma"/>
                <w:b/>
                <w:bCs/>
                <w:color w:val="000000" w:themeColor="text1"/>
                <w:sz w:val="16"/>
                <w:lang w:val="en-GB"/>
              </w:rPr>
            </w:pPr>
            <w:r w:rsidRPr="0059083C">
              <w:rPr>
                <w:rFonts w:ascii="Tahoma" w:hAnsi="Tahoma"/>
                <w:b/>
                <w:bCs/>
                <w:color w:val="000000" w:themeColor="text1"/>
                <w:sz w:val="16"/>
                <w:lang w:val="en-GB"/>
              </w:rPr>
              <w:t>14</w:t>
            </w:r>
          </w:p>
        </w:tc>
        <w:tc>
          <w:tcPr>
            <w:tcW w:w="1134" w:type="dxa"/>
            <w:tcBorders>
              <w:bottom w:val="single" w:sz="12" w:space="0" w:color="auto"/>
            </w:tcBorders>
            <w:shd w:val="clear" w:color="auto" w:fill="auto"/>
            <w:tcMar>
              <w:top w:w="40" w:type="dxa"/>
              <w:left w:w="0" w:type="dxa"/>
              <w:bottom w:w="68" w:type="dxa"/>
              <w:right w:w="0" w:type="dxa"/>
            </w:tcMar>
            <w:vAlign w:val="bottom"/>
          </w:tcPr>
          <w:p w14:paraId="496D102A" w14:textId="77777777" w:rsidR="0059083C" w:rsidRPr="0059083C" w:rsidRDefault="0059083C" w:rsidP="00030AFD">
            <w:pPr>
              <w:spacing w:line="240" w:lineRule="atLeast"/>
              <w:jc w:val="right"/>
              <w:rPr>
                <w:rFonts w:ascii="Tahoma" w:hAnsi="Tahoma"/>
                <w:color w:val="000000" w:themeColor="text1"/>
                <w:sz w:val="16"/>
                <w:lang w:val="en-GB"/>
              </w:rPr>
            </w:pPr>
            <w:r w:rsidRPr="0059083C">
              <w:rPr>
                <w:rFonts w:ascii="Tahoma" w:hAnsi="Tahoma"/>
                <w:color w:val="000000" w:themeColor="text1"/>
                <w:sz w:val="16"/>
                <w:lang w:val="en-GB"/>
              </w:rPr>
              <w:t>6</w:t>
            </w:r>
          </w:p>
        </w:tc>
        <w:tc>
          <w:tcPr>
            <w:tcW w:w="1134" w:type="dxa"/>
            <w:tcBorders>
              <w:bottom w:val="single" w:sz="12" w:space="0" w:color="auto"/>
            </w:tcBorders>
            <w:shd w:val="clear" w:color="auto" w:fill="auto"/>
            <w:tcMar>
              <w:top w:w="40" w:type="dxa"/>
              <w:left w:w="0" w:type="dxa"/>
              <w:bottom w:w="68" w:type="dxa"/>
              <w:right w:w="0" w:type="dxa"/>
            </w:tcMar>
            <w:vAlign w:val="bottom"/>
          </w:tcPr>
          <w:p w14:paraId="7811FFBC" w14:textId="77777777" w:rsidR="0059083C" w:rsidRPr="0059083C" w:rsidRDefault="0059083C" w:rsidP="00030AFD">
            <w:pPr>
              <w:spacing w:line="240" w:lineRule="atLeast"/>
              <w:jc w:val="right"/>
              <w:rPr>
                <w:rFonts w:ascii="Tahoma" w:hAnsi="Tahoma"/>
                <w:color w:val="000000" w:themeColor="text1"/>
                <w:sz w:val="16"/>
                <w:lang w:val="en-GB"/>
              </w:rPr>
            </w:pPr>
            <w:r w:rsidRPr="0059083C">
              <w:rPr>
                <w:rFonts w:ascii="Tahoma" w:hAnsi="Tahoma"/>
                <w:color w:val="000000" w:themeColor="text1"/>
                <w:sz w:val="16"/>
                <w:lang w:val="en-GB"/>
              </w:rPr>
              <w:t>10</w:t>
            </w:r>
          </w:p>
        </w:tc>
      </w:tr>
      <w:tr w:rsidR="00615190" w:rsidRPr="0059083C" w14:paraId="1571ED82" w14:textId="77777777" w:rsidTr="008130B9">
        <w:trPr>
          <w:trHeight w:val="60"/>
        </w:trPr>
        <w:tc>
          <w:tcPr>
            <w:tcW w:w="397" w:type="dxa"/>
            <w:shd w:val="clear" w:color="auto" w:fill="auto"/>
            <w:tcMar>
              <w:top w:w="85" w:type="dxa"/>
              <w:left w:w="0" w:type="dxa"/>
              <w:bottom w:w="85" w:type="dxa"/>
              <w:right w:w="0" w:type="dxa"/>
            </w:tcMar>
            <w:vAlign w:val="bottom"/>
          </w:tcPr>
          <w:p w14:paraId="63972EFA" w14:textId="77777777" w:rsidR="0059083C" w:rsidRPr="0059083C" w:rsidRDefault="0059083C" w:rsidP="00394980">
            <w:pPr>
              <w:contextualSpacing/>
              <w:rPr>
                <w:rFonts w:ascii="Tahoma" w:hAnsi="Tahoma"/>
                <w:color w:val="000000" w:themeColor="text1"/>
                <w:sz w:val="16"/>
                <w:lang w:val="en-GB"/>
              </w:rPr>
            </w:pPr>
          </w:p>
        </w:tc>
        <w:tc>
          <w:tcPr>
            <w:tcW w:w="9809" w:type="dxa"/>
            <w:gridSpan w:val="4"/>
            <w:tcBorders>
              <w:top w:val="single" w:sz="12" w:space="0" w:color="auto"/>
            </w:tcBorders>
            <w:shd w:val="clear" w:color="auto" w:fill="auto"/>
            <w:tcMar>
              <w:top w:w="85" w:type="dxa"/>
              <w:left w:w="0" w:type="dxa"/>
              <w:bottom w:w="85" w:type="dxa"/>
              <w:right w:w="0" w:type="dxa"/>
            </w:tcMar>
            <w:vAlign w:val="bottom"/>
          </w:tcPr>
          <w:p w14:paraId="39F209E2" w14:textId="77777777" w:rsidR="0059083C" w:rsidRPr="0059083C" w:rsidRDefault="0059083C" w:rsidP="00394980">
            <w:pPr>
              <w:pStyle w:val="FootnotesProsus2022FrontStylesProsus2022"/>
              <w:spacing w:line="240" w:lineRule="auto"/>
              <w:contextualSpacing/>
            </w:pPr>
            <w:r w:rsidRPr="0059083C">
              <w:t>1</w:t>
            </w:r>
            <w:r w:rsidRPr="0059083C">
              <w:tab/>
              <w:t>Refer to note 6 for further details on earnings per share from discontinued operations.</w:t>
            </w:r>
          </w:p>
        </w:tc>
      </w:tr>
    </w:tbl>
    <w:p w14:paraId="4EB155DD" w14:textId="77777777" w:rsidR="0059083C" w:rsidRPr="00615190" w:rsidRDefault="0059083C" w:rsidP="00615190">
      <w:pPr>
        <w:spacing w:line="240" w:lineRule="atLeast"/>
        <w:rPr>
          <w:rFonts w:ascii="Tahoma" w:hAnsi="Tahoma"/>
          <w:color w:val="000000" w:themeColor="text1"/>
          <w:sz w:val="16"/>
        </w:rPr>
      </w:pPr>
    </w:p>
    <w:tbl>
      <w:tblPr>
        <w:tblW w:w="10206" w:type="dxa"/>
        <w:tblInd w:w="-8" w:type="dxa"/>
        <w:tblLayout w:type="fixed"/>
        <w:tblCellMar>
          <w:left w:w="0" w:type="dxa"/>
          <w:right w:w="0" w:type="dxa"/>
        </w:tblCellMar>
        <w:tblLook w:val="0000" w:firstRow="0" w:lastRow="0" w:firstColumn="0" w:lastColumn="0" w:noHBand="0" w:noVBand="0"/>
      </w:tblPr>
      <w:tblGrid>
        <w:gridCol w:w="397"/>
        <w:gridCol w:w="6407"/>
        <w:gridCol w:w="1134"/>
        <w:gridCol w:w="1134"/>
        <w:gridCol w:w="1134"/>
      </w:tblGrid>
      <w:tr w:rsidR="00615190" w:rsidRPr="003A4304" w14:paraId="585B7870" w14:textId="77777777" w:rsidTr="005C7F00">
        <w:trPr>
          <w:trHeight w:val="60"/>
        </w:trPr>
        <w:tc>
          <w:tcPr>
            <w:tcW w:w="397" w:type="dxa"/>
            <w:shd w:val="clear" w:color="auto" w:fill="auto"/>
            <w:tcMar>
              <w:top w:w="0" w:type="dxa"/>
              <w:left w:w="0" w:type="dxa"/>
              <w:bottom w:w="57" w:type="dxa"/>
              <w:right w:w="0" w:type="dxa"/>
            </w:tcMar>
            <w:vAlign w:val="bottom"/>
          </w:tcPr>
          <w:p w14:paraId="0437DDA0" w14:textId="77777777" w:rsidR="003A4304" w:rsidRPr="003A4304" w:rsidRDefault="00DE6EA7" w:rsidP="00615190">
            <w:pPr>
              <w:spacing w:line="240" w:lineRule="atLeast"/>
              <w:rPr>
                <w:rFonts w:ascii="Tahoma" w:hAnsi="Tahoma"/>
                <w:b/>
                <w:bCs/>
                <w:color w:val="000000" w:themeColor="text1"/>
                <w:sz w:val="16"/>
                <w:lang w:val="en-GB"/>
              </w:rPr>
            </w:pPr>
            <w:r w:rsidRPr="003A4304">
              <w:rPr>
                <w:rFonts w:ascii="Tahoma" w:hAnsi="Tahoma"/>
                <w:b/>
                <w:bCs/>
                <w:color w:val="000000" w:themeColor="text1"/>
                <w:sz w:val="16"/>
                <w:lang w:val="en-GB"/>
              </w:rPr>
              <w:lastRenderedPageBreak/>
              <w:t>6.</w:t>
            </w:r>
          </w:p>
        </w:tc>
        <w:tc>
          <w:tcPr>
            <w:tcW w:w="9809" w:type="dxa"/>
            <w:gridSpan w:val="4"/>
            <w:shd w:val="clear" w:color="auto" w:fill="auto"/>
            <w:tcMar>
              <w:top w:w="0" w:type="dxa"/>
              <w:left w:w="0" w:type="dxa"/>
              <w:bottom w:w="57" w:type="dxa"/>
              <w:right w:w="0" w:type="dxa"/>
            </w:tcMar>
            <w:vAlign w:val="bottom"/>
          </w:tcPr>
          <w:p w14:paraId="6E3DEA89" w14:textId="77777777" w:rsidR="003A4304" w:rsidRPr="003A4304" w:rsidRDefault="00DE6EA7" w:rsidP="00615190">
            <w:pPr>
              <w:spacing w:line="240" w:lineRule="atLeast"/>
              <w:rPr>
                <w:rFonts w:ascii="Tahoma" w:hAnsi="Tahoma"/>
                <w:b/>
                <w:bCs/>
                <w:color w:val="000000" w:themeColor="text1"/>
                <w:sz w:val="16"/>
                <w:lang w:val="en-GB"/>
              </w:rPr>
            </w:pPr>
            <w:r w:rsidRPr="003A4304">
              <w:rPr>
                <w:rFonts w:ascii="Tahoma" w:hAnsi="Tahoma"/>
                <w:b/>
                <w:bCs/>
                <w:color w:val="000000" w:themeColor="text1"/>
                <w:sz w:val="16"/>
                <w:lang w:val="en-GB"/>
              </w:rPr>
              <w:t>EARNINGS PER SHARE</w:t>
            </w:r>
          </w:p>
        </w:tc>
      </w:tr>
      <w:tr w:rsidR="00615190" w:rsidRPr="003A4304" w14:paraId="62818FE8" w14:textId="77777777" w:rsidTr="005C7F00">
        <w:trPr>
          <w:trHeight w:val="60"/>
        </w:trPr>
        <w:tc>
          <w:tcPr>
            <w:tcW w:w="397" w:type="dxa"/>
            <w:shd w:val="clear" w:color="auto" w:fill="auto"/>
            <w:tcMar>
              <w:top w:w="57" w:type="dxa"/>
              <w:left w:w="0" w:type="dxa"/>
              <w:bottom w:w="113" w:type="dxa"/>
              <w:right w:w="0" w:type="dxa"/>
            </w:tcMar>
            <w:vAlign w:val="bottom"/>
          </w:tcPr>
          <w:p w14:paraId="48284577" w14:textId="77777777" w:rsidR="003A4304" w:rsidRPr="003A4304" w:rsidRDefault="003A4304" w:rsidP="00615190">
            <w:pPr>
              <w:spacing w:line="240" w:lineRule="atLeast"/>
              <w:rPr>
                <w:rFonts w:ascii="Tahoma" w:hAnsi="Tahoma"/>
                <w:color w:val="000000" w:themeColor="text1"/>
                <w:sz w:val="16"/>
                <w:lang w:val="en-GB"/>
              </w:rPr>
            </w:pPr>
          </w:p>
        </w:tc>
        <w:tc>
          <w:tcPr>
            <w:tcW w:w="9809" w:type="dxa"/>
            <w:gridSpan w:val="4"/>
            <w:shd w:val="clear" w:color="auto" w:fill="auto"/>
            <w:tcMar>
              <w:top w:w="57" w:type="dxa"/>
              <w:left w:w="0" w:type="dxa"/>
              <w:bottom w:w="113" w:type="dxa"/>
              <w:right w:w="0" w:type="dxa"/>
            </w:tcMar>
            <w:vAlign w:val="bottom"/>
          </w:tcPr>
          <w:p w14:paraId="4BFDCBD5" w14:textId="77777777" w:rsidR="003A4304" w:rsidRPr="003A4304" w:rsidRDefault="003A4304" w:rsidP="00615190">
            <w:pPr>
              <w:spacing w:line="240" w:lineRule="atLeast"/>
              <w:rPr>
                <w:rFonts w:ascii="Tahoma" w:hAnsi="Tahoma"/>
                <w:b/>
                <w:bCs/>
                <w:color w:val="000000" w:themeColor="text1"/>
                <w:sz w:val="16"/>
                <w:lang w:val="en-GB"/>
              </w:rPr>
            </w:pPr>
            <w:r w:rsidRPr="003A4304">
              <w:rPr>
                <w:rFonts w:ascii="Tahoma" w:hAnsi="Tahoma"/>
                <w:b/>
                <w:bCs/>
                <w:color w:val="000000" w:themeColor="text1"/>
                <w:sz w:val="16"/>
                <w:lang w:val="en-GB"/>
              </w:rPr>
              <w:t>Calculation of headline earnings</w:t>
            </w:r>
          </w:p>
        </w:tc>
      </w:tr>
      <w:tr w:rsidR="00615190" w:rsidRPr="003A4304" w14:paraId="4122341B" w14:textId="77777777" w:rsidTr="00671934">
        <w:trPr>
          <w:trHeight w:val="60"/>
        </w:trPr>
        <w:tc>
          <w:tcPr>
            <w:tcW w:w="397" w:type="dxa"/>
            <w:shd w:val="clear" w:color="auto" w:fill="auto"/>
            <w:tcMar>
              <w:top w:w="85" w:type="dxa"/>
              <w:left w:w="0" w:type="dxa"/>
              <w:bottom w:w="85" w:type="dxa"/>
              <w:right w:w="0" w:type="dxa"/>
            </w:tcMar>
            <w:vAlign w:val="bottom"/>
          </w:tcPr>
          <w:p w14:paraId="1F7A95D8" w14:textId="77777777" w:rsidR="003A4304" w:rsidRPr="003A4304" w:rsidRDefault="003A4304" w:rsidP="00615190">
            <w:pPr>
              <w:spacing w:line="240" w:lineRule="atLeast"/>
              <w:rPr>
                <w:rFonts w:ascii="Tahoma" w:hAnsi="Tahoma"/>
                <w:color w:val="000000" w:themeColor="text1"/>
                <w:sz w:val="16"/>
                <w:lang w:val="en-GB"/>
              </w:rPr>
            </w:pPr>
          </w:p>
        </w:tc>
        <w:tc>
          <w:tcPr>
            <w:tcW w:w="6407" w:type="dxa"/>
            <w:shd w:val="clear" w:color="auto" w:fill="auto"/>
            <w:tcMar>
              <w:top w:w="85" w:type="dxa"/>
              <w:left w:w="0" w:type="dxa"/>
              <w:bottom w:w="85" w:type="dxa"/>
              <w:right w:w="0" w:type="dxa"/>
            </w:tcMar>
            <w:vAlign w:val="bottom"/>
          </w:tcPr>
          <w:p w14:paraId="3CD33BC9" w14:textId="77777777" w:rsidR="003A4304" w:rsidRPr="003A4304" w:rsidRDefault="003A4304" w:rsidP="00615190">
            <w:pPr>
              <w:spacing w:line="240" w:lineRule="atLeast"/>
              <w:rPr>
                <w:rFonts w:ascii="Tahoma" w:hAnsi="Tahoma"/>
                <w:color w:val="000000" w:themeColor="text1"/>
                <w:sz w:val="16"/>
                <w:lang w:val="en-GB"/>
              </w:rPr>
            </w:pPr>
          </w:p>
        </w:tc>
        <w:tc>
          <w:tcPr>
            <w:tcW w:w="2268" w:type="dxa"/>
            <w:gridSpan w:val="2"/>
            <w:shd w:val="clear" w:color="auto" w:fill="auto"/>
            <w:tcMar>
              <w:top w:w="85" w:type="dxa"/>
              <w:left w:w="0" w:type="dxa"/>
              <w:bottom w:w="85" w:type="dxa"/>
              <w:right w:w="0" w:type="dxa"/>
            </w:tcMar>
            <w:vAlign w:val="bottom"/>
          </w:tcPr>
          <w:p w14:paraId="0EA97054" w14:textId="77777777" w:rsidR="003A4304" w:rsidRPr="003A4304" w:rsidRDefault="003A4304" w:rsidP="007573CE">
            <w:pPr>
              <w:spacing w:line="240" w:lineRule="atLeast"/>
              <w:jc w:val="center"/>
              <w:rPr>
                <w:rFonts w:ascii="Tahoma" w:hAnsi="Tahoma"/>
                <w:b/>
                <w:bCs/>
                <w:color w:val="000000" w:themeColor="text1"/>
                <w:sz w:val="16"/>
                <w:lang w:val="en-GB"/>
              </w:rPr>
            </w:pPr>
            <w:r w:rsidRPr="003A4304">
              <w:rPr>
                <w:rFonts w:ascii="Tahoma" w:hAnsi="Tahoma"/>
                <w:b/>
                <w:bCs/>
                <w:color w:val="000000" w:themeColor="text1"/>
                <w:sz w:val="16"/>
                <w:lang w:val="en-GB"/>
              </w:rPr>
              <w:t>Six months ended</w:t>
            </w:r>
          </w:p>
          <w:p w14:paraId="154705FC" w14:textId="77777777" w:rsidR="003A4304" w:rsidRPr="003A4304" w:rsidRDefault="003A4304" w:rsidP="007573CE">
            <w:pPr>
              <w:spacing w:line="240" w:lineRule="atLeast"/>
              <w:jc w:val="center"/>
              <w:rPr>
                <w:rFonts w:ascii="Tahoma" w:hAnsi="Tahoma"/>
                <w:b/>
                <w:bCs/>
                <w:color w:val="000000" w:themeColor="text1"/>
                <w:sz w:val="16"/>
                <w:lang w:val="en-GB"/>
              </w:rPr>
            </w:pPr>
            <w:r w:rsidRPr="003A4304">
              <w:rPr>
                <w:rFonts w:ascii="Tahoma" w:hAnsi="Tahoma"/>
                <w:b/>
                <w:bCs/>
                <w:color w:val="000000" w:themeColor="text1"/>
                <w:sz w:val="16"/>
                <w:lang w:val="en-GB"/>
              </w:rPr>
              <w:t>30 September</w:t>
            </w:r>
          </w:p>
        </w:tc>
        <w:tc>
          <w:tcPr>
            <w:tcW w:w="1134" w:type="dxa"/>
            <w:shd w:val="clear" w:color="auto" w:fill="auto"/>
            <w:tcMar>
              <w:top w:w="85" w:type="dxa"/>
              <w:left w:w="0" w:type="dxa"/>
              <w:bottom w:w="85" w:type="dxa"/>
              <w:right w:w="0" w:type="dxa"/>
            </w:tcMar>
            <w:vAlign w:val="bottom"/>
          </w:tcPr>
          <w:p w14:paraId="60BD4240" w14:textId="77777777" w:rsidR="003A4304" w:rsidRPr="003A4304" w:rsidRDefault="003A4304" w:rsidP="00112C80">
            <w:pPr>
              <w:spacing w:line="240" w:lineRule="atLeast"/>
              <w:ind w:right="113"/>
              <w:jc w:val="right"/>
              <w:rPr>
                <w:rFonts w:ascii="Tahoma" w:hAnsi="Tahoma"/>
                <w:color w:val="000000" w:themeColor="text1"/>
                <w:sz w:val="16"/>
                <w:lang w:val="en-GB"/>
              </w:rPr>
            </w:pPr>
            <w:r w:rsidRPr="003A4304">
              <w:rPr>
                <w:rFonts w:ascii="Tahoma" w:hAnsi="Tahoma"/>
                <w:color w:val="000000" w:themeColor="text1"/>
                <w:sz w:val="16"/>
                <w:lang w:val="en-GB"/>
              </w:rPr>
              <w:t xml:space="preserve">Year </w:t>
            </w:r>
          </w:p>
          <w:p w14:paraId="57A389CF" w14:textId="77777777" w:rsidR="003A4304" w:rsidRPr="003A4304" w:rsidRDefault="003A4304" w:rsidP="00112C80">
            <w:pPr>
              <w:spacing w:line="240" w:lineRule="atLeast"/>
              <w:ind w:right="113"/>
              <w:jc w:val="right"/>
              <w:rPr>
                <w:rFonts w:ascii="Tahoma" w:hAnsi="Tahoma"/>
                <w:color w:val="000000" w:themeColor="text1"/>
                <w:sz w:val="16"/>
                <w:lang w:val="en-GB"/>
              </w:rPr>
            </w:pPr>
            <w:r w:rsidRPr="003A4304">
              <w:rPr>
                <w:rFonts w:ascii="Tahoma" w:hAnsi="Tahoma"/>
                <w:color w:val="000000" w:themeColor="text1"/>
                <w:sz w:val="16"/>
                <w:lang w:val="en-GB"/>
              </w:rPr>
              <w:t>ended</w:t>
            </w:r>
          </w:p>
          <w:p w14:paraId="37EAAE01" w14:textId="77777777" w:rsidR="003A4304" w:rsidRPr="003A4304" w:rsidRDefault="003A4304" w:rsidP="00112C80">
            <w:pPr>
              <w:spacing w:line="240" w:lineRule="atLeast"/>
              <w:ind w:right="113"/>
              <w:jc w:val="right"/>
              <w:rPr>
                <w:rFonts w:ascii="Tahoma" w:hAnsi="Tahoma"/>
                <w:color w:val="000000" w:themeColor="text1"/>
                <w:sz w:val="16"/>
                <w:lang w:val="en-GB"/>
              </w:rPr>
            </w:pPr>
            <w:r w:rsidRPr="003A4304">
              <w:rPr>
                <w:rFonts w:ascii="Tahoma" w:hAnsi="Tahoma"/>
                <w:color w:val="000000" w:themeColor="text1"/>
                <w:sz w:val="16"/>
                <w:lang w:val="en-GB"/>
              </w:rPr>
              <w:t>31 March</w:t>
            </w:r>
          </w:p>
        </w:tc>
      </w:tr>
      <w:tr w:rsidR="00615190" w:rsidRPr="003A4304" w14:paraId="6F334ED4" w14:textId="77777777" w:rsidTr="00671934">
        <w:trPr>
          <w:trHeight w:val="60"/>
        </w:trPr>
        <w:tc>
          <w:tcPr>
            <w:tcW w:w="397" w:type="dxa"/>
            <w:shd w:val="clear" w:color="auto" w:fill="auto"/>
            <w:tcMar>
              <w:top w:w="113" w:type="dxa"/>
              <w:left w:w="0" w:type="dxa"/>
              <w:bottom w:w="113" w:type="dxa"/>
              <w:right w:w="0" w:type="dxa"/>
            </w:tcMar>
            <w:vAlign w:val="bottom"/>
          </w:tcPr>
          <w:p w14:paraId="5835BE2F" w14:textId="77777777" w:rsidR="003A4304" w:rsidRPr="003A4304" w:rsidRDefault="003A4304" w:rsidP="00615190">
            <w:pPr>
              <w:spacing w:line="240" w:lineRule="atLeast"/>
              <w:rPr>
                <w:rFonts w:ascii="Tahoma" w:hAnsi="Tahoma"/>
                <w:color w:val="000000" w:themeColor="text1"/>
                <w:sz w:val="16"/>
                <w:lang w:val="en-GB"/>
              </w:rPr>
            </w:pPr>
          </w:p>
        </w:tc>
        <w:tc>
          <w:tcPr>
            <w:tcW w:w="6407" w:type="dxa"/>
            <w:tcBorders>
              <w:bottom w:val="single" w:sz="12" w:space="0" w:color="auto"/>
            </w:tcBorders>
            <w:shd w:val="clear" w:color="auto" w:fill="auto"/>
            <w:tcMar>
              <w:top w:w="113" w:type="dxa"/>
              <w:left w:w="0" w:type="dxa"/>
              <w:bottom w:w="113" w:type="dxa"/>
              <w:right w:w="0" w:type="dxa"/>
            </w:tcMar>
            <w:vAlign w:val="bottom"/>
          </w:tcPr>
          <w:p w14:paraId="20CDEAC4" w14:textId="77777777" w:rsidR="003A4304" w:rsidRPr="003A4304" w:rsidRDefault="003A4304" w:rsidP="00615190">
            <w:pPr>
              <w:spacing w:line="240" w:lineRule="atLeast"/>
              <w:rPr>
                <w:rFonts w:ascii="Tahoma" w:hAnsi="Tahoma"/>
                <w:color w:val="000000" w:themeColor="text1"/>
                <w:sz w:val="16"/>
                <w:lang w:val="en-GB"/>
              </w:rPr>
            </w:pPr>
          </w:p>
        </w:tc>
        <w:tc>
          <w:tcPr>
            <w:tcW w:w="1134" w:type="dxa"/>
            <w:tcBorders>
              <w:bottom w:val="single" w:sz="12" w:space="0" w:color="auto"/>
            </w:tcBorders>
            <w:shd w:val="clear" w:color="auto" w:fill="auto"/>
            <w:tcMar>
              <w:top w:w="113" w:type="dxa"/>
              <w:left w:w="0" w:type="dxa"/>
              <w:bottom w:w="113" w:type="dxa"/>
              <w:right w:w="0" w:type="dxa"/>
            </w:tcMar>
            <w:vAlign w:val="bottom"/>
          </w:tcPr>
          <w:p w14:paraId="16B424F1" w14:textId="77777777" w:rsidR="003A4304" w:rsidRPr="003A4304" w:rsidRDefault="003A4304" w:rsidP="003F6F7C">
            <w:pPr>
              <w:spacing w:line="240" w:lineRule="atLeast"/>
              <w:jc w:val="right"/>
              <w:rPr>
                <w:rFonts w:ascii="Tahoma" w:hAnsi="Tahoma"/>
                <w:b/>
                <w:bCs/>
                <w:color w:val="000000" w:themeColor="text1"/>
                <w:sz w:val="16"/>
                <w:lang w:val="en-GB"/>
              </w:rPr>
            </w:pPr>
            <w:r w:rsidRPr="003A4304">
              <w:rPr>
                <w:rFonts w:ascii="Tahoma" w:hAnsi="Tahoma"/>
                <w:b/>
                <w:bCs/>
                <w:color w:val="000000" w:themeColor="text1"/>
                <w:sz w:val="16"/>
                <w:lang w:val="en-GB"/>
              </w:rPr>
              <w:t>2022</w:t>
            </w:r>
          </w:p>
          <w:p w14:paraId="17F9ECD2" w14:textId="77777777" w:rsidR="003A4304" w:rsidRPr="003A4304" w:rsidRDefault="003A4304" w:rsidP="003F6F7C">
            <w:pPr>
              <w:spacing w:line="240" w:lineRule="atLeast"/>
              <w:jc w:val="right"/>
              <w:rPr>
                <w:rFonts w:ascii="Tahoma" w:hAnsi="Tahoma"/>
                <w:b/>
                <w:bCs/>
                <w:color w:val="000000" w:themeColor="text1"/>
                <w:sz w:val="16"/>
                <w:lang w:val="en-GB"/>
              </w:rPr>
            </w:pPr>
            <w:proofErr w:type="spellStart"/>
            <w:r w:rsidRPr="003A4304">
              <w:rPr>
                <w:rFonts w:ascii="Tahoma" w:hAnsi="Tahoma"/>
                <w:b/>
                <w:bCs/>
                <w:color w:val="000000" w:themeColor="text1"/>
                <w:sz w:val="16"/>
                <w:lang w:val="en-GB"/>
              </w:rPr>
              <w:t>US$’m</w:t>
            </w:r>
            <w:proofErr w:type="spellEnd"/>
          </w:p>
        </w:tc>
        <w:tc>
          <w:tcPr>
            <w:tcW w:w="1134" w:type="dxa"/>
            <w:tcBorders>
              <w:bottom w:val="single" w:sz="12" w:space="0" w:color="auto"/>
            </w:tcBorders>
            <w:shd w:val="clear" w:color="auto" w:fill="auto"/>
            <w:tcMar>
              <w:top w:w="113" w:type="dxa"/>
              <w:left w:w="0" w:type="dxa"/>
              <w:bottom w:w="113" w:type="dxa"/>
              <w:right w:w="0" w:type="dxa"/>
            </w:tcMar>
            <w:vAlign w:val="bottom"/>
          </w:tcPr>
          <w:p w14:paraId="69FF01C3" w14:textId="77777777" w:rsidR="003A4304" w:rsidRPr="003A4304" w:rsidRDefault="003A4304" w:rsidP="003F6F7C">
            <w:pPr>
              <w:spacing w:line="240" w:lineRule="atLeast"/>
              <w:jc w:val="right"/>
              <w:rPr>
                <w:rFonts w:ascii="Tahoma" w:hAnsi="Tahoma"/>
                <w:color w:val="000000" w:themeColor="text1"/>
                <w:sz w:val="16"/>
                <w:lang w:val="en-GB"/>
              </w:rPr>
            </w:pPr>
            <w:r w:rsidRPr="003A4304">
              <w:rPr>
                <w:rFonts w:ascii="Tahoma" w:hAnsi="Tahoma"/>
                <w:color w:val="000000" w:themeColor="text1"/>
                <w:sz w:val="16"/>
                <w:lang w:val="en-GB"/>
              </w:rPr>
              <w:t>2021</w:t>
            </w:r>
          </w:p>
          <w:p w14:paraId="76F38EFF" w14:textId="77777777" w:rsidR="003A4304" w:rsidRPr="003A4304" w:rsidRDefault="003A4304" w:rsidP="003F6F7C">
            <w:pPr>
              <w:spacing w:line="240" w:lineRule="atLeast"/>
              <w:jc w:val="right"/>
              <w:rPr>
                <w:rFonts w:ascii="Tahoma" w:hAnsi="Tahoma"/>
                <w:color w:val="000000" w:themeColor="text1"/>
                <w:sz w:val="16"/>
                <w:lang w:val="en-GB"/>
              </w:rPr>
            </w:pPr>
            <w:proofErr w:type="spellStart"/>
            <w:r w:rsidRPr="003A4304">
              <w:rPr>
                <w:rFonts w:ascii="Tahoma" w:hAnsi="Tahoma"/>
                <w:color w:val="000000" w:themeColor="text1"/>
                <w:sz w:val="16"/>
                <w:lang w:val="en-GB"/>
              </w:rPr>
              <w:t>US$’m</w:t>
            </w:r>
            <w:proofErr w:type="spellEnd"/>
          </w:p>
        </w:tc>
        <w:tc>
          <w:tcPr>
            <w:tcW w:w="1134" w:type="dxa"/>
            <w:tcBorders>
              <w:bottom w:val="single" w:sz="12" w:space="0" w:color="auto"/>
            </w:tcBorders>
            <w:shd w:val="clear" w:color="auto" w:fill="auto"/>
            <w:tcMar>
              <w:top w:w="113" w:type="dxa"/>
              <w:left w:w="0" w:type="dxa"/>
              <w:bottom w:w="113" w:type="dxa"/>
              <w:right w:w="0" w:type="dxa"/>
            </w:tcMar>
            <w:vAlign w:val="bottom"/>
          </w:tcPr>
          <w:p w14:paraId="78C1C1D2" w14:textId="77777777" w:rsidR="003A4304" w:rsidRPr="003A4304" w:rsidRDefault="003A4304" w:rsidP="00112C80">
            <w:pPr>
              <w:spacing w:line="240" w:lineRule="atLeast"/>
              <w:ind w:right="113"/>
              <w:jc w:val="right"/>
              <w:rPr>
                <w:rFonts w:ascii="Tahoma" w:hAnsi="Tahoma"/>
                <w:color w:val="000000" w:themeColor="text1"/>
                <w:sz w:val="16"/>
                <w:lang w:val="en-GB"/>
              </w:rPr>
            </w:pPr>
            <w:r w:rsidRPr="003A4304">
              <w:rPr>
                <w:rFonts w:ascii="Tahoma" w:hAnsi="Tahoma"/>
                <w:color w:val="000000" w:themeColor="text1"/>
                <w:sz w:val="16"/>
                <w:lang w:val="en-GB"/>
              </w:rPr>
              <w:t>2022</w:t>
            </w:r>
          </w:p>
          <w:p w14:paraId="3C3598CA" w14:textId="77777777" w:rsidR="003A4304" w:rsidRPr="003A4304" w:rsidRDefault="003A4304" w:rsidP="00112C80">
            <w:pPr>
              <w:spacing w:line="240" w:lineRule="atLeast"/>
              <w:ind w:right="113"/>
              <w:jc w:val="right"/>
              <w:rPr>
                <w:rFonts w:ascii="Tahoma" w:hAnsi="Tahoma"/>
                <w:color w:val="000000" w:themeColor="text1"/>
                <w:sz w:val="16"/>
                <w:lang w:val="en-GB"/>
              </w:rPr>
            </w:pPr>
            <w:proofErr w:type="spellStart"/>
            <w:r w:rsidRPr="003A4304">
              <w:rPr>
                <w:rFonts w:ascii="Tahoma" w:hAnsi="Tahoma"/>
                <w:color w:val="000000" w:themeColor="text1"/>
                <w:sz w:val="16"/>
                <w:lang w:val="en-GB"/>
              </w:rPr>
              <w:t>US$’m</w:t>
            </w:r>
            <w:proofErr w:type="spellEnd"/>
          </w:p>
        </w:tc>
      </w:tr>
      <w:tr w:rsidR="00615190" w:rsidRPr="003A4304" w14:paraId="0C0C4E09" w14:textId="77777777" w:rsidTr="00671934">
        <w:trPr>
          <w:trHeight w:val="60"/>
        </w:trPr>
        <w:tc>
          <w:tcPr>
            <w:tcW w:w="397" w:type="dxa"/>
            <w:shd w:val="clear" w:color="auto" w:fill="auto"/>
            <w:tcMar>
              <w:top w:w="142" w:type="dxa"/>
              <w:left w:w="0" w:type="dxa"/>
              <w:bottom w:w="57" w:type="dxa"/>
              <w:right w:w="0" w:type="dxa"/>
            </w:tcMar>
            <w:vAlign w:val="bottom"/>
          </w:tcPr>
          <w:p w14:paraId="1E6405DE" w14:textId="77777777" w:rsidR="003A4304" w:rsidRPr="003A4304" w:rsidRDefault="003A4304" w:rsidP="00615190">
            <w:pPr>
              <w:spacing w:line="240" w:lineRule="atLeast"/>
              <w:rPr>
                <w:rFonts w:ascii="Tahoma" w:hAnsi="Tahoma"/>
                <w:color w:val="000000" w:themeColor="text1"/>
                <w:sz w:val="16"/>
                <w:lang w:val="en-GB"/>
              </w:rPr>
            </w:pPr>
          </w:p>
        </w:tc>
        <w:tc>
          <w:tcPr>
            <w:tcW w:w="6407" w:type="dxa"/>
            <w:tcBorders>
              <w:top w:val="single" w:sz="12" w:space="0" w:color="auto"/>
            </w:tcBorders>
            <w:shd w:val="clear" w:color="auto" w:fill="auto"/>
            <w:tcMar>
              <w:top w:w="142" w:type="dxa"/>
              <w:left w:w="0" w:type="dxa"/>
              <w:bottom w:w="57" w:type="dxa"/>
              <w:right w:w="113" w:type="dxa"/>
            </w:tcMar>
            <w:vAlign w:val="bottom"/>
          </w:tcPr>
          <w:p w14:paraId="7E41CA05" w14:textId="77777777" w:rsidR="003A4304" w:rsidRPr="003A4304" w:rsidRDefault="003A4304" w:rsidP="00615190">
            <w:pPr>
              <w:spacing w:line="240" w:lineRule="atLeast"/>
              <w:rPr>
                <w:rFonts w:ascii="Tahoma" w:hAnsi="Tahoma"/>
                <w:b/>
                <w:bCs/>
                <w:color w:val="000000" w:themeColor="text1"/>
                <w:sz w:val="16"/>
                <w:lang w:val="en-GB"/>
              </w:rPr>
            </w:pPr>
            <w:r w:rsidRPr="003A4304">
              <w:rPr>
                <w:rFonts w:ascii="Tahoma" w:hAnsi="Tahoma"/>
                <w:b/>
                <w:bCs/>
                <w:color w:val="000000" w:themeColor="text1"/>
                <w:sz w:val="16"/>
                <w:lang w:val="en-GB"/>
              </w:rPr>
              <w:t>Earnings from continuing operations</w:t>
            </w:r>
          </w:p>
        </w:tc>
        <w:tc>
          <w:tcPr>
            <w:tcW w:w="1134" w:type="dxa"/>
            <w:tcBorders>
              <w:top w:val="single" w:sz="12" w:space="0" w:color="auto"/>
            </w:tcBorders>
            <w:shd w:val="clear" w:color="auto" w:fill="auto"/>
            <w:tcMar>
              <w:top w:w="142" w:type="dxa"/>
              <w:left w:w="0" w:type="dxa"/>
              <w:bottom w:w="57" w:type="dxa"/>
              <w:right w:w="0" w:type="dxa"/>
            </w:tcMar>
            <w:vAlign w:val="bottom"/>
          </w:tcPr>
          <w:p w14:paraId="3CF020BF" w14:textId="77777777" w:rsidR="003A4304" w:rsidRPr="003A4304" w:rsidRDefault="003A4304" w:rsidP="003F6F7C">
            <w:pPr>
              <w:spacing w:line="240" w:lineRule="atLeast"/>
              <w:jc w:val="right"/>
              <w:rPr>
                <w:rFonts w:ascii="Tahoma" w:hAnsi="Tahoma"/>
                <w:b/>
                <w:bCs/>
                <w:color w:val="000000" w:themeColor="text1"/>
                <w:sz w:val="16"/>
                <w:lang w:val="en-GB"/>
              </w:rPr>
            </w:pPr>
          </w:p>
        </w:tc>
        <w:tc>
          <w:tcPr>
            <w:tcW w:w="1134" w:type="dxa"/>
            <w:tcBorders>
              <w:top w:val="single" w:sz="12" w:space="0" w:color="auto"/>
            </w:tcBorders>
            <w:shd w:val="clear" w:color="auto" w:fill="auto"/>
            <w:tcMar>
              <w:top w:w="142" w:type="dxa"/>
              <w:left w:w="0" w:type="dxa"/>
              <w:bottom w:w="57" w:type="dxa"/>
              <w:right w:w="0" w:type="dxa"/>
            </w:tcMar>
            <w:vAlign w:val="bottom"/>
          </w:tcPr>
          <w:p w14:paraId="63250DD6" w14:textId="77777777" w:rsidR="003A4304" w:rsidRPr="003A4304" w:rsidRDefault="003A4304" w:rsidP="003F6F7C">
            <w:pPr>
              <w:spacing w:line="240" w:lineRule="atLeast"/>
              <w:jc w:val="right"/>
              <w:rPr>
                <w:rFonts w:ascii="Tahoma" w:hAnsi="Tahoma"/>
                <w:color w:val="000000" w:themeColor="text1"/>
                <w:sz w:val="16"/>
                <w:lang w:val="en-GB"/>
              </w:rPr>
            </w:pPr>
          </w:p>
        </w:tc>
        <w:tc>
          <w:tcPr>
            <w:tcW w:w="1134" w:type="dxa"/>
            <w:tcBorders>
              <w:top w:val="single" w:sz="12" w:space="0" w:color="auto"/>
            </w:tcBorders>
            <w:shd w:val="clear" w:color="auto" w:fill="auto"/>
            <w:tcMar>
              <w:top w:w="142" w:type="dxa"/>
              <w:left w:w="0" w:type="dxa"/>
              <w:bottom w:w="57" w:type="dxa"/>
              <w:right w:w="0" w:type="dxa"/>
            </w:tcMar>
            <w:vAlign w:val="bottom"/>
          </w:tcPr>
          <w:p w14:paraId="1F90AB67" w14:textId="77777777" w:rsidR="003A4304" w:rsidRPr="003A4304" w:rsidRDefault="003A4304" w:rsidP="003F6F7C">
            <w:pPr>
              <w:spacing w:line="240" w:lineRule="atLeast"/>
              <w:jc w:val="right"/>
              <w:rPr>
                <w:rFonts w:ascii="Tahoma" w:hAnsi="Tahoma"/>
                <w:color w:val="000000" w:themeColor="text1"/>
                <w:sz w:val="16"/>
                <w:lang w:val="en-GB"/>
              </w:rPr>
            </w:pPr>
          </w:p>
        </w:tc>
      </w:tr>
      <w:tr w:rsidR="00615190" w:rsidRPr="003A4304" w14:paraId="69AA20A1" w14:textId="77777777" w:rsidTr="00265726">
        <w:trPr>
          <w:trHeight w:val="60"/>
        </w:trPr>
        <w:tc>
          <w:tcPr>
            <w:tcW w:w="397" w:type="dxa"/>
            <w:shd w:val="clear" w:color="auto" w:fill="auto"/>
            <w:tcMar>
              <w:top w:w="57" w:type="dxa"/>
              <w:left w:w="0" w:type="dxa"/>
              <w:bottom w:w="57" w:type="dxa"/>
              <w:right w:w="0" w:type="dxa"/>
            </w:tcMar>
            <w:vAlign w:val="bottom"/>
          </w:tcPr>
          <w:p w14:paraId="4F1A6AE9" w14:textId="77777777" w:rsidR="003A4304" w:rsidRPr="003A4304" w:rsidRDefault="003A4304" w:rsidP="00615190">
            <w:pPr>
              <w:spacing w:line="240" w:lineRule="atLeast"/>
              <w:rPr>
                <w:rFonts w:ascii="Tahoma" w:hAnsi="Tahoma"/>
                <w:color w:val="000000" w:themeColor="text1"/>
                <w:sz w:val="16"/>
                <w:lang w:val="en-GB"/>
              </w:rPr>
            </w:pPr>
          </w:p>
        </w:tc>
        <w:tc>
          <w:tcPr>
            <w:tcW w:w="6407" w:type="dxa"/>
            <w:shd w:val="clear" w:color="auto" w:fill="auto"/>
            <w:tcMar>
              <w:top w:w="57" w:type="dxa"/>
              <w:left w:w="0" w:type="dxa"/>
              <w:bottom w:w="57" w:type="dxa"/>
              <w:right w:w="113" w:type="dxa"/>
            </w:tcMar>
            <w:vAlign w:val="bottom"/>
          </w:tcPr>
          <w:p w14:paraId="43845CF6" w14:textId="77777777" w:rsidR="003A4304" w:rsidRPr="003A4304" w:rsidRDefault="003A4304" w:rsidP="00615190">
            <w:pPr>
              <w:spacing w:line="240" w:lineRule="atLeast"/>
              <w:rPr>
                <w:rFonts w:ascii="Tahoma" w:hAnsi="Tahoma"/>
                <w:color w:val="000000" w:themeColor="text1"/>
                <w:sz w:val="16"/>
                <w:lang w:val="en-GB"/>
              </w:rPr>
            </w:pPr>
            <w:r w:rsidRPr="003A4304">
              <w:rPr>
                <w:rFonts w:ascii="Tahoma" w:hAnsi="Tahoma"/>
                <w:color w:val="000000" w:themeColor="text1"/>
                <w:sz w:val="16"/>
                <w:lang w:val="en-GB"/>
              </w:rPr>
              <w:t>Basic earnings attributable to shareholders</w:t>
            </w:r>
          </w:p>
        </w:tc>
        <w:tc>
          <w:tcPr>
            <w:tcW w:w="1134" w:type="dxa"/>
            <w:shd w:val="clear" w:color="auto" w:fill="auto"/>
            <w:tcMar>
              <w:top w:w="57" w:type="dxa"/>
              <w:left w:w="0" w:type="dxa"/>
              <w:bottom w:w="57" w:type="dxa"/>
              <w:right w:w="0" w:type="dxa"/>
            </w:tcMar>
            <w:vAlign w:val="bottom"/>
          </w:tcPr>
          <w:p w14:paraId="47EF2DEC" w14:textId="77777777" w:rsidR="003A4304" w:rsidRPr="003A4304" w:rsidRDefault="003A4304" w:rsidP="003F6F7C">
            <w:pPr>
              <w:spacing w:line="240" w:lineRule="atLeast"/>
              <w:jc w:val="right"/>
              <w:rPr>
                <w:rFonts w:ascii="Tahoma" w:hAnsi="Tahoma"/>
                <w:b/>
                <w:bCs/>
                <w:color w:val="000000" w:themeColor="text1"/>
                <w:sz w:val="16"/>
                <w:lang w:val="en-GB"/>
              </w:rPr>
            </w:pPr>
            <w:r w:rsidRPr="003A4304">
              <w:rPr>
                <w:rFonts w:ascii="Tahoma" w:hAnsi="Tahoma"/>
                <w:b/>
                <w:bCs/>
                <w:color w:val="000000" w:themeColor="text1"/>
                <w:sz w:val="16"/>
                <w:lang w:val="en-GB"/>
              </w:rPr>
              <w:t>2 345</w:t>
            </w:r>
          </w:p>
        </w:tc>
        <w:tc>
          <w:tcPr>
            <w:tcW w:w="1134" w:type="dxa"/>
            <w:shd w:val="clear" w:color="auto" w:fill="auto"/>
            <w:tcMar>
              <w:top w:w="57" w:type="dxa"/>
              <w:left w:w="0" w:type="dxa"/>
              <w:bottom w:w="57" w:type="dxa"/>
              <w:right w:w="0" w:type="dxa"/>
            </w:tcMar>
            <w:vAlign w:val="bottom"/>
          </w:tcPr>
          <w:p w14:paraId="3DC1876F" w14:textId="77777777" w:rsidR="003A4304" w:rsidRPr="003A4304" w:rsidRDefault="003A4304" w:rsidP="003F6F7C">
            <w:pPr>
              <w:spacing w:line="240" w:lineRule="atLeast"/>
              <w:jc w:val="right"/>
              <w:rPr>
                <w:rFonts w:ascii="Tahoma" w:hAnsi="Tahoma"/>
                <w:color w:val="000000" w:themeColor="text1"/>
                <w:sz w:val="16"/>
                <w:lang w:val="en-GB"/>
              </w:rPr>
            </w:pPr>
            <w:r w:rsidRPr="003A4304">
              <w:rPr>
                <w:rFonts w:ascii="Tahoma" w:hAnsi="Tahoma"/>
                <w:color w:val="000000" w:themeColor="text1"/>
                <w:sz w:val="16"/>
                <w:lang w:val="en-GB"/>
              </w:rPr>
              <w:t>15 797</w:t>
            </w:r>
          </w:p>
        </w:tc>
        <w:tc>
          <w:tcPr>
            <w:tcW w:w="1134" w:type="dxa"/>
            <w:shd w:val="clear" w:color="auto" w:fill="auto"/>
            <w:tcMar>
              <w:top w:w="57" w:type="dxa"/>
              <w:left w:w="0" w:type="dxa"/>
              <w:bottom w:w="57" w:type="dxa"/>
              <w:right w:w="0" w:type="dxa"/>
            </w:tcMar>
            <w:vAlign w:val="bottom"/>
          </w:tcPr>
          <w:p w14:paraId="447578DA" w14:textId="77777777" w:rsidR="003A4304" w:rsidRPr="003A4304" w:rsidRDefault="003A4304" w:rsidP="006B389E">
            <w:pPr>
              <w:spacing w:line="240" w:lineRule="atLeast"/>
              <w:ind w:right="113"/>
              <w:jc w:val="right"/>
              <w:rPr>
                <w:rFonts w:ascii="Tahoma" w:hAnsi="Tahoma"/>
                <w:color w:val="000000" w:themeColor="text1"/>
                <w:sz w:val="16"/>
                <w:lang w:val="en-GB"/>
              </w:rPr>
            </w:pPr>
            <w:r w:rsidRPr="003A4304">
              <w:rPr>
                <w:rFonts w:ascii="Tahoma" w:hAnsi="Tahoma"/>
                <w:color w:val="000000" w:themeColor="text1"/>
                <w:sz w:val="16"/>
                <w:lang w:val="en-GB"/>
              </w:rPr>
              <w:t>18 578</w:t>
            </w:r>
          </w:p>
        </w:tc>
      </w:tr>
      <w:tr w:rsidR="00615190" w:rsidRPr="003A4304" w14:paraId="0A98358B" w14:textId="77777777" w:rsidTr="00265726">
        <w:trPr>
          <w:trHeight w:val="60"/>
        </w:trPr>
        <w:tc>
          <w:tcPr>
            <w:tcW w:w="397" w:type="dxa"/>
            <w:shd w:val="clear" w:color="auto" w:fill="auto"/>
            <w:tcMar>
              <w:top w:w="57" w:type="dxa"/>
              <w:left w:w="0" w:type="dxa"/>
              <w:bottom w:w="85" w:type="dxa"/>
              <w:right w:w="0" w:type="dxa"/>
            </w:tcMar>
            <w:vAlign w:val="bottom"/>
          </w:tcPr>
          <w:p w14:paraId="3EB2ADBC" w14:textId="77777777" w:rsidR="003A4304" w:rsidRPr="003A4304" w:rsidRDefault="003A4304" w:rsidP="00615190">
            <w:pPr>
              <w:spacing w:line="240" w:lineRule="atLeast"/>
              <w:rPr>
                <w:rFonts w:ascii="Tahoma" w:hAnsi="Tahoma"/>
                <w:color w:val="000000" w:themeColor="text1"/>
                <w:sz w:val="16"/>
                <w:lang w:val="en-GB"/>
              </w:rPr>
            </w:pPr>
          </w:p>
        </w:tc>
        <w:tc>
          <w:tcPr>
            <w:tcW w:w="6407" w:type="dxa"/>
            <w:tcBorders>
              <w:bottom w:val="single" w:sz="4" w:space="0" w:color="auto"/>
            </w:tcBorders>
            <w:shd w:val="clear" w:color="auto" w:fill="auto"/>
            <w:tcMar>
              <w:top w:w="57" w:type="dxa"/>
              <w:left w:w="0" w:type="dxa"/>
              <w:bottom w:w="85" w:type="dxa"/>
              <w:right w:w="113" w:type="dxa"/>
            </w:tcMar>
            <w:vAlign w:val="bottom"/>
          </w:tcPr>
          <w:p w14:paraId="67BFD8B1" w14:textId="77777777" w:rsidR="003A4304" w:rsidRPr="003A4304" w:rsidRDefault="003A4304" w:rsidP="00615190">
            <w:pPr>
              <w:spacing w:line="240" w:lineRule="atLeast"/>
              <w:rPr>
                <w:rFonts w:ascii="Tahoma" w:hAnsi="Tahoma"/>
                <w:color w:val="000000" w:themeColor="text1"/>
                <w:sz w:val="16"/>
                <w:lang w:val="en-GB"/>
              </w:rPr>
            </w:pPr>
            <w:r w:rsidRPr="003A4304">
              <w:rPr>
                <w:rFonts w:ascii="Tahoma" w:hAnsi="Tahoma"/>
                <w:color w:val="000000" w:themeColor="text1"/>
                <w:sz w:val="16"/>
                <w:lang w:val="en-GB"/>
              </w:rPr>
              <w:t>Impact of dilutive instruments of subsidiaries, associates and joint ventures</w:t>
            </w:r>
          </w:p>
        </w:tc>
        <w:tc>
          <w:tcPr>
            <w:tcW w:w="1134" w:type="dxa"/>
            <w:tcBorders>
              <w:bottom w:val="single" w:sz="4" w:space="0" w:color="auto"/>
            </w:tcBorders>
            <w:shd w:val="clear" w:color="auto" w:fill="auto"/>
            <w:tcMar>
              <w:top w:w="57" w:type="dxa"/>
              <w:left w:w="0" w:type="dxa"/>
              <w:bottom w:w="85" w:type="dxa"/>
              <w:right w:w="0" w:type="dxa"/>
            </w:tcMar>
            <w:vAlign w:val="bottom"/>
          </w:tcPr>
          <w:p w14:paraId="45E8DE82" w14:textId="77777777" w:rsidR="003A4304" w:rsidRPr="003A4304" w:rsidRDefault="003A4304" w:rsidP="003F6F7C">
            <w:pPr>
              <w:spacing w:line="240" w:lineRule="atLeast"/>
              <w:jc w:val="right"/>
              <w:rPr>
                <w:rFonts w:ascii="Tahoma" w:hAnsi="Tahoma"/>
                <w:b/>
                <w:bCs/>
                <w:color w:val="000000" w:themeColor="text1"/>
                <w:sz w:val="16"/>
                <w:lang w:val="en-GB"/>
              </w:rPr>
            </w:pPr>
            <w:r w:rsidRPr="003A4304">
              <w:rPr>
                <w:rFonts w:ascii="Tahoma" w:hAnsi="Tahoma"/>
                <w:b/>
                <w:bCs/>
                <w:color w:val="000000" w:themeColor="text1"/>
                <w:sz w:val="16"/>
                <w:lang w:val="en-GB"/>
              </w:rPr>
              <w:t>(33)</w:t>
            </w:r>
          </w:p>
        </w:tc>
        <w:tc>
          <w:tcPr>
            <w:tcW w:w="1134" w:type="dxa"/>
            <w:tcBorders>
              <w:bottom w:val="single" w:sz="4" w:space="0" w:color="auto"/>
            </w:tcBorders>
            <w:shd w:val="clear" w:color="auto" w:fill="auto"/>
            <w:tcMar>
              <w:top w:w="57" w:type="dxa"/>
              <w:left w:w="0" w:type="dxa"/>
              <w:bottom w:w="85" w:type="dxa"/>
              <w:right w:w="0" w:type="dxa"/>
            </w:tcMar>
            <w:vAlign w:val="bottom"/>
          </w:tcPr>
          <w:p w14:paraId="11AD03C3" w14:textId="77777777" w:rsidR="003A4304" w:rsidRPr="003A4304" w:rsidRDefault="003A4304" w:rsidP="003F6F7C">
            <w:pPr>
              <w:spacing w:line="240" w:lineRule="atLeast"/>
              <w:jc w:val="right"/>
              <w:rPr>
                <w:rFonts w:ascii="Tahoma" w:hAnsi="Tahoma"/>
                <w:color w:val="000000" w:themeColor="text1"/>
                <w:sz w:val="16"/>
                <w:lang w:val="en-GB"/>
              </w:rPr>
            </w:pPr>
            <w:r w:rsidRPr="003A4304">
              <w:rPr>
                <w:rFonts w:ascii="Tahoma" w:hAnsi="Tahoma"/>
                <w:color w:val="000000" w:themeColor="text1"/>
                <w:sz w:val="16"/>
                <w:lang w:val="en-GB"/>
              </w:rPr>
              <w:t>(75)</w:t>
            </w:r>
          </w:p>
        </w:tc>
        <w:tc>
          <w:tcPr>
            <w:tcW w:w="1134" w:type="dxa"/>
            <w:tcBorders>
              <w:bottom w:val="single" w:sz="4" w:space="0" w:color="auto"/>
            </w:tcBorders>
            <w:shd w:val="clear" w:color="auto" w:fill="auto"/>
            <w:tcMar>
              <w:top w:w="57" w:type="dxa"/>
              <w:left w:w="0" w:type="dxa"/>
              <w:bottom w:w="85" w:type="dxa"/>
              <w:right w:w="0" w:type="dxa"/>
            </w:tcMar>
            <w:vAlign w:val="bottom"/>
          </w:tcPr>
          <w:p w14:paraId="3575FDD9" w14:textId="77777777" w:rsidR="003A4304" w:rsidRPr="003A4304" w:rsidRDefault="003A4304" w:rsidP="006B389E">
            <w:pPr>
              <w:spacing w:line="240" w:lineRule="atLeast"/>
              <w:ind w:right="113"/>
              <w:jc w:val="right"/>
              <w:rPr>
                <w:rFonts w:ascii="Tahoma" w:hAnsi="Tahoma"/>
                <w:color w:val="000000" w:themeColor="text1"/>
                <w:sz w:val="16"/>
                <w:lang w:val="en-GB"/>
              </w:rPr>
            </w:pPr>
            <w:r w:rsidRPr="003A4304">
              <w:rPr>
                <w:rFonts w:ascii="Tahoma" w:hAnsi="Tahoma"/>
                <w:color w:val="000000" w:themeColor="text1"/>
                <w:sz w:val="16"/>
                <w:lang w:val="en-GB"/>
              </w:rPr>
              <w:t>(170)</w:t>
            </w:r>
          </w:p>
        </w:tc>
      </w:tr>
      <w:tr w:rsidR="00615190" w:rsidRPr="003A4304" w14:paraId="61AC22A9" w14:textId="77777777" w:rsidTr="00265726">
        <w:trPr>
          <w:trHeight w:val="60"/>
        </w:trPr>
        <w:tc>
          <w:tcPr>
            <w:tcW w:w="397" w:type="dxa"/>
            <w:shd w:val="clear" w:color="auto" w:fill="auto"/>
            <w:tcMar>
              <w:top w:w="85" w:type="dxa"/>
              <w:left w:w="0" w:type="dxa"/>
              <w:bottom w:w="57" w:type="dxa"/>
              <w:right w:w="0" w:type="dxa"/>
            </w:tcMar>
            <w:vAlign w:val="bottom"/>
          </w:tcPr>
          <w:p w14:paraId="0C4AC275" w14:textId="77777777" w:rsidR="003A4304" w:rsidRPr="003A4304" w:rsidRDefault="003A4304" w:rsidP="00615190">
            <w:pPr>
              <w:spacing w:line="240" w:lineRule="atLeast"/>
              <w:rPr>
                <w:rFonts w:ascii="Tahoma" w:hAnsi="Tahoma"/>
                <w:color w:val="000000" w:themeColor="text1"/>
                <w:sz w:val="16"/>
                <w:lang w:val="en-GB"/>
              </w:rPr>
            </w:pPr>
          </w:p>
        </w:tc>
        <w:tc>
          <w:tcPr>
            <w:tcW w:w="6407" w:type="dxa"/>
            <w:tcBorders>
              <w:top w:val="single" w:sz="4" w:space="0" w:color="auto"/>
            </w:tcBorders>
            <w:shd w:val="clear" w:color="auto" w:fill="auto"/>
            <w:tcMar>
              <w:top w:w="85" w:type="dxa"/>
              <w:left w:w="0" w:type="dxa"/>
              <w:bottom w:w="57" w:type="dxa"/>
              <w:right w:w="113" w:type="dxa"/>
            </w:tcMar>
            <w:vAlign w:val="bottom"/>
          </w:tcPr>
          <w:p w14:paraId="2B12B562" w14:textId="77777777" w:rsidR="003A4304" w:rsidRPr="003A4304" w:rsidRDefault="003A4304" w:rsidP="00615190">
            <w:pPr>
              <w:spacing w:line="240" w:lineRule="atLeast"/>
              <w:rPr>
                <w:rFonts w:ascii="Tahoma" w:hAnsi="Tahoma"/>
                <w:color w:val="000000" w:themeColor="text1"/>
                <w:sz w:val="16"/>
                <w:lang w:val="en-GB"/>
              </w:rPr>
            </w:pPr>
            <w:r w:rsidRPr="003A4304">
              <w:rPr>
                <w:rFonts w:ascii="Tahoma" w:hAnsi="Tahoma"/>
                <w:color w:val="000000" w:themeColor="text1"/>
                <w:sz w:val="16"/>
                <w:lang w:val="en-GB"/>
              </w:rPr>
              <w:t>Diluted earnings attributable to shareholders</w:t>
            </w:r>
          </w:p>
        </w:tc>
        <w:tc>
          <w:tcPr>
            <w:tcW w:w="1134" w:type="dxa"/>
            <w:tcBorders>
              <w:top w:val="single" w:sz="4" w:space="0" w:color="auto"/>
            </w:tcBorders>
            <w:shd w:val="clear" w:color="auto" w:fill="auto"/>
            <w:tcMar>
              <w:top w:w="85" w:type="dxa"/>
              <w:left w:w="0" w:type="dxa"/>
              <w:bottom w:w="57" w:type="dxa"/>
              <w:right w:w="0" w:type="dxa"/>
            </w:tcMar>
            <w:vAlign w:val="bottom"/>
          </w:tcPr>
          <w:p w14:paraId="07C530E5" w14:textId="77777777" w:rsidR="003A4304" w:rsidRPr="003A4304" w:rsidRDefault="003A4304" w:rsidP="003F6F7C">
            <w:pPr>
              <w:spacing w:line="240" w:lineRule="atLeast"/>
              <w:jc w:val="right"/>
              <w:rPr>
                <w:rFonts w:ascii="Tahoma" w:hAnsi="Tahoma"/>
                <w:b/>
                <w:bCs/>
                <w:color w:val="000000" w:themeColor="text1"/>
                <w:sz w:val="16"/>
                <w:lang w:val="en-GB"/>
              </w:rPr>
            </w:pPr>
            <w:r w:rsidRPr="003A4304">
              <w:rPr>
                <w:rFonts w:ascii="Tahoma" w:hAnsi="Tahoma"/>
                <w:b/>
                <w:bCs/>
                <w:color w:val="000000" w:themeColor="text1"/>
                <w:sz w:val="16"/>
                <w:lang w:val="en-GB"/>
              </w:rPr>
              <w:t>2 312</w:t>
            </w:r>
          </w:p>
        </w:tc>
        <w:tc>
          <w:tcPr>
            <w:tcW w:w="1134" w:type="dxa"/>
            <w:tcBorders>
              <w:top w:val="single" w:sz="4" w:space="0" w:color="auto"/>
            </w:tcBorders>
            <w:shd w:val="clear" w:color="auto" w:fill="auto"/>
            <w:tcMar>
              <w:top w:w="85" w:type="dxa"/>
              <w:left w:w="0" w:type="dxa"/>
              <w:bottom w:w="57" w:type="dxa"/>
              <w:right w:w="0" w:type="dxa"/>
            </w:tcMar>
            <w:vAlign w:val="bottom"/>
          </w:tcPr>
          <w:p w14:paraId="32F16ED3" w14:textId="77777777" w:rsidR="003A4304" w:rsidRPr="003A4304" w:rsidRDefault="003A4304" w:rsidP="003F6F7C">
            <w:pPr>
              <w:spacing w:line="240" w:lineRule="atLeast"/>
              <w:jc w:val="right"/>
              <w:rPr>
                <w:rFonts w:ascii="Tahoma" w:hAnsi="Tahoma"/>
                <w:color w:val="000000" w:themeColor="text1"/>
                <w:sz w:val="16"/>
                <w:lang w:val="en-GB"/>
              </w:rPr>
            </w:pPr>
            <w:r w:rsidRPr="003A4304">
              <w:rPr>
                <w:rFonts w:ascii="Tahoma" w:hAnsi="Tahoma"/>
                <w:color w:val="000000" w:themeColor="text1"/>
                <w:sz w:val="16"/>
                <w:lang w:val="en-GB"/>
              </w:rPr>
              <w:t>15 722</w:t>
            </w:r>
          </w:p>
        </w:tc>
        <w:tc>
          <w:tcPr>
            <w:tcW w:w="1134" w:type="dxa"/>
            <w:tcBorders>
              <w:top w:val="single" w:sz="4" w:space="0" w:color="auto"/>
            </w:tcBorders>
            <w:shd w:val="clear" w:color="auto" w:fill="auto"/>
            <w:tcMar>
              <w:top w:w="85" w:type="dxa"/>
              <w:left w:w="0" w:type="dxa"/>
              <w:bottom w:w="57" w:type="dxa"/>
              <w:right w:w="0" w:type="dxa"/>
            </w:tcMar>
            <w:vAlign w:val="bottom"/>
          </w:tcPr>
          <w:p w14:paraId="73355FE1" w14:textId="77777777" w:rsidR="003A4304" w:rsidRPr="003A4304" w:rsidRDefault="003A4304" w:rsidP="006B389E">
            <w:pPr>
              <w:spacing w:line="240" w:lineRule="atLeast"/>
              <w:ind w:right="113"/>
              <w:jc w:val="right"/>
              <w:rPr>
                <w:rFonts w:ascii="Tahoma" w:hAnsi="Tahoma"/>
                <w:color w:val="000000" w:themeColor="text1"/>
                <w:sz w:val="16"/>
                <w:lang w:val="en-GB"/>
              </w:rPr>
            </w:pPr>
            <w:r w:rsidRPr="003A4304">
              <w:rPr>
                <w:rFonts w:ascii="Tahoma" w:hAnsi="Tahoma"/>
                <w:color w:val="000000" w:themeColor="text1"/>
                <w:sz w:val="16"/>
                <w:lang w:val="en-GB"/>
              </w:rPr>
              <w:t>18 408</w:t>
            </w:r>
          </w:p>
        </w:tc>
      </w:tr>
      <w:tr w:rsidR="00615190" w:rsidRPr="003A4304" w14:paraId="52E0AAA4" w14:textId="77777777" w:rsidTr="005C7F00">
        <w:trPr>
          <w:trHeight w:val="60"/>
        </w:trPr>
        <w:tc>
          <w:tcPr>
            <w:tcW w:w="397" w:type="dxa"/>
            <w:shd w:val="clear" w:color="auto" w:fill="auto"/>
            <w:tcMar>
              <w:top w:w="57" w:type="dxa"/>
              <w:left w:w="0" w:type="dxa"/>
              <w:bottom w:w="57" w:type="dxa"/>
              <w:right w:w="0" w:type="dxa"/>
            </w:tcMar>
            <w:vAlign w:val="bottom"/>
          </w:tcPr>
          <w:p w14:paraId="23BAAB34" w14:textId="77777777" w:rsidR="003A4304" w:rsidRPr="003A4304" w:rsidRDefault="003A4304" w:rsidP="00615190">
            <w:pPr>
              <w:spacing w:line="240" w:lineRule="atLeast"/>
              <w:rPr>
                <w:rFonts w:ascii="Tahoma" w:hAnsi="Tahoma"/>
                <w:color w:val="000000" w:themeColor="text1"/>
                <w:sz w:val="16"/>
                <w:lang w:val="en-GB"/>
              </w:rPr>
            </w:pPr>
          </w:p>
        </w:tc>
        <w:tc>
          <w:tcPr>
            <w:tcW w:w="6407" w:type="dxa"/>
            <w:shd w:val="clear" w:color="auto" w:fill="auto"/>
            <w:tcMar>
              <w:top w:w="57" w:type="dxa"/>
              <w:left w:w="0" w:type="dxa"/>
              <w:bottom w:w="57" w:type="dxa"/>
              <w:right w:w="113" w:type="dxa"/>
            </w:tcMar>
            <w:vAlign w:val="bottom"/>
          </w:tcPr>
          <w:p w14:paraId="4B469C64" w14:textId="77777777" w:rsidR="003A4304" w:rsidRPr="003A4304" w:rsidRDefault="003A4304" w:rsidP="00615190">
            <w:pPr>
              <w:spacing w:line="240" w:lineRule="atLeast"/>
              <w:rPr>
                <w:rFonts w:ascii="Tahoma" w:hAnsi="Tahoma"/>
                <w:b/>
                <w:bCs/>
                <w:color w:val="000000" w:themeColor="text1"/>
                <w:sz w:val="16"/>
                <w:lang w:val="en-GB"/>
              </w:rPr>
            </w:pPr>
            <w:r w:rsidRPr="003A4304">
              <w:rPr>
                <w:rFonts w:ascii="Tahoma" w:hAnsi="Tahoma"/>
                <w:b/>
                <w:bCs/>
                <w:color w:val="000000" w:themeColor="text1"/>
                <w:sz w:val="16"/>
                <w:lang w:val="en-GB"/>
              </w:rPr>
              <w:t>Headline adjustments for continuing operations</w:t>
            </w:r>
          </w:p>
        </w:tc>
        <w:tc>
          <w:tcPr>
            <w:tcW w:w="1134" w:type="dxa"/>
            <w:shd w:val="clear" w:color="auto" w:fill="auto"/>
            <w:tcMar>
              <w:top w:w="57" w:type="dxa"/>
              <w:left w:w="0" w:type="dxa"/>
              <w:bottom w:w="57" w:type="dxa"/>
              <w:right w:w="0" w:type="dxa"/>
            </w:tcMar>
            <w:vAlign w:val="bottom"/>
          </w:tcPr>
          <w:p w14:paraId="6EEA9280" w14:textId="77777777" w:rsidR="003A4304" w:rsidRPr="003A4304" w:rsidRDefault="003A4304" w:rsidP="003F6F7C">
            <w:pPr>
              <w:spacing w:line="240" w:lineRule="atLeast"/>
              <w:jc w:val="right"/>
              <w:rPr>
                <w:rFonts w:ascii="Tahoma" w:hAnsi="Tahoma"/>
                <w:b/>
                <w:bCs/>
                <w:color w:val="000000" w:themeColor="text1"/>
                <w:sz w:val="16"/>
                <w:lang w:val="en-GB"/>
              </w:rPr>
            </w:pPr>
          </w:p>
        </w:tc>
        <w:tc>
          <w:tcPr>
            <w:tcW w:w="1134" w:type="dxa"/>
            <w:shd w:val="clear" w:color="auto" w:fill="auto"/>
            <w:tcMar>
              <w:top w:w="57" w:type="dxa"/>
              <w:left w:w="0" w:type="dxa"/>
              <w:bottom w:w="57" w:type="dxa"/>
              <w:right w:w="0" w:type="dxa"/>
            </w:tcMar>
            <w:vAlign w:val="bottom"/>
          </w:tcPr>
          <w:p w14:paraId="3803211A" w14:textId="77777777" w:rsidR="003A4304" w:rsidRPr="003A4304" w:rsidRDefault="003A4304" w:rsidP="003F6F7C">
            <w:pPr>
              <w:spacing w:line="240" w:lineRule="atLeast"/>
              <w:jc w:val="right"/>
              <w:rPr>
                <w:rFonts w:ascii="Tahoma" w:hAnsi="Tahoma"/>
                <w:color w:val="000000" w:themeColor="text1"/>
                <w:sz w:val="16"/>
                <w:lang w:val="en-GB"/>
              </w:rPr>
            </w:pPr>
          </w:p>
        </w:tc>
        <w:tc>
          <w:tcPr>
            <w:tcW w:w="1134" w:type="dxa"/>
            <w:shd w:val="clear" w:color="auto" w:fill="auto"/>
            <w:tcMar>
              <w:top w:w="57" w:type="dxa"/>
              <w:left w:w="0" w:type="dxa"/>
              <w:bottom w:w="57" w:type="dxa"/>
              <w:right w:w="0" w:type="dxa"/>
            </w:tcMar>
            <w:vAlign w:val="bottom"/>
          </w:tcPr>
          <w:p w14:paraId="6B19ABCC" w14:textId="77777777" w:rsidR="003A4304" w:rsidRPr="003A4304" w:rsidRDefault="003A4304" w:rsidP="006B389E">
            <w:pPr>
              <w:spacing w:line="240" w:lineRule="atLeast"/>
              <w:ind w:right="113"/>
              <w:jc w:val="right"/>
              <w:rPr>
                <w:rFonts w:ascii="Tahoma" w:hAnsi="Tahoma"/>
                <w:color w:val="000000" w:themeColor="text1"/>
                <w:sz w:val="16"/>
                <w:lang w:val="en-GB"/>
              </w:rPr>
            </w:pPr>
          </w:p>
        </w:tc>
      </w:tr>
      <w:tr w:rsidR="00615190" w:rsidRPr="003A4304" w14:paraId="78FB111F" w14:textId="77777777" w:rsidTr="00E83A7B">
        <w:trPr>
          <w:trHeight w:val="60"/>
        </w:trPr>
        <w:tc>
          <w:tcPr>
            <w:tcW w:w="397" w:type="dxa"/>
            <w:shd w:val="clear" w:color="auto" w:fill="auto"/>
            <w:tcMar>
              <w:top w:w="57" w:type="dxa"/>
              <w:left w:w="0" w:type="dxa"/>
              <w:bottom w:w="57" w:type="dxa"/>
              <w:right w:w="0" w:type="dxa"/>
            </w:tcMar>
            <w:vAlign w:val="bottom"/>
          </w:tcPr>
          <w:p w14:paraId="0FFF4766" w14:textId="77777777" w:rsidR="003A4304" w:rsidRPr="003A4304" w:rsidRDefault="003A4304" w:rsidP="00615190">
            <w:pPr>
              <w:spacing w:line="240" w:lineRule="atLeast"/>
              <w:rPr>
                <w:rFonts w:ascii="Tahoma" w:hAnsi="Tahoma"/>
                <w:color w:val="000000" w:themeColor="text1"/>
                <w:sz w:val="16"/>
                <w:lang w:val="en-GB"/>
              </w:rPr>
            </w:pPr>
          </w:p>
        </w:tc>
        <w:tc>
          <w:tcPr>
            <w:tcW w:w="6407" w:type="dxa"/>
            <w:shd w:val="clear" w:color="auto" w:fill="auto"/>
            <w:tcMar>
              <w:top w:w="57" w:type="dxa"/>
              <w:left w:w="0" w:type="dxa"/>
              <w:bottom w:w="57" w:type="dxa"/>
              <w:right w:w="113" w:type="dxa"/>
            </w:tcMar>
            <w:vAlign w:val="bottom"/>
          </w:tcPr>
          <w:p w14:paraId="4F62C428" w14:textId="77777777" w:rsidR="003A4304" w:rsidRPr="003A4304" w:rsidRDefault="003A4304" w:rsidP="00615190">
            <w:pPr>
              <w:spacing w:line="240" w:lineRule="atLeast"/>
              <w:rPr>
                <w:rFonts w:ascii="Tahoma" w:hAnsi="Tahoma"/>
                <w:i/>
                <w:iCs/>
                <w:color w:val="000000" w:themeColor="text1"/>
                <w:sz w:val="16"/>
                <w:lang w:val="en-GB"/>
              </w:rPr>
            </w:pPr>
            <w:r w:rsidRPr="003A4304">
              <w:rPr>
                <w:rFonts w:ascii="Tahoma" w:hAnsi="Tahoma"/>
                <w:i/>
                <w:iCs/>
                <w:color w:val="000000" w:themeColor="text1"/>
                <w:sz w:val="16"/>
                <w:lang w:val="en-GB"/>
              </w:rPr>
              <w:t>Adjustments for:</w:t>
            </w:r>
          </w:p>
        </w:tc>
        <w:tc>
          <w:tcPr>
            <w:tcW w:w="1134" w:type="dxa"/>
            <w:tcBorders>
              <w:bottom w:val="single" w:sz="4" w:space="0" w:color="auto"/>
            </w:tcBorders>
            <w:shd w:val="clear" w:color="auto" w:fill="auto"/>
            <w:tcMar>
              <w:top w:w="57" w:type="dxa"/>
              <w:left w:w="0" w:type="dxa"/>
              <w:bottom w:w="57" w:type="dxa"/>
              <w:right w:w="0" w:type="dxa"/>
            </w:tcMar>
            <w:vAlign w:val="bottom"/>
          </w:tcPr>
          <w:p w14:paraId="1B0C23E6" w14:textId="77777777" w:rsidR="003A4304" w:rsidRPr="003A4304" w:rsidRDefault="003A4304" w:rsidP="003F6F7C">
            <w:pPr>
              <w:spacing w:line="240" w:lineRule="atLeast"/>
              <w:jc w:val="right"/>
              <w:rPr>
                <w:rFonts w:ascii="Tahoma" w:hAnsi="Tahoma"/>
                <w:b/>
                <w:bCs/>
                <w:color w:val="000000" w:themeColor="text1"/>
                <w:sz w:val="16"/>
                <w:lang w:val="en-GB"/>
              </w:rPr>
            </w:pPr>
            <w:r w:rsidRPr="003A4304">
              <w:rPr>
                <w:rFonts w:ascii="Tahoma" w:hAnsi="Tahoma"/>
                <w:b/>
                <w:bCs/>
                <w:color w:val="000000" w:themeColor="text1"/>
                <w:sz w:val="16"/>
                <w:lang w:val="en-GB"/>
              </w:rPr>
              <w:t>(2 352)</w:t>
            </w:r>
          </w:p>
        </w:tc>
        <w:tc>
          <w:tcPr>
            <w:tcW w:w="1134" w:type="dxa"/>
            <w:tcBorders>
              <w:bottom w:val="single" w:sz="4" w:space="0" w:color="auto"/>
            </w:tcBorders>
            <w:shd w:val="clear" w:color="auto" w:fill="auto"/>
            <w:tcMar>
              <w:top w:w="57" w:type="dxa"/>
              <w:left w:w="0" w:type="dxa"/>
              <w:bottom w:w="57" w:type="dxa"/>
              <w:right w:w="0" w:type="dxa"/>
            </w:tcMar>
            <w:vAlign w:val="bottom"/>
          </w:tcPr>
          <w:p w14:paraId="3BCA0193" w14:textId="77777777" w:rsidR="003A4304" w:rsidRPr="003A4304" w:rsidRDefault="003A4304" w:rsidP="003F6F7C">
            <w:pPr>
              <w:spacing w:line="240" w:lineRule="atLeast"/>
              <w:jc w:val="right"/>
              <w:rPr>
                <w:rFonts w:ascii="Tahoma" w:hAnsi="Tahoma"/>
                <w:color w:val="000000" w:themeColor="text1"/>
                <w:sz w:val="16"/>
                <w:lang w:val="en-GB"/>
              </w:rPr>
            </w:pPr>
            <w:r w:rsidRPr="003A4304">
              <w:rPr>
                <w:rFonts w:ascii="Tahoma" w:hAnsi="Tahoma"/>
                <w:color w:val="000000" w:themeColor="text1"/>
                <w:sz w:val="16"/>
                <w:lang w:val="en-GB"/>
              </w:rPr>
              <w:t>(13 536)</w:t>
            </w:r>
          </w:p>
        </w:tc>
        <w:tc>
          <w:tcPr>
            <w:tcW w:w="1134" w:type="dxa"/>
            <w:tcBorders>
              <w:bottom w:val="single" w:sz="4" w:space="0" w:color="auto"/>
            </w:tcBorders>
            <w:shd w:val="clear" w:color="auto" w:fill="auto"/>
            <w:tcMar>
              <w:top w:w="57" w:type="dxa"/>
              <w:left w:w="0" w:type="dxa"/>
              <w:bottom w:w="57" w:type="dxa"/>
              <w:right w:w="0" w:type="dxa"/>
            </w:tcMar>
            <w:vAlign w:val="bottom"/>
          </w:tcPr>
          <w:p w14:paraId="4FAB4822" w14:textId="77777777" w:rsidR="003A4304" w:rsidRPr="003A4304" w:rsidRDefault="003A4304" w:rsidP="006B389E">
            <w:pPr>
              <w:spacing w:line="240" w:lineRule="atLeast"/>
              <w:ind w:right="113"/>
              <w:jc w:val="right"/>
              <w:rPr>
                <w:rFonts w:ascii="Tahoma" w:hAnsi="Tahoma"/>
                <w:color w:val="000000" w:themeColor="text1"/>
                <w:sz w:val="16"/>
                <w:lang w:val="en-GB"/>
              </w:rPr>
            </w:pPr>
            <w:r w:rsidRPr="003A4304">
              <w:rPr>
                <w:rFonts w:ascii="Tahoma" w:hAnsi="Tahoma"/>
                <w:color w:val="000000" w:themeColor="text1"/>
                <w:sz w:val="16"/>
                <w:lang w:val="en-GB"/>
              </w:rPr>
              <w:t>(15 657)</w:t>
            </w:r>
          </w:p>
        </w:tc>
      </w:tr>
      <w:tr w:rsidR="00615190" w:rsidRPr="003A4304" w14:paraId="02E76BB7" w14:textId="77777777" w:rsidTr="00E83A7B">
        <w:trPr>
          <w:trHeight w:val="60"/>
        </w:trPr>
        <w:tc>
          <w:tcPr>
            <w:tcW w:w="397" w:type="dxa"/>
            <w:shd w:val="clear" w:color="auto" w:fill="auto"/>
            <w:tcMar>
              <w:top w:w="57" w:type="dxa"/>
              <w:left w:w="0" w:type="dxa"/>
              <w:bottom w:w="57" w:type="dxa"/>
              <w:right w:w="0" w:type="dxa"/>
            </w:tcMar>
            <w:vAlign w:val="bottom"/>
          </w:tcPr>
          <w:p w14:paraId="52CCCB1F" w14:textId="77777777" w:rsidR="003A4304" w:rsidRPr="003A4304" w:rsidRDefault="003A4304" w:rsidP="00615190">
            <w:pPr>
              <w:spacing w:line="240" w:lineRule="atLeast"/>
              <w:rPr>
                <w:rFonts w:ascii="Tahoma" w:hAnsi="Tahoma"/>
                <w:color w:val="000000" w:themeColor="text1"/>
                <w:sz w:val="16"/>
                <w:lang w:val="en-GB"/>
              </w:rPr>
            </w:pPr>
          </w:p>
        </w:tc>
        <w:tc>
          <w:tcPr>
            <w:tcW w:w="6407" w:type="dxa"/>
            <w:tcBorders>
              <w:right w:val="single" w:sz="4" w:space="0" w:color="auto"/>
            </w:tcBorders>
            <w:shd w:val="clear" w:color="auto" w:fill="auto"/>
            <w:tcMar>
              <w:top w:w="57" w:type="dxa"/>
              <w:left w:w="113" w:type="dxa"/>
              <w:bottom w:w="57" w:type="dxa"/>
              <w:right w:w="113" w:type="dxa"/>
            </w:tcMar>
            <w:vAlign w:val="bottom"/>
          </w:tcPr>
          <w:p w14:paraId="15993DA7" w14:textId="77777777" w:rsidR="003A4304" w:rsidRPr="003A4304" w:rsidRDefault="003A4304" w:rsidP="00615190">
            <w:pPr>
              <w:spacing w:line="240" w:lineRule="atLeast"/>
              <w:rPr>
                <w:rFonts w:ascii="Tahoma" w:hAnsi="Tahoma"/>
                <w:color w:val="000000" w:themeColor="text1"/>
                <w:sz w:val="16"/>
                <w:lang w:val="en-GB"/>
              </w:rPr>
            </w:pPr>
            <w:r w:rsidRPr="003A4304">
              <w:rPr>
                <w:rFonts w:ascii="Tahoma" w:hAnsi="Tahoma"/>
                <w:color w:val="000000" w:themeColor="text1"/>
                <w:sz w:val="16"/>
                <w:lang w:val="en-GB"/>
              </w:rPr>
              <w:t>Impairment of goodwill and other intangible assets</w:t>
            </w:r>
          </w:p>
        </w:tc>
        <w:tc>
          <w:tcPr>
            <w:tcW w:w="1134" w:type="dxa"/>
            <w:tcBorders>
              <w:top w:val="single" w:sz="4" w:space="0" w:color="auto"/>
              <w:left w:val="single" w:sz="4" w:space="0" w:color="auto"/>
            </w:tcBorders>
            <w:shd w:val="clear" w:color="auto" w:fill="auto"/>
            <w:tcMar>
              <w:top w:w="57" w:type="dxa"/>
              <w:left w:w="0" w:type="dxa"/>
              <w:bottom w:w="57" w:type="dxa"/>
              <w:right w:w="0" w:type="dxa"/>
            </w:tcMar>
            <w:vAlign w:val="bottom"/>
          </w:tcPr>
          <w:p w14:paraId="32DEFDE5" w14:textId="77777777" w:rsidR="003A4304" w:rsidRPr="003A4304" w:rsidRDefault="003A4304" w:rsidP="003F6F7C">
            <w:pPr>
              <w:spacing w:line="240" w:lineRule="atLeast"/>
              <w:jc w:val="right"/>
              <w:rPr>
                <w:rFonts w:ascii="Tahoma" w:hAnsi="Tahoma"/>
                <w:b/>
                <w:bCs/>
                <w:color w:val="000000" w:themeColor="text1"/>
                <w:sz w:val="16"/>
                <w:lang w:val="en-GB"/>
              </w:rPr>
            </w:pPr>
            <w:r w:rsidRPr="003A4304">
              <w:rPr>
                <w:rFonts w:ascii="Tahoma" w:hAnsi="Tahoma"/>
                <w:b/>
                <w:bCs/>
                <w:color w:val="000000" w:themeColor="text1"/>
                <w:sz w:val="16"/>
                <w:lang w:val="en-GB"/>
              </w:rPr>
              <w:t>15</w:t>
            </w:r>
          </w:p>
        </w:tc>
        <w:tc>
          <w:tcPr>
            <w:tcW w:w="1134" w:type="dxa"/>
            <w:tcBorders>
              <w:top w:val="single" w:sz="4" w:space="0" w:color="auto"/>
            </w:tcBorders>
            <w:shd w:val="clear" w:color="auto" w:fill="auto"/>
            <w:tcMar>
              <w:top w:w="57" w:type="dxa"/>
              <w:left w:w="0" w:type="dxa"/>
              <w:bottom w:w="57" w:type="dxa"/>
              <w:right w:w="0" w:type="dxa"/>
            </w:tcMar>
            <w:vAlign w:val="bottom"/>
          </w:tcPr>
          <w:p w14:paraId="2FBF05F2" w14:textId="77777777" w:rsidR="003A4304" w:rsidRPr="003A4304" w:rsidRDefault="003A4304" w:rsidP="003F6F7C">
            <w:pPr>
              <w:spacing w:line="240" w:lineRule="atLeast"/>
              <w:jc w:val="right"/>
              <w:rPr>
                <w:rFonts w:ascii="Tahoma" w:hAnsi="Tahoma"/>
                <w:color w:val="000000" w:themeColor="text1"/>
                <w:sz w:val="16"/>
                <w:lang w:val="en-GB"/>
              </w:rPr>
            </w:pPr>
            <w:r w:rsidRPr="003A4304">
              <w:rPr>
                <w:rFonts w:ascii="Tahoma" w:hAnsi="Tahoma"/>
                <w:color w:val="000000" w:themeColor="text1"/>
                <w:sz w:val="16"/>
                <w:lang w:val="en-GB"/>
              </w:rPr>
              <w:t>—</w:t>
            </w:r>
          </w:p>
        </w:tc>
        <w:tc>
          <w:tcPr>
            <w:tcW w:w="1134" w:type="dxa"/>
            <w:tcBorders>
              <w:top w:val="single" w:sz="4" w:space="0" w:color="auto"/>
              <w:right w:val="single" w:sz="4" w:space="0" w:color="auto"/>
            </w:tcBorders>
            <w:shd w:val="clear" w:color="auto" w:fill="auto"/>
            <w:tcMar>
              <w:top w:w="57" w:type="dxa"/>
              <w:left w:w="0" w:type="dxa"/>
              <w:bottom w:w="57" w:type="dxa"/>
              <w:right w:w="0" w:type="dxa"/>
            </w:tcMar>
            <w:vAlign w:val="bottom"/>
          </w:tcPr>
          <w:p w14:paraId="4E53E0E4" w14:textId="77777777" w:rsidR="003A4304" w:rsidRPr="003A4304" w:rsidRDefault="003A4304" w:rsidP="006B389E">
            <w:pPr>
              <w:spacing w:line="240" w:lineRule="atLeast"/>
              <w:ind w:right="113"/>
              <w:jc w:val="right"/>
              <w:rPr>
                <w:rFonts w:ascii="Tahoma" w:hAnsi="Tahoma"/>
                <w:color w:val="000000" w:themeColor="text1"/>
                <w:sz w:val="16"/>
                <w:lang w:val="en-GB"/>
              </w:rPr>
            </w:pPr>
            <w:r w:rsidRPr="003A4304">
              <w:rPr>
                <w:rFonts w:ascii="Tahoma" w:hAnsi="Tahoma"/>
                <w:color w:val="000000" w:themeColor="text1"/>
                <w:sz w:val="16"/>
                <w:lang w:val="en-GB"/>
              </w:rPr>
              <w:t>246</w:t>
            </w:r>
          </w:p>
        </w:tc>
      </w:tr>
      <w:tr w:rsidR="00615190" w:rsidRPr="003A4304" w14:paraId="304E90EC" w14:textId="77777777" w:rsidTr="00E83A7B">
        <w:trPr>
          <w:trHeight w:val="60"/>
        </w:trPr>
        <w:tc>
          <w:tcPr>
            <w:tcW w:w="397" w:type="dxa"/>
            <w:shd w:val="clear" w:color="auto" w:fill="auto"/>
            <w:tcMar>
              <w:top w:w="57" w:type="dxa"/>
              <w:left w:w="0" w:type="dxa"/>
              <w:bottom w:w="57" w:type="dxa"/>
              <w:right w:w="0" w:type="dxa"/>
            </w:tcMar>
            <w:vAlign w:val="bottom"/>
          </w:tcPr>
          <w:p w14:paraId="031BF9A4" w14:textId="77777777" w:rsidR="003A4304" w:rsidRPr="003A4304" w:rsidRDefault="003A4304" w:rsidP="00615190">
            <w:pPr>
              <w:spacing w:line="240" w:lineRule="atLeast"/>
              <w:rPr>
                <w:rFonts w:ascii="Tahoma" w:hAnsi="Tahoma"/>
                <w:color w:val="000000" w:themeColor="text1"/>
                <w:sz w:val="16"/>
                <w:lang w:val="en-GB"/>
              </w:rPr>
            </w:pPr>
          </w:p>
        </w:tc>
        <w:tc>
          <w:tcPr>
            <w:tcW w:w="6407" w:type="dxa"/>
            <w:tcBorders>
              <w:right w:val="single" w:sz="4" w:space="0" w:color="auto"/>
            </w:tcBorders>
            <w:shd w:val="clear" w:color="auto" w:fill="auto"/>
            <w:tcMar>
              <w:top w:w="57" w:type="dxa"/>
              <w:left w:w="113" w:type="dxa"/>
              <w:bottom w:w="57" w:type="dxa"/>
              <w:right w:w="113" w:type="dxa"/>
            </w:tcMar>
            <w:vAlign w:val="bottom"/>
          </w:tcPr>
          <w:p w14:paraId="6344B7DC" w14:textId="77777777" w:rsidR="003A4304" w:rsidRPr="003A4304" w:rsidRDefault="003A4304" w:rsidP="00615190">
            <w:pPr>
              <w:spacing w:line="240" w:lineRule="atLeast"/>
              <w:rPr>
                <w:rFonts w:ascii="Tahoma" w:hAnsi="Tahoma"/>
                <w:color w:val="000000" w:themeColor="text1"/>
                <w:sz w:val="16"/>
                <w:lang w:val="en-GB"/>
              </w:rPr>
            </w:pPr>
            <w:r w:rsidRPr="003A4304">
              <w:rPr>
                <w:rFonts w:ascii="Tahoma" w:hAnsi="Tahoma"/>
                <w:color w:val="000000" w:themeColor="text1"/>
                <w:sz w:val="16"/>
                <w:lang w:val="en-GB"/>
              </w:rPr>
              <w:t>Gain recognised on loss of control</w:t>
            </w:r>
          </w:p>
        </w:tc>
        <w:tc>
          <w:tcPr>
            <w:tcW w:w="1134" w:type="dxa"/>
            <w:tcBorders>
              <w:left w:val="single" w:sz="4" w:space="0" w:color="auto"/>
            </w:tcBorders>
            <w:shd w:val="clear" w:color="auto" w:fill="auto"/>
            <w:tcMar>
              <w:top w:w="57" w:type="dxa"/>
              <w:left w:w="0" w:type="dxa"/>
              <w:bottom w:w="57" w:type="dxa"/>
              <w:right w:w="0" w:type="dxa"/>
            </w:tcMar>
            <w:vAlign w:val="bottom"/>
          </w:tcPr>
          <w:p w14:paraId="5E4E54FF" w14:textId="77777777" w:rsidR="003A4304" w:rsidRPr="003A4304" w:rsidRDefault="003A4304" w:rsidP="003F6F7C">
            <w:pPr>
              <w:spacing w:line="240" w:lineRule="atLeast"/>
              <w:jc w:val="right"/>
              <w:rPr>
                <w:rFonts w:ascii="Tahoma" w:hAnsi="Tahoma"/>
                <w:b/>
                <w:bCs/>
                <w:color w:val="000000" w:themeColor="text1"/>
                <w:sz w:val="16"/>
                <w:lang w:val="en-GB"/>
              </w:rPr>
            </w:pPr>
            <w:r w:rsidRPr="003A4304">
              <w:rPr>
                <w:rFonts w:ascii="Tahoma" w:hAnsi="Tahoma"/>
                <w:b/>
                <w:bCs/>
                <w:color w:val="000000" w:themeColor="text1"/>
                <w:sz w:val="16"/>
                <w:lang w:val="en-GB"/>
              </w:rPr>
              <w:t>(23)</w:t>
            </w:r>
          </w:p>
        </w:tc>
        <w:tc>
          <w:tcPr>
            <w:tcW w:w="1134" w:type="dxa"/>
            <w:shd w:val="clear" w:color="auto" w:fill="auto"/>
            <w:tcMar>
              <w:top w:w="57" w:type="dxa"/>
              <w:left w:w="0" w:type="dxa"/>
              <w:bottom w:w="57" w:type="dxa"/>
              <w:right w:w="0" w:type="dxa"/>
            </w:tcMar>
            <w:vAlign w:val="bottom"/>
          </w:tcPr>
          <w:p w14:paraId="7E1FAA47" w14:textId="77777777" w:rsidR="003A4304" w:rsidRPr="003A4304" w:rsidRDefault="003A4304" w:rsidP="003F6F7C">
            <w:pPr>
              <w:spacing w:line="240" w:lineRule="atLeast"/>
              <w:jc w:val="right"/>
              <w:rPr>
                <w:rFonts w:ascii="Tahoma" w:hAnsi="Tahoma"/>
                <w:color w:val="000000" w:themeColor="text1"/>
                <w:sz w:val="16"/>
                <w:lang w:val="en-GB"/>
              </w:rPr>
            </w:pPr>
            <w:r w:rsidRPr="003A4304">
              <w:rPr>
                <w:rFonts w:ascii="Tahoma" w:hAnsi="Tahoma"/>
                <w:color w:val="000000" w:themeColor="text1"/>
                <w:sz w:val="16"/>
                <w:lang w:val="en-GB"/>
              </w:rPr>
              <w:t>—</w:t>
            </w:r>
          </w:p>
        </w:tc>
        <w:tc>
          <w:tcPr>
            <w:tcW w:w="1134" w:type="dxa"/>
            <w:tcBorders>
              <w:right w:val="single" w:sz="4" w:space="0" w:color="auto"/>
            </w:tcBorders>
            <w:shd w:val="clear" w:color="auto" w:fill="auto"/>
            <w:tcMar>
              <w:top w:w="57" w:type="dxa"/>
              <w:left w:w="0" w:type="dxa"/>
              <w:bottom w:w="57" w:type="dxa"/>
              <w:right w:w="0" w:type="dxa"/>
            </w:tcMar>
            <w:vAlign w:val="bottom"/>
          </w:tcPr>
          <w:p w14:paraId="1FD4585C" w14:textId="77777777" w:rsidR="003A4304" w:rsidRPr="003A4304" w:rsidRDefault="003A4304" w:rsidP="006B389E">
            <w:pPr>
              <w:spacing w:line="240" w:lineRule="atLeast"/>
              <w:ind w:right="113"/>
              <w:jc w:val="right"/>
              <w:rPr>
                <w:rFonts w:ascii="Tahoma" w:hAnsi="Tahoma"/>
                <w:color w:val="000000" w:themeColor="text1"/>
                <w:sz w:val="16"/>
                <w:lang w:val="en-GB"/>
              </w:rPr>
            </w:pPr>
            <w:r w:rsidRPr="003A4304">
              <w:rPr>
                <w:rFonts w:ascii="Tahoma" w:hAnsi="Tahoma"/>
                <w:color w:val="000000" w:themeColor="text1"/>
                <w:sz w:val="16"/>
                <w:lang w:val="en-GB"/>
              </w:rPr>
              <w:t>—</w:t>
            </w:r>
          </w:p>
        </w:tc>
      </w:tr>
      <w:tr w:rsidR="00615190" w:rsidRPr="003A4304" w14:paraId="786D69C6" w14:textId="77777777" w:rsidTr="00E83A7B">
        <w:trPr>
          <w:trHeight w:val="60"/>
        </w:trPr>
        <w:tc>
          <w:tcPr>
            <w:tcW w:w="397" w:type="dxa"/>
            <w:shd w:val="clear" w:color="auto" w:fill="auto"/>
            <w:tcMar>
              <w:top w:w="57" w:type="dxa"/>
              <w:left w:w="0" w:type="dxa"/>
              <w:bottom w:w="57" w:type="dxa"/>
              <w:right w:w="0" w:type="dxa"/>
            </w:tcMar>
            <w:vAlign w:val="bottom"/>
          </w:tcPr>
          <w:p w14:paraId="511A7CDC" w14:textId="77777777" w:rsidR="003A4304" w:rsidRPr="003A4304" w:rsidRDefault="003A4304" w:rsidP="00615190">
            <w:pPr>
              <w:spacing w:line="240" w:lineRule="atLeast"/>
              <w:rPr>
                <w:rFonts w:ascii="Tahoma" w:hAnsi="Tahoma"/>
                <w:color w:val="000000" w:themeColor="text1"/>
                <w:sz w:val="16"/>
                <w:lang w:val="en-GB"/>
              </w:rPr>
            </w:pPr>
          </w:p>
        </w:tc>
        <w:tc>
          <w:tcPr>
            <w:tcW w:w="6407" w:type="dxa"/>
            <w:tcBorders>
              <w:right w:val="single" w:sz="4" w:space="0" w:color="auto"/>
            </w:tcBorders>
            <w:shd w:val="clear" w:color="auto" w:fill="auto"/>
            <w:tcMar>
              <w:top w:w="57" w:type="dxa"/>
              <w:left w:w="113" w:type="dxa"/>
              <w:bottom w:w="57" w:type="dxa"/>
              <w:right w:w="113" w:type="dxa"/>
            </w:tcMar>
            <w:vAlign w:val="bottom"/>
          </w:tcPr>
          <w:p w14:paraId="0034D692" w14:textId="77777777" w:rsidR="003A4304" w:rsidRPr="003A4304" w:rsidRDefault="003A4304" w:rsidP="00615190">
            <w:pPr>
              <w:spacing w:line="240" w:lineRule="atLeast"/>
              <w:rPr>
                <w:rFonts w:ascii="Tahoma" w:hAnsi="Tahoma"/>
                <w:color w:val="000000" w:themeColor="text1"/>
                <w:sz w:val="16"/>
                <w:lang w:val="en-GB"/>
              </w:rPr>
            </w:pPr>
            <w:r w:rsidRPr="003A4304">
              <w:rPr>
                <w:rFonts w:ascii="Tahoma" w:hAnsi="Tahoma"/>
                <w:color w:val="000000" w:themeColor="text1"/>
                <w:sz w:val="16"/>
                <w:lang w:val="en-GB"/>
              </w:rPr>
              <w:t>(Gains)/losses recognised on loss of significant influence</w:t>
            </w:r>
          </w:p>
        </w:tc>
        <w:tc>
          <w:tcPr>
            <w:tcW w:w="1134" w:type="dxa"/>
            <w:tcBorders>
              <w:left w:val="single" w:sz="4" w:space="0" w:color="auto"/>
            </w:tcBorders>
            <w:shd w:val="clear" w:color="auto" w:fill="auto"/>
            <w:tcMar>
              <w:top w:w="57" w:type="dxa"/>
              <w:left w:w="0" w:type="dxa"/>
              <w:bottom w:w="57" w:type="dxa"/>
              <w:right w:w="0" w:type="dxa"/>
            </w:tcMar>
            <w:vAlign w:val="bottom"/>
          </w:tcPr>
          <w:p w14:paraId="06185FEE" w14:textId="77777777" w:rsidR="003A4304" w:rsidRPr="003A4304" w:rsidRDefault="003A4304" w:rsidP="003F6F7C">
            <w:pPr>
              <w:spacing w:line="240" w:lineRule="atLeast"/>
              <w:jc w:val="right"/>
              <w:rPr>
                <w:rFonts w:ascii="Tahoma" w:hAnsi="Tahoma"/>
                <w:b/>
                <w:bCs/>
                <w:color w:val="000000" w:themeColor="text1"/>
                <w:sz w:val="16"/>
                <w:lang w:val="en-GB"/>
              </w:rPr>
            </w:pPr>
            <w:r w:rsidRPr="003A4304">
              <w:rPr>
                <w:rFonts w:ascii="Tahoma" w:hAnsi="Tahoma"/>
                <w:b/>
                <w:bCs/>
                <w:color w:val="000000" w:themeColor="text1"/>
                <w:sz w:val="16"/>
                <w:lang w:val="en-GB"/>
              </w:rPr>
              <w:t>(99)</w:t>
            </w:r>
          </w:p>
        </w:tc>
        <w:tc>
          <w:tcPr>
            <w:tcW w:w="1134" w:type="dxa"/>
            <w:shd w:val="clear" w:color="auto" w:fill="auto"/>
            <w:tcMar>
              <w:top w:w="57" w:type="dxa"/>
              <w:left w:w="0" w:type="dxa"/>
              <w:bottom w:w="57" w:type="dxa"/>
              <w:right w:w="0" w:type="dxa"/>
            </w:tcMar>
            <w:vAlign w:val="bottom"/>
          </w:tcPr>
          <w:p w14:paraId="7024EC79" w14:textId="77777777" w:rsidR="003A4304" w:rsidRPr="003A4304" w:rsidRDefault="003A4304" w:rsidP="003F6F7C">
            <w:pPr>
              <w:spacing w:line="240" w:lineRule="atLeast"/>
              <w:jc w:val="right"/>
              <w:rPr>
                <w:rFonts w:ascii="Tahoma" w:hAnsi="Tahoma"/>
                <w:color w:val="000000" w:themeColor="text1"/>
                <w:sz w:val="16"/>
                <w:lang w:val="en-GB"/>
              </w:rPr>
            </w:pPr>
            <w:r w:rsidRPr="003A4304">
              <w:rPr>
                <w:rFonts w:ascii="Tahoma" w:hAnsi="Tahoma"/>
                <w:color w:val="000000" w:themeColor="text1"/>
                <w:sz w:val="16"/>
                <w:lang w:val="en-GB"/>
              </w:rPr>
              <w:t>(25)</w:t>
            </w:r>
          </w:p>
        </w:tc>
        <w:tc>
          <w:tcPr>
            <w:tcW w:w="1134" w:type="dxa"/>
            <w:tcBorders>
              <w:right w:val="single" w:sz="4" w:space="0" w:color="auto"/>
            </w:tcBorders>
            <w:shd w:val="clear" w:color="auto" w:fill="auto"/>
            <w:tcMar>
              <w:top w:w="57" w:type="dxa"/>
              <w:left w:w="0" w:type="dxa"/>
              <w:bottom w:w="57" w:type="dxa"/>
              <w:right w:w="0" w:type="dxa"/>
            </w:tcMar>
            <w:vAlign w:val="bottom"/>
          </w:tcPr>
          <w:p w14:paraId="5390E351" w14:textId="77777777" w:rsidR="003A4304" w:rsidRPr="003A4304" w:rsidRDefault="003A4304" w:rsidP="006B389E">
            <w:pPr>
              <w:spacing w:line="240" w:lineRule="atLeast"/>
              <w:ind w:right="113"/>
              <w:jc w:val="right"/>
              <w:rPr>
                <w:rFonts w:ascii="Tahoma" w:hAnsi="Tahoma"/>
                <w:color w:val="000000" w:themeColor="text1"/>
                <w:sz w:val="16"/>
                <w:lang w:val="en-GB"/>
              </w:rPr>
            </w:pPr>
            <w:r w:rsidRPr="003A4304">
              <w:rPr>
                <w:rFonts w:ascii="Tahoma" w:hAnsi="Tahoma"/>
                <w:color w:val="000000" w:themeColor="text1"/>
                <w:sz w:val="16"/>
                <w:lang w:val="en-GB"/>
              </w:rPr>
              <w:t>1 112</w:t>
            </w:r>
          </w:p>
        </w:tc>
      </w:tr>
      <w:tr w:rsidR="00615190" w:rsidRPr="003A4304" w14:paraId="0EC40FC9" w14:textId="77777777" w:rsidTr="00E83A7B">
        <w:trPr>
          <w:trHeight w:val="60"/>
        </w:trPr>
        <w:tc>
          <w:tcPr>
            <w:tcW w:w="397" w:type="dxa"/>
            <w:shd w:val="clear" w:color="auto" w:fill="auto"/>
            <w:tcMar>
              <w:top w:w="57" w:type="dxa"/>
              <w:left w:w="0" w:type="dxa"/>
              <w:bottom w:w="57" w:type="dxa"/>
              <w:right w:w="0" w:type="dxa"/>
            </w:tcMar>
            <w:vAlign w:val="bottom"/>
          </w:tcPr>
          <w:p w14:paraId="187FB87C" w14:textId="77777777" w:rsidR="003A4304" w:rsidRPr="003A4304" w:rsidRDefault="003A4304" w:rsidP="00615190">
            <w:pPr>
              <w:spacing w:line="240" w:lineRule="atLeast"/>
              <w:rPr>
                <w:rFonts w:ascii="Tahoma" w:hAnsi="Tahoma"/>
                <w:color w:val="000000" w:themeColor="text1"/>
                <w:sz w:val="16"/>
                <w:lang w:val="en-GB"/>
              </w:rPr>
            </w:pPr>
          </w:p>
        </w:tc>
        <w:tc>
          <w:tcPr>
            <w:tcW w:w="6407" w:type="dxa"/>
            <w:tcBorders>
              <w:right w:val="single" w:sz="4" w:space="0" w:color="auto"/>
            </w:tcBorders>
            <w:shd w:val="clear" w:color="auto" w:fill="auto"/>
            <w:tcMar>
              <w:top w:w="57" w:type="dxa"/>
              <w:left w:w="113" w:type="dxa"/>
              <w:bottom w:w="57" w:type="dxa"/>
              <w:right w:w="113" w:type="dxa"/>
            </w:tcMar>
            <w:vAlign w:val="bottom"/>
          </w:tcPr>
          <w:p w14:paraId="76D521B8" w14:textId="77777777" w:rsidR="003A4304" w:rsidRPr="003A4304" w:rsidRDefault="003A4304" w:rsidP="00615190">
            <w:pPr>
              <w:spacing w:line="240" w:lineRule="atLeast"/>
              <w:rPr>
                <w:rFonts w:ascii="Tahoma" w:hAnsi="Tahoma"/>
                <w:color w:val="000000" w:themeColor="text1"/>
                <w:sz w:val="16"/>
                <w:lang w:val="en-GB"/>
              </w:rPr>
            </w:pPr>
            <w:r w:rsidRPr="003A4304">
              <w:rPr>
                <w:rFonts w:ascii="Tahoma" w:hAnsi="Tahoma"/>
                <w:color w:val="000000" w:themeColor="text1"/>
                <w:sz w:val="16"/>
                <w:lang w:val="en-GB"/>
              </w:rPr>
              <w:t>Net (gains)/losses on acquisitions and disposals of investments</w:t>
            </w:r>
          </w:p>
        </w:tc>
        <w:tc>
          <w:tcPr>
            <w:tcW w:w="1134" w:type="dxa"/>
            <w:tcBorders>
              <w:left w:val="single" w:sz="4" w:space="0" w:color="auto"/>
            </w:tcBorders>
            <w:shd w:val="clear" w:color="auto" w:fill="auto"/>
            <w:tcMar>
              <w:top w:w="57" w:type="dxa"/>
              <w:left w:w="0" w:type="dxa"/>
              <w:bottom w:w="57" w:type="dxa"/>
              <w:right w:w="0" w:type="dxa"/>
            </w:tcMar>
            <w:vAlign w:val="bottom"/>
          </w:tcPr>
          <w:p w14:paraId="697B8448" w14:textId="77777777" w:rsidR="003A4304" w:rsidRPr="003A4304" w:rsidRDefault="003A4304" w:rsidP="003F6F7C">
            <w:pPr>
              <w:spacing w:line="240" w:lineRule="atLeast"/>
              <w:jc w:val="right"/>
              <w:rPr>
                <w:rFonts w:ascii="Tahoma" w:hAnsi="Tahoma"/>
                <w:b/>
                <w:bCs/>
                <w:color w:val="000000" w:themeColor="text1"/>
                <w:sz w:val="16"/>
                <w:lang w:val="en-GB"/>
              </w:rPr>
            </w:pPr>
            <w:r w:rsidRPr="003A4304">
              <w:rPr>
                <w:rFonts w:ascii="Tahoma" w:hAnsi="Tahoma"/>
                <w:b/>
                <w:bCs/>
                <w:color w:val="000000" w:themeColor="text1"/>
                <w:sz w:val="16"/>
                <w:lang w:val="en-GB"/>
              </w:rPr>
              <w:t>(25)</w:t>
            </w:r>
          </w:p>
        </w:tc>
        <w:tc>
          <w:tcPr>
            <w:tcW w:w="1134" w:type="dxa"/>
            <w:shd w:val="clear" w:color="auto" w:fill="auto"/>
            <w:tcMar>
              <w:top w:w="57" w:type="dxa"/>
              <w:left w:w="0" w:type="dxa"/>
              <w:bottom w:w="57" w:type="dxa"/>
              <w:right w:w="0" w:type="dxa"/>
            </w:tcMar>
            <w:vAlign w:val="bottom"/>
          </w:tcPr>
          <w:p w14:paraId="428EA27C" w14:textId="77777777" w:rsidR="003A4304" w:rsidRPr="003A4304" w:rsidRDefault="003A4304" w:rsidP="003F6F7C">
            <w:pPr>
              <w:spacing w:line="240" w:lineRule="atLeast"/>
              <w:jc w:val="right"/>
              <w:rPr>
                <w:rFonts w:ascii="Tahoma" w:hAnsi="Tahoma"/>
                <w:color w:val="000000" w:themeColor="text1"/>
                <w:sz w:val="16"/>
                <w:lang w:val="en-GB"/>
              </w:rPr>
            </w:pPr>
            <w:r w:rsidRPr="003A4304">
              <w:rPr>
                <w:rFonts w:ascii="Tahoma" w:hAnsi="Tahoma"/>
                <w:color w:val="000000" w:themeColor="text1"/>
                <w:sz w:val="16"/>
                <w:lang w:val="en-GB"/>
              </w:rPr>
              <w:t>9</w:t>
            </w:r>
          </w:p>
        </w:tc>
        <w:tc>
          <w:tcPr>
            <w:tcW w:w="1134" w:type="dxa"/>
            <w:tcBorders>
              <w:right w:val="single" w:sz="4" w:space="0" w:color="auto"/>
            </w:tcBorders>
            <w:shd w:val="clear" w:color="auto" w:fill="auto"/>
            <w:tcMar>
              <w:top w:w="57" w:type="dxa"/>
              <w:left w:w="0" w:type="dxa"/>
              <w:bottom w:w="57" w:type="dxa"/>
              <w:right w:w="0" w:type="dxa"/>
            </w:tcMar>
            <w:vAlign w:val="bottom"/>
          </w:tcPr>
          <w:p w14:paraId="74FC5133" w14:textId="77777777" w:rsidR="003A4304" w:rsidRPr="003A4304" w:rsidRDefault="003A4304" w:rsidP="006B389E">
            <w:pPr>
              <w:spacing w:line="240" w:lineRule="atLeast"/>
              <w:ind w:right="113"/>
              <w:jc w:val="right"/>
              <w:rPr>
                <w:rFonts w:ascii="Tahoma" w:hAnsi="Tahoma"/>
                <w:color w:val="000000" w:themeColor="text1"/>
                <w:sz w:val="16"/>
                <w:lang w:val="en-GB"/>
              </w:rPr>
            </w:pPr>
            <w:r w:rsidRPr="003A4304">
              <w:rPr>
                <w:rFonts w:ascii="Tahoma" w:hAnsi="Tahoma"/>
                <w:color w:val="000000" w:themeColor="text1"/>
                <w:sz w:val="16"/>
                <w:lang w:val="en-GB"/>
              </w:rPr>
              <w:t>(31)</w:t>
            </w:r>
          </w:p>
        </w:tc>
      </w:tr>
      <w:tr w:rsidR="00615190" w:rsidRPr="003A4304" w14:paraId="6DD27265" w14:textId="77777777" w:rsidTr="00E83A7B">
        <w:trPr>
          <w:trHeight w:val="60"/>
        </w:trPr>
        <w:tc>
          <w:tcPr>
            <w:tcW w:w="397" w:type="dxa"/>
            <w:shd w:val="clear" w:color="auto" w:fill="auto"/>
            <w:tcMar>
              <w:top w:w="57" w:type="dxa"/>
              <w:left w:w="0" w:type="dxa"/>
              <w:bottom w:w="57" w:type="dxa"/>
              <w:right w:w="0" w:type="dxa"/>
            </w:tcMar>
            <w:vAlign w:val="bottom"/>
          </w:tcPr>
          <w:p w14:paraId="129E480C" w14:textId="77777777" w:rsidR="003A4304" w:rsidRPr="003A4304" w:rsidRDefault="003A4304" w:rsidP="00615190">
            <w:pPr>
              <w:spacing w:line="240" w:lineRule="atLeast"/>
              <w:rPr>
                <w:rFonts w:ascii="Tahoma" w:hAnsi="Tahoma"/>
                <w:color w:val="000000" w:themeColor="text1"/>
                <w:sz w:val="16"/>
                <w:lang w:val="en-GB"/>
              </w:rPr>
            </w:pPr>
          </w:p>
        </w:tc>
        <w:tc>
          <w:tcPr>
            <w:tcW w:w="6407" w:type="dxa"/>
            <w:tcBorders>
              <w:right w:val="single" w:sz="4" w:space="0" w:color="auto"/>
            </w:tcBorders>
            <w:shd w:val="clear" w:color="auto" w:fill="auto"/>
            <w:tcMar>
              <w:top w:w="57" w:type="dxa"/>
              <w:left w:w="113" w:type="dxa"/>
              <w:bottom w:w="57" w:type="dxa"/>
              <w:right w:w="113" w:type="dxa"/>
            </w:tcMar>
            <w:vAlign w:val="bottom"/>
          </w:tcPr>
          <w:p w14:paraId="5D3EA669" w14:textId="77777777" w:rsidR="003A4304" w:rsidRPr="003A4304" w:rsidRDefault="003A4304" w:rsidP="00615190">
            <w:pPr>
              <w:spacing w:line="240" w:lineRule="atLeast"/>
              <w:rPr>
                <w:rFonts w:ascii="Tahoma" w:hAnsi="Tahoma"/>
                <w:color w:val="000000" w:themeColor="text1"/>
                <w:sz w:val="16"/>
                <w:lang w:val="en-GB"/>
              </w:rPr>
            </w:pPr>
            <w:r w:rsidRPr="003A4304">
              <w:rPr>
                <w:rFonts w:ascii="Tahoma" w:hAnsi="Tahoma"/>
                <w:color w:val="000000" w:themeColor="text1"/>
                <w:sz w:val="16"/>
                <w:lang w:val="en-GB"/>
              </w:rPr>
              <w:t>Gain on partial disposal of equity-accounted investments</w:t>
            </w:r>
          </w:p>
        </w:tc>
        <w:tc>
          <w:tcPr>
            <w:tcW w:w="1134" w:type="dxa"/>
            <w:tcBorders>
              <w:left w:val="single" w:sz="4" w:space="0" w:color="auto"/>
            </w:tcBorders>
            <w:shd w:val="clear" w:color="auto" w:fill="auto"/>
            <w:tcMar>
              <w:top w:w="57" w:type="dxa"/>
              <w:left w:w="0" w:type="dxa"/>
              <w:bottom w:w="57" w:type="dxa"/>
              <w:right w:w="0" w:type="dxa"/>
            </w:tcMar>
            <w:vAlign w:val="bottom"/>
          </w:tcPr>
          <w:p w14:paraId="4782F0DF" w14:textId="77777777" w:rsidR="003A4304" w:rsidRPr="003A4304" w:rsidRDefault="003A4304" w:rsidP="003F6F7C">
            <w:pPr>
              <w:spacing w:line="240" w:lineRule="atLeast"/>
              <w:jc w:val="right"/>
              <w:rPr>
                <w:rFonts w:ascii="Tahoma" w:hAnsi="Tahoma"/>
                <w:b/>
                <w:bCs/>
                <w:color w:val="000000" w:themeColor="text1"/>
                <w:sz w:val="16"/>
                <w:lang w:val="en-GB"/>
              </w:rPr>
            </w:pPr>
            <w:r w:rsidRPr="003A4304">
              <w:rPr>
                <w:rFonts w:ascii="Tahoma" w:hAnsi="Tahoma"/>
                <w:b/>
                <w:bCs/>
                <w:color w:val="000000" w:themeColor="text1"/>
                <w:sz w:val="16"/>
                <w:lang w:val="en-GB"/>
              </w:rPr>
              <w:t>(2 771)</w:t>
            </w:r>
          </w:p>
        </w:tc>
        <w:tc>
          <w:tcPr>
            <w:tcW w:w="1134" w:type="dxa"/>
            <w:shd w:val="clear" w:color="auto" w:fill="auto"/>
            <w:tcMar>
              <w:top w:w="57" w:type="dxa"/>
              <w:left w:w="0" w:type="dxa"/>
              <w:bottom w:w="57" w:type="dxa"/>
              <w:right w:w="0" w:type="dxa"/>
            </w:tcMar>
            <w:vAlign w:val="bottom"/>
          </w:tcPr>
          <w:p w14:paraId="055F75FB" w14:textId="77777777" w:rsidR="003A4304" w:rsidRPr="003A4304" w:rsidRDefault="003A4304" w:rsidP="003F6F7C">
            <w:pPr>
              <w:spacing w:line="240" w:lineRule="atLeast"/>
              <w:jc w:val="right"/>
              <w:rPr>
                <w:rFonts w:ascii="Tahoma" w:hAnsi="Tahoma"/>
                <w:color w:val="000000" w:themeColor="text1"/>
                <w:sz w:val="16"/>
                <w:lang w:val="en-GB"/>
              </w:rPr>
            </w:pPr>
            <w:r w:rsidRPr="003A4304">
              <w:rPr>
                <w:rFonts w:ascii="Tahoma" w:hAnsi="Tahoma"/>
                <w:color w:val="000000" w:themeColor="text1"/>
                <w:sz w:val="16"/>
                <w:lang w:val="en-GB"/>
              </w:rPr>
              <w:t>(12 339)</w:t>
            </w:r>
          </w:p>
        </w:tc>
        <w:tc>
          <w:tcPr>
            <w:tcW w:w="1134" w:type="dxa"/>
            <w:tcBorders>
              <w:right w:val="single" w:sz="4" w:space="0" w:color="auto"/>
            </w:tcBorders>
            <w:shd w:val="clear" w:color="auto" w:fill="auto"/>
            <w:tcMar>
              <w:top w:w="57" w:type="dxa"/>
              <w:left w:w="0" w:type="dxa"/>
              <w:bottom w:w="57" w:type="dxa"/>
              <w:right w:w="0" w:type="dxa"/>
            </w:tcMar>
            <w:vAlign w:val="bottom"/>
          </w:tcPr>
          <w:p w14:paraId="3A3DBEEE" w14:textId="77777777" w:rsidR="003A4304" w:rsidRPr="003A4304" w:rsidRDefault="003A4304" w:rsidP="006B389E">
            <w:pPr>
              <w:spacing w:line="240" w:lineRule="atLeast"/>
              <w:ind w:right="113"/>
              <w:jc w:val="right"/>
              <w:rPr>
                <w:rFonts w:ascii="Tahoma" w:hAnsi="Tahoma"/>
                <w:color w:val="000000" w:themeColor="text1"/>
                <w:sz w:val="16"/>
                <w:lang w:val="en-GB"/>
              </w:rPr>
            </w:pPr>
            <w:r w:rsidRPr="003A4304">
              <w:rPr>
                <w:rFonts w:ascii="Tahoma" w:hAnsi="Tahoma"/>
                <w:color w:val="000000" w:themeColor="text1"/>
                <w:sz w:val="16"/>
                <w:lang w:val="en-GB"/>
              </w:rPr>
              <w:t>(12 339)</w:t>
            </w:r>
          </w:p>
        </w:tc>
      </w:tr>
      <w:tr w:rsidR="00615190" w:rsidRPr="003A4304" w14:paraId="538A5FBB" w14:textId="77777777" w:rsidTr="00E83A7B">
        <w:trPr>
          <w:trHeight w:val="60"/>
        </w:trPr>
        <w:tc>
          <w:tcPr>
            <w:tcW w:w="397" w:type="dxa"/>
            <w:shd w:val="clear" w:color="auto" w:fill="auto"/>
            <w:tcMar>
              <w:top w:w="57" w:type="dxa"/>
              <w:left w:w="0" w:type="dxa"/>
              <w:bottom w:w="57" w:type="dxa"/>
              <w:right w:w="0" w:type="dxa"/>
            </w:tcMar>
            <w:vAlign w:val="bottom"/>
          </w:tcPr>
          <w:p w14:paraId="3D7B86E6" w14:textId="77777777" w:rsidR="003A4304" w:rsidRPr="003A4304" w:rsidRDefault="003A4304" w:rsidP="00615190">
            <w:pPr>
              <w:spacing w:line="240" w:lineRule="atLeast"/>
              <w:rPr>
                <w:rFonts w:ascii="Tahoma" w:hAnsi="Tahoma"/>
                <w:color w:val="000000" w:themeColor="text1"/>
                <w:sz w:val="16"/>
                <w:lang w:val="en-GB"/>
              </w:rPr>
            </w:pPr>
          </w:p>
        </w:tc>
        <w:tc>
          <w:tcPr>
            <w:tcW w:w="6407" w:type="dxa"/>
            <w:tcBorders>
              <w:right w:val="single" w:sz="4" w:space="0" w:color="auto"/>
            </w:tcBorders>
            <w:shd w:val="clear" w:color="auto" w:fill="auto"/>
            <w:tcMar>
              <w:top w:w="57" w:type="dxa"/>
              <w:left w:w="113" w:type="dxa"/>
              <w:bottom w:w="57" w:type="dxa"/>
              <w:right w:w="113" w:type="dxa"/>
            </w:tcMar>
            <w:vAlign w:val="bottom"/>
          </w:tcPr>
          <w:p w14:paraId="46F30949" w14:textId="77777777" w:rsidR="003A4304" w:rsidRPr="003A4304" w:rsidRDefault="003A4304" w:rsidP="00615190">
            <w:pPr>
              <w:spacing w:line="240" w:lineRule="atLeast"/>
              <w:rPr>
                <w:rFonts w:ascii="Tahoma" w:hAnsi="Tahoma"/>
                <w:color w:val="000000" w:themeColor="text1"/>
                <w:sz w:val="16"/>
                <w:lang w:val="en-GB"/>
              </w:rPr>
            </w:pPr>
            <w:r w:rsidRPr="003A4304">
              <w:rPr>
                <w:rFonts w:ascii="Tahoma" w:hAnsi="Tahoma"/>
                <w:color w:val="000000" w:themeColor="text1"/>
                <w:sz w:val="16"/>
                <w:lang w:val="en-GB"/>
              </w:rPr>
              <w:t>Dilution losses/(gains) on equity-accounted investments</w:t>
            </w:r>
          </w:p>
        </w:tc>
        <w:tc>
          <w:tcPr>
            <w:tcW w:w="1134" w:type="dxa"/>
            <w:tcBorders>
              <w:left w:val="single" w:sz="4" w:space="0" w:color="auto"/>
            </w:tcBorders>
            <w:shd w:val="clear" w:color="auto" w:fill="auto"/>
            <w:tcMar>
              <w:top w:w="57" w:type="dxa"/>
              <w:left w:w="0" w:type="dxa"/>
              <w:bottom w:w="57" w:type="dxa"/>
              <w:right w:w="0" w:type="dxa"/>
            </w:tcMar>
            <w:vAlign w:val="bottom"/>
          </w:tcPr>
          <w:p w14:paraId="74B8064A" w14:textId="77777777" w:rsidR="003A4304" w:rsidRPr="003A4304" w:rsidRDefault="003A4304" w:rsidP="003F6F7C">
            <w:pPr>
              <w:spacing w:line="240" w:lineRule="atLeast"/>
              <w:jc w:val="right"/>
              <w:rPr>
                <w:rFonts w:ascii="Tahoma" w:hAnsi="Tahoma"/>
                <w:b/>
                <w:bCs/>
                <w:color w:val="000000" w:themeColor="text1"/>
                <w:sz w:val="16"/>
                <w:lang w:val="en-GB"/>
              </w:rPr>
            </w:pPr>
            <w:r w:rsidRPr="003A4304">
              <w:rPr>
                <w:rFonts w:ascii="Tahoma" w:hAnsi="Tahoma"/>
                <w:b/>
                <w:bCs/>
                <w:color w:val="000000" w:themeColor="text1"/>
                <w:sz w:val="16"/>
                <w:lang w:val="en-GB"/>
              </w:rPr>
              <w:t>95</w:t>
            </w:r>
          </w:p>
        </w:tc>
        <w:tc>
          <w:tcPr>
            <w:tcW w:w="1134" w:type="dxa"/>
            <w:shd w:val="clear" w:color="auto" w:fill="auto"/>
            <w:tcMar>
              <w:top w:w="57" w:type="dxa"/>
              <w:left w:w="0" w:type="dxa"/>
              <w:bottom w:w="57" w:type="dxa"/>
              <w:right w:w="0" w:type="dxa"/>
            </w:tcMar>
            <w:vAlign w:val="bottom"/>
          </w:tcPr>
          <w:p w14:paraId="52D63DBE" w14:textId="77777777" w:rsidR="003A4304" w:rsidRPr="003A4304" w:rsidRDefault="003A4304" w:rsidP="003F6F7C">
            <w:pPr>
              <w:spacing w:line="240" w:lineRule="atLeast"/>
              <w:jc w:val="right"/>
              <w:rPr>
                <w:rFonts w:ascii="Tahoma" w:hAnsi="Tahoma"/>
                <w:color w:val="000000" w:themeColor="text1"/>
                <w:sz w:val="16"/>
                <w:lang w:val="en-GB"/>
              </w:rPr>
            </w:pPr>
            <w:r w:rsidRPr="003A4304">
              <w:rPr>
                <w:rFonts w:ascii="Tahoma" w:hAnsi="Tahoma"/>
                <w:color w:val="000000" w:themeColor="text1"/>
                <w:sz w:val="16"/>
                <w:lang w:val="en-GB"/>
              </w:rPr>
              <w:t>(120)</w:t>
            </w:r>
          </w:p>
        </w:tc>
        <w:tc>
          <w:tcPr>
            <w:tcW w:w="1134" w:type="dxa"/>
            <w:tcBorders>
              <w:right w:val="single" w:sz="4" w:space="0" w:color="auto"/>
            </w:tcBorders>
            <w:shd w:val="clear" w:color="auto" w:fill="auto"/>
            <w:tcMar>
              <w:top w:w="57" w:type="dxa"/>
              <w:left w:w="0" w:type="dxa"/>
              <w:bottom w:w="57" w:type="dxa"/>
              <w:right w:w="0" w:type="dxa"/>
            </w:tcMar>
            <w:vAlign w:val="bottom"/>
          </w:tcPr>
          <w:p w14:paraId="000B7B6B" w14:textId="77777777" w:rsidR="003A4304" w:rsidRPr="003A4304" w:rsidRDefault="003A4304" w:rsidP="006B389E">
            <w:pPr>
              <w:spacing w:line="240" w:lineRule="atLeast"/>
              <w:ind w:right="113"/>
              <w:jc w:val="right"/>
              <w:rPr>
                <w:rFonts w:ascii="Tahoma" w:hAnsi="Tahoma"/>
                <w:color w:val="000000" w:themeColor="text1"/>
                <w:sz w:val="16"/>
                <w:lang w:val="en-GB"/>
              </w:rPr>
            </w:pPr>
            <w:r w:rsidRPr="003A4304">
              <w:rPr>
                <w:rFonts w:ascii="Tahoma" w:hAnsi="Tahoma"/>
                <w:color w:val="000000" w:themeColor="text1"/>
                <w:sz w:val="16"/>
                <w:lang w:val="en-GB"/>
              </w:rPr>
              <w:t>(95)</w:t>
            </w:r>
          </w:p>
        </w:tc>
      </w:tr>
      <w:tr w:rsidR="00615190" w:rsidRPr="003A4304" w14:paraId="2D959928" w14:textId="77777777" w:rsidTr="00E83A7B">
        <w:trPr>
          <w:trHeight w:val="60"/>
        </w:trPr>
        <w:tc>
          <w:tcPr>
            <w:tcW w:w="397" w:type="dxa"/>
            <w:shd w:val="clear" w:color="auto" w:fill="auto"/>
            <w:tcMar>
              <w:top w:w="57" w:type="dxa"/>
              <w:left w:w="0" w:type="dxa"/>
              <w:bottom w:w="57" w:type="dxa"/>
              <w:right w:w="0" w:type="dxa"/>
            </w:tcMar>
            <w:vAlign w:val="bottom"/>
          </w:tcPr>
          <w:p w14:paraId="7E877B0C" w14:textId="77777777" w:rsidR="003A4304" w:rsidRPr="003A4304" w:rsidRDefault="003A4304" w:rsidP="00615190">
            <w:pPr>
              <w:spacing w:line="240" w:lineRule="atLeast"/>
              <w:rPr>
                <w:rFonts w:ascii="Tahoma" w:hAnsi="Tahoma"/>
                <w:color w:val="000000" w:themeColor="text1"/>
                <w:sz w:val="16"/>
                <w:lang w:val="en-GB"/>
              </w:rPr>
            </w:pPr>
          </w:p>
        </w:tc>
        <w:tc>
          <w:tcPr>
            <w:tcW w:w="6407" w:type="dxa"/>
            <w:tcBorders>
              <w:right w:val="single" w:sz="4" w:space="0" w:color="auto"/>
            </w:tcBorders>
            <w:shd w:val="clear" w:color="auto" w:fill="auto"/>
            <w:tcMar>
              <w:top w:w="57" w:type="dxa"/>
              <w:left w:w="113" w:type="dxa"/>
              <w:bottom w:w="57" w:type="dxa"/>
              <w:right w:w="113" w:type="dxa"/>
            </w:tcMar>
            <w:vAlign w:val="bottom"/>
          </w:tcPr>
          <w:p w14:paraId="2E887B57" w14:textId="77777777" w:rsidR="003A4304" w:rsidRPr="003A4304" w:rsidRDefault="003A4304" w:rsidP="00615190">
            <w:pPr>
              <w:spacing w:line="240" w:lineRule="atLeast"/>
              <w:rPr>
                <w:rFonts w:ascii="Tahoma" w:hAnsi="Tahoma"/>
                <w:color w:val="000000" w:themeColor="text1"/>
                <w:sz w:val="16"/>
                <w:lang w:val="en-GB"/>
              </w:rPr>
            </w:pPr>
            <w:r w:rsidRPr="003A4304">
              <w:rPr>
                <w:rFonts w:ascii="Tahoma" w:hAnsi="Tahoma"/>
                <w:color w:val="000000" w:themeColor="text1"/>
                <w:sz w:val="16"/>
                <w:lang w:val="en-GB"/>
              </w:rPr>
              <w:t>Remeasurements included in equity-accounted earnings</w:t>
            </w:r>
            <w:r w:rsidRPr="003A4304">
              <w:rPr>
                <w:rFonts w:ascii="Tahoma" w:hAnsi="Tahoma"/>
                <w:color w:val="000000" w:themeColor="text1"/>
                <w:sz w:val="16"/>
                <w:vertAlign w:val="superscript"/>
                <w:lang w:val="en-GB"/>
              </w:rPr>
              <w:t>1</w:t>
            </w:r>
          </w:p>
        </w:tc>
        <w:tc>
          <w:tcPr>
            <w:tcW w:w="1134" w:type="dxa"/>
            <w:tcBorders>
              <w:left w:val="single" w:sz="4" w:space="0" w:color="auto"/>
            </w:tcBorders>
            <w:shd w:val="clear" w:color="auto" w:fill="auto"/>
            <w:tcMar>
              <w:top w:w="57" w:type="dxa"/>
              <w:left w:w="0" w:type="dxa"/>
              <w:bottom w:w="57" w:type="dxa"/>
              <w:right w:w="0" w:type="dxa"/>
            </w:tcMar>
            <w:vAlign w:val="bottom"/>
          </w:tcPr>
          <w:p w14:paraId="44F0755F" w14:textId="77777777" w:rsidR="003A4304" w:rsidRPr="003A4304" w:rsidRDefault="003A4304" w:rsidP="003F6F7C">
            <w:pPr>
              <w:spacing w:line="240" w:lineRule="atLeast"/>
              <w:jc w:val="right"/>
              <w:rPr>
                <w:rFonts w:ascii="Tahoma" w:hAnsi="Tahoma"/>
                <w:b/>
                <w:bCs/>
                <w:color w:val="000000" w:themeColor="text1"/>
                <w:sz w:val="16"/>
                <w:lang w:val="en-GB"/>
              </w:rPr>
            </w:pPr>
            <w:r w:rsidRPr="003A4304">
              <w:rPr>
                <w:rFonts w:ascii="Tahoma" w:hAnsi="Tahoma"/>
                <w:b/>
                <w:bCs/>
                <w:color w:val="000000" w:themeColor="text1"/>
                <w:sz w:val="16"/>
                <w:lang w:val="en-GB"/>
              </w:rPr>
              <w:t>(1 002)</w:t>
            </w:r>
          </w:p>
        </w:tc>
        <w:tc>
          <w:tcPr>
            <w:tcW w:w="1134" w:type="dxa"/>
            <w:shd w:val="clear" w:color="auto" w:fill="auto"/>
            <w:tcMar>
              <w:top w:w="57" w:type="dxa"/>
              <w:left w:w="0" w:type="dxa"/>
              <w:bottom w:w="57" w:type="dxa"/>
              <w:right w:w="0" w:type="dxa"/>
            </w:tcMar>
            <w:vAlign w:val="bottom"/>
          </w:tcPr>
          <w:p w14:paraId="57D3A343" w14:textId="77777777" w:rsidR="003A4304" w:rsidRPr="003A4304" w:rsidRDefault="003A4304" w:rsidP="003F6F7C">
            <w:pPr>
              <w:spacing w:line="240" w:lineRule="atLeast"/>
              <w:jc w:val="right"/>
              <w:rPr>
                <w:rFonts w:ascii="Tahoma" w:hAnsi="Tahoma"/>
                <w:color w:val="000000" w:themeColor="text1"/>
                <w:sz w:val="16"/>
                <w:lang w:val="en-GB"/>
              </w:rPr>
            </w:pPr>
            <w:r w:rsidRPr="003A4304">
              <w:rPr>
                <w:rFonts w:ascii="Tahoma" w:hAnsi="Tahoma"/>
                <w:color w:val="000000" w:themeColor="text1"/>
                <w:sz w:val="16"/>
                <w:lang w:val="en-GB"/>
              </w:rPr>
              <w:t>(1 062)</w:t>
            </w:r>
          </w:p>
        </w:tc>
        <w:tc>
          <w:tcPr>
            <w:tcW w:w="1134" w:type="dxa"/>
            <w:tcBorders>
              <w:right w:val="single" w:sz="4" w:space="0" w:color="auto"/>
            </w:tcBorders>
            <w:shd w:val="clear" w:color="auto" w:fill="auto"/>
            <w:tcMar>
              <w:top w:w="57" w:type="dxa"/>
              <w:left w:w="0" w:type="dxa"/>
              <w:bottom w:w="57" w:type="dxa"/>
              <w:right w:w="0" w:type="dxa"/>
            </w:tcMar>
            <w:vAlign w:val="bottom"/>
          </w:tcPr>
          <w:p w14:paraId="6D2B34CD" w14:textId="77777777" w:rsidR="003A4304" w:rsidRPr="003A4304" w:rsidRDefault="003A4304" w:rsidP="006B389E">
            <w:pPr>
              <w:spacing w:line="240" w:lineRule="atLeast"/>
              <w:ind w:right="113"/>
              <w:jc w:val="right"/>
              <w:rPr>
                <w:rFonts w:ascii="Tahoma" w:hAnsi="Tahoma"/>
                <w:color w:val="000000" w:themeColor="text1"/>
                <w:sz w:val="16"/>
                <w:lang w:val="en-GB"/>
              </w:rPr>
            </w:pPr>
            <w:r w:rsidRPr="003A4304">
              <w:rPr>
                <w:rFonts w:ascii="Tahoma" w:hAnsi="Tahoma"/>
                <w:color w:val="000000" w:themeColor="text1"/>
                <w:sz w:val="16"/>
                <w:lang w:val="en-GB"/>
              </w:rPr>
              <w:t>(5 131)</w:t>
            </w:r>
          </w:p>
        </w:tc>
      </w:tr>
      <w:tr w:rsidR="00615190" w:rsidRPr="003A4304" w14:paraId="57CD9DF4" w14:textId="77777777" w:rsidTr="00E83A7B">
        <w:trPr>
          <w:trHeight w:val="60"/>
        </w:trPr>
        <w:tc>
          <w:tcPr>
            <w:tcW w:w="397" w:type="dxa"/>
            <w:shd w:val="clear" w:color="auto" w:fill="auto"/>
            <w:tcMar>
              <w:top w:w="57" w:type="dxa"/>
              <w:left w:w="0" w:type="dxa"/>
              <w:bottom w:w="57" w:type="dxa"/>
              <w:right w:w="0" w:type="dxa"/>
            </w:tcMar>
            <w:vAlign w:val="bottom"/>
          </w:tcPr>
          <w:p w14:paraId="5F215099" w14:textId="77777777" w:rsidR="003A4304" w:rsidRPr="003A4304" w:rsidRDefault="003A4304" w:rsidP="00615190">
            <w:pPr>
              <w:spacing w:line="240" w:lineRule="atLeast"/>
              <w:rPr>
                <w:rFonts w:ascii="Tahoma" w:hAnsi="Tahoma"/>
                <w:color w:val="000000" w:themeColor="text1"/>
                <w:sz w:val="16"/>
                <w:lang w:val="en-GB"/>
              </w:rPr>
            </w:pPr>
          </w:p>
        </w:tc>
        <w:tc>
          <w:tcPr>
            <w:tcW w:w="6407" w:type="dxa"/>
            <w:tcBorders>
              <w:right w:val="single" w:sz="4" w:space="0" w:color="auto"/>
            </w:tcBorders>
            <w:shd w:val="clear" w:color="auto" w:fill="auto"/>
            <w:tcMar>
              <w:top w:w="57" w:type="dxa"/>
              <w:left w:w="113" w:type="dxa"/>
              <w:bottom w:w="57" w:type="dxa"/>
              <w:right w:w="113" w:type="dxa"/>
            </w:tcMar>
            <w:vAlign w:val="bottom"/>
          </w:tcPr>
          <w:p w14:paraId="1C1DD8D9" w14:textId="77777777" w:rsidR="003A4304" w:rsidRPr="003A4304" w:rsidRDefault="003A4304" w:rsidP="00615190">
            <w:pPr>
              <w:spacing w:line="240" w:lineRule="atLeast"/>
              <w:rPr>
                <w:rFonts w:ascii="Tahoma" w:hAnsi="Tahoma"/>
                <w:color w:val="000000" w:themeColor="text1"/>
                <w:sz w:val="16"/>
                <w:lang w:val="en-GB"/>
              </w:rPr>
            </w:pPr>
            <w:r w:rsidRPr="003A4304">
              <w:rPr>
                <w:rFonts w:ascii="Tahoma" w:hAnsi="Tahoma"/>
                <w:color w:val="000000" w:themeColor="text1"/>
                <w:sz w:val="16"/>
                <w:lang w:val="en-GB"/>
              </w:rPr>
              <w:t>Impairment of equity-accounted investments</w:t>
            </w:r>
          </w:p>
        </w:tc>
        <w:tc>
          <w:tcPr>
            <w:tcW w:w="1134" w:type="dxa"/>
            <w:tcBorders>
              <w:left w:val="single" w:sz="4" w:space="0" w:color="auto"/>
              <w:bottom w:val="single" w:sz="4" w:space="0" w:color="auto"/>
            </w:tcBorders>
            <w:shd w:val="clear" w:color="auto" w:fill="auto"/>
            <w:tcMar>
              <w:top w:w="57" w:type="dxa"/>
              <w:left w:w="0" w:type="dxa"/>
              <w:bottom w:w="57" w:type="dxa"/>
              <w:right w:w="0" w:type="dxa"/>
            </w:tcMar>
            <w:vAlign w:val="bottom"/>
          </w:tcPr>
          <w:p w14:paraId="4014B973" w14:textId="77777777" w:rsidR="003A4304" w:rsidRPr="003A4304" w:rsidRDefault="003A4304" w:rsidP="003F6F7C">
            <w:pPr>
              <w:spacing w:line="240" w:lineRule="atLeast"/>
              <w:jc w:val="right"/>
              <w:rPr>
                <w:rFonts w:ascii="Tahoma" w:hAnsi="Tahoma"/>
                <w:b/>
                <w:bCs/>
                <w:color w:val="000000" w:themeColor="text1"/>
                <w:sz w:val="16"/>
                <w:lang w:val="en-GB"/>
              </w:rPr>
            </w:pPr>
            <w:r w:rsidRPr="003A4304">
              <w:rPr>
                <w:rFonts w:ascii="Tahoma" w:hAnsi="Tahoma"/>
                <w:b/>
                <w:bCs/>
                <w:color w:val="000000" w:themeColor="text1"/>
                <w:sz w:val="16"/>
                <w:lang w:val="en-GB"/>
              </w:rPr>
              <w:t>1 458</w:t>
            </w:r>
          </w:p>
        </w:tc>
        <w:tc>
          <w:tcPr>
            <w:tcW w:w="1134" w:type="dxa"/>
            <w:tcBorders>
              <w:bottom w:val="single" w:sz="4" w:space="0" w:color="auto"/>
            </w:tcBorders>
            <w:shd w:val="clear" w:color="auto" w:fill="auto"/>
            <w:tcMar>
              <w:top w:w="57" w:type="dxa"/>
              <w:left w:w="0" w:type="dxa"/>
              <w:bottom w:w="57" w:type="dxa"/>
              <w:right w:w="0" w:type="dxa"/>
            </w:tcMar>
            <w:vAlign w:val="bottom"/>
          </w:tcPr>
          <w:p w14:paraId="761B4897" w14:textId="77777777" w:rsidR="003A4304" w:rsidRPr="003A4304" w:rsidRDefault="003A4304" w:rsidP="003F6F7C">
            <w:pPr>
              <w:spacing w:line="240" w:lineRule="atLeast"/>
              <w:jc w:val="right"/>
              <w:rPr>
                <w:rFonts w:ascii="Tahoma" w:hAnsi="Tahoma"/>
                <w:color w:val="000000" w:themeColor="text1"/>
                <w:sz w:val="16"/>
                <w:lang w:val="en-GB"/>
              </w:rPr>
            </w:pPr>
            <w:r w:rsidRPr="003A4304">
              <w:rPr>
                <w:rFonts w:ascii="Tahoma" w:hAnsi="Tahoma"/>
                <w:color w:val="000000" w:themeColor="text1"/>
                <w:sz w:val="16"/>
                <w:lang w:val="en-GB"/>
              </w:rPr>
              <w:t>1</w:t>
            </w:r>
          </w:p>
        </w:tc>
        <w:tc>
          <w:tcPr>
            <w:tcW w:w="1134" w:type="dxa"/>
            <w:tcBorders>
              <w:bottom w:val="single" w:sz="4" w:space="0" w:color="auto"/>
              <w:right w:val="single" w:sz="4" w:space="0" w:color="auto"/>
            </w:tcBorders>
            <w:shd w:val="clear" w:color="auto" w:fill="auto"/>
            <w:tcMar>
              <w:top w:w="57" w:type="dxa"/>
              <w:left w:w="0" w:type="dxa"/>
              <w:bottom w:w="57" w:type="dxa"/>
              <w:right w:w="0" w:type="dxa"/>
            </w:tcMar>
            <w:vAlign w:val="bottom"/>
          </w:tcPr>
          <w:p w14:paraId="0FBCC491" w14:textId="77777777" w:rsidR="003A4304" w:rsidRPr="003A4304" w:rsidRDefault="003A4304" w:rsidP="006B389E">
            <w:pPr>
              <w:spacing w:line="240" w:lineRule="atLeast"/>
              <w:ind w:right="113"/>
              <w:jc w:val="right"/>
              <w:rPr>
                <w:rFonts w:ascii="Tahoma" w:hAnsi="Tahoma"/>
                <w:color w:val="000000" w:themeColor="text1"/>
                <w:sz w:val="16"/>
                <w:lang w:val="en-GB"/>
              </w:rPr>
            </w:pPr>
            <w:r w:rsidRPr="003A4304">
              <w:rPr>
                <w:rFonts w:ascii="Tahoma" w:hAnsi="Tahoma"/>
                <w:color w:val="000000" w:themeColor="text1"/>
                <w:sz w:val="16"/>
                <w:lang w:val="en-GB"/>
              </w:rPr>
              <w:t>581</w:t>
            </w:r>
          </w:p>
        </w:tc>
      </w:tr>
      <w:tr w:rsidR="00615190" w:rsidRPr="003A4304" w14:paraId="38636547" w14:textId="77777777" w:rsidTr="00C53A15">
        <w:trPr>
          <w:trHeight w:hRule="exact" w:val="85"/>
        </w:trPr>
        <w:tc>
          <w:tcPr>
            <w:tcW w:w="397" w:type="dxa"/>
            <w:shd w:val="clear" w:color="auto" w:fill="auto"/>
            <w:tcMar>
              <w:top w:w="57" w:type="dxa"/>
              <w:left w:w="0" w:type="dxa"/>
              <w:bottom w:w="85" w:type="dxa"/>
              <w:right w:w="0" w:type="dxa"/>
            </w:tcMar>
            <w:vAlign w:val="bottom"/>
          </w:tcPr>
          <w:p w14:paraId="06318B16" w14:textId="77777777" w:rsidR="003A4304" w:rsidRPr="003A4304" w:rsidRDefault="003A4304" w:rsidP="00615190">
            <w:pPr>
              <w:spacing w:line="240" w:lineRule="atLeast"/>
              <w:rPr>
                <w:rFonts w:ascii="Tahoma" w:hAnsi="Tahoma"/>
                <w:color w:val="000000" w:themeColor="text1"/>
                <w:sz w:val="16"/>
                <w:lang w:val="en-GB"/>
              </w:rPr>
            </w:pPr>
          </w:p>
        </w:tc>
        <w:tc>
          <w:tcPr>
            <w:tcW w:w="6407" w:type="dxa"/>
            <w:tcBorders>
              <w:bottom w:val="single" w:sz="4" w:space="0" w:color="auto"/>
            </w:tcBorders>
            <w:shd w:val="clear" w:color="auto" w:fill="auto"/>
            <w:tcMar>
              <w:top w:w="57" w:type="dxa"/>
              <w:left w:w="0" w:type="dxa"/>
              <w:bottom w:w="85" w:type="dxa"/>
              <w:right w:w="113" w:type="dxa"/>
            </w:tcMar>
            <w:vAlign w:val="bottom"/>
          </w:tcPr>
          <w:p w14:paraId="35B17E9E" w14:textId="77777777" w:rsidR="003A4304" w:rsidRPr="003A4304" w:rsidRDefault="003A4304" w:rsidP="00615190">
            <w:pPr>
              <w:spacing w:line="240" w:lineRule="atLeast"/>
              <w:rPr>
                <w:rFonts w:ascii="Tahoma" w:hAnsi="Tahoma"/>
                <w:color w:val="000000" w:themeColor="text1"/>
                <w:sz w:val="16"/>
                <w:lang w:val="en-GB"/>
              </w:rPr>
            </w:pPr>
          </w:p>
        </w:tc>
        <w:tc>
          <w:tcPr>
            <w:tcW w:w="1134" w:type="dxa"/>
            <w:tcBorders>
              <w:top w:val="single" w:sz="4" w:space="0" w:color="auto"/>
              <w:bottom w:val="single" w:sz="4" w:space="0" w:color="auto"/>
            </w:tcBorders>
            <w:shd w:val="clear" w:color="auto" w:fill="auto"/>
            <w:tcMar>
              <w:top w:w="57" w:type="dxa"/>
              <w:left w:w="0" w:type="dxa"/>
              <w:bottom w:w="85" w:type="dxa"/>
              <w:right w:w="0" w:type="dxa"/>
            </w:tcMar>
            <w:vAlign w:val="bottom"/>
          </w:tcPr>
          <w:p w14:paraId="75535301" w14:textId="77777777" w:rsidR="003A4304" w:rsidRPr="003A4304" w:rsidRDefault="003A4304" w:rsidP="003F6F7C">
            <w:pPr>
              <w:spacing w:line="240" w:lineRule="atLeast"/>
              <w:jc w:val="right"/>
              <w:rPr>
                <w:rFonts w:ascii="Tahoma" w:hAnsi="Tahoma"/>
                <w:b/>
                <w:bCs/>
                <w:color w:val="000000" w:themeColor="text1"/>
                <w:sz w:val="16"/>
                <w:lang w:val="en-GB"/>
              </w:rPr>
            </w:pPr>
          </w:p>
        </w:tc>
        <w:tc>
          <w:tcPr>
            <w:tcW w:w="1134" w:type="dxa"/>
            <w:tcBorders>
              <w:top w:val="single" w:sz="4" w:space="0" w:color="auto"/>
              <w:bottom w:val="single" w:sz="4" w:space="0" w:color="auto"/>
            </w:tcBorders>
            <w:shd w:val="clear" w:color="auto" w:fill="auto"/>
            <w:tcMar>
              <w:top w:w="57" w:type="dxa"/>
              <w:left w:w="0" w:type="dxa"/>
              <w:bottom w:w="85" w:type="dxa"/>
              <w:right w:w="0" w:type="dxa"/>
            </w:tcMar>
            <w:vAlign w:val="bottom"/>
          </w:tcPr>
          <w:p w14:paraId="18A444E0" w14:textId="77777777" w:rsidR="003A4304" w:rsidRPr="003A4304" w:rsidRDefault="003A4304" w:rsidP="003F6F7C">
            <w:pPr>
              <w:spacing w:line="240" w:lineRule="atLeast"/>
              <w:jc w:val="right"/>
              <w:rPr>
                <w:rFonts w:ascii="Tahoma" w:hAnsi="Tahoma"/>
                <w:color w:val="000000" w:themeColor="text1"/>
                <w:sz w:val="16"/>
                <w:lang w:val="en-GB"/>
              </w:rPr>
            </w:pPr>
          </w:p>
        </w:tc>
        <w:tc>
          <w:tcPr>
            <w:tcW w:w="1134" w:type="dxa"/>
            <w:tcBorders>
              <w:top w:val="single" w:sz="4" w:space="0" w:color="auto"/>
              <w:bottom w:val="single" w:sz="4" w:space="0" w:color="auto"/>
            </w:tcBorders>
            <w:shd w:val="clear" w:color="auto" w:fill="auto"/>
            <w:tcMar>
              <w:top w:w="57" w:type="dxa"/>
              <w:left w:w="0" w:type="dxa"/>
              <w:bottom w:w="85" w:type="dxa"/>
              <w:right w:w="0" w:type="dxa"/>
            </w:tcMar>
            <w:vAlign w:val="bottom"/>
          </w:tcPr>
          <w:p w14:paraId="70F3146C" w14:textId="77777777" w:rsidR="003A4304" w:rsidRPr="003A4304" w:rsidRDefault="003A4304" w:rsidP="006B389E">
            <w:pPr>
              <w:spacing w:line="240" w:lineRule="atLeast"/>
              <w:ind w:right="113"/>
              <w:jc w:val="right"/>
              <w:rPr>
                <w:rFonts w:ascii="Tahoma" w:hAnsi="Tahoma"/>
                <w:color w:val="000000" w:themeColor="text1"/>
                <w:sz w:val="16"/>
                <w:lang w:val="en-GB"/>
              </w:rPr>
            </w:pPr>
          </w:p>
        </w:tc>
      </w:tr>
      <w:tr w:rsidR="00615190" w:rsidRPr="003A4304" w14:paraId="554840A4" w14:textId="77777777" w:rsidTr="00C53A15">
        <w:trPr>
          <w:trHeight w:val="60"/>
        </w:trPr>
        <w:tc>
          <w:tcPr>
            <w:tcW w:w="397" w:type="dxa"/>
            <w:shd w:val="clear" w:color="auto" w:fill="auto"/>
            <w:tcMar>
              <w:top w:w="85" w:type="dxa"/>
              <w:left w:w="0" w:type="dxa"/>
              <w:bottom w:w="85" w:type="dxa"/>
              <w:right w:w="0" w:type="dxa"/>
            </w:tcMar>
            <w:vAlign w:val="bottom"/>
          </w:tcPr>
          <w:p w14:paraId="583119F3" w14:textId="77777777" w:rsidR="003A4304" w:rsidRPr="003A4304" w:rsidRDefault="003A4304" w:rsidP="00615190">
            <w:pPr>
              <w:spacing w:line="240" w:lineRule="atLeast"/>
              <w:rPr>
                <w:rFonts w:ascii="Tahoma" w:hAnsi="Tahoma"/>
                <w:color w:val="000000" w:themeColor="text1"/>
                <w:sz w:val="16"/>
                <w:lang w:val="en-GB"/>
              </w:rPr>
            </w:pPr>
          </w:p>
        </w:tc>
        <w:tc>
          <w:tcPr>
            <w:tcW w:w="6407" w:type="dxa"/>
            <w:tcBorders>
              <w:top w:val="single" w:sz="4" w:space="0" w:color="auto"/>
              <w:bottom w:val="single" w:sz="12" w:space="0" w:color="auto"/>
            </w:tcBorders>
            <w:shd w:val="clear" w:color="auto" w:fill="auto"/>
            <w:tcMar>
              <w:top w:w="85" w:type="dxa"/>
              <w:left w:w="0" w:type="dxa"/>
              <w:bottom w:w="85" w:type="dxa"/>
              <w:right w:w="113" w:type="dxa"/>
            </w:tcMar>
            <w:vAlign w:val="bottom"/>
          </w:tcPr>
          <w:p w14:paraId="6EBD7237" w14:textId="77777777" w:rsidR="003A4304" w:rsidRPr="003A4304" w:rsidRDefault="003A4304" w:rsidP="00615190">
            <w:pPr>
              <w:spacing w:line="240" w:lineRule="atLeast"/>
              <w:rPr>
                <w:rFonts w:ascii="Tahoma" w:hAnsi="Tahoma"/>
                <w:color w:val="000000" w:themeColor="text1"/>
                <w:sz w:val="16"/>
                <w:lang w:val="en-GB"/>
              </w:rPr>
            </w:pPr>
          </w:p>
        </w:tc>
        <w:tc>
          <w:tcPr>
            <w:tcW w:w="1134"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74D39A3E" w14:textId="77777777" w:rsidR="003A4304" w:rsidRPr="003A4304" w:rsidRDefault="003A4304" w:rsidP="003F6F7C">
            <w:pPr>
              <w:spacing w:line="240" w:lineRule="atLeast"/>
              <w:jc w:val="right"/>
              <w:rPr>
                <w:rFonts w:ascii="Tahoma" w:hAnsi="Tahoma"/>
                <w:b/>
                <w:bCs/>
                <w:color w:val="000000" w:themeColor="text1"/>
                <w:sz w:val="16"/>
                <w:lang w:val="en-GB"/>
              </w:rPr>
            </w:pPr>
            <w:r w:rsidRPr="003A4304">
              <w:rPr>
                <w:rFonts w:ascii="Tahoma" w:hAnsi="Tahoma"/>
                <w:b/>
                <w:bCs/>
                <w:color w:val="000000" w:themeColor="text1"/>
                <w:sz w:val="16"/>
                <w:lang w:val="en-GB"/>
              </w:rPr>
              <w:t>(7)</w:t>
            </w:r>
          </w:p>
        </w:tc>
        <w:tc>
          <w:tcPr>
            <w:tcW w:w="1134"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74D13CDF" w14:textId="77777777" w:rsidR="003A4304" w:rsidRPr="003A4304" w:rsidRDefault="003A4304" w:rsidP="003F6F7C">
            <w:pPr>
              <w:spacing w:line="240" w:lineRule="atLeast"/>
              <w:jc w:val="right"/>
              <w:rPr>
                <w:rFonts w:ascii="Tahoma" w:hAnsi="Tahoma"/>
                <w:color w:val="000000" w:themeColor="text1"/>
                <w:sz w:val="16"/>
                <w:lang w:val="en-GB"/>
              </w:rPr>
            </w:pPr>
            <w:r w:rsidRPr="003A4304">
              <w:rPr>
                <w:rFonts w:ascii="Tahoma" w:hAnsi="Tahoma"/>
                <w:color w:val="000000" w:themeColor="text1"/>
                <w:sz w:val="16"/>
                <w:lang w:val="en-GB"/>
              </w:rPr>
              <w:t>2 261</w:t>
            </w:r>
          </w:p>
        </w:tc>
        <w:tc>
          <w:tcPr>
            <w:tcW w:w="1134"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1A193D10" w14:textId="77777777" w:rsidR="003A4304" w:rsidRPr="003A4304" w:rsidRDefault="003A4304" w:rsidP="006B389E">
            <w:pPr>
              <w:spacing w:line="240" w:lineRule="atLeast"/>
              <w:ind w:right="113"/>
              <w:jc w:val="right"/>
              <w:rPr>
                <w:rFonts w:ascii="Tahoma" w:hAnsi="Tahoma"/>
                <w:color w:val="000000" w:themeColor="text1"/>
                <w:sz w:val="16"/>
                <w:lang w:val="en-GB"/>
              </w:rPr>
            </w:pPr>
            <w:r w:rsidRPr="003A4304">
              <w:rPr>
                <w:rFonts w:ascii="Tahoma" w:hAnsi="Tahoma"/>
                <w:color w:val="000000" w:themeColor="text1"/>
                <w:sz w:val="16"/>
                <w:lang w:val="en-GB"/>
              </w:rPr>
              <w:t>2 921</w:t>
            </w:r>
          </w:p>
        </w:tc>
      </w:tr>
      <w:tr w:rsidR="00615190" w:rsidRPr="003A4304" w14:paraId="0A671E14" w14:textId="77777777" w:rsidTr="00C53A15">
        <w:trPr>
          <w:trHeight w:val="60"/>
        </w:trPr>
        <w:tc>
          <w:tcPr>
            <w:tcW w:w="397" w:type="dxa"/>
            <w:shd w:val="clear" w:color="auto" w:fill="auto"/>
            <w:tcMar>
              <w:top w:w="85" w:type="dxa"/>
              <w:left w:w="0" w:type="dxa"/>
              <w:bottom w:w="57" w:type="dxa"/>
              <w:right w:w="0" w:type="dxa"/>
            </w:tcMar>
            <w:vAlign w:val="bottom"/>
          </w:tcPr>
          <w:p w14:paraId="4FE4A566" w14:textId="77777777" w:rsidR="003A4304" w:rsidRPr="003A4304" w:rsidRDefault="003A4304" w:rsidP="00615190">
            <w:pPr>
              <w:spacing w:line="240" w:lineRule="atLeast"/>
              <w:rPr>
                <w:rFonts w:ascii="Tahoma" w:hAnsi="Tahoma"/>
                <w:color w:val="000000" w:themeColor="text1"/>
                <w:sz w:val="16"/>
                <w:lang w:val="en-GB"/>
              </w:rPr>
            </w:pPr>
          </w:p>
        </w:tc>
        <w:tc>
          <w:tcPr>
            <w:tcW w:w="6407" w:type="dxa"/>
            <w:tcBorders>
              <w:top w:val="single" w:sz="12" w:space="0" w:color="auto"/>
            </w:tcBorders>
            <w:shd w:val="clear" w:color="auto" w:fill="auto"/>
            <w:tcMar>
              <w:top w:w="85" w:type="dxa"/>
              <w:left w:w="0" w:type="dxa"/>
              <w:bottom w:w="57" w:type="dxa"/>
              <w:right w:w="113" w:type="dxa"/>
            </w:tcMar>
            <w:vAlign w:val="bottom"/>
          </w:tcPr>
          <w:p w14:paraId="11AA2162" w14:textId="77777777" w:rsidR="003A4304" w:rsidRPr="003A4304" w:rsidRDefault="003A4304" w:rsidP="00615190">
            <w:pPr>
              <w:spacing w:line="240" w:lineRule="atLeast"/>
              <w:rPr>
                <w:rFonts w:ascii="Tahoma" w:hAnsi="Tahoma"/>
                <w:color w:val="000000" w:themeColor="text1"/>
                <w:sz w:val="16"/>
                <w:lang w:val="en-GB"/>
              </w:rPr>
            </w:pPr>
            <w:r w:rsidRPr="003A4304">
              <w:rPr>
                <w:rFonts w:ascii="Tahoma" w:hAnsi="Tahoma"/>
                <w:color w:val="000000" w:themeColor="text1"/>
                <w:sz w:val="16"/>
                <w:lang w:val="en-GB"/>
              </w:rPr>
              <w:t>Total tax effects of adjustments</w:t>
            </w:r>
          </w:p>
        </w:tc>
        <w:tc>
          <w:tcPr>
            <w:tcW w:w="1134" w:type="dxa"/>
            <w:tcBorders>
              <w:top w:val="single" w:sz="12" w:space="0" w:color="auto"/>
            </w:tcBorders>
            <w:shd w:val="clear" w:color="auto" w:fill="auto"/>
            <w:tcMar>
              <w:top w:w="85" w:type="dxa"/>
              <w:left w:w="0" w:type="dxa"/>
              <w:bottom w:w="57" w:type="dxa"/>
              <w:right w:w="0" w:type="dxa"/>
            </w:tcMar>
            <w:vAlign w:val="bottom"/>
          </w:tcPr>
          <w:p w14:paraId="46CF7296" w14:textId="77777777" w:rsidR="003A4304" w:rsidRPr="003A4304" w:rsidRDefault="003A4304" w:rsidP="003F6F7C">
            <w:pPr>
              <w:spacing w:line="240" w:lineRule="atLeast"/>
              <w:jc w:val="right"/>
              <w:rPr>
                <w:rFonts w:ascii="Tahoma" w:hAnsi="Tahoma"/>
                <w:b/>
                <w:bCs/>
                <w:color w:val="000000" w:themeColor="text1"/>
                <w:sz w:val="16"/>
                <w:lang w:val="en-GB"/>
              </w:rPr>
            </w:pPr>
            <w:r w:rsidRPr="003A4304">
              <w:rPr>
                <w:rFonts w:ascii="Tahoma" w:hAnsi="Tahoma"/>
                <w:b/>
                <w:bCs/>
                <w:color w:val="000000" w:themeColor="text1"/>
                <w:sz w:val="16"/>
                <w:lang w:val="en-GB"/>
              </w:rPr>
              <w:t>—</w:t>
            </w:r>
          </w:p>
        </w:tc>
        <w:tc>
          <w:tcPr>
            <w:tcW w:w="1134" w:type="dxa"/>
            <w:tcBorders>
              <w:top w:val="single" w:sz="12" w:space="0" w:color="auto"/>
            </w:tcBorders>
            <w:shd w:val="clear" w:color="auto" w:fill="auto"/>
            <w:tcMar>
              <w:top w:w="85" w:type="dxa"/>
              <w:left w:w="0" w:type="dxa"/>
              <w:bottom w:w="57" w:type="dxa"/>
              <w:right w:w="0" w:type="dxa"/>
            </w:tcMar>
            <w:vAlign w:val="bottom"/>
          </w:tcPr>
          <w:p w14:paraId="1F6BB0FF" w14:textId="77777777" w:rsidR="003A4304" w:rsidRPr="003A4304" w:rsidRDefault="003A4304" w:rsidP="003F6F7C">
            <w:pPr>
              <w:spacing w:line="240" w:lineRule="atLeast"/>
              <w:jc w:val="right"/>
              <w:rPr>
                <w:rFonts w:ascii="Tahoma" w:hAnsi="Tahoma"/>
                <w:color w:val="000000" w:themeColor="text1"/>
                <w:sz w:val="16"/>
                <w:lang w:val="en-GB"/>
              </w:rPr>
            </w:pPr>
            <w:r w:rsidRPr="003A4304">
              <w:rPr>
                <w:rFonts w:ascii="Tahoma" w:hAnsi="Tahoma"/>
                <w:color w:val="000000" w:themeColor="text1"/>
                <w:sz w:val="16"/>
                <w:lang w:val="en-GB"/>
              </w:rPr>
              <w:t>(1)</w:t>
            </w:r>
          </w:p>
        </w:tc>
        <w:tc>
          <w:tcPr>
            <w:tcW w:w="1134" w:type="dxa"/>
            <w:tcBorders>
              <w:top w:val="single" w:sz="12" w:space="0" w:color="auto"/>
            </w:tcBorders>
            <w:shd w:val="clear" w:color="auto" w:fill="auto"/>
            <w:tcMar>
              <w:top w:w="85" w:type="dxa"/>
              <w:left w:w="0" w:type="dxa"/>
              <w:bottom w:w="57" w:type="dxa"/>
              <w:right w:w="0" w:type="dxa"/>
            </w:tcMar>
            <w:vAlign w:val="bottom"/>
          </w:tcPr>
          <w:p w14:paraId="0171EB93" w14:textId="77777777" w:rsidR="003A4304" w:rsidRPr="003A4304" w:rsidRDefault="003A4304" w:rsidP="006B389E">
            <w:pPr>
              <w:spacing w:line="240" w:lineRule="atLeast"/>
              <w:ind w:right="113"/>
              <w:jc w:val="right"/>
              <w:rPr>
                <w:rFonts w:ascii="Tahoma" w:hAnsi="Tahoma"/>
                <w:color w:val="000000" w:themeColor="text1"/>
                <w:sz w:val="16"/>
                <w:lang w:val="en-GB"/>
              </w:rPr>
            </w:pPr>
            <w:r w:rsidRPr="003A4304">
              <w:rPr>
                <w:rFonts w:ascii="Tahoma" w:hAnsi="Tahoma"/>
                <w:color w:val="000000" w:themeColor="text1"/>
                <w:sz w:val="16"/>
                <w:lang w:val="en-GB"/>
              </w:rPr>
              <w:t>—</w:t>
            </w:r>
          </w:p>
        </w:tc>
      </w:tr>
      <w:tr w:rsidR="00615190" w:rsidRPr="003A4304" w14:paraId="4FEEBFF4" w14:textId="77777777" w:rsidTr="004E0075">
        <w:trPr>
          <w:trHeight w:val="60"/>
        </w:trPr>
        <w:tc>
          <w:tcPr>
            <w:tcW w:w="397" w:type="dxa"/>
            <w:shd w:val="clear" w:color="auto" w:fill="auto"/>
            <w:tcMar>
              <w:top w:w="57" w:type="dxa"/>
              <w:left w:w="0" w:type="dxa"/>
              <w:bottom w:w="85" w:type="dxa"/>
              <w:right w:w="0" w:type="dxa"/>
            </w:tcMar>
            <w:vAlign w:val="bottom"/>
          </w:tcPr>
          <w:p w14:paraId="30F9972C" w14:textId="77777777" w:rsidR="003A4304" w:rsidRPr="003A4304" w:rsidRDefault="003A4304" w:rsidP="00615190">
            <w:pPr>
              <w:spacing w:line="240" w:lineRule="atLeast"/>
              <w:rPr>
                <w:rFonts w:ascii="Tahoma" w:hAnsi="Tahoma"/>
                <w:color w:val="000000" w:themeColor="text1"/>
                <w:sz w:val="16"/>
                <w:lang w:val="en-GB"/>
              </w:rPr>
            </w:pPr>
          </w:p>
        </w:tc>
        <w:tc>
          <w:tcPr>
            <w:tcW w:w="6407" w:type="dxa"/>
            <w:tcBorders>
              <w:bottom w:val="single" w:sz="4" w:space="0" w:color="auto"/>
            </w:tcBorders>
            <w:shd w:val="clear" w:color="auto" w:fill="auto"/>
            <w:tcMar>
              <w:top w:w="57" w:type="dxa"/>
              <w:left w:w="0" w:type="dxa"/>
              <w:bottom w:w="85" w:type="dxa"/>
              <w:right w:w="113" w:type="dxa"/>
            </w:tcMar>
            <w:vAlign w:val="bottom"/>
          </w:tcPr>
          <w:p w14:paraId="722930E9" w14:textId="77777777" w:rsidR="003A4304" w:rsidRPr="003A4304" w:rsidRDefault="003A4304" w:rsidP="00615190">
            <w:pPr>
              <w:spacing w:line="240" w:lineRule="atLeast"/>
              <w:rPr>
                <w:rFonts w:ascii="Tahoma" w:hAnsi="Tahoma"/>
                <w:color w:val="000000" w:themeColor="text1"/>
                <w:sz w:val="16"/>
                <w:lang w:val="en-GB"/>
              </w:rPr>
            </w:pPr>
            <w:r w:rsidRPr="003A4304">
              <w:rPr>
                <w:rFonts w:ascii="Tahoma" w:hAnsi="Tahoma"/>
                <w:color w:val="000000" w:themeColor="text1"/>
                <w:sz w:val="16"/>
                <w:lang w:val="en-GB"/>
              </w:rPr>
              <w:t>Total adjustment for non-controlling interest</w:t>
            </w:r>
          </w:p>
        </w:tc>
        <w:tc>
          <w:tcPr>
            <w:tcW w:w="1134" w:type="dxa"/>
            <w:tcBorders>
              <w:bottom w:val="single" w:sz="4" w:space="0" w:color="auto"/>
            </w:tcBorders>
            <w:shd w:val="clear" w:color="auto" w:fill="auto"/>
            <w:tcMar>
              <w:top w:w="57" w:type="dxa"/>
              <w:left w:w="0" w:type="dxa"/>
              <w:bottom w:w="85" w:type="dxa"/>
              <w:right w:w="0" w:type="dxa"/>
            </w:tcMar>
            <w:vAlign w:val="bottom"/>
          </w:tcPr>
          <w:p w14:paraId="31464C80" w14:textId="77777777" w:rsidR="003A4304" w:rsidRPr="003A4304" w:rsidRDefault="003A4304" w:rsidP="003F6F7C">
            <w:pPr>
              <w:spacing w:line="240" w:lineRule="atLeast"/>
              <w:jc w:val="right"/>
              <w:rPr>
                <w:rFonts w:ascii="Tahoma" w:hAnsi="Tahoma"/>
                <w:b/>
                <w:bCs/>
                <w:color w:val="000000" w:themeColor="text1"/>
                <w:sz w:val="16"/>
                <w:lang w:val="en-GB"/>
              </w:rPr>
            </w:pPr>
            <w:r w:rsidRPr="003A4304">
              <w:rPr>
                <w:rFonts w:ascii="Tahoma" w:hAnsi="Tahoma"/>
                <w:b/>
                <w:bCs/>
                <w:color w:val="000000" w:themeColor="text1"/>
                <w:sz w:val="16"/>
                <w:lang w:val="en-GB"/>
              </w:rPr>
              <w:t>1</w:t>
            </w:r>
          </w:p>
        </w:tc>
        <w:tc>
          <w:tcPr>
            <w:tcW w:w="1134" w:type="dxa"/>
            <w:tcBorders>
              <w:bottom w:val="single" w:sz="4" w:space="0" w:color="auto"/>
            </w:tcBorders>
            <w:shd w:val="clear" w:color="auto" w:fill="auto"/>
            <w:tcMar>
              <w:top w:w="57" w:type="dxa"/>
              <w:left w:w="0" w:type="dxa"/>
              <w:bottom w:w="85" w:type="dxa"/>
              <w:right w:w="0" w:type="dxa"/>
            </w:tcMar>
            <w:vAlign w:val="bottom"/>
          </w:tcPr>
          <w:p w14:paraId="70F1914E" w14:textId="77777777" w:rsidR="003A4304" w:rsidRPr="003A4304" w:rsidRDefault="003A4304" w:rsidP="003F6F7C">
            <w:pPr>
              <w:spacing w:line="240" w:lineRule="atLeast"/>
              <w:jc w:val="right"/>
              <w:rPr>
                <w:rFonts w:ascii="Tahoma" w:hAnsi="Tahoma"/>
                <w:color w:val="000000" w:themeColor="text1"/>
                <w:sz w:val="16"/>
                <w:lang w:val="en-GB"/>
              </w:rPr>
            </w:pPr>
            <w:r w:rsidRPr="003A4304">
              <w:rPr>
                <w:rFonts w:ascii="Tahoma" w:hAnsi="Tahoma"/>
                <w:color w:val="000000" w:themeColor="text1"/>
                <w:sz w:val="16"/>
                <w:lang w:val="en-GB"/>
              </w:rPr>
              <w:t>—</w:t>
            </w:r>
          </w:p>
        </w:tc>
        <w:tc>
          <w:tcPr>
            <w:tcW w:w="1134" w:type="dxa"/>
            <w:tcBorders>
              <w:bottom w:val="single" w:sz="4" w:space="0" w:color="auto"/>
            </w:tcBorders>
            <w:shd w:val="clear" w:color="auto" w:fill="auto"/>
            <w:tcMar>
              <w:top w:w="57" w:type="dxa"/>
              <w:left w:w="0" w:type="dxa"/>
              <w:bottom w:w="85" w:type="dxa"/>
              <w:right w:w="0" w:type="dxa"/>
            </w:tcMar>
            <w:vAlign w:val="bottom"/>
          </w:tcPr>
          <w:p w14:paraId="7E60501F" w14:textId="77777777" w:rsidR="003A4304" w:rsidRPr="003A4304" w:rsidRDefault="003A4304" w:rsidP="006B389E">
            <w:pPr>
              <w:spacing w:line="240" w:lineRule="atLeast"/>
              <w:ind w:right="113"/>
              <w:jc w:val="right"/>
              <w:rPr>
                <w:rFonts w:ascii="Tahoma" w:hAnsi="Tahoma"/>
                <w:color w:val="000000" w:themeColor="text1"/>
                <w:sz w:val="16"/>
                <w:lang w:val="en-GB"/>
              </w:rPr>
            </w:pPr>
            <w:r w:rsidRPr="003A4304">
              <w:rPr>
                <w:rFonts w:ascii="Tahoma" w:hAnsi="Tahoma"/>
                <w:color w:val="000000" w:themeColor="text1"/>
                <w:sz w:val="16"/>
                <w:lang w:val="en-GB"/>
              </w:rPr>
              <w:t>—</w:t>
            </w:r>
          </w:p>
        </w:tc>
      </w:tr>
      <w:tr w:rsidR="00615190" w:rsidRPr="003A4304" w14:paraId="2025C966" w14:textId="77777777" w:rsidTr="00320753">
        <w:trPr>
          <w:trHeight w:val="60"/>
        </w:trPr>
        <w:tc>
          <w:tcPr>
            <w:tcW w:w="397" w:type="dxa"/>
            <w:shd w:val="clear" w:color="auto" w:fill="auto"/>
            <w:tcMar>
              <w:top w:w="85" w:type="dxa"/>
              <w:left w:w="0" w:type="dxa"/>
              <w:bottom w:w="85" w:type="dxa"/>
              <w:right w:w="0" w:type="dxa"/>
            </w:tcMar>
            <w:vAlign w:val="bottom"/>
          </w:tcPr>
          <w:p w14:paraId="1546D5E0" w14:textId="77777777" w:rsidR="003A4304" w:rsidRPr="003A4304" w:rsidRDefault="003A4304" w:rsidP="00615190">
            <w:pPr>
              <w:spacing w:line="240" w:lineRule="atLeast"/>
              <w:rPr>
                <w:rFonts w:ascii="Tahoma" w:hAnsi="Tahoma"/>
                <w:color w:val="000000" w:themeColor="text1"/>
                <w:sz w:val="16"/>
                <w:lang w:val="en-GB"/>
              </w:rPr>
            </w:pPr>
          </w:p>
        </w:tc>
        <w:tc>
          <w:tcPr>
            <w:tcW w:w="6407" w:type="dxa"/>
            <w:tcBorders>
              <w:top w:val="single" w:sz="4" w:space="0" w:color="auto"/>
              <w:bottom w:val="single" w:sz="4" w:space="0" w:color="auto"/>
            </w:tcBorders>
            <w:shd w:val="clear" w:color="auto" w:fill="auto"/>
            <w:tcMar>
              <w:top w:w="85" w:type="dxa"/>
              <w:left w:w="0" w:type="dxa"/>
              <w:bottom w:w="85" w:type="dxa"/>
              <w:right w:w="113" w:type="dxa"/>
            </w:tcMar>
            <w:vAlign w:val="bottom"/>
          </w:tcPr>
          <w:p w14:paraId="5987AADF" w14:textId="77777777" w:rsidR="003A4304" w:rsidRPr="003A4304" w:rsidRDefault="003A4304" w:rsidP="00615190">
            <w:pPr>
              <w:spacing w:line="240" w:lineRule="atLeast"/>
              <w:rPr>
                <w:rFonts w:ascii="Tahoma" w:hAnsi="Tahoma"/>
                <w:b/>
                <w:bCs/>
                <w:color w:val="000000" w:themeColor="text1"/>
                <w:sz w:val="16"/>
                <w:lang w:val="en-GB"/>
              </w:rPr>
            </w:pPr>
            <w:r w:rsidRPr="003A4304">
              <w:rPr>
                <w:rFonts w:ascii="Tahoma" w:hAnsi="Tahoma"/>
                <w:b/>
                <w:bCs/>
                <w:color w:val="000000" w:themeColor="text1"/>
                <w:sz w:val="16"/>
                <w:lang w:val="en-GB"/>
              </w:rPr>
              <w:t>Basic headline earnings from continuing operations</w:t>
            </w:r>
            <w:r w:rsidRPr="003A4304">
              <w:rPr>
                <w:rFonts w:ascii="Tahoma" w:hAnsi="Tahoma"/>
                <w:b/>
                <w:bCs/>
                <w:color w:val="000000" w:themeColor="text1"/>
                <w:sz w:val="16"/>
                <w:vertAlign w:val="superscript"/>
                <w:lang w:val="en-GB"/>
              </w:rPr>
              <w:t>2</w:t>
            </w:r>
          </w:p>
        </w:tc>
        <w:tc>
          <w:tcPr>
            <w:tcW w:w="1134" w:type="dxa"/>
            <w:tcBorders>
              <w:top w:val="single" w:sz="4" w:space="0" w:color="auto"/>
              <w:bottom w:val="single" w:sz="4" w:space="0" w:color="auto"/>
            </w:tcBorders>
            <w:shd w:val="clear" w:color="auto" w:fill="auto"/>
            <w:tcMar>
              <w:top w:w="85" w:type="dxa"/>
              <w:left w:w="0" w:type="dxa"/>
              <w:bottom w:w="85" w:type="dxa"/>
              <w:right w:w="0" w:type="dxa"/>
            </w:tcMar>
            <w:vAlign w:val="bottom"/>
          </w:tcPr>
          <w:p w14:paraId="44B30534" w14:textId="77777777" w:rsidR="003A4304" w:rsidRPr="003A4304" w:rsidRDefault="003A4304" w:rsidP="003F6F7C">
            <w:pPr>
              <w:spacing w:line="240" w:lineRule="atLeast"/>
              <w:jc w:val="right"/>
              <w:rPr>
                <w:rFonts w:ascii="Tahoma" w:hAnsi="Tahoma"/>
                <w:b/>
                <w:bCs/>
                <w:color w:val="000000" w:themeColor="text1"/>
                <w:sz w:val="16"/>
                <w:lang w:val="en-GB"/>
              </w:rPr>
            </w:pPr>
            <w:r w:rsidRPr="003A4304">
              <w:rPr>
                <w:rFonts w:ascii="Tahoma" w:hAnsi="Tahoma"/>
                <w:b/>
                <w:bCs/>
                <w:color w:val="000000" w:themeColor="text1"/>
                <w:sz w:val="16"/>
                <w:lang w:val="en-GB"/>
              </w:rPr>
              <w:t>(6)</w:t>
            </w:r>
          </w:p>
        </w:tc>
        <w:tc>
          <w:tcPr>
            <w:tcW w:w="1134" w:type="dxa"/>
            <w:tcBorders>
              <w:top w:val="single" w:sz="4" w:space="0" w:color="auto"/>
              <w:bottom w:val="single" w:sz="4" w:space="0" w:color="auto"/>
            </w:tcBorders>
            <w:shd w:val="clear" w:color="auto" w:fill="auto"/>
            <w:tcMar>
              <w:top w:w="85" w:type="dxa"/>
              <w:left w:w="0" w:type="dxa"/>
              <w:bottom w:w="85" w:type="dxa"/>
              <w:right w:w="0" w:type="dxa"/>
            </w:tcMar>
            <w:vAlign w:val="bottom"/>
          </w:tcPr>
          <w:p w14:paraId="22DB6DB7" w14:textId="77777777" w:rsidR="003A4304" w:rsidRPr="003A4304" w:rsidRDefault="003A4304" w:rsidP="003F6F7C">
            <w:pPr>
              <w:spacing w:line="240" w:lineRule="atLeast"/>
              <w:jc w:val="right"/>
              <w:rPr>
                <w:rFonts w:ascii="Tahoma" w:hAnsi="Tahoma"/>
                <w:color w:val="000000" w:themeColor="text1"/>
                <w:sz w:val="16"/>
                <w:lang w:val="en-GB"/>
              </w:rPr>
            </w:pPr>
            <w:r w:rsidRPr="003A4304">
              <w:rPr>
                <w:rFonts w:ascii="Tahoma" w:hAnsi="Tahoma"/>
                <w:color w:val="000000" w:themeColor="text1"/>
                <w:sz w:val="16"/>
                <w:lang w:val="en-GB"/>
              </w:rPr>
              <w:t>2 260</w:t>
            </w:r>
          </w:p>
        </w:tc>
        <w:tc>
          <w:tcPr>
            <w:tcW w:w="1134" w:type="dxa"/>
            <w:tcBorders>
              <w:top w:val="single" w:sz="4" w:space="0" w:color="auto"/>
              <w:bottom w:val="single" w:sz="4" w:space="0" w:color="auto"/>
            </w:tcBorders>
            <w:shd w:val="clear" w:color="auto" w:fill="auto"/>
            <w:tcMar>
              <w:top w:w="85" w:type="dxa"/>
              <w:left w:w="0" w:type="dxa"/>
              <w:bottom w:w="85" w:type="dxa"/>
              <w:right w:w="0" w:type="dxa"/>
            </w:tcMar>
            <w:vAlign w:val="bottom"/>
          </w:tcPr>
          <w:p w14:paraId="570CC671" w14:textId="77777777" w:rsidR="003A4304" w:rsidRPr="003A4304" w:rsidRDefault="003A4304" w:rsidP="006B389E">
            <w:pPr>
              <w:spacing w:line="240" w:lineRule="atLeast"/>
              <w:ind w:right="113"/>
              <w:jc w:val="right"/>
              <w:rPr>
                <w:rFonts w:ascii="Tahoma" w:hAnsi="Tahoma"/>
                <w:color w:val="000000" w:themeColor="text1"/>
                <w:sz w:val="16"/>
                <w:lang w:val="en-GB"/>
              </w:rPr>
            </w:pPr>
            <w:r w:rsidRPr="003A4304">
              <w:rPr>
                <w:rFonts w:ascii="Tahoma" w:hAnsi="Tahoma"/>
                <w:color w:val="000000" w:themeColor="text1"/>
                <w:sz w:val="16"/>
                <w:lang w:val="en-GB"/>
              </w:rPr>
              <w:t>2 921</w:t>
            </w:r>
          </w:p>
        </w:tc>
      </w:tr>
      <w:tr w:rsidR="00615190" w:rsidRPr="003A4304" w14:paraId="69948AA9" w14:textId="77777777" w:rsidTr="00320753">
        <w:trPr>
          <w:trHeight w:val="60"/>
        </w:trPr>
        <w:tc>
          <w:tcPr>
            <w:tcW w:w="397" w:type="dxa"/>
            <w:shd w:val="clear" w:color="auto" w:fill="auto"/>
            <w:tcMar>
              <w:top w:w="85" w:type="dxa"/>
              <w:left w:w="0" w:type="dxa"/>
              <w:bottom w:w="85" w:type="dxa"/>
              <w:right w:w="0" w:type="dxa"/>
            </w:tcMar>
            <w:vAlign w:val="bottom"/>
          </w:tcPr>
          <w:p w14:paraId="64AC1A8E" w14:textId="77777777" w:rsidR="003A4304" w:rsidRPr="003A4304" w:rsidRDefault="003A4304" w:rsidP="00615190">
            <w:pPr>
              <w:spacing w:line="240" w:lineRule="atLeast"/>
              <w:rPr>
                <w:rFonts w:ascii="Tahoma" w:hAnsi="Tahoma"/>
                <w:color w:val="000000" w:themeColor="text1"/>
                <w:sz w:val="16"/>
                <w:lang w:val="en-GB"/>
              </w:rPr>
            </w:pPr>
          </w:p>
        </w:tc>
        <w:tc>
          <w:tcPr>
            <w:tcW w:w="6407" w:type="dxa"/>
            <w:tcBorders>
              <w:top w:val="single" w:sz="4" w:space="0" w:color="auto"/>
              <w:bottom w:val="single" w:sz="12" w:space="0" w:color="auto"/>
            </w:tcBorders>
            <w:shd w:val="clear" w:color="auto" w:fill="auto"/>
            <w:tcMar>
              <w:top w:w="85" w:type="dxa"/>
              <w:left w:w="0" w:type="dxa"/>
              <w:bottom w:w="85" w:type="dxa"/>
              <w:right w:w="113" w:type="dxa"/>
            </w:tcMar>
            <w:vAlign w:val="bottom"/>
          </w:tcPr>
          <w:p w14:paraId="3983A4E2" w14:textId="77777777" w:rsidR="003A4304" w:rsidRPr="003A4304" w:rsidRDefault="003A4304" w:rsidP="00615190">
            <w:pPr>
              <w:spacing w:line="240" w:lineRule="atLeast"/>
              <w:rPr>
                <w:rFonts w:ascii="Tahoma" w:hAnsi="Tahoma"/>
                <w:b/>
                <w:bCs/>
                <w:color w:val="000000" w:themeColor="text1"/>
                <w:sz w:val="16"/>
                <w:lang w:val="en-GB"/>
              </w:rPr>
            </w:pPr>
            <w:r w:rsidRPr="003A4304">
              <w:rPr>
                <w:rFonts w:ascii="Tahoma" w:hAnsi="Tahoma"/>
                <w:b/>
                <w:bCs/>
                <w:color w:val="000000" w:themeColor="text1"/>
                <w:sz w:val="16"/>
                <w:lang w:val="en-GB"/>
              </w:rPr>
              <w:t>Diluted headline earnings from continuing operations</w:t>
            </w:r>
          </w:p>
        </w:tc>
        <w:tc>
          <w:tcPr>
            <w:tcW w:w="1134"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0A595024" w14:textId="77777777" w:rsidR="003A4304" w:rsidRPr="003A4304" w:rsidRDefault="003A4304" w:rsidP="003F6F7C">
            <w:pPr>
              <w:spacing w:line="240" w:lineRule="atLeast"/>
              <w:jc w:val="right"/>
              <w:rPr>
                <w:rFonts w:ascii="Tahoma" w:hAnsi="Tahoma"/>
                <w:b/>
                <w:bCs/>
                <w:color w:val="000000" w:themeColor="text1"/>
                <w:sz w:val="16"/>
                <w:lang w:val="en-GB"/>
              </w:rPr>
            </w:pPr>
            <w:r w:rsidRPr="003A4304">
              <w:rPr>
                <w:rFonts w:ascii="Tahoma" w:hAnsi="Tahoma"/>
                <w:b/>
                <w:bCs/>
                <w:color w:val="000000" w:themeColor="text1"/>
                <w:sz w:val="16"/>
                <w:lang w:val="en-GB"/>
              </w:rPr>
              <w:t>(39)</w:t>
            </w:r>
          </w:p>
        </w:tc>
        <w:tc>
          <w:tcPr>
            <w:tcW w:w="1134"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1F6426FC" w14:textId="77777777" w:rsidR="003A4304" w:rsidRPr="003A4304" w:rsidRDefault="003A4304" w:rsidP="003F6F7C">
            <w:pPr>
              <w:spacing w:line="240" w:lineRule="atLeast"/>
              <w:jc w:val="right"/>
              <w:rPr>
                <w:rFonts w:ascii="Tahoma" w:hAnsi="Tahoma"/>
                <w:color w:val="000000" w:themeColor="text1"/>
                <w:sz w:val="16"/>
                <w:lang w:val="en-GB"/>
              </w:rPr>
            </w:pPr>
            <w:r w:rsidRPr="003A4304">
              <w:rPr>
                <w:rFonts w:ascii="Tahoma" w:hAnsi="Tahoma"/>
                <w:color w:val="000000" w:themeColor="text1"/>
                <w:sz w:val="16"/>
                <w:lang w:val="en-GB"/>
              </w:rPr>
              <w:t>2 185</w:t>
            </w:r>
          </w:p>
        </w:tc>
        <w:tc>
          <w:tcPr>
            <w:tcW w:w="1134"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603843F9" w14:textId="77777777" w:rsidR="003A4304" w:rsidRPr="003A4304" w:rsidRDefault="003A4304" w:rsidP="006B389E">
            <w:pPr>
              <w:spacing w:line="240" w:lineRule="atLeast"/>
              <w:ind w:right="113"/>
              <w:jc w:val="right"/>
              <w:rPr>
                <w:rFonts w:ascii="Tahoma" w:hAnsi="Tahoma"/>
                <w:color w:val="000000" w:themeColor="text1"/>
                <w:sz w:val="16"/>
                <w:lang w:val="en-GB"/>
              </w:rPr>
            </w:pPr>
            <w:r w:rsidRPr="003A4304">
              <w:rPr>
                <w:rFonts w:ascii="Tahoma" w:hAnsi="Tahoma"/>
                <w:color w:val="000000" w:themeColor="text1"/>
                <w:sz w:val="16"/>
                <w:lang w:val="en-GB"/>
              </w:rPr>
              <w:t>2 751</w:t>
            </w:r>
          </w:p>
        </w:tc>
      </w:tr>
      <w:tr w:rsidR="00615190" w:rsidRPr="003A4304" w14:paraId="3EA0B1DF" w14:textId="77777777" w:rsidTr="00320753">
        <w:trPr>
          <w:trHeight w:val="60"/>
        </w:trPr>
        <w:tc>
          <w:tcPr>
            <w:tcW w:w="397" w:type="dxa"/>
            <w:shd w:val="clear" w:color="auto" w:fill="auto"/>
            <w:tcMar>
              <w:top w:w="85" w:type="dxa"/>
              <w:left w:w="0" w:type="dxa"/>
              <w:bottom w:w="57" w:type="dxa"/>
              <w:right w:w="0" w:type="dxa"/>
            </w:tcMar>
            <w:vAlign w:val="bottom"/>
          </w:tcPr>
          <w:p w14:paraId="0298621F" w14:textId="77777777" w:rsidR="003A4304" w:rsidRPr="003A4304" w:rsidRDefault="003A4304" w:rsidP="00615190">
            <w:pPr>
              <w:spacing w:line="240" w:lineRule="atLeast"/>
              <w:rPr>
                <w:rFonts w:ascii="Tahoma" w:hAnsi="Tahoma"/>
                <w:color w:val="000000" w:themeColor="text1"/>
                <w:sz w:val="16"/>
                <w:lang w:val="en-GB"/>
              </w:rPr>
            </w:pPr>
          </w:p>
        </w:tc>
        <w:tc>
          <w:tcPr>
            <w:tcW w:w="9809" w:type="dxa"/>
            <w:gridSpan w:val="4"/>
            <w:tcBorders>
              <w:top w:val="single" w:sz="12" w:space="0" w:color="auto"/>
            </w:tcBorders>
            <w:shd w:val="clear" w:color="auto" w:fill="auto"/>
            <w:tcMar>
              <w:top w:w="85" w:type="dxa"/>
              <w:left w:w="0" w:type="dxa"/>
              <w:bottom w:w="57" w:type="dxa"/>
              <w:right w:w="0" w:type="dxa"/>
            </w:tcMar>
            <w:vAlign w:val="bottom"/>
          </w:tcPr>
          <w:p w14:paraId="2AF8E1E1" w14:textId="77777777" w:rsidR="003A4304" w:rsidRPr="003A4304" w:rsidRDefault="003A4304" w:rsidP="00DB2333">
            <w:pPr>
              <w:pStyle w:val="FootnotesProsus2022FrontStylesProsus2022"/>
            </w:pPr>
            <w:r w:rsidRPr="003A4304">
              <w:t>1</w:t>
            </w:r>
            <w:r w:rsidRPr="003A4304">
              <w:tab/>
              <w:t>Remeasurements included in equity-accounted earnings include US$1.8bn (2021: US$1.1bn and 31 March 2022: US$6.2bn) relating to gains arising on acquisitions and disposals by associates and US$783m relating to net impairments of assets recognised by associates (2021: US$23m and 31 March 2022: US$1.1bn).</w:t>
            </w:r>
          </w:p>
          <w:p w14:paraId="28FE4B6F" w14:textId="77777777" w:rsidR="003A4304" w:rsidRPr="003A4304" w:rsidRDefault="003A4304" w:rsidP="00DB2333">
            <w:pPr>
              <w:pStyle w:val="FootnotesProsus2022FrontStylesProsus2022"/>
            </w:pPr>
            <w:r w:rsidRPr="003A4304">
              <w:t>2</w:t>
            </w:r>
            <w:r w:rsidRPr="003A4304">
              <w:tab/>
              <w:t xml:space="preserve">Headline earnings represent net profit for the year attributable to equity holders of the group, excluding certain defined separately identifiable remeasurements. The headline earnings measure is pursuant to the JSE Listings Requirements. </w:t>
            </w:r>
          </w:p>
        </w:tc>
      </w:tr>
    </w:tbl>
    <w:p w14:paraId="35D49BF8" w14:textId="77777777" w:rsidR="00F066EE" w:rsidRDefault="00F066EE" w:rsidP="00615190">
      <w:pPr>
        <w:spacing w:line="240" w:lineRule="atLeast"/>
        <w:rPr>
          <w:rFonts w:ascii="Tahoma" w:hAnsi="Tahoma"/>
          <w:color w:val="000000" w:themeColor="text1"/>
          <w:sz w:val="16"/>
        </w:rPr>
      </w:pPr>
    </w:p>
    <w:p w14:paraId="38703869" w14:textId="77777777" w:rsidR="003A4304" w:rsidRPr="00615190" w:rsidRDefault="00F066EE" w:rsidP="00F066EE">
      <w:pPr>
        <w:rPr>
          <w:rFonts w:ascii="Tahoma" w:hAnsi="Tahoma"/>
          <w:color w:val="000000" w:themeColor="text1"/>
          <w:sz w:val="16"/>
        </w:rPr>
      </w:pPr>
      <w:r>
        <w:rPr>
          <w:rFonts w:ascii="Tahoma" w:hAnsi="Tahoma"/>
          <w:color w:val="000000" w:themeColor="text1"/>
          <w:sz w:val="16"/>
        </w:rPr>
        <w:br w:type="page"/>
      </w:r>
    </w:p>
    <w:tbl>
      <w:tblPr>
        <w:tblW w:w="10206" w:type="dxa"/>
        <w:tblInd w:w="-8" w:type="dxa"/>
        <w:tblLayout w:type="fixed"/>
        <w:tblCellMar>
          <w:left w:w="0" w:type="dxa"/>
          <w:right w:w="0" w:type="dxa"/>
        </w:tblCellMar>
        <w:tblLook w:val="0000" w:firstRow="0" w:lastRow="0" w:firstColumn="0" w:lastColumn="0" w:noHBand="0" w:noVBand="0"/>
      </w:tblPr>
      <w:tblGrid>
        <w:gridCol w:w="397"/>
        <w:gridCol w:w="6407"/>
        <w:gridCol w:w="1134"/>
        <w:gridCol w:w="1134"/>
        <w:gridCol w:w="1134"/>
      </w:tblGrid>
      <w:tr w:rsidR="00615190" w:rsidRPr="003A4304" w14:paraId="309FAA7D" w14:textId="77777777" w:rsidTr="00893BDD">
        <w:trPr>
          <w:trHeight w:val="60"/>
        </w:trPr>
        <w:tc>
          <w:tcPr>
            <w:tcW w:w="397" w:type="dxa"/>
            <w:shd w:val="clear" w:color="auto" w:fill="auto"/>
            <w:tcMar>
              <w:top w:w="0" w:type="dxa"/>
              <w:left w:w="0" w:type="dxa"/>
              <w:bottom w:w="57" w:type="dxa"/>
              <w:right w:w="0" w:type="dxa"/>
            </w:tcMar>
            <w:vAlign w:val="bottom"/>
          </w:tcPr>
          <w:p w14:paraId="4430DA47" w14:textId="77777777" w:rsidR="003A4304" w:rsidRPr="003A4304" w:rsidRDefault="001B3C95" w:rsidP="00615190">
            <w:pPr>
              <w:spacing w:line="240" w:lineRule="atLeast"/>
              <w:rPr>
                <w:rFonts w:ascii="Tahoma" w:hAnsi="Tahoma"/>
                <w:b/>
                <w:bCs/>
                <w:color w:val="000000" w:themeColor="text1"/>
                <w:sz w:val="16"/>
                <w:lang w:val="en-GB"/>
              </w:rPr>
            </w:pPr>
            <w:r w:rsidRPr="003A4304">
              <w:rPr>
                <w:rFonts w:ascii="Tahoma" w:hAnsi="Tahoma"/>
                <w:b/>
                <w:bCs/>
                <w:color w:val="000000" w:themeColor="text1"/>
                <w:sz w:val="16"/>
                <w:lang w:val="en-GB"/>
              </w:rPr>
              <w:lastRenderedPageBreak/>
              <w:t>6.</w:t>
            </w:r>
          </w:p>
        </w:tc>
        <w:tc>
          <w:tcPr>
            <w:tcW w:w="9809" w:type="dxa"/>
            <w:gridSpan w:val="4"/>
            <w:shd w:val="clear" w:color="auto" w:fill="auto"/>
            <w:tcMar>
              <w:top w:w="0" w:type="dxa"/>
              <w:left w:w="0" w:type="dxa"/>
              <w:bottom w:w="57" w:type="dxa"/>
              <w:right w:w="0" w:type="dxa"/>
            </w:tcMar>
            <w:vAlign w:val="bottom"/>
          </w:tcPr>
          <w:p w14:paraId="2132B03C" w14:textId="77777777" w:rsidR="003A4304" w:rsidRPr="003A4304" w:rsidRDefault="001B3C95" w:rsidP="00615190">
            <w:pPr>
              <w:spacing w:line="240" w:lineRule="atLeast"/>
              <w:rPr>
                <w:rFonts w:ascii="Tahoma" w:hAnsi="Tahoma"/>
                <w:b/>
                <w:bCs/>
                <w:color w:val="000000" w:themeColor="text1"/>
                <w:sz w:val="16"/>
                <w:lang w:val="en-GB"/>
              </w:rPr>
            </w:pPr>
            <w:r w:rsidRPr="003A4304">
              <w:rPr>
                <w:rFonts w:ascii="Tahoma" w:hAnsi="Tahoma"/>
                <w:b/>
                <w:bCs/>
                <w:color w:val="000000" w:themeColor="text1"/>
                <w:sz w:val="16"/>
                <w:lang w:val="en-GB"/>
              </w:rPr>
              <w:t>EARNINGS PER SHARE (continued)</w:t>
            </w:r>
          </w:p>
        </w:tc>
      </w:tr>
      <w:tr w:rsidR="00615190" w:rsidRPr="003A4304" w14:paraId="49A69AE8" w14:textId="77777777" w:rsidTr="00893BDD">
        <w:trPr>
          <w:trHeight w:val="60"/>
        </w:trPr>
        <w:tc>
          <w:tcPr>
            <w:tcW w:w="397" w:type="dxa"/>
            <w:shd w:val="clear" w:color="auto" w:fill="auto"/>
            <w:tcMar>
              <w:top w:w="57" w:type="dxa"/>
              <w:left w:w="0" w:type="dxa"/>
              <w:bottom w:w="113" w:type="dxa"/>
              <w:right w:w="0" w:type="dxa"/>
            </w:tcMar>
            <w:vAlign w:val="bottom"/>
          </w:tcPr>
          <w:p w14:paraId="785C5C31" w14:textId="77777777" w:rsidR="003A4304" w:rsidRPr="003A4304" w:rsidRDefault="003A4304" w:rsidP="00615190">
            <w:pPr>
              <w:spacing w:line="240" w:lineRule="atLeast"/>
              <w:rPr>
                <w:rFonts w:ascii="Tahoma" w:hAnsi="Tahoma"/>
                <w:color w:val="000000" w:themeColor="text1"/>
                <w:sz w:val="16"/>
                <w:lang w:val="en-GB"/>
              </w:rPr>
            </w:pPr>
          </w:p>
        </w:tc>
        <w:tc>
          <w:tcPr>
            <w:tcW w:w="9809" w:type="dxa"/>
            <w:gridSpan w:val="4"/>
            <w:shd w:val="clear" w:color="auto" w:fill="auto"/>
            <w:tcMar>
              <w:top w:w="57" w:type="dxa"/>
              <w:left w:w="0" w:type="dxa"/>
              <w:bottom w:w="113" w:type="dxa"/>
              <w:right w:w="0" w:type="dxa"/>
            </w:tcMar>
            <w:vAlign w:val="bottom"/>
          </w:tcPr>
          <w:p w14:paraId="0A49BB64" w14:textId="77777777" w:rsidR="003A4304" w:rsidRPr="003A4304" w:rsidRDefault="003A4304" w:rsidP="00615190">
            <w:pPr>
              <w:spacing w:line="240" w:lineRule="atLeast"/>
              <w:rPr>
                <w:rFonts w:ascii="Tahoma" w:hAnsi="Tahoma"/>
                <w:b/>
                <w:bCs/>
                <w:color w:val="000000" w:themeColor="text1"/>
                <w:sz w:val="16"/>
                <w:lang w:val="en-GB"/>
              </w:rPr>
            </w:pPr>
            <w:r w:rsidRPr="003A4304">
              <w:rPr>
                <w:rFonts w:ascii="Tahoma" w:hAnsi="Tahoma"/>
                <w:b/>
                <w:bCs/>
                <w:color w:val="000000" w:themeColor="text1"/>
                <w:sz w:val="16"/>
                <w:lang w:val="en-GB"/>
              </w:rPr>
              <w:t>Calculation of headline earnings (continued)</w:t>
            </w:r>
          </w:p>
        </w:tc>
      </w:tr>
      <w:tr w:rsidR="00615190" w:rsidRPr="003A4304" w14:paraId="0E043ECB" w14:textId="77777777" w:rsidTr="00A759A2">
        <w:trPr>
          <w:trHeight w:val="60"/>
        </w:trPr>
        <w:tc>
          <w:tcPr>
            <w:tcW w:w="397" w:type="dxa"/>
            <w:shd w:val="clear" w:color="auto" w:fill="auto"/>
            <w:tcMar>
              <w:top w:w="85" w:type="dxa"/>
              <w:left w:w="0" w:type="dxa"/>
              <w:bottom w:w="85" w:type="dxa"/>
              <w:right w:w="0" w:type="dxa"/>
            </w:tcMar>
            <w:vAlign w:val="bottom"/>
          </w:tcPr>
          <w:p w14:paraId="17919D3C" w14:textId="77777777" w:rsidR="003A4304" w:rsidRPr="003A4304" w:rsidRDefault="003A4304" w:rsidP="00615190">
            <w:pPr>
              <w:spacing w:line="240" w:lineRule="atLeast"/>
              <w:rPr>
                <w:rFonts w:ascii="Tahoma" w:hAnsi="Tahoma"/>
                <w:color w:val="000000" w:themeColor="text1"/>
                <w:sz w:val="16"/>
                <w:lang w:val="en-GB"/>
              </w:rPr>
            </w:pPr>
          </w:p>
        </w:tc>
        <w:tc>
          <w:tcPr>
            <w:tcW w:w="6407" w:type="dxa"/>
            <w:shd w:val="clear" w:color="auto" w:fill="auto"/>
            <w:tcMar>
              <w:top w:w="85" w:type="dxa"/>
              <w:left w:w="0" w:type="dxa"/>
              <w:bottom w:w="85" w:type="dxa"/>
              <w:right w:w="0" w:type="dxa"/>
            </w:tcMar>
            <w:vAlign w:val="bottom"/>
          </w:tcPr>
          <w:p w14:paraId="4849D04D" w14:textId="77777777" w:rsidR="003A4304" w:rsidRPr="003A4304" w:rsidRDefault="003A4304" w:rsidP="00615190">
            <w:pPr>
              <w:spacing w:line="240" w:lineRule="atLeast"/>
              <w:rPr>
                <w:rFonts w:ascii="Tahoma" w:hAnsi="Tahoma"/>
                <w:color w:val="000000" w:themeColor="text1"/>
                <w:sz w:val="16"/>
                <w:lang w:val="en-GB"/>
              </w:rPr>
            </w:pPr>
          </w:p>
        </w:tc>
        <w:tc>
          <w:tcPr>
            <w:tcW w:w="2268" w:type="dxa"/>
            <w:gridSpan w:val="2"/>
            <w:shd w:val="clear" w:color="auto" w:fill="auto"/>
            <w:tcMar>
              <w:top w:w="85" w:type="dxa"/>
              <w:left w:w="0" w:type="dxa"/>
              <w:bottom w:w="85" w:type="dxa"/>
              <w:right w:w="0" w:type="dxa"/>
            </w:tcMar>
            <w:vAlign w:val="bottom"/>
          </w:tcPr>
          <w:p w14:paraId="52C8FB14" w14:textId="77777777" w:rsidR="003A4304" w:rsidRPr="003A4304" w:rsidRDefault="003A4304" w:rsidP="00F066EE">
            <w:pPr>
              <w:spacing w:line="240" w:lineRule="atLeast"/>
              <w:jc w:val="center"/>
              <w:rPr>
                <w:rFonts w:ascii="Tahoma" w:hAnsi="Tahoma"/>
                <w:b/>
                <w:bCs/>
                <w:color w:val="000000" w:themeColor="text1"/>
                <w:sz w:val="16"/>
                <w:lang w:val="en-GB"/>
              </w:rPr>
            </w:pPr>
            <w:r w:rsidRPr="003A4304">
              <w:rPr>
                <w:rFonts w:ascii="Tahoma" w:hAnsi="Tahoma"/>
                <w:b/>
                <w:bCs/>
                <w:color w:val="000000" w:themeColor="text1"/>
                <w:sz w:val="16"/>
                <w:lang w:val="en-GB"/>
              </w:rPr>
              <w:t>Six months ended</w:t>
            </w:r>
          </w:p>
          <w:p w14:paraId="035517B2" w14:textId="77777777" w:rsidR="003A4304" w:rsidRPr="003A4304" w:rsidRDefault="003A4304" w:rsidP="00F066EE">
            <w:pPr>
              <w:spacing w:line="240" w:lineRule="atLeast"/>
              <w:jc w:val="center"/>
              <w:rPr>
                <w:rFonts w:ascii="Tahoma" w:hAnsi="Tahoma"/>
                <w:b/>
                <w:bCs/>
                <w:color w:val="000000" w:themeColor="text1"/>
                <w:sz w:val="16"/>
                <w:lang w:val="en-GB"/>
              </w:rPr>
            </w:pPr>
            <w:r w:rsidRPr="003A4304">
              <w:rPr>
                <w:rFonts w:ascii="Tahoma" w:hAnsi="Tahoma"/>
                <w:b/>
                <w:bCs/>
                <w:color w:val="000000" w:themeColor="text1"/>
                <w:sz w:val="16"/>
                <w:lang w:val="en-GB"/>
              </w:rPr>
              <w:t>30 September</w:t>
            </w:r>
          </w:p>
        </w:tc>
        <w:tc>
          <w:tcPr>
            <w:tcW w:w="1134" w:type="dxa"/>
            <w:shd w:val="clear" w:color="auto" w:fill="auto"/>
            <w:tcMar>
              <w:top w:w="85" w:type="dxa"/>
              <w:left w:w="0" w:type="dxa"/>
              <w:bottom w:w="85" w:type="dxa"/>
              <w:right w:w="0" w:type="dxa"/>
            </w:tcMar>
            <w:vAlign w:val="bottom"/>
          </w:tcPr>
          <w:p w14:paraId="727AAA94" w14:textId="77777777" w:rsidR="003A4304" w:rsidRPr="003A4304" w:rsidRDefault="003A4304" w:rsidP="005A0B0F">
            <w:pPr>
              <w:spacing w:line="240" w:lineRule="atLeast"/>
              <w:ind w:right="113"/>
              <w:jc w:val="right"/>
              <w:rPr>
                <w:rFonts w:ascii="Tahoma" w:hAnsi="Tahoma"/>
                <w:color w:val="000000" w:themeColor="text1"/>
                <w:sz w:val="16"/>
                <w:lang w:val="en-GB"/>
              </w:rPr>
            </w:pPr>
            <w:r w:rsidRPr="003A4304">
              <w:rPr>
                <w:rFonts w:ascii="Tahoma" w:hAnsi="Tahoma"/>
                <w:color w:val="000000" w:themeColor="text1"/>
                <w:sz w:val="16"/>
                <w:lang w:val="en-GB"/>
              </w:rPr>
              <w:t xml:space="preserve">Year </w:t>
            </w:r>
          </w:p>
          <w:p w14:paraId="66EEE255" w14:textId="77777777" w:rsidR="003A4304" w:rsidRPr="003A4304" w:rsidRDefault="003A4304" w:rsidP="005A0B0F">
            <w:pPr>
              <w:spacing w:line="240" w:lineRule="atLeast"/>
              <w:ind w:right="113"/>
              <w:jc w:val="right"/>
              <w:rPr>
                <w:rFonts w:ascii="Tahoma" w:hAnsi="Tahoma"/>
                <w:color w:val="000000" w:themeColor="text1"/>
                <w:sz w:val="16"/>
                <w:lang w:val="en-GB"/>
              </w:rPr>
            </w:pPr>
            <w:r w:rsidRPr="003A4304">
              <w:rPr>
                <w:rFonts w:ascii="Tahoma" w:hAnsi="Tahoma"/>
                <w:color w:val="000000" w:themeColor="text1"/>
                <w:sz w:val="16"/>
                <w:lang w:val="en-GB"/>
              </w:rPr>
              <w:t>ended</w:t>
            </w:r>
          </w:p>
          <w:p w14:paraId="756DBD4E" w14:textId="77777777" w:rsidR="003A4304" w:rsidRPr="003A4304" w:rsidRDefault="003A4304" w:rsidP="005A0B0F">
            <w:pPr>
              <w:spacing w:line="240" w:lineRule="atLeast"/>
              <w:ind w:right="113"/>
              <w:jc w:val="right"/>
              <w:rPr>
                <w:rFonts w:ascii="Tahoma" w:hAnsi="Tahoma"/>
                <w:color w:val="000000" w:themeColor="text1"/>
                <w:sz w:val="16"/>
                <w:lang w:val="en-GB"/>
              </w:rPr>
            </w:pPr>
            <w:r w:rsidRPr="003A4304">
              <w:rPr>
                <w:rFonts w:ascii="Tahoma" w:hAnsi="Tahoma"/>
                <w:color w:val="000000" w:themeColor="text1"/>
                <w:sz w:val="16"/>
                <w:lang w:val="en-GB"/>
              </w:rPr>
              <w:t>31 March</w:t>
            </w:r>
          </w:p>
        </w:tc>
      </w:tr>
      <w:tr w:rsidR="00615190" w:rsidRPr="003A4304" w14:paraId="1D63805E" w14:textId="77777777" w:rsidTr="00A759A2">
        <w:trPr>
          <w:trHeight w:val="60"/>
        </w:trPr>
        <w:tc>
          <w:tcPr>
            <w:tcW w:w="397" w:type="dxa"/>
            <w:shd w:val="clear" w:color="auto" w:fill="auto"/>
            <w:tcMar>
              <w:top w:w="113" w:type="dxa"/>
              <w:left w:w="0" w:type="dxa"/>
              <w:bottom w:w="113" w:type="dxa"/>
              <w:right w:w="0" w:type="dxa"/>
            </w:tcMar>
            <w:vAlign w:val="bottom"/>
          </w:tcPr>
          <w:p w14:paraId="53E9A31F" w14:textId="77777777" w:rsidR="003A4304" w:rsidRPr="003A4304" w:rsidRDefault="003A4304" w:rsidP="00615190">
            <w:pPr>
              <w:spacing w:line="240" w:lineRule="atLeast"/>
              <w:rPr>
                <w:rFonts w:ascii="Tahoma" w:hAnsi="Tahoma"/>
                <w:color w:val="000000" w:themeColor="text1"/>
                <w:sz w:val="16"/>
                <w:lang w:val="en-GB"/>
              </w:rPr>
            </w:pPr>
          </w:p>
        </w:tc>
        <w:tc>
          <w:tcPr>
            <w:tcW w:w="6407" w:type="dxa"/>
            <w:tcBorders>
              <w:bottom w:val="single" w:sz="12" w:space="0" w:color="auto"/>
            </w:tcBorders>
            <w:shd w:val="clear" w:color="auto" w:fill="auto"/>
            <w:tcMar>
              <w:top w:w="113" w:type="dxa"/>
              <w:left w:w="0" w:type="dxa"/>
              <w:bottom w:w="113" w:type="dxa"/>
              <w:right w:w="0" w:type="dxa"/>
            </w:tcMar>
            <w:vAlign w:val="bottom"/>
          </w:tcPr>
          <w:p w14:paraId="4523D100" w14:textId="77777777" w:rsidR="003A4304" w:rsidRPr="003A4304" w:rsidRDefault="003A4304" w:rsidP="00615190">
            <w:pPr>
              <w:spacing w:line="240" w:lineRule="atLeast"/>
              <w:rPr>
                <w:rFonts w:ascii="Tahoma" w:hAnsi="Tahoma"/>
                <w:color w:val="000000" w:themeColor="text1"/>
                <w:sz w:val="16"/>
                <w:lang w:val="en-GB"/>
              </w:rPr>
            </w:pPr>
          </w:p>
        </w:tc>
        <w:tc>
          <w:tcPr>
            <w:tcW w:w="1134" w:type="dxa"/>
            <w:tcBorders>
              <w:bottom w:val="single" w:sz="12" w:space="0" w:color="auto"/>
            </w:tcBorders>
            <w:shd w:val="clear" w:color="auto" w:fill="auto"/>
            <w:tcMar>
              <w:top w:w="113" w:type="dxa"/>
              <w:left w:w="0" w:type="dxa"/>
              <w:bottom w:w="113" w:type="dxa"/>
              <w:right w:w="0" w:type="dxa"/>
            </w:tcMar>
            <w:vAlign w:val="bottom"/>
          </w:tcPr>
          <w:p w14:paraId="0A15C6B1" w14:textId="77777777" w:rsidR="003A4304" w:rsidRPr="002F078E" w:rsidRDefault="003A4304" w:rsidP="005A0B0F">
            <w:pPr>
              <w:spacing w:line="240" w:lineRule="atLeast"/>
              <w:jc w:val="right"/>
              <w:rPr>
                <w:rFonts w:ascii="Tahoma" w:hAnsi="Tahoma"/>
                <w:b/>
                <w:bCs/>
                <w:color w:val="000000" w:themeColor="text1"/>
                <w:sz w:val="16"/>
                <w:lang w:val="en-GB"/>
              </w:rPr>
            </w:pPr>
            <w:r w:rsidRPr="002F078E">
              <w:rPr>
                <w:rFonts w:ascii="Tahoma" w:hAnsi="Tahoma"/>
                <w:b/>
                <w:bCs/>
                <w:color w:val="000000" w:themeColor="text1"/>
                <w:sz w:val="16"/>
                <w:lang w:val="en-GB"/>
              </w:rPr>
              <w:t>2022</w:t>
            </w:r>
          </w:p>
          <w:p w14:paraId="0074380A" w14:textId="77777777" w:rsidR="003A4304" w:rsidRPr="002F078E" w:rsidRDefault="003A4304" w:rsidP="005A0B0F">
            <w:pPr>
              <w:spacing w:line="240" w:lineRule="atLeast"/>
              <w:jc w:val="right"/>
              <w:rPr>
                <w:rFonts w:ascii="Tahoma" w:hAnsi="Tahoma"/>
                <w:b/>
                <w:bCs/>
                <w:color w:val="000000" w:themeColor="text1"/>
                <w:sz w:val="16"/>
                <w:lang w:val="en-GB"/>
              </w:rPr>
            </w:pPr>
            <w:proofErr w:type="spellStart"/>
            <w:r w:rsidRPr="002F078E">
              <w:rPr>
                <w:rFonts w:ascii="Tahoma" w:hAnsi="Tahoma"/>
                <w:b/>
                <w:bCs/>
                <w:color w:val="000000" w:themeColor="text1"/>
                <w:sz w:val="16"/>
                <w:lang w:val="en-GB"/>
              </w:rPr>
              <w:t>US$’m</w:t>
            </w:r>
            <w:proofErr w:type="spellEnd"/>
          </w:p>
        </w:tc>
        <w:tc>
          <w:tcPr>
            <w:tcW w:w="1134" w:type="dxa"/>
            <w:tcBorders>
              <w:bottom w:val="single" w:sz="12" w:space="0" w:color="auto"/>
            </w:tcBorders>
            <w:shd w:val="clear" w:color="auto" w:fill="auto"/>
            <w:tcMar>
              <w:top w:w="113" w:type="dxa"/>
              <w:left w:w="0" w:type="dxa"/>
              <w:bottom w:w="113" w:type="dxa"/>
              <w:right w:w="0" w:type="dxa"/>
            </w:tcMar>
            <w:vAlign w:val="bottom"/>
          </w:tcPr>
          <w:p w14:paraId="059692E8" w14:textId="77777777" w:rsidR="003A4304" w:rsidRPr="003A4304" w:rsidRDefault="003A4304" w:rsidP="005A0B0F">
            <w:pPr>
              <w:spacing w:line="240" w:lineRule="atLeast"/>
              <w:jc w:val="right"/>
              <w:rPr>
                <w:rFonts w:ascii="Tahoma" w:hAnsi="Tahoma"/>
                <w:color w:val="000000" w:themeColor="text1"/>
                <w:sz w:val="16"/>
                <w:lang w:val="en-GB"/>
              </w:rPr>
            </w:pPr>
            <w:r w:rsidRPr="003A4304">
              <w:rPr>
                <w:rFonts w:ascii="Tahoma" w:hAnsi="Tahoma"/>
                <w:color w:val="000000" w:themeColor="text1"/>
                <w:sz w:val="16"/>
                <w:lang w:val="en-GB"/>
              </w:rPr>
              <w:t>2021</w:t>
            </w:r>
          </w:p>
          <w:p w14:paraId="7C8E7564" w14:textId="77777777" w:rsidR="003A4304" w:rsidRPr="003A4304" w:rsidRDefault="003A4304" w:rsidP="005A0B0F">
            <w:pPr>
              <w:spacing w:line="240" w:lineRule="atLeast"/>
              <w:jc w:val="right"/>
              <w:rPr>
                <w:rFonts w:ascii="Tahoma" w:hAnsi="Tahoma"/>
                <w:color w:val="000000" w:themeColor="text1"/>
                <w:sz w:val="16"/>
                <w:lang w:val="en-GB"/>
              </w:rPr>
            </w:pPr>
            <w:proofErr w:type="spellStart"/>
            <w:r w:rsidRPr="003A4304">
              <w:rPr>
                <w:rFonts w:ascii="Tahoma" w:hAnsi="Tahoma"/>
                <w:color w:val="000000" w:themeColor="text1"/>
                <w:sz w:val="16"/>
                <w:lang w:val="en-GB"/>
              </w:rPr>
              <w:t>US$’m</w:t>
            </w:r>
            <w:proofErr w:type="spellEnd"/>
          </w:p>
        </w:tc>
        <w:tc>
          <w:tcPr>
            <w:tcW w:w="1134" w:type="dxa"/>
            <w:tcBorders>
              <w:bottom w:val="single" w:sz="12" w:space="0" w:color="auto"/>
            </w:tcBorders>
            <w:shd w:val="clear" w:color="auto" w:fill="auto"/>
            <w:tcMar>
              <w:top w:w="113" w:type="dxa"/>
              <w:left w:w="0" w:type="dxa"/>
              <w:bottom w:w="113" w:type="dxa"/>
              <w:right w:w="0" w:type="dxa"/>
            </w:tcMar>
            <w:vAlign w:val="bottom"/>
          </w:tcPr>
          <w:p w14:paraId="003A81FD" w14:textId="77777777" w:rsidR="003A4304" w:rsidRPr="003A4304" w:rsidRDefault="003A4304" w:rsidP="005A0B0F">
            <w:pPr>
              <w:spacing w:line="240" w:lineRule="atLeast"/>
              <w:ind w:right="113"/>
              <w:jc w:val="right"/>
              <w:rPr>
                <w:rFonts w:ascii="Tahoma" w:hAnsi="Tahoma"/>
                <w:color w:val="000000" w:themeColor="text1"/>
                <w:sz w:val="16"/>
                <w:lang w:val="en-GB"/>
              </w:rPr>
            </w:pPr>
            <w:r w:rsidRPr="003A4304">
              <w:rPr>
                <w:rFonts w:ascii="Tahoma" w:hAnsi="Tahoma"/>
                <w:color w:val="000000" w:themeColor="text1"/>
                <w:sz w:val="16"/>
                <w:lang w:val="en-GB"/>
              </w:rPr>
              <w:t>2022</w:t>
            </w:r>
          </w:p>
          <w:p w14:paraId="5F99767D" w14:textId="77777777" w:rsidR="003A4304" w:rsidRPr="003A4304" w:rsidRDefault="003A4304" w:rsidP="005A0B0F">
            <w:pPr>
              <w:spacing w:line="240" w:lineRule="atLeast"/>
              <w:ind w:right="113"/>
              <w:jc w:val="right"/>
              <w:rPr>
                <w:rFonts w:ascii="Tahoma" w:hAnsi="Tahoma"/>
                <w:color w:val="000000" w:themeColor="text1"/>
                <w:sz w:val="16"/>
                <w:lang w:val="en-GB"/>
              </w:rPr>
            </w:pPr>
            <w:proofErr w:type="spellStart"/>
            <w:r w:rsidRPr="003A4304">
              <w:rPr>
                <w:rFonts w:ascii="Tahoma" w:hAnsi="Tahoma"/>
                <w:color w:val="000000" w:themeColor="text1"/>
                <w:sz w:val="16"/>
                <w:lang w:val="en-GB"/>
              </w:rPr>
              <w:t>US$’m</w:t>
            </w:r>
            <w:proofErr w:type="spellEnd"/>
          </w:p>
        </w:tc>
      </w:tr>
      <w:tr w:rsidR="00615190" w:rsidRPr="003A4304" w14:paraId="16953C75" w14:textId="77777777" w:rsidTr="00A759A2">
        <w:trPr>
          <w:trHeight w:val="60"/>
        </w:trPr>
        <w:tc>
          <w:tcPr>
            <w:tcW w:w="397" w:type="dxa"/>
            <w:shd w:val="clear" w:color="auto" w:fill="auto"/>
            <w:tcMar>
              <w:top w:w="142" w:type="dxa"/>
              <w:left w:w="0" w:type="dxa"/>
              <w:bottom w:w="57" w:type="dxa"/>
              <w:right w:w="0" w:type="dxa"/>
            </w:tcMar>
            <w:vAlign w:val="bottom"/>
          </w:tcPr>
          <w:p w14:paraId="0D4047AE" w14:textId="77777777" w:rsidR="003A4304" w:rsidRPr="003A4304" w:rsidRDefault="003A4304" w:rsidP="00615190">
            <w:pPr>
              <w:spacing w:line="240" w:lineRule="atLeast"/>
              <w:rPr>
                <w:rFonts w:ascii="Tahoma" w:hAnsi="Tahoma"/>
                <w:color w:val="000000" w:themeColor="text1"/>
                <w:sz w:val="16"/>
                <w:lang w:val="en-GB"/>
              </w:rPr>
            </w:pPr>
          </w:p>
        </w:tc>
        <w:tc>
          <w:tcPr>
            <w:tcW w:w="6407" w:type="dxa"/>
            <w:tcBorders>
              <w:top w:val="single" w:sz="12" w:space="0" w:color="auto"/>
            </w:tcBorders>
            <w:shd w:val="clear" w:color="auto" w:fill="auto"/>
            <w:tcMar>
              <w:top w:w="142" w:type="dxa"/>
              <w:left w:w="0" w:type="dxa"/>
              <w:bottom w:w="57" w:type="dxa"/>
              <w:right w:w="0" w:type="dxa"/>
            </w:tcMar>
            <w:vAlign w:val="bottom"/>
          </w:tcPr>
          <w:p w14:paraId="760A9428" w14:textId="77777777" w:rsidR="003A4304" w:rsidRPr="003A4304" w:rsidRDefault="003A4304" w:rsidP="00615190">
            <w:pPr>
              <w:spacing w:line="240" w:lineRule="atLeast"/>
              <w:rPr>
                <w:rFonts w:ascii="Tahoma" w:hAnsi="Tahoma"/>
                <w:b/>
                <w:bCs/>
                <w:color w:val="000000" w:themeColor="text1"/>
                <w:sz w:val="16"/>
                <w:lang w:val="en-GB"/>
              </w:rPr>
            </w:pPr>
            <w:r w:rsidRPr="003A4304">
              <w:rPr>
                <w:rFonts w:ascii="Tahoma" w:hAnsi="Tahoma"/>
                <w:b/>
                <w:bCs/>
                <w:color w:val="000000" w:themeColor="text1"/>
                <w:sz w:val="16"/>
                <w:lang w:val="en-GB"/>
              </w:rPr>
              <w:t>Earnings from discontinued operations</w:t>
            </w:r>
          </w:p>
        </w:tc>
        <w:tc>
          <w:tcPr>
            <w:tcW w:w="1134" w:type="dxa"/>
            <w:tcBorders>
              <w:top w:val="single" w:sz="12" w:space="0" w:color="auto"/>
            </w:tcBorders>
            <w:shd w:val="clear" w:color="auto" w:fill="auto"/>
            <w:tcMar>
              <w:top w:w="142" w:type="dxa"/>
              <w:left w:w="0" w:type="dxa"/>
              <w:bottom w:w="57" w:type="dxa"/>
              <w:right w:w="0" w:type="dxa"/>
            </w:tcMar>
            <w:vAlign w:val="bottom"/>
          </w:tcPr>
          <w:p w14:paraId="0EE2BA58" w14:textId="77777777" w:rsidR="003A4304" w:rsidRPr="002F078E" w:rsidRDefault="003A4304" w:rsidP="005A0B0F">
            <w:pPr>
              <w:spacing w:line="240" w:lineRule="atLeast"/>
              <w:jc w:val="right"/>
              <w:rPr>
                <w:rFonts w:ascii="Tahoma" w:hAnsi="Tahoma"/>
                <w:b/>
                <w:bCs/>
                <w:color w:val="000000" w:themeColor="text1"/>
                <w:sz w:val="16"/>
                <w:lang w:val="en-GB"/>
              </w:rPr>
            </w:pPr>
          </w:p>
        </w:tc>
        <w:tc>
          <w:tcPr>
            <w:tcW w:w="1134" w:type="dxa"/>
            <w:tcBorders>
              <w:top w:val="single" w:sz="12" w:space="0" w:color="auto"/>
            </w:tcBorders>
            <w:shd w:val="clear" w:color="auto" w:fill="auto"/>
            <w:tcMar>
              <w:top w:w="142" w:type="dxa"/>
              <w:left w:w="0" w:type="dxa"/>
              <w:bottom w:w="57" w:type="dxa"/>
              <w:right w:w="0" w:type="dxa"/>
            </w:tcMar>
            <w:vAlign w:val="bottom"/>
          </w:tcPr>
          <w:p w14:paraId="2B138688" w14:textId="77777777" w:rsidR="003A4304" w:rsidRPr="003A4304" w:rsidRDefault="003A4304" w:rsidP="005A0B0F">
            <w:pPr>
              <w:spacing w:line="240" w:lineRule="atLeast"/>
              <w:jc w:val="right"/>
              <w:rPr>
                <w:rFonts w:ascii="Tahoma" w:hAnsi="Tahoma"/>
                <w:color w:val="000000" w:themeColor="text1"/>
                <w:sz w:val="16"/>
                <w:lang w:val="en-GB"/>
              </w:rPr>
            </w:pPr>
          </w:p>
        </w:tc>
        <w:tc>
          <w:tcPr>
            <w:tcW w:w="1134" w:type="dxa"/>
            <w:tcBorders>
              <w:top w:val="single" w:sz="12" w:space="0" w:color="auto"/>
            </w:tcBorders>
            <w:shd w:val="clear" w:color="auto" w:fill="auto"/>
            <w:tcMar>
              <w:top w:w="142" w:type="dxa"/>
              <w:left w:w="0" w:type="dxa"/>
              <w:bottom w:w="57" w:type="dxa"/>
              <w:right w:w="0" w:type="dxa"/>
            </w:tcMar>
            <w:vAlign w:val="bottom"/>
          </w:tcPr>
          <w:p w14:paraId="271CCA9A" w14:textId="77777777" w:rsidR="003A4304" w:rsidRPr="003A4304" w:rsidRDefault="003A4304" w:rsidP="005A0B0F">
            <w:pPr>
              <w:spacing w:line="240" w:lineRule="atLeast"/>
              <w:ind w:right="113"/>
              <w:jc w:val="right"/>
              <w:rPr>
                <w:rFonts w:ascii="Tahoma" w:hAnsi="Tahoma"/>
                <w:color w:val="000000" w:themeColor="text1"/>
                <w:sz w:val="16"/>
                <w:lang w:val="en-GB"/>
              </w:rPr>
            </w:pPr>
          </w:p>
        </w:tc>
      </w:tr>
      <w:tr w:rsidR="00615190" w:rsidRPr="003A4304" w14:paraId="490ACB3A" w14:textId="77777777" w:rsidTr="00893BDD">
        <w:trPr>
          <w:trHeight w:val="60"/>
        </w:trPr>
        <w:tc>
          <w:tcPr>
            <w:tcW w:w="397" w:type="dxa"/>
            <w:shd w:val="clear" w:color="auto" w:fill="auto"/>
            <w:tcMar>
              <w:top w:w="57" w:type="dxa"/>
              <w:left w:w="0" w:type="dxa"/>
              <w:bottom w:w="57" w:type="dxa"/>
              <w:right w:w="0" w:type="dxa"/>
            </w:tcMar>
            <w:vAlign w:val="bottom"/>
          </w:tcPr>
          <w:p w14:paraId="763D050E" w14:textId="77777777" w:rsidR="003A4304" w:rsidRPr="003A4304" w:rsidRDefault="003A4304" w:rsidP="00615190">
            <w:pPr>
              <w:spacing w:line="240" w:lineRule="atLeast"/>
              <w:rPr>
                <w:rFonts w:ascii="Tahoma" w:hAnsi="Tahoma"/>
                <w:color w:val="000000" w:themeColor="text1"/>
                <w:sz w:val="16"/>
                <w:lang w:val="en-GB"/>
              </w:rPr>
            </w:pPr>
          </w:p>
        </w:tc>
        <w:tc>
          <w:tcPr>
            <w:tcW w:w="6407" w:type="dxa"/>
            <w:shd w:val="clear" w:color="auto" w:fill="auto"/>
            <w:tcMar>
              <w:top w:w="57" w:type="dxa"/>
              <w:left w:w="0" w:type="dxa"/>
              <w:bottom w:w="57" w:type="dxa"/>
              <w:right w:w="0" w:type="dxa"/>
            </w:tcMar>
            <w:vAlign w:val="bottom"/>
          </w:tcPr>
          <w:p w14:paraId="1DF7DEE7" w14:textId="77777777" w:rsidR="003A4304" w:rsidRPr="003A4304" w:rsidRDefault="003A4304" w:rsidP="00615190">
            <w:pPr>
              <w:spacing w:line="240" w:lineRule="atLeast"/>
              <w:rPr>
                <w:rFonts w:ascii="Tahoma" w:hAnsi="Tahoma"/>
                <w:color w:val="000000" w:themeColor="text1"/>
                <w:sz w:val="16"/>
                <w:lang w:val="en-GB"/>
              </w:rPr>
            </w:pPr>
            <w:r w:rsidRPr="003A4304">
              <w:rPr>
                <w:rFonts w:ascii="Tahoma" w:hAnsi="Tahoma"/>
                <w:color w:val="000000" w:themeColor="text1"/>
                <w:sz w:val="16"/>
                <w:lang w:val="en-GB"/>
              </w:rPr>
              <w:t>Basic earnings attributable to shareholders</w:t>
            </w:r>
          </w:p>
        </w:tc>
        <w:tc>
          <w:tcPr>
            <w:tcW w:w="1134" w:type="dxa"/>
            <w:shd w:val="clear" w:color="auto" w:fill="auto"/>
            <w:tcMar>
              <w:top w:w="57" w:type="dxa"/>
              <w:left w:w="0" w:type="dxa"/>
              <w:bottom w:w="57" w:type="dxa"/>
              <w:right w:w="0" w:type="dxa"/>
            </w:tcMar>
            <w:vAlign w:val="bottom"/>
          </w:tcPr>
          <w:p w14:paraId="492EFE49" w14:textId="77777777" w:rsidR="003A4304" w:rsidRPr="002F078E" w:rsidRDefault="003A4304" w:rsidP="005A0B0F">
            <w:pPr>
              <w:spacing w:line="240" w:lineRule="atLeast"/>
              <w:jc w:val="right"/>
              <w:rPr>
                <w:rFonts w:ascii="Tahoma" w:hAnsi="Tahoma"/>
                <w:b/>
                <w:bCs/>
                <w:color w:val="000000" w:themeColor="text1"/>
                <w:sz w:val="16"/>
                <w:lang w:val="en-GB"/>
              </w:rPr>
            </w:pPr>
            <w:r w:rsidRPr="002F078E">
              <w:rPr>
                <w:rFonts w:ascii="Tahoma" w:hAnsi="Tahoma"/>
                <w:b/>
                <w:bCs/>
                <w:color w:val="000000" w:themeColor="text1"/>
                <w:sz w:val="16"/>
                <w:lang w:val="en-GB"/>
              </w:rPr>
              <w:t>190</w:t>
            </w:r>
          </w:p>
        </w:tc>
        <w:tc>
          <w:tcPr>
            <w:tcW w:w="1134" w:type="dxa"/>
            <w:shd w:val="clear" w:color="auto" w:fill="auto"/>
            <w:tcMar>
              <w:top w:w="57" w:type="dxa"/>
              <w:left w:w="0" w:type="dxa"/>
              <w:bottom w:w="57" w:type="dxa"/>
              <w:right w:w="0" w:type="dxa"/>
            </w:tcMar>
            <w:vAlign w:val="bottom"/>
          </w:tcPr>
          <w:p w14:paraId="2ADE2378" w14:textId="77777777" w:rsidR="003A4304" w:rsidRPr="003A4304" w:rsidRDefault="003A4304" w:rsidP="005A0B0F">
            <w:pPr>
              <w:spacing w:line="240" w:lineRule="atLeast"/>
              <w:jc w:val="right"/>
              <w:rPr>
                <w:rFonts w:ascii="Tahoma" w:hAnsi="Tahoma"/>
                <w:color w:val="000000" w:themeColor="text1"/>
                <w:sz w:val="16"/>
                <w:lang w:val="en-GB"/>
              </w:rPr>
            </w:pPr>
            <w:r w:rsidRPr="003A4304">
              <w:rPr>
                <w:rFonts w:ascii="Tahoma" w:hAnsi="Tahoma"/>
                <w:color w:val="000000" w:themeColor="text1"/>
                <w:sz w:val="16"/>
                <w:lang w:val="en-GB"/>
              </w:rPr>
              <w:t>94</w:t>
            </w:r>
          </w:p>
        </w:tc>
        <w:tc>
          <w:tcPr>
            <w:tcW w:w="1134" w:type="dxa"/>
            <w:shd w:val="clear" w:color="auto" w:fill="auto"/>
            <w:tcMar>
              <w:top w:w="57" w:type="dxa"/>
              <w:left w:w="0" w:type="dxa"/>
              <w:bottom w:w="57" w:type="dxa"/>
              <w:right w:w="0" w:type="dxa"/>
            </w:tcMar>
            <w:vAlign w:val="bottom"/>
          </w:tcPr>
          <w:p w14:paraId="27036A1E" w14:textId="77777777" w:rsidR="003A4304" w:rsidRPr="003A4304" w:rsidRDefault="003A4304" w:rsidP="005A0B0F">
            <w:pPr>
              <w:spacing w:line="240" w:lineRule="atLeast"/>
              <w:ind w:right="113"/>
              <w:jc w:val="right"/>
              <w:rPr>
                <w:rFonts w:ascii="Tahoma" w:hAnsi="Tahoma"/>
                <w:color w:val="000000" w:themeColor="text1"/>
                <w:sz w:val="16"/>
                <w:lang w:val="en-GB"/>
              </w:rPr>
            </w:pPr>
            <w:r w:rsidRPr="003A4304">
              <w:rPr>
                <w:rFonts w:ascii="Tahoma" w:hAnsi="Tahoma"/>
                <w:color w:val="000000" w:themeColor="text1"/>
                <w:sz w:val="16"/>
                <w:lang w:val="en-GB"/>
              </w:rPr>
              <w:t>155</w:t>
            </w:r>
          </w:p>
        </w:tc>
      </w:tr>
      <w:tr w:rsidR="00615190" w:rsidRPr="003A4304" w14:paraId="484BFE9F" w14:textId="77777777" w:rsidTr="00893BDD">
        <w:trPr>
          <w:trHeight w:val="60"/>
        </w:trPr>
        <w:tc>
          <w:tcPr>
            <w:tcW w:w="397" w:type="dxa"/>
            <w:shd w:val="clear" w:color="auto" w:fill="auto"/>
            <w:tcMar>
              <w:top w:w="57" w:type="dxa"/>
              <w:left w:w="0" w:type="dxa"/>
              <w:bottom w:w="57" w:type="dxa"/>
              <w:right w:w="0" w:type="dxa"/>
            </w:tcMar>
            <w:vAlign w:val="bottom"/>
          </w:tcPr>
          <w:p w14:paraId="3E23511A" w14:textId="77777777" w:rsidR="003A4304" w:rsidRPr="003A4304" w:rsidRDefault="003A4304" w:rsidP="00615190">
            <w:pPr>
              <w:spacing w:line="240" w:lineRule="atLeast"/>
              <w:rPr>
                <w:rFonts w:ascii="Tahoma" w:hAnsi="Tahoma"/>
                <w:color w:val="000000" w:themeColor="text1"/>
                <w:sz w:val="16"/>
                <w:lang w:val="en-GB"/>
              </w:rPr>
            </w:pPr>
          </w:p>
        </w:tc>
        <w:tc>
          <w:tcPr>
            <w:tcW w:w="6407" w:type="dxa"/>
            <w:shd w:val="clear" w:color="auto" w:fill="auto"/>
            <w:tcMar>
              <w:top w:w="57" w:type="dxa"/>
              <w:left w:w="0" w:type="dxa"/>
              <w:bottom w:w="57" w:type="dxa"/>
              <w:right w:w="0" w:type="dxa"/>
            </w:tcMar>
            <w:vAlign w:val="bottom"/>
          </w:tcPr>
          <w:p w14:paraId="6BEB34E6" w14:textId="77777777" w:rsidR="003A4304" w:rsidRPr="003A4304" w:rsidRDefault="003A4304" w:rsidP="00615190">
            <w:pPr>
              <w:spacing w:line="240" w:lineRule="atLeast"/>
              <w:rPr>
                <w:rFonts w:ascii="Tahoma" w:hAnsi="Tahoma"/>
                <w:color w:val="000000" w:themeColor="text1"/>
                <w:sz w:val="16"/>
                <w:lang w:val="en-GB"/>
              </w:rPr>
            </w:pPr>
            <w:r w:rsidRPr="003A4304">
              <w:rPr>
                <w:rFonts w:ascii="Tahoma" w:hAnsi="Tahoma"/>
                <w:color w:val="000000" w:themeColor="text1"/>
                <w:sz w:val="16"/>
                <w:lang w:val="en-GB"/>
              </w:rPr>
              <w:t>Diluted earnings attributable to shareholders</w:t>
            </w:r>
          </w:p>
        </w:tc>
        <w:tc>
          <w:tcPr>
            <w:tcW w:w="1134" w:type="dxa"/>
            <w:shd w:val="clear" w:color="auto" w:fill="auto"/>
            <w:tcMar>
              <w:top w:w="57" w:type="dxa"/>
              <w:left w:w="0" w:type="dxa"/>
              <w:bottom w:w="57" w:type="dxa"/>
              <w:right w:w="0" w:type="dxa"/>
            </w:tcMar>
            <w:vAlign w:val="bottom"/>
          </w:tcPr>
          <w:p w14:paraId="39594F52" w14:textId="77777777" w:rsidR="003A4304" w:rsidRPr="002F078E" w:rsidRDefault="003A4304" w:rsidP="005A0B0F">
            <w:pPr>
              <w:spacing w:line="240" w:lineRule="atLeast"/>
              <w:jc w:val="right"/>
              <w:rPr>
                <w:rFonts w:ascii="Tahoma" w:hAnsi="Tahoma"/>
                <w:b/>
                <w:bCs/>
                <w:color w:val="000000" w:themeColor="text1"/>
                <w:sz w:val="16"/>
                <w:lang w:val="en-GB"/>
              </w:rPr>
            </w:pPr>
            <w:r w:rsidRPr="002F078E">
              <w:rPr>
                <w:rFonts w:ascii="Tahoma" w:hAnsi="Tahoma"/>
                <w:b/>
                <w:bCs/>
                <w:color w:val="000000" w:themeColor="text1"/>
                <w:sz w:val="16"/>
                <w:lang w:val="en-GB"/>
              </w:rPr>
              <w:t>190</w:t>
            </w:r>
          </w:p>
        </w:tc>
        <w:tc>
          <w:tcPr>
            <w:tcW w:w="1134" w:type="dxa"/>
            <w:shd w:val="clear" w:color="auto" w:fill="auto"/>
            <w:tcMar>
              <w:top w:w="57" w:type="dxa"/>
              <w:left w:w="0" w:type="dxa"/>
              <w:bottom w:w="57" w:type="dxa"/>
              <w:right w:w="0" w:type="dxa"/>
            </w:tcMar>
            <w:vAlign w:val="bottom"/>
          </w:tcPr>
          <w:p w14:paraId="3244C8B1" w14:textId="77777777" w:rsidR="003A4304" w:rsidRPr="003A4304" w:rsidRDefault="003A4304" w:rsidP="005A0B0F">
            <w:pPr>
              <w:spacing w:line="240" w:lineRule="atLeast"/>
              <w:jc w:val="right"/>
              <w:rPr>
                <w:rFonts w:ascii="Tahoma" w:hAnsi="Tahoma"/>
                <w:color w:val="000000" w:themeColor="text1"/>
                <w:sz w:val="16"/>
                <w:lang w:val="en-GB"/>
              </w:rPr>
            </w:pPr>
            <w:r w:rsidRPr="003A4304">
              <w:rPr>
                <w:rFonts w:ascii="Tahoma" w:hAnsi="Tahoma"/>
                <w:color w:val="000000" w:themeColor="text1"/>
                <w:sz w:val="16"/>
                <w:lang w:val="en-GB"/>
              </w:rPr>
              <w:t>94</w:t>
            </w:r>
          </w:p>
        </w:tc>
        <w:tc>
          <w:tcPr>
            <w:tcW w:w="1134" w:type="dxa"/>
            <w:shd w:val="clear" w:color="auto" w:fill="auto"/>
            <w:tcMar>
              <w:top w:w="57" w:type="dxa"/>
              <w:left w:w="0" w:type="dxa"/>
              <w:bottom w:w="57" w:type="dxa"/>
              <w:right w:w="0" w:type="dxa"/>
            </w:tcMar>
            <w:vAlign w:val="bottom"/>
          </w:tcPr>
          <w:p w14:paraId="13D40838" w14:textId="77777777" w:rsidR="003A4304" w:rsidRPr="003A4304" w:rsidRDefault="003A4304" w:rsidP="005A0B0F">
            <w:pPr>
              <w:spacing w:line="240" w:lineRule="atLeast"/>
              <w:ind w:right="113"/>
              <w:jc w:val="right"/>
              <w:rPr>
                <w:rFonts w:ascii="Tahoma" w:hAnsi="Tahoma"/>
                <w:color w:val="000000" w:themeColor="text1"/>
                <w:sz w:val="16"/>
                <w:lang w:val="en-GB"/>
              </w:rPr>
            </w:pPr>
            <w:r w:rsidRPr="003A4304">
              <w:rPr>
                <w:rFonts w:ascii="Tahoma" w:hAnsi="Tahoma"/>
                <w:color w:val="000000" w:themeColor="text1"/>
                <w:sz w:val="16"/>
                <w:lang w:val="en-GB"/>
              </w:rPr>
              <w:t>155</w:t>
            </w:r>
          </w:p>
        </w:tc>
      </w:tr>
      <w:tr w:rsidR="00615190" w:rsidRPr="003A4304" w14:paraId="09E7A149" w14:textId="77777777" w:rsidTr="00893BDD">
        <w:trPr>
          <w:trHeight w:val="60"/>
        </w:trPr>
        <w:tc>
          <w:tcPr>
            <w:tcW w:w="397" w:type="dxa"/>
            <w:shd w:val="clear" w:color="auto" w:fill="auto"/>
            <w:tcMar>
              <w:top w:w="57" w:type="dxa"/>
              <w:left w:w="0" w:type="dxa"/>
              <w:bottom w:w="57" w:type="dxa"/>
              <w:right w:w="0" w:type="dxa"/>
            </w:tcMar>
            <w:vAlign w:val="bottom"/>
          </w:tcPr>
          <w:p w14:paraId="2673EF08" w14:textId="77777777" w:rsidR="003A4304" w:rsidRPr="003A4304" w:rsidRDefault="003A4304" w:rsidP="00615190">
            <w:pPr>
              <w:spacing w:line="240" w:lineRule="atLeast"/>
              <w:rPr>
                <w:rFonts w:ascii="Tahoma" w:hAnsi="Tahoma"/>
                <w:color w:val="000000" w:themeColor="text1"/>
                <w:sz w:val="16"/>
                <w:lang w:val="en-GB"/>
              </w:rPr>
            </w:pPr>
          </w:p>
        </w:tc>
        <w:tc>
          <w:tcPr>
            <w:tcW w:w="6407" w:type="dxa"/>
            <w:shd w:val="clear" w:color="auto" w:fill="auto"/>
            <w:tcMar>
              <w:top w:w="57" w:type="dxa"/>
              <w:left w:w="0" w:type="dxa"/>
              <w:bottom w:w="57" w:type="dxa"/>
              <w:right w:w="0" w:type="dxa"/>
            </w:tcMar>
            <w:vAlign w:val="bottom"/>
          </w:tcPr>
          <w:p w14:paraId="48A5D481" w14:textId="77777777" w:rsidR="003A4304" w:rsidRPr="002F078E" w:rsidRDefault="003A4304" w:rsidP="00615190">
            <w:pPr>
              <w:spacing w:line="240" w:lineRule="atLeast"/>
              <w:rPr>
                <w:rFonts w:ascii="Tahoma" w:hAnsi="Tahoma"/>
                <w:b/>
                <w:bCs/>
                <w:color w:val="000000" w:themeColor="text1"/>
                <w:sz w:val="16"/>
                <w:lang w:val="en-GB"/>
              </w:rPr>
            </w:pPr>
            <w:r w:rsidRPr="002F078E">
              <w:rPr>
                <w:rFonts w:ascii="Tahoma" w:hAnsi="Tahoma"/>
                <w:b/>
                <w:bCs/>
                <w:color w:val="000000" w:themeColor="text1"/>
                <w:sz w:val="16"/>
                <w:lang w:val="en-GB"/>
              </w:rPr>
              <w:t>Headline adjustments for discontinued operations</w:t>
            </w:r>
            <w:r w:rsidRPr="002F078E">
              <w:rPr>
                <w:rFonts w:ascii="Tahoma" w:hAnsi="Tahoma"/>
                <w:b/>
                <w:bCs/>
                <w:color w:val="000000" w:themeColor="text1"/>
                <w:sz w:val="16"/>
                <w:vertAlign w:val="superscript"/>
                <w:lang w:val="en-GB"/>
              </w:rPr>
              <w:t>1</w:t>
            </w:r>
          </w:p>
        </w:tc>
        <w:tc>
          <w:tcPr>
            <w:tcW w:w="1134" w:type="dxa"/>
            <w:shd w:val="clear" w:color="auto" w:fill="auto"/>
            <w:tcMar>
              <w:top w:w="57" w:type="dxa"/>
              <w:left w:w="0" w:type="dxa"/>
              <w:bottom w:w="57" w:type="dxa"/>
              <w:right w:w="0" w:type="dxa"/>
            </w:tcMar>
            <w:vAlign w:val="bottom"/>
          </w:tcPr>
          <w:p w14:paraId="1CD64776" w14:textId="77777777" w:rsidR="003A4304" w:rsidRPr="002F078E" w:rsidRDefault="003A4304" w:rsidP="005A0B0F">
            <w:pPr>
              <w:spacing w:line="240" w:lineRule="atLeast"/>
              <w:jc w:val="right"/>
              <w:rPr>
                <w:rFonts w:ascii="Tahoma" w:hAnsi="Tahoma"/>
                <w:b/>
                <w:bCs/>
                <w:color w:val="000000" w:themeColor="text1"/>
                <w:sz w:val="16"/>
                <w:lang w:val="en-GB"/>
              </w:rPr>
            </w:pPr>
          </w:p>
        </w:tc>
        <w:tc>
          <w:tcPr>
            <w:tcW w:w="1134" w:type="dxa"/>
            <w:shd w:val="clear" w:color="auto" w:fill="auto"/>
            <w:tcMar>
              <w:top w:w="57" w:type="dxa"/>
              <w:left w:w="0" w:type="dxa"/>
              <w:bottom w:w="57" w:type="dxa"/>
              <w:right w:w="0" w:type="dxa"/>
            </w:tcMar>
            <w:vAlign w:val="bottom"/>
          </w:tcPr>
          <w:p w14:paraId="6380313D" w14:textId="77777777" w:rsidR="003A4304" w:rsidRPr="003A4304" w:rsidRDefault="003A4304" w:rsidP="005A0B0F">
            <w:pPr>
              <w:spacing w:line="240" w:lineRule="atLeast"/>
              <w:jc w:val="right"/>
              <w:rPr>
                <w:rFonts w:ascii="Tahoma" w:hAnsi="Tahoma"/>
                <w:color w:val="000000" w:themeColor="text1"/>
                <w:sz w:val="16"/>
                <w:lang w:val="en-GB"/>
              </w:rPr>
            </w:pPr>
          </w:p>
        </w:tc>
        <w:tc>
          <w:tcPr>
            <w:tcW w:w="1134" w:type="dxa"/>
            <w:shd w:val="clear" w:color="auto" w:fill="auto"/>
            <w:tcMar>
              <w:top w:w="57" w:type="dxa"/>
              <w:left w:w="0" w:type="dxa"/>
              <w:bottom w:w="57" w:type="dxa"/>
              <w:right w:w="0" w:type="dxa"/>
            </w:tcMar>
            <w:vAlign w:val="bottom"/>
          </w:tcPr>
          <w:p w14:paraId="47EDD3EA" w14:textId="77777777" w:rsidR="003A4304" w:rsidRPr="003A4304" w:rsidRDefault="003A4304" w:rsidP="005A0B0F">
            <w:pPr>
              <w:spacing w:line="240" w:lineRule="atLeast"/>
              <w:ind w:right="113"/>
              <w:jc w:val="right"/>
              <w:rPr>
                <w:rFonts w:ascii="Tahoma" w:hAnsi="Tahoma"/>
                <w:color w:val="000000" w:themeColor="text1"/>
                <w:sz w:val="16"/>
                <w:lang w:val="en-GB"/>
              </w:rPr>
            </w:pPr>
          </w:p>
        </w:tc>
      </w:tr>
      <w:tr w:rsidR="00615190" w:rsidRPr="003A4304" w14:paraId="06631621" w14:textId="77777777" w:rsidTr="005A0B0F">
        <w:trPr>
          <w:trHeight w:val="60"/>
        </w:trPr>
        <w:tc>
          <w:tcPr>
            <w:tcW w:w="397" w:type="dxa"/>
            <w:shd w:val="clear" w:color="auto" w:fill="auto"/>
            <w:tcMar>
              <w:top w:w="57" w:type="dxa"/>
              <w:left w:w="0" w:type="dxa"/>
              <w:bottom w:w="57" w:type="dxa"/>
              <w:right w:w="0" w:type="dxa"/>
            </w:tcMar>
            <w:vAlign w:val="bottom"/>
          </w:tcPr>
          <w:p w14:paraId="162328DE" w14:textId="77777777" w:rsidR="003A4304" w:rsidRPr="003A4304" w:rsidRDefault="003A4304" w:rsidP="00615190">
            <w:pPr>
              <w:spacing w:line="240" w:lineRule="atLeast"/>
              <w:rPr>
                <w:rFonts w:ascii="Tahoma" w:hAnsi="Tahoma"/>
                <w:color w:val="000000" w:themeColor="text1"/>
                <w:sz w:val="16"/>
                <w:lang w:val="en-GB"/>
              </w:rPr>
            </w:pPr>
          </w:p>
        </w:tc>
        <w:tc>
          <w:tcPr>
            <w:tcW w:w="6407" w:type="dxa"/>
            <w:shd w:val="clear" w:color="auto" w:fill="auto"/>
            <w:tcMar>
              <w:top w:w="57" w:type="dxa"/>
              <w:left w:w="0" w:type="dxa"/>
              <w:bottom w:w="57" w:type="dxa"/>
              <w:right w:w="0" w:type="dxa"/>
            </w:tcMar>
            <w:vAlign w:val="bottom"/>
          </w:tcPr>
          <w:p w14:paraId="5DE37ABA" w14:textId="77777777" w:rsidR="003A4304" w:rsidRPr="003A4304" w:rsidRDefault="003A4304" w:rsidP="00615190">
            <w:pPr>
              <w:spacing w:line="240" w:lineRule="atLeast"/>
              <w:rPr>
                <w:rFonts w:ascii="Tahoma" w:hAnsi="Tahoma"/>
                <w:i/>
                <w:iCs/>
                <w:color w:val="000000" w:themeColor="text1"/>
                <w:sz w:val="16"/>
                <w:lang w:val="en-GB"/>
              </w:rPr>
            </w:pPr>
            <w:r w:rsidRPr="003A4304">
              <w:rPr>
                <w:rFonts w:ascii="Tahoma" w:hAnsi="Tahoma"/>
                <w:i/>
                <w:iCs/>
                <w:color w:val="000000" w:themeColor="text1"/>
                <w:sz w:val="16"/>
                <w:lang w:val="en-GB"/>
              </w:rPr>
              <w:t>Adjustments for:</w:t>
            </w:r>
          </w:p>
        </w:tc>
        <w:tc>
          <w:tcPr>
            <w:tcW w:w="1134" w:type="dxa"/>
            <w:tcBorders>
              <w:bottom w:val="single" w:sz="4" w:space="0" w:color="auto"/>
            </w:tcBorders>
            <w:shd w:val="clear" w:color="auto" w:fill="auto"/>
            <w:tcMar>
              <w:top w:w="57" w:type="dxa"/>
              <w:left w:w="0" w:type="dxa"/>
              <w:bottom w:w="57" w:type="dxa"/>
              <w:right w:w="0" w:type="dxa"/>
            </w:tcMar>
            <w:vAlign w:val="bottom"/>
          </w:tcPr>
          <w:p w14:paraId="7AE8269B" w14:textId="77777777" w:rsidR="003A4304" w:rsidRPr="002F078E" w:rsidRDefault="003A4304" w:rsidP="005A0B0F">
            <w:pPr>
              <w:spacing w:line="240" w:lineRule="atLeast"/>
              <w:jc w:val="right"/>
              <w:rPr>
                <w:rFonts w:ascii="Tahoma" w:hAnsi="Tahoma"/>
                <w:b/>
                <w:bCs/>
                <w:color w:val="000000" w:themeColor="text1"/>
                <w:sz w:val="16"/>
                <w:lang w:val="en-GB"/>
              </w:rPr>
            </w:pPr>
            <w:r w:rsidRPr="002F078E">
              <w:rPr>
                <w:rFonts w:ascii="Tahoma" w:hAnsi="Tahoma"/>
                <w:b/>
                <w:bCs/>
                <w:color w:val="000000" w:themeColor="text1"/>
                <w:sz w:val="16"/>
                <w:lang w:val="en-GB"/>
              </w:rPr>
              <w:t>3</w:t>
            </w:r>
          </w:p>
        </w:tc>
        <w:tc>
          <w:tcPr>
            <w:tcW w:w="1134" w:type="dxa"/>
            <w:tcBorders>
              <w:bottom w:val="single" w:sz="4" w:space="0" w:color="auto"/>
            </w:tcBorders>
            <w:shd w:val="clear" w:color="auto" w:fill="auto"/>
            <w:tcMar>
              <w:top w:w="57" w:type="dxa"/>
              <w:left w:w="0" w:type="dxa"/>
              <w:bottom w:w="57" w:type="dxa"/>
              <w:right w:w="0" w:type="dxa"/>
            </w:tcMar>
            <w:vAlign w:val="bottom"/>
          </w:tcPr>
          <w:p w14:paraId="371DFDDF" w14:textId="77777777" w:rsidR="003A4304" w:rsidRPr="003A4304" w:rsidRDefault="003A4304" w:rsidP="005A0B0F">
            <w:pPr>
              <w:spacing w:line="240" w:lineRule="atLeast"/>
              <w:jc w:val="right"/>
              <w:rPr>
                <w:rFonts w:ascii="Tahoma" w:hAnsi="Tahoma"/>
                <w:color w:val="000000" w:themeColor="text1"/>
                <w:sz w:val="16"/>
                <w:lang w:val="en-GB"/>
              </w:rPr>
            </w:pPr>
            <w:r w:rsidRPr="003A4304">
              <w:rPr>
                <w:rFonts w:ascii="Tahoma" w:hAnsi="Tahoma"/>
                <w:color w:val="000000" w:themeColor="text1"/>
                <w:sz w:val="16"/>
                <w:lang w:val="en-GB"/>
              </w:rPr>
              <w:t>—</w:t>
            </w:r>
          </w:p>
        </w:tc>
        <w:tc>
          <w:tcPr>
            <w:tcW w:w="1134" w:type="dxa"/>
            <w:tcBorders>
              <w:bottom w:val="single" w:sz="4" w:space="0" w:color="auto"/>
            </w:tcBorders>
            <w:shd w:val="clear" w:color="auto" w:fill="auto"/>
            <w:tcMar>
              <w:top w:w="57" w:type="dxa"/>
              <w:left w:w="0" w:type="dxa"/>
              <w:bottom w:w="57" w:type="dxa"/>
              <w:right w:w="0" w:type="dxa"/>
            </w:tcMar>
            <w:vAlign w:val="bottom"/>
          </w:tcPr>
          <w:p w14:paraId="14A12DB4" w14:textId="77777777" w:rsidR="003A4304" w:rsidRPr="003A4304" w:rsidRDefault="003A4304" w:rsidP="005A0B0F">
            <w:pPr>
              <w:spacing w:line="240" w:lineRule="atLeast"/>
              <w:ind w:right="113"/>
              <w:jc w:val="right"/>
              <w:rPr>
                <w:rFonts w:ascii="Tahoma" w:hAnsi="Tahoma"/>
                <w:color w:val="000000" w:themeColor="text1"/>
                <w:sz w:val="16"/>
                <w:lang w:val="en-GB"/>
              </w:rPr>
            </w:pPr>
            <w:r w:rsidRPr="003A4304">
              <w:rPr>
                <w:rFonts w:ascii="Tahoma" w:hAnsi="Tahoma"/>
                <w:color w:val="000000" w:themeColor="text1"/>
                <w:sz w:val="16"/>
                <w:lang w:val="en-GB"/>
              </w:rPr>
              <w:t>—</w:t>
            </w:r>
          </w:p>
        </w:tc>
      </w:tr>
      <w:tr w:rsidR="00615190" w:rsidRPr="003A4304" w14:paraId="092FDC72" w14:textId="77777777" w:rsidTr="005A0B0F">
        <w:trPr>
          <w:trHeight w:val="60"/>
        </w:trPr>
        <w:tc>
          <w:tcPr>
            <w:tcW w:w="397" w:type="dxa"/>
            <w:shd w:val="clear" w:color="auto" w:fill="auto"/>
            <w:tcMar>
              <w:top w:w="57" w:type="dxa"/>
              <w:left w:w="0" w:type="dxa"/>
              <w:bottom w:w="57" w:type="dxa"/>
              <w:right w:w="0" w:type="dxa"/>
            </w:tcMar>
            <w:vAlign w:val="bottom"/>
          </w:tcPr>
          <w:p w14:paraId="2254AB42" w14:textId="77777777" w:rsidR="003A4304" w:rsidRPr="003A4304" w:rsidRDefault="003A4304" w:rsidP="00615190">
            <w:pPr>
              <w:spacing w:line="240" w:lineRule="atLeast"/>
              <w:rPr>
                <w:rFonts w:ascii="Tahoma" w:hAnsi="Tahoma"/>
                <w:color w:val="000000" w:themeColor="text1"/>
                <w:sz w:val="16"/>
                <w:lang w:val="en-GB"/>
              </w:rPr>
            </w:pPr>
          </w:p>
        </w:tc>
        <w:tc>
          <w:tcPr>
            <w:tcW w:w="6407" w:type="dxa"/>
            <w:tcBorders>
              <w:right w:val="single" w:sz="4" w:space="0" w:color="auto"/>
            </w:tcBorders>
            <w:shd w:val="clear" w:color="auto" w:fill="auto"/>
            <w:tcMar>
              <w:top w:w="57" w:type="dxa"/>
              <w:left w:w="113" w:type="dxa"/>
              <w:bottom w:w="57" w:type="dxa"/>
              <w:right w:w="0" w:type="dxa"/>
            </w:tcMar>
            <w:vAlign w:val="bottom"/>
          </w:tcPr>
          <w:p w14:paraId="253AD074" w14:textId="77777777" w:rsidR="003A4304" w:rsidRPr="003A4304" w:rsidRDefault="003A4304" w:rsidP="00615190">
            <w:pPr>
              <w:spacing w:line="240" w:lineRule="atLeast"/>
              <w:rPr>
                <w:rFonts w:ascii="Tahoma" w:hAnsi="Tahoma"/>
                <w:color w:val="000000" w:themeColor="text1"/>
                <w:sz w:val="16"/>
                <w:lang w:val="en-GB"/>
              </w:rPr>
            </w:pPr>
            <w:r w:rsidRPr="003A4304">
              <w:rPr>
                <w:rFonts w:ascii="Tahoma" w:hAnsi="Tahoma"/>
                <w:color w:val="000000" w:themeColor="text1"/>
                <w:sz w:val="16"/>
                <w:lang w:val="en-GB"/>
              </w:rPr>
              <w:t>Loss on sale of property, plant and equipment and other intangible assets</w:t>
            </w:r>
          </w:p>
        </w:tc>
        <w:tc>
          <w:tcPr>
            <w:tcW w:w="1134" w:type="dxa"/>
            <w:tcBorders>
              <w:top w:val="single" w:sz="4" w:space="0" w:color="auto"/>
              <w:left w:val="single" w:sz="4" w:space="0" w:color="auto"/>
              <w:bottom w:val="single" w:sz="4" w:space="0" w:color="auto"/>
            </w:tcBorders>
            <w:shd w:val="clear" w:color="auto" w:fill="auto"/>
            <w:tcMar>
              <w:top w:w="57" w:type="dxa"/>
              <w:left w:w="0" w:type="dxa"/>
              <w:bottom w:w="57" w:type="dxa"/>
              <w:right w:w="0" w:type="dxa"/>
            </w:tcMar>
            <w:vAlign w:val="bottom"/>
          </w:tcPr>
          <w:p w14:paraId="5C5BC4EF" w14:textId="77777777" w:rsidR="003A4304" w:rsidRPr="002F078E" w:rsidRDefault="003A4304" w:rsidP="005A0B0F">
            <w:pPr>
              <w:spacing w:line="240" w:lineRule="atLeast"/>
              <w:jc w:val="right"/>
              <w:rPr>
                <w:rFonts w:ascii="Tahoma" w:hAnsi="Tahoma"/>
                <w:b/>
                <w:bCs/>
                <w:color w:val="000000" w:themeColor="text1"/>
                <w:sz w:val="16"/>
                <w:lang w:val="en-GB"/>
              </w:rPr>
            </w:pPr>
            <w:r w:rsidRPr="002F078E">
              <w:rPr>
                <w:rFonts w:ascii="Tahoma" w:hAnsi="Tahoma"/>
                <w:b/>
                <w:bCs/>
                <w:color w:val="000000" w:themeColor="text1"/>
                <w:sz w:val="16"/>
                <w:lang w:val="en-GB"/>
              </w:rPr>
              <w:t>3</w:t>
            </w:r>
          </w:p>
        </w:tc>
        <w:tc>
          <w:tcPr>
            <w:tcW w:w="1134" w:type="dxa"/>
            <w:tcBorders>
              <w:top w:val="single" w:sz="4" w:space="0" w:color="auto"/>
              <w:bottom w:val="single" w:sz="4" w:space="0" w:color="auto"/>
            </w:tcBorders>
            <w:shd w:val="clear" w:color="auto" w:fill="auto"/>
            <w:tcMar>
              <w:top w:w="57" w:type="dxa"/>
              <w:left w:w="0" w:type="dxa"/>
              <w:bottom w:w="57" w:type="dxa"/>
              <w:right w:w="0" w:type="dxa"/>
            </w:tcMar>
            <w:vAlign w:val="bottom"/>
          </w:tcPr>
          <w:p w14:paraId="479EFA03" w14:textId="77777777" w:rsidR="003A4304" w:rsidRPr="003A4304" w:rsidRDefault="003A4304" w:rsidP="005A0B0F">
            <w:pPr>
              <w:spacing w:line="240" w:lineRule="atLeast"/>
              <w:jc w:val="right"/>
              <w:rPr>
                <w:rFonts w:ascii="Tahoma" w:hAnsi="Tahoma"/>
                <w:color w:val="000000" w:themeColor="text1"/>
                <w:sz w:val="16"/>
                <w:lang w:val="en-GB"/>
              </w:rPr>
            </w:pPr>
            <w:r w:rsidRPr="003A4304">
              <w:rPr>
                <w:rFonts w:ascii="Tahoma" w:hAnsi="Tahoma"/>
                <w:color w:val="000000" w:themeColor="text1"/>
                <w:sz w:val="16"/>
                <w:lang w:val="en-GB"/>
              </w:rPr>
              <w:t>—</w:t>
            </w:r>
          </w:p>
        </w:tc>
        <w:tc>
          <w:tcPr>
            <w:tcW w:w="1134" w:type="dxa"/>
            <w:tcBorders>
              <w:top w:val="single" w:sz="4" w:space="0" w:color="auto"/>
              <w:bottom w:val="single" w:sz="4" w:space="0" w:color="auto"/>
              <w:right w:val="single" w:sz="4" w:space="0" w:color="auto"/>
            </w:tcBorders>
            <w:shd w:val="clear" w:color="auto" w:fill="auto"/>
            <w:tcMar>
              <w:top w:w="57" w:type="dxa"/>
              <w:left w:w="0" w:type="dxa"/>
              <w:bottom w:w="57" w:type="dxa"/>
              <w:right w:w="0" w:type="dxa"/>
            </w:tcMar>
            <w:vAlign w:val="bottom"/>
          </w:tcPr>
          <w:p w14:paraId="38EA223A" w14:textId="77777777" w:rsidR="003A4304" w:rsidRPr="003A4304" w:rsidRDefault="003A4304" w:rsidP="005A0B0F">
            <w:pPr>
              <w:spacing w:line="240" w:lineRule="atLeast"/>
              <w:ind w:right="113"/>
              <w:jc w:val="right"/>
              <w:rPr>
                <w:rFonts w:ascii="Tahoma" w:hAnsi="Tahoma"/>
                <w:color w:val="000000" w:themeColor="text1"/>
                <w:sz w:val="16"/>
                <w:lang w:val="en-GB"/>
              </w:rPr>
            </w:pPr>
            <w:r w:rsidRPr="003A4304">
              <w:rPr>
                <w:rFonts w:ascii="Tahoma" w:hAnsi="Tahoma"/>
                <w:color w:val="000000" w:themeColor="text1"/>
                <w:sz w:val="16"/>
                <w:lang w:val="en-GB"/>
              </w:rPr>
              <w:t>—</w:t>
            </w:r>
          </w:p>
        </w:tc>
      </w:tr>
      <w:tr w:rsidR="00615190" w:rsidRPr="003A4304" w14:paraId="4061E18C" w14:textId="77777777" w:rsidTr="00C85FF0">
        <w:trPr>
          <w:trHeight w:hRule="exact" w:val="85"/>
        </w:trPr>
        <w:tc>
          <w:tcPr>
            <w:tcW w:w="397" w:type="dxa"/>
            <w:shd w:val="clear" w:color="auto" w:fill="auto"/>
            <w:tcMar>
              <w:top w:w="57" w:type="dxa"/>
              <w:left w:w="0" w:type="dxa"/>
              <w:bottom w:w="85" w:type="dxa"/>
              <w:right w:w="0" w:type="dxa"/>
            </w:tcMar>
            <w:vAlign w:val="bottom"/>
          </w:tcPr>
          <w:p w14:paraId="0C28BEEF" w14:textId="77777777" w:rsidR="003A4304" w:rsidRPr="003A4304" w:rsidRDefault="003A4304" w:rsidP="00615190">
            <w:pPr>
              <w:spacing w:line="240" w:lineRule="atLeast"/>
              <w:rPr>
                <w:rFonts w:ascii="Tahoma" w:hAnsi="Tahoma"/>
                <w:color w:val="000000" w:themeColor="text1"/>
                <w:sz w:val="16"/>
                <w:lang w:val="en-GB"/>
              </w:rPr>
            </w:pPr>
          </w:p>
        </w:tc>
        <w:tc>
          <w:tcPr>
            <w:tcW w:w="6407" w:type="dxa"/>
            <w:tcBorders>
              <w:bottom w:val="single" w:sz="4" w:space="0" w:color="auto"/>
            </w:tcBorders>
            <w:shd w:val="clear" w:color="auto" w:fill="auto"/>
            <w:tcMar>
              <w:top w:w="57" w:type="dxa"/>
              <w:left w:w="0" w:type="dxa"/>
              <w:bottom w:w="85" w:type="dxa"/>
              <w:right w:w="0" w:type="dxa"/>
            </w:tcMar>
            <w:vAlign w:val="bottom"/>
          </w:tcPr>
          <w:p w14:paraId="12318F2C" w14:textId="77777777" w:rsidR="003A4304" w:rsidRPr="003A4304" w:rsidRDefault="003A4304" w:rsidP="00615190">
            <w:pPr>
              <w:spacing w:line="240" w:lineRule="atLeast"/>
              <w:rPr>
                <w:rFonts w:ascii="Tahoma" w:hAnsi="Tahoma"/>
                <w:color w:val="000000" w:themeColor="text1"/>
                <w:sz w:val="16"/>
                <w:lang w:val="en-GB"/>
              </w:rPr>
            </w:pPr>
          </w:p>
        </w:tc>
        <w:tc>
          <w:tcPr>
            <w:tcW w:w="1134" w:type="dxa"/>
            <w:tcBorders>
              <w:top w:val="single" w:sz="4" w:space="0" w:color="auto"/>
              <w:bottom w:val="single" w:sz="4" w:space="0" w:color="auto"/>
            </w:tcBorders>
            <w:shd w:val="clear" w:color="auto" w:fill="auto"/>
            <w:tcMar>
              <w:top w:w="57" w:type="dxa"/>
              <w:left w:w="0" w:type="dxa"/>
              <w:bottom w:w="85" w:type="dxa"/>
              <w:right w:w="0" w:type="dxa"/>
            </w:tcMar>
            <w:vAlign w:val="bottom"/>
          </w:tcPr>
          <w:p w14:paraId="124E553E" w14:textId="77777777" w:rsidR="003A4304" w:rsidRPr="002F078E" w:rsidRDefault="003A4304" w:rsidP="005A0B0F">
            <w:pPr>
              <w:spacing w:line="240" w:lineRule="atLeast"/>
              <w:jc w:val="right"/>
              <w:rPr>
                <w:rFonts w:ascii="Tahoma" w:hAnsi="Tahoma"/>
                <w:b/>
                <w:bCs/>
                <w:color w:val="000000" w:themeColor="text1"/>
                <w:sz w:val="16"/>
                <w:lang w:val="en-GB"/>
              </w:rPr>
            </w:pPr>
          </w:p>
        </w:tc>
        <w:tc>
          <w:tcPr>
            <w:tcW w:w="1134" w:type="dxa"/>
            <w:tcBorders>
              <w:top w:val="single" w:sz="4" w:space="0" w:color="auto"/>
              <w:bottom w:val="single" w:sz="4" w:space="0" w:color="auto"/>
            </w:tcBorders>
            <w:shd w:val="clear" w:color="auto" w:fill="auto"/>
            <w:tcMar>
              <w:top w:w="57" w:type="dxa"/>
              <w:left w:w="0" w:type="dxa"/>
              <w:bottom w:w="85" w:type="dxa"/>
              <w:right w:w="0" w:type="dxa"/>
            </w:tcMar>
            <w:vAlign w:val="bottom"/>
          </w:tcPr>
          <w:p w14:paraId="6228DF39" w14:textId="77777777" w:rsidR="003A4304" w:rsidRPr="003A4304" w:rsidRDefault="003A4304" w:rsidP="005A0B0F">
            <w:pPr>
              <w:spacing w:line="240" w:lineRule="atLeast"/>
              <w:jc w:val="right"/>
              <w:rPr>
                <w:rFonts w:ascii="Tahoma" w:hAnsi="Tahoma"/>
                <w:color w:val="000000" w:themeColor="text1"/>
                <w:sz w:val="16"/>
                <w:lang w:val="en-GB"/>
              </w:rPr>
            </w:pPr>
          </w:p>
        </w:tc>
        <w:tc>
          <w:tcPr>
            <w:tcW w:w="1134" w:type="dxa"/>
            <w:tcBorders>
              <w:top w:val="single" w:sz="4" w:space="0" w:color="auto"/>
              <w:bottom w:val="single" w:sz="4" w:space="0" w:color="auto"/>
            </w:tcBorders>
            <w:shd w:val="clear" w:color="auto" w:fill="auto"/>
            <w:tcMar>
              <w:top w:w="57" w:type="dxa"/>
              <w:left w:w="0" w:type="dxa"/>
              <w:bottom w:w="85" w:type="dxa"/>
              <w:right w:w="0" w:type="dxa"/>
            </w:tcMar>
            <w:vAlign w:val="bottom"/>
          </w:tcPr>
          <w:p w14:paraId="55087448" w14:textId="77777777" w:rsidR="003A4304" w:rsidRPr="003A4304" w:rsidRDefault="003A4304" w:rsidP="005A0B0F">
            <w:pPr>
              <w:spacing w:line="240" w:lineRule="atLeast"/>
              <w:ind w:right="113"/>
              <w:jc w:val="right"/>
              <w:rPr>
                <w:rFonts w:ascii="Tahoma" w:hAnsi="Tahoma"/>
                <w:color w:val="000000" w:themeColor="text1"/>
                <w:sz w:val="16"/>
                <w:lang w:val="en-GB"/>
              </w:rPr>
            </w:pPr>
          </w:p>
        </w:tc>
      </w:tr>
      <w:tr w:rsidR="00615190" w:rsidRPr="003A4304" w14:paraId="75FDB4D1" w14:textId="77777777" w:rsidTr="00C85FF0">
        <w:trPr>
          <w:trHeight w:val="60"/>
        </w:trPr>
        <w:tc>
          <w:tcPr>
            <w:tcW w:w="397" w:type="dxa"/>
            <w:shd w:val="clear" w:color="auto" w:fill="auto"/>
            <w:tcMar>
              <w:top w:w="85" w:type="dxa"/>
              <w:left w:w="0" w:type="dxa"/>
              <w:bottom w:w="85" w:type="dxa"/>
              <w:right w:w="0" w:type="dxa"/>
            </w:tcMar>
            <w:vAlign w:val="bottom"/>
          </w:tcPr>
          <w:p w14:paraId="06168736" w14:textId="77777777" w:rsidR="003A4304" w:rsidRPr="003A4304" w:rsidRDefault="003A4304" w:rsidP="00615190">
            <w:pPr>
              <w:spacing w:line="240" w:lineRule="atLeast"/>
              <w:rPr>
                <w:rFonts w:ascii="Tahoma" w:hAnsi="Tahoma"/>
                <w:color w:val="000000" w:themeColor="text1"/>
                <w:sz w:val="16"/>
                <w:lang w:val="en-GB"/>
              </w:rPr>
            </w:pPr>
          </w:p>
        </w:tc>
        <w:tc>
          <w:tcPr>
            <w:tcW w:w="6407" w:type="dxa"/>
            <w:tcBorders>
              <w:top w:val="single" w:sz="4" w:space="0" w:color="auto"/>
              <w:bottom w:val="single" w:sz="4" w:space="0" w:color="auto"/>
            </w:tcBorders>
            <w:shd w:val="clear" w:color="auto" w:fill="auto"/>
            <w:tcMar>
              <w:top w:w="85" w:type="dxa"/>
              <w:left w:w="0" w:type="dxa"/>
              <w:bottom w:w="85" w:type="dxa"/>
              <w:right w:w="0" w:type="dxa"/>
            </w:tcMar>
            <w:vAlign w:val="bottom"/>
          </w:tcPr>
          <w:p w14:paraId="294DE3CE" w14:textId="77777777" w:rsidR="003A4304" w:rsidRPr="002F078E" w:rsidRDefault="003A4304" w:rsidP="00615190">
            <w:pPr>
              <w:spacing w:line="240" w:lineRule="atLeast"/>
              <w:rPr>
                <w:rFonts w:ascii="Tahoma" w:hAnsi="Tahoma"/>
                <w:b/>
                <w:bCs/>
                <w:color w:val="000000" w:themeColor="text1"/>
                <w:sz w:val="16"/>
                <w:lang w:val="en-GB"/>
              </w:rPr>
            </w:pPr>
            <w:r w:rsidRPr="002F078E">
              <w:rPr>
                <w:rFonts w:ascii="Tahoma" w:hAnsi="Tahoma"/>
                <w:b/>
                <w:bCs/>
                <w:color w:val="000000" w:themeColor="text1"/>
                <w:sz w:val="16"/>
                <w:lang w:val="en-GB"/>
              </w:rPr>
              <w:t xml:space="preserve">Basic headline earnings from discontinued operations </w:t>
            </w:r>
          </w:p>
        </w:tc>
        <w:tc>
          <w:tcPr>
            <w:tcW w:w="1134" w:type="dxa"/>
            <w:tcBorders>
              <w:top w:val="single" w:sz="4" w:space="0" w:color="auto"/>
              <w:bottom w:val="single" w:sz="4" w:space="0" w:color="auto"/>
            </w:tcBorders>
            <w:shd w:val="clear" w:color="auto" w:fill="auto"/>
            <w:tcMar>
              <w:top w:w="85" w:type="dxa"/>
              <w:left w:w="0" w:type="dxa"/>
              <w:bottom w:w="85" w:type="dxa"/>
              <w:right w:w="0" w:type="dxa"/>
            </w:tcMar>
            <w:vAlign w:val="bottom"/>
          </w:tcPr>
          <w:p w14:paraId="2C2930BA" w14:textId="77777777" w:rsidR="003A4304" w:rsidRPr="002F078E" w:rsidRDefault="003A4304" w:rsidP="005A0B0F">
            <w:pPr>
              <w:spacing w:line="240" w:lineRule="atLeast"/>
              <w:jc w:val="right"/>
              <w:rPr>
                <w:rFonts w:ascii="Tahoma" w:hAnsi="Tahoma"/>
                <w:b/>
                <w:bCs/>
                <w:color w:val="000000" w:themeColor="text1"/>
                <w:sz w:val="16"/>
                <w:lang w:val="en-GB"/>
              </w:rPr>
            </w:pPr>
            <w:r w:rsidRPr="002F078E">
              <w:rPr>
                <w:rFonts w:ascii="Tahoma" w:hAnsi="Tahoma"/>
                <w:b/>
                <w:bCs/>
                <w:color w:val="000000" w:themeColor="text1"/>
                <w:sz w:val="16"/>
                <w:lang w:val="en-GB"/>
              </w:rPr>
              <w:t>193</w:t>
            </w:r>
          </w:p>
        </w:tc>
        <w:tc>
          <w:tcPr>
            <w:tcW w:w="1134" w:type="dxa"/>
            <w:tcBorders>
              <w:top w:val="single" w:sz="4" w:space="0" w:color="auto"/>
              <w:bottom w:val="single" w:sz="4" w:space="0" w:color="auto"/>
            </w:tcBorders>
            <w:shd w:val="clear" w:color="auto" w:fill="auto"/>
            <w:tcMar>
              <w:top w:w="85" w:type="dxa"/>
              <w:left w:w="0" w:type="dxa"/>
              <w:bottom w:w="85" w:type="dxa"/>
              <w:right w:w="0" w:type="dxa"/>
            </w:tcMar>
            <w:vAlign w:val="bottom"/>
          </w:tcPr>
          <w:p w14:paraId="433F0FB6" w14:textId="77777777" w:rsidR="003A4304" w:rsidRPr="003A4304" w:rsidRDefault="003A4304" w:rsidP="005A0B0F">
            <w:pPr>
              <w:spacing w:line="240" w:lineRule="atLeast"/>
              <w:jc w:val="right"/>
              <w:rPr>
                <w:rFonts w:ascii="Tahoma" w:hAnsi="Tahoma"/>
                <w:color w:val="000000" w:themeColor="text1"/>
                <w:sz w:val="16"/>
                <w:lang w:val="en-GB"/>
              </w:rPr>
            </w:pPr>
            <w:r w:rsidRPr="003A4304">
              <w:rPr>
                <w:rFonts w:ascii="Tahoma" w:hAnsi="Tahoma"/>
                <w:color w:val="000000" w:themeColor="text1"/>
                <w:sz w:val="16"/>
                <w:lang w:val="en-GB"/>
              </w:rPr>
              <w:t>94</w:t>
            </w:r>
          </w:p>
        </w:tc>
        <w:tc>
          <w:tcPr>
            <w:tcW w:w="1134" w:type="dxa"/>
            <w:tcBorders>
              <w:top w:val="single" w:sz="4" w:space="0" w:color="auto"/>
              <w:bottom w:val="single" w:sz="4" w:space="0" w:color="auto"/>
            </w:tcBorders>
            <w:shd w:val="clear" w:color="auto" w:fill="auto"/>
            <w:tcMar>
              <w:top w:w="85" w:type="dxa"/>
              <w:left w:w="0" w:type="dxa"/>
              <w:bottom w:w="85" w:type="dxa"/>
              <w:right w:w="0" w:type="dxa"/>
            </w:tcMar>
            <w:vAlign w:val="bottom"/>
          </w:tcPr>
          <w:p w14:paraId="654A7F2C" w14:textId="77777777" w:rsidR="003A4304" w:rsidRPr="003A4304" w:rsidRDefault="003A4304" w:rsidP="005A0B0F">
            <w:pPr>
              <w:spacing w:line="240" w:lineRule="atLeast"/>
              <w:ind w:right="113"/>
              <w:jc w:val="right"/>
              <w:rPr>
                <w:rFonts w:ascii="Tahoma" w:hAnsi="Tahoma"/>
                <w:color w:val="000000" w:themeColor="text1"/>
                <w:sz w:val="16"/>
                <w:lang w:val="en-GB"/>
              </w:rPr>
            </w:pPr>
            <w:r w:rsidRPr="003A4304">
              <w:rPr>
                <w:rFonts w:ascii="Tahoma" w:hAnsi="Tahoma"/>
                <w:color w:val="000000" w:themeColor="text1"/>
                <w:sz w:val="16"/>
                <w:lang w:val="en-GB"/>
              </w:rPr>
              <w:t>155</w:t>
            </w:r>
          </w:p>
        </w:tc>
      </w:tr>
      <w:tr w:rsidR="00615190" w:rsidRPr="003A4304" w14:paraId="025E5A2D" w14:textId="77777777" w:rsidTr="00C85FF0">
        <w:trPr>
          <w:trHeight w:val="60"/>
        </w:trPr>
        <w:tc>
          <w:tcPr>
            <w:tcW w:w="397" w:type="dxa"/>
            <w:shd w:val="clear" w:color="auto" w:fill="auto"/>
            <w:tcMar>
              <w:top w:w="85" w:type="dxa"/>
              <w:left w:w="0" w:type="dxa"/>
              <w:bottom w:w="85" w:type="dxa"/>
              <w:right w:w="0" w:type="dxa"/>
            </w:tcMar>
            <w:vAlign w:val="bottom"/>
          </w:tcPr>
          <w:p w14:paraId="210E9D1B" w14:textId="77777777" w:rsidR="003A4304" w:rsidRPr="003A4304" w:rsidRDefault="003A4304" w:rsidP="00615190">
            <w:pPr>
              <w:spacing w:line="240" w:lineRule="atLeast"/>
              <w:rPr>
                <w:rFonts w:ascii="Tahoma" w:hAnsi="Tahoma"/>
                <w:color w:val="000000" w:themeColor="text1"/>
                <w:sz w:val="16"/>
                <w:lang w:val="en-GB"/>
              </w:rPr>
            </w:pPr>
          </w:p>
        </w:tc>
        <w:tc>
          <w:tcPr>
            <w:tcW w:w="6407"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48ADCCEE" w14:textId="77777777" w:rsidR="003A4304" w:rsidRPr="002F078E" w:rsidRDefault="003A4304" w:rsidP="00615190">
            <w:pPr>
              <w:spacing w:line="240" w:lineRule="atLeast"/>
              <w:rPr>
                <w:rFonts w:ascii="Tahoma" w:hAnsi="Tahoma"/>
                <w:b/>
                <w:bCs/>
                <w:color w:val="000000" w:themeColor="text1"/>
                <w:sz w:val="16"/>
                <w:lang w:val="en-GB"/>
              </w:rPr>
            </w:pPr>
            <w:r w:rsidRPr="002F078E">
              <w:rPr>
                <w:rFonts w:ascii="Tahoma" w:hAnsi="Tahoma"/>
                <w:b/>
                <w:bCs/>
                <w:color w:val="000000" w:themeColor="text1"/>
                <w:sz w:val="16"/>
                <w:lang w:val="en-GB"/>
              </w:rPr>
              <w:t>Diluted headline earnings from discontinued operations</w:t>
            </w:r>
          </w:p>
        </w:tc>
        <w:tc>
          <w:tcPr>
            <w:tcW w:w="1134"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4E9BA22C" w14:textId="77777777" w:rsidR="003A4304" w:rsidRPr="002F078E" w:rsidRDefault="003A4304" w:rsidP="005A0B0F">
            <w:pPr>
              <w:spacing w:line="240" w:lineRule="atLeast"/>
              <w:jc w:val="right"/>
              <w:rPr>
                <w:rFonts w:ascii="Tahoma" w:hAnsi="Tahoma"/>
                <w:b/>
                <w:bCs/>
                <w:color w:val="000000" w:themeColor="text1"/>
                <w:sz w:val="16"/>
                <w:lang w:val="en-GB"/>
              </w:rPr>
            </w:pPr>
            <w:r w:rsidRPr="002F078E">
              <w:rPr>
                <w:rFonts w:ascii="Tahoma" w:hAnsi="Tahoma"/>
                <w:b/>
                <w:bCs/>
                <w:color w:val="000000" w:themeColor="text1"/>
                <w:sz w:val="16"/>
                <w:lang w:val="en-GB"/>
              </w:rPr>
              <w:t>193</w:t>
            </w:r>
          </w:p>
        </w:tc>
        <w:tc>
          <w:tcPr>
            <w:tcW w:w="1134"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43A95869" w14:textId="77777777" w:rsidR="003A4304" w:rsidRPr="003A4304" w:rsidRDefault="003A4304" w:rsidP="005A0B0F">
            <w:pPr>
              <w:spacing w:line="240" w:lineRule="atLeast"/>
              <w:jc w:val="right"/>
              <w:rPr>
                <w:rFonts w:ascii="Tahoma" w:hAnsi="Tahoma"/>
                <w:color w:val="000000" w:themeColor="text1"/>
                <w:sz w:val="16"/>
                <w:lang w:val="en-GB"/>
              </w:rPr>
            </w:pPr>
            <w:r w:rsidRPr="003A4304">
              <w:rPr>
                <w:rFonts w:ascii="Tahoma" w:hAnsi="Tahoma"/>
                <w:color w:val="000000" w:themeColor="text1"/>
                <w:sz w:val="16"/>
                <w:lang w:val="en-GB"/>
              </w:rPr>
              <w:t>94</w:t>
            </w:r>
          </w:p>
        </w:tc>
        <w:tc>
          <w:tcPr>
            <w:tcW w:w="1134"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52B19999" w14:textId="77777777" w:rsidR="003A4304" w:rsidRPr="003A4304" w:rsidRDefault="003A4304" w:rsidP="005A0B0F">
            <w:pPr>
              <w:spacing w:line="240" w:lineRule="atLeast"/>
              <w:ind w:right="113"/>
              <w:jc w:val="right"/>
              <w:rPr>
                <w:rFonts w:ascii="Tahoma" w:hAnsi="Tahoma"/>
                <w:color w:val="000000" w:themeColor="text1"/>
                <w:sz w:val="16"/>
                <w:lang w:val="en-GB"/>
              </w:rPr>
            </w:pPr>
            <w:r w:rsidRPr="003A4304">
              <w:rPr>
                <w:rFonts w:ascii="Tahoma" w:hAnsi="Tahoma"/>
                <w:color w:val="000000" w:themeColor="text1"/>
                <w:sz w:val="16"/>
                <w:lang w:val="en-GB"/>
              </w:rPr>
              <w:t>155</w:t>
            </w:r>
          </w:p>
        </w:tc>
      </w:tr>
      <w:tr w:rsidR="00615190" w:rsidRPr="003A4304" w14:paraId="744C1AA0" w14:textId="77777777" w:rsidTr="00A759A2">
        <w:trPr>
          <w:trHeight w:val="60"/>
        </w:trPr>
        <w:tc>
          <w:tcPr>
            <w:tcW w:w="397" w:type="dxa"/>
            <w:shd w:val="clear" w:color="auto" w:fill="auto"/>
            <w:tcMar>
              <w:top w:w="85" w:type="dxa"/>
              <w:left w:w="0" w:type="dxa"/>
              <w:bottom w:w="57" w:type="dxa"/>
              <w:right w:w="0" w:type="dxa"/>
            </w:tcMar>
            <w:vAlign w:val="bottom"/>
          </w:tcPr>
          <w:p w14:paraId="78B630C8" w14:textId="77777777" w:rsidR="003A4304" w:rsidRPr="003A4304" w:rsidRDefault="003A4304" w:rsidP="006356A9">
            <w:pPr>
              <w:pStyle w:val="FootnotesProsus2022FrontStylesProsus2022"/>
            </w:pPr>
          </w:p>
        </w:tc>
        <w:tc>
          <w:tcPr>
            <w:tcW w:w="9809" w:type="dxa"/>
            <w:gridSpan w:val="4"/>
            <w:tcBorders>
              <w:top w:val="single" w:sz="12" w:space="0" w:color="auto"/>
            </w:tcBorders>
            <w:shd w:val="clear" w:color="auto" w:fill="auto"/>
            <w:tcMar>
              <w:top w:w="85" w:type="dxa"/>
              <w:left w:w="0" w:type="dxa"/>
              <w:bottom w:w="57" w:type="dxa"/>
              <w:right w:w="0" w:type="dxa"/>
            </w:tcMar>
            <w:vAlign w:val="bottom"/>
          </w:tcPr>
          <w:p w14:paraId="007A70F5" w14:textId="77777777" w:rsidR="003A4304" w:rsidRPr="003A4304" w:rsidRDefault="003A4304" w:rsidP="006356A9">
            <w:pPr>
              <w:pStyle w:val="FootnotesProsus2022FrontStylesProsus2022"/>
            </w:pPr>
            <w:r w:rsidRPr="003A4304">
              <w:t>1</w:t>
            </w:r>
            <w:r w:rsidRPr="003A4304">
              <w:tab/>
              <w:t>Headline earnings represent net profit for the year attributable to equity holders of the group, excluding certain defined, separately identifiable remeasurements. The headline earnings measure is pursuant to the JSE Listings Requirements.</w:t>
            </w:r>
          </w:p>
        </w:tc>
      </w:tr>
      <w:tr w:rsidR="00615190" w:rsidRPr="003A4304" w14:paraId="300E247E" w14:textId="77777777" w:rsidTr="00893BDD">
        <w:trPr>
          <w:trHeight w:val="60"/>
        </w:trPr>
        <w:tc>
          <w:tcPr>
            <w:tcW w:w="397" w:type="dxa"/>
            <w:shd w:val="clear" w:color="auto" w:fill="auto"/>
            <w:tcMar>
              <w:top w:w="142" w:type="dxa"/>
              <w:left w:w="0" w:type="dxa"/>
              <w:bottom w:w="57" w:type="dxa"/>
              <w:right w:w="0" w:type="dxa"/>
            </w:tcMar>
            <w:vAlign w:val="bottom"/>
          </w:tcPr>
          <w:p w14:paraId="26A6721A" w14:textId="77777777" w:rsidR="003A4304" w:rsidRPr="003A4304" w:rsidRDefault="003A4304" w:rsidP="00615190">
            <w:pPr>
              <w:spacing w:line="240" w:lineRule="atLeast"/>
              <w:rPr>
                <w:rFonts w:ascii="Tahoma" w:hAnsi="Tahoma"/>
                <w:color w:val="000000" w:themeColor="text1"/>
                <w:sz w:val="16"/>
                <w:lang w:val="en-GB"/>
              </w:rPr>
            </w:pPr>
          </w:p>
        </w:tc>
        <w:tc>
          <w:tcPr>
            <w:tcW w:w="9809" w:type="dxa"/>
            <w:gridSpan w:val="4"/>
            <w:shd w:val="clear" w:color="auto" w:fill="auto"/>
            <w:tcMar>
              <w:top w:w="142" w:type="dxa"/>
              <w:left w:w="0" w:type="dxa"/>
              <w:bottom w:w="57" w:type="dxa"/>
              <w:right w:w="0" w:type="dxa"/>
            </w:tcMar>
            <w:vAlign w:val="bottom"/>
          </w:tcPr>
          <w:p w14:paraId="5A7405C4" w14:textId="77777777" w:rsidR="003A4304" w:rsidRPr="003A4304" w:rsidRDefault="003A4304" w:rsidP="00615190">
            <w:pPr>
              <w:spacing w:line="240" w:lineRule="atLeast"/>
              <w:rPr>
                <w:rFonts w:ascii="Tahoma" w:hAnsi="Tahoma"/>
                <w:b/>
                <w:bCs/>
                <w:color w:val="000000" w:themeColor="text1"/>
                <w:sz w:val="16"/>
                <w:lang w:val="en-GB"/>
              </w:rPr>
            </w:pPr>
            <w:r w:rsidRPr="003A4304">
              <w:rPr>
                <w:rFonts w:ascii="Tahoma" w:hAnsi="Tahoma"/>
                <w:b/>
                <w:bCs/>
                <w:color w:val="000000" w:themeColor="text1"/>
                <w:sz w:val="16"/>
                <w:lang w:val="en-GB"/>
              </w:rPr>
              <w:t>Earnings per share information</w:t>
            </w:r>
          </w:p>
        </w:tc>
      </w:tr>
      <w:tr w:rsidR="00615190" w:rsidRPr="003A4304" w14:paraId="15979D65" w14:textId="77777777" w:rsidTr="00893BDD">
        <w:trPr>
          <w:trHeight w:val="60"/>
        </w:trPr>
        <w:tc>
          <w:tcPr>
            <w:tcW w:w="397" w:type="dxa"/>
            <w:shd w:val="clear" w:color="auto" w:fill="auto"/>
            <w:tcMar>
              <w:top w:w="57" w:type="dxa"/>
              <w:left w:w="0" w:type="dxa"/>
              <w:bottom w:w="57" w:type="dxa"/>
              <w:right w:w="0" w:type="dxa"/>
            </w:tcMar>
            <w:vAlign w:val="bottom"/>
          </w:tcPr>
          <w:p w14:paraId="299ACC05" w14:textId="77777777" w:rsidR="003A4304" w:rsidRPr="003A4304" w:rsidRDefault="003A4304" w:rsidP="00615190">
            <w:pPr>
              <w:spacing w:line="240" w:lineRule="atLeast"/>
              <w:rPr>
                <w:rFonts w:ascii="Tahoma" w:hAnsi="Tahoma"/>
                <w:color w:val="000000" w:themeColor="text1"/>
                <w:sz w:val="16"/>
                <w:lang w:val="en-GB"/>
              </w:rPr>
            </w:pPr>
          </w:p>
        </w:tc>
        <w:tc>
          <w:tcPr>
            <w:tcW w:w="9809" w:type="dxa"/>
            <w:gridSpan w:val="4"/>
            <w:shd w:val="clear" w:color="auto" w:fill="auto"/>
            <w:tcMar>
              <w:top w:w="57" w:type="dxa"/>
              <w:left w:w="0" w:type="dxa"/>
              <w:bottom w:w="57" w:type="dxa"/>
              <w:right w:w="0" w:type="dxa"/>
            </w:tcMar>
            <w:vAlign w:val="bottom"/>
          </w:tcPr>
          <w:p w14:paraId="329191EA" w14:textId="77777777" w:rsidR="003A4304" w:rsidRPr="003A4304" w:rsidRDefault="003A4304" w:rsidP="00615190">
            <w:pPr>
              <w:spacing w:line="240" w:lineRule="atLeast"/>
              <w:rPr>
                <w:rFonts w:ascii="Tahoma" w:hAnsi="Tahoma"/>
                <w:color w:val="000000" w:themeColor="text1"/>
                <w:sz w:val="16"/>
                <w:lang w:val="en-GB"/>
              </w:rPr>
            </w:pPr>
            <w:r w:rsidRPr="003A4304">
              <w:rPr>
                <w:rFonts w:ascii="Tahoma" w:hAnsi="Tahoma"/>
                <w:color w:val="000000" w:themeColor="text1"/>
                <w:sz w:val="16"/>
                <w:lang w:val="en-GB"/>
              </w:rPr>
              <w:t xml:space="preserve">The earnings per share information represents the economic interest per share, taking into account the impact of the cross-holding agreement between </w:t>
            </w:r>
            <w:proofErr w:type="spellStart"/>
            <w:r w:rsidRPr="003A4304">
              <w:rPr>
                <w:rFonts w:ascii="Tahoma" w:hAnsi="Tahoma"/>
                <w:color w:val="000000" w:themeColor="text1"/>
                <w:sz w:val="16"/>
                <w:lang w:val="en-GB"/>
              </w:rPr>
              <w:t>Prosus</w:t>
            </w:r>
            <w:proofErr w:type="spellEnd"/>
            <w:r w:rsidRPr="003A4304">
              <w:rPr>
                <w:rFonts w:ascii="Tahoma" w:hAnsi="Tahoma"/>
                <w:color w:val="000000" w:themeColor="text1"/>
                <w:sz w:val="16"/>
                <w:lang w:val="en-GB"/>
              </w:rPr>
              <w:t xml:space="preserve"> and Naspers, which became effective at the time of the closing of the voluntary share exchange. The cross-holding agreement deals with how distributions by </w:t>
            </w:r>
            <w:proofErr w:type="spellStart"/>
            <w:r w:rsidRPr="003A4304">
              <w:rPr>
                <w:rFonts w:ascii="Tahoma" w:hAnsi="Tahoma"/>
                <w:color w:val="000000" w:themeColor="text1"/>
                <w:sz w:val="16"/>
                <w:lang w:val="en-GB"/>
              </w:rPr>
              <w:t>Prosus</w:t>
            </w:r>
            <w:proofErr w:type="spellEnd"/>
            <w:r w:rsidRPr="003A4304">
              <w:rPr>
                <w:rFonts w:ascii="Tahoma" w:hAnsi="Tahoma"/>
                <w:color w:val="000000" w:themeColor="text1"/>
                <w:sz w:val="16"/>
                <w:lang w:val="en-GB"/>
              </w:rPr>
              <w:t xml:space="preserve"> will be attributed to its N ordinary shareholders.</w:t>
            </w:r>
          </w:p>
        </w:tc>
      </w:tr>
      <w:tr w:rsidR="00615190" w:rsidRPr="003A4304" w14:paraId="78AEE9EA" w14:textId="77777777" w:rsidTr="00893BDD">
        <w:trPr>
          <w:trHeight w:val="60"/>
        </w:trPr>
        <w:tc>
          <w:tcPr>
            <w:tcW w:w="397" w:type="dxa"/>
            <w:shd w:val="clear" w:color="auto" w:fill="auto"/>
            <w:tcMar>
              <w:top w:w="142" w:type="dxa"/>
              <w:left w:w="0" w:type="dxa"/>
              <w:bottom w:w="57" w:type="dxa"/>
              <w:right w:w="0" w:type="dxa"/>
            </w:tcMar>
            <w:vAlign w:val="bottom"/>
          </w:tcPr>
          <w:p w14:paraId="747DE7EE" w14:textId="77777777" w:rsidR="003A4304" w:rsidRPr="003A4304" w:rsidRDefault="003A4304" w:rsidP="00615190">
            <w:pPr>
              <w:spacing w:line="240" w:lineRule="atLeast"/>
              <w:rPr>
                <w:rFonts w:ascii="Tahoma" w:hAnsi="Tahoma"/>
                <w:color w:val="000000" w:themeColor="text1"/>
                <w:sz w:val="16"/>
                <w:lang w:val="en-GB"/>
              </w:rPr>
            </w:pPr>
          </w:p>
        </w:tc>
        <w:tc>
          <w:tcPr>
            <w:tcW w:w="9809" w:type="dxa"/>
            <w:gridSpan w:val="4"/>
            <w:shd w:val="clear" w:color="auto" w:fill="auto"/>
            <w:tcMar>
              <w:top w:w="142" w:type="dxa"/>
              <w:left w:w="0" w:type="dxa"/>
              <w:bottom w:w="57" w:type="dxa"/>
              <w:right w:w="0" w:type="dxa"/>
            </w:tcMar>
            <w:vAlign w:val="bottom"/>
          </w:tcPr>
          <w:p w14:paraId="1D37972A" w14:textId="77777777" w:rsidR="003A4304" w:rsidRPr="003A4304" w:rsidRDefault="003A4304" w:rsidP="00615190">
            <w:pPr>
              <w:spacing w:line="240" w:lineRule="atLeast"/>
              <w:rPr>
                <w:rFonts w:ascii="Tahoma" w:hAnsi="Tahoma"/>
                <w:color w:val="000000" w:themeColor="text1"/>
                <w:sz w:val="16"/>
                <w:lang w:val="en-GB"/>
              </w:rPr>
            </w:pPr>
            <w:r w:rsidRPr="003A4304">
              <w:rPr>
                <w:rFonts w:ascii="Tahoma" w:hAnsi="Tahoma"/>
                <w:color w:val="000000" w:themeColor="text1"/>
                <w:sz w:val="16"/>
                <w:lang w:val="en-GB"/>
              </w:rPr>
              <w:t xml:space="preserve">Under the cross-holding agreement, Naspers has waived its entitlement to any distributions from </w:t>
            </w:r>
            <w:proofErr w:type="spellStart"/>
            <w:r w:rsidRPr="003A4304">
              <w:rPr>
                <w:rFonts w:ascii="Tahoma" w:hAnsi="Tahoma"/>
                <w:color w:val="000000" w:themeColor="text1"/>
                <w:sz w:val="16"/>
                <w:lang w:val="en-GB"/>
              </w:rPr>
              <w:t>Prosus</w:t>
            </w:r>
            <w:proofErr w:type="spellEnd"/>
            <w:r w:rsidRPr="003A4304">
              <w:rPr>
                <w:rFonts w:ascii="Tahoma" w:hAnsi="Tahoma"/>
                <w:color w:val="000000" w:themeColor="text1"/>
                <w:sz w:val="16"/>
                <w:lang w:val="en-GB"/>
              </w:rPr>
              <w:t xml:space="preserve"> for a calculated number of the ordinary shares N it holds in </w:t>
            </w:r>
            <w:proofErr w:type="spellStart"/>
            <w:r w:rsidRPr="003A4304">
              <w:rPr>
                <w:rFonts w:ascii="Tahoma" w:hAnsi="Tahoma"/>
                <w:color w:val="000000" w:themeColor="text1"/>
                <w:sz w:val="16"/>
                <w:lang w:val="en-GB"/>
              </w:rPr>
              <w:t>Prosus</w:t>
            </w:r>
            <w:proofErr w:type="spellEnd"/>
            <w:r w:rsidRPr="003A4304">
              <w:rPr>
                <w:rFonts w:ascii="Tahoma" w:hAnsi="Tahoma"/>
                <w:color w:val="000000" w:themeColor="text1"/>
                <w:sz w:val="16"/>
                <w:lang w:val="en-GB"/>
              </w:rPr>
              <w:t xml:space="preserve">, as these represent the portion of the </w:t>
            </w:r>
            <w:proofErr w:type="spellStart"/>
            <w:r w:rsidRPr="003A4304">
              <w:rPr>
                <w:rFonts w:ascii="Tahoma" w:hAnsi="Tahoma"/>
                <w:color w:val="000000" w:themeColor="text1"/>
                <w:sz w:val="16"/>
                <w:lang w:val="en-GB"/>
              </w:rPr>
              <w:t>Prosus</w:t>
            </w:r>
            <w:proofErr w:type="spellEnd"/>
            <w:r w:rsidRPr="003A4304">
              <w:rPr>
                <w:rFonts w:ascii="Tahoma" w:hAnsi="Tahoma"/>
                <w:color w:val="000000" w:themeColor="text1"/>
                <w:sz w:val="16"/>
                <w:lang w:val="en-GB"/>
              </w:rPr>
              <w:t xml:space="preserve"> ordinary shares N that </w:t>
            </w:r>
            <w:proofErr w:type="spellStart"/>
            <w:r w:rsidRPr="003A4304">
              <w:rPr>
                <w:rFonts w:ascii="Tahoma" w:hAnsi="Tahoma"/>
                <w:color w:val="000000" w:themeColor="text1"/>
                <w:sz w:val="16"/>
                <w:lang w:val="en-GB"/>
              </w:rPr>
              <w:t>Prosus</w:t>
            </w:r>
            <w:proofErr w:type="spellEnd"/>
            <w:r w:rsidRPr="003A4304">
              <w:rPr>
                <w:rFonts w:ascii="Tahoma" w:hAnsi="Tahoma"/>
                <w:color w:val="000000" w:themeColor="text1"/>
                <w:sz w:val="16"/>
                <w:lang w:val="en-GB"/>
              </w:rPr>
              <w:t xml:space="preserve"> indirectly owns in itself, by virtue of its 50.7% (2021: 49.5% and 31 March 2022: 49.5%) fully dilutive interest in Naspers. These ordinary shares N (cross-holding ordinary shares N) are excluded from the earnings per share calculation, as they contractually do not have an economic interest in the earnings of the group.</w:t>
            </w:r>
          </w:p>
        </w:tc>
      </w:tr>
      <w:tr w:rsidR="00615190" w:rsidRPr="003A4304" w14:paraId="5A0FC7CF" w14:textId="77777777" w:rsidTr="00893BDD">
        <w:trPr>
          <w:trHeight w:val="60"/>
        </w:trPr>
        <w:tc>
          <w:tcPr>
            <w:tcW w:w="397" w:type="dxa"/>
            <w:shd w:val="clear" w:color="auto" w:fill="auto"/>
            <w:tcMar>
              <w:top w:w="142" w:type="dxa"/>
              <w:left w:w="0" w:type="dxa"/>
              <w:bottom w:w="57" w:type="dxa"/>
              <w:right w:w="0" w:type="dxa"/>
            </w:tcMar>
            <w:vAlign w:val="bottom"/>
          </w:tcPr>
          <w:p w14:paraId="6950B708" w14:textId="77777777" w:rsidR="003A4304" w:rsidRPr="003A4304" w:rsidRDefault="003A4304" w:rsidP="00615190">
            <w:pPr>
              <w:spacing w:line="240" w:lineRule="atLeast"/>
              <w:rPr>
                <w:rFonts w:ascii="Tahoma" w:hAnsi="Tahoma"/>
                <w:color w:val="000000" w:themeColor="text1"/>
                <w:sz w:val="16"/>
                <w:lang w:val="en-GB"/>
              </w:rPr>
            </w:pPr>
          </w:p>
        </w:tc>
        <w:tc>
          <w:tcPr>
            <w:tcW w:w="9809" w:type="dxa"/>
            <w:gridSpan w:val="4"/>
            <w:shd w:val="clear" w:color="auto" w:fill="auto"/>
            <w:tcMar>
              <w:top w:w="142" w:type="dxa"/>
              <w:left w:w="0" w:type="dxa"/>
              <w:bottom w:w="57" w:type="dxa"/>
              <w:right w:w="0" w:type="dxa"/>
            </w:tcMar>
            <w:vAlign w:val="bottom"/>
          </w:tcPr>
          <w:p w14:paraId="588AA604" w14:textId="77777777" w:rsidR="003A4304" w:rsidRPr="003A4304" w:rsidRDefault="003A4304" w:rsidP="00615190">
            <w:pPr>
              <w:spacing w:line="240" w:lineRule="atLeast"/>
              <w:rPr>
                <w:rFonts w:ascii="Tahoma" w:hAnsi="Tahoma"/>
                <w:color w:val="000000" w:themeColor="text1"/>
                <w:sz w:val="16"/>
                <w:lang w:val="en-GB"/>
              </w:rPr>
            </w:pPr>
            <w:r w:rsidRPr="003A4304">
              <w:rPr>
                <w:rFonts w:ascii="Tahoma" w:hAnsi="Tahoma"/>
                <w:color w:val="000000" w:themeColor="text1"/>
                <w:sz w:val="16"/>
                <w:lang w:val="en-GB"/>
              </w:rPr>
              <w:t>The number of shares in issue used in the earnings per share information is weighted for the period that the shares were in issue and not recognised as treasury shares. Refer to note 3 for the impact of the share repurchase programme.</w:t>
            </w:r>
          </w:p>
        </w:tc>
      </w:tr>
      <w:tr w:rsidR="00615190" w:rsidRPr="003A4304" w14:paraId="5B3EDBB4" w14:textId="77777777" w:rsidTr="00893BDD">
        <w:trPr>
          <w:trHeight w:val="60"/>
        </w:trPr>
        <w:tc>
          <w:tcPr>
            <w:tcW w:w="397" w:type="dxa"/>
            <w:shd w:val="clear" w:color="auto" w:fill="auto"/>
            <w:tcMar>
              <w:top w:w="142" w:type="dxa"/>
              <w:left w:w="0" w:type="dxa"/>
              <w:bottom w:w="57" w:type="dxa"/>
              <w:right w:w="0" w:type="dxa"/>
            </w:tcMar>
            <w:vAlign w:val="bottom"/>
          </w:tcPr>
          <w:p w14:paraId="2A7140AB" w14:textId="77777777" w:rsidR="003A4304" w:rsidRPr="003A4304" w:rsidRDefault="003A4304" w:rsidP="00615190">
            <w:pPr>
              <w:spacing w:line="240" w:lineRule="atLeast"/>
              <w:rPr>
                <w:rFonts w:ascii="Tahoma" w:hAnsi="Tahoma"/>
                <w:color w:val="000000" w:themeColor="text1"/>
                <w:sz w:val="16"/>
                <w:lang w:val="en-GB"/>
              </w:rPr>
            </w:pPr>
          </w:p>
        </w:tc>
        <w:tc>
          <w:tcPr>
            <w:tcW w:w="9809" w:type="dxa"/>
            <w:gridSpan w:val="4"/>
            <w:shd w:val="clear" w:color="auto" w:fill="auto"/>
            <w:tcMar>
              <w:top w:w="142" w:type="dxa"/>
              <w:left w:w="0" w:type="dxa"/>
              <w:bottom w:w="57" w:type="dxa"/>
              <w:right w:w="0" w:type="dxa"/>
            </w:tcMar>
            <w:vAlign w:val="bottom"/>
          </w:tcPr>
          <w:p w14:paraId="55CAAC3F" w14:textId="77777777" w:rsidR="003A4304" w:rsidRPr="003A4304" w:rsidRDefault="003A4304" w:rsidP="00615190">
            <w:pPr>
              <w:spacing w:line="240" w:lineRule="atLeast"/>
              <w:rPr>
                <w:rFonts w:ascii="Tahoma" w:hAnsi="Tahoma"/>
                <w:color w:val="000000" w:themeColor="text1"/>
                <w:sz w:val="16"/>
                <w:lang w:val="en-GB"/>
              </w:rPr>
            </w:pPr>
            <w:r w:rsidRPr="003A4304">
              <w:rPr>
                <w:rFonts w:ascii="Tahoma" w:hAnsi="Tahoma"/>
                <w:color w:val="000000" w:themeColor="text1"/>
                <w:sz w:val="16"/>
                <w:lang w:val="en-GB"/>
              </w:rPr>
              <w:t xml:space="preserve">The A and B ordinary shareholders are entitled to one voting right per share. The A ordinary shareholders are entitled to one fifth of the economic rights attributable to the </w:t>
            </w:r>
            <w:proofErr w:type="spellStart"/>
            <w:r w:rsidRPr="003A4304">
              <w:rPr>
                <w:rFonts w:ascii="Tahoma" w:hAnsi="Tahoma"/>
                <w:color w:val="000000" w:themeColor="text1"/>
                <w:sz w:val="16"/>
                <w:lang w:val="en-GB"/>
              </w:rPr>
              <w:t>Prosus</w:t>
            </w:r>
            <w:proofErr w:type="spellEnd"/>
            <w:r w:rsidRPr="003A4304">
              <w:rPr>
                <w:rFonts w:ascii="Tahoma" w:hAnsi="Tahoma"/>
                <w:color w:val="000000" w:themeColor="text1"/>
                <w:sz w:val="16"/>
                <w:lang w:val="en-GB"/>
              </w:rPr>
              <w:t xml:space="preserve"> free float shareholders. The B ordinary shareholders are entitled to one millionth of the economic rights of the </w:t>
            </w:r>
            <w:proofErr w:type="spellStart"/>
            <w:r w:rsidRPr="003A4304">
              <w:rPr>
                <w:rFonts w:ascii="Tahoma" w:hAnsi="Tahoma"/>
                <w:color w:val="000000" w:themeColor="text1"/>
                <w:sz w:val="16"/>
                <w:lang w:val="en-GB"/>
              </w:rPr>
              <w:t>Prosus</w:t>
            </w:r>
            <w:proofErr w:type="spellEnd"/>
            <w:r w:rsidRPr="003A4304">
              <w:rPr>
                <w:rFonts w:ascii="Tahoma" w:hAnsi="Tahoma"/>
                <w:color w:val="000000" w:themeColor="text1"/>
                <w:sz w:val="16"/>
                <w:lang w:val="en-GB"/>
              </w:rPr>
              <w:t xml:space="preserve"> ordinary shares N.</w:t>
            </w:r>
          </w:p>
        </w:tc>
      </w:tr>
    </w:tbl>
    <w:p w14:paraId="157F7B09" w14:textId="77777777" w:rsidR="00FE5376" w:rsidRDefault="00FE5376" w:rsidP="00615190">
      <w:pPr>
        <w:spacing w:line="240" w:lineRule="atLeast"/>
        <w:rPr>
          <w:rFonts w:ascii="Tahoma" w:hAnsi="Tahoma"/>
          <w:color w:val="000000" w:themeColor="text1"/>
          <w:sz w:val="16"/>
        </w:rPr>
      </w:pPr>
    </w:p>
    <w:p w14:paraId="569FB84C" w14:textId="77777777" w:rsidR="003A4304" w:rsidRPr="00615190" w:rsidRDefault="00FE5376" w:rsidP="00FA7399">
      <w:pPr>
        <w:rPr>
          <w:rFonts w:ascii="Tahoma" w:hAnsi="Tahoma"/>
          <w:color w:val="000000" w:themeColor="text1"/>
          <w:sz w:val="16"/>
        </w:rPr>
      </w:pPr>
      <w:r>
        <w:rPr>
          <w:rFonts w:ascii="Tahoma" w:hAnsi="Tahoma"/>
          <w:color w:val="000000" w:themeColor="text1"/>
          <w:sz w:val="16"/>
        </w:rPr>
        <w:br w:type="page"/>
      </w:r>
    </w:p>
    <w:tbl>
      <w:tblPr>
        <w:tblW w:w="10206" w:type="dxa"/>
        <w:tblInd w:w="-8" w:type="dxa"/>
        <w:tblLayout w:type="fixed"/>
        <w:tblCellMar>
          <w:left w:w="0" w:type="dxa"/>
          <w:right w:w="0" w:type="dxa"/>
        </w:tblCellMar>
        <w:tblLook w:val="0000" w:firstRow="0" w:lastRow="0" w:firstColumn="0" w:lastColumn="0" w:noHBand="0" w:noVBand="0"/>
      </w:tblPr>
      <w:tblGrid>
        <w:gridCol w:w="397"/>
        <w:gridCol w:w="6407"/>
        <w:gridCol w:w="1134"/>
        <w:gridCol w:w="1134"/>
        <w:gridCol w:w="1134"/>
      </w:tblGrid>
      <w:tr w:rsidR="00164EA5" w:rsidRPr="00971900" w14:paraId="6CAFB500" w14:textId="77777777" w:rsidTr="00500DDE">
        <w:trPr>
          <w:trHeight w:val="60"/>
        </w:trPr>
        <w:tc>
          <w:tcPr>
            <w:tcW w:w="397" w:type="dxa"/>
            <w:shd w:val="clear" w:color="auto" w:fill="auto"/>
            <w:tcMar>
              <w:top w:w="0" w:type="dxa"/>
              <w:left w:w="0" w:type="dxa"/>
              <w:bottom w:w="113" w:type="dxa"/>
              <w:right w:w="0" w:type="dxa"/>
            </w:tcMar>
            <w:vAlign w:val="bottom"/>
          </w:tcPr>
          <w:p w14:paraId="486E2602" w14:textId="77777777" w:rsidR="00164EA5" w:rsidRPr="003A4304" w:rsidRDefault="00164EA5" w:rsidP="00164EA5">
            <w:pPr>
              <w:spacing w:line="240" w:lineRule="atLeast"/>
              <w:rPr>
                <w:rFonts w:ascii="Tahoma" w:hAnsi="Tahoma"/>
                <w:b/>
                <w:bCs/>
                <w:color w:val="000000" w:themeColor="text1"/>
                <w:sz w:val="16"/>
                <w:lang w:val="en-GB"/>
              </w:rPr>
            </w:pPr>
            <w:r w:rsidRPr="003A4304">
              <w:rPr>
                <w:rFonts w:ascii="Tahoma" w:hAnsi="Tahoma"/>
                <w:b/>
                <w:bCs/>
                <w:color w:val="000000" w:themeColor="text1"/>
                <w:sz w:val="16"/>
                <w:lang w:val="en-GB"/>
              </w:rPr>
              <w:lastRenderedPageBreak/>
              <w:t>6.</w:t>
            </w:r>
          </w:p>
        </w:tc>
        <w:tc>
          <w:tcPr>
            <w:tcW w:w="9809" w:type="dxa"/>
            <w:gridSpan w:val="4"/>
            <w:shd w:val="clear" w:color="auto" w:fill="auto"/>
            <w:tcMar>
              <w:top w:w="0" w:type="dxa"/>
              <w:left w:w="0" w:type="dxa"/>
              <w:bottom w:w="113" w:type="dxa"/>
              <w:right w:w="0" w:type="dxa"/>
            </w:tcMar>
            <w:vAlign w:val="bottom"/>
          </w:tcPr>
          <w:p w14:paraId="44B4F1DE" w14:textId="77777777" w:rsidR="00164EA5" w:rsidRPr="003A4304" w:rsidRDefault="00164EA5" w:rsidP="00164EA5">
            <w:pPr>
              <w:spacing w:line="240" w:lineRule="atLeast"/>
              <w:rPr>
                <w:rFonts w:ascii="Tahoma" w:hAnsi="Tahoma"/>
                <w:b/>
                <w:bCs/>
                <w:color w:val="000000" w:themeColor="text1"/>
                <w:sz w:val="16"/>
                <w:lang w:val="en-GB"/>
              </w:rPr>
            </w:pPr>
            <w:r w:rsidRPr="003A4304">
              <w:rPr>
                <w:rFonts w:ascii="Tahoma" w:hAnsi="Tahoma"/>
                <w:b/>
                <w:bCs/>
                <w:color w:val="000000" w:themeColor="text1"/>
                <w:sz w:val="16"/>
                <w:lang w:val="en-GB"/>
              </w:rPr>
              <w:t>EARNINGS PER SHARE (continued)</w:t>
            </w:r>
          </w:p>
        </w:tc>
      </w:tr>
      <w:tr w:rsidR="00615190" w:rsidRPr="00971900" w14:paraId="53D6D684" w14:textId="77777777" w:rsidTr="00FF610B">
        <w:trPr>
          <w:trHeight w:val="60"/>
        </w:trPr>
        <w:tc>
          <w:tcPr>
            <w:tcW w:w="397" w:type="dxa"/>
            <w:shd w:val="clear" w:color="auto" w:fill="auto"/>
            <w:tcMar>
              <w:top w:w="85" w:type="dxa"/>
              <w:left w:w="0" w:type="dxa"/>
              <w:bottom w:w="85" w:type="dxa"/>
              <w:right w:w="0" w:type="dxa"/>
            </w:tcMar>
            <w:vAlign w:val="bottom"/>
          </w:tcPr>
          <w:p w14:paraId="2BBFBBA9" w14:textId="77777777" w:rsidR="00971900" w:rsidRPr="00971900" w:rsidRDefault="00971900" w:rsidP="00615190">
            <w:pPr>
              <w:spacing w:line="240" w:lineRule="atLeast"/>
              <w:rPr>
                <w:rFonts w:ascii="Tahoma" w:hAnsi="Tahoma"/>
                <w:color w:val="000000" w:themeColor="text1"/>
                <w:sz w:val="16"/>
                <w:lang w:val="en-GB"/>
              </w:rPr>
            </w:pPr>
          </w:p>
        </w:tc>
        <w:tc>
          <w:tcPr>
            <w:tcW w:w="6407" w:type="dxa"/>
            <w:shd w:val="clear" w:color="auto" w:fill="auto"/>
            <w:tcMar>
              <w:top w:w="85" w:type="dxa"/>
              <w:left w:w="0" w:type="dxa"/>
              <w:bottom w:w="85" w:type="dxa"/>
              <w:right w:w="0" w:type="dxa"/>
            </w:tcMar>
            <w:vAlign w:val="bottom"/>
          </w:tcPr>
          <w:p w14:paraId="758F0334" w14:textId="77777777" w:rsidR="00971900" w:rsidRPr="00971900" w:rsidRDefault="00971900" w:rsidP="00615190">
            <w:pPr>
              <w:spacing w:line="240" w:lineRule="atLeast"/>
              <w:rPr>
                <w:rFonts w:ascii="Tahoma" w:hAnsi="Tahoma"/>
                <w:color w:val="000000" w:themeColor="text1"/>
                <w:sz w:val="16"/>
                <w:lang w:val="en-GB"/>
              </w:rPr>
            </w:pPr>
          </w:p>
        </w:tc>
        <w:tc>
          <w:tcPr>
            <w:tcW w:w="2268" w:type="dxa"/>
            <w:gridSpan w:val="2"/>
            <w:shd w:val="clear" w:color="auto" w:fill="auto"/>
            <w:tcMar>
              <w:top w:w="85" w:type="dxa"/>
              <w:left w:w="0" w:type="dxa"/>
              <w:bottom w:w="85" w:type="dxa"/>
              <w:right w:w="0" w:type="dxa"/>
            </w:tcMar>
            <w:vAlign w:val="bottom"/>
          </w:tcPr>
          <w:p w14:paraId="0A7AE6AB" w14:textId="77777777" w:rsidR="00971900" w:rsidRPr="00971900" w:rsidRDefault="00971900" w:rsidP="007538B5">
            <w:pPr>
              <w:spacing w:line="240" w:lineRule="atLeast"/>
              <w:ind w:left="571"/>
              <w:jc w:val="center"/>
              <w:rPr>
                <w:rFonts w:ascii="Tahoma" w:hAnsi="Tahoma"/>
                <w:b/>
                <w:bCs/>
                <w:color w:val="000000" w:themeColor="text1"/>
                <w:sz w:val="16"/>
                <w:lang w:val="en-GB"/>
              </w:rPr>
            </w:pPr>
            <w:r w:rsidRPr="00971900">
              <w:rPr>
                <w:rFonts w:ascii="Tahoma" w:hAnsi="Tahoma"/>
                <w:b/>
                <w:bCs/>
                <w:color w:val="000000" w:themeColor="text1"/>
                <w:sz w:val="16"/>
                <w:lang w:val="en-GB"/>
              </w:rPr>
              <w:t>Six months ended</w:t>
            </w:r>
          </w:p>
          <w:p w14:paraId="27EFDC81" w14:textId="77777777" w:rsidR="00971900" w:rsidRPr="00971900" w:rsidRDefault="00971900" w:rsidP="007538B5">
            <w:pPr>
              <w:spacing w:line="240" w:lineRule="atLeast"/>
              <w:ind w:left="571"/>
              <w:jc w:val="center"/>
              <w:rPr>
                <w:rFonts w:ascii="Tahoma" w:hAnsi="Tahoma"/>
                <w:color w:val="000000" w:themeColor="text1"/>
                <w:sz w:val="16"/>
                <w:lang w:val="en-GB"/>
              </w:rPr>
            </w:pPr>
            <w:r w:rsidRPr="00971900">
              <w:rPr>
                <w:rFonts w:ascii="Tahoma" w:hAnsi="Tahoma"/>
                <w:b/>
                <w:bCs/>
                <w:color w:val="000000" w:themeColor="text1"/>
                <w:sz w:val="16"/>
                <w:lang w:val="en-GB"/>
              </w:rPr>
              <w:t>30 September</w:t>
            </w:r>
          </w:p>
        </w:tc>
        <w:tc>
          <w:tcPr>
            <w:tcW w:w="1134" w:type="dxa"/>
            <w:shd w:val="clear" w:color="auto" w:fill="auto"/>
            <w:tcMar>
              <w:top w:w="85" w:type="dxa"/>
              <w:left w:w="0" w:type="dxa"/>
              <w:bottom w:w="85" w:type="dxa"/>
              <w:right w:w="0" w:type="dxa"/>
            </w:tcMar>
            <w:vAlign w:val="bottom"/>
          </w:tcPr>
          <w:p w14:paraId="37EB050D" w14:textId="77777777" w:rsidR="00971900" w:rsidRPr="00971900" w:rsidRDefault="00971900" w:rsidP="00500DDE">
            <w:pPr>
              <w:spacing w:line="240" w:lineRule="atLeast"/>
              <w:jc w:val="right"/>
              <w:rPr>
                <w:rFonts w:ascii="Tahoma" w:hAnsi="Tahoma"/>
                <w:color w:val="000000" w:themeColor="text1"/>
                <w:sz w:val="16"/>
                <w:lang w:val="en-GB"/>
              </w:rPr>
            </w:pPr>
            <w:r w:rsidRPr="00971900">
              <w:rPr>
                <w:rFonts w:ascii="Tahoma" w:hAnsi="Tahoma"/>
                <w:color w:val="000000" w:themeColor="text1"/>
                <w:sz w:val="16"/>
                <w:lang w:val="en-GB"/>
              </w:rPr>
              <w:t>Year</w:t>
            </w:r>
          </w:p>
          <w:p w14:paraId="4E2D8270" w14:textId="77777777" w:rsidR="00971900" w:rsidRPr="00971900" w:rsidRDefault="00971900" w:rsidP="00500DDE">
            <w:pPr>
              <w:spacing w:line="240" w:lineRule="atLeast"/>
              <w:jc w:val="right"/>
              <w:rPr>
                <w:rFonts w:ascii="Tahoma" w:hAnsi="Tahoma"/>
                <w:color w:val="000000" w:themeColor="text1"/>
                <w:sz w:val="16"/>
                <w:lang w:val="en-GB"/>
              </w:rPr>
            </w:pPr>
            <w:r w:rsidRPr="00971900">
              <w:rPr>
                <w:rFonts w:ascii="Tahoma" w:hAnsi="Tahoma"/>
                <w:color w:val="000000" w:themeColor="text1"/>
                <w:sz w:val="16"/>
                <w:lang w:val="en-GB"/>
              </w:rPr>
              <w:t>ended</w:t>
            </w:r>
          </w:p>
          <w:p w14:paraId="42F1DDCD" w14:textId="77777777" w:rsidR="00971900" w:rsidRPr="00971900" w:rsidRDefault="00971900" w:rsidP="00500DDE">
            <w:pPr>
              <w:spacing w:line="240" w:lineRule="atLeast"/>
              <w:jc w:val="right"/>
              <w:rPr>
                <w:rFonts w:ascii="Tahoma" w:hAnsi="Tahoma"/>
                <w:color w:val="000000" w:themeColor="text1"/>
                <w:sz w:val="16"/>
                <w:lang w:val="en-GB"/>
              </w:rPr>
            </w:pPr>
            <w:r w:rsidRPr="00971900">
              <w:rPr>
                <w:rFonts w:ascii="Tahoma" w:hAnsi="Tahoma"/>
                <w:color w:val="000000" w:themeColor="text1"/>
                <w:sz w:val="16"/>
                <w:lang w:val="en-GB"/>
              </w:rPr>
              <w:t>31 March</w:t>
            </w:r>
          </w:p>
        </w:tc>
      </w:tr>
      <w:tr w:rsidR="00615190" w:rsidRPr="00971900" w14:paraId="5E63468F" w14:textId="77777777" w:rsidTr="00FF610B">
        <w:trPr>
          <w:trHeight w:val="60"/>
        </w:trPr>
        <w:tc>
          <w:tcPr>
            <w:tcW w:w="397" w:type="dxa"/>
            <w:shd w:val="clear" w:color="auto" w:fill="auto"/>
            <w:tcMar>
              <w:top w:w="113" w:type="dxa"/>
              <w:left w:w="0" w:type="dxa"/>
              <w:bottom w:w="113" w:type="dxa"/>
              <w:right w:w="0" w:type="dxa"/>
            </w:tcMar>
            <w:vAlign w:val="bottom"/>
          </w:tcPr>
          <w:p w14:paraId="73F06602" w14:textId="77777777" w:rsidR="00971900" w:rsidRPr="00971900" w:rsidRDefault="00971900" w:rsidP="00615190">
            <w:pPr>
              <w:spacing w:line="240" w:lineRule="atLeast"/>
              <w:rPr>
                <w:rFonts w:ascii="Tahoma" w:hAnsi="Tahoma"/>
                <w:color w:val="000000" w:themeColor="text1"/>
                <w:sz w:val="16"/>
                <w:lang w:val="en-GB"/>
              </w:rPr>
            </w:pPr>
          </w:p>
        </w:tc>
        <w:tc>
          <w:tcPr>
            <w:tcW w:w="6407" w:type="dxa"/>
            <w:tcBorders>
              <w:bottom w:val="single" w:sz="12" w:space="0" w:color="auto"/>
            </w:tcBorders>
            <w:shd w:val="clear" w:color="auto" w:fill="auto"/>
            <w:tcMar>
              <w:top w:w="113" w:type="dxa"/>
              <w:left w:w="0" w:type="dxa"/>
              <w:bottom w:w="113" w:type="dxa"/>
              <w:right w:w="0" w:type="dxa"/>
            </w:tcMar>
            <w:vAlign w:val="bottom"/>
          </w:tcPr>
          <w:p w14:paraId="688655AF" w14:textId="77777777" w:rsidR="00971900" w:rsidRPr="00971900" w:rsidRDefault="00971900" w:rsidP="00615190">
            <w:pPr>
              <w:spacing w:line="240" w:lineRule="atLeast"/>
              <w:rPr>
                <w:rFonts w:ascii="Tahoma" w:hAnsi="Tahoma"/>
                <w:color w:val="000000" w:themeColor="text1"/>
                <w:sz w:val="16"/>
                <w:lang w:val="en-GB"/>
              </w:rPr>
            </w:pPr>
          </w:p>
        </w:tc>
        <w:tc>
          <w:tcPr>
            <w:tcW w:w="1134" w:type="dxa"/>
            <w:tcBorders>
              <w:bottom w:val="single" w:sz="12" w:space="0" w:color="auto"/>
            </w:tcBorders>
            <w:shd w:val="clear" w:color="auto" w:fill="auto"/>
            <w:tcMar>
              <w:top w:w="113" w:type="dxa"/>
              <w:left w:w="0" w:type="dxa"/>
              <w:bottom w:w="113" w:type="dxa"/>
              <w:right w:w="0" w:type="dxa"/>
            </w:tcMar>
            <w:vAlign w:val="bottom"/>
          </w:tcPr>
          <w:p w14:paraId="0491F744" w14:textId="77777777" w:rsidR="00971900" w:rsidRPr="00971900" w:rsidRDefault="00971900" w:rsidP="00500DDE">
            <w:pPr>
              <w:spacing w:line="240" w:lineRule="atLeast"/>
              <w:jc w:val="right"/>
              <w:rPr>
                <w:rFonts w:ascii="Tahoma" w:hAnsi="Tahoma"/>
                <w:b/>
                <w:bCs/>
                <w:color w:val="000000" w:themeColor="text1"/>
                <w:sz w:val="16"/>
                <w:lang w:val="en-GB"/>
              </w:rPr>
            </w:pPr>
            <w:r w:rsidRPr="00971900">
              <w:rPr>
                <w:rFonts w:ascii="Tahoma" w:hAnsi="Tahoma"/>
                <w:b/>
                <w:bCs/>
                <w:color w:val="000000" w:themeColor="text1"/>
                <w:sz w:val="16"/>
                <w:lang w:val="en-GB"/>
              </w:rPr>
              <w:t>2022</w:t>
            </w:r>
          </w:p>
          <w:p w14:paraId="6EC79343" w14:textId="77777777" w:rsidR="00971900" w:rsidRPr="00971900" w:rsidRDefault="00971900" w:rsidP="00500DDE">
            <w:pPr>
              <w:spacing w:line="240" w:lineRule="atLeast"/>
              <w:jc w:val="right"/>
              <w:rPr>
                <w:rFonts w:ascii="Tahoma" w:hAnsi="Tahoma"/>
                <w:b/>
                <w:bCs/>
                <w:color w:val="000000" w:themeColor="text1"/>
                <w:sz w:val="16"/>
                <w:lang w:val="en-GB"/>
              </w:rPr>
            </w:pPr>
            <w:proofErr w:type="spellStart"/>
            <w:r w:rsidRPr="00971900">
              <w:rPr>
                <w:rFonts w:ascii="Tahoma" w:hAnsi="Tahoma"/>
                <w:b/>
                <w:bCs/>
                <w:color w:val="000000" w:themeColor="text1"/>
                <w:sz w:val="16"/>
                <w:lang w:val="en-GB"/>
              </w:rPr>
              <w:t>US$’m</w:t>
            </w:r>
            <w:proofErr w:type="spellEnd"/>
          </w:p>
        </w:tc>
        <w:tc>
          <w:tcPr>
            <w:tcW w:w="1134" w:type="dxa"/>
            <w:tcBorders>
              <w:bottom w:val="single" w:sz="12" w:space="0" w:color="auto"/>
            </w:tcBorders>
            <w:shd w:val="clear" w:color="auto" w:fill="auto"/>
            <w:tcMar>
              <w:top w:w="113" w:type="dxa"/>
              <w:left w:w="0" w:type="dxa"/>
              <w:bottom w:w="113" w:type="dxa"/>
              <w:right w:w="0" w:type="dxa"/>
            </w:tcMar>
            <w:vAlign w:val="bottom"/>
          </w:tcPr>
          <w:p w14:paraId="79696DF1" w14:textId="77777777" w:rsidR="00971900" w:rsidRPr="00971900" w:rsidRDefault="00971900" w:rsidP="00500DDE">
            <w:pPr>
              <w:spacing w:line="240" w:lineRule="atLeast"/>
              <w:jc w:val="right"/>
              <w:rPr>
                <w:rFonts w:ascii="Tahoma" w:hAnsi="Tahoma"/>
                <w:color w:val="000000" w:themeColor="text1"/>
                <w:sz w:val="16"/>
                <w:lang w:val="en-GB"/>
              </w:rPr>
            </w:pPr>
            <w:r w:rsidRPr="00971900">
              <w:rPr>
                <w:rFonts w:ascii="Tahoma" w:hAnsi="Tahoma"/>
                <w:color w:val="000000" w:themeColor="text1"/>
                <w:sz w:val="16"/>
                <w:lang w:val="en-GB"/>
              </w:rPr>
              <w:t>2021</w:t>
            </w:r>
          </w:p>
          <w:p w14:paraId="5CABB973" w14:textId="77777777" w:rsidR="00971900" w:rsidRPr="00971900" w:rsidRDefault="00971900" w:rsidP="00500DDE">
            <w:pPr>
              <w:spacing w:line="240" w:lineRule="atLeast"/>
              <w:jc w:val="right"/>
              <w:rPr>
                <w:rFonts w:ascii="Tahoma" w:hAnsi="Tahoma"/>
                <w:color w:val="000000" w:themeColor="text1"/>
                <w:sz w:val="16"/>
                <w:lang w:val="en-GB"/>
              </w:rPr>
            </w:pPr>
            <w:proofErr w:type="spellStart"/>
            <w:r w:rsidRPr="00971900">
              <w:rPr>
                <w:rFonts w:ascii="Tahoma" w:hAnsi="Tahoma"/>
                <w:color w:val="000000" w:themeColor="text1"/>
                <w:sz w:val="16"/>
                <w:lang w:val="en-GB"/>
              </w:rPr>
              <w:t>US$’m</w:t>
            </w:r>
            <w:proofErr w:type="spellEnd"/>
          </w:p>
        </w:tc>
        <w:tc>
          <w:tcPr>
            <w:tcW w:w="1134" w:type="dxa"/>
            <w:tcBorders>
              <w:bottom w:val="single" w:sz="12" w:space="0" w:color="auto"/>
            </w:tcBorders>
            <w:shd w:val="clear" w:color="auto" w:fill="auto"/>
            <w:tcMar>
              <w:top w:w="113" w:type="dxa"/>
              <w:left w:w="0" w:type="dxa"/>
              <w:bottom w:w="113" w:type="dxa"/>
              <w:right w:w="0" w:type="dxa"/>
            </w:tcMar>
            <w:vAlign w:val="bottom"/>
          </w:tcPr>
          <w:p w14:paraId="42F65734" w14:textId="77777777" w:rsidR="00971900" w:rsidRPr="00971900" w:rsidRDefault="00971900" w:rsidP="00500DDE">
            <w:pPr>
              <w:spacing w:line="240" w:lineRule="atLeast"/>
              <w:jc w:val="right"/>
              <w:rPr>
                <w:rFonts w:ascii="Tahoma" w:hAnsi="Tahoma"/>
                <w:color w:val="000000" w:themeColor="text1"/>
                <w:sz w:val="16"/>
                <w:lang w:val="en-GB"/>
              </w:rPr>
            </w:pPr>
            <w:r w:rsidRPr="00971900">
              <w:rPr>
                <w:rFonts w:ascii="Tahoma" w:hAnsi="Tahoma"/>
                <w:color w:val="000000" w:themeColor="text1"/>
                <w:sz w:val="16"/>
                <w:lang w:val="en-GB"/>
              </w:rPr>
              <w:t>2022</w:t>
            </w:r>
          </w:p>
          <w:p w14:paraId="7F7C4B57" w14:textId="77777777" w:rsidR="00971900" w:rsidRPr="00971900" w:rsidRDefault="00971900" w:rsidP="00500DDE">
            <w:pPr>
              <w:spacing w:line="240" w:lineRule="atLeast"/>
              <w:jc w:val="right"/>
              <w:rPr>
                <w:rFonts w:ascii="Tahoma" w:hAnsi="Tahoma"/>
                <w:color w:val="000000" w:themeColor="text1"/>
                <w:sz w:val="16"/>
                <w:lang w:val="en-GB"/>
              </w:rPr>
            </w:pPr>
            <w:proofErr w:type="spellStart"/>
            <w:r w:rsidRPr="00971900">
              <w:rPr>
                <w:rFonts w:ascii="Tahoma" w:hAnsi="Tahoma"/>
                <w:color w:val="000000" w:themeColor="text1"/>
                <w:sz w:val="16"/>
                <w:lang w:val="en-GB"/>
              </w:rPr>
              <w:t>US$’m</w:t>
            </w:r>
            <w:proofErr w:type="spellEnd"/>
          </w:p>
        </w:tc>
      </w:tr>
      <w:tr w:rsidR="00615190" w:rsidRPr="00971900" w14:paraId="32301E33" w14:textId="77777777" w:rsidTr="00764102">
        <w:trPr>
          <w:trHeight w:val="60"/>
        </w:trPr>
        <w:tc>
          <w:tcPr>
            <w:tcW w:w="397" w:type="dxa"/>
            <w:shd w:val="clear" w:color="auto" w:fill="auto"/>
            <w:tcMar>
              <w:top w:w="142" w:type="dxa"/>
              <w:left w:w="0" w:type="dxa"/>
              <w:bottom w:w="34" w:type="dxa"/>
              <w:right w:w="0" w:type="dxa"/>
            </w:tcMar>
            <w:vAlign w:val="bottom"/>
          </w:tcPr>
          <w:p w14:paraId="2196C2D4" w14:textId="77777777" w:rsidR="00971900" w:rsidRPr="00971900" w:rsidRDefault="00971900" w:rsidP="00615190">
            <w:pPr>
              <w:spacing w:line="240" w:lineRule="atLeast"/>
              <w:rPr>
                <w:rFonts w:ascii="Tahoma" w:hAnsi="Tahoma"/>
                <w:color w:val="000000" w:themeColor="text1"/>
                <w:sz w:val="16"/>
                <w:lang w:val="en-GB"/>
              </w:rPr>
            </w:pPr>
          </w:p>
        </w:tc>
        <w:tc>
          <w:tcPr>
            <w:tcW w:w="6407" w:type="dxa"/>
            <w:tcBorders>
              <w:top w:val="single" w:sz="12" w:space="0" w:color="auto"/>
            </w:tcBorders>
            <w:shd w:val="clear" w:color="auto" w:fill="auto"/>
            <w:tcMar>
              <w:top w:w="142" w:type="dxa"/>
              <w:left w:w="0" w:type="dxa"/>
              <w:bottom w:w="34" w:type="dxa"/>
              <w:right w:w="0" w:type="dxa"/>
            </w:tcMar>
            <w:vAlign w:val="bottom"/>
          </w:tcPr>
          <w:p w14:paraId="2FBD018E" w14:textId="77777777" w:rsidR="00971900" w:rsidRPr="00971900" w:rsidRDefault="00971900" w:rsidP="00615190">
            <w:pPr>
              <w:spacing w:line="240" w:lineRule="atLeast"/>
              <w:rPr>
                <w:rFonts w:ascii="Tahoma" w:hAnsi="Tahoma"/>
                <w:color w:val="000000" w:themeColor="text1"/>
                <w:sz w:val="16"/>
                <w:lang w:val="en-GB"/>
              </w:rPr>
            </w:pPr>
            <w:r w:rsidRPr="00971900">
              <w:rPr>
                <w:rFonts w:ascii="Tahoma" w:hAnsi="Tahoma"/>
                <w:color w:val="000000" w:themeColor="text1"/>
                <w:sz w:val="16"/>
                <w:lang w:val="en-GB"/>
              </w:rPr>
              <w:t>Earnings attributable to shareholders from continuing operations</w:t>
            </w:r>
          </w:p>
        </w:tc>
        <w:tc>
          <w:tcPr>
            <w:tcW w:w="1134" w:type="dxa"/>
            <w:tcBorders>
              <w:top w:val="single" w:sz="12" w:space="0" w:color="auto"/>
            </w:tcBorders>
            <w:shd w:val="clear" w:color="auto" w:fill="auto"/>
            <w:tcMar>
              <w:top w:w="142" w:type="dxa"/>
              <w:left w:w="0" w:type="dxa"/>
              <w:bottom w:w="34" w:type="dxa"/>
              <w:right w:w="0" w:type="dxa"/>
            </w:tcMar>
            <w:vAlign w:val="bottom"/>
          </w:tcPr>
          <w:p w14:paraId="00F16374" w14:textId="77777777" w:rsidR="00971900" w:rsidRPr="00971900" w:rsidRDefault="00971900" w:rsidP="00500DDE">
            <w:pPr>
              <w:spacing w:line="240" w:lineRule="atLeast"/>
              <w:jc w:val="right"/>
              <w:rPr>
                <w:rFonts w:ascii="Tahoma" w:hAnsi="Tahoma"/>
                <w:b/>
                <w:bCs/>
                <w:color w:val="000000" w:themeColor="text1"/>
                <w:sz w:val="16"/>
                <w:lang w:val="en-GB"/>
              </w:rPr>
            </w:pPr>
            <w:r w:rsidRPr="00971900">
              <w:rPr>
                <w:rFonts w:ascii="Tahoma" w:hAnsi="Tahoma"/>
                <w:b/>
                <w:bCs/>
                <w:color w:val="000000" w:themeColor="text1"/>
                <w:sz w:val="16"/>
                <w:lang w:val="en-GB"/>
              </w:rPr>
              <w:t>2 345</w:t>
            </w:r>
          </w:p>
        </w:tc>
        <w:tc>
          <w:tcPr>
            <w:tcW w:w="1134" w:type="dxa"/>
            <w:tcBorders>
              <w:top w:val="single" w:sz="12" w:space="0" w:color="auto"/>
            </w:tcBorders>
            <w:shd w:val="clear" w:color="auto" w:fill="auto"/>
            <w:tcMar>
              <w:top w:w="142" w:type="dxa"/>
              <w:left w:w="0" w:type="dxa"/>
              <w:bottom w:w="34" w:type="dxa"/>
              <w:right w:w="0" w:type="dxa"/>
            </w:tcMar>
            <w:vAlign w:val="bottom"/>
          </w:tcPr>
          <w:p w14:paraId="47811BD4" w14:textId="77777777" w:rsidR="00971900" w:rsidRPr="00971900" w:rsidRDefault="00971900" w:rsidP="00500DDE">
            <w:pPr>
              <w:spacing w:line="240" w:lineRule="atLeast"/>
              <w:jc w:val="right"/>
              <w:rPr>
                <w:rFonts w:ascii="Tahoma" w:hAnsi="Tahoma"/>
                <w:color w:val="000000" w:themeColor="text1"/>
                <w:sz w:val="16"/>
                <w:lang w:val="en-GB"/>
              </w:rPr>
            </w:pPr>
            <w:r w:rsidRPr="00971900">
              <w:rPr>
                <w:rFonts w:ascii="Tahoma" w:hAnsi="Tahoma"/>
                <w:color w:val="000000" w:themeColor="text1"/>
                <w:sz w:val="16"/>
                <w:lang w:val="en-GB"/>
              </w:rPr>
              <w:t>15 797</w:t>
            </w:r>
          </w:p>
        </w:tc>
        <w:tc>
          <w:tcPr>
            <w:tcW w:w="1134" w:type="dxa"/>
            <w:tcBorders>
              <w:top w:val="single" w:sz="12" w:space="0" w:color="auto"/>
            </w:tcBorders>
            <w:shd w:val="clear" w:color="auto" w:fill="auto"/>
            <w:tcMar>
              <w:top w:w="142" w:type="dxa"/>
              <w:left w:w="0" w:type="dxa"/>
              <w:bottom w:w="34" w:type="dxa"/>
              <w:right w:w="0" w:type="dxa"/>
            </w:tcMar>
            <w:vAlign w:val="bottom"/>
          </w:tcPr>
          <w:p w14:paraId="3F1560D2" w14:textId="77777777" w:rsidR="00971900" w:rsidRPr="00971900" w:rsidRDefault="00971900" w:rsidP="00500DDE">
            <w:pPr>
              <w:spacing w:line="240" w:lineRule="atLeast"/>
              <w:jc w:val="right"/>
              <w:rPr>
                <w:rFonts w:ascii="Tahoma" w:hAnsi="Tahoma"/>
                <w:color w:val="000000" w:themeColor="text1"/>
                <w:sz w:val="16"/>
                <w:lang w:val="en-GB"/>
              </w:rPr>
            </w:pPr>
            <w:r w:rsidRPr="00971900">
              <w:rPr>
                <w:rFonts w:ascii="Tahoma" w:hAnsi="Tahoma"/>
                <w:color w:val="000000" w:themeColor="text1"/>
                <w:sz w:val="16"/>
                <w:lang w:val="en-GB"/>
              </w:rPr>
              <w:t>18 578</w:t>
            </w:r>
          </w:p>
        </w:tc>
      </w:tr>
      <w:tr w:rsidR="00615190" w:rsidRPr="00971900" w14:paraId="32246496" w14:textId="77777777" w:rsidTr="00764102">
        <w:trPr>
          <w:trHeight w:val="60"/>
        </w:trPr>
        <w:tc>
          <w:tcPr>
            <w:tcW w:w="397" w:type="dxa"/>
            <w:shd w:val="clear" w:color="auto" w:fill="auto"/>
            <w:tcMar>
              <w:top w:w="34" w:type="dxa"/>
              <w:left w:w="0" w:type="dxa"/>
              <w:bottom w:w="68" w:type="dxa"/>
              <w:right w:w="0" w:type="dxa"/>
            </w:tcMar>
            <w:vAlign w:val="bottom"/>
          </w:tcPr>
          <w:p w14:paraId="7B03500F" w14:textId="77777777" w:rsidR="00971900" w:rsidRPr="00971900" w:rsidRDefault="00971900" w:rsidP="00615190">
            <w:pPr>
              <w:spacing w:line="240" w:lineRule="atLeast"/>
              <w:rPr>
                <w:rFonts w:ascii="Tahoma" w:hAnsi="Tahoma"/>
                <w:color w:val="000000" w:themeColor="text1"/>
                <w:sz w:val="16"/>
                <w:lang w:val="en-GB"/>
              </w:rPr>
            </w:pPr>
          </w:p>
        </w:tc>
        <w:tc>
          <w:tcPr>
            <w:tcW w:w="6407" w:type="dxa"/>
            <w:tcBorders>
              <w:bottom w:val="single" w:sz="12" w:space="0" w:color="auto"/>
            </w:tcBorders>
            <w:shd w:val="clear" w:color="auto" w:fill="auto"/>
            <w:tcMar>
              <w:top w:w="34" w:type="dxa"/>
              <w:left w:w="0" w:type="dxa"/>
              <w:bottom w:w="68" w:type="dxa"/>
              <w:right w:w="0" w:type="dxa"/>
            </w:tcMar>
            <w:vAlign w:val="bottom"/>
          </w:tcPr>
          <w:p w14:paraId="49233EDE" w14:textId="77777777" w:rsidR="00971900" w:rsidRPr="00971900" w:rsidRDefault="00971900" w:rsidP="00615190">
            <w:pPr>
              <w:spacing w:line="240" w:lineRule="atLeast"/>
              <w:rPr>
                <w:rFonts w:ascii="Tahoma" w:hAnsi="Tahoma"/>
                <w:color w:val="000000" w:themeColor="text1"/>
                <w:sz w:val="16"/>
                <w:lang w:val="en-GB"/>
              </w:rPr>
            </w:pPr>
            <w:r w:rsidRPr="00971900">
              <w:rPr>
                <w:rFonts w:ascii="Tahoma" w:hAnsi="Tahoma"/>
                <w:color w:val="000000" w:themeColor="text1"/>
                <w:sz w:val="16"/>
                <w:lang w:val="en-GB"/>
              </w:rPr>
              <w:t>Headline earnings from continuing operations</w:t>
            </w:r>
          </w:p>
        </w:tc>
        <w:tc>
          <w:tcPr>
            <w:tcW w:w="1134" w:type="dxa"/>
            <w:tcBorders>
              <w:bottom w:val="single" w:sz="12" w:space="0" w:color="auto"/>
            </w:tcBorders>
            <w:shd w:val="clear" w:color="auto" w:fill="auto"/>
            <w:tcMar>
              <w:top w:w="34" w:type="dxa"/>
              <w:left w:w="0" w:type="dxa"/>
              <w:bottom w:w="68" w:type="dxa"/>
              <w:right w:w="0" w:type="dxa"/>
            </w:tcMar>
            <w:vAlign w:val="bottom"/>
          </w:tcPr>
          <w:p w14:paraId="682FA862" w14:textId="77777777" w:rsidR="00971900" w:rsidRPr="00971900" w:rsidRDefault="00971900" w:rsidP="00500DDE">
            <w:pPr>
              <w:spacing w:line="240" w:lineRule="atLeast"/>
              <w:jc w:val="right"/>
              <w:rPr>
                <w:rFonts w:ascii="Tahoma" w:hAnsi="Tahoma"/>
                <w:b/>
                <w:bCs/>
                <w:color w:val="000000" w:themeColor="text1"/>
                <w:sz w:val="16"/>
                <w:lang w:val="en-GB"/>
              </w:rPr>
            </w:pPr>
            <w:r w:rsidRPr="00971900">
              <w:rPr>
                <w:rFonts w:ascii="Tahoma" w:hAnsi="Tahoma"/>
                <w:b/>
                <w:bCs/>
                <w:color w:val="000000" w:themeColor="text1"/>
                <w:sz w:val="16"/>
                <w:lang w:val="en-GB"/>
              </w:rPr>
              <w:t>(6)</w:t>
            </w:r>
          </w:p>
        </w:tc>
        <w:tc>
          <w:tcPr>
            <w:tcW w:w="1134" w:type="dxa"/>
            <w:tcBorders>
              <w:bottom w:val="single" w:sz="12" w:space="0" w:color="auto"/>
            </w:tcBorders>
            <w:shd w:val="clear" w:color="auto" w:fill="auto"/>
            <w:tcMar>
              <w:top w:w="34" w:type="dxa"/>
              <w:left w:w="0" w:type="dxa"/>
              <w:bottom w:w="68" w:type="dxa"/>
              <w:right w:w="0" w:type="dxa"/>
            </w:tcMar>
            <w:vAlign w:val="bottom"/>
          </w:tcPr>
          <w:p w14:paraId="075B9A5C" w14:textId="77777777" w:rsidR="00971900" w:rsidRPr="00971900" w:rsidRDefault="00971900" w:rsidP="00500DDE">
            <w:pPr>
              <w:spacing w:line="240" w:lineRule="atLeast"/>
              <w:jc w:val="right"/>
              <w:rPr>
                <w:rFonts w:ascii="Tahoma" w:hAnsi="Tahoma"/>
                <w:color w:val="000000" w:themeColor="text1"/>
                <w:sz w:val="16"/>
                <w:lang w:val="en-GB"/>
              </w:rPr>
            </w:pPr>
            <w:r w:rsidRPr="00971900">
              <w:rPr>
                <w:rFonts w:ascii="Tahoma" w:hAnsi="Tahoma"/>
                <w:color w:val="000000" w:themeColor="text1"/>
                <w:sz w:val="16"/>
                <w:lang w:val="en-GB"/>
              </w:rPr>
              <w:t>2 260</w:t>
            </w:r>
          </w:p>
        </w:tc>
        <w:tc>
          <w:tcPr>
            <w:tcW w:w="1134" w:type="dxa"/>
            <w:tcBorders>
              <w:bottom w:val="single" w:sz="12" w:space="0" w:color="auto"/>
            </w:tcBorders>
            <w:shd w:val="clear" w:color="auto" w:fill="auto"/>
            <w:tcMar>
              <w:top w:w="34" w:type="dxa"/>
              <w:left w:w="0" w:type="dxa"/>
              <w:bottom w:w="68" w:type="dxa"/>
              <w:right w:w="0" w:type="dxa"/>
            </w:tcMar>
            <w:vAlign w:val="bottom"/>
          </w:tcPr>
          <w:p w14:paraId="603D7E55" w14:textId="77777777" w:rsidR="00971900" w:rsidRPr="00971900" w:rsidRDefault="00971900" w:rsidP="00500DDE">
            <w:pPr>
              <w:spacing w:line="240" w:lineRule="atLeast"/>
              <w:jc w:val="right"/>
              <w:rPr>
                <w:rFonts w:ascii="Tahoma" w:hAnsi="Tahoma"/>
                <w:color w:val="000000" w:themeColor="text1"/>
                <w:sz w:val="16"/>
                <w:lang w:val="en-GB"/>
              </w:rPr>
            </w:pPr>
            <w:r w:rsidRPr="00971900">
              <w:rPr>
                <w:rFonts w:ascii="Tahoma" w:hAnsi="Tahoma"/>
                <w:color w:val="000000" w:themeColor="text1"/>
                <w:sz w:val="16"/>
                <w:lang w:val="en-GB"/>
              </w:rPr>
              <w:t>2 921</w:t>
            </w:r>
          </w:p>
        </w:tc>
      </w:tr>
      <w:tr w:rsidR="00615190" w:rsidRPr="00971900" w14:paraId="63D0666E" w14:textId="77777777" w:rsidTr="00764102">
        <w:trPr>
          <w:trHeight w:hRule="exact" w:val="141"/>
        </w:trPr>
        <w:tc>
          <w:tcPr>
            <w:tcW w:w="397" w:type="dxa"/>
            <w:shd w:val="clear" w:color="auto" w:fill="auto"/>
            <w:tcMar>
              <w:top w:w="57" w:type="dxa"/>
              <w:left w:w="0" w:type="dxa"/>
              <w:bottom w:w="57" w:type="dxa"/>
              <w:right w:w="0" w:type="dxa"/>
            </w:tcMar>
            <w:vAlign w:val="bottom"/>
          </w:tcPr>
          <w:p w14:paraId="3933A2F0" w14:textId="77777777" w:rsidR="00971900" w:rsidRPr="00971900" w:rsidRDefault="00971900" w:rsidP="00615190">
            <w:pPr>
              <w:spacing w:line="240" w:lineRule="atLeast"/>
              <w:rPr>
                <w:rFonts w:ascii="Tahoma" w:hAnsi="Tahoma"/>
                <w:color w:val="000000" w:themeColor="text1"/>
                <w:sz w:val="16"/>
                <w:lang w:val="en-GB"/>
              </w:rPr>
            </w:pPr>
          </w:p>
        </w:tc>
        <w:tc>
          <w:tcPr>
            <w:tcW w:w="6407" w:type="dxa"/>
            <w:tcBorders>
              <w:top w:val="single" w:sz="12" w:space="0" w:color="auto"/>
            </w:tcBorders>
            <w:shd w:val="clear" w:color="auto" w:fill="auto"/>
            <w:tcMar>
              <w:top w:w="57" w:type="dxa"/>
              <w:left w:w="0" w:type="dxa"/>
              <w:bottom w:w="57" w:type="dxa"/>
              <w:right w:w="0" w:type="dxa"/>
            </w:tcMar>
            <w:vAlign w:val="bottom"/>
          </w:tcPr>
          <w:p w14:paraId="0CFE9FDE" w14:textId="77777777" w:rsidR="00971900" w:rsidRPr="00971900" w:rsidRDefault="00971900" w:rsidP="00615190">
            <w:pPr>
              <w:spacing w:line="240" w:lineRule="atLeast"/>
              <w:rPr>
                <w:rFonts w:ascii="Tahoma" w:hAnsi="Tahoma"/>
                <w:color w:val="000000" w:themeColor="text1"/>
                <w:sz w:val="16"/>
                <w:lang w:val="en-GB"/>
              </w:rPr>
            </w:pPr>
          </w:p>
        </w:tc>
        <w:tc>
          <w:tcPr>
            <w:tcW w:w="1134" w:type="dxa"/>
            <w:tcBorders>
              <w:top w:val="single" w:sz="12" w:space="0" w:color="auto"/>
            </w:tcBorders>
            <w:shd w:val="clear" w:color="auto" w:fill="auto"/>
            <w:tcMar>
              <w:top w:w="57" w:type="dxa"/>
              <w:left w:w="0" w:type="dxa"/>
              <w:bottom w:w="57" w:type="dxa"/>
              <w:right w:w="0" w:type="dxa"/>
            </w:tcMar>
            <w:vAlign w:val="bottom"/>
          </w:tcPr>
          <w:p w14:paraId="1F47B07D" w14:textId="77777777" w:rsidR="00971900" w:rsidRPr="00971900" w:rsidRDefault="00971900" w:rsidP="00615190">
            <w:pPr>
              <w:spacing w:line="240" w:lineRule="atLeast"/>
              <w:rPr>
                <w:rFonts w:ascii="Tahoma" w:hAnsi="Tahoma"/>
                <w:color w:val="000000" w:themeColor="text1"/>
                <w:sz w:val="16"/>
                <w:lang w:val="en-GB"/>
              </w:rPr>
            </w:pPr>
          </w:p>
        </w:tc>
        <w:tc>
          <w:tcPr>
            <w:tcW w:w="1134" w:type="dxa"/>
            <w:tcBorders>
              <w:top w:val="single" w:sz="12" w:space="0" w:color="auto"/>
            </w:tcBorders>
            <w:shd w:val="clear" w:color="auto" w:fill="auto"/>
            <w:tcMar>
              <w:top w:w="57" w:type="dxa"/>
              <w:left w:w="0" w:type="dxa"/>
              <w:bottom w:w="57" w:type="dxa"/>
              <w:right w:w="0" w:type="dxa"/>
            </w:tcMar>
            <w:vAlign w:val="bottom"/>
          </w:tcPr>
          <w:p w14:paraId="1C4A5EAA" w14:textId="77777777" w:rsidR="00971900" w:rsidRPr="00971900" w:rsidRDefault="00971900" w:rsidP="00615190">
            <w:pPr>
              <w:spacing w:line="240" w:lineRule="atLeast"/>
              <w:rPr>
                <w:rFonts w:ascii="Tahoma" w:hAnsi="Tahoma"/>
                <w:color w:val="000000" w:themeColor="text1"/>
                <w:sz w:val="16"/>
                <w:lang w:val="en-GB"/>
              </w:rPr>
            </w:pPr>
          </w:p>
        </w:tc>
        <w:tc>
          <w:tcPr>
            <w:tcW w:w="1134" w:type="dxa"/>
            <w:tcBorders>
              <w:top w:val="single" w:sz="12" w:space="0" w:color="auto"/>
            </w:tcBorders>
            <w:shd w:val="clear" w:color="auto" w:fill="auto"/>
            <w:tcMar>
              <w:top w:w="57" w:type="dxa"/>
              <w:left w:w="0" w:type="dxa"/>
              <w:bottom w:w="57" w:type="dxa"/>
              <w:right w:w="0" w:type="dxa"/>
            </w:tcMar>
            <w:vAlign w:val="bottom"/>
          </w:tcPr>
          <w:p w14:paraId="6C1E5C86" w14:textId="77777777" w:rsidR="00971900" w:rsidRPr="00971900" w:rsidRDefault="00971900" w:rsidP="00615190">
            <w:pPr>
              <w:spacing w:line="240" w:lineRule="atLeast"/>
              <w:rPr>
                <w:rFonts w:ascii="Tahoma" w:hAnsi="Tahoma"/>
                <w:color w:val="000000" w:themeColor="text1"/>
                <w:sz w:val="16"/>
                <w:lang w:val="en-GB"/>
              </w:rPr>
            </w:pPr>
          </w:p>
        </w:tc>
      </w:tr>
      <w:tr w:rsidR="00615190" w:rsidRPr="00971900" w14:paraId="21781C5C" w14:textId="77777777" w:rsidTr="00500DDE">
        <w:trPr>
          <w:trHeight w:val="60"/>
        </w:trPr>
        <w:tc>
          <w:tcPr>
            <w:tcW w:w="397" w:type="dxa"/>
            <w:shd w:val="clear" w:color="auto" w:fill="auto"/>
            <w:tcMar>
              <w:top w:w="85" w:type="dxa"/>
              <w:left w:w="0" w:type="dxa"/>
              <w:bottom w:w="57" w:type="dxa"/>
              <w:right w:w="0" w:type="dxa"/>
            </w:tcMar>
            <w:vAlign w:val="bottom"/>
          </w:tcPr>
          <w:p w14:paraId="4CF67D93" w14:textId="77777777" w:rsidR="00971900" w:rsidRPr="00971900" w:rsidRDefault="00971900" w:rsidP="00615190">
            <w:pPr>
              <w:spacing w:line="240" w:lineRule="atLeast"/>
              <w:rPr>
                <w:rFonts w:ascii="Tahoma" w:hAnsi="Tahoma"/>
                <w:color w:val="000000" w:themeColor="text1"/>
                <w:sz w:val="16"/>
                <w:lang w:val="en-GB"/>
              </w:rPr>
            </w:pPr>
          </w:p>
        </w:tc>
        <w:tc>
          <w:tcPr>
            <w:tcW w:w="6407" w:type="dxa"/>
            <w:shd w:val="clear" w:color="auto" w:fill="auto"/>
            <w:tcMar>
              <w:top w:w="85" w:type="dxa"/>
              <w:left w:w="0" w:type="dxa"/>
              <w:bottom w:w="57" w:type="dxa"/>
              <w:right w:w="0" w:type="dxa"/>
            </w:tcMar>
            <w:vAlign w:val="bottom"/>
          </w:tcPr>
          <w:p w14:paraId="273C54A9" w14:textId="77777777" w:rsidR="00971900" w:rsidRPr="00971900" w:rsidRDefault="00971900" w:rsidP="00615190">
            <w:pPr>
              <w:spacing w:line="240" w:lineRule="atLeast"/>
              <w:rPr>
                <w:rFonts w:ascii="Tahoma" w:hAnsi="Tahoma"/>
                <w:color w:val="000000" w:themeColor="text1"/>
                <w:sz w:val="16"/>
                <w:lang w:val="en-GB"/>
              </w:rPr>
            </w:pPr>
          </w:p>
        </w:tc>
        <w:tc>
          <w:tcPr>
            <w:tcW w:w="3402" w:type="dxa"/>
            <w:gridSpan w:val="3"/>
            <w:shd w:val="clear" w:color="auto" w:fill="auto"/>
            <w:tcMar>
              <w:top w:w="85" w:type="dxa"/>
              <w:left w:w="0" w:type="dxa"/>
              <w:bottom w:w="57" w:type="dxa"/>
              <w:right w:w="0" w:type="dxa"/>
            </w:tcMar>
            <w:vAlign w:val="bottom"/>
          </w:tcPr>
          <w:p w14:paraId="50888C38" w14:textId="77777777" w:rsidR="00971900" w:rsidRPr="00971900" w:rsidRDefault="00971900" w:rsidP="00615190">
            <w:pPr>
              <w:spacing w:line="240" w:lineRule="atLeast"/>
              <w:rPr>
                <w:rFonts w:ascii="Tahoma" w:hAnsi="Tahoma"/>
                <w:b/>
                <w:bCs/>
                <w:color w:val="000000" w:themeColor="text1"/>
                <w:sz w:val="16"/>
                <w:lang w:val="en-GB"/>
              </w:rPr>
            </w:pPr>
            <w:r w:rsidRPr="00971900">
              <w:rPr>
                <w:rFonts w:ascii="Tahoma" w:hAnsi="Tahoma"/>
                <w:b/>
                <w:bCs/>
                <w:color w:val="000000" w:themeColor="text1"/>
                <w:sz w:val="16"/>
                <w:lang w:val="en-GB"/>
              </w:rPr>
              <w:t>Number of participating ordinary shares N</w:t>
            </w:r>
          </w:p>
        </w:tc>
      </w:tr>
      <w:tr w:rsidR="00615190" w:rsidRPr="00971900" w14:paraId="5E8DABDC" w14:textId="77777777" w:rsidTr="009F4D03">
        <w:trPr>
          <w:trHeight w:val="60"/>
        </w:trPr>
        <w:tc>
          <w:tcPr>
            <w:tcW w:w="397" w:type="dxa"/>
            <w:shd w:val="clear" w:color="auto" w:fill="auto"/>
            <w:tcMar>
              <w:top w:w="57" w:type="dxa"/>
              <w:left w:w="0" w:type="dxa"/>
              <w:bottom w:w="85" w:type="dxa"/>
              <w:right w:w="0" w:type="dxa"/>
            </w:tcMar>
            <w:vAlign w:val="bottom"/>
          </w:tcPr>
          <w:p w14:paraId="17E4AB00" w14:textId="77777777" w:rsidR="00971900" w:rsidRPr="00971900" w:rsidRDefault="00971900" w:rsidP="00615190">
            <w:pPr>
              <w:spacing w:line="240" w:lineRule="atLeast"/>
              <w:rPr>
                <w:rFonts w:ascii="Tahoma" w:hAnsi="Tahoma"/>
                <w:color w:val="000000" w:themeColor="text1"/>
                <w:sz w:val="16"/>
                <w:lang w:val="en-GB"/>
              </w:rPr>
            </w:pPr>
          </w:p>
        </w:tc>
        <w:tc>
          <w:tcPr>
            <w:tcW w:w="6407" w:type="dxa"/>
            <w:shd w:val="clear" w:color="auto" w:fill="auto"/>
            <w:tcMar>
              <w:top w:w="57" w:type="dxa"/>
              <w:left w:w="0" w:type="dxa"/>
              <w:bottom w:w="85" w:type="dxa"/>
              <w:right w:w="0" w:type="dxa"/>
            </w:tcMar>
            <w:vAlign w:val="bottom"/>
          </w:tcPr>
          <w:p w14:paraId="3A80CD9B" w14:textId="77777777" w:rsidR="00971900" w:rsidRPr="00971900" w:rsidRDefault="00971900" w:rsidP="00615190">
            <w:pPr>
              <w:spacing w:line="240" w:lineRule="atLeast"/>
              <w:rPr>
                <w:rFonts w:ascii="Tahoma" w:hAnsi="Tahoma"/>
                <w:color w:val="000000" w:themeColor="text1"/>
                <w:sz w:val="16"/>
                <w:lang w:val="en-GB"/>
              </w:rPr>
            </w:pPr>
          </w:p>
        </w:tc>
        <w:tc>
          <w:tcPr>
            <w:tcW w:w="2268" w:type="dxa"/>
            <w:gridSpan w:val="2"/>
            <w:shd w:val="clear" w:color="auto" w:fill="auto"/>
            <w:tcMar>
              <w:top w:w="57" w:type="dxa"/>
              <w:left w:w="0" w:type="dxa"/>
              <w:bottom w:w="85" w:type="dxa"/>
              <w:right w:w="0" w:type="dxa"/>
            </w:tcMar>
            <w:vAlign w:val="bottom"/>
          </w:tcPr>
          <w:p w14:paraId="7A5C8C65" w14:textId="77777777" w:rsidR="00971900" w:rsidRPr="00971900" w:rsidRDefault="00971900" w:rsidP="007538B5">
            <w:pPr>
              <w:spacing w:line="240" w:lineRule="atLeast"/>
              <w:jc w:val="center"/>
              <w:rPr>
                <w:rFonts w:ascii="Tahoma" w:hAnsi="Tahoma"/>
                <w:b/>
                <w:bCs/>
                <w:color w:val="000000" w:themeColor="text1"/>
                <w:sz w:val="16"/>
                <w:lang w:val="en-GB"/>
              </w:rPr>
            </w:pPr>
            <w:r w:rsidRPr="00971900">
              <w:rPr>
                <w:rFonts w:ascii="Tahoma" w:hAnsi="Tahoma"/>
                <w:b/>
                <w:bCs/>
                <w:color w:val="000000" w:themeColor="text1"/>
                <w:sz w:val="16"/>
                <w:lang w:val="en-GB"/>
              </w:rPr>
              <w:t>Six months ended</w:t>
            </w:r>
          </w:p>
          <w:p w14:paraId="4B82FDC5" w14:textId="77777777" w:rsidR="00971900" w:rsidRPr="00971900" w:rsidRDefault="00971900" w:rsidP="007538B5">
            <w:pPr>
              <w:spacing w:line="240" w:lineRule="atLeast"/>
              <w:jc w:val="center"/>
              <w:rPr>
                <w:rFonts w:ascii="Tahoma" w:hAnsi="Tahoma"/>
                <w:color w:val="000000" w:themeColor="text1"/>
                <w:sz w:val="16"/>
                <w:lang w:val="en-GB"/>
              </w:rPr>
            </w:pPr>
            <w:r w:rsidRPr="00971900">
              <w:rPr>
                <w:rFonts w:ascii="Tahoma" w:hAnsi="Tahoma"/>
                <w:b/>
                <w:bCs/>
                <w:color w:val="000000" w:themeColor="text1"/>
                <w:sz w:val="16"/>
                <w:lang w:val="en-GB"/>
              </w:rPr>
              <w:t>30 September</w:t>
            </w:r>
          </w:p>
        </w:tc>
        <w:tc>
          <w:tcPr>
            <w:tcW w:w="1134" w:type="dxa"/>
            <w:shd w:val="clear" w:color="auto" w:fill="auto"/>
            <w:tcMar>
              <w:top w:w="57" w:type="dxa"/>
              <w:left w:w="0" w:type="dxa"/>
              <w:bottom w:w="85" w:type="dxa"/>
              <w:right w:w="0" w:type="dxa"/>
            </w:tcMar>
            <w:vAlign w:val="bottom"/>
          </w:tcPr>
          <w:p w14:paraId="7B4E4ACD" w14:textId="77777777" w:rsidR="00971900" w:rsidRPr="00971900" w:rsidRDefault="00971900" w:rsidP="009F4D03">
            <w:pPr>
              <w:spacing w:line="240" w:lineRule="atLeast"/>
              <w:jc w:val="right"/>
              <w:rPr>
                <w:rFonts w:ascii="Tahoma" w:hAnsi="Tahoma"/>
                <w:color w:val="000000" w:themeColor="text1"/>
                <w:sz w:val="16"/>
                <w:lang w:val="en-GB"/>
              </w:rPr>
            </w:pPr>
            <w:r w:rsidRPr="00971900">
              <w:rPr>
                <w:rFonts w:ascii="Tahoma" w:hAnsi="Tahoma"/>
                <w:color w:val="000000" w:themeColor="text1"/>
                <w:sz w:val="16"/>
                <w:lang w:val="en-GB"/>
              </w:rPr>
              <w:t>Year</w:t>
            </w:r>
          </w:p>
          <w:p w14:paraId="05988B52" w14:textId="77777777" w:rsidR="00971900" w:rsidRPr="00971900" w:rsidRDefault="00971900" w:rsidP="009F4D03">
            <w:pPr>
              <w:spacing w:line="240" w:lineRule="atLeast"/>
              <w:jc w:val="right"/>
              <w:rPr>
                <w:rFonts w:ascii="Tahoma" w:hAnsi="Tahoma"/>
                <w:color w:val="000000" w:themeColor="text1"/>
                <w:sz w:val="16"/>
                <w:lang w:val="en-GB"/>
              </w:rPr>
            </w:pPr>
            <w:r w:rsidRPr="00971900">
              <w:rPr>
                <w:rFonts w:ascii="Tahoma" w:hAnsi="Tahoma"/>
                <w:color w:val="000000" w:themeColor="text1"/>
                <w:sz w:val="16"/>
                <w:lang w:val="en-GB"/>
              </w:rPr>
              <w:t>ended</w:t>
            </w:r>
          </w:p>
          <w:p w14:paraId="48256B2E" w14:textId="77777777" w:rsidR="00971900" w:rsidRPr="00971900" w:rsidRDefault="00971900" w:rsidP="009F4D03">
            <w:pPr>
              <w:spacing w:line="240" w:lineRule="atLeast"/>
              <w:jc w:val="right"/>
              <w:rPr>
                <w:rFonts w:ascii="Tahoma" w:hAnsi="Tahoma"/>
                <w:color w:val="000000" w:themeColor="text1"/>
                <w:sz w:val="16"/>
                <w:lang w:val="en-GB"/>
              </w:rPr>
            </w:pPr>
            <w:r w:rsidRPr="00971900">
              <w:rPr>
                <w:rFonts w:ascii="Tahoma" w:hAnsi="Tahoma"/>
                <w:color w:val="000000" w:themeColor="text1"/>
                <w:sz w:val="16"/>
                <w:lang w:val="en-GB"/>
              </w:rPr>
              <w:t>31 March</w:t>
            </w:r>
          </w:p>
        </w:tc>
      </w:tr>
      <w:tr w:rsidR="00615190" w:rsidRPr="00971900" w14:paraId="06E8F089" w14:textId="77777777" w:rsidTr="009F4D03">
        <w:trPr>
          <w:trHeight w:val="60"/>
        </w:trPr>
        <w:tc>
          <w:tcPr>
            <w:tcW w:w="397" w:type="dxa"/>
            <w:shd w:val="clear" w:color="auto" w:fill="auto"/>
            <w:tcMar>
              <w:top w:w="113" w:type="dxa"/>
              <w:left w:w="0" w:type="dxa"/>
              <w:bottom w:w="113" w:type="dxa"/>
              <w:right w:w="0" w:type="dxa"/>
            </w:tcMar>
            <w:vAlign w:val="bottom"/>
          </w:tcPr>
          <w:p w14:paraId="7C070331" w14:textId="77777777" w:rsidR="00971900" w:rsidRPr="00971900" w:rsidRDefault="00971900" w:rsidP="00615190">
            <w:pPr>
              <w:spacing w:line="240" w:lineRule="atLeast"/>
              <w:rPr>
                <w:rFonts w:ascii="Tahoma" w:hAnsi="Tahoma"/>
                <w:color w:val="000000" w:themeColor="text1"/>
                <w:sz w:val="16"/>
                <w:lang w:val="en-GB"/>
              </w:rPr>
            </w:pPr>
          </w:p>
        </w:tc>
        <w:tc>
          <w:tcPr>
            <w:tcW w:w="6407" w:type="dxa"/>
            <w:tcBorders>
              <w:bottom w:val="single" w:sz="12" w:space="0" w:color="auto"/>
            </w:tcBorders>
            <w:shd w:val="clear" w:color="auto" w:fill="auto"/>
            <w:tcMar>
              <w:top w:w="113" w:type="dxa"/>
              <w:left w:w="0" w:type="dxa"/>
              <w:bottom w:w="113" w:type="dxa"/>
              <w:right w:w="0" w:type="dxa"/>
            </w:tcMar>
            <w:vAlign w:val="bottom"/>
          </w:tcPr>
          <w:p w14:paraId="34125AB3" w14:textId="77777777" w:rsidR="00971900" w:rsidRPr="00971900" w:rsidRDefault="00971900" w:rsidP="00615190">
            <w:pPr>
              <w:spacing w:line="240" w:lineRule="atLeast"/>
              <w:rPr>
                <w:rFonts w:ascii="Tahoma" w:hAnsi="Tahoma"/>
                <w:color w:val="000000" w:themeColor="text1"/>
                <w:sz w:val="16"/>
                <w:lang w:val="en-GB"/>
              </w:rPr>
            </w:pPr>
          </w:p>
        </w:tc>
        <w:tc>
          <w:tcPr>
            <w:tcW w:w="1134" w:type="dxa"/>
            <w:tcBorders>
              <w:bottom w:val="single" w:sz="12" w:space="0" w:color="auto"/>
            </w:tcBorders>
            <w:shd w:val="clear" w:color="auto" w:fill="auto"/>
            <w:tcMar>
              <w:top w:w="113" w:type="dxa"/>
              <w:left w:w="0" w:type="dxa"/>
              <w:bottom w:w="113" w:type="dxa"/>
              <w:right w:w="0" w:type="dxa"/>
            </w:tcMar>
            <w:vAlign w:val="bottom"/>
          </w:tcPr>
          <w:p w14:paraId="3F2E4E15" w14:textId="77777777" w:rsidR="00971900" w:rsidRPr="00971900" w:rsidRDefault="00971900" w:rsidP="009F4D03">
            <w:pPr>
              <w:spacing w:line="240" w:lineRule="atLeast"/>
              <w:jc w:val="right"/>
              <w:rPr>
                <w:rFonts w:ascii="Tahoma" w:hAnsi="Tahoma"/>
                <w:b/>
                <w:bCs/>
                <w:color w:val="000000" w:themeColor="text1"/>
                <w:sz w:val="16"/>
                <w:lang w:val="en-GB"/>
              </w:rPr>
            </w:pPr>
            <w:r w:rsidRPr="00971900">
              <w:rPr>
                <w:rFonts w:ascii="Tahoma" w:hAnsi="Tahoma"/>
                <w:b/>
                <w:bCs/>
                <w:color w:val="000000" w:themeColor="text1"/>
                <w:sz w:val="16"/>
                <w:lang w:val="en-GB"/>
              </w:rPr>
              <w:t>2022</w:t>
            </w:r>
          </w:p>
          <w:p w14:paraId="6E765949" w14:textId="77777777" w:rsidR="00971900" w:rsidRPr="00971900" w:rsidRDefault="00971900" w:rsidP="009F4D03">
            <w:pPr>
              <w:spacing w:line="240" w:lineRule="atLeast"/>
              <w:jc w:val="right"/>
              <w:rPr>
                <w:rFonts w:ascii="Tahoma" w:hAnsi="Tahoma"/>
                <w:b/>
                <w:bCs/>
                <w:color w:val="000000" w:themeColor="text1"/>
                <w:sz w:val="16"/>
                <w:lang w:val="en-GB"/>
              </w:rPr>
            </w:pPr>
            <w:r w:rsidRPr="00971900">
              <w:rPr>
                <w:rFonts w:ascii="Tahoma" w:hAnsi="Tahoma"/>
                <w:b/>
                <w:bCs/>
                <w:color w:val="000000" w:themeColor="text1"/>
                <w:sz w:val="16"/>
                <w:lang w:val="en-GB"/>
              </w:rPr>
              <w:t>’000</w:t>
            </w:r>
          </w:p>
        </w:tc>
        <w:tc>
          <w:tcPr>
            <w:tcW w:w="1134" w:type="dxa"/>
            <w:tcBorders>
              <w:bottom w:val="single" w:sz="12" w:space="0" w:color="auto"/>
            </w:tcBorders>
            <w:shd w:val="clear" w:color="auto" w:fill="auto"/>
            <w:tcMar>
              <w:top w:w="113" w:type="dxa"/>
              <w:left w:w="0" w:type="dxa"/>
              <w:bottom w:w="113" w:type="dxa"/>
              <w:right w:w="0" w:type="dxa"/>
            </w:tcMar>
            <w:vAlign w:val="bottom"/>
          </w:tcPr>
          <w:p w14:paraId="4D4C47AB" w14:textId="77777777" w:rsidR="00971900" w:rsidRPr="00971900" w:rsidRDefault="00971900" w:rsidP="009F4D03">
            <w:pPr>
              <w:spacing w:line="240" w:lineRule="atLeast"/>
              <w:jc w:val="right"/>
              <w:rPr>
                <w:rFonts w:ascii="Tahoma" w:hAnsi="Tahoma"/>
                <w:color w:val="000000" w:themeColor="text1"/>
                <w:sz w:val="16"/>
                <w:lang w:val="en-GB"/>
              </w:rPr>
            </w:pPr>
            <w:r w:rsidRPr="00971900">
              <w:rPr>
                <w:rFonts w:ascii="Tahoma" w:hAnsi="Tahoma"/>
                <w:color w:val="000000" w:themeColor="text1"/>
                <w:sz w:val="16"/>
                <w:lang w:val="en-GB"/>
              </w:rPr>
              <w:t>2021</w:t>
            </w:r>
          </w:p>
          <w:p w14:paraId="02665898" w14:textId="77777777" w:rsidR="00971900" w:rsidRPr="00971900" w:rsidRDefault="00971900" w:rsidP="009F4D03">
            <w:pPr>
              <w:spacing w:line="240" w:lineRule="atLeast"/>
              <w:jc w:val="right"/>
              <w:rPr>
                <w:rFonts w:ascii="Tahoma" w:hAnsi="Tahoma"/>
                <w:color w:val="000000" w:themeColor="text1"/>
                <w:sz w:val="16"/>
                <w:lang w:val="en-GB"/>
              </w:rPr>
            </w:pPr>
            <w:r w:rsidRPr="00971900">
              <w:rPr>
                <w:rFonts w:ascii="Tahoma" w:hAnsi="Tahoma"/>
                <w:color w:val="000000" w:themeColor="text1"/>
                <w:sz w:val="16"/>
                <w:lang w:val="en-GB"/>
              </w:rPr>
              <w:t>’000</w:t>
            </w:r>
          </w:p>
        </w:tc>
        <w:tc>
          <w:tcPr>
            <w:tcW w:w="1134" w:type="dxa"/>
            <w:tcBorders>
              <w:bottom w:val="single" w:sz="12" w:space="0" w:color="auto"/>
            </w:tcBorders>
            <w:shd w:val="clear" w:color="auto" w:fill="auto"/>
            <w:tcMar>
              <w:top w:w="113" w:type="dxa"/>
              <w:left w:w="0" w:type="dxa"/>
              <w:bottom w:w="113" w:type="dxa"/>
              <w:right w:w="0" w:type="dxa"/>
            </w:tcMar>
            <w:vAlign w:val="bottom"/>
          </w:tcPr>
          <w:p w14:paraId="2B618128" w14:textId="77777777" w:rsidR="00971900" w:rsidRPr="00971900" w:rsidRDefault="00971900" w:rsidP="009F4D03">
            <w:pPr>
              <w:spacing w:line="240" w:lineRule="atLeast"/>
              <w:jc w:val="right"/>
              <w:rPr>
                <w:rFonts w:ascii="Tahoma" w:hAnsi="Tahoma"/>
                <w:color w:val="000000" w:themeColor="text1"/>
                <w:sz w:val="16"/>
                <w:lang w:val="en-GB"/>
              </w:rPr>
            </w:pPr>
            <w:r w:rsidRPr="00971900">
              <w:rPr>
                <w:rFonts w:ascii="Tahoma" w:hAnsi="Tahoma"/>
                <w:color w:val="000000" w:themeColor="text1"/>
                <w:sz w:val="16"/>
                <w:lang w:val="en-GB"/>
              </w:rPr>
              <w:t>2022</w:t>
            </w:r>
          </w:p>
          <w:p w14:paraId="56A4AF61" w14:textId="77777777" w:rsidR="00971900" w:rsidRPr="00971900" w:rsidRDefault="00971900" w:rsidP="009F4D03">
            <w:pPr>
              <w:spacing w:line="240" w:lineRule="atLeast"/>
              <w:jc w:val="right"/>
              <w:rPr>
                <w:rFonts w:ascii="Tahoma" w:hAnsi="Tahoma"/>
                <w:color w:val="000000" w:themeColor="text1"/>
                <w:sz w:val="16"/>
                <w:lang w:val="en-GB"/>
              </w:rPr>
            </w:pPr>
            <w:r w:rsidRPr="00971900">
              <w:rPr>
                <w:rFonts w:ascii="Tahoma" w:hAnsi="Tahoma"/>
                <w:color w:val="000000" w:themeColor="text1"/>
                <w:sz w:val="16"/>
                <w:lang w:val="en-GB"/>
              </w:rPr>
              <w:t>’000</w:t>
            </w:r>
          </w:p>
        </w:tc>
      </w:tr>
      <w:tr w:rsidR="00615190" w:rsidRPr="00971900" w14:paraId="54E7C4C5" w14:textId="77777777" w:rsidTr="009F4D03">
        <w:trPr>
          <w:trHeight w:val="60"/>
        </w:trPr>
        <w:tc>
          <w:tcPr>
            <w:tcW w:w="397" w:type="dxa"/>
            <w:shd w:val="clear" w:color="auto" w:fill="auto"/>
            <w:tcMar>
              <w:top w:w="142" w:type="dxa"/>
              <w:left w:w="0" w:type="dxa"/>
              <w:bottom w:w="34" w:type="dxa"/>
              <w:right w:w="0" w:type="dxa"/>
            </w:tcMar>
            <w:vAlign w:val="bottom"/>
          </w:tcPr>
          <w:p w14:paraId="31607882" w14:textId="77777777" w:rsidR="00971900" w:rsidRPr="00971900" w:rsidRDefault="00971900" w:rsidP="00615190">
            <w:pPr>
              <w:spacing w:line="240" w:lineRule="atLeast"/>
              <w:rPr>
                <w:rFonts w:ascii="Tahoma" w:hAnsi="Tahoma"/>
                <w:color w:val="000000" w:themeColor="text1"/>
                <w:sz w:val="16"/>
                <w:lang w:val="en-GB"/>
              </w:rPr>
            </w:pPr>
          </w:p>
        </w:tc>
        <w:tc>
          <w:tcPr>
            <w:tcW w:w="6407" w:type="dxa"/>
            <w:tcBorders>
              <w:top w:val="single" w:sz="12" w:space="0" w:color="auto"/>
            </w:tcBorders>
            <w:shd w:val="clear" w:color="auto" w:fill="auto"/>
            <w:tcMar>
              <w:top w:w="142" w:type="dxa"/>
              <w:left w:w="0" w:type="dxa"/>
              <w:bottom w:w="34" w:type="dxa"/>
              <w:right w:w="113" w:type="dxa"/>
            </w:tcMar>
            <w:vAlign w:val="bottom"/>
          </w:tcPr>
          <w:p w14:paraId="5CFBEAAB" w14:textId="77777777" w:rsidR="00971900" w:rsidRPr="00971900" w:rsidRDefault="00971900" w:rsidP="00615190">
            <w:pPr>
              <w:spacing w:line="240" w:lineRule="atLeast"/>
              <w:rPr>
                <w:rFonts w:ascii="Tahoma" w:hAnsi="Tahoma"/>
                <w:b/>
                <w:bCs/>
                <w:color w:val="000000" w:themeColor="text1"/>
                <w:sz w:val="16"/>
                <w:lang w:val="en-GB"/>
              </w:rPr>
            </w:pPr>
            <w:r w:rsidRPr="00971900">
              <w:rPr>
                <w:rFonts w:ascii="Tahoma" w:hAnsi="Tahoma"/>
                <w:b/>
                <w:bCs/>
                <w:color w:val="000000" w:themeColor="text1"/>
                <w:sz w:val="16"/>
                <w:lang w:val="en-GB"/>
              </w:rPr>
              <w:t>Issued shares</w:t>
            </w:r>
          </w:p>
        </w:tc>
        <w:tc>
          <w:tcPr>
            <w:tcW w:w="1134" w:type="dxa"/>
            <w:tcBorders>
              <w:top w:val="single" w:sz="12" w:space="0" w:color="auto"/>
            </w:tcBorders>
            <w:shd w:val="clear" w:color="auto" w:fill="auto"/>
            <w:tcMar>
              <w:top w:w="142" w:type="dxa"/>
              <w:left w:w="0" w:type="dxa"/>
              <w:bottom w:w="34" w:type="dxa"/>
              <w:right w:w="0" w:type="dxa"/>
            </w:tcMar>
            <w:vAlign w:val="bottom"/>
          </w:tcPr>
          <w:p w14:paraId="47667AFC" w14:textId="77777777" w:rsidR="00971900" w:rsidRPr="00971900" w:rsidRDefault="00971900" w:rsidP="009F4D03">
            <w:pPr>
              <w:spacing w:line="240" w:lineRule="atLeast"/>
              <w:jc w:val="right"/>
              <w:rPr>
                <w:rFonts w:ascii="Tahoma" w:hAnsi="Tahoma"/>
                <w:b/>
                <w:bCs/>
                <w:color w:val="000000" w:themeColor="text1"/>
                <w:sz w:val="16"/>
                <w:lang w:val="en-GB"/>
              </w:rPr>
            </w:pPr>
          </w:p>
        </w:tc>
        <w:tc>
          <w:tcPr>
            <w:tcW w:w="1134" w:type="dxa"/>
            <w:tcBorders>
              <w:top w:val="single" w:sz="12" w:space="0" w:color="auto"/>
            </w:tcBorders>
            <w:shd w:val="clear" w:color="auto" w:fill="auto"/>
            <w:tcMar>
              <w:top w:w="142" w:type="dxa"/>
              <w:left w:w="0" w:type="dxa"/>
              <w:bottom w:w="34" w:type="dxa"/>
              <w:right w:w="0" w:type="dxa"/>
            </w:tcMar>
            <w:vAlign w:val="bottom"/>
          </w:tcPr>
          <w:p w14:paraId="4188FFB8" w14:textId="77777777" w:rsidR="00971900" w:rsidRPr="00971900" w:rsidRDefault="00971900" w:rsidP="009F4D03">
            <w:pPr>
              <w:spacing w:line="240" w:lineRule="atLeast"/>
              <w:jc w:val="right"/>
              <w:rPr>
                <w:rFonts w:ascii="Tahoma" w:hAnsi="Tahoma"/>
                <w:color w:val="000000" w:themeColor="text1"/>
                <w:sz w:val="16"/>
                <w:lang w:val="en-GB"/>
              </w:rPr>
            </w:pPr>
          </w:p>
        </w:tc>
        <w:tc>
          <w:tcPr>
            <w:tcW w:w="1134" w:type="dxa"/>
            <w:tcBorders>
              <w:top w:val="single" w:sz="12" w:space="0" w:color="auto"/>
            </w:tcBorders>
            <w:shd w:val="clear" w:color="auto" w:fill="auto"/>
            <w:tcMar>
              <w:top w:w="142" w:type="dxa"/>
              <w:left w:w="0" w:type="dxa"/>
              <w:bottom w:w="34" w:type="dxa"/>
              <w:right w:w="0" w:type="dxa"/>
            </w:tcMar>
            <w:vAlign w:val="bottom"/>
          </w:tcPr>
          <w:p w14:paraId="3FC71E72" w14:textId="77777777" w:rsidR="00971900" w:rsidRPr="00971900" w:rsidRDefault="00971900" w:rsidP="009F4D03">
            <w:pPr>
              <w:spacing w:line="240" w:lineRule="atLeast"/>
              <w:jc w:val="right"/>
              <w:rPr>
                <w:rFonts w:ascii="Tahoma" w:hAnsi="Tahoma"/>
                <w:color w:val="000000" w:themeColor="text1"/>
                <w:sz w:val="16"/>
                <w:lang w:val="en-GB"/>
              </w:rPr>
            </w:pPr>
          </w:p>
        </w:tc>
      </w:tr>
      <w:tr w:rsidR="00615190" w:rsidRPr="00971900" w14:paraId="24AB899D" w14:textId="77777777" w:rsidTr="006F2168">
        <w:trPr>
          <w:trHeight w:val="60"/>
        </w:trPr>
        <w:tc>
          <w:tcPr>
            <w:tcW w:w="397" w:type="dxa"/>
            <w:shd w:val="clear" w:color="auto" w:fill="auto"/>
            <w:tcMar>
              <w:top w:w="34" w:type="dxa"/>
              <w:left w:w="0" w:type="dxa"/>
              <w:bottom w:w="34" w:type="dxa"/>
              <w:right w:w="0" w:type="dxa"/>
            </w:tcMar>
            <w:vAlign w:val="bottom"/>
          </w:tcPr>
          <w:p w14:paraId="5A748CBC" w14:textId="77777777" w:rsidR="00971900" w:rsidRPr="00971900" w:rsidRDefault="00971900" w:rsidP="00615190">
            <w:pPr>
              <w:spacing w:line="240" w:lineRule="atLeast"/>
              <w:rPr>
                <w:rFonts w:ascii="Tahoma" w:hAnsi="Tahoma"/>
                <w:color w:val="000000" w:themeColor="text1"/>
                <w:sz w:val="16"/>
                <w:lang w:val="en-GB"/>
              </w:rPr>
            </w:pPr>
          </w:p>
        </w:tc>
        <w:tc>
          <w:tcPr>
            <w:tcW w:w="6407" w:type="dxa"/>
            <w:shd w:val="clear" w:color="auto" w:fill="auto"/>
            <w:tcMar>
              <w:top w:w="34" w:type="dxa"/>
              <w:left w:w="0" w:type="dxa"/>
              <w:bottom w:w="34" w:type="dxa"/>
              <w:right w:w="113" w:type="dxa"/>
            </w:tcMar>
            <w:vAlign w:val="bottom"/>
          </w:tcPr>
          <w:p w14:paraId="4447F9F7" w14:textId="77777777" w:rsidR="00971900" w:rsidRPr="00971900" w:rsidRDefault="00971900" w:rsidP="00615190">
            <w:pPr>
              <w:spacing w:line="240" w:lineRule="atLeast"/>
              <w:rPr>
                <w:rFonts w:ascii="Tahoma" w:hAnsi="Tahoma"/>
                <w:color w:val="000000" w:themeColor="text1"/>
                <w:sz w:val="16"/>
                <w:lang w:val="en-GB"/>
              </w:rPr>
            </w:pPr>
            <w:r w:rsidRPr="00971900">
              <w:rPr>
                <w:rFonts w:ascii="Tahoma" w:hAnsi="Tahoma"/>
                <w:color w:val="000000" w:themeColor="text1"/>
                <w:sz w:val="16"/>
                <w:lang w:val="en-GB"/>
              </w:rPr>
              <w:t>Net number of shares in issue at period-end (net of treasury shares)</w:t>
            </w:r>
            <w:r w:rsidRPr="00971900">
              <w:rPr>
                <w:rFonts w:ascii="Tahoma" w:hAnsi="Tahoma"/>
                <w:color w:val="000000" w:themeColor="text1"/>
                <w:sz w:val="16"/>
                <w:vertAlign w:val="superscript"/>
                <w:lang w:val="en-GB"/>
              </w:rPr>
              <w:t>1</w:t>
            </w:r>
          </w:p>
        </w:tc>
        <w:tc>
          <w:tcPr>
            <w:tcW w:w="1134" w:type="dxa"/>
            <w:shd w:val="clear" w:color="auto" w:fill="auto"/>
            <w:tcMar>
              <w:top w:w="34" w:type="dxa"/>
              <w:left w:w="0" w:type="dxa"/>
              <w:bottom w:w="34" w:type="dxa"/>
              <w:right w:w="0" w:type="dxa"/>
            </w:tcMar>
            <w:vAlign w:val="bottom"/>
          </w:tcPr>
          <w:p w14:paraId="184D4144" w14:textId="77777777" w:rsidR="00971900" w:rsidRPr="00971900" w:rsidRDefault="00971900" w:rsidP="009F4D03">
            <w:pPr>
              <w:spacing w:line="240" w:lineRule="atLeast"/>
              <w:jc w:val="right"/>
              <w:rPr>
                <w:rFonts w:ascii="Tahoma" w:hAnsi="Tahoma"/>
                <w:b/>
                <w:bCs/>
                <w:color w:val="000000" w:themeColor="text1"/>
                <w:sz w:val="16"/>
                <w:lang w:val="en-GB"/>
              </w:rPr>
            </w:pPr>
            <w:r w:rsidRPr="00971900">
              <w:rPr>
                <w:rFonts w:ascii="Tahoma" w:hAnsi="Tahoma"/>
                <w:b/>
                <w:bCs/>
                <w:color w:val="000000" w:themeColor="text1"/>
                <w:sz w:val="16"/>
                <w:lang w:val="en-GB"/>
              </w:rPr>
              <w:t>1 949 826</w:t>
            </w:r>
          </w:p>
        </w:tc>
        <w:tc>
          <w:tcPr>
            <w:tcW w:w="1134" w:type="dxa"/>
            <w:shd w:val="clear" w:color="auto" w:fill="auto"/>
            <w:tcMar>
              <w:top w:w="34" w:type="dxa"/>
              <w:left w:w="0" w:type="dxa"/>
              <w:bottom w:w="34" w:type="dxa"/>
              <w:right w:w="0" w:type="dxa"/>
            </w:tcMar>
            <w:vAlign w:val="bottom"/>
          </w:tcPr>
          <w:p w14:paraId="66CD7A95" w14:textId="77777777" w:rsidR="00971900" w:rsidRPr="00971900" w:rsidRDefault="00971900" w:rsidP="009F4D03">
            <w:pPr>
              <w:spacing w:line="240" w:lineRule="atLeast"/>
              <w:jc w:val="right"/>
              <w:rPr>
                <w:rFonts w:ascii="Tahoma" w:hAnsi="Tahoma"/>
                <w:color w:val="000000" w:themeColor="text1"/>
                <w:sz w:val="16"/>
                <w:lang w:val="en-GB"/>
              </w:rPr>
            </w:pPr>
            <w:r w:rsidRPr="00971900">
              <w:rPr>
                <w:rFonts w:ascii="Tahoma" w:hAnsi="Tahoma"/>
                <w:color w:val="000000" w:themeColor="text1"/>
                <w:sz w:val="16"/>
                <w:lang w:val="en-GB"/>
              </w:rPr>
              <w:t>2 042 541</w:t>
            </w:r>
          </w:p>
        </w:tc>
        <w:tc>
          <w:tcPr>
            <w:tcW w:w="1134" w:type="dxa"/>
            <w:shd w:val="clear" w:color="auto" w:fill="auto"/>
            <w:tcMar>
              <w:top w:w="34" w:type="dxa"/>
              <w:left w:w="0" w:type="dxa"/>
              <w:bottom w:w="34" w:type="dxa"/>
              <w:right w:w="0" w:type="dxa"/>
            </w:tcMar>
            <w:vAlign w:val="bottom"/>
          </w:tcPr>
          <w:p w14:paraId="73E49EC3" w14:textId="77777777" w:rsidR="00971900" w:rsidRPr="00971900" w:rsidRDefault="00971900" w:rsidP="009F4D03">
            <w:pPr>
              <w:spacing w:line="240" w:lineRule="atLeast"/>
              <w:jc w:val="right"/>
              <w:rPr>
                <w:rFonts w:ascii="Tahoma" w:hAnsi="Tahoma"/>
                <w:color w:val="000000" w:themeColor="text1"/>
                <w:sz w:val="16"/>
                <w:lang w:val="en-GB"/>
              </w:rPr>
            </w:pPr>
            <w:r w:rsidRPr="00971900">
              <w:rPr>
                <w:rFonts w:ascii="Tahoma" w:hAnsi="Tahoma"/>
                <w:color w:val="000000" w:themeColor="text1"/>
                <w:sz w:val="16"/>
                <w:lang w:val="en-GB"/>
              </w:rPr>
              <w:t>2 003 817</w:t>
            </w:r>
          </w:p>
        </w:tc>
      </w:tr>
      <w:tr w:rsidR="00615190" w:rsidRPr="00971900" w14:paraId="61326F38" w14:textId="77777777" w:rsidTr="006F2168">
        <w:trPr>
          <w:trHeight w:val="60"/>
        </w:trPr>
        <w:tc>
          <w:tcPr>
            <w:tcW w:w="397" w:type="dxa"/>
            <w:shd w:val="clear" w:color="auto" w:fill="auto"/>
            <w:tcMar>
              <w:top w:w="34" w:type="dxa"/>
              <w:left w:w="0" w:type="dxa"/>
              <w:bottom w:w="57" w:type="dxa"/>
              <w:right w:w="0" w:type="dxa"/>
            </w:tcMar>
            <w:vAlign w:val="bottom"/>
          </w:tcPr>
          <w:p w14:paraId="63CB1FBA" w14:textId="77777777" w:rsidR="00971900" w:rsidRPr="00971900" w:rsidRDefault="00971900" w:rsidP="00615190">
            <w:pPr>
              <w:spacing w:line="240" w:lineRule="atLeast"/>
              <w:rPr>
                <w:rFonts w:ascii="Tahoma" w:hAnsi="Tahoma"/>
                <w:color w:val="000000" w:themeColor="text1"/>
                <w:sz w:val="16"/>
                <w:lang w:val="en-GB"/>
              </w:rPr>
            </w:pPr>
          </w:p>
        </w:tc>
        <w:tc>
          <w:tcPr>
            <w:tcW w:w="6407" w:type="dxa"/>
            <w:tcBorders>
              <w:bottom w:val="single" w:sz="4" w:space="0" w:color="auto"/>
            </w:tcBorders>
            <w:shd w:val="clear" w:color="auto" w:fill="auto"/>
            <w:tcMar>
              <w:top w:w="34" w:type="dxa"/>
              <w:left w:w="0" w:type="dxa"/>
              <w:bottom w:w="57" w:type="dxa"/>
              <w:right w:w="113" w:type="dxa"/>
            </w:tcMar>
            <w:vAlign w:val="bottom"/>
          </w:tcPr>
          <w:p w14:paraId="028D1EA8" w14:textId="77777777" w:rsidR="00971900" w:rsidRPr="00971900" w:rsidRDefault="00971900" w:rsidP="00615190">
            <w:pPr>
              <w:spacing w:line="240" w:lineRule="atLeast"/>
              <w:rPr>
                <w:rFonts w:ascii="Tahoma" w:hAnsi="Tahoma"/>
                <w:color w:val="000000" w:themeColor="text1"/>
                <w:sz w:val="16"/>
                <w:lang w:val="en-GB"/>
              </w:rPr>
            </w:pPr>
            <w:r w:rsidRPr="00971900">
              <w:rPr>
                <w:rFonts w:ascii="Tahoma" w:hAnsi="Tahoma"/>
                <w:color w:val="000000" w:themeColor="text1"/>
                <w:sz w:val="16"/>
                <w:lang w:val="en-GB"/>
              </w:rPr>
              <w:t>Cross-holding ordinary shares N</w:t>
            </w:r>
          </w:p>
        </w:tc>
        <w:tc>
          <w:tcPr>
            <w:tcW w:w="1134" w:type="dxa"/>
            <w:tcBorders>
              <w:bottom w:val="single" w:sz="4" w:space="0" w:color="auto"/>
            </w:tcBorders>
            <w:shd w:val="clear" w:color="auto" w:fill="auto"/>
            <w:tcMar>
              <w:top w:w="34" w:type="dxa"/>
              <w:left w:w="0" w:type="dxa"/>
              <w:bottom w:w="57" w:type="dxa"/>
              <w:right w:w="0" w:type="dxa"/>
            </w:tcMar>
            <w:vAlign w:val="bottom"/>
          </w:tcPr>
          <w:p w14:paraId="7ADDBEB6" w14:textId="77777777" w:rsidR="00971900" w:rsidRPr="00971900" w:rsidRDefault="00971900" w:rsidP="009F4D03">
            <w:pPr>
              <w:spacing w:line="240" w:lineRule="atLeast"/>
              <w:jc w:val="right"/>
              <w:rPr>
                <w:rFonts w:ascii="Tahoma" w:hAnsi="Tahoma"/>
                <w:b/>
                <w:bCs/>
                <w:color w:val="000000" w:themeColor="text1"/>
                <w:sz w:val="16"/>
                <w:lang w:val="en-GB"/>
              </w:rPr>
            </w:pPr>
            <w:r w:rsidRPr="00971900">
              <w:rPr>
                <w:rFonts w:ascii="Tahoma" w:hAnsi="Tahoma"/>
                <w:b/>
                <w:bCs/>
                <w:color w:val="000000" w:themeColor="text1"/>
                <w:sz w:val="16"/>
                <w:lang w:val="en-GB"/>
              </w:rPr>
              <w:t>(596 010)</w:t>
            </w:r>
          </w:p>
        </w:tc>
        <w:tc>
          <w:tcPr>
            <w:tcW w:w="1134" w:type="dxa"/>
            <w:tcBorders>
              <w:bottom w:val="single" w:sz="4" w:space="0" w:color="auto"/>
            </w:tcBorders>
            <w:shd w:val="clear" w:color="auto" w:fill="auto"/>
            <w:tcMar>
              <w:top w:w="34" w:type="dxa"/>
              <w:left w:w="0" w:type="dxa"/>
              <w:bottom w:w="57" w:type="dxa"/>
              <w:right w:w="0" w:type="dxa"/>
            </w:tcMar>
            <w:vAlign w:val="bottom"/>
          </w:tcPr>
          <w:p w14:paraId="27EA485A" w14:textId="77777777" w:rsidR="00971900" w:rsidRPr="00971900" w:rsidRDefault="00971900" w:rsidP="009F4D03">
            <w:pPr>
              <w:spacing w:line="240" w:lineRule="atLeast"/>
              <w:jc w:val="right"/>
              <w:rPr>
                <w:rFonts w:ascii="Tahoma" w:hAnsi="Tahoma"/>
                <w:color w:val="000000" w:themeColor="text1"/>
                <w:sz w:val="16"/>
                <w:lang w:val="en-GB"/>
              </w:rPr>
            </w:pPr>
            <w:r w:rsidRPr="00971900">
              <w:rPr>
                <w:rFonts w:ascii="Tahoma" w:hAnsi="Tahoma"/>
                <w:color w:val="000000" w:themeColor="text1"/>
                <w:sz w:val="16"/>
                <w:lang w:val="en-GB"/>
              </w:rPr>
              <w:t>(584 373)</w:t>
            </w:r>
          </w:p>
        </w:tc>
        <w:tc>
          <w:tcPr>
            <w:tcW w:w="1134" w:type="dxa"/>
            <w:tcBorders>
              <w:bottom w:val="single" w:sz="4" w:space="0" w:color="auto"/>
            </w:tcBorders>
            <w:shd w:val="clear" w:color="auto" w:fill="auto"/>
            <w:tcMar>
              <w:top w:w="34" w:type="dxa"/>
              <w:left w:w="0" w:type="dxa"/>
              <w:bottom w:w="57" w:type="dxa"/>
              <w:right w:w="0" w:type="dxa"/>
            </w:tcMar>
            <w:vAlign w:val="bottom"/>
          </w:tcPr>
          <w:p w14:paraId="61E67564" w14:textId="77777777" w:rsidR="00971900" w:rsidRPr="00971900" w:rsidRDefault="00971900" w:rsidP="009F4D03">
            <w:pPr>
              <w:spacing w:line="240" w:lineRule="atLeast"/>
              <w:jc w:val="right"/>
              <w:rPr>
                <w:rFonts w:ascii="Tahoma" w:hAnsi="Tahoma"/>
                <w:color w:val="000000" w:themeColor="text1"/>
                <w:sz w:val="16"/>
                <w:lang w:val="en-GB"/>
              </w:rPr>
            </w:pPr>
            <w:r w:rsidRPr="00971900">
              <w:rPr>
                <w:rFonts w:ascii="Tahoma" w:hAnsi="Tahoma"/>
                <w:color w:val="000000" w:themeColor="text1"/>
                <w:sz w:val="16"/>
                <w:lang w:val="en-GB"/>
              </w:rPr>
              <w:t>(584 373)</w:t>
            </w:r>
          </w:p>
        </w:tc>
      </w:tr>
      <w:tr w:rsidR="00615190" w:rsidRPr="00971900" w14:paraId="6132D6EA" w14:textId="77777777" w:rsidTr="006F2168">
        <w:trPr>
          <w:trHeight w:val="60"/>
        </w:trPr>
        <w:tc>
          <w:tcPr>
            <w:tcW w:w="397" w:type="dxa"/>
            <w:shd w:val="clear" w:color="auto" w:fill="auto"/>
            <w:tcMar>
              <w:top w:w="57" w:type="dxa"/>
              <w:left w:w="0" w:type="dxa"/>
              <w:bottom w:w="57" w:type="dxa"/>
              <w:right w:w="0" w:type="dxa"/>
            </w:tcMar>
            <w:vAlign w:val="bottom"/>
          </w:tcPr>
          <w:p w14:paraId="66E194C7" w14:textId="77777777" w:rsidR="00971900" w:rsidRPr="00971900" w:rsidRDefault="00971900" w:rsidP="00615190">
            <w:pPr>
              <w:spacing w:line="240" w:lineRule="atLeast"/>
              <w:rPr>
                <w:rFonts w:ascii="Tahoma" w:hAnsi="Tahoma"/>
                <w:color w:val="000000" w:themeColor="text1"/>
                <w:sz w:val="16"/>
                <w:lang w:val="en-GB"/>
              </w:rPr>
            </w:pPr>
          </w:p>
        </w:tc>
        <w:tc>
          <w:tcPr>
            <w:tcW w:w="6407" w:type="dxa"/>
            <w:tcBorders>
              <w:top w:val="single" w:sz="4" w:space="0" w:color="auto"/>
              <w:bottom w:val="single" w:sz="12" w:space="0" w:color="auto"/>
            </w:tcBorders>
            <w:shd w:val="clear" w:color="auto" w:fill="auto"/>
            <w:tcMar>
              <w:top w:w="57" w:type="dxa"/>
              <w:left w:w="0" w:type="dxa"/>
              <w:bottom w:w="57" w:type="dxa"/>
              <w:right w:w="113" w:type="dxa"/>
            </w:tcMar>
            <w:vAlign w:val="bottom"/>
          </w:tcPr>
          <w:p w14:paraId="77158389" w14:textId="77777777" w:rsidR="00971900" w:rsidRPr="00971900" w:rsidRDefault="00971900" w:rsidP="00615190">
            <w:pPr>
              <w:spacing w:line="240" w:lineRule="atLeast"/>
              <w:rPr>
                <w:rFonts w:ascii="Tahoma" w:hAnsi="Tahoma"/>
                <w:color w:val="000000" w:themeColor="text1"/>
                <w:sz w:val="16"/>
                <w:lang w:val="en-GB"/>
              </w:rPr>
            </w:pPr>
            <w:r w:rsidRPr="00971900">
              <w:rPr>
                <w:rFonts w:ascii="Tahoma" w:hAnsi="Tahoma"/>
                <w:color w:val="000000" w:themeColor="text1"/>
                <w:sz w:val="16"/>
                <w:lang w:val="en-GB"/>
              </w:rPr>
              <w:t>Net number of shares at period-end</w:t>
            </w:r>
          </w:p>
        </w:tc>
        <w:tc>
          <w:tcPr>
            <w:tcW w:w="1134" w:type="dxa"/>
            <w:tcBorders>
              <w:top w:val="single" w:sz="4" w:space="0" w:color="auto"/>
              <w:bottom w:val="single" w:sz="12" w:space="0" w:color="auto"/>
            </w:tcBorders>
            <w:shd w:val="clear" w:color="auto" w:fill="auto"/>
            <w:tcMar>
              <w:top w:w="57" w:type="dxa"/>
              <w:left w:w="0" w:type="dxa"/>
              <w:bottom w:w="57" w:type="dxa"/>
              <w:right w:w="0" w:type="dxa"/>
            </w:tcMar>
            <w:vAlign w:val="bottom"/>
          </w:tcPr>
          <w:p w14:paraId="0F641888" w14:textId="77777777" w:rsidR="00971900" w:rsidRPr="00971900" w:rsidRDefault="00971900" w:rsidP="009F4D03">
            <w:pPr>
              <w:spacing w:line="240" w:lineRule="atLeast"/>
              <w:jc w:val="right"/>
              <w:rPr>
                <w:rFonts w:ascii="Tahoma" w:hAnsi="Tahoma"/>
                <w:b/>
                <w:bCs/>
                <w:color w:val="000000" w:themeColor="text1"/>
                <w:sz w:val="16"/>
                <w:lang w:val="en-GB"/>
              </w:rPr>
            </w:pPr>
            <w:r w:rsidRPr="00971900">
              <w:rPr>
                <w:rFonts w:ascii="Tahoma" w:hAnsi="Tahoma"/>
                <w:b/>
                <w:bCs/>
                <w:color w:val="000000" w:themeColor="text1"/>
                <w:sz w:val="16"/>
                <w:lang w:val="en-GB"/>
              </w:rPr>
              <w:t>1 353 816</w:t>
            </w:r>
          </w:p>
        </w:tc>
        <w:tc>
          <w:tcPr>
            <w:tcW w:w="1134" w:type="dxa"/>
            <w:tcBorders>
              <w:top w:val="single" w:sz="4" w:space="0" w:color="auto"/>
              <w:bottom w:val="single" w:sz="12" w:space="0" w:color="auto"/>
            </w:tcBorders>
            <w:shd w:val="clear" w:color="auto" w:fill="auto"/>
            <w:tcMar>
              <w:top w:w="57" w:type="dxa"/>
              <w:left w:w="0" w:type="dxa"/>
              <w:bottom w:w="57" w:type="dxa"/>
              <w:right w:w="0" w:type="dxa"/>
            </w:tcMar>
            <w:vAlign w:val="bottom"/>
          </w:tcPr>
          <w:p w14:paraId="0E0DD354" w14:textId="77777777" w:rsidR="00971900" w:rsidRPr="00971900" w:rsidRDefault="00971900" w:rsidP="009F4D03">
            <w:pPr>
              <w:spacing w:line="240" w:lineRule="atLeast"/>
              <w:jc w:val="right"/>
              <w:rPr>
                <w:rFonts w:ascii="Tahoma" w:hAnsi="Tahoma"/>
                <w:color w:val="000000" w:themeColor="text1"/>
                <w:sz w:val="16"/>
                <w:lang w:val="en-GB"/>
              </w:rPr>
            </w:pPr>
            <w:r w:rsidRPr="00971900">
              <w:rPr>
                <w:rFonts w:ascii="Tahoma" w:hAnsi="Tahoma"/>
                <w:color w:val="000000" w:themeColor="text1"/>
                <w:sz w:val="16"/>
                <w:lang w:val="en-GB"/>
              </w:rPr>
              <w:t>1 458 168</w:t>
            </w:r>
          </w:p>
        </w:tc>
        <w:tc>
          <w:tcPr>
            <w:tcW w:w="1134" w:type="dxa"/>
            <w:tcBorders>
              <w:top w:val="single" w:sz="4" w:space="0" w:color="auto"/>
              <w:bottom w:val="single" w:sz="12" w:space="0" w:color="auto"/>
            </w:tcBorders>
            <w:shd w:val="clear" w:color="auto" w:fill="auto"/>
            <w:tcMar>
              <w:top w:w="57" w:type="dxa"/>
              <w:left w:w="0" w:type="dxa"/>
              <w:bottom w:w="57" w:type="dxa"/>
              <w:right w:w="0" w:type="dxa"/>
            </w:tcMar>
            <w:vAlign w:val="bottom"/>
          </w:tcPr>
          <w:p w14:paraId="437100A7" w14:textId="77777777" w:rsidR="00971900" w:rsidRPr="00971900" w:rsidRDefault="00971900" w:rsidP="009F4D03">
            <w:pPr>
              <w:spacing w:line="240" w:lineRule="atLeast"/>
              <w:jc w:val="right"/>
              <w:rPr>
                <w:rFonts w:ascii="Tahoma" w:hAnsi="Tahoma"/>
                <w:color w:val="000000" w:themeColor="text1"/>
                <w:sz w:val="16"/>
                <w:lang w:val="en-GB"/>
              </w:rPr>
            </w:pPr>
            <w:r w:rsidRPr="00971900">
              <w:rPr>
                <w:rFonts w:ascii="Tahoma" w:hAnsi="Tahoma"/>
                <w:color w:val="000000" w:themeColor="text1"/>
                <w:sz w:val="16"/>
                <w:lang w:val="en-GB"/>
              </w:rPr>
              <w:t>1 419 444</w:t>
            </w:r>
          </w:p>
        </w:tc>
      </w:tr>
      <w:tr w:rsidR="00615190" w:rsidRPr="00971900" w14:paraId="34AAD160" w14:textId="77777777" w:rsidTr="00B20994">
        <w:trPr>
          <w:trHeight w:val="60"/>
        </w:trPr>
        <w:tc>
          <w:tcPr>
            <w:tcW w:w="397" w:type="dxa"/>
            <w:shd w:val="clear" w:color="auto" w:fill="auto"/>
            <w:tcMar>
              <w:top w:w="57" w:type="dxa"/>
              <w:left w:w="0" w:type="dxa"/>
              <w:bottom w:w="34" w:type="dxa"/>
              <w:right w:w="0" w:type="dxa"/>
            </w:tcMar>
            <w:vAlign w:val="bottom"/>
          </w:tcPr>
          <w:p w14:paraId="766BBD73" w14:textId="77777777" w:rsidR="00971900" w:rsidRPr="00971900" w:rsidRDefault="00971900" w:rsidP="00615190">
            <w:pPr>
              <w:spacing w:line="240" w:lineRule="atLeast"/>
              <w:rPr>
                <w:rFonts w:ascii="Tahoma" w:hAnsi="Tahoma"/>
                <w:color w:val="000000" w:themeColor="text1"/>
                <w:sz w:val="16"/>
                <w:lang w:val="en-GB"/>
              </w:rPr>
            </w:pPr>
          </w:p>
        </w:tc>
        <w:tc>
          <w:tcPr>
            <w:tcW w:w="6407" w:type="dxa"/>
            <w:tcBorders>
              <w:top w:val="single" w:sz="12" w:space="0" w:color="auto"/>
            </w:tcBorders>
            <w:shd w:val="clear" w:color="auto" w:fill="auto"/>
            <w:tcMar>
              <w:top w:w="57" w:type="dxa"/>
              <w:left w:w="0" w:type="dxa"/>
              <w:bottom w:w="34" w:type="dxa"/>
              <w:right w:w="113" w:type="dxa"/>
            </w:tcMar>
            <w:vAlign w:val="bottom"/>
          </w:tcPr>
          <w:p w14:paraId="1E4FDAF1" w14:textId="77777777" w:rsidR="00971900" w:rsidRPr="00971900" w:rsidRDefault="00971900" w:rsidP="00615190">
            <w:pPr>
              <w:spacing w:line="240" w:lineRule="atLeast"/>
              <w:rPr>
                <w:rFonts w:ascii="Tahoma" w:hAnsi="Tahoma"/>
                <w:b/>
                <w:bCs/>
                <w:color w:val="000000" w:themeColor="text1"/>
                <w:sz w:val="16"/>
                <w:lang w:val="en-GB"/>
              </w:rPr>
            </w:pPr>
            <w:r w:rsidRPr="00971900">
              <w:rPr>
                <w:rFonts w:ascii="Tahoma" w:hAnsi="Tahoma"/>
                <w:b/>
                <w:bCs/>
                <w:color w:val="000000" w:themeColor="text1"/>
                <w:sz w:val="16"/>
                <w:lang w:val="en-GB"/>
              </w:rPr>
              <w:t xml:space="preserve">Weighted average number of ordinary shares </w:t>
            </w:r>
          </w:p>
        </w:tc>
        <w:tc>
          <w:tcPr>
            <w:tcW w:w="1134" w:type="dxa"/>
            <w:tcBorders>
              <w:top w:val="single" w:sz="12" w:space="0" w:color="auto"/>
            </w:tcBorders>
            <w:shd w:val="clear" w:color="auto" w:fill="auto"/>
            <w:tcMar>
              <w:top w:w="57" w:type="dxa"/>
              <w:left w:w="0" w:type="dxa"/>
              <w:bottom w:w="34" w:type="dxa"/>
              <w:right w:w="0" w:type="dxa"/>
            </w:tcMar>
            <w:vAlign w:val="bottom"/>
          </w:tcPr>
          <w:p w14:paraId="788F1442" w14:textId="77777777" w:rsidR="00971900" w:rsidRPr="00971900" w:rsidRDefault="00971900" w:rsidP="009F4D03">
            <w:pPr>
              <w:spacing w:line="240" w:lineRule="atLeast"/>
              <w:jc w:val="right"/>
              <w:rPr>
                <w:rFonts w:ascii="Tahoma" w:hAnsi="Tahoma"/>
                <w:b/>
                <w:bCs/>
                <w:color w:val="000000" w:themeColor="text1"/>
                <w:sz w:val="16"/>
                <w:lang w:val="en-GB"/>
              </w:rPr>
            </w:pPr>
          </w:p>
        </w:tc>
        <w:tc>
          <w:tcPr>
            <w:tcW w:w="1134" w:type="dxa"/>
            <w:tcBorders>
              <w:top w:val="single" w:sz="12" w:space="0" w:color="auto"/>
            </w:tcBorders>
            <w:shd w:val="clear" w:color="auto" w:fill="auto"/>
            <w:tcMar>
              <w:top w:w="57" w:type="dxa"/>
              <w:left w:w="0" w:type="dxa"/>
              <w:bottom w:w="34" w:type="dxa"/>
              <w:right w:w="0" w:type="dxa"/>
            </w:tcMar>
            <w:vAlign w:val="bottom"/>
          </w:tcPr>
          <w:p w14:paraId="24091779" w14:textId="77777777" w:rsidR="00971900" w:rsidRPr="00971900" w:rsidRDefault="00971900" w:rsidP="009F4D03">
            <w:pPr>
              <w:spacing w:line="240" w:lineRule="atLeast"/>
              <w:jc w:val="right"/>
              <w:rPr>
                <w:rFonts w:ascii="Tahoma" w:hAnsi="Tahoma"/>
                <w:color w:val="000000" w:themeColor="text1"/>
                <w:sz w:val="16"/>
                <w:lang w:val="en-GB"/>
              </w:rPr>
            </w:pPr>
          </w:p>
        </w:tc>
        <w:tc>
          <w:tcPr>
            <w:tcW w:w="1134" w:type="dxa"/>
            <w:tcBorders>
              <w:top w:val="single" w:sz="12" w:space="0" w:color="auto"/>
            </w:tcBorders>
            <w:shd w:val="clear" w:color="auto" w:fill="auto"/>
            <w:tcMar>
              <w:top w:w="57" w:type="dxa"/>
              <w:left w:w="0" w:type="dxa"/>
              <w:bottom w:w="34" w:type="dxa"/>
              <w:right w:w="0" w:type="dxa"/>
            </w:tcMar>
            <w:vAlign w:val="bottom"/>
          </w:tcPr>
          <w:p w14:paraId="0BD63B3A" w14:textId="77777777" w:rsidR="00971900" w:rsidRPr="00971900" w:rsidRDefault="00971900" w:rsidP="009F4D03">
            <w:pPr>
              <w:spacing w:line="240" w:lineRule="atLeast"/>
              <w:jc w:val="right"/>
              <w:rPr>
                <w:rFonts w:ascii="Tahoma" w:hAnsi="Tahoma"/>
                <w:color w:val="000000" w:themeColor="text1"/>
                <w:sz w:val="16"/>
                <w:lang w:val="en-GB"/>
              </w:rPr>
            </w:pPr>
          </w:p>
        </w:tc>
      </w:tr>
      <w:tr w:rsidR="00615190" w:rsidRPr="00971900" w14:paraId="22C5AC84" w14:textId="77777777" w:rsidTr="00500DDE">
        <w:trPr>
          <w:trHeight w:val="60"/>
        </w:trPr>
        <w:tc>
          <w:tcPr>
            <w:tcW w:w="397" w:type="dxa"/>
            <w:shd w:val="clear" w:color="auto" w:fill="auto"/>
            <w:tcMar>
              <w:top w:w="34" w:type="dxa"/>
              <w:left w:w="0" w:type="dxa"/>
              <w:bottom w:w="34" w:type="dxa"/>
              <w:right w:w="0" w:type="dxa"/>
            </w:tcMar>
            <w:vAlign w:val="bottom"/>
          </w:tcPr>
          <w:p w14:paraId="182F1749" w14:textId="77777777" w:rsidR="00971900" w:rsidRPr="00971900" w:rsidRDefault="00971900" w:rsidP="00615190">
            <w:pPr>
              <w:spacing w:line="240" w:lineRule="atLeast"/>
              <w:rPr>
                <w:rFonts w:ascii="Tahoma" w:hAnsi="Tahoma"/>
                <w:color w:val="000000" w:themeColor="text1"/>
                <w:sz w:val="16"/>
                <w:lang w:val="en-GB"/>
              </w:rPr>
            </w:pPr>
          </w:p>
        </w:tc>
        <w:tc>
          <w:tcPr>
            <w:tcW w:w="6407" w:type="dxa"/>
            <w:shd w:val="clear" w:color="auto" w:fill="auto"/>
            <w:tcMar>
              <w:top w:w="34" w:type="dxa"/>
              <w:left w:w="0" w:type="dxa"/>
              <w:bottom w:w="34" w:type="dxa"/>
              <w:right w:w="113" w:type="dxa"/>
            </w:tcMar>
            <w:vAlign w:val="bottom"/>
          </w:tcPr>
          <w:p w14:paraId="619D02F7" w14:textId="77777777" w:rsidR="00971900" w:rsidRPr="00971900" w:rsidRDefault="00971900" w:rsidP="00615190">
            <w:pPr>
              <w:spacing w:line="240" w:lineRule="atLeast"/>
              <w:rPr>
                <w:rFonts w:ascii="Tahoma" w:hAnsi="Tahoma"/>
                <w:color w:val="000000" w:themeColor="text1"/>
                <w:sz w:val="16"/>
                <w:lang w:val="en-GB"/>
              </w:rPr>
            </w:pPr>
            <w:r w:rsidRPr="00971900">
              <w:rPr>
                <w:rFonts w:ascii="Tahoma" w:hAnsi="Tahoma"/>
                <w:color w:val="000000" w:themeColor="text1"/>
                <w:sz w:val="16"/>
                <w:lang w:val="en-GB"/>
              </w:rPr>
              <w:t>Issued net of treasury shares at the beginning of the period</w:t>
            </w:r>
          </w:p>
        </w:tc>
        <w:tc>
          <w:tcPr>
            <w:tcW w:w="1134" w:type="dxa"/>
            <w:shd w:val="clear" w:color="auto" w:fill="auto"/>
            <w:tcMar>
              <w:top w:w="34" w:type="dxa"/>
              <w:left w:w="0" w:type="dxa"/>
              <w:bottom w:w="34" w:type="dxa"/>
              <w:right w:w="0" w:type="dxa"/>
            </w:tcMar>
            <w:vAlign w:val="bottom"/>
          </w:tcPr>
          <w:p w14:paraId="5F87A774" w14:textId="77777777" w:rsidR="00971900" w:rsidRPr="00971900" w:rsidRDefault="00971900" w:rsidP="009F4D03">
            <w:pPr>
              <w:spacing w:line="240" w:lineRule="atLeast"/>
              <w:jc w:val="right"/>
              <w:rPr>
                <w:rFonts w:ascii="Tahoma" w:hAnsi="Tahoma"/>
                <w:b/>
                <w:bCs/>
                <w:color w:val="000000" w:themeColor="text1"/>
                <w:sz w:val="16"/>
                <w:lang w:val="en-GB"/>
              </w:rPr>
            </w:pPr>
            <w:r w:rsidRPr="00971900">
              <w:rPr>
                <w:rFonts w:ascii="Tahoma" w:hAnsi="Tahoma"/>
                <w:b/>
                <w:bCs/>
                <w:color w:val="000000" w:themeColor="text1"/>
                <w:sz w:val="16"/>
                <w:lang w:val="en-GB"/>
              </w:rPr>
              <w:t>1 419 444</w:t>
            </w:r>
          </w:p>
        </w:tc>
        <w:tc>
          <w:tcPr>
            <w:tcW w:w="1134" w:type="dxa"/>
            <w:shd w:val="clear" w:color="auto" w:fill="auto"/>
            <w:tcMar>
              <w:top w:w="34" w:type="dxa"/>
              <w:left w:w="0" w:type="dxa"/>
              <w:bottom w:w="34" w:type="dxa"/>
              <w:right w:w="0" w:type="dxa"/>
            </w:tcMar>
            <w:vAlign w:val="bottom"/>
          </w:tcPr>
          <w:p w14:paraId="722FF24B" w14:textId="77777777" w:rsidR="00971900" w:rsidRPr="00971900" w:rsidRDefault="00971900" w:rsidP="009F4D03">
            <w:pPr>
              <w:spacing w:line="240" w:lineRule="atLeast"/>
              <w:jc w:val="right"/>
              <w:rPr>
                <w:rFonts w:ascii="Tahoma" w:hAnsi="Tahoma"/>
                <w:color w:val="000000" w:themeColor="text1"/>
                <w:sz w:val="16"/>
                <w:lang w:val="en-GB"/>
              </w:rPr>
            </w:pPr>
            <w:r w:rsidRPr="00971900">
              <w:rPr>
                <w:rFonts w:ascii="Tahoma" w:hAnsi="Tahoma"/>
                <w:color w:val="000000" w:themeColor="text1"/>
                <w:sz w:val="16"/>
                <w:lang w:val="en-GB"/>
              </w:rPr>
              <w:t>1 612 778</w:t>
            </w:r>
          </w:p>
        </w:tc>
        <w:tc>
          <w:tcPr>
            <w:tcW w:w="1134" w:type="dxa"/>
            <w:shd w:val="clear" w:color="auto" w:fill="auto"/>
            <w:tcMar>
              <w:top w:w="34" w:type="dxa"/>
              <w:left w:w="0" w:type="dxa"/>
              <w:bottom w:w="34" w:type="dxa"/>
              <w:right w:w="0" w:type="dxa"/>
            </w:tcMar>
            <w:vAlign w:val="bottom"/>
          </w:tcPr>
          <w:p w14:paraId="346F0954" w14:textId="77777777" w:rsidR="00971900" w:rsidRPr="00971900" w:rsidRDefault="00971900" w:rsidP="009F4D03">
            <w:pPr>
              <w:spacing w:line="240" w:lineRule="atLeast"/>
              <w:jc w:val="right"/>
              <w:rPr>
                <w:rFonts w:ascii="Tahoma" w:hAnsi="Tahoma"/>
                <w:color w:val="000000" w:themeColor="text1"/>
                <w:sz w:val="16"/>
                <w:lang w:val="en-GB"/>
              </w:rPr>
            </w:pPr>
            <w:r w:rsidRPr="00971900">
              <w:rPr>
                <w:rFonts w:ascii="Tahoma" w:hAnsi="Tahoma"/>
                <w:color w:val="000000" w:themeColor="text1"/>
                <w:sz w:val="16"/>
                <w:lang w:val="en-GB"/>
              </w:rPr>
              <w:t>1 612 778</w:t>
            </w:r>
          </w:p>
        </w:tc>
      </w:tr>
      <w:tr w:rsidR="00615190" w:rsidRPr="00971900" w14:paraId="35321BE8" w14:textId="77777777" w:rsidTr="00500DDE">
        <w:trPr>
          <w:trHeight w:val="60"/>
        </w:trPr>
        <w:tc>
          <w:tcPr>
            <w:tcW w:w="397" w:type="dxa"/>
            <w:shd w:val="clear" w:color="auto" w:fill="auto"/>
            <w:tcMar>
              <w:top w:w="34" w:type="dxa"/>
              <w:left w:w="0" w:type="dxa"/>
              <w:bottom w:w="34" w:type="dxa"/>
              <w:right w:w="0" w:type="dxa"/>
            </w:tcMar>
            <w:vAlign w:val="bottom"/>
          </w:tcPr>
          <w:p w14:paraId="147804FE" w14:textId="77777777" w:rsidR="00971900" w:rsidRPr="00971900" w:rsidRDefault="00971900" w:rsidP="00615190">
            <w:pPr>
              <w:spacing w:line="240" w:lineRule="atLeast"/>
              <w:rPr>
                <w:rFonts w:ascii="Tahoma" w:hAnsi="Tahoma"/>
                <w:color w:val="000000" w:themeColor="text1"/>
                <w:sz w:val="16"/>
                <w:lang w:val="en-GB"/>
              </w:rPr>
            </w:pPr>
          </w:p>
        </w:tc>
        <w:tc>
          <w:tcPr>
            <w:tcW w:w="6407" w:type="dxa"/>
            <w:shd w:val="clear" w:color="auto" w:fill="auto"/>
            <w:tcMar>
              <w:top w:w="34" w:type="dxa"/>
              <w:left w:w="0" w:type="dxa"/>
              <w:bottom w:w="34" w:type="dxa"/>
              <w:right w:w="113" w:type="dxa"/>
            </w:tcMar>
            <w:vAlign w:val="bottom"/>
          </w:tcPr>
          <w:p w14:paraId="5B645139" w14:textId="77777777" w:rsidR="00971900" w:rsidRPr="00971900" w:rsidRDefault="00971900" w:rsidP="00615190">
            <w:pPr>
              <w:spacing w:line="240" w:lineRule="atLeast"/>
              <w:rPr>
                <w:rFonts w:ascii="Tahoma" w:hAnsi="Tahoma"/>
                <w:color w:val="000000" w:themeColor="text1"/>
                <w:sz w:val="16"/>
                <w:lang w:val="en-GB"/>
              </w:rPr>
            </w:pPr>
            <w:r w:rsidRPr="00971900">
              <w:rPr>
                <w:rFonts w:ascii="Tahoma" w:hAnsi="Tahoma"/>
                <w:color w:val="000000" w:themeColor="text1"/>
                <w:sz w:val="16"/>
                <w:lang w:val="en-GB"/>
              </w:rPr>
              <w:t>Weighting of share repurchase</w:t>
            </w:r>
          </w:p>
        </w:tc>
        <w:tc>
          <w:tcPr>
            <w:tcW w:w="1134" w:type="dxa"/>
            <w:shd w:val="clear" w:color="auto" w:fill="auto"/>
            <w:tcMar>
              <w:top w:w="34" w:type="dxa"/>
              <w:left w:w="0" w:type="dxa"/>
              <w:bottom w:w="34" w:type="dxa"/>
              <w:right w:w="0" w:type="dxa"/>
            </w:tcMar>
            <w:vAlign w:val="bottom"/>
          </w:tcPr>
          <w:p w14:paraId="328CE674" w14:textId="77777777" w:rsidR="00971900" w:rsidRPr="00971900" w:rsidRDefault="00971900" w:rsidP="009F4D03">
            <w:pPr>
              <w:spacing w:line="240" w:lineRule="atLeast"/>
              <w:jc w:val="right"/>
              <w:rPr>
                <w:rFonts w:ascii="Tahoma" w:hAnsi="Tahoma"/>
                <w:b/>
                <w:bCs/>
                <w:color w:val="000000" w:themeColor="text1"/>
                <w:sz w:val="16"/>
                <w:lang w:val="en-GB"/>
              </w:rPr>
            </w:pPr>
            <w:r w:rsidRPr="00971900">
              <w:rPr>
                <w:rFonts w:ascii="Tahoma" w:hAnsi="Tahoma"/>
                <w:b/>
                <w:bCs/>
                <w:color w:val="000000" w:themeColor="text1"/>
                <w:sz w:val="16"/>
                <w:lang w:val="en-GB"/>
              </w:rPr>
              <w:t>(11 204)</w:t>
            </w:r>
          </w:p>
        </w:tc>
        <w:tc>
          <w:tcPr>
            <w:tcW w:w="1134" w:type="dxa"/>
            <w:shd w:val="clear" w:color="auto" w:fill="auto"/>
            <w:tcMar>
              <w:top w:w="34" w:type="dxa"/>
              <w:left w:w="0" w:type="dxa"/>
              <w:bottom w:w="34" w:type="dxa"/>
              <w:right w:w="0" w:type="dxa"/>
            </w:tcMar>
            <w:vAlign w:val="bottom"/>
          </w:tcPr>
          <w:p w14:paraId="6271B573" w14:textId="77777777" w:rsidR="00971900" w:rsidRPr="00971900" w:rsidRDefault="00971900" w:rsidP="009F4D03">
            <w:pPr>
              <w:spacing w:line="240" w:lineRule="atLeast"/>
              <w:jc w:val="right"/>
              <w:rPr>
                <w:rFonts w:ascii="Tahoma" w:hAnsi="Tahoma"/>
                <w:color w:val="000000" w:themeColor="text1"/>
                <w:sz w:val="16"/>
                <w:lang w:val="en-GB"/>
              </w:rPr>
            </w:pPr>
            <w:r w:rsidRPr="00971900">
              <w:rPr>
                <w:rFonts w:ascii="Tahoma" w:hAnsi="Tahoma"/>
                <w:color w:val="000000" w:themeColor="text1"/>
                <w:sz w:val="16"/>
                <w:lang w:val="en-GB"/>
              </w:rPr>
              <w:t>(959)</w:t>
            </w:r>
          </w:p>
        </w:tc>
        <w:tc>
          <w:tcPr>
            <w:tcW w:w="1134" w:type="dxa"/>
            <w:shd w:val="clear" w:color="auto" w:fill="auto"/>
            <w:tcMar>
              <w:top w:w="34" w:type="dxa"/>
              <w:left w:w="0" w:type="dxa"/>
              <w:bottom w:w="34" w:type="dxa"/>
              <w:right w:w="0" w:type="dxa"/>
            </w:tcMar>
            <w:vAlign w:val="bottom"/>
          </w:tcPr>
          <w:p w14:paraId="3F4AD74B" w14:textId="77777777" w:rsidR="00971900" w:rsidRPr="00971900" w:rsidRDefault="00971900" w:rsidP="009F4D03">
            <w:pPr>
              <w:spacing w:line="240" w:lineRule="atLeast"/>
              <w:jc w:val="right"/>
              <w:rPr>
                <w:rFonts w:ascii="Tahoma" w:hAnsi="Tahoma"/>
                <w:color w:val="000000" w:themeColor="text1"/>
                <w:sz w:val="16"/>
                <w:lang w:val="en-GB"/>
              </w:rPr>
            </w:pPr>
            <w:r w:rsidRPr="00971900">
              <w:rPr>
                <w:rFonts w:ascii="Tahoma" w:hAnsi="Tahoma"/>
                <w:color w:val="000000" w:themeColor="text1"/>
                <w:sz w:val="16"/>
                <w:lang w:val="en-GB"/>
              </w:rPr>
              <w:t>(21 497)</w:t>
            </w:r>
          </w:p>
        </w:tc>
      </w:tr>
      <w:tr w:rsidR="00615190" w:rsidRPr="00971900" w14:paraId="63DB9ED3" w14:textId="77777777" w:rsidTr="0009341A">
        <w:trPr>
          <w:trHeight w:val="60"/>
        </w:trPr>
        <w:tc>
          <w:tcPr>
            <w:tcW w:w="397" w:type="dxa"/>
            <w:shd w:val="clear" w:color="auto" w:fill="auto"/>
            <w:tcMar>
              <w:top w:w="34" w:type="dxa"/>
              <w:left w:w="0" w:type="dxa"/>
              <w:bottom w:w="34" w:type="dxa"/>
              <w:right w:w="0" w:type="dxa"/>
            </w:tcMar>
            <w:vAlign w:val="bottom"/>
          </w:tcPr>
          <w:p w14:paraId="5E656DF1" w14:textId="77777777" w:rsidR="00971900" w:rsidRPr="00971900" w:rsidRDefault="00971900" w:rsidP="00615190">
            <w:pPr>
              <w:spacing w:line="240" w:lineRule="atLeast"/>
              <w:rPr>
                <w:rFonts w:ascii="Tahoma" w:hAnsi="Tahoma"/>
                <w:color w:val="000000" w:themeColor="text1"/>
                <w:sz w:val="16"/>
                <w:lang w:val="en-GB"/>
              </w:rPr>
            </w:pPr>
          </w:p>
        </w:tc>
        <w:tc>
          <w:tcPr>
            <w:tcW w:w="6407" w:type="dxa"/>
            <w:shd w:val="clear" w:color="auto" w:fill="auto"/>
            <w:tcMar>
              <w:top w:w="34" w:type="dxa"/>
              <w:left w:w="0" w:type="dxa"/>
              <w:bottom w:w="34" w:type="dxa"/>
              <w:right w:w="113" w:type="dxa"/>
            </w:tcMar>
            <w:vAlign w:val="bottom"/>
          </w:tcPr>
          <w:p w14:paraId="7437AE82" w14:textId="77777777" w:rsidR="00971900" w:rsidRPr="00971900" w:rsidRDefault="00971900" w:rsidP="00615190">
            <w:pPr>
              <w:spacing w:line="240" w:lineRule="atLeast"/>
              <w:rPr>
                <w:rFonts w:ascii="Tahoma" w:hAnsi="Tahoma"/>
                <w:color w:val="000000" w:themeColor="text1"/>
                <w:sz w:val="16"/>
                <w:lang w:val="en-GB"/>
              </w:rPr>
            </w:pPr>
            <w:r w:rsidRPr="00971900">
              <w:rPr>
                <w:rFonts w:ascii="Tahoma" w:hAnsi="Tahoma"/>
                <w:color w:val="000000" w:themeColor="text1"/>
                <w:sz w:val="16"/>
                <w:lang w:val="en-GB"/>
              </w:rPr>
              <w:t>Weighting of cross-holding ordinary shares N</w:t>
            </w:r>
          </w:p>
        </w:tc>
        <w:tc>
          <w:tcPr>
            <w:tcW w:w="1134" w:type="dxa"/>
            <w:shd w:val="clear" w:color="auto" w:fill="auto"/>
            <w:tcMar>
              <w:top w:w="34" w:type="dxa"/>
              <w:left w:w="0" w:type="dxa"/>
              <w:bottom w:w="34" w:type="dxa"/>
              <w:right w:w="0" w:type="dxa"/>
            </w:tcMar>
            <w:vAlign w:val="bottom"/>
          </w:tcPr>
          <w:p w14:paraId="172EAA04" w14:textId="77777777" w:rsidR="00971900" w:rsidRPr="00971900" w:rsidRDefault="00971900" w:rsidP="009F4D03">
            <w:pPr>
              <w:spacing w:line="240" w:lineRule="atLeast"/>
              <w:jc w:val="right"/>
              <w:rPr>
                <w:rFonts w:ascii="Tahoma" w:hAnsi="Tahoma"/>
                <w:b/>
                <w:bCs/>
                <w:color w:val="000000" w:themeColor="text1"/>
                <w:sz w:val="16"/>
                <w:lang w:val="en-GB"/>
              </w:rPr>
            </w:pPr>
            <w:r w:rsidRPr="00971900">
              <w:rPr>
                <w:rFonts w:ascii="Tahoma" w:hAnsi="Tahoma"/>
                <w:b/>
                <w:bCs/>
                <w:color w:val="000000" w:themeColor="text1"/>
                <w:sz w:val="16"/>
                <w:lang w:val="en-GB"/>
              </w:rPr>
              <w:t>(3 519)</w:t>
            </w:r>
          </w:p>
        </w:tc>
        <w:tc>
          <w:tcPr>
            <w:tcW w:w="1134" w:type="dxa"/>
            <w:shd w:val="clear" w:color="auto" w:fill="auto"/>
            <w:tcMar>
              <w:top w:w="34" w:type="dxa"/>
              <w:left w:w="0" w:type="dxa"/>
              <w:bottom w:w="34" w:type="dxa"/>
              <w:right w:w="0" w:type="dxa"/>
            </w:tcMar>
            <w:vAlign w:val="bottom"/>
          </w:tcPr>
          <w:p w14:paraId="743D076F" w14:textId="77777777" w:rsidR="00971900" w:rsidRPr="00971900" w:rsidRDefault="00971900" w:rsidP="009F4D03">
            <w:pPr>
              <w:spacing w:line="240" w:lineRule="atLeast"/>
              <w:jc w:val="right"/>
              <w:rPr>
                <w:rFonts w:ascii="Tahoma" w:hAnsi="Tahoma"/>
                <w:color w:val="000000" w:themeColor="text1"/>
                <w:sz w:val="16"/>
                <w:lang w:val="en-GB"/>
              </w:rPr>
            </w:pPr>
            <w:r w:rsidRPr="00971900">
              <w:rPr>
                <w:rFonts w:ascii="Tahoma" w:hAnsi="Tahoma"/>
                <w:color w:val="000000" w:themeColor="text1"/>
                <w:sz w:val="16"/>
                <w:lang w:val="en-GB"/>
              </w:rPr>
              <w:t>(146 892)</w:t>
            </w:r>
          </w:p>
        </w:tc>
        <w:tc>
          <w:tcPr>
            <w:tcW w:w="1134" w:type="dxa"/>
            <w:shd w:val="clear" w:color="auto" w:fill="auto"/>
            <w:tcMar>
              <w:top w:w="34" w:type="dxa"/>
              <w:left w:w="0" w:type="dxa"/>
              <w:bottom w:w="34" w:type="dxa"/>
              <w:right w:w="0" w:type="dxa"/>
            </w:tcMar>
            <w:vAlign w:val="bottom"/>
          </w:tcPr>
          <w:p w14:paraId="64531F10" w14:textId="77777777" w:rsidR="00971900" w:rsidRPr="00971900" w:rsidRDefault="00971900" w:rsidP="009F4D03">
            <w:pPr>
              <w:spacing w:line="240" w:lineRule="atLeast"/>
              <w:jc w:val="right"/>
              <w:rPr>
                <w:rFonts w:ascii="Tahoma" w:hAnsi="Tahoma"/>
                <w:color w:val="000000" w:themeColor="text1"/>
                <w:sz w:val="16"/>
                <w:lang w:val="en-GB"/>
              </w:rPr>
            </w:pPr>
            <w:r w:rsidRPr="00971900">
              <w:rPr>
                <w:rFonts w:ascii="Tahoma" w:hAnsi="Tahoma"/>
                <w:color w:val="000000" w:themeColor="text1"/>
                <w:sz w:val="16"/>
                <w:lang w:val="en-GB"/>
              </w:rPr>
              <w:t>(365 034)</w:t>
            </w:r>
          </w:p>
        </w:tc>
      </w:tr>
      <w:tr w:rsidR="00615190" w:rsidRPr="00971900" w14:paraId="06AD40FC" w14:textId="77777777" w:rsidTr="0009341A">
        <w:trPr>
          <w:trHeight w:val="60"/>
        </w:trPr>
        <w:tc>
          <w:tcPr>
            <w:tcW w:w="397" w:type="dxa"/>
            <w:shd w:val="clear" w:color="auto" w:fill="auto"/>
            <w:tcMar>
              <w:top w:w="34" w:type="dxa"/>
              <w:left w:w="0" w:type="dxa"/>
              <w:bottom w:w="57" w:type="dxa"/>
              <w:right w:w="0" w:type="dxa"/>
            </w:tcMar>
            <w:vAlign w:val="bottom"/>
          </w:tcPr>
          <w:p w14:paraId="7B68E1B6" w14:textId="77777777" w:rsidR="00971900" w:rsidRPr="00971900" w:rsidRDefault="00971900" w:rsidP="00615190">
            <w:pPr>
              <w:spacing w:line="240" w:lineRule="atLeast"/>
              <w:rPr>
                <w:rFonts w:ascii="Tahoma" w:hAnsi="Tahoma"/>
                <w:color w:val="000000" w:themeColor="text1"/>
                <w:sz w:val="16"/>
                <w:lang w:val="en-GB"/>
              </w:rPr>
            </w:pPr>
          </w:p>
        </w:tc>
        <w:tc>
          <w:tcPr>
            <w:tcW w:w="6407" w:type="dxa"/>
            <w:tcBorders>
              <w:bottom w:val="single" w:sz="4" w:space="0" w:color="auto"/>
            </w:tcBorders>
            <w:shd w:val="clear" w:color="auto" w:fill="auto"/>
            <w:tcMar>
              <w:top w:w="34" w:type="dxa"/>
              <w:left w:w="0" w:type="dxa"/>
              <w:bottom w:w="57" w:type="dxa"/>
              <w:right w:w="113" w:type="dxa"/>
            </w:tcMar>
            <w:vAlign w:val="bottom"/>
          </w:tcPr>
          <w:p w14:paraId="01A7F3E3" w14:textId="77777777" w:rsidR="00971900" w:rsidRPr="00971900" w:rsidRDefault="00971900" w:rsidP="00615190">
            <w:pPr>
              <w:spacing w:line="240" w:lineRule="atLeast"/>
              <w:rPr>
                <w:rFonts w:ascii="Tahoma" w:hAnsi="Tahoma"/>
                <w:color w:val="000000" w:themeColor="text1"/>
                <w:sz w:val="16"/>
                <w:lang w:val="en-GB"/>
              </w:rPr>
            </w:pPr>
            <w:r w:rsidRPr="00971900">
              <w:rPr>
                <w:rFonts w:ascii="Tahoma" w:hAnsi="Tahoma"/>
                <w:color w:val="000000" w:themeColor="text1"/>
                <w:sz w:val="16"/>
                <w:lang w:val="en-GB"/>
              </w:rPr>
              <w:t>Weighting of ordinary shares N issued to Naspers shareholders</w:t>
            </w:r>
          </w:p>
        </w:tc>
        <w:tc>
          <w:tcPr>
            <w:tcW w:w="1134" w:type="dxa"/>
            <w:tcBorders>
              <w:bottom w:val="single" w:sz="4" w:space="0" w:color="auto"/>
            </w:tcBorders>
            <w:shd w:val="clear" w:color="auto" w:fill="auto"/>
            <w:tcMar>
              <w:top w:w="34" w:type="dxa"/>
              <w:left w:w="0" w:type="dxa"/>
              <w:bottom w:w="57" w:type="dxa"/>
              <w:right w:w="0" w:type="dxa"/>
            </w:tcMar>
            <w:vAlign w:val="bottom"/>
          </w:tcPr>
          <w:p w14:paraId="23440D2E" w14:textId="77777777" w:rsidR="00971900" w:rsidRPr="00971900" w:rsidRDefault="00971900" w:rsidP="009F4D03">
            <w:pPr>
              <w:spacing w:line="240" w:lineRule="atLeast"/>
              <w:jc w:val="right"/>
              <w:rPr>
                <w:rFonts w:ascii="Tahoma" w:hAnsi="Tahoma"/>
                <w:b/>
                <w:bCs/>
                <w:color w:val="000000" w:themeColor="text1"/>
                <w:sz w:val="16"/>
                <w:lang w:val="en-GB"/>
              </w:rPr>
            </w:pPr>
            <w:r w:rsidRPr="00971900">
              <w:rPr>
                <w:rFonts w:ascii="Tahoma" w:hAnsi="Tahoma"/>
                <w:b/>
                <w:bCs/>
                <w:color w:val="000000" w:themeColor="text1"/>
                <w:sz w:val="16"/>
                <w:lang w:val="en-GB"/>
              </w:rPr>
              <w:t>—</w:t>
            </w:r>
          </w:p>
        </w:tc>
        <w:tc>
          <w:tcPr>
            <w:tcW w:w="1134" w:type="dxa"/>
            <w:tcBorders>
              <w:bottom w:val="single" w:sz="4" w:space="0" w:color="auto"/>
            </w:tcBorders>
            <w:shd w:val="clear" w:color="auto" w:fill="auto"/>
            <w:tcMar>
              <w:top w:w="34" w:type="dxa"/>
              <w:left w:w="0" w:type="dxa"/>
              <w:bottom w:w="57" w:type="dxa"/>
              <w:right w:w="0" w:type="dxa"/>
            </w:tcMar>
            <w:vAlign w:val="bottom"/>
          </w:tcPr>
          <w:p w14:paraId="04BA5CA8" w14:textId="77777777" w:rsidR="00971900" w:rsidRPr="00971900" w:rsidRDefault="00971900" w:rsidP="009F4D03">
            <w:pPr>
              <w:spacing w:line="240" w:lineRule="atLeast"/>
              <w:jc w:val="right"/>
              <w:rPr>
                <w:rFonts w:ascii="Tahoma" w:hAnsi="Tahoma"/>
                <w:color w:val="000000" w:themeColor="text1"/>
                <w:sz w:val="16"/>
                <w:lang w:val="en-GB"/>
              </w:rPr>
            </w:pPr>
            <w:r w:rsidRPr="00971900">
              <w:rPr>
                <w:rFonts w:ascii="Tahoma" w:hAnsi="Tahoma"/>
                <w:color w:val="000000" w:themeColor="text1"/>
                <w:sz w:val="16"/>
                <w:lang w:val="en-GB"/>
              </w:rPr>
              <w:t>112 861</w:t>
            </w:r>
          </w:p>
        </w:tc>
        <w:tc>
          <w:tcPr>
            <w:tcW w:w="1134" w:type="dxa"/>
            <w:tcBorders>
              <w:bottom w:val="single" w:sz="4" w:space="0" w:color="auto"/>
            </w:tcBorders>
            <w:shd w:val="clear" w:color="auto" w:fill="auto"/>
            <w:tcMar>
              <w:top w:w="34" w:type="dxa"/>
              <w:left w:w="0" w:type="dxa"/>
              <w:bottom w:w="57" w:type="dxa"/>
              <w:right w:w="0" w:type="dxa"/>
            </w:tcMar>
            <w:vAlign w:val="bottom"/>
          </w:tcPr>
          <w:p w14:paraId="7C8147D2" w14:textId="77777777" w:rsidR="00971900" w:rsidRPr="00971900" w:rsidRDefault="00971900" w:rsidP="009F4D03">
            <w:pPr>
              <w:spacing w:line="240" w:lineRule="atLeast"/>
              <w:jc w:val="right"/>
              <w:rPr>
                <w:rFonts w:ascii="Tahoma" w:hAnsi="Tahoma"/>
                <w:color w:val="000000" w:themeColor="text1"/>
                <w:sz w:val="16"/>
                <w:lang w:val="en-GB"/>
              </w:rPr>
            </w:pPr>
            <w:r w:rsidRPr="00971900">
              <w:rPr>
                <w:rFonts w:ascii="Tahoma" w:hAnsi="Tahoma"/>
                <w:color w:val="000000" w:themeColor="text1"/>
                <w:sz w:val="16"/>
                <w:lang w:val="en-GB"/>
              </w:rPr>
              <w:t>280 466</w:t>
            </w:r>
          </w:p>
        </w:tc>
      </w:tr>
      <w:tr w:rsidR="00615190" w:rsidRPr="00971900" w14:paraId="1B06FBD5" w14:textId="77777777" w:rsidTr="00871A3D">
        <w:trPr>
          <w:trHeight w:val="60"/>
        </w:trPr>
        <w:tc>
          <w:tcPr>
            <w:tcW w:w="397" w:type="dxa"/>
            <w:shd w:val="clear" w:color="auto" w:fill="auto"/>
            <w:tcMar>
              <w:top w:w="57" w:type="dxa"/>
              <w:left w:w="0" w:type="dxa"/>
              <w:bottom w:w="34" w:type="dxa"/>
              <w:right w:w="0" w:type="dxa"/>
            </w:tcMar>
            <w:vAlign w:val="bottom"/>
          </w:tcPr>
          <w:p w14:paraId="3FA2BED1" w14:textId="77777777" w:rsidR="00971900" w:rsidRPr="00971900" w:rsidRDefault="00971900" w:rsidP="00615190">
            <w:pPr>
              <w:spacing w:line="240" w:lineRule="atLeast"/>
              <w:rPr>
                <w:rFonts w:ascii="Tahoma" w:hAnsi="Tahoma"/>
                <w:color w:val="000000" w:themeColor="text1"/>
                <w:sz w:val="16"/>
                <w:lang w:val="en-GB"/>
              </w:rPr>
            </w:pPr>
          </w:p>
        </w:tc>
        <w:tc>
          <w:tcPr>
            <w:tcW w:w="6407" w:type="dxa"/>
            <w:tcBorders>
              <w:top w:val="single" w:sz="4" w:space="0" w:color="auto"/>
            </w:tcBorders>
            <w:shd w:val="clear" w:color="auto" w:fill="auto"/>
            <w:tcMar>
              <w:top w:w="57" w:type="dxa"/>
              <w:left w:w="0" w:type="dxa"/>
              <w:bottom w:w="34" w:type="dxa"/>
              <w:right w:w="113" w:type="dxa"/>
            </w:tcMar>
            <w:vAlign w:val="bottom"/>
          </w:tcPr>
          <w:p w14:paraId="617F2566" w14:textId="77777777" w:rsidR="00971900" w:rsidRPr="00971900" w:rsidRDefault="00971900" w:rsidP="00615190">
            <w:pPr>
              <w:spacing w:line="240" w:lineRule="atLeast"/>
              <w:rPr>
                <w:rFonts w:ascii="Tahoma" w:hAnsi="Tahoma"/>
                <w:b/>
                <w:bCs/>
                <w:color w:val="000000" w:themeColor="text1"/>
                <w:sz w:val="16"/>
                <w:lang w:val="en-GB"/>
              </w:rPr>
            </w:pPr>
            <w:r w:rsidRPr="00971900">
              <w:rPr>
                <w:rFonts w:ascii="Tahoma" w:hAnsi="Tahoma"/>
                <w:b/>
                <w:bCs/>
                <w:color w:val="000000" w:themeColor="text1"/>
                <w:sz w:val="16"/>
                <w:lang w:val="en-GB"/>
              </w:rPr>
              <w:t>Weighted average number of shares in issue during the period</w:t>
            </w:r>
            <w:r w:rsidRPr="00971900">
              <w:rPr>
                <w:rFonts w:ascii="Tahoma" w:hAnsi="Tahoma"/>
                <w:b/>
                <w:bCs/>
                <w:color w:val="000000" w:themeColor="text1"/>
                <w:sz w:val="16"/>
                <w:vertAlign w:val="superscript"/>
                <w:lang w:val="en-GB"/>
              </w:rPr>
              <w:t>2</w:t>
            </w:r>
          </w:p>
        </w:tc>
        <w:tc>
          <w:tcPr>
            <w:tcW w:w="1134" w:type="dxa"/>
            <w:tcBorders>
              <w:top w:val="single" w:sz="4" w:space="0" w:color="auto"/>
            </w:tcBorders>
            <w:shd w:val="clear" w:color="auto" w:fill="auto"/>
            <w:tcMar>
              <w:top w:w="57" w:type="dxa"/>
              <w:left w:w="0" w:type="dxa"/>
              <w:bottom w:w="34" w:type="dxa"/>
              <w:right w:w="0" w:type="dxa"/>
            </w:tcMar>
            <w:vAlign w:val="bottom"/>
          </w:tcPr>
          <w:p w14:paraId="65CAB336" w14:textId="77777777" w:rsidR="00971900" w:rsidRPr="00971900" w:rsidRDefault="00971900" w:rsidP="009F4D03">
            <w:pPr>
              <w:spacing w:line="240" w:lineRule="atLeast"/>
              <w:jc w:val="right"/>
              <w:rPr>
                <w:rFonts w:ascii="Tahoma" w:hAnsi="Tahoma"/>
                <w:b/>
                <w:bCs/>
                <w:color w:val="000000" w:themeColor="text1"/>
                <w:sz w:val="16"/>
                <w:lang w:val="en-GB"/>
              </w:rPr>
            </w:pPr>
            <w:r w:rsidRPr="00971900">
              <w:rPr>
                <w:rFonts w:ascii="Tahoma" w:hAnsi="Tahoma"/>
                <w:b/>
                <w:bCs/>
                <w:color w:val="000000" w:themeColor="text1"/>
                <w:sz w:val="16"/>
                <w:lang w:val="en-GB"/>
              </w:rPr>
              <w:t>1 404 721</w:t>
            </w:r>
          </w:p>
        </w:tc>
        <w:tc>
          <w:tcPr>
            <w:tcW w:w="1134" w:type="dxa"/>
            <w:tcBorders>
              <w:top w:val="single" w:sz="4" w:space="0" w:color="auto"/>
            </w:tcBorders>
            <w:shd w:val="clear" w:color="auto" w:fill="auto"/>
            <w:tcMar>
              <w:top w:w="57" w:type="dxa"/>
              <w:left w:w="0" w:type="dxa"/>
              <w:bottom w:w="34" w:type="dxa"/>
              <w:right w:w="0" w:type="dxa"/>
            </w:tcMar>
            <w:vAlign w:val="bottom"/>
          </w:tcPr>
          <w:p w14:paraId="2C4A13CE" w14:textId="77777777" w:rsidR="00971900" w:rsidRPr="00971900" w:rsidRDefault="00971900" w:rsidP="009F4D03">
            <w:pPr>
              <w:spacing w:line="240" w:lineRule="atLeast"/>
              <w:jc w:val="right"/>
              <w:rPr>
                <w:rFonts w:ascii="Tahoma" w:hAnsi="Tahoma"/>
                <w:color w:val="000000" w:themeColor="text1"/>
                <w:sz w:val="16"/>
                <w:lang w:val="en-GB"/>
              </w:rPr>
            </w:pPr>
            <w:r w:rsidRPr="00971900">
              <w:rPr>
                <w:rFonts w:ascii="Tahoma" w:hAnsi="Tahoma"/>
                <w:color w:val="000000" w:themeColor="text1"/>
                <w:sz w:val="16"/>
                <w:lang w:val="en-GB"/>
              </w:rPr>
              <w:t>1 577 788</w:t>
            </w:r>
          </w:p>
        </w:tc>
        <w:tc>
          <w:tcPr>
            <w:tcW w:w="1134" w:type="dxa"/>
            <w:tcBorders>
              <w:top w:val="single" w:sz="4" w:space="0" w:color="auto"/>
            </w:tcBorders>
            <w:shd w:val="clear" w:color="auto" w:fill="auto"/>
            <w:tcMar>
              <w:top w:w="57" w:type="dxa"/>
              <w:left w:w="0" w:type="dxa"/>
              <w:bottom w:w="34" w:type="dxa"/>
              <w:right w:w="0" w:type="dxa"/>
            </w:tcMar>
            <w:vAlign w:val="bottom"/>
          </w:tcPr>
          <w:p w14:paraId="30E6A2F9" w14:textId="77777777" w:rsidR="00971900" w:rsidRPr="00971900" w:rsidRDefault="00971900" w:rsidP="009F4D03">
            <w:pPr>
              <w:spacing w:line="240" w:lineRule="atLeast"/>
              <w:jc w:val="right"/>
              <w:rPr>
                <w:rFonts w:ascii="Tahoma" w:hAnsi="Tahoma"/>
                <w:color w:val="000000" w:themeColor="text1"/>
                <w:sz w:val="16"/>
                <w:lang w:val="en-GB"/>
              </w:rPr>
            </w:pPr>
            <w:r w:rsidRPr="00971900">
              <w:rPr>
                <w:rFonts w:ascii="Tahoma" w:hAnsi="Tahoma"/>
                <w:color w:val="000000" w:themeColor="text1"/>
                <w:sz w:val="16"/>
                <w:lang w:val="en-GB"/>
              </w:rPr>
              <w:t>1 506 713</w:t>
            </w:r>
          </w:p>
        </w:tc>
      </w:tr>
      <w:tr w:rsidR="00615190" w:rsidRPr="00971900" w14:paraId="7A5921F4" w14:textId="77777777" w:rsidTr="002F078E">
        <w:trPr>
          <w:trHeight w:val="60"/>
        </w:trPr>
        <w:tc>
          <w:tcPr>
            <w:tcW w:w="397" w:type="dxa"/>
            <w:shd w:val="clear" w:color="auto" w:fill="auto"/>
            <w:tcMar>
              <w:top w:w="34" w:type="dxa"/>
              <w:left w:w="0" w:type="dxa"/>
              <w:bottom w:w="57" w:type="dxa"/>
              <w:right w:w="0" w:type="dxa"/>
            </w:tcMar>
            <w:vAlign w:val="bottom"/>
          </w:tcPr>
          <w:p w14:paraId="75F7D7E4" w14:textId="77777777" w:rsidR="00971900" w:rsidRPr="00971900" w:rsidRDefault="00971900" w:rsidP="00615190">
            <w:pPr>
              <w:spacing w:line="240" w:lineRule="atLeast"/>
              <w:rPr>
                <w:rFonts w:ascii="Tahoma" w:hAnsi="Tahoma"/>
                <w:color w:val="000000" w:themeColor="text1"/>
                <w:sz w:val="16"/>
                <w:lang w:val="en-GB"/>
              </w:rPr>
            </w:pPr>
          </w:p>
        </w:tc>
        <w:tc>
          <w:tcPr>
            <w:tcW w:w="6407" w:type="dxa"/>
            <w:tcBorders>
              <w:bottom w:val="single" w:sz="4" w:space="0" w:color="auto"/>
            </w:tcBorders>
            <w:shd w:val="clear" w:color="auto" w:fill="auto"/>
            <w:tcMar>
              <w:top w:w="34" w:type="dxa"/>
              <w:left w:w="0" w:type="dxa"/>
              <w:bottom w:w="57" w:type="dxa"/>
              <w:right w:w="113" w:type="dxa"/>
            </w:tcMar>
            <w:vAlign w:val="bottom"/>
          </w:tcPr>
          <w:p w14:paraId="40224AE7" w14:textId="77777777" w:rsidR="00971900" w:rsidRPr="00971900" w:rsidRDefault="00971900" w:rsidP="00615190">
            <w:pPr>
              <w:spacing w:line="240" w:lineRule="atLeast"/>
              <w:rPr>
                <w:rFonts w:ascii="Tahoma" w:hAnsi="Tahoma"/>
                <w:color w:val="000000" w:themeColor="text1"/>
                <w:sz w:val="16"/>
                <w:lang w:val="en-GB"/>
              </w:rPr>
            </w:pPr>
            <w:r w:rsidRPr="00971900">
              <w:rPr>
                <w:rFonts w:ascii="Tahoma" w:hAnsi="Tahoma"/>
                <w:color w:val="000000" w:themeColor="text1"/>
                <w:sz w:val="16"/>
                <w:lang w:val="en-GB"/>
              </w:rPr>
              <w:t>Adjusted for effect of future share-based payment transactions</w:t>
            </w:r>
          </w:p>
        </w:tc>
        <w:tc>
          <w:tcPr>
            <w:tcW w:w="1134" w:type="dxa"/>
            <w:tcBorders>
              <w:bottom w:val="single" w:sz="4" w:space="0" w:color="auto"/>
            </w:tcBorders>
            <w:shd w:val="clear" w:color="auto" w:fill="auto"/>
            <w:tcMar>
              <w:top w:w="34" w:type="dxa"/>
              <w:left w:w="0" w:type="dxa"/>
              <w:bottom w:w="57" w:type="dxa"/>
              <w:right w:w="0" w:type="dxa"/>
            </w:tcMar>
            <w:vAlign w:val="bottom"/>
          </w:tcPr>
          <w:p w14:paraId="7EA04A2B" w14:textId="77777777" w:rsidR="00971900" w:rsidRPr="00971900" w:rsidRDefault="00971900" w:rsidP="009F4D03">
            <w:pPr>
              <w:spacing w:line="240" w:lineRule="atLeast"/>
              <w:jc w:val="right"/>
              <w:rPr>
                <w:rFonts w:ascii="Tahoma" w:hAnsi="Tahoma"/>
                <w:b/>
                <w:bCs/>
                <w:color w:val="000000" w:themeColor="text1"/>
                <w:sz w:val="16"/>
                <w:lang w:val="en-GB"/>
              </w:rPr>
            </w:pPr>
            <w:r w:rsidRPr="00971900">
              <w:rPr>
                <w:rFonts w:ascii="Tahoma" w:hAnsi="Tahoma"/>
                <w:b/>
                <w:bCs/>
                <w:color w:val="000000" w:themeColor="text1"/>
                <w:sz w:val="16"/>
                <w:lang w:val="en-GB"/>
              </w:rPr>
              <w:t>—</w:t>
            </w:r>
          </w:p>
        </w:tc>
        <w:tc>
          <w:tcPr>
            <w:tcW w:w="1134" w:type="dxa"/>
            <w:tcBorders>
              <w:bottom w:val="single" w:sz="4" w:space="0" w:color="auto"/>
            </w:tcBorders>
            <w:shd w:val="clear" w:color="auto" w:fill="auto"/>
            <w:tcMar>
              <w:top w:w="34" w:type="dxa"/>
              <w:left w:w="0" w:type="dxa"/>
              <w:bottom w:w="57" w:type="dxa"/>
              <w:right w:w="0" w:type="dxa"/>
            </w:tcMar>
            <w:vAlign w:val="bottom"/>
          </w:tcPr>
          <w:p w14:paraId="664A540C" w14:textId="77777777" w:rsidR="00971900" w:rsidRPr="00971900" w:rsidRDefault="00971900" w:rsidP="009F4D03">
            <w:pPr>
              <w:spacing w:line="240" w:lineRule="atLeast"/>
              <w:jc w:val="right"/>
              <w:rPr>
                <w:rFonts w:ascii="Tahoma" w:hAnsi="Tahoma"/>
                <w:color w:val="000000" w:themeColor="text1"/>
                <w:sz w:val="16"/>
                <w:lang w:val="en-GB"/>
              </w:rPr>
            </w:pPr>
            <w:r w:rsidRPr="00971900">
              <w:rPr>
                <w:rFonts w:ascii="Tahoma" w:hAnsi="Tahoma"/>
                <w:color w:val="000000" w:themeColor="text1"/>
                <w:sz w:val="16"/>
                <w:lang w:val="en-GB"/>
              </w:rPr>
              <w:t>—</w:t>
            </w:r>
          </w:p>
        </w:tc>
        <w:tc>
          <w:tcPr>
            <w:tcW w:w="1134" w:type="dxa"/>
            <w:tcBorders>
              <w:bottom w:val="single" w:sz="4" w:space="0" w:color="auto"/>
            </w:tcBorders>
            <w:shd w:val="clear" w:color="auto" w:fill="auto"/>
            <w:tcMar>
              <w:top w:w="34" w:type="dxa"/>
              <w:left w:w="0" w:type="dxa"/>
              <w:bottom w:w="57" w:type="dxa"/>
              <w:right w:w="0" w:type="dxa"/>
            </w:tcMar>
            <w:vAlign w:val="bottom"/>
          </w:tcPr>
          <w:p w14:paraId="4C873716" w14:textId="77777777" w:rsidR="00971900" w:rsidRPr="00971900" w:rsidRDefault="00971900" w:rsidP="009F4D03">
            <w:pPr>
              <w:spacing w:line="240" w:lineRule="atLeast"/>
              <w:jc w:val="right"/>
              <w:rPr>
                <w:rFonts w:ascii="Tahoma" w:hAnsi="Tahoma"/>
                <w:color w:val="000000" w:themeColor="text1"/>
                <w:sz w:val="16"/>
                <w:lang w:val="en-GB"/>
              </w:rPr>
            </w:pPr>
            <w:r w:rsidRPr="00971900">
              <w:rPr>
                <w:rFonts w:ascii="Tahoma" w:hAnsi="Tahoma"/>
                <w:color w:val="000000" w:themeColor="text1"/>
                <w:sz w:val="16"/>
                <w:lang w:val="en-GB"/>
              </w:rPr>
              <w:t>—</w:t>
            </w:r>
          </w:p>
        </w:tc>
      </w:tr>
      <w:tr w:rsidR="00615190" w:rsidRPr="00971900" w14:paraId="10B566BC" w14:textId="77777777" w:rsidTr="002F078E">
        <w:trPr>
          <w:trHeight w:val="60"/>
        </w:trPr>
        <w:tc>
          <w:tcPr>
            <w:tcW w:w="397" w:type="dxa"/>
            <w:shd w:val="clear" w:color="auto" w:fill="auto"/>
            <w:tcMar>
              <w:top w:w="57" w:type="dxa"/>
              <w:left w:w="0" w:type="dxa"/>
              <w:bottom w:w="57" w:type="dxa"/>
              <w:right w:w="0" w:type="dxa"/>
            </w:tcMar>
            <w:vAlign w:val="bottom"/>
          </w:tcPr>
          <w:p w14:paraId="48787B1C" w14:textId="77777777" w:rsidR="00971900" w:rsidRPr="00971900" w:rsidRDefault="00971900" w:rsidP="00615190">
            <w:pPr>
              <w:spacing w:line="240" w:lineRule="atLeast"/>
              <w:rPr>
                <w:rFonts w:ascii="Tahoma" w:hAnsi="Tahoma"/>
                <w:color w:val="000000" w:themeColor="text1"/>
                <w:sz w:val="16"/>
                <w:lang w:val="en-GB"/>
              </w:rPr>
            </w:pPr>
          </w:p>
        </w:tc>
        <w:tc>
          <w:tcPr>
            <w:tcW w:w="6407" w:type="dxa"/>
            <w:tcBorders>
              <w:top w:val="single" w:sz="4" w:space="0" w:color="auto"/>
              <w:bottom w:val="single" w:sz="4" w:space="0" w:color="auto"/>
            </w:tcBorders>
            <w:shd w:val="clear" w:color="auto" w:fill="auto"/>
            <w:tcMar>
              <w:top w:w="57" w:type="dxa"/>
              <w:left w:w="0" w:type="dxa"/>
              <w:bottom w:w="57" w:type="dxa"/>
              <w:right w:w="113" w:type="dxa"/>
            </w:tcMar>
            <w:vAlign w:val="bottom"/>
          </w:tcPr>
          <w:p w14:paraId="5117C98C" w14:textId="77777777" w:rsidR="00971900" w:rsidRPr="00971900" w:rsidRDefault="00971900" w:rsidP="00615190">
            <w:pPr>
              <w:spacing w:line="240" w:lineRule="atLeast"/>
              <w:rPr>
                <w:rFonts w:ascii="Tahoma" w:hAnsi="Tahoma"/>
                <w:b/>
                <w:bCs/>
                <w:color w:val="000000" w:themeColor="text1"/>
                <w:sz w:val="16"/>
                <w:lang w:val="en-GB"/>
              </w:rPr>
            </w:pPr>
            <w:r w:rsidRPr="00971900">
              <w:rPr>
                <w:rFonts w:ascii="Tahoma" w:hAnsi="Tahoma"/>
                <w:b/>
                <w:bCs/>
                <w:color w:val="000000" w:themeColor="text1"/>
                <w:sz w:val="16"/>
                <w:lang w:val="en-GB"/>
              </w:rPr>
              <w:t>Diluted weighted average number of shares in issue during the period</w:t>
            </w:r>
          </w:p>
        </w:tc>
        <w:tc>
          <w:tcPr>
            <w:tcW w:w="1134" w:type="dxa"/>
            <w:tcBorders>
              <w:top w:val="single" w:sz="4" w:space="0" w:color="auto"/>
              <w:bottom w:val="single" w:sz="4" w:space="0" w:color="auto"/>
            </w:tcBorders>
            <w:shd w:val="clear" w:color="auto" w:fill="auto"/>
            <w:tcMar>
              <w:top w:w="57" w:type="dxa"/>
              <w:left w:w="0" w:type="dxa"/>
              <w:bottom w:w="57" w:type="dxa"/>
              <w:right w:w="0" w:type="dxa"/>
            </w:tcMar>
            <w:vAlign w:val="bottom"/>
          </w:tcPr>
          <w:p w14:paraId="189BDAAD" w14:textId="77777777" w:rsidR="00971900" w:rsidRPr="00971900" w:rsidRDefault="00971900" w:rsidP="009F4D03">
            <w:pPr>
              <w:spacing w:line="240" w:lineRule="atLeast"/>
              <w:jc w:val="right"/>
              <w:rPr>
                <w:rFonts w:ascii="Tahoma" w:hAnsi="Tahoma"/>
                <w:b/>
                <w:bCs/>
                <w:color w:val="000000" w:themeColor="text1"/>
                <w:sz w:val="16"/>
                <w:lang w:val="en-GB"/>
              </w:rPr>
            </w:pPr>
            <w:r w:rsidRPr="00971900">
              <w:rPr>
                <w:rFonts w:ascii="Tahoma" w:hAnsi="Tahoma"/>
                <w:b/>
                <w:bCs/>
                <w:color w:val="000000" w:themeColor="text1"/>
                <w:sz w:val="16"/>
                <w:lang w:val="en-GB"/>
              </w:rPr>
              <w:t>1 404 721</w:t>
            </w:r>
          </w:p>
        </w:tc>
        <w:tc>
          <w:tcPr>
            <w:tcW w:w="1134" w:type="dxa"/>
            <w:tcBorders>
              <w:top w:val="single" w:sz="4" w:space="0" w:color="auto"/>
              <w:bottom w:val="single" w:sz="4" w:space="0" w:color="auto"/>
            </w:tcBorders>
            <w:shd w:val="clear" w:color="auto" w:fill="auto"/>
            <w:tcMar>
              <w:top w:w="57" w:type="dxa"/>
              <w:left w:w="0" w:type="dxa"/>
              <w:bottom w:w="57" w:type="dxa"/>
              <w:right w:w="0" w:type="dxa"/>
            </w:tcMar>
            <w:vAlign w:val="bottom"/>
          </w:tcPr>
          <w:p w14:paraId="2E20D805" w14:textId="77777777" w:rsidR="00971900" w:rsidRPr="00971900" w:rsidRDefault="00971900" w:rsidP="009F4D03">
            <w:pPr>
              <w:spacing w:line="240" w:lineRule="atLeast"/>
              <w:jc w:val="right"/>
              <w:rPr>
                <w:rFonts w:ascii="Tahoma" w:hAnsi="Tahoma"/>
                <w:color w:val="000000" w:themeColor="text1"/>
                <w:sz w:val="16"/>
                <w:lang w:val="en-GB"/>
              </w:rPr>
            </w:pPr>
            <w:r w:rsidRPr="00971900">
              <w:rPr>
                <w:rFonts w:ascii="Tahoma" w:hAnsi="Tahoma"/>
                <w:color w:val="000000" w:themeColor="text1"/>
                <w:sz w:val="16"/>
                <w:lang w:val="en-GB"/>
              </w:rPr>
              <w:t>1 577 788</w:t>
            </w:r>
          </w:p>
        </w:tc>
        <w:tc>
          <w:tcPr>
            <w:tcW w:w="1134" w:type="dxa"/>
            <w:tcBorders>
              <w:top w:val="single" w:sz="4" w:space="0" w:color="auto"/>
              <w:bottom w:val="single" w:sz="4" w:space="0" w:color="auto"/>
            </w:tcBorders>
            <w:shd w:val="clear" w:color="auto" w:fill="auto"/>
            <w:tcMar>
              <w:top w:w="57" w:type="dxa"/>
              <w:left w:w="0" w:type="dxa"/>
              <w:bottom w:w="57" w:type="dxa"/>
              <w:right w:w="0" w:type="dxa"/>
            </w:tcMar>
            <w:vAlign w:val="bottom"/>
          </w:tcPr>
          <w:p w14:paraId="3D0C01FF" w14:textId="77777777" w:rsidR="00971900" w:rsidRPr="00971900" w:rsidRDefault="00971900" w:rsidP="009F4D03">
            <w:pPr>
              <w:spacing w:line="240" w:lineRule="atLeast"/>
              <w:jc w:val="right"/>
              <w:rPr>
                <w:rFonts w:ascii="Tahoma" w:hAnsi="Tahoma"/>
                <w:color w:val="000000" w:themeColor="text1"/>
                <w:sz w:val="16"/>
                <w:lang w:val="en-GB"/>
              </w:rPr>
            </w:pPr>
            <w:r w:rsidRPr="00971900">
              <w:rPr>
                <w:rFonts w:ascii="Tahoma" w:hAnsi="Tahoma"/>
                <w:color w:val="000000" w:themeColor="text1"/>
                <w:sz w:val="16"/>
                <w:lang w:val="en-GB"/>
              </w:rPr>
              <w:t>1 506 713</w:t>
            </w:r>
          </w:p>
        </w:tc>
      </w:tr>
      <w:tr w:rsidR="00615190" w:rsidRPr="00971900" w14:paraId="09944B43" w14:textId="77777777" w:rsidTr="002F078E">
        <w:trPr>
          <w:trHeight w:val="60"/>
        </w:trPr>
        <w:tc>
          <w:tcPr>
            <w:tcW w:w="397" w:type="dxa"/>
            <w:shd w:val="clear" w:color="auto" w:fill="auto"/>
            <w:tcMar>
              <w:top w:w="57" w:type="dxa"/>
              <w:left w:w="0" w:type="dxa"/>
              <w:bottom w:w="34" w:type="dxa"/>
              <w:right w:w="0" w:type="dxa"/>
            </w:tcMar>
            <w:vAlign w:val="bottom"/>
          </w:tcPr>
          <w:p w14:paraId="1A32FEA2" w14:textId="77777777" w:rsidR="00971900" w:rsidRPr="00971900" w:rsidRDefault="00971900" w:rsidP="00615190">
            <w:pPr>
              <w:spacing w:line="240" w:lineRule="atLeast"/>
              <w:rPr>
                <w:rFonts w:ascii="Tahoma" w:hAnsi="Tahoma"/>
                <w:color w:val="000000" w:themeColor="text1"/>
                <w:sz w:val="16"/>
                <w:lang w:val="en-GB"/>
              </w:rPr>
            </w:pPr>
          </w:p>
        </w:tc>
        <w:tc>
          <w:tcPr>
            <w:tcW w:w="6407" w:type="dxa"/>
            <w:tcBorders>
              <w:top w:val="single" w:sz="4" w:space="0" w:color="auto"/>
            </w:tcBorders>
            <w:shd w:val="clear" w:color="auto" w:fill="auto"/>
            <w:tcMar>
              <w:top w:w="57" w:type="dxa"/>
              <w:left w:w="0" w:type="dxa"/>
              <w:bottom w:w="34" w:type="dxa"/>
              <w:right w:w="113" w:type="dxa"/>
            </w:tcMar>
            <w:vAlign w:val="bottom"/>
          </w:tcPr>
          <w:p w14:paraId="315F5981" w14:textId="77777777" w:rsidR="00971900" w:rsidRPr="00971900" w:rsidRDefault="00971900" w:rsidP="00615190">
            <w:pPr>
              <w:spacing w:line="240" w:lineRule="atLeast"/>
              <w:rPr>
                <w:rFonts w:ascii="Tahoma" w:hAnsi="Tahoma"/>
                <w:b/>
                <w:bCs/>
                <w:color w:val="000000" w:themeColor="text1"/>
                <w:sz w:val="16"/>
                <w:lang w:val="en-GB"/>
              </w:rPr>
            </w:pPr>
            <w:r w:rsidRPr="00971900">
              <w:rPr>
                <w:rFonts w:ascii="Tahoma" w:hAnsi="Tahoma"/>
                <w:b/>
                <w:bCs/>
                <w:color w:val="000000" w:themeColor="text1"/>
                <w:sz w:val="16"/>
                <w:lang w:val="en-GB"/>
              </w:rPr>
              <w:t>Per share information from continuing operations for the period (US cents)</w:t>
            </w:r>
            <w:r w:rsidRPr="00971900">
              <w:rPr>
                <w:rFonts w:ascii="Tahoma" w:hAnsi="Tahoma"/>
                <w:b/>
                <w:bCs/>
                <w:color w:val="000000" w:themeColor="text1"/>
                <w:sz w:val="16"/>
                <w:vertAlign w:val="superscript"/>
                <w:lang w:val="en-GB"/>
              </w:rPr>
              <w:t>3</w:t>
            </w:r>
          </w:p>
        </w:tc>
        <w:tc>
          <w:tcPr>
            <w:tcW w:w="1134" w:type="dxa"/>
            <w:tcBorders>
              <w:top w:val="single" w:sz="4" w:space="0" w:color="auto"/>
            </w:tcBorders>
            <w:shd w:val="clear" w:color="auto" w:fill="auto"/>
            <w:tcMar>
              <w:top w:w="57" w:type="dxa"/>
              <w:left w:w="0" w:type="dxa"/>
              <w:bottom w:w="34" w:type="dxa"/>
              <w:right w:w="0" w:type="dxa"/>
            </w:tcMar>
            <w:vAlign w:val="bottom"/>
          </w:tcPr>
          <w:p w14:paraId="31F97CBC" w14:textId="77777777" w:rsidR="00971900" w:rsidRPr="00971900" w:rsidRDefault="00971900" w:rsidP="009F4D03">
            <w:pPr>
              <w:spacing w:line="240" w:lineRule="atLeast"/>
              <w:jc w:val="right"/>
              <w:rPr>
                <w:rFonts w:ascii="Tahoma" w:hAnsi="Tahoma"/>
                <w:b/>
                <w:bCs/>
                <w:color w:val="000000" w:themeColor="text1"/>
                <w:sz w:val="16"/>
                <w:lang w:val="en-GB"/>
              </w:rPr>
            </w:pPr>
          </w:p>
        </w:tc>
        <w:tc>
          <w:tcPr>
            <w:tcW w:w="1134" w:type="dxa"/>
            <w:tcBorders>
              <w:top w:val="single" w:sz="4" w:space="0" w:color="auto"/>
            </w:tcBorders>
            <w:shd w:val="clear" w:color="auto" w:fill="auto"/>
            <w:tcMar>
              <w:top w:w="57" w:type="dxa"/>
              <w:left w:w="0" w:type="dxa"/>
              <w:bottom w:w="34" w:type="dxa"/>
              <w:right w:w="0" w:type="dxa"/>
            </w:tcMar>
            <w:vAlign w:val="bottom"/>
          </w:tcPr>
          <w:p w14:paraId="4B330E17" w14:textId="77777777" w:rsidR="00971900" w:rsidRPr="00971900" w:rsidRDefault="00971900" w:rsidP="009F4D03">
            <w:pPr>
              <w:spacing w:line="240" w:lineRule="atLeast"/>
              <w:jc w:val="right"/>
              <w:rPr>
                <w:rFonts w:ascii="Tahoma" w:hAnsi="Tahoma"/>
                <w:color w:val="000000" w:themeColor="text1"/>
                <w:sz w:val="16"/>
                <w:lang w:val="en-GB"/>
              </w:rPr>
            </w:pPr>
          </w:p>
        </w:tc>
        <w:tc>
          <w:tcPr>
            <w:tcW w:w="1134" w:type="dxa"/>
            <w:tcBorders>
              <w:top w:val="single" w:sz="4" w:space="0" w:color="auto"/>
            </w:tcBorders>
            <w:shd w:val="clear" w:color="auto" w:fill="auto"/>
            <w:tcMar>
              <w:top w:w="57" w:type="dxa"/>
              <w:left w:w="0" w:type="dxa"/>
              <w:bottom w:w="34" w:type="dxa"/>
              <w:right w:w="0" w:type="dxa"/>
            </w:tcMar>
            <w:vAlign w:val="bottom"/>
          </w:tcPr>
          <w:p w14:paraId="00B06160" w14:textId="77777777" w:rsidR="00971900" w:rsidRPr="00971900" w:rsidRDefault="00971900" w:rsidP="009F4D03">
            <w:pPr>
              <w:spacing w:line="240" w:lineRule="atLeast"/>
              <w:jc w:val="right"/>
              <w:rPr>
                <w:rFonts w:ascii="Tahoma" w:hAnsi="Tahoma"/>
                <w:color w:val="000000" w:themeColor="text1"/>
                <w:sz w:val="16"/>
                <w:lang w:val="en-GB"/>
              </w:rPr>
            </w:pPr>
          </w:p>
        </w:tc>
      </w:tr>
      <w:tr w:rsidR="00615190" w:rsidRPr="00971900" w14:paraId="7A57299F" w14:textId="77777777" w:rsidTr="00500DDE">
        <w:trPr>
          <w:trHeight w:val="60"/>
        </w:trPr>
        <w:tc>
          <w:tcPr>
            <w:tcW w:w="397" w:type="dxa"/>
            <w:shd w:val="clear" w:color="auto" w:fill="auto"/>
            <w:tcMar>
              <w:top w:w="34" w:type="dxa"/>
              <w:left w:w="0" w:type="dxa"/>
              <w:bottom w:w="34" w:type="dxa"/>
              <w:right w:w="0" w:type="dxa"/>
            </w:tcMar>
            <w:vAlign w:val="bottom"/>
          </w:tcPr>
          <w:p w14:paraId="19180357" w14:textId="77777777" w:rsidR="00971900" w:rsidRPr="00971900" w:rsidRDefault="00971900" w:rsidP="00615190">
            <w:pPr>
              <w:spacing w:line="240" w:lineRule="atLeast"/>
              <w:rPr>
                <w:rFonts w:ascii="Tahoma" w:hAnsi="Tahoma"/>
                <w:color w:val="000000" w:themeColor="text1"/>
                <w:sz w:val="16"/>
                <w:lang w:val="en-GB"/>
              </w:rPr>
            </w:pPr>
          </w:p>
        </w:tc>
        <w:tc>
          <w:tcPr>
            <w:tcW w:w="6407" w:type="dxa"/>
            <w:shd w:val="clear" w:color="auto" w:fill="auto"/>
            <w:tcMar>
              <w:top w:w="34" w:type="dxa"/>
              <w:left w:w="0" w:type="dxa"/>
              <w:bottom w:w="34" w:type="dxa"/>
              <w:right w:w="113" w:type="dxa"/>
            </w:tcMar>
            <w:vAlign w:val="bottom"/>
          </w:tcPr>
          <w:p w14:paraId="4944CFD9" w14:textId="77777777" w:rsidR="00971900" w:rsidRPr="00971900" w:rsidRDefault="00971900" w:rsidP="00615190">
            <w:pPr>
              <w:spacing w:line="240" w:lineRule="atLeast"/>
              <w:rPr>
                <w:rFonts w:ascii="Tahoma" w:hAnsi="Tahoma"/>
                <w:color w:val="000000" w:themeColor="text1"/>
                <w:sz w:val="16"/>
                <w:lang w:val="en-GB"/>
              </w:rPr>
            </w:pPr>
            <w:r w:rsidRPr="00971900">
              <w:rPr>
                <w:rFonts w:ascii="Tahoma" w:hAnsi="Tahoma"/>
                <w:color w:val="000000" w:themeColor="text1"/>
                <w:sz w:val="16"/>
                <w:lang w:val="en-GB"/>
              </w:rPr>
              <w:t>Earnings per ordinary share N</w:t>
            </w:r>
          </w:p>
        </w:tc>
        <w:tc>
          <w:tcPr>
            <w:tcW w:w="1134" w:type="dxa"/>
            <w:shd w:val="clear" w:color="auto" w:fill="auto"/>
            <w:tcMar>
              <w:top w:w="34" w:type="dxa"/>
              <w:left w:w="0" w:type="dxa"/>
              <w:bottom w:w="34" w:type="dxa"/>
              <w:right w:w="0" w:type="dxa"/>
            </w:tcMar>
            <w:vAlign w:val="bottom"/>
          </w:tcPr>
          <w:p w14:paraId="6FE6929B" w14:textId="77777777" w:rsidR="00971900" w:rsidRPr="00971900" w:rsidRDefault="00971900" w:rsidP="009F4D03">
            <w:pPr>
              <w:spacing w:line="240" w:lineRule="atLeast"/>
              <w:jc w:val="right"/>
              <w:rPr>
                <w:rFonts w:ascii="Tahoma" w:hAnsi="Tahoma"/>
                <w:b/>
                <w:bCs/>
                <w:color w:val="000000" w:themeColor="text1"/>
                <w:sz w:val="16"/>
                <w:lang w:val="en-GB"/>
              </w:rPr>
            </w:pPr>
            <w:r w:rsidRPr="00971900">
              <w:rPr>
                <w:rFonts w:ascii="Tahoma" w:hAnsi="Tahoma"/>
                <w:b/>
                <w:bCs/>
                <w:color w:val="000000" w:themeColor="text1"/>
                <w:sz w:val="16"/>
                <w:lang w:val="en-GB"/>
              </w:rPr>
              <w:t>167</w:t>
            </w:r>
          </w:p>
        </w:tc>
        <w:tc>
          <w:tcPr>
            <w:tcW w:w="1134" w:type="dxa"/>
            <w:shd w:val="clear" w:color="auto" w:fill="auto"/>
            <w:tcMar>
              <w:top w:w="34" w:type="dxa"/>
              <w:left w:w="0" w:type="dxa"/>
              <w:bottom w:w="34" w:type="dxa"/>
              <w:right w:w="0" w:type="dxa"/>
            </w:tcMar>
            <w:vAlign w:val="bottom"/>
          </w:tcPr>
          <w:p w14:paraId="7B933380" w14:textId="77777777" w:rsidR="00971900" w:rsidRPr="00971900" w:rsidRDefault="00971900" w:rsidP="009F4D03">
            <w:pPr>
              <w:spacing w:line="240" w:lineRule="atLeast"/>
              <w:jc w:val="right"/>
              <w:rPr>
                <w:rFonts w:ascii="Tahoma" w:hAnsi="Tahoma"/>
                <w:color w:val="000000" w:themeColor="text1"/>
                <w:sz w:val="16"/>
                <w:lang w:val="en-GB"/>
              </w:rPr>
            </w:pPr>
            <w:r w:rsidRPr="00971900">
              <w:rPr>
                <w:rFonts w:ascii="Tahoma" w:hAnsi="Tahoma"/>
                <w:color w:val="000000" w:themeColor="text1"/>
                <w:sz w:val="16"/>
                <w:lang w:val="en-GB"/>
              </w:rPr>
              <w:t>1 001</w:t>
            </w:r>
          </w:p>
        </w:tc>
        <w:tc>
          <w:tcPr>
            <w:tcW w:w="1134" w:type="dxa"/>
            <w:shd w:val="clear" w:color="auto" w:fill="auto"/>
            <w:tcMar>
              <w:top w:w="34" w:type="dxa"/>
              <w:left w:w="0" w:type="dxa"/>
              <w:bottom w:w="34" w:type="dxa"/>
              <w:right w:w="0" w:type="dxa"/>
            </w:tcMar>
            <w:vAlign w:val="bottom"/>
          </w:tcPr>
          <w:p w14:paraId="592BA49E" w14:textId="77777777" w:rsidR="00971900" w:rsidRPr="00971900" w:rsidRDefault="00971900" w:rsidP="009F4D03">
            <w:pPr>
              <w:spacing w:line="240" w:lineRule="atLeast"/>
              <w:jc w:val="right"/>
              <w:rPr>
                <w:rFonts w:ascii="Tahoma" w:hAnsi="Tahoma"/>
                <w:color w:val="000000" w:themeColor="text1"/>
                <w:sz w:val="16"/>
                <w:lang w:val="en-GB"/>
              </w:rPr>
            </w:pPr>
            <w:r w:rsidRPr="00971900">
              <w:rPr>
                <w:rFonts w:ascii="Tahoma" w:hAnsi="Tahoma"/>
                <w:color w:val="000000" w:themeColor="text1"/>
                <w:sz w:val="16"/>
                <w:lang w:val="en-GB"/>
              </w:rPr>
              <w:t>1 233</w:t>
            </w:r>
          </w:p>
        </w:tc>
      </w:tr>
      <w:tr w:rsidR="00615190" w:rsidRPr="00971900" w14:paraId="758BC7B0" w14:textId="77777777" w:rsidTr="00500DDE">
        <w:trPr>
          <w:trHeight w:val="60"/>
        </w:trPr>
        <w:tc>
          <w:tcPr>
            <w:tcW w:w="397" w:type="dxa"/>
            <w:shd w:val="clear" w:color="auto" w:fill="auto"/>
            <w:tcMar>
              <w:top w:w="34" w:type="dxa"/>
              <w:left w:w="0" w:type="dxa"/>
              <w:bottom w:w="34" w:type="dxa"/>
              <w:right w:w="0" w:type="dxa"/>
            </w:tcMar>
            <w:vAlign w:val="bottom"/>
          </w:tcPr>
          <w:p w14:paraId="7CE4AC00" w14:textId="77777777" w:rsidR="00971900" w:rsidRPr="00971900" w:rsidRDefault="00971900" w:rsidP="00615190">
            <w:pPr>
              <w:spacing w:line="240" w:lineRule="atLeast"/>
              <w:rPr>
                <w:rFonts w:ascii="Tahoma" w:hAnsi="Tahoma"/>
                <w:color w:val="000000" w:themeColor="text1"/>
                <w:sz w:val="16"/>
                <w:lang w:val="en-GB"/>
              </w:rPr>
            </w:pPr>
          </w:p>
        </w:tc>
        <w:tc>
          <w:tcPr>
            <w:tcW w:w="6407" w:type="dxa"/>
            <w:shd w:val="clear" w:color="auto" w:fill="auto"/>
            <w:tcMar>
              <w:top w:w="34" w:type="dxa"/>
              <w:left w:w="0" w:type="dxa"/>
              <w:bottom w:w="34" w:type="dxa"/>
              <w:right w:w="113" w:type="dxa"/>
            </w:tcMar>
            <w:vAlign w:val="bottom"/>
          </w:tcPr>
          <w:p w14:paraId="6BA763EC" w14:textId="77777777" w:rsidR="00971900" w:rsidRPr="00971900" w:rsidRDefault="00971900" w:rsidP="00615190">
            <w:pPr>
              <w:spacing w:line="240" w:lineRule="atLeast"/>
              <w:rPr>
                <w:rFonts w:ascii="Tahoma" w:hAnsi="Tahoma"/>
                <w:color w:val="000000" w:themeColor="text1"/>
                <w:sz w:val="16"/>
                <w:lang w:val="en-GB"/>
              </w:rPr>
            </w:pPr>
            <w:r w:rsidRPr="00971900">
              <w:rPr>
                <w:rFonts w:ascii="Tahoma" w:hAnsi="Tahoma"/>
                <w:color w:val="000000" w:themeColor="text1"/>
                <w:sz w:val="16"/>
                <w:lang w:val="en-GB"/>
              </w:rPr>
              <w:t>Diluted earnings per ordinary share N</w:t>
            </w:r>
          </w:p>
        </w:tc>
        <w:tc>
          <w:tcPr>
            <w:tcW w:w="1134" w:type="dxa"/>
            <w:shd w:val="clear" w:color="auto" w:fill="auto"/>
            <w:tcMar>
              <w:top w:w="34" w:type="dxa"/>
              <w:left w:w="0" w:type="dxa"/>
              <w:bottom w:w="34" w:type="dxa"/>
              <w:right w:w="0" w:type="dxa"/>
            </w:tcMar>
            <w:vAlign w:val="bottom"/>
          </w:tcPr>
          <w:p w14:paraId="0FB1528B" w14:textId="77777777" w:rsidR="00971900" w:rsidRPr="00971900" w:rsidRDefault="00971900" w:rsidP="009F4D03">
            <w:pPr>
              <w:spacing w:line="240" w:lineRule="atLeast"/>
              <w:jc w:val="right"/>
              <w:rPr>
                <w:rFonts w:ascii="Tahoma" w:hAnsi="Tahoma"/>
                <w:b/>
                <w:bCs/>
                <w:color w:val="000000" w:themeColor="text1"/>
                <w:sz w:val="16"/>
                <w:lang w:val="en-GB"/>
              </w:rPr>
            </w:pPr>
            <w:r w:rsidRPr="00971900">
              <w:rPr>
                <w:rFonts w:ascii="Tahoma" w:hAnsi="Tahoma"/>
                <w:b/>
                <w:bCs/>
                <w:color w:val="000000" w:themeColor="text1"/>
                <w:sz w:val="16"/>
                <w:lang w:val="en-GB"/>
              </w:rPr>
              <w:t>165</w:t>
            </w:r>
          </w:p>
        </w:tc>
        <w:tc>
          <w:tcPr>
            <w:tcW w:w="1134" w:type="dxa"/>
            <w:shd w:val="clear" w:color="auto" w:fill="auto"/>
            <w:tcMar>
              <w:top w:w="34" w:type="dxa"/>
              <w:left w:w="0" w:type="dxa"/>
              <w:bottom w:w="34" w:type="dxa"/>
              <w:right w:w="0" w:type="dxa"/>
            </w:tcMar>
            <w:vAlign w:val="bottom"/>
          </w:tcPr>
          <w:p w14:paraId="20B85113" w14:textId="77777777" w:rsidR="00971900" w:rsidRPr="00971900" w:rsidRDefault="00971900" w:rsidP="009F4D03">
            <w:pPr>
              <w:spacing w:line="240" w:lineRule="atLeast"/>
              <w:jc w:val="right"/>
              <w:rPr>
                <w:rFonts w:ascii="Tahoma" w:hAnsi="Tahoma"/>
                <w:color w:val="000000" w:themeColor="text1"/>
                <w:sz w:val="16"/>
                <w:lang w:val="en-GB"/>
              </w:rPr>
            </w:pPr>
            <w:r w:rsidRPr="00971900">
              <w:rPr>
                <w:rFonts w:ascii="Tahoma" w:hAnsi="Tahoma"/>
                <w:color w:val="000000" w:themeColor="text1"/>
                <w:sz w:val="16"/>
                <w:lang w:val="en-GB"/>
              </w:rPr>
              <w:t>996</w:t>
            </w:r>
          </w:p>
        </w:tc>
        <w:tc>
          <w:tcPr>
            <w:tcW w:w="1134" w:type="dxa"/>
            <w:shd w:val="clear" w:color="auto" w:fill="auto"/>
            <w:tcMar>
              <w:top w:w="34" w:type="dxa"/>
              <w:left w:w="0" w:type="dxa"/>
              <w:bottom w:w="34" w:type="dxa"/>
              <w:right w:w="0" w:type="dxa"/>
            </w:tcMar>
            <w:vAlign w:val="bottom"/>
          </w:tcPr>
          <w:p w14:paraId="5A0B10AE" w14:textId="77777777" w:rsidR="00971900" w:rsidRPr="00971900" w:rsidRDefault="00971900" w:rsidP="009F4D03">
            <w:pPr>
              <w:spacing w:line="240" w:lineRule="atLeast"/>
              <w:jc w:val="right"/>
              <w:rPr>
                <w:rFonts w:ascii="Tahoma" w:hAnsi="Tahoma"/>
                <w:color w:val="000000" w:themeColor="text1"/>
                <w:sz w:val="16"/>
                <w:lang w:val="en-GB"/>
              </w:rPr>
            </w:pPr>
            <w:r w:rsidRPr="00971900">
              <w:rPr>
                <w:rFonts w:ascii="Tahoma" w:hAnsi="Tahoma"/>
                <w:color w:val="000000" w:themeColor="text1"/>
                <w:sz w:val="16"/>
                <w:lang w:val="en-GB"/>
              </w:rPr>
              <w:t>1 222</w:t>
            </w:r>
          </w:p>
        </w:tc>
      </w:tr>
      <w:tr w:rsidR="00615190" w:rsidRPr="00971900" w14:paraId="0956A474" w14:textId="77777777" w:rsidTr="00760455">
        <w:trPr>
          <w:trHeight w:val="60"/>
        </w:trPr>
        <w:tc>
          <w:tcPr>
            <w:tcW w:w="397" w:type="dxa"/>
            <w:shd w:val="clear" w:color="auto" w:fill="auto"/>
            <w:tcMar>
              <w:top w:w="34" w:type="dxa"/>
              <w:left w:w="0" w:type="dxa"/>
              <w:bottom w:w="34" w:type="dxa"/>
              <w:right w:w="0" w:type="dxa"/>
            </w:tcMar>
            <w:vAlign w:val="bottom"/>
          </w:tcPr>
          <w:p w14:paraId="0E789B09" w14:textId="77777777" w:rsidR="00971900" w:rsidRPr="00971900" w:rsidRDefault="00971900" w:rsidP="00615190">
            <w:pPr>
              <w:spacing w:line="240" w:lineRule="atLeast"/>
              <w:rPr>
                <w:rFonts w:ascii="Tahoma" w:hAnsi="Tahoma"/>
                <w:color w:val="000000" w:themeColor="text1"/>
                <w:sz w:val="16"/>
                <w:lang w:val="en-GB"/>
              </w:rPr>
            </w:pPr>
          </w:p>
        </w:tc>
        <w:tc>
          <w:tcPr>
            <w:tcW w:w="6407" w:type="dxa"/>
            <w:shd w:val="clear" w:color="auto" w:fill="auto"/>
            <w:tcMar>
              <w:top w:w="34" w:type="dxa"/>
              <w:left w:w="0" w:type="dxa"/>
              <w:bottom w:w="34" w:type="dxa"/>
              <w:right w:w="113" w:type="dxa"/>
            </w:tcMar>
            <w:vAlign w:val="bottom"/>
          </w:tcPr>
          <w:p w14:paraId="43E0518E" w14:textId="77777777" w:rsidR="00971900" w:rsidRPr="00971900" w:rsidRDefault="00971900" w:rsidP="00615190">
            <w:pPr>
              <w:spacing w:line="240" w:lineRule="atLeast"/>
              <w:rPr>
                <w:rFonts w:ascii="Tahoma" w:hAnsi="Tahoma"/>
                <w:color w:val="000000" w:themeColor="text1"/>
                <w:sz w:val="16"/>
                <w:lang w:val="en-GB"/>
              </w:rPr>
            </w:pPr>
            <w:r w:rsidRPr="00971900">
              <w:rPr>
                <w:rFonts w:ascii="Tahoma" w:hAnsi="Tahoma"/>
                <w:color w:val="000000" w:themeColor="text1"/>
                <w:sz w:val="16"/>
                <w:lang w:val="en-GB"/>
              </w:rPr>
              <w:t>Headline earnings per ordinary share N</w:t>
            </w:r>
          </w:p>
        </w:tc>
        <w:tc>
          <w:tcPr>
            <w:tcW w:w="1134" w:type="dxa"/>
            <w:shd w:val="clear" w:color="auto" w:fill="auto"/>
            <w:tcMar>
              <w:top w:w="34" w:type="dxa"/>
              <w:left w:w="0" w:type="dxa"/>
              <w:bottom w:w="34" w:type="dxa"/>
              <w:right w:w="0" w:type="dxa"/>
            </w:tcMar>
            <w:vAlign w:val="bottom"/>
          </w:tcPr>
          <w:p w14:paraId="0FA591A6" w14:textId="77777777" w:rsidR="00971900" w:rsidRPr="00971900" w:rsidRDefault="00971900" w:rsidP="009F4D03">
            <w:pPr>
              <w:spacing w:line="240" w:lineRule="atLeast"/>
              <w:jc w:val="right"/>
              <w:rPr>
                <w:rFonts w:ascii="Tahoma" w:hAnsi="Tahoma"/>
                <w:b/>
                <w:bCs/>
                <w:color w:val="000000" w:themeColor="text1"/>
                <w:sz w:val="16"/>
                <w:lang w:val="en-GB"/>
              </w:rPr>
            </w:pPr>
            <w:r w:rsidRPr="00971900">
              <w:rPr>
                <w:rFonts w:ascii="Tahoma" w:hAnsi="Tahoma"/>
                <w:b/>
                <w:bCs/>
                <w:color w:val="000000" w:themeColor="text1"/>
                <w:sz w:val="16"/>
                <w:lang w:val="en-GB"/>
              </w:rPr>
              <w:t>—</w:t>
            </w:r>
          </w:p>
        </w:tc>
        <w:tc>
          <w:tcPr>
            <w:tcW w:w="1134" w:type="dxa"/>
            <w:shd w:val="clear" w:color="auto" w:fill="auto"/>
            <w:tcMar>
              <w:top w:w="34" w:type="dxa"/>
              <w:left w:w="0" w:type="dxa"/>
              <w:bottom w:w="34" w:type="dxa"/>
              <w:right w:w="0" w:type="dxa"/>
            </w:tcMar>
            <w:vAlign w:val="bottom"/>
          </w:tcPr>
          <w:p w14:paraId="5DD157B5" w14:textId="77777777" w:rsidR="00971900" w:rsidRPr="00971900" w:rsidRDefault="00971900" w:rsidP="009F4D03">
            <w:pPr>
              <w:spacing w:line="240" w:lineRule="atLeast"/>
              <w:jc w:val="right"/>
              <w:rPr>
                <w:rFonts w:ascii="Tahoma" w:hAnsi="Tahoma"/>
                <w:color w:val="000000" w:themeColor="text1"/>
                <w:sz w:val="16"/>
                <w:lang w:val="en-GB"/>
              </w:rPr>
            </w:pPr>
            <w:r w:rsidRPr="00971900">
              <w:rPr>
                <w:rFonts w:ascii="Tahoma" w:hAnsi="Tahoma"/>
                <w:color w:val="000000" w:themeColor="text1"/>
                <w:sz w:val="16"/>
                <w:lang w:val="en-GB"/>
              </w:rPr>
              <w:t>143</w:t>
            </w:r>
          </w:p>
        </w:tc>
        <w:tc>
          <w:tcPr>
            <w:tcW w:w="1134" w:type="dxa"/>
            <w:shd w:val="clear" w:color="auto" w:fill="auto"/>
            <w:tcMar>
              <w:top w:w="34" w:type="dxa"/>
              <w:left w:w="0" w:type="dxa"/>
              <w:bottom w:w="34" w:type="dxa"/>
              <w:right w:w="0" w:type="dxa"/>
            </w:tcMar>
            <w:vAlign w:val="bottom"/>
          </w:tcPr>
          <w:p w14:paraId="431EA2C1" w14:textId="77777777" w:rsidR="00971900" w:rsidRPr="00971900" w:rsidRDefault="00971900" w:rsidP="009F4D03">
            <w:pPr>
              <w:spacing w:line="240" w:lineRule="atLeast"/>
              <w:jc w:val="right"/>
              <w:rPr>
                <w:rFonts w:ascii="Tahoma" w:hAnsi="Tahoma"/>
                <w:color w:val="000000" w:themeColor="text1"/>
                <w:sz w:val="16"/>
                <w:lang w:val="en-GB"/>
              </w:rPr>
            </w:pPr>
            <w:r w:rsidRPr="00971900">
              <w:rPr>
                <w:rFonts w:ascii="Tahoma" w:hAnsi="Tahoma"/>
                <w:color w:val="000000" w:themeColor="text1"/>
                <w:sz w:val="16"/>
                <w:lang w:val="en-GB"/>
              </w:rPr>
              <w:t>194</w:t>
            </w:r>
          </w:p>
        </w:tc>
      </w:tr>
      <w:tr w:rsidR="00615190" w:rsidRPr="00971900" w14:paraId="59DFF057" w14:textId="77777777" w:rsidTr="00760455">
        <w:trPr>
          <w:trHeight w:val="60"/>
        </w:trPr>
        <w:tc>
          <w:tcPr>
            <w:tcW w:w="397" w:type="dxa"/>
            <w:shd w:val="clear" w:color="auto" w:fill="auto"/>
            <w:tcMar>
              <w:top w:w="34" w:type="dxa"/>
              <w:left w:w="0" w:type="dxa"/>
              <w:bottom w:w="57" w:type="dxa"/>
              <w:right w:w="0" w:type="dxa"/>
            </w:tcMar>
            <w:vAlign w:val="bottom"/>
          </w:tcPr>
          <w:p w14:paraId="5BEF9D8D" w14:textId="77777777" w:rsidR="00971900" w:rsidRPr="00971900" w:rsidRDefault="00971900" w:rsidP="00615190">
            <w:pPr>
              <w:spacing w:line="240" w:lineRule="atLeast"/>
              <w:rPr>
                <w:rFonts w:ascii="Tahoma" w:hAnsi="Tahoma"/>
                <w:color w:val="000000" w:themeColor="text1"/>
                <w:sz w:val="16"/>
                <w:lang w:val="en-GB"/>
              </w:rPr>
            </w:pPr>
          </w:p>
        </w:tc>
        <w:tc>
          <w:tcPr>
            <w:tcW w:w="6407" w:type="dxa"/>
            <w:tcBorders>
              <w:bottom w:val="single" w:sz="12" w:space="0" w:color="auto"/>
            </w:tcBorders>
            <w:shd w:val="clear" w:color="auto" w:fill="auto"/>
            <w:tcMar>
              <w:top w:w="34" w:type="dxa"/>
              <w:left w:w="0" w:type="dxa"/>
              <w:bottom w:w="57" w:type="dxa"/>
              <w:right w:w="113" w:type="dxa"/>
            </w:tcMar>
            <w:vAlign w:val="bottom"/>
          </w:tcPr>
          <w:p w14:paraId="127C18E5" w14:textId="77777777" w:rsidR="00971900" w:rsidRPr="00971900" w:rsidRDefault="00971900" w:rsidP="00615190">
            <w:pPr>
              <w:spacing w:line="240" w:lineRule="atLeast"/>
              <w:rPr>
                <w:rFonts w:ascii="Tahoma" w:hAnsi="Tahoma"/>
                <w:color w:val="000000" w:themeColor="text1"/>
                <w:sz w:val="16"/>
                <w:lang w:val="en-GB"/>
              </w:rPr>
            </w:pPr>
            <w:r w:rsidRPr="00971900">
              <w:rPr>
                <w:rFonts w:ascii="Tahoma" w:hAnsi="Tahoma"/>
                <w:color w:val="000000" w:themeColor="text1"/>
                <w:sz w:val="16"/>
                <w:lang w:val="en-GB"/>
              </w:rPr>
              <w:t>Diluted headline earnings per ordinary share N</w:t>
            </w:r>
          </w:p>
        </w:tc>
        <w:tc>
          <w:tcPr>
            <w:tcW w:w="1134" w:type="dxa"/>
            <w:tcBorders>
              <w:bottom w:val="single" w:sz="12" w:space="0" w:color="auto"/>
            </w:tcBorders>
            <w:shd w:val="clear" w:color="auto" w:fill="auto"/>
            <w:tcMar>
              <w:top w:w="34" w:type="dxa"/>
              <w:left w:w="0" w:type="dxa"/>
              <w:bottom w:w="57" w:type="dxa"/>
              <w:right w:w="0" w:type="dxa"/>
            </w:tcMar>
            <w:vAlign w:val="bottom"/>
          </w:tcPr>
          <w:p w14:paraId="3DD3C788" w14:textId="77777777" w:rsidR="00971900" w:rsidRPr="00971900" w:rsidRDefault="00971900" w:rsidP="009F4D03">
            <w:pPr>
              <w:spacing w:line="240" w:lineRule="atLeast"/>
              <w:jc w:val="right"/>
              <w:rPr>
                <w:rFonts w:ascii="Tahoma" w:hAnsi="Tahoma"/>
                <w:b/>
                <w:bCs/>
                <w:color w:val="000000" w:themeColor="text1"/>
                <w:sz w:val="16"/>
                <w:lang w:val="en-GB"/>
              </w:rPr>
            </w:pPr>
            <w:r w:rsidRPr="00971900">
              <w:rPr>
                <w:rFonts w:ascii="Tahoma" w:hAnsi="Tahoma"/>
                <w:b/>
                <w:bCs/>
                <w:color w:val="000000" w:themeColor="text1"/>
                <w:sz w:val="16"/>
                <w:lang w:val="en-GB"/>
              </w:rPr>
              <w:t>(3)</w:t>
            </w:r>
          </w:p>
        </w:tc>
        <w:tc>
          <w:tcPr>
            <w:tcW w:w="1134" w:type="dxa"/>
            <w:tcBorders>
              <w:bottom w:val="single" w:sz="12" w:space="0" w:color="auto"/>
            </w:tcBorders>
            <w:shd w:val="clear" w:color="auto" w:fill="auto"/>
            <w:tcMar>
              <w:top w:w="34" w:type="dxa"/>
              <w:left w:w="0" w:type="dxa"/>
              <w:bottom w:w="57" w:type="dxa"/>
              <w:right w:w="0" w:type="dxa"/>
            </w:tcMar>
            <w:vAlign w:val="bottom"/>
          </w:tcPr>
          <w:p w14:paraId="009A8B0B" w14:textId="77777777" w:rsidR="00971900" w:rsidRPr="00971900" w:rsidRDefault="00971900" w:rsidP="009F4D03">
            <w:pPr>
              <w:spacing w:line="240" w:lineRule="atLeast"/>
              <w:jc w:val="right"/>
              <w:rPr>
                <w:rFonts w:ascii="Tahoma" w:hAnsi="Tahoma"/>
                <w:color w:val="000000" w:themeColor="text1"/>
                <w:sz w:val="16"/>
                <w:lang w:val="en-GB"/>
              </w:rPr>
            </w:pPr>
            <w:r w:rsidRPr="00971900">
              <w:rPr>
                <w:rFonts w:ascii="Tahoma" w:hAnsi="Tahoma"/>
                <w:color w:val="000000" w:themeColor="text1"/>
                <w:sz w:val="16"/>
                <w:lang w:val="en-GB"/>
              </w:rPr>
              <w:t>138</w:t>
            </w:r>
          </w:p>
        </w:tc>
        <w:tc>
          <w:tcPr>
            <w:tcW w:w="1134" w:type="dxa"/>
            <w:tcBorders>
              <w:bottom w:val="single" w:sz="12" w:space="0" w:color="auto"/>
            </w:tcBorders>
            <w:shd w:val="clear" w:color="auto" w:fill="auto"/>
            <w:tcMar>
              <w:top w:w="34" w:type="dxa"/>
              <w:left w:w="0" w:type="dxa"/>
              <w:bottom w:w="57" w:type="dxa"/>
              <w:right w:w="0" w:type="dxa"/>
            </w:tcMar>
            <w:vAlign w:val="bottom"/>
          </w:tcPr>
          <w:p w14:paraId="43D4E848" w14:textId="77777777" w:rsidR="00971900" w:rsidRPr="00971900" w:rsidRDefault="00971900" w:rsidP="009F4D03">
            <w:pPr>
              <w:spacing w:line="240" w:lineRule="atLeast"/>
              <w:jc w:val="right"/>
              <w:rPr>
                <w:rFonts w:ascii="Tahoma" w:hAnsi="Tahoma"/>
                <w:color w:val="000000" w:themeColor="text1"/>
                <w:sz w:val="16"/>
                <w:lang w:val="en-GB"/>
              </w:rPr>
            </w:pPr>
            <w:r w:rsidRPr="00971900">
              <w:rPr>
                <w:rFonts w:ascii="Tahoma" w:hAnsi="Tahoma"/>
                <w:color w:val="000000" w:themeColor="text1"/>
                <w:sz w:val="16"/>
                <w:lang w:val="en-GB"/>
              </w:rPr>
              <w:t>183</w:t>
            </w:r>
          </w:p>
        </w:tc>
      </w:tr>
      <w:tr w:rsidR="00615190" w:rsidRPr="00971900" w14:paraId="0696941D" w14:textId="77777777" w:rsidTr="00760455">
        <w:trPr>
          <w:trHeight w:val="60"/>
        </w:trPr>
        <w:tc>
          <w:tcPr>
            <w:tcW w:w="397" w:type="dxa"/>
            <w:shd w:val="clear" w:color="auto" w:fill="auto"/>
            <w:tcMar>
              <w:top w:w="85" w:type="dxa"/>
              <w:left w:w="0" w:type="dxa"/>
              <w:bottom w:w="85" w:type="dxa"/>
              <w:right w:w="0" w:type="dxa"/>
            </w:tcMar>
            <w:vAlign w:val="bottom"/>
          </w:tcPr>
          <w:p w14:paraId="7F142B45" w14:textId="77777777" w:rsidR="00971900" w:rsidRPr="00971900" w:rsidRDefault="00971900" w:rsidP="00687BFF">
            <w:pPr>
              <w:pStyle w:val="FootnotesProsus2022FrontStylesProsus2022"/>
            </w:pPr>
          </w:p>
        </w:tc>
        <w:tc>
          <w:tcPr>
            <w:tcW w:w="9809" w:type="dxa"/>
            <w:gridSpan w:val="4"/>
            <w:tcBorders>
              <w:top w:val="single" w:sz="12" w:space="0" w:color="auto"/>
            </w:tcBorders>
            <w:shd w:val="clear" w:color="auto" w:fill="auto"/>
            <w:tcMar>
              <w:top w:w="85" w:type="dxa"/>
              <w:left w:w="0" w:type="dxa"/>
              <w:bottom w:w="85" w:type="dxa"/>
              <w:right w:w="0" w:type="dxa"/>
            </w:tcMar>
            <w:vAlign w:val="bottom"/>
          </w:tcPr>
          <w:p w14:paraId="43CCE4F6" w14:textId="77777777" w:rsidR="00971900" w:rsidRPr="00971900" w:rsidRDefault="00971900" w:rsidP="00687BFF">
            <w:pPr>
              <w:pStyle w:val="FootnotesProsus2022FrontStylesProsus2022"/>
            </w:pPr>
            <w:r w:rsidRPr="00971900">
              <w:t>1</w:t>
            </w:r>
            <w:r w:rsidRPr="00971900">
              <w:tab/>
              <w:t xml:space="preserve">Includes 448 991 535 ordinary shares N issued to Naspers shareholders in the prior period due to the share exchange. The </w:t>
            </w:r>
            <w:proofErr w:type="spellStart"/>
            <w:r w:rsidRPr="00971900">
              <w:t>Prosus</w:t>
            </w:r>
            <w:proofErr w:type="spellEnd"/>
            <w:r w:rsidRPr="00971900">
              <w:t xml:space="preserve"> free float shareholders hold 773 187 139 (2021: 862 291 285 and 31 March 2022: 823 567 733) with the remaining 1 176 639 238 ordinary shares N (2021: 1 180 250 012 and 31 March 2022: 1 180 250 012) held by Naspers.</w:t>
            </w:r>
          </w:p>
          <w:p w14:paraId="2678849D" w14:textId="77777777" w:rsidR="00971900" w:rsidRPr="00971900" w:rsidRDefault="00971900" w:rsidP="00687BFF">
            <w:pPr>
              <w:pStyle w:val="FootnotesProsus2022FrontStylesProsus2022"/>
            </w:pPr>
            <w:r w:rsidRPr="00971900">
              <w:t>2</w:t>
            </w:r>
            <w:r w:rsidRPr="00971900">
              <w:tab/>
              <w:t>The number of shares in issue is weighted for the period that the shares were not recognised as treasury shares as a result of the share repurchase programme (refer to note 3).</w:t>
            </w:r>
          </w:p>
          <w:p w14:paraId="78844D4E" w14:textId="77777777" w:rsidR="00971900" w:rsidRPr="00971900" w:rsidRDefault="00971900" w:rsidP="00687BFF">
            <w:pPr>
              <w:pStyle w:val="FootnotesProsus2022FrontStylesProsus2022"/>
            </w:pPr>
            <w:r w:rsidRPr="00971900">
              <w:t>3</w:t>
            </w:r>
            <w:r w:rsidRPr="00971900">
              <w:tab/>
              <w:t xml:space="preserve">Total earnings per share for </w:t>
            </w:r>
            <w:proofErr w:type="spellStart"/>
            <w:r w:rsidRPr="00971900">
              <w:t>A</w:t>
            </w:r>
            <w:proofErr w:type="spellEnd"/>
            <w:r w:rsidRPr="00971900">
              <w:t xml:space="preserve"> ordinary shareholders amount to 15 US cents (2021: 89 US cents and 31 March 2022: 108 US cents) and B ordinary shareholders amount to nil US cents. Earnings per share for </w:t>
            </w:r>
            <w:proofErr w:type="spellStart"/>
            <w:r w:rsidRPr="00971900">
              <w:t>A</w:t>
            </w:r>
            <w:proofErr w:type="spellEnd"/>
            <w:r w:rsidRPr="00971900">
              <w:t xml:space="preserve"> ordinary shareholders from continuing operations amount to 14 US cents (2021: 88 US cents and 31 March 2022: 109 US cents) and B ordinary shareholders amount to nil US cents for all periods.</w:t>
            </w:r>
          </w:p>
        </w:tc>
      </w:tr>
    </w:tbl>
    <w:p w14:paraId="59BCC9DE" w14:textId="77777777" w:rsidR="00EB06B1" w:rsidRDefault="00EB06B1" w:rsidP="00615190">
      <w:pPr>
        <w:spacing w:line="240" w:lineRule="atLeast"/>
        <w:rPr>
          <w:rFonts w:ascii="Tahoma" w:hAnsi="Tahoma"/>
          <w:color w:val="000000" w:themeColor="text1"/>
          <w:sz w:val="16"/>
        </w:rPr>
      </w:pPr>
    </w:p>
    <w:p w14:paraId="3A991F5E" w14:textId="77777777" w:rsidR="00EB06B1" w:rsidRDefault="00EB06B1">
      <w:pPr>
        <w:rPr>
          <w:rFonts w:ascii="Tahoma" w:hAnsi="Tahoma"/>
          <w:color w:val="000000" w:themeColor="text1"/>
          <w:sz w:val="16"/>
        </w:rPr>
      </w:pPr>
      <w:r>
        <w:rPr>
          <w:rFonts w:ascii="Tahoma" w:hAnsi="Tahoma"/>
          <w:color w:val="000000" w:themeColor="text1"/>
          <w:sz w:val="16"/>
        </w:rPr>
        <w:br w:type="page"/>
      </w:r>
    </w:p>
    <w:p w14:paraId="1F552B32" w14:textId="77777777" w:rsidR="00971900" w:rsidRPr="00615190" w:rsidRDefault="00971900" w:rsidP="00615190">
      <w:pPr>
        <w:spacing w:line="240" w:lineRule="atLeast"/>
        <w:rPr>
          <w:rFonts w:ascii="Tahoma" w:hAnsi="Tahoma"/>
          <w:color w:val="000000" w:themeColor="text1"/>
          <w:sz w:val="16"/>
        </w:rPr>
      </w:pPr>
    </w:p>
    <w:tbl>
      <w:tblPr>
        <w:tblW w:w="10206" w:type="dxa"/>
        <w:tblInd w:w="-8" w:type="dxa"/>
        <w:tblLayout w:type="fixed"/>
        <w:tblCellMar>
          <w:left w:w="0" w:type="dxa"/>
          <w:right w:w="0" w:type="dxa"/>
        </w:tblCellMar>
        <w:tblLook w:val="0000" w:firstRow="0" w:lastRow="0" w:firstColumn="0" w:lastColumn="0" w:noHBand="0" w:noVBand="0"/>
      </w:tblPr>
      <w:tblGrid>
        <w:gridCol w:w="397"/>
        <w:gridCol w:w="4423"/>
        <w:gridCol w:w="2126"/>
        <w:gridCol w:w="992"/>
        <w:gridCol w:w="1134"/>
        <w:gridCol w:w="1134"/>
      </w:tblGrid>
      <w:tr w:rsidR="00615190" w:rsidRPr="003D1051" w14:paraId="0E334D75" w14:textId="77777777" w:rsidTr="0067338B">
        <w:trPr>
          <w:trHeight w:val="60"/>
        </w:trPr>
        <w:tc>
          <w:tcPr>
            <w:tcW w:w="397" w:type="dxa"/>
            <w:shd w:val="clear" w:color="auto" w:fill="auto"/>
            <w:tcMar>
              <w:top w:w="0" w:type="dxa"/>
              <w:left w:w="0" w:type="dxa"/>
              <w:bottom w:w="113" w:type="dxa"/>
              <w:right w:w="0" w:type="dxa"/>
            </w:tcMar>
            <w:vAlign w:val="bottom"/>
          </w:tcPr>
          <w:p w14:paraId="2166F309" w14:textId="77777777" w:rsidR="003D1051" w:rsidRPr="003D1051" w:rsidRDefault="0067367B" w:rsidP="00615190">
            <w:pPr>
              <w:spacing w:line="240" w:lineRule="atLeast"/>
              <w:rPr>
                <w:rFonts w:ascii="Tahoma" w:hAnsi="Tahoma"/>
                <w:b/>
                <w:bCs/>
                <w:color w:val="000000" w:themeColor="text1"/>
                <w:sz w:val="16"/>
                <w:lang w:val="en-GB"/>
              </w:rPr>
            </w:pPr>
            <w:r w:rsidRPr="003D1051">
              <w:rPr>
                <w:rFonts w:ascii="Tahoma" w:hAnsi="Tahoma"/>
                <w:b/>
                <w:bCs/>
                <w:color w:val="000000" w:themeColor="text1"/>
                <w:sz w:val="16"/>
                <w:lang w:val="en-GB"/>
              </w:rPr>
              <w:t>7.</w:t>
            </w:r>
          </w:p>
        </w:tc>
        <w:tc>
          <w:tcPr>
            <w:tcW w:w="9809" w:type="dxa"/>
            <w:gridSpan w:val="5"/>
            <w:shd w:val="clear" w:color="auto" w:fill="auto"/>
            <w:tcMar>
              <w:top w:w="0" w:type="dxa"/>
              <w:left w:w="0" w:type="dxa"/>
              <w:bottom w:w="113" w:type="dxa"/>
              <w:right w:w="0" w:type="dxa"/>
            </w:tcMar>
            <w:vAlign w:val="bottom"/>
          </w:tcPr>
          <w:p w14:paraId="058659E5" w14:textId="77777777" w:rsidR="003D1051" w:rsidRPr="003D1051" w:rsidRDefault="0067367B" w:rsidP="00615190">
            <w:pPr>
              <w:spacing w:line="240" w:lineRule="atLeast"/>
              <w:rPr>
                <w:rFonts w:ascii="Tahoma" w:hAnsi="Tahoma"/>
                <w:b/>
                <w:bCs/>
                <w:color w:val="000000" w:themeColor="text1"/>
                <w:sz w:val="16"/>
                <w:lang w:val="en-GB"/>
              </w:rPr>
            </w:pPr>
            <w:r w:rsidRPr="003D1051">
              <w:rPr>
                <w:rFonts w:ascii="Tahoma" w:hAnsi="Tahoma"/>
                <w:b/>
                <w:bCs/>
                <w:color w:val="000000" w:themeColor="text1"/>
                <w:sz w:val="16"/>
                <w:lang w:val="en-GB"/>
              </w:rPr>
              <w:t>REVENUE FROM CONTRACTS WITH CUSTOMERS</w:t>
            </w:r>
          </w:p>
        </w:tc>
      </w:tr>
      <w:tr w:rsidR="00615190" w:rsidRPr="003D1051" w14:paraId="29C1207B" w14:textId="77777777" w:rsidTr="00C54521">
        <w:trPr>
          <w:trHeight w:val="60"/>
        </w:trPr>
        <w:tc>
          <w:tcPr>
            <w:tcW w:w="397" w:type="dxa"/>
            <w:shd w:val="clear" w:color="auto" w:fill="auto"/>
            <w:tcMar>
              <w:top w:w="85" w:type="dxa"/>
              <w:left w:w="0" w:type="dxa"/>
              <w:bottom w:w="85" w:type="dxa"/>
              <w:right w:w="0" w:type="dxa"/>
            </w:tcMar>
            <w:vAlign w:val="bottom"/>
          </w:tcPr>
          <w:p w14:paraId="612F3BDF" w14:textId="77777777" w:rsidR="003D1051" w:rsidRPr="003D1051" w:rsidRDefault="003D1051" w:rsidP="00615190">
            <w:pPr>
              <w:spacing w:line="240" w:lineRule="atLeast"/>
              <w:rPr>
                <w:rFonts w:ascii="Tahoma" w:hAnsi="Tahoma"/>
                <w:color w:val="000000" w:themeColor="text1"/>
                <w:sz w:val="16"/>
                <w:lang w:val="en-GB"/>
              </w:rPr>
            </w:pPr>
          </w:p>
        </w:tc>
        <w:tc>
          <w:tcPr>
            <w:tcW w:w="4423" w:type="dxa"/>
            <w:shd w:val="clear" w:color="auto" w:fill="auto"/>
            <w:tcMar>
              <w:top w:w="85" w:type="dxa"/>
              <w:left w:w="0" w:type="dxa"/>
              <w:bottom w:w="85" w:type="dxa"/>
              <w:right w:w="0" w:type="dxa"/>
            </w:tcMar>
            <w:vAlign w:val="bottom"/>
          </w:tcPr>
          <w:p w14:paraId="6C18C6F5" w14:textId="77777777" w:rsidR="003D1051" w:rsidRPr="003D1051" w:rsidRDefault="003D1051" w:rsidP="00615190">
            <w:pPr>
              <w:spacing w:line="240" w:lineRule="atLeast"/>
              <w:rPr>
                <w:rFonts w:ascii="Tahoma" w:hAnsi="Tahoma"/>
                <w:color w:val="000000" w:themeColor="text1"/>
                <w:sz w:val="16"/>
                <w:lang w:val="en-GB"/>
              </w:rPr>
            </w:pPr>
          </w:p>
        </w:tc>
        <w:tc>
          <w:tcPr>
            <w:tcW w:w="2126" w:type="dxa"/>
            <w:shd w:val="clear" w:color="auto" w:fill="auto"/>
            <w:tcMar>
              <w:top w:w="85" w:type="dxa"/>
              <w:left w:w="113" w:type="dxa"/>
              <w:bottom w:w="85" w:type="dxa"/>
              <w:right w:w="113" w:type="dxa"/>
            </w:tcMar>
            <w:vAlign w:val="bottom"/>
          </w:tcPr>
          <w:p w14:paraId="0D9582E4" w14:textId="77777777" w:rsidR="003D1051" w:rsidRPr="003D1051" w:rsidRDefault="003D1051" w:rsidP="00615190">
            <w:pPr>
              <w:spacing w:line="240" w:lineRule="atLeast"/>
              <w:rPr>
                <w:rFonts w:ascii="Tahoma" w:hAnsi="Tahoma"/>
                <w:color w:val="000000" w:themeColor="text1"/>
                <w:sz w:val="16"/>
                <w:lang w:val="en-GB"/>
              </w:rPr>
            </w:pPr>
          </w:p>
        </w:tc>
        <w:tc>
          <w:tcPr>
            <w:tcW w:w="2126" w:type="dxa"/>
            <w:gridSpan w:val="2"/>
            <w:shd w:val="clear" w:color="auto" w:fill="auto"/>
            <w:tcMar>
              <w:top w:w="85" w:type="dxa"/>
              <w:left w:w="0" w:type="dxa"/>
              <w:bottom w:w="85" w:type="dxa"/>
              <w:right w:w="0" w:type="dxa"/>
            </w:tcMar>
            <w:vAlign w:val="bottom"/>
          </w:tcPr>
          <w:p w14:paraId="3BCB2F3C" w14:textId="77777777" w:rsidR="003D1051" w:rsidRPr="003D1051" w:rsidRDefault="003D1051" w:rsidP="001D5FF4">
            <w:pPr>
              <w:spacing w:line="240" w:lineRule="atLeast"/>
              <w:ind w:left="431"/>
              <w:jc w:val="center"/>
              <w:rPr>
                <w:rFonts w:ascii="Tahoma" w:hAnsi="Tahoma"/>
                <w:b/>
                <w:bCs/>
                <w:color w:val="000000" w:themeColor="text1"/>
                <w:sz w:val="16"/>
                <w:lang w:val="en-GB"/>
              </w:rPr>
            </w:pPr>
            <w:r w:rsidRPr="003D1051">
              <w:rPr>
                <w:rFonts w:ascii="Tahoma" w:hAnsi="Tahoma"/>
                <w:b/>
                <w:bCs/>
                <w:color w:val="000000" w:themeColor="text1"/>
                <w:sz w:val="16"/>
                <w:lang w:val="en-GB"/>
              </w:rPr>
              <w:t>Six months ended</w:t>
            </w:r>
          </w:p>
          <w:p w14:paraId="7CDFD26E" w14:textId="77777777" w:rsidR="003D1051" w:rsidRPr="003D1051" w:rsidRDefault="003D1051" w:rsidP="001D5FF4">
            <w:pPr>
              <w:spacing w:line="240" w:lineRule="atLeast"/>
              <w:ind w:left="431"/>
              <w:jc w:val="center"/>
              <w:rPr>
                <w:rFonts w:ascii="Tahoma" w:hAnsi="Tahoma"/>
                <w:color w:val="000000" w:themeColor="text1"/>
                <w:sz w:val="16"/>
                <w:lang w:val="en-GB"/>
              </w:rPr>
            </w:pPr>
            <w:r w:rsidRPr="003D1051">
              <w:rPr>
                <w:rFonts w:ascii="Tahoma" w:hAnsi="Tahoma"/>
                <w:b/>
                <w:bCs/>
                <w:color w:val="000000" w:themeColor="text1"/>
                <w:sz w:val="16"/>
                <w:lang w:val="en-GB"/>
              </w:rPr>
              <w:t>30 September</w:t>
            </w:r>
          </w:p>
        </w:tc>
        <w:tc>
          <w:tcPr>
            <w:tcW w:w="1134" w:type="dxa"/>
            <w:shd w:val="clear" w:color="auto" w:fill="auto"/>
            <w:tcMar>
              <w:top w:w="85" w:type="dxa"/>
              <w:left w:w="0" w:type="dxa"/>
              <w:bottom w:w="85" w:type="dxa"/>
              <w:right w:w="0" w:type="dxa"/>
            </w:tcMar>
            <w:vAlign w:val="bottom"/>
          </w:tcPr>
          <w:p w14:paraId="3198CAA9" w14:textId="77777777" w:rsidR="003D1051" w:rsidRPr="003D1051" w:rsidRDefault="003D1051" w:rsidP="008166FA">
            <w:pPr>
              <w:spacing w:line="240" w:lineRule="atLeast"/>
              <w:jc w:val="right"/>
              <w:rPr>
                <w:rFonts w:ascii="Tahoma" w:hAnsi="Tahoma"/>
                <w:color w:val="000000" w:themeColor="text1"/>
                <w:sz w:val="16"/>
                <w:lang w:val="en-GB"/>
              </w:rPr>
            </w:pPr>
            <w:r w:rsidRPr="003D1051">
              <w:rPr>
                <w:rFonts w:ascii="Tahoma" w:hAnsi="Tahoma"/>
                <w:color w:val="000000" w:themeColor="text1"/>
                <w:sz w:val="16"/>
                <w:lang w:val="en-GB"/>
              </w:rPr>
              <w:t>Year</w:t>
            </w:r>
          </w:p>
          <w:p w14:paraId="4DA3833F" w14:textId="77777777" w:rsidR="003D1051" w:rsidRPr="003D1051" w:rsidRDefault="003D1051" w:rsidP="008166FA">
            <w:pPr>
              <w:spacing w:line="240" w:lineRule="atLeast"/>
              <w:jc w:val="right"/>
              <w:rPr>
                <w:rFonts w:ascii="Tahoma" w:hAnsi="Tahoma"/>
                <w:color w:val="000000" w:themeColor="text1"/>
                <w:sz w:val="16"/>
                <w:lang w:val="en-GB"/>
              </w:rPr>
            </w:pPr>
            <w:r w:rsidRPr="003D1051">
              <w:rPr>
                <w:rFonts w:ascii="Tahoma" w:hAnsi="Tahoma"/>
                <w:color w:val="000000" w:themeColor="text1"/>
                <w:sz w:val="16"/>
                <w:lang w:val="en-GB"/>
              </w:rPr>
              <w:t>ended</w:t>
            </w:r>
          </w:p>
          <w:p w14:paraId="14EED72A" w14:textId="77777777" w:rsidR="003D1051" w:rsidRPr="003D1051" w:rsidRDefault="003D1051" w:rsidP="008166FA">
            <w:pPr>
              <w:spacing w:line="240" w:lineRule="atLeast"/>
              <w:jc w:val="right"/>
              <w:rPr>
                <w:rFonts w:ascii="Tahoma" w:hAnsi="Tahoma"/>
                <w:color w:val="000000" w:themeColor="text1"/>
                <w:sz w:val="16"/>
                <w:lang w:val="en-GB"/>
              </w:rPr>
            </w:pPr>
            <w:r w:rsidRPr="003D1051">
              <w:rPr>
                <w:rFonts w:ascii="Tahoma" w:hAnsi="Tahoma"/>
                <w:color w:val="000000" w:themeColor="text1"/>
                <w:sz w:val="16"/>
                <w:lang w:val="en-GB"/>
              </w:rPr>
              <w:t>31 March</w:t>
            </w:r>
          </w:p>
        </w:tc>
      </w:tr>
      <w:tr w:rsidR="00615190" w:rsidRPr="003D1051" w14:paraId="327158B5" w14:textId="77777777" w:rsidTr="00C54521">
        <w:trPr>
          <w:trHeight w:val="60"/>
        </w:trPr>
        <w:tc>
          <w:tcPr>
            <w:tcW w:w="397" w:type="dxa"/>
            <w:shd w:val="clear" w:color="auto" w:fill="auto"/>
            <w:tcMar>
              <w:top w:w="113" w:type="dxa"/>
              <w:left w:w="0" w:type="dxa"/>
              <w:bottom w:w="113" w:type="dxa"/>
              <w:right w:w="0" w:type="dxa"/>
            </w:tcMar>
            <w:vAlign w:val="bottom"/>
          </w:tcPr>
          <w:p w14:paraId="7107C754" w14:textId="77777777" w:rsidR="003D1051" w:rsidRPr="003D1051" w:rsidRDefault="003D1051" w:rsidP="00615190">
            <w:pPr>
              <w:spacing w:line="240" w:lineRule="atLeast"/>
              <w:rPr>
                <w:rFonts w:ascii="Tahoma" w:hAnsi="Tahoma"/>
                <w:color w:val="000000" w:themeColor="text1"/>
                <w:sz w:val="16"/>
                <w:lang w:val="en-GB"/>
              </w:rPr>
            </w:pPr>
          </w:p>
        </w:tc>
        <w:tc>
          <w:tcPr>
            <w:tcW w:w="4423" w:type="dxa"/>
            <w:tcBorders>
              <w:bottom w:val="single" w:sz="12" w:space="0" w:color="auto"/>
            </w:tcBorders>
            <w:shd w:val="clear" w:color="auto" w:fill="auto"/>
            <w:tcMar>
              <w:top w:w="113" w:type="dxa"/>
              <w:left w:w="0" w:type="dxa"/>
              <w:bottom w:w="113" w:type="dxa"/>
              <w:right w:w="0" w:type="dxa"/>
            </w:tcMar>
            <w:vAlign w:val="bottom"/>
          </w:tcPr>
          <w:p w14:paraId="5276C7A4" w14:textId="77777777" w:rsidR="003D1051" w:rsidRPr="003D1051" w:rsidRDefault="003D1051" w:rsidP="00615190">
            <w:pPr>
              <w:spacing w:line="240" w:lineRule="atLeast"/>
              <w:rPr>
                <w:rFonts w:ascii="Tahoma" w:hAnsi="Tahoma"/>
                <w:color w:val="000000" w:themeColor="text1"/>
                <w:sz w:val="16"/>
                <w:lang w:val="en-GB"/>
              </w:rPr>
            </w:pPr>
          </w:p>
        </w:tc>
        <w:tc>
          <w:tcPr>
            <w:tcW w:w="2126" w:type="dxa"/>
            <w:tcBorders>
              <w:bottom w:val="single" w:sz="12" w:space="0" w:color="auto"/>
            </w:tcBorders>
            <w:shd w:val="clear" w:color="auto" w:fill="auto"/>
            <w:tcMar>
              <w:top w:w="113" w:type="dxa"/>
              <w:left w:w="113" w:type="dxa"/>
              <w:bottom w:w="113" w:type="dxa"/>
              <w:right w:w="113" w:type="dxa"/>
            </w:tcMar>
            <w:vAlign w:val="bottom"/>
          </w:tcPr>
          <w:p w14:paraId="31D5CE99" w14:textId="77777777" w:rsidR="003D1051" w:rsidRPr="003D1051" w:rsidRDefault="003D1051" w:rsidP="00615190">
            <w:pPr>
              <w:spacing w:line="240" w:lineRule="atLeast"/>
              <w:rPr>
                <w:rFonts w:ascii="Tahoma" w:hAnsi="Tahoma"/>
                <w:color w:val="000000" w:themeColor="text1"/>
                <w:sz w:val="16"/>
                <w:lang w:val="en-GB"/>
              </w:rPr>
            </w:pPr>
            <w:r w:rsidRPr="003D1051">
              <w:rPr>
                <w:rFonts w:ascii="Tahoma" w:hAnsi="Tahoma"/>
                <w:color w:val="000000" w:themeColor="text1"/>
                <w:sz w:val="16"/>
                <w:lang w:val="en-GB"/>
              </w:rPr>
              <w:t>Reportable</w:t>
            </w:r>
          </w:p>
          <w:p w14:paraId="72638C42" w14:textId="77777777" w:rsidR="003D1051" w:rsidRPr="003D1051" w:rsidRDefault="003D1051" w:rsidP="00615190">
            <w:pPr>
              <w:spacing w:line="240" w:lineRule="atLeast"/>
              <w:rPr>
                <w:rFonts w:ascii="Tahoma" w:hAnsi="Tahoma"/>
                <w:color w:val="000000" w:themeColor="text1"/>
                <w:sz w:val="16"/>
                <w:lang w:val="en-GB"/>
              </w:rPr>
            </w:pPr>
            <w:r w:rsidRPr="003D1051">
              <w:rPr>
                <w:rFonts w:ascii="Tahoma" w:hAnsi="Tahoma"/>
                <w:color w:val="000000" w:themeColor="text1"/>
                <w:sz w:val="16"/>
                <w:lang w:val="en-GB"/>
              </w:rPr>
              <w:t xml:space="preserve">segment(s) </w:t>
            </w:r>
            <w:proofErr w:type="gramStart"/>
            <w:r w:rsidRPr="003D1051">
              <w:rPr>
                <w:rFonts w:ascii="Tahoma" w:hAnsi="Tahoma"/>
                <w:color w:val="000000" w:themeColor="text1"/>
                <w:sz w:val="16"/>
                <w:lang w:val="en-GB"/>
              </w:rPr>
              <w:t>where</w:t>
            </w:r>
            <w:proofErr w:type="gramEnd"/>
          </w:p>
          <w:p w14:paraId="7008C785" w14:textId="77777777" w:rsidR="003D1051" w:rsidRPr="003D1051" w:rsidRDefault="003D1051" w:rsidP="00615190">
            <w:pPr>
              <w:spacing w:line="240" w:lineRule="atLeast"/>
              <w:rPr>
                <w:rFonts w:ascii="Tahoma" w:hAnsi="Tahoma"/>
                <w:color w:val="000000" w:themeColor="text1"/>
                <w:sz w:val="16"/>
                <w:lang w:val="en-GB"/>
              </w:rPr>
            </w:pPr>
            <w:r w:rsidRPr="003D1051">
              <w:rPr>
                <w:rFonts w:ascii="Tahoma" w:hAnsi="Tahoma"/>
                <w:color w:val="000000" w:themeColor="text1"/>
                <w:sz w:val="16"/>
                <w:lang w:val="en-GB"/>
              </w:rPr>
              <w:t>revenue is included</w:t>
            </w:r>
          </w:p>
        </w:tc>
        <w:tc>
          <w:tcPr>
            <w:tcW w:w="992" w:type="dxa"/>
            <w:tcBorders>
              <w:bottom w:val="single" w:sz="12" w:space="0" w:color="auto"/>
            </w:tcBorders>
            <w:shd w:val="clear" w:color="auto" w:fill="auto"/>
            <w:tcMar>
              <w:top w:w="113" w:type="dxa"/>
              <w:left w:w="0" w:type="dxa"/>
              <w:bottom w:w="113" w:type="dxa"/>
              <w:right w:w="0" w:type="dxa"/>
            </w:tcMar>
            <w:vAlign w:val="bottom"/>
          </w:tcPr>
          <w:p w14:paraId="1BDB29C9" w14:textId="77777777" w:rsidR="003D1051" w:rsidRPr="003D1051" w:rsidRDefault="003D1051" w:rsidP="001A46E0">
            <w:pPr>
              <w:spacing w:line="240" w:lineRule="atLeast"/>
              <w:jc w:val="right"/>
              <w:rPr>
                <w:rFonts w:ascii="Tahoma" w:hAnsi="Tahoma"/>
                <w:b/>
                <w:bCs/>
                <w:color w:val="000000" w:themeColor="text1"/>
                <w:sz w:val="16"/>
                <w:lang w:val="en-GB"/>
              </w:rPr>
            </w:pPr>
            <w:r w:rsidRPr="003D1051">
              <w:rPr>
                <w:rFonts w:ascii="Tahoma" w:hAnsi="Tahoma"/>
                <w:b/>
                <w:bCs/>
                <w:color w:val="000000" w:themeColor="text1"/>
                <w:sz w:val="16"/>
                <w:lang w:val="en-GB"/>
              </w:rPr>
              <w:t>2022</w:t>
            </w:r>
          </w:p>
          <w:p w14:paraId="41DED039" w14:textId="77777777" w:rsidR="003D1051" w:rsidRPr="003D1051" w:rsidRDefault="003D1051" w:rsidP="001A46E0">
            <w:pPr>
              <w:spacing w:line="240" w:lineRule="atLeast"/>
              <w:jc w:val="right"/>
              <w:rPr>
                <w:rFonts w:ascii="Tahoma" w:hAnsi="Tahoma"/>
                <w:b/>
                <w:bCs/>
                <w:color w:val="000000" w:themeColor="text1"/>
                <w:sz w:val="16"/>
                <w:lang w:val="en-GB"/>
              </w:rPr>
            </w:pPr>
            <w:proofErr w:type="spellStart"/>
            <w:r w:rsidRPr="003D1051">
              <w:rPr>
                <w:rFonts w:ascii="Tahoma" w:hAnsi="Tahoma"/>
                <w:b/>
                <w:bCs/>
                <w:color w:val="000000" w:themeColor="text1"/>
                <w:sz w:val="16"/>
                <w:lang w:val="en-GB"/>
              </w:rPr>
              <w:t>US$’m</w:t>
            </w:r>
            <w:proofErr w:type="spellEnd"/>
          </w:p>
        </w:tc>
        <w:tc>
          <w:tcPr>
            <w:tcW w:w="1134" w:type="dxa"/>
            <w:tcBorders>
              <w:bottom w:val="single" w:sz="12" w:space="0" w:color="auto"/>
            </w:tcBorders>
            <w:shd w:val="clear" w:color="auto" w:fill="auto"/>
            <w:tcMar>
              <w:top w:w="113" w:type="dxa"/>
              <w:left w:w="0" w:type="dxa"/>
              <w:bottom w:w="113" w:type="dxa"/>
              <w:right w:w="0" w:type="dxa"/>
            </w:tcMar>
            <w:vAlign w:val="bottom"/>
          </w:tcPr>
          <w:p w14:paraId="1BE6EA22" w14:textId="77777777" w:rsidR="003D1051" w:rsidRPr="003D1051" w:rsidRDefault="003D1051" w:rsidP="001A46E0">
            <w:pPr>
              <w:spacing w:line="240" w:lineRule="atLeast"/>
              <w:jc w:val="right"/>
              <w:rPr>
                <w:rFonts w:ascii="Tahoma" w:hAnsi="Tahoma"/>
                <w:color w:val="000000" w:themeColor="text1"/>
                <w:sz w:val="16"/>
                <w:lang w:val="en-GB"/>
              </w:rPr>
            </w:pPr>
            <w:r w:rsidRPr="003D1051">
              <w:rPr>
                <w:rFonts w:ascii="Tahoma" w:hAnsi="Tahoma"/>
                <w:color w:val="000000" w:themeColor="text1"/>
                <w:sz w:val="16"/>
                <w:lang w:val="en-GB"/>
              </w:rPr>
              <w:t>2021</w:t>
            </w:r>
          </w:p>
          <w:p w14:paraId="04B0E283" w14:textId="77777777" w:rsidR="003D1051" w:rsidRPr="003D1051" w:rsidRDefault="003D1051" w:rsidP="001A46E0">
            <w:pPr>
              <w:spacing w:line="240" w:lineRule="atLeast"/>
              <w:jc w:val="right"/>
              <w:rPr>
                <w:rFonts w:ascii="Tahoma" w:hAnsi="Tahoma"/>
                <w:color w:val="000000" w:themeColor="text1"/>
                <w:sz w:val="16"/>
                <w:lang w:val="en-GB"/>
              </w:rPr>
            </w:pPr>
            <w:proofErr w:type="spellStart"/>
            <w:r w:rsidRPr="003D1051">
              <w:rPr>
                <w:rFonts w:ascii="Tahoma" w:hAnsi="Tahoma"/>
                <w:color w:val="000000" w:themeColor="text1"/>
                <w:sz w:val="16"/>
                <w:lang w:val="en-GB"/>
              </w:rPr>
              <w:t>US$’m</w:t>
            </w:r>
            <w:proofErr w:type="spellEnd"/>
          </w:p>
        </w:tc>
        <w:tc>
          <w:tcPr>
            <w:tcW w:w="1134" w:type="dxa"/>
            <w:tcBorders>
              <w:bottom w:val="single" w:sz="12" w:space="0" w:color="auto"/>
            </w:tcBorders>
            <w:shd w:val="clear" w:color="auto" w:fill="auto"/>
            <w:tcMar>
              <w:top w:w="113" w:type="dxa"/>
              <w:left w:w="0" w:type="dxa"/>
              <w:bottom w:w="113" w:type="dxa"/>
              <w:right w:w="0" w:type="dxa"/>
            </w:tcMar>
            <w:vAlign w:val="bottom"/>
          </w:tcPr>
          <w:p w14:paraId="10EE6BFF" w14:textId="77777777" w:rsidR="003D1051" w:rsidRPr="003D1051" w:rsidRDefault="003D1051" w:rsidP="001A46E0">
            <w:pPr>
              <w:spacing w:line="240" w:lineRule="atLeast"/>
              <w:jc w:val="right"/>
              <w:rPr>
                <w:rFonts w:ascii="Tahoma" w:hAnsi="Tahoma"/>
                <w:color w:val="000000" w:themeColor="text1"/>
                <w:sz w:val="16"/>
                <w:lang w:val="en-GB"/>
              </w:rPr>
            </w:pPr>
            <w:r w:rsidRPr="003D1051">
              <w:rPr>
                <w:rFonts w:ascii="Tahoma" w:hAnsi="Tahoma"/>
                <w:color w:val="000000" w:themeColor="text1"/>
                <w:sz w:val="16"/>
                <w:lang w:val="en-GB"/>
              </w:rPr>
              <w:t>2022</w:t>
            </w:r>
          </w:p>
          <w:p w14:paraId="25B1D627" w14:textId="77777777" w:rsidR="003D1051" w:rsidRPr="003D1051" w:rsidRDefault="003D1051" w:rsidP="001A46E0">
            <w:pPr>
              <w:spacing w:line="240" w:lineRule="atLeast"/>
              <w:jc w:val="right"/>
              <w:rPr>
                <w:rFonts w:ascii="Tahoma" w:hAnsi="Tahoma"/>
                <w:color w:val="000000" w:themeColor="text1"/>
                <w:sz w:val="16"/>
                <w:lang w:val="en-GB"/>
              </w:rPr>
            </w:pPr>
            <w:proofErr w:type="spellStart"/>
            <w:r w:rsidRPr="003D1051">
              <w:rPr>
                <w:rFonts w:ascii="Tahoma" w:hAnsi="Tahoma"/>
                <w:color w:val="000000" w:themeColor="text1"/>
                <w:sz w:val="16"/>
                <w:lang w:val="en-GB"/>
              </w:rPr>
              <w:t>US$’m</w:t>
            </w:r>
            <w:proofErr w:type="spellEnd"/>
          </w:p>
        </w:tc>
      </w:tr>
      <w:tr w:rsidR="00615190" w:rsidRPr="003D1051" w14:paraId="21C3E87D" w14:textId="77777777" w:rsidTr="00C54521">
        <w:trPr>
          <w:trHeight w:val="60"/>
        </w:trPr>
        <w:tc>
          <w:tcPr>
            <w:tcW w:w="397" w:type="dxa"/>
            <w:shd w:val="clear" w:color="auto" w:fill="auto"/>
            <w:tcMar>
              <w:top w:w="142" w:type="dxa"/>
              <w:left w:w="0" w:type="dxa"/>
              <w:bottom w:w="57" w:type="dxa"/>
              <w:right w:w="0" w:type="dxa"/>
            </w:tcMar>
            <w:vAlign w:val="bottom"/>
          </w:tcPr>
          <w:p w14:paraId="4164D69E" w14:textId="77777777" w:rsidR="003D1051" w:rsidRPr="003D1051" w:rsidRDefault="003D1051" w:rsidP="00615190">
            <w:pPr>
              <w:spacing w:line="240" w:lineRule="atLeast"/>
              <w:rPr>
                <w:rFonts w:ascii="Tahoma" w:hAnsi="Tahoma"/>
                <w:color w:val="000000" w:themeColor="text1"/>
                <w:sz w:val="16"/>
                <w:lang w:val="en-GB"/>
              </w:rPr>
            </w:pPr>
          </w:p>
        </w:tc>
        <w:tc>
          <w:tcPr>
            <w:tcW w:w="4423" w:type="dxa"/>
            <w:tcBorders>
              <w:top w:val="single" w:sz="12" w:space="0" w:color="auto"/>
            </w:tcBorders>
            <w:shd w:val="clear" w:color="auto" w:fill="auto"/>
            <w:tcMar>
              <w:top w:w="142" w:type="dxa"/>
              <w:left w:w="0" w:type="dxa"/>
              <w:bottom w:w="57" w:type="dxa"/>
              <w:right w:w="113" w:type="dxa"/>
            </w:tcMar>
            <w:vAlign w:val="bottom"/>
          </w:tcPr>
          <w:p w14:paraId="548A5472" w14:textId="77777777" w:rsidR="003D1051" w:rsidRPr="003D1051" w:rsidRDefault="003D1051" w:rsidP="00615190">
            <w:pPr>
              <w:spacing w:line="240" w:lineRule="atLeast"/>
              <w:rPr>
                <w:rFonts w:ascii="Tahoma" w:hAnsi="Tahoma"/>
                <w:b/>
                <w:bCs/>
                <w:color w:val="000000" w:themeColor="text1"/>
                <w:sz w:val="16"/>
                <w:lang w:val="en-GB"/>
              </w:rPr>
            </w:pPr>
            <w:r w:rsidRPr="003D1051">
              <w:rPr>
                <w:rFonts w:ascii="Tahoma" w:hAnsi="Tahoma"/>
                <w:b/>
                <w:bCs/>
                <w:color w:val="000000" w:themeColor="text1"/>
                <w:sz w:val="16"/>
                <w:lang w:val="en-GB"/>
              </w:rPr>
              <w:t>From continuing operations</w:t>
            </w:r>
          </w:p>
        </w:tc>
        <w:tc>
          <w:tcPr>
            <w:tcW w:w="2126" w:type="dxa"/>
            <w:tcBorders>
              <w:top w:val="single" w:sz="12" w:space="0" w:color="auto"/>
            </w:tcBorders>
            <w:shd w:val="clear" w:color="auto" w:fill="auto"/>
            <w:tcMar>
              <w:top w:w="142" w:type="dxa"/>
              <w:left w:w="113" w:type="dxa"/>
              <w:bottom w:w="57" w:type="dxa"/>
              <w:right w:w="113" w:type="dxa"/>
            </w:tcMar>
            <w:vAlign w:val="bottom"/>
          </w:tcPr>
          <w:p w14:paraId="59D68C94" w14:textId="77777777" w:rsidR="003D1051" w:rsidRPr="003D1051" w:rsidRDefault="003D1051" w:rsidP="00615190">
            <w:pPr>
              <w:spacing w:line="240" w:lineRule="atLeast"/>
              <w:rPr>
                <w:rFonts w:ascii="Tahoma" w:hAnsi="Tahoma"/>
                <w:color w:val="000000" w:themeColor="text1"/>
                <w:sz w:val="16"/>
                <w:lang w:val="en-GB"/>
              </w:rPr>
            </w:pPr>
          </w:p>
        </w:tc>
        <w:tc>
          <w:tcPr>
            <w:tcW w:w="992" w:type="dxa"/>
            <w:tcBorders>
              <w:top w:val="single" w:sz="12" w:space="0" w:color="auto"/>
            </w:tcBorders>
            <w:shd w:val="clear" w:color="auto" w:fill="auto"/>
            <w:tcMar>
              <w:top w:w="142" w:type="dxa"/>
              <w:left w:w="0" w:type="dxa"/>
              <w:bottom w:w="57" w:type="dxa"/>
              <w:right w:w="0" w:type="dxa"/>
            </w:tcMar>
            <w:vAlign w:val="bottom"/>
          </w:tcPr>
          <w:p w14:paraId="16DBEA93" w14:textId="77777777" w:rsidR="003D1051" w:rsidRPr="003D1051" w:rsidRDefault="003D1051" w:rsidP="001A46E0">
            <w:pPr>
              <w:spacing w:line="240" w:lineRule="atLeast"/>
              <w:jc w:val="right"/>
              <w:rPr>
                <w:rFonts w:ascii="Tahoma" w:hAnsi="Tahoma"/>
                <w:b/>
                <w:bCs/>
                <w:color w:val="000000" w:themeColor="text1"/>
                <w:sz w:val="16"/>
                <w:lang w:val="en-GB"/>
              </w:rPr>
            </w:pPr>
          </w:p>
        </w:tc>
        <w:tc>
          <w:tcPr>
            <w:tcW w:w="1134" w:type="dxa"/>
            <w:tcBorders>
              <w:top w:val="single" w:sz="12" w:space="0" w:color="auto"/>
            </w:tcBorders>
            <w:shd w:val="clear" w:color="auto" w:fill="auto"/>
            <w:tcMar>
              <w:top w:w="142" w:type="dxa"/>
              <w:left w:w="0" w:type="dxa"/>
              <w:bottom w:w="57" w:type="dxa"/>
              <w:right w:w="0" w:type="dxa"/>
            </w:tcMar>
            <w:vAlign w:val="bottom"/>
          </w:tcPr>
          <w:p w14:paraId="0DC2D6F5" w14:textId="77777777" w:rsidR="003D1051" w:rsidRPr="003D1051" w:rsidRDefault="003D1051" w:rsidP="001A46E0">
            <w:pPr>
              <w:spacing w:line="240" w:lineRule="atLeast"/>
              <w:jc w:val="right"/>
              <w:rPr>
                <w:rFonts w:ascii="Tahoma" w:hAnsi="Tahoma"/>
                <w:color w:val="000000" w:themeColor="text1"/>
                <w:sz w:val="16"/>
                <w:lang w:val="en-GB"/>
              </w:rPr>
            </w:pPr>
          </w:p>
        </w:tc>
        <w:tc>
          <w:tcPr>
            <w:tcW w:w="1134" w:type="dxa"/>
            <w:tcBorders>
              <w:top w:val="single" w:sz="12" w:space="0" w:color="auto"/>
            </w:tcBorders>
            <w:shd w:val="clear" w:color="auto" w:fill="auto"/>
            <w:tcMar>
              <w:top w:w="142" w:type="dxa"/>
              <w:left w:w="0" w:type="dxa"/>
              <w:bottom w:w="57" w:type="dxa"/>
              <w:right w:w="0" w:type="dxa"/>
            </w:tcMar>
            <w:vAlign w:val="bottom"/>
          </w:tcPr>
          <w:p w14:paraId="06BD2869" w14:textId="77777777" w:rsidR="003D1051" w:rsidRPr="003D1051" w:rsidRDefault="003D1051" w:rsidP="001A46E0">
            <w:pPr>
              <w:spacing w:line="240" w:lineRule="atLeast"/>
              <w:jc w:val="right"/>
              <w:rPr>
                <w:rFonts w:ascii="Tahoma" w:hAnsi="Tahoma"/>
                <w:color w:val="000000" w:themeColor="text1"/>
                <w:sz w:val="16"/>
                <w:lang w:val="en-GB"/>
              </w:rPr>
            </w:pPr>
          </w:p>
        </w:tc>
      </w:tr>
      <w:tr w:rsidR="00615190" w:rsidRPr="003D1051" w14:paraId="2B32D339" w14:textId="77777777" w:rsidTr="0067338B">
        <w:trPr>
          <w:trHeight w:val="60"/>
        </w:trPr>
        <w:tc>
          <w:tcPr>
            <w:tcW w:w="397" w:type="dxa"/>
            <w:shd w:val="clear" w:color="auto" w:fill="auto"/>
            <w:tcMar>
              <w:top w:w="57" w:type="dxa"/>
              <w:left w:w="0" w:type="dxa"/>
              <w:bottom w:w="57" w:type="dxa"/>
              <w:right w:w="0" w:type="dxa"/>
            </w:tcMar>
            <w:vAlign w:val="bottom"/>
          </w:tcPr>
          <w:p w14:paraId="73BABA8E" w14:textId="77777777" w:rsidR="003D1051" w:rsidRPr="003D1051" w:rsidRDefault="003D1051" w:rsidP="00615190">
            <w:pPr>
              <w:spacing w:line="240" w:lineRule="atLeast"/>
              <w:rPr>
                <w:rFonts w:ascii="Tahoma" w:hAnsi="Tahoma"/>
                <w:color w:val="000000" w:themeColor="text1"/>
                <w:sz w:val="16"/>
                <w:lang w:val="en-GB"/>
              </w:rPr>
            </w:pPr>
          </w:p>
        </w:tc>
        <w:tc>
          <w:tcPr>
            <w:tcW w:w="4423" w:type="dxa"/>
            <w:shd w:val="clear" w:color="auto" w:fill="auto"/>
            <w:tcMar>
              <w:top w:w="57" w:type="dxa"/>
              <w:left w:w="0" w:type="dxa"/>
              <w:bottom w:w="57" w:type="dxa"/>
              <w:right w:w="113" w:type="dxa"/>
            </w:tcMar>
            <w:vAlign w:val="bottom"/>
          </w:tcPr>
          <w:p w14:paraId="5D93CDCC" w14:textId="77777777" w:rsidR="003D1051" w:rsidRPr="003D1051" w:rsidRDefault="003D1051" w:rsidP="00615190">
            <w:pPr>
              <w:spacing w:line="240" w:lineRule="atLeast"/>
              <w:rPr>
                <w:rFonts w:ascii="Tahoma" w:hAnsi="Tahoma"/>
                <w:color w:val="000000" w:themeColor="text1"/>
                <w:sz w:val="16"/>
                <w:lang w:val="en-GB"/>
              </w:rPr>
            </w:pPr>
            <w:r w:rsidRPr="003D1051">
              <w:rPr>
                <w:rFonts w:ascii="Tahoma" w:hAnsi="Tahoma"/>
                <w:color w:val="000000" w:themeColor="text1"/>
                <w:sz w:val="16"/>
                <w:lang w:val="en-GB"/>
              </w:rPr>
              <w:t>Online sale of goods revenue</w:t>
            </w:r>
          </w:p>
        </w:tc>
        <w:tc>
          <w:tcPr>
            <w:tcW w:w="2126" w:type="dxa"/>
            <w:shd w:val="clear" w:color="auto" w:fill="auto"/>
            <w:tcMar>
              <w:top w:w="57" w:type="dxa"/>
              <w:left w:w="113" w:type="dxa"/>
              <w:bottom w:w="57" w:type="dxa"/>
              <w:right w:w="113" w:type="dxa"/>
            </w:tcMar>
            <w:vAlign w:val="bottom"/>
          </w:tcPr>
          <w:p w14:paraId="0A4B00D3" w14:textId="77777777" w:rsidR="003D1051" w:rsidRPr="003D1051" w:rsidRDefault="003D1051" w:rsidP="00615190">
            <w:pPr>
              <w:spacing w:line="240" w:lineRule="atLeast"/>
              <w:rPr>
                <w:rFonts w:ascii="Tahoma" w:hAnsi="Tahoma"/>
                <w:color w:val="000000" w:themeColor="text1"/>
                <w:sz w:val="16"/>
                <w:lang w:val="en-GB"/>
              </w:rPr>
            </w:pPr>
            <w:r w:rsidRPr="003D1051">
              <w:rPr>
                <w:rFonts w:ascii="Tahoma" w:hAnsi="Tahoma"/>
                <w:color w:val="000000" w:themeColor="text1"/>
                <w:sz w:val="16"/>
                <w:lang w:val="en-GB"/>
              </w:rPr>
              <w:t xml:space="preserve">Classifieds and Etail </w:t>
            </w:r>
          </w:p>
        </w:tc>
        <w:tc>
          <w:tcPr>
            <w:tcW w:w="992" w:type="dxa"/>
            <w:shd w:val="clear" w:color="auto" w:fill="auto"/>
            <w:tcMar>
              <w:top w:w="57" w:type="dxa"/>
              <w:left w:w="0" w:type="dxa"/>
              <w:bottom w:w="57" w:type="dxa"/>
              <w:right w:w="0" w:type="dxa"/>
            </w:tcMar>
            <w:vAlign w:val="bottom"/>
          </w:tcPr>
          <w:p w14:paraId="7A6B5FD6" w14:textId="77777777" w:rsidR="003D1051" w:rsidRPr="003D1051" w:rsidRDefault="003D1051" w:rsidP="001A46E0">
            <w:pPr>
              <w:spacing w:line="240" w:lineRule="atLeast"/>
              <w:jc w:val="right"/>
              <w:rPr>
                <w:rFonts w:ascii="Tahoma" w:hAnsi="Tahoma"/>
                <w:b/>
                <w:bCs/>
                <w:color w:val="000000" w:themeColor="text1"/>
                <w:sz w:val="16"/>
                <w:lang w:val="en-GB"/>
              </w:rPr>
            </w:pPr>
            <w:r w:rsidRPr="003D1051">
              <w:rPr>
                <w:rFonts w:ascii="Tahoma" w:hAnsi="Tahoma"/>
                <w:b/>
                <w:bCs/>
                <w:color w:val="000000" w:themeColor="text1"/>
                <w:sz w:val="16"/>
                <w:lang w:val="en-GB"/>
              </w:rPr>
              <w:t>1 776</w:t>
            </w:r>
          </w:p>
        </w:tc>
        <w:tc>
          <w:tcPr>
            <w:tcW w:w="1134" w:type="dxa"/>
            <w:shd w:val="clear" w:color="auto" w:fill="auto"/>
            <w:tcMar>
              <w:top w:w="57" w:type="dxa"/>
              <w:left w:w="0" w:type="dxa"/>
              <w:bottom w:w="57" w:type="dxa"/>
              <w:right w:w="0" w:type="dxa"/>
            </w:tcMar>
            <w:vAlign w:val="bottom"/>
          </w:tcPr>
          <w:p w14:paraId="044895FF" w14:textId="77777777" w:rsidR="003D1051" w:rsidRPr="003D1051" w:rsidRDefault="003D1051" w:rsidP="001A46E0">
            <w:pPr>
              <w:spacing w:line="240" w:lineRule="atLeast"/>
              <w:jc w:val="right"/>
              <w:rPr>
                <w:rFonts w:ascii="Tahoma" w:hAnsi="Tahoma"/>
                <w:color w:val="000000" w:themeColor="text1"/>
                <w:sz w:val="16"/>
                <w:lang w:val="en-GB"/>
              </w:rPr>
            </w:pPr>
            <w:r w:rsidRPr="003D1051">
              <w:rPr>
                <w:rFonts w:ascii="Tahoma" w:hAnsi="Tahoma"/>
                <w:color w:val="000000" w:themeColor="text1"/>
                <w:sz w:val="16"/>
                <w:lang w:val="en-GB"/>
              </w:rPr>
              <w:t>1 614</w:t>
            </w:r>
          </w:p>
        </w:tc>
        <w:tc>
          <w:tcPr>
            <w:tcW w:w="1134" w:type="dxa"/>
            <w:shd w:val="clear" w:color="auto" w:fill="auto"/>
            <w:tcMar>
              <w:top w:w="57" w:type="dxa"/>
              <w:left w:w="0" w:type="dxa"/>
              <w:bottom w:w="57" w:type="dxa"/>
              <w:right w:w="0" w:type="dxa"/>
            </w:tcMar>
            <w:vAlign w:val="bottom"/>
          </w:tcPr>
          <w:p w14:paraId="6FAF17D9" w14:textId="77777777" w:rsidR="003D1051" w:rsidRPr="003D1051" w:rsidRDefault="003D1051" w:rsidP="001A46E0">
            <w:pPr>
              <w:spacing w:line="240" w:lineRule="atLeast"/>
              <w:jc w:val="right"/>
              <w:rPr>
                <w:rFonts w:ascii="Tahoma" w:hAnsi="Tahoma"/>
                <w:color w:val="000000" w:themeColor="text1"/>
                <w:sz w:val="16"/>
                <w:lang w:val="en-GB"/>
              </w:rPr>
            </w:pPr>
            <w:r w:rsidRPr="003D1051">
              <w:rPr>
                <w:rFonts w:ascii="Tahoma" w:hAnsi="Tahoma"/>
                <w:color w:val="000000" w:themeColor="text1"/>
                <w:sz w:val="16"/>
                <w:lang w:val="en-GB"/>
              </w:rPr>
              <w:t>3 805</w:t>
            </w:r>
          </w:p>
        </w:tc>
      </w:tr>
      <w:tr w:rsidR="00615190" w:rsidRPr="003D1051" w14:paraId="6D932392" w14:textId="77777777" w:rsidTr="0067338B">
        <w:trPr>
          <w:trHeight w:val="60"/>
        </w:trPr>
        <w:tc>
          <w:tcPr>
            <w:tcW w:w="397" w:type="dxa"/>
            <w:shd w:val="clear" w:color="auto" w:fill="auto"/>
            <w:tcMar>
              <w:top w:w="57" w:type="dxa"/>
              <w:left w:w="0" w:type="dxa"/>
              <w:bottom w:w="57" w:type="dxa"/>
              <w:right w:w="0" w:type="dxa"/>
            </w:tcMar>
            <w:vAlign w:val="bottom"/>
          </w:tcPr>
          <w:p w14:paraId="57DE010E" w14:textId="77777777" w:rsidR="003D1051" w:rsidRPr="003D1051" w:rsidRDefault="003D1051" w:rsidP="00615190">
            <w:pPr>
              <w:spacing w:line="240" w:lineRule="atLeast"/>
              <w:rPr>
                <w:rFonts w:ascii="Tahoma" w:hAnsi="Tahoma"/>
                <w:color w:val="000000" w:themeColor="text1"/>
                <w:sz w:val="16"/>
                <w:lang w:val="en-GB"/>
              </w:rPr>
            </w:pPr>
          </w:p>
        </w:tc>
        <w:tc>
          <w:tcPr>
            <w:tcW w:w="4423" w:type="dxa"/>
            <w:shd w:val="clear" w:color="auto" w:fill="auto"/>
            <w:tcMar>
              <w:top w:w="57" w:type="dxa"/>
              <w:left w:w="0" w:type="dxa"/>
              <w:bottom w:w="57" w:type="dxa"/>
              <w:right w:w="113" w:type="dxa"/>
            </w:tcMar>
            <w:vAlign w:val="bottom"/>
          </w:tcPr>
          <w:p w14:paraId="7ADB5DA2" w14:textId="77777777" w:rsidR="003D1051" w:rsidRPr="003D1051" w:rsidRDefault="003D1051" w:rsidP="00615190">
            <w:pPr>
              <w:spacing w:line="240" w:lineRule="atLeast"/>
              <w:rPr>
                <w:rFonts w:ascii="Tahoma" w:hAnsi="Tahoma"/>
                <w:color w:val="000000" w:themeColor="text1"/>
                <w:sz w:val="16"/>
                <w:lang w:val="en-GB"/>
              </w:rPr>
            </w:pPr>
            <w:r w:rsidRPr="003D1051">
              <w:rPr>
                <w:rFonts w:ascii="Tahoma" w:hAnsi="Tahoma"/>
                <w:color w:val="000000" w:themeColor="text1"/>
                <w:sz w:val="16"/>
                <w:lang w:val="en-GB"/>
              </w:rPr>
              <w:t>Classifieds listings revenue</w:t>
            </w:r>
          </w:p>
        </w:tc>
        <w:tc>
          <w:tcPr>
            <w:tcW w:w="2126" w:type="dxa"/>
            <w:shd w:val="clear" w:color="auto" w:fill="auto"/>
            <w:tcMar>
              <w:top w:w="57" w:type="dxa"/>
              <w:left w:w="113" w:type="dxa"/>
              <w:bottom w:w="57" w:type="dxa"/>
              <w:right w:w="113" w:type="dxa"/>
            </w:tcMar>
            <w:vAlign w:val="bottom"/>
          </w:tcPr>
          <w:p w14:paraId="4CA4111A" w14:textId="77777777" w:rsidR="003D1051" w:rsidRPr="003D1051" w:rsidRDefault="003D1051" w:rsidP="00615190">
            <w:pPr>
              <w:spacing w:line="240" w:lineRule="atLeast"/>
              <w:rPr>
                <w:rFonts w:ascii="Tahoma" w:hAnsi="Tahoma"/>
                <w:color w:val="000000" w:themeColor="text1"/>
                <w:sz w:val="16"/>
                <w:lang w:val="en-GB"/>
              </w:rPr>
            </w:pPr>
            <w:r w:rsidRPr="003D1051">
              <w:rPr>
                <w:rFonts w:ascii="Tahoma" w:hAnsi="Tahoma"/>
                <w:color w:val="000000" w:themeColor="text1"/>
                <w:sz w:val="16"/>
                <w:lang w:val="en-GB"/>
              </w:rPr>
              <w:t>Classifieds</w:t>
            </w:r>
          </w:p>
        </w:tc>
        <w:tc>
          <w:tcPr>
            <w:tcW w:w="992" w:type="dxa"/>
            <w:shd w:val="clear" w:color="auto" w:fill="auto"/>
            <w:tcMar>
              <w:top w:w="57" w:type="dxa"/>
              <w:left w:w="0" w:type="dxa"/>
              <w:bottom w:w="57" w:type="dxa"/>
              <w:right w:w="0" w:type="dxa"/>
            </w:tcMar>
            <w:vAlign w:val="bottom"/>
          </w:tcPr>
          <w:p w14:paraId="4D30F906" w14:textId="77777777" w:rsidR="003D1051" w:rsidRPr="003D1051" w:rsidRDefault="003D1051" w:rsidP="001A46E0">
            <w:pPr>
              <w:spacing w:line="240" w:lineRule="atLeast"/>
              <w:jc w:val="right"/>
              <w:rPr>
                <w:rFonts w:ascii="Tahoma" w:hAnsi="Tahoma"/>
                <w:b/>
                <w:bCs/>
                <w:color w:val="000000" w:themeColor="text1"/>
                <w:sz w:val="16"/>
                <w:lang w:val="en-GB"/>
              </w:rPr>
            </w:pPr>
            <w:r w:rsidRPr="003D1051">
              <w:rPr>
                <w:rFonts w:ascii="Tahoma" w:hAnsi="Tahoma"/>
                <w:b/>
                <w:bCs/>
                <w:color w:val="000000" w:themeColor="text1"/>
                <w:sz w:val="16"/>
                <w:lang w:val="en-GB"/>
              </w:rPr>
              <w:t>220</w:t>
            </w:r>
          </w:p>
        </w:tc>
        <w:tc>
          <w:tcPr>
            <w:tcW w:w="1134" w:type="dxa"/>
            <w:shd w:val="clear" w:color="auto" w:fill="auto"/>
            <w:tcMar>
              <w:top w:w="57" w:type="dxa"/>
              <w:left w:w="0" w:type="dxa"/>
              <w:bottom w:w="57" w:type="dxa"/>
              <w:right w:w="0" w:type="dxa"/>
            </w:tcMar>
            <w:vAlign w:val="bottom"/>
          </w:tcPr>
          <w:p w14:paraId="6ACE2834" w14:textId="77777777" w:rsidR="003D1051" w:rsidRPr="003D1051" w:rsidRDefault="003D1051" w:rsidP="001A46E0">
            <w:pPr>
              <w:spacing w:line="240" w:lineRule="atLeast"/>
              <w:jc w:val="right"/>
              <w:rPr>
                <w:rFonts w:ascii="Tahoma" w:hAnsi="Tahoma"/>
                <w:color w:val="000000" w:themeColor="text1"/>
                <w:sz w:val="16"/>
                <w:lang w:val="en-GB"/>
              </w:rPr>
            </w:pPr>
            <w:r w:rsidRPr="003D1051">
              <w:rPr>
                <w:rFonts w:ascii="Tahoma" w:hAnsi="Tahoma"/>
                <w:color w:val="000000" w:themeColor="text1"/>
                <w:sz w:val="16"/>
                <w:lang w:val="en-GB"/>
              </w:rPr>
              <w:t>232</w:t>
            </w:r>
          </w:p>
        </w:tc>
        <w:tc>
          <w:tcPr>
            <w:tcW w:w="1134" w:type="dxa"/>
            <w:shd w:val="clear" w:color="auto" w:fill="auto"/>
            <w:tcMar>
              <w:top w:w="57" w:type="dxa"/>
              <w:left w:w="0" w:type="dxa"/>
              <w:bottom w:w="57" w:type="dxa"/>
              <w:right w:w="0" w:type="dxa"/>
            </w:tcMar>
            <w:vAlign w:val="bottom"/>
          </w:tcPr>
          <w:p w14:paraId="01E9489B" w14:textId="77777777" w:rsidR="003D1051" w:rsidRPr="003D1051" w:rsidRDefault="003D1051" w:rsidP="001A46E0">
            <w:pPr>
              <w:spacing w:line="240" w:lineRule="atLeast"/>
              <w:jc w:val="right"/>
              <w:rPr>
                <w:rFonts w:ascii="Tahoma" w:hAnsi="Tahoma"/>
                <w:color w:val="000000" w:themeColor="text1"/>
                <w:sz w:val="16"/>
                <w:lang w:val="en-GB"/>
              </w:rPr>
            </w:pPr>
            <w:r w:rsidRPr="003D1051">
              <w:rPr>
                <w:rFonts w:ascii="Tahoma" w:hAnsi="Tahoma"/>
                <w:color w:val="000000" w:themeColor="text1"/>
                <w:sz w:val="16"/>
                <w:lang w:val="en-GB"/>
              </w:rPr>
              <w:t>453</w:t>
            </w:r>
          </w:p>
        </w:tc>
      </w:tr>
      <w:tr w:rsidR="00615190" w:rsidRPr="003D1051" w14:paraId="5E86C6ED" w14:textId="77777777" w:rsidTr="0067338B">
        <w:trPr>
          <w:trHeight w:val="60"/>
        </w:trPr>
        <w:tc>
          <w:tcPr>
            <w:tcW w:w="397" w:type="dxa"/>
            <w:shd w:val="clear" w:color="auto" w:fill="auto"/>
            <w:tcMar>
              <w:top w:w="57" w:type="dxa"/>
              <w:left w:w="0" w:type="dxa"/>
              <w:bottom w:w="57" w:type="dxa"/>
              <w:right w:w="0" w:type="dxa"/>
            </w:tcMar>
            <w:vAlign w:val="bottom"/>
          </w:tcPr>
          <w:p w14:paraId="40C879E6" w14:textId="77777777" w:rsidR="003D1051" w:rsidRPr="003D1051" w:rsidRDefault="003D1051" w:rsidP="00615190">
            <w:pPr>
              <w:spacing w:line="240" w:lineRule="atLeast"/>
              <w:rPr>
                <w:rFonts w:ascii="Tahoma" w:hAnsi="Tahoma"/>
                <w:color w:val="000000" w:themeColor="text1"/>
                <w:sz w:val="16"/>
                <w:lang w:val="en-GB"/>
              </w:rPr>
            </w:pPr>
          </w:p>
        </w:tc>
        <w:tc>
          <w:tcPr>
            <w:tcW w:w="4423" w:type="dxa"/>
            <w:shd w:val="clear" w:color="auto" w:fill="auto"/>
            <w:tcMar>
              <w:top w:w="57" w:type="dxa"/>
              <w:left w:w="0" w:type="dxa"/>
              <w:bottom w:w="57" w:type="dxa"/>
              <w:right w:w="113" w:type="dxa"/>
            </w:tcMar>
            <w:vAlign w:val="bottom"/>
          </w:tcPr>
          <w:p w14:paraId="65F93FA6" w14:textId="77777777" w:rsidR="003D1051" w:rsidRPr="003D1051" w:rsidRDefault="003D1051" w:rsidP="00615190">
            <w:pPr>
              <w:spacing w:line="240" w:lineRule="atLeast"/>
              <w:rPr>
                <w:rFonts w:ascii="Tahoma" w:hAnsi="Tahoma"/>
                <w:color w:val="000000" w:themeColor="text1"/>
                <w:sz w:val="16"/>
                <w:lang w:val="en-GB"/>
              </w:rPr>
            </w:pPr>
            <w:r w:rsidRPr="003D1051">
              <w:rPr>
                <w:rFonts w:ascii="Tahoma" w:hAnsi="Tahoma"/>
                <w:color w:val="000000" w:themeColor="text1"/>
                <w:sz w:val="16"/>
                <w:lang w:val="en-GB"/>
              </w:rPr>
              <w:t>Payment transaction commissions and fees</w:t>
            </w:r>
          </w:p>
        </w:tc>
        <w:tc>
          <w:tcPr>
            <w:tcW w:w="2126" w:type="dxa"/>
            <w:shd w:val="clear" w:color="auto" w:fill="auto"/>
            <w:tcMar>
              <w:top w:w="57" w:type="dxa"/>
              <w:left w:w="113" w:type="dxa"/>
              <w:bottom w:w="57" w:type="dxa"/>
              <w:right w:w="113" w:type="dxa"/>
            </w:tcMar>
            <w:vAlign w:val="bottom"/>
          </w:tcPr>
          <w:p w14:paraId="260BAE01" w14:textId="77777777" w:rsidR="003D1051" w:rsidRPr="003D1051" w:rsidRDefault="003D1051" w:rsidP="00615190">
            <w:pPr>
              <w:spacing w:line="240" w:lineRule="atLeast"/>
              <w:rPr>
                <w:rFonts w:ascii="Tahoma" w:hAnsi="Tahoma"/>
                <w:color w:val="000000" w:themeColor="text1"/>
                <w:sz w:val="16"/>
                <w:lang w:val="en-GB"/>
              </w:rPr>
            </w:pPr>
            <w:r w:rsidRPr="003D1051">
              <w:rPr>
                <w:rFonts w:ascii="Tahoma" w:hAnsi="Tahoma"/>
                <w:color w:val="000000" w:themeColor="text1"/>
                <w:sz w:val="16"/>
                <w:lang w:val="en-GB"/>
              </w:rPr>
              <w:t>Payments and Fintech</w:t>
            </w:r>
          </w:p>
        </w:tc>
        <w:tc>
          <w:tcPr>
            <w:tcW w:w="992" w:type="dxa"/>
            <w:shd w:val="clear" w:color="auto" w:fill="auto"/>
            <w:tcMar>
              <w:top w:w="57" w:type="dxa"/>
              <w:left w:w="0" w:type="dxa"/>
              <w:bottom w:w="57" w:type="dxa"/>
              <w:right w:w="0" w:type="dxa"/>
            </w:tcMar>
            <w:vAlign w:val="bottom"/>
          </w:tcPr>
          <w:p w14:paraId="291F2904" w14:textId="77777777" w:rsidR="003D1051" w:rsidRPr="003D1051" w:rsidRDefault="003D1051" w:rsidP="001A46E0">
            <w:pPr>
              <w:spacing w:line="240" w:lineRule="atLeast"/>
              <w:jc w:val="right"/>
              <w:rPr>
                <w:rFonts w:ascii="Tahoma" w:hAnsi="Tahoma"/>
                <w:b/>
                <w:bCs/>
                <w:color w:val="000000" w:themeColor="text1"/>
                <w:sz w:val="16"/>
                <w:lang w:val="en-GB"/>
              </w:rPr>
            </w:pPr>
            <w:r w:rsidRPr="003D1051">
              <w:rPr>
                <w:rFonts w:ascii="Tahoma" w:hAnsi="Tahoma"/>
                <w:b/>
                <w:bCs/>
                <w:color w:val="000000" w:themeColor="text1"/>
                <w:sz w:val="16"/>
                <w:lang w:val="en-GB"/>
              </w:rPr>
              <w:t>448</w:t>
            </w:r>
          </w:p>
        </w:tc>
        <w:tc>
          <w:tcPr>
            <w:tcW w:w="1134" w:type="dxa"/>
            <w:shd w:val="clear" w:color="auto" w:fill="auto"/>
            <w:tcMar>
              <w:top w:w="57" w:type="dxa"/>
              <w:left w:w="0" w:type="dxa"/>
              <w:bottom w:w="57" w:type="dxa"/>
              <w:right w:w="0" w:type="dxa"/>
            </w:tcMar>
            <w:vAlign w:val="bottom"/>
          </w:tcPr>
          <w:p w14:paraId="2B755153" w14:textId="77777777" w:rsidR="003D1051" w:rsidRPr="003D1051" w:rsidRDefault="003D1051" w:rsidP="001A46E0">
            <w:pPr>
              <w:spacing w:line="240" w:lineRule="atLeast"/>
              <w:jc w:val="right"/>
              <w:rPr>
                <w:rFonts w:ascii="Tahoma" w:hAnsi="Tahoma"/>
                <w:color w:val="000000" w:themeColor="text1"/>
                <w:sz w:val="16"/>
                <w:lang w:val="en-GB"/>
              </w:rPr>
            </w:pPr>
            <w:r w:rsidRPr="003D1051">
              <w:rPr>
                <w:rFonts w:ascii="Tahoma" w:hAnsi="Tahoma"/>
                <w:color w:val="000000" w:themeColor="text1"/>
                <w:sz w:val="16"/>
                <w:lang w:val="en-GB"/>
              </w:rPr>
              <w:t>317</w:t>
            </w:r>
          </w:p>
        </w:tc>
        <w:tc>
          <w:tcPr>
            <w:tcW w:w="1134" w:type="dxa"/>
            <w:shd w:val="clear" w:color="auto" w:fill="auto"/>
            <w:tcMar>
              <w:top w:w="57" w:type="dxa"/>
              <w:left w:w="0" w:type="dxa"/>
              <w:bottom w:w="57" w:type="dxa"/>
              <w:right w:w="0" w:type="dxa"/>
            </w:tcMar>
            <w:vAlign w:val="bottom"/>
          </w:tcPr>
          <w:p w14:paraId="4EBDB2F2" w14:textId="77777777" w:rsidR="003D1051" w:rsidRPr="003D1051" w:rsidRDefault="003D1051" w:rsidP="001A46E0">
            <w:pPr>
              <w:spacing w:line="240" w:lineRule="atLeast"/>
              <w:jc w:val="right"/>
              <w:rPr>
                <w:rFonts w:ascii="Tahoma" w:hAnsi="Tahoma"/>
                <w:color w:val="000000" w:themeColor="text1"/>
                <w:sz w:val="16"/>
                <w:lang w:val="en-GB"/>
              </w:rPr>
            </w:pPr>
            <w:r w:rsidRPr="003D1051">
              <w:rPr>
                <w:rFonts w:ascii="Tahoma" w:hAnsi="Tahoma"/>
                <w:color w:val="000000" w:themeColor="text1"/>
                <w:sz w:val="16"/>
                <w:lang w:val="en-GB"/>
              </w:rPr>
              <w:t>702</w:t>
            </w:r>
          </w:p>
        </w:tc>
      </w:tr>
      <w:tr w:rsidR="00615190" w:rsidRPr="003D1051" w14:paraId="4FB85FD2" w14:textId="77777777" w:rsidTr="0067338B">
        <w:trPr>
          <w:trHeight w:val="60"/>
        </w:trPr>
        <w:tc>
          <w:tcPr>
            <w:tcW w:w="397" w:type="dxa"/>
            <w:shd w:val="clear" w:color="auto" w:fill="auto"/>
            <w:tcMar>
              <w:top w:w="57" w:type="dxa"/>
              <w:left w:w="0" w:type="dxa"/>
              <w:bottom w:w="57" w:type="dxa"/>
              <w:right w:w="0" w:type="dxa"/>
            </w:tcMar>
            <w:vAlign w:val="bottom"/>
          </w:tcPr>
          <w:p w14:paraId="738A6A34" w14:textId="77777777" w:rsidR="003D1051" w:rsidRPr="003D1051" w:rsidRDefault="003D1051" w:rsidP="00615190">
            <w:pPr>
              <w:spacing w:line="240" w:lineRule="atLeast"/>
              <w:rPr>
                <w:rFonts w:ascii="Tahoma" w:hAnsi="Tahoma"/>
                <w:color w:val="000000" w:themeColor="text1"/>
                <w:sz w:val="16"/>
                <w:lang w:val="en-GB"/>
              </w:rPr>
            </w:pPr>
          </w:p>
        </w:tc>
        <w:tc>
          <w:tcPr>
            <w:tcW w:w="4423" w:type="dxa"/>
            <w:shd w:val="clear" w:color="auto" w:fill="auto"/>
            <w:tcMar>
              <w:top w:w="57" w:type="dxa"/>
              <w:left w:w="0" w:type="dxa"/>
              <w:bottom w:w="57" w:type="dxa"/>
              <w:right w:w="113" w:type="dxa"/>
            </w:tcMar>
            <w:vAlign w:val="bottom"/>
          </w:tcPr>
          <w:p w14:paraId="2019539D" w14:textId="77777777" w:rsidR="003D1051" w:rsidRPr="003D1051" w:rsidRDefault="003D1051" w:rsidP="00615190">
            <w:pPr>
              <w:spacing w:line="240" w:lineRule="atLeast"/>
              <w:rPr>
                <w:rFonts w:ascii="Tahoma" w:hAnsi="Tahoma"/>
                <w:color w:val="000000" w:themeColor="text1"/>
                <w:sz w:val="16"/>
                <w:lang w:val="en-GB"/>
              </w:rPr>
            </w:pPr>
            <w:r w:rsidRPr="003D1051">
              <w:rPr>
                <w:rFonts w:ascii="Tahoma" w:hAnsi="Tahoma"/>
                <w:color w:val="000000" w:themeColor="text1"/>
                <w:sz w:val="16"/>
                <w:lang w:val="en-GB"/>
              </w:rPr>
              <w:t>Mobile and other content revenue</w:t>
            </w:r>
          </w:p>
        </w:tc>
        <w:tc>
          <w:tcPr>
            <w:tcW w:w="2126" w:type="dxa"/>
            <w:shd w:val="clear" w:color="auto" w:fill="auto"/>
            <w:tcMar>
              <w:top w:w="57" w:type="dxa"/>
              <w:left w:w="113" w:type="dxa"/>
              <w:bottom w:w="57" w:type="dxa"/>
              <w:right w:w="113" w:type="dxa"/>
            </w:tcMar>
            <w:vAlign w:val="bottom"/>
          </w:tcPr>
          <w:p w14:paraId="06A9784B" w14:textId="77777777" w:rsidR="003D1051" w:rsidRPr="003D1051" w:rsidRDefault="003D1051" w:rsidP="00615190">
            <w:pPr>
              <w:spacing w:line="240" w:lineRule="atLeast"/>
              <w:rPr>
                <w:rFonts w:ascii="Tahoma" w:hAnsi="Tahoma"/>
                <w:color w:val="000000" w:themeColor="text1"/>
                <w:sz w:val="16"/>
                <w:lang w:val="en-GB"/>
              </w:rPr>
            </w:pPr>
            <w:r w:rsidRPr="003D1051">
              <w:rPr>
                <w:rFonts w:ascii="Tahoma" w:hAnsi="Tahoma"/>
                <w:color w:val="000000" w:themeColor="text1"/>
                <w:sz w:val="16"/>
                <w:lang w:val="en-GB"/>
              </w:rPr>
              <w:t>Other Ecommerce</w:t>
            </w:r>
          </w:p>
        </w:tc>
        <w:tc>
          <w:tcPr>
            <w:tcW w:w="992" w:type="dxa"/>
            <w:shd w:val="clear" w:color="auto" w:fill="auto"/>
            <w:tcMar>
              <w:top w:w="57" w:type="dxa"/>
              <w:left w:w="0" w:type="dxa"/>
              <w:bottom w:w="57" w:type="dxa"/>
              <w:right w:w="0" w:type="dxa"/>
            </w:tcMar>
            <w:vAlign w:val="bottom"/>
          </w:tcPr>
          <w:p w14:paraId="2E7888F3" w14:textId="77777777" w:rsidR="003D1051" w:rsidRPr="003D1051" w:rsidRDefault="003D1051" w:rsidP="001A46E0">
            <w:pPr>
              <w:spacing w:line="240" w:lineRule="atLeast"/>
              <w:jc w:val="right"/>
              <w:rPr>
                <w:rFonts w:ascii="Tahoma" w:hAnsi="Tahoma"/>
                <w:b/>
                <w:bCs/>
                <w:color w:val="000000" w:themeColor="text1"/>
                <w:sz w:val="16"/>
                <w:lang w:val="en-GB"/>
              </w:rPr>
            </w:pPr>
            <w:r w:rsidRPr="003D1051">
              <w:rPr>
                <w:rFonts w:ascii="Tahoma" w:hAnsi="Tahoma"/>
                <w:b/>
                <w:bCs/>
                <w:color w:val="000000" w:themeColor="text1"/>
                <w:sz w:val="16"/>
                <w:lang w:val="en-GB"/>
              </w:rPr>
              <w:t>26</w:t>
            </w:r>
          </w:p>
        </w:tc>
        <w:tc>
          <w:tcPr>
            <w:tcW w:w="1134" w:type="dxa"/>
            <w:shd w:val="clear" w:color="auto" w:fill="auto"/>
            <w:tcMar>
              <w:top w:w="57" w:type="dxa"/>
              <w:left w:w="0" w:type="dxa"/>
              <w:bottom w:w="57" w:type="dxa"/>
              <w:right w:w="0" w:type="dxa"/>
            </w:tcMar>
            <w:vAlign w:val="bottom"/>
          </w:tcPr>
          <w:p w14:paraId="612A927D" w14:textId="77777777" w:rsidR="003D1051" w:rsidRPr="003D1051" w:rsidRDefault="003D1051" w:rsidP="001A46E0">
            <w:pPr>
              <w:spacing w:line="240" w:lineRule="atLeast"/>
              <w:jc w:val="right"/>
              <w:rPr>
                <w:rFonts w:ascii="Tahoma" w:hAnsi="Tahoma"/>
                <w:color w:val="000000" w:themeColor="text1"/>
                <w:sz w:val="16"/>
                <w:lang w:val="en-GB"/>
              </w:rPr>
            </w:pPr>
            <w:r w:rsidRPr="003D1051">
              <w:rPr>
                <w:rFonts w:ascii="Tahoma" w:hAnsi="Tahoma"/>
                <w:color w:val="000000" w:themeColor="text1"/>
                <w:sz w:val="16"/>
                <w:lang w:val="en-GB"/>
              </w:rPr>
              <w:t>29</w:t>
            </w:r>
          </w:p>
        </w:tc>
        <w:tc>
          <w:tcPr>
            <w:tcW w:w="1134" w:type="dxa"/>
            <w:shd w:val="clear" w:color="auto" w:fill="auto"/>
            <w:tcMar>
              <w:top w:w="57" w:type="dxa"/>
              <w:left w:w="0" w:type="dxa"/>
              <w:bottom w:w="57" w:type="dxa"/>
              <w:right w:w="0" w:type="dxa"/>
            </w:tcMar>
            <w:vAlign w:val="bottom"/>
          </w:tcPr>
          <w:p w14:paraId="3942B8CD" w14:textId="77777777" w:rsidR="003D1051" w:rsidRPr="003D1051" w:rsidRDefault="003D1051" w:rsidP="001A46E0">
            <w:pPr>
              <w:spacing w:line="240" w:lineRule="atLeast"/>
              <w:jc w:val="right"/>
              <w:rPr>
                <w:rFonts w:ascii="Tahoma" w:hAnsi="Tahoma"/>
                <w:color w:val="000000" w:themeColor="text1"/>
                <w:sz w:val="16"/>
                <w:lang w:val="en-GB"/>
              </w:rPr>
            </w:pPr>
            <w:r w:rsidRPr="003D1051">
              <w:rPr>
                <w:rFonts w:ascii="Tahoma" w:hAnsi="Tahoma"/>
                <w:color w:val="000000" w:themeColor="text1"/>
                <w:sz w:val="16"/>
                <w:lang w:val="en-GB"/>
              </w:rPr>
              <w:t>65</w:t>
            </w:r>
          </w:p>
        </w:tc>
      </w:tr>
      <w:tr w:rsidR="00615190" w:rsidRPr="003D1051" w14:paraId="3EEDDC1B" w14:textId="77777777" w:rsidTr="0067338B">
        <w:trPr>
          <w:trHeight w:val="60"/>
        </w:trPr>
        <w:tc>
          <w:tcPr>
            <w:tcW w:w="397" w:type="dxa"/>
            <w:shd w:val="clear" w:color="auto" w:fill="auto"/>
            <w:tcMar>
              <w:top w:w="57" w:type="dxa"/>
              <w:left w:w="0" w:type="dxa"/>
              <w:bottom w:w="57" w:type="dxa"/>
              <w:right w:w="0" w:type="dxa"/>
            </w:tcMar>
            <w:vAlign w:val="bottom"/>
          </w:tcPr>
          <w:p w14:paraId="6F40E2D6" w14:textId="77777777" w:rsidR="003D1051" w:rsidRPr="003D1051" w:rsidRDefault="003D1051" w:rsidP="00615190">
            <w:pPr>
              <w:spacing w:line="240" w:lineRule="atLeast"/>
              <w:rPr>
                <w:rFonts w:ascii="Tahoma" w:hAnsi="Tahoma"/>
                <w:color w:val="000000" w:themeColor="text1"/>
                <w:sz w:val="16"/>
                <w:lang w:val="en-GB"/>
              </w:rPr>
            </w:pPr>
          </w:p>
        </w:tc>
        <w:tc>
          <w:tcPr>
            <w:tcW w:w="4423" w:type="dxa"/>
            <w:shd w:val="clear" w:color="auto" w:fill="auto"/>
            <w:tcMar>
              <w:top w:w="57" w:type="dxa"/>
              <w:left w:w="0" w:type="dxa"/>
              <w:bottom w:w="57" w:type="dxa"/>
              <w:right w:w="113" w:type="dxa"/>
            </w:tcMar>
            <w:vAlign w:val="bottom"/>
          </w:tcPr>
          <w:p w14:paraId="274B2CFF" w14:textId="77777777" w:rsidR="003D1051" w:rsidRPr="003D1051" w:rsidRDefault="003D1051" w:rsidP="00615190">
            <w:pPr>
              <w:spacing w:line="240" w:lineRule="atLeast"/>
              <w:rPr>
                <w:rFonts w:ascii="Tahoma" w:hAnsi="Tahoma"/>
                <w:color w:val="000000" w:themeColor="text1"/>
                <w:sz w:val="16"/>
                <w:lang w:val="en-GB"/>
              </w:rPr>
            </w:pPr>
            <w:r w:rsidRPr="003D1051">
              <w:rPr>
                <w:rFonts w:ascii="Tahoma" w:hAnsi="Tahoma"/>
                <w:color w:val="000000" w:themeColor="text1"/>
                <w:sz w:val="16"/>
                <w:lang w:val="en-GB"/>
              </w:rPr>
              <w:t>Food delivery revenue</w:t>
            </w:r>
          </w:p>
        </w:tc>
        <w:tc>
          <w:tcPr>
            <w:tcW w:w="2126" w:type="dxa"/>
            <w:shd w:val="clear" w:color="auto" w:fill="auto"/>
            <w:tcMar>
              <w:top w:w="57" w:type="dxa"/>
              <w:left w:w="113" w:type="dxa"/>
              <w:bottom w:w="57" w:type="dxa"/>
              <w:right w:w="113" w:type="dxa"/>
            </w:tcMar>
            <w:vAlign w:val="bottom"/>
          </w:tcPr>
          <w:p w14:paraId="0A09F2DB" w14:textId="77777777" w:rsidR="003D1051" w:rsidRPr="003D1051" w:rsidRDefault="003D1051" w:rsidP="00615190">
            <w:pPr>
              <w:spacing w:line="240" w:lineRule="atLeast"/>
              <w:rPr>
                <w:rFonts w:ascii="Tahoma" w:hAnsi="Tahoma"/>
                <w:color w:val="000000" w:themeColor="text1"/>
                <w:sz w:val="16"/>
                <w:lang w:val="en-GB"/>
              </w:rPr>
            </w:pPr>
            <w:r w:rsidRPr="003D1051">
              <w:rPr>
                <w:rFonts w:ascii="Tahoma" w:hAnsi="Tahoma"/>
                <w:color w:val="000000" w:themeColor="text1"/>
                <w:sz w:val="16"/>
                <w:lang w:val="en-GB"/>
              </w:rPr>
              <w:t>Food Delivery</w:t>
            </w:r>
          </w:p>
        </w:tc>
        <w:tc>
          <w:tcPr>
            <w:tcW w:w="992" w:type="dxa"/>
            <w:shd w:val="clear" w:color="auto" w:fill="auto"/>
            <w:tcMar>
              <w:top w:w="57" w:type="dxa"/>
              <w:left w:w="0" w:type="dxa"/>
              <w:bottom w:w="57" w:type="dxa"/>
              <w:right w:w="0" w:type="dxa"/>
            </w:tcMar>
            <w:vAlign w:val="bottom"/>
          </w:tcPr>
          <w:p w14:paraId="3AB66239" w14:textId="77777777" w:rsidR="003D1051" w:rsidRPr="003D1051" w:rsidRDefault="003D1051" w:rsidP="001A46E0">
            <w:pPr>
              <w:spacing w:line="240" w:lineRule="atLeast"/>
              <w:jc w:val="right"/>
              <w:rPr>
                <w:rFonts w:ascii="Tahoma" w:hAnsi="Tahoma"/>
                <w:b/>
                <w:bCs/>
                <w:color w:val="000000" w:themeColor="text1"/>
                <w:sz w:val="16"/>
                <w:lang w:val="en-GB"/>
              </w:rPr>
            </w:pPr>
            <w:r w:rsidRPr="003D1051">
              <w:rPr>
                <w:rFonts w:ascii="Tahoma" w:hAnsi="Tahoma"/>
                <w:b/>
                <w:bCs/>
                <w:color w:val="000000" w:themeColor="text1"/>
                <w:sz w:val="16"/>
                <w:lang w:val="en-GB"/>
              </w:rPr>
              <w:t>661</w:t>
            </w:r>
          </w:p>
        </w:tc>
        <w:tc>
          <w:tcPr>
            <w:tcW w:w="1134" w:type="dxa"/>
            <w:shd w:val="clear" w:color="auto" w:fill="auto"/>
            <w:tcMar>
              <w:top w:w="57" w:type="dxa"/>
              <w:left w:w="0" w:type="dxa"/>
              <w:bottom w:w="57" w:type="dxa"/>
              <w:right w:w="0" w:type="dxa"/>
            </w:tcMar>
            <w:vAlign w:val="bottom"/>
          </w:tcPr>
          <w:p w14:paraId="01E2F40F" w14:textId="77777777" w:rsidR="003D1051" w:rsidRPr="003D1051" w:rsidRDefault="003D1051" w:rsidP="001A46E0">
            <w:pPr>
              <w:spacing w:line="240" w:lineRule="atLeast"/>
              <w:jc w:val="right"/>
              <w:rPr>
                <w:rFonts w:ascii="Tahoma" w:hAnsi="Tahoma"/>
                <w:color w:val="000000" w:themeColor="text1"/>
                <w:sz w:val="16"/>
                <w:lang w:val="en-GB"/>
              </w:rPr>
            </w:pPr>
            <w:r w:rsidRPr="003D1051">
              <w:rPr>
                <w:rFonts w:ascii="Tahoma" w:hAnsi="Tahoma"/>
                <w:color w:val="000000" w:themeColor="text1"/>
                <w:sz w:val="16"/>
                <w:lang w:val="en-GB"/>
              </w:rPr>
              <w:t>461</w:t>
            </w:r>
          </w:p>
        </w:tc>
        <w:tc>
          <w:tcPr>
            <w:tcW w:w="1134" w:type="dxa"/>
            <w:shd w:val="clear" w:color="auto" w:fill="auto"/>
            <w:tcMar>
              <w:top w:w="57" w:type="dxa"/>
              <w:left w:w="0" w:type="dxa"/>
              <w:bottom w:w="57" w:type="dxa"/>
              <w:right w:w="0" w:type="dxa"/>
            </w:tcMar>
            <w:vAlign w:val="bottom"/>
          </w:tcPr>
          <w:p w14:paraId="7AB9A4A2" w14:textId="77777777" w:rsidR="003D1051" w:rsidRPr="003D1051" w:rsidRDefault="003D1051" w:rsidP="001A46E0">
            <w:pPr>
              <w:spacing w:line="240" w:lineRule="atLeast"/>
              <w:jc w:val="right"/>
              <w:rPr>
                <w:rFonts w:ascii="Tahoma" w:hAnsi="Tahoma"/>
                <w:color w:val="000000" w:themeColor="text1"/>
                <w:sz w:val="16"/>
                <w:lang w:val="en-GB"/>
              </w:rPr>
            </w:pPr>
            <w:r w:rsidRPr="003D1051">
              <w:rPr>
                <w:rFonts w:ascii="Tahoma" w:hAnsi="Tahoma"/>
                <w:color w:val="000000" w:themeColor="text1"/>
                <w:sz w:val="16"/>
                <w:lang w:val="en-GB"/>
              </w:rPr>
              <w:t>986</w:t>
            </w:r>
          </w:p>
        </w:tc>
      </w:tr>
      <w:tr w:rsidR="00615190" w:rsidRPr="003D1051" w14:paraId="63CA5BE5" w14:textId="77777777" w:rsidTr="0067338B">
        <w:trPr>
          <w:trHeight w:val="60"/>
        </w:trPr>
        <w:tc>
          <w:tcPr>
            <w:tcW w:w="397" w:type="dxa"/>
            <w:shd w:val="clear" w:color="auto" w:fill="auto"/>
            <w:tcMar>
              <w:top w:w="57" w:type="dxa"/>
              <w:left w:w="0" w:type="dxa"/>
              <w:bottom w:w="57" w:type="dxa"/>
              <w:right w:w="0" w:type="dxa"/>
            </w:tcMar>
            <w:vAlign w:val="bottom"/>
          </w:tcPr>
          <w:p w14:paraId="4621CEF3" w14:textId="77777777" w:rsidR="003D1051" w:rsidRPr="003D1051" w:rsidRDefault="003D1051" w:rsidP="00615190">
            <w:pPr>
              <w:spacing w:line="240" w:lineRule="atLeast"/>
              <w:rPr>
                <w:rFonts w:ascii="Tahoma" w:hAnsi="Tahoma"/>
                <w:color w:val="000000" w:themeColor="text1"/>
                <w:sz w:val="16"/>
                <w:lang w:val="en-GB"/>
              </w:rPr>
            </w:pPr>
          </w:p>
        </w:tc>
        <w:tc>
          <w:tcPr>
            <w:tcW w:w="4423" w:type="dxa"/>
            <w:shd w:val="clear" w:color="auto" w:fill="auto"/>
            <w:tcMar>
              <w:top w:w="57" w:type="dxa"/>
              <w:left w:w="0" w:type="dxa"/>
              <w:bottom w:w="57" w:type="dxa"/>
              <w:right w:w="113" w:type="dxa"/>
            </w:tcMar>
            <w:vAlign w:val="bottom"/>
          </w:tcPr>
          <w:p w14:paraId="1A0D23A3" w14:textId="77777777" w:rsidR="003D1051" w:rsidRPr="003D1051" w:rsidRDefault="003D1051" w:rsidP="00615190">
            <w:pPr>
              <w:spacing w:line="240" w:lineRule="atLeast"/>
              <w:rPr>
                <w:rFonts w:ascii="Tahoma" w:hAnsi="Tahoma"/>
                <w:color w:val="000000" w:themeColor="text1"/>
                <w:sz w:val="16"/>
                <w:lang w:val="en-GB"/>
              </w:rPr>
            </w:pPr>
            <w:r w:rsidRPr="003D1051">
              <w:rPr>
                <w:rFonts w:ascii="Tahoma" w:hAnsi="Tahoma"/>
                <w:color w:val="000000" w:themeColor="text1"/>
                <w:sz w:val="16"/>
                <w:lang w:val="en-GB"/>
              </w:rPr>
              <w:t>Advertising revenue</w:t>
            </w:r>
          </w:p>
        </w:tc>
        <w:tc>
          <w:tcPr>
            <w:tcW w:w="2126" w:type="dxa"/>
            <w:shd w:val="clear" w:color="auto" w:fill="auto"/>
            <w:tcMar>
              <w:top w:w="57" w:type="dxa"/>
              <w:left w:w="113" w:type="dxa"/>
              <w:bottom w:w="57" w:type="dxa"/>
              <w:right w:w="113" w:type="dxa"/>
            </w:tcMar>
            <w:vAlign w:val="bottom"/>
          </w:tcPr>
          <w:p w14:paraId="051CD226" w14:textId="77777777" w:rsidR="003D1051" w:rsidRPr="003D1051" w:rsidRDefault="003D1051" w:rsidP="00615190">
            <w:pPr>
              <w:spacing w:line="240" w:lineRule="atLeast"/>
              <w:rPr>
                <w:rFonts w:ascii="Tahoma" w:hAnsi="Tahoma"/>
                <w:color w:val="000000" w:themeColor="text1"/>
                <w:sz w:val="16"/>
                <w:lang w:val="en-GB"/>
              </w:rPr>
            </w:pPr>
            <w:r w:rsidRPr="003D1051">
              <w:rPr>
                <w:rFonts w:ascii="Tahoma" w:hAnsi="Tahoma"/>
                <w:color w:val="000000" w:themeColor="text1"/>
                <w:sz w:val="16"/>
                <w:lang w:val="en-GB"/>
              </w:rPr>
              <w:t>Various</w:t>
            </w:r>
          </w:p>
        </w:tc>
        <w:tc>
          <w:tcPr>
            <w:tcW w:w="992" w:type="dxa"/>
            <w:shd w:val="clear" w:color="auto" w:fill="auto"/>
            <w:tcMar>
              <w:top w:w="57" w:type="dxa"/>
              <w:left w:w="0" w:type="dxa"/>
              <w:bottom w:w="57" w:type="dxa"/>
              <w:right w:w="0" w:type="dxa"/>
            </w:tcMar>
            <w:vAlign w:val="bottom"/>
          </w:tcPr>
          <w:p w14:paraId="3DB6BC8B" w14:textId="77777777" w:rsidR="003D1051" w:rsidRPr="003D1051" w:rsidRDefault="003D1051" w:rsidP="001A46E0">
            <w:pPr>
              <w:spacing w:line="240" w:lineRule="atLeast"/>
              <w:jc w:val="right"/>
              <w:rPr>
                <w:rFonts w:ascii="Tahoma" w:hAnsi="Tahoma"/>
                <w:b/>
                <w:bCs/>
                <w:color w:val="000000" w:themeColor="text1"/>
                <w:sz w:val="16"/>
                <w:lang w:val="en-GB"/>
              </w:rPr>
            </w:pPr>
            <w:r w:rsidRPr="003D1051">
              <w:rPr>
                <w:rFonts w:ascii="Tahoma" w:hAnsi="Tahoma"/>
                <w:b/>
                <w:bCs/>
                <w:color w:val="000000" w:themeColor="text1"/>
                <w:sz w:val="16"/>
                <w:lang w:val="en-GB"/>
              </w:rPr>
              <w:t>18</w:t>
            </w:r>
          </w:p>
        </w:tc>
        <w:tc>
          <w:tcPr>
            <w:tcW w:w="1134" w:type="dxa"/>
            <w:shd w:val="clear" w:color="auto" w:fill="auto"/>
            <w:tcMar>
              <w:top w:w="57" w:type="dxa"/>
              <w:left w:w="0" w:type="dxa"/>
              <w:bottom w:w="57" w:type="dxa"/>
              <w:right w:w="0" w:type="dxa"/>
            </w:tcMar>
            <w:vAlign w:val="bottom"/>
          </w:tcPr>
          <w:p w14:paraId="266BF7F0" w14:textId="77777777" w:rsidR="003D1051" w:rsidRPr="003D1051" w:rsidRDefault="003D1051" w:rsidP="001A46E0">
            <w:pPr>
              <w:spacing w:line="240" w:lineRule="atLeast"/>
              <w:jc w:val="right"/>
              <w:rPr>
                <w:rFonts w:ascii="Tahoma" w:hAnsi="Tahoma"/>
                <w:color w:val="000000" w:themeColor="text1"/>
                <w:sz w:val="16"/>
                <w:lang w:val="en-GB"/>
              </w:rPr>
            </w:pPr>
            <w:r w:rsidRPr="003D1051">
              <w:rPr>
                <w:rFonts w:ascii="Tahoma" w:hAnsi="Tahoma"/>
                <w:color w:val="000000" w:themeColor="text1"/>
                <w:sz w:val="16"/>
                <w:lang w:val="en-GB"/>
              </w:rPr>
              <w:t>23</w:t>
            </w:r>
          </w:p>
        </w:tc>
        <w:tc>
          <w:tcPr>
            <w:tcW w:w="1134" w:type="dxa"/>
            <w:shd w:val="clear" w:color="auto" w:fill="auto"/>
            <w:tcMar>
              <w:top w:w="57" w:type="dxa"/>
              <w:left w:w="0" w:type="dxa"/>
              <w:bottom w:w="57" w:type="dxa"/>
              <w:right w:w="0" w:type="dxa"/>
            </w:tcMar>
            <w:vAlign w:val="bottom"/>
          </w:tcPr>
          <w:p w14:paraId="17138B0E" w14:textId="77777777" w:rsidR="003D1051" w:rsidRPr="003D1051" w:rsidRDefault="003D1051" w:rsidP="001A46E0">
            <w:pPr>
              <w:spacing w:line="240" w:lineRule="atLeast"/>
              <w:jc w:val="right"/>
              <w:rPr>
                <w:rFonts w:ascii="Tahoma" w:hAnsi="Tahoma"/>
                <w:color w:val="000000" w:themeColor="text1"/>
                <w:sz w:val="16"/>
                <w:lang w:val="en-GB"/>
              </w:rPr>
            </w:pPr>
            <w:r w:rsidRPr="003D1051">
              <w:rPr>
                <w:rFonts w:ascii="Tahoma" w:hAnsi="Tahoma"/>
                <w:color w:val="000000" w:themeColor="text1"/>
                <w:sz w:val="16"/>
                <w:lang w:val="en-GB"/>
              </w:rPr>
              <w:t>48</w:t>
            </w:r>
          </w:p>
        </w:tc>
      </w:tr>
      <w:tr w:rsidR="00615190" w:rsidRPr="003D1051" w14:paraId="3A331175" w14:textId="77777777" w:rsidTr="00F948A4">
        <w:trPr>
          <w:trHeight w:val="60"/>
        </w:trPr>
        <w:tc>
          <w:tcPr>
            <w:tcW w:w="397" w:type="dxa"/>
            <w:shd w:val="clear" w:color="auto" w:fill="auto"/>
            <w:tcMar>
              <w:top w:w="57" w:type="dxa"/>
              <w:left w:w="0" w:type="dxa"/>
              <w:bottom w:w="57" w:type="dxa"/>
              <w:right w:w="0" w:type="dxa"/>
            </w:tcMar>
            <w:vAlign w:val="bottom"/>
          </w:tcPr>
          <w:p w14:paraId="653448CA" w14:textId="77777777" w:rsidR="003D1051" w:rsidRPr="003D1051" w:rsidRDefault="003D1051" w:rsidP="00615190">
            <w:pPr>
              <w:spacing w:line="240" w:lineRule="atLeast"/>
              <w:rPr>
                <w:rFonts w:ascii="Tahoma" w:hAnsi="Tahoma"/>
                <w:color w:val="000000" w:themeColor="text1"/>
                <w:sz w:val="16"/>
                <w:lang w:val="en-GB"/>
              </w:rPr>
            </w:pPr>
          </w:p>
        </w:tc>
        <w:tc>
          <w:tcPr>
            <w:tcW w:w="4423" w:type="dxa"/>
            <w:shd w:val="clear" w:color="auto" w:fill="auto"/>
            <w:tcMar>
              <w:top w:w="57" w:type="dxa"/>
              <w:left w:w="0" w:type="dxa"/>
              <w:bottom w:w="57" w:type="dxa"/>
              <w:right w:w="113" w:type="dxa"/>
            </w:tcMar>
            <w:vAlign w:val="bottom"/>
          </w:tcPr>
          <w:p w14:paraId="21D95D1A" w14:textId="77777777" w:rsidR="003D1051" w:rsidRPr="003D1051" w:rsidRDefault="003D1051" w:rsidP="00615190">
            <w:pPr>
              <w:spacing w:line="240" w:lineRule="atLeast"/>
              <w:rPr>
                <w:rFonts w:ascii="Tahoma" w:hAnsi="Tahoma"/>
                <w:color w:val="000000" w:themeColor="text1"/>
                <w:sz w:val="16"/>
                <w:lang w:val="en-GB"/>
              </w:rPr>
            </w:pPr>
            <w:r w:rsidRPr="003D1051">
              <w:rPr>
                <w:rFonts w:ascii="Tahoma" w:hAnsi="Tahoma"/>
                <w:color w:val="000000" w:themeColor="text1"/>
                <w:sz w:val="16"/>
                <w:lang w:val="en-GB"/>
              </w:rPr>
              <w:t>Educational technology revenue</w:t>
            </w:r>
          </w:p>
        </w:tc>
        <w:tc>
          <w:tcPr>
            <w:tcW w:w="2126" w:type="dxa"/>
            <w:shd w:val="clear" w:color="auto" w:fill="auto"/>
            <w:tcMar>
              <w:top w:w="57" w:type="dxa"/>
              <w:left w:w="113" w:type="dxa"/>
              <w:bottom w:w="57" w:type="dxa"/>
              <w:right w:w="113" w:type="dxa"/>
            </w:tcMar>
            <w:vAlign w:val="bottom"/>
          </w:tcPr>
          <w:p w14:paraId="2AD5819E" w14:textId="77777777" w:rsidR="003D1051" w:rsidRPr="003D1051" w:rsidRDefault="003D1051" w:rsidP="00615190">
            <w:pPr>
              <w:spacing w:line="240" w:lineRule="atLeast"/>
              <w:rPr>
                <w:rFonts w:ascii="Tahoma" w:hAnsi="Tahoma"/>
                <w:color w:val="000000" w:themeColor="text1"/>
                <w:sz w:val="16"/>
                <w:lang w:val="en-GB"/>
              </w:rPr>
            </w:pPr>
            <w:r w:rsidRPr="003D1051">
              <w:rPr>
                <w:rFonts w:ascii="Tahoma" w:hAnsi="Tahoma"/>
                <w:color w:val="000000" w:themeColor="text1"/>
                <w:sz w:val="16"/>
                <w:lang w:val="en-GB"/>
              </w:rPr>
              <w:t>Edtech</w:t>
            </w:r>
          </w:p>
        </w:tc>
        <w:tc>
          <w:tcPr>
            <w:tcW w:w="992" w:type="dxa"/>
            <w:shd w:val="clear" w:color="auto" w:fill="auto"/>
            <w:tcMar>
              <w:top w:w="57" w:type="dxa"/>
              <w:left w:w="0" w:type="dxa"/>
              <w:bottom w:w="57" w:type="dxa"/>
              <w:right w:w="0" w:type="dxa"/>
            </w:tcMar>
            <w:vAlign w:val="bottom"/>
          </w:tcPr>
          <w:p w14:paraId="5BDA55B3" w14:textId="77777777" w:rsidR="003D1051" w:rsidRPr="003D1051" w:rsidRDefault="003D1051" w:rsidP="001A46E0">
            <w:pPr>
              <w:spacing w:line="240" w:lineRule="atLeast"/>
              <w:jc w:val="right"/>
              <w:rPr>
                <w:rFonts w:ascii="Tahoma" w:hAnsi="Tahoma"/>
                <w:b/>
                <w:bCs/>
                <w:color w:val="000000" w:themeColor="text1"/>
                <w:sz w:val="16"/>
                <w:lang w:val="en-GB"/>
              </w:rPr>
            </w:pPr>
            <w:r w:rsidRPr="003D1051">
              <w:rPr>
                <w:rFonts w:ascii="Tahoma" w:hAnsi="Tahoma"/>
                <w:b/>
                <w:bCs/>
                <w:color w:val="000000" w:themeColor="text1"/>
                <w:sz w:val="16"/>
                <w:lang w:val="en-GB"/>
              </w:rPr>
              <w:t>63</w:t>
            </w:r>
          </w:p>
        </w:tc>
        <w:tc>
          <w:tcPr>
            <w:tcW w:w="1134" w:type="dxa"/>
            <w:shd w:val="clear" w:color="auto" w:fill="auto"/>
            <w:tcMar>
              <w:top w:w="57" w:type="dxa"/>
              <w:left w:w="0" w:type="dxa"/>
              <w:bottom w:w="57" w:type="dxa"/>
              <w:right w:w="0" w:type="dxa"/>
            </w:tcMar>
            <w:vAlign w:val="bottom"/>
          </w:tcPr>
          <w:p w14:paraId="6216A2EB" w14:textId="77777777" w:rsidR="003D1051" w:rsidRPr="003D1051" w:rsidRDefault="003D1051" w:rsidP="001A46E0">
            <w:pPr>
              <w:spacing w:line="240" w:lineRule="atLeast"/>
              <w:jc w:val="right"/>
              <w:rPr>
                <w:rFonts w:ascii="Tahoma" w:hAnsi="Tahoma"/>
                <w:color w:val="000000" w:themeColor="text1"/>
                <w:sz w:val="16"/>
                <w:lang w:val="en-GB"/>
              </w:rPr>
            </w:pPr>
            <w:r w:rsidRPr="003D1051">
              <w:rPr>
                <w:rFonts w:ascii="Tahoma" w:hAnsi="Tahoma"/>
                <w:color w:val="000000" w:themeColor="text1"/>
                <w:sz w:val="16"/>
                <w:lang w:val="en-GB"/>
              </w:rPr>
              <w:t>23</w:t>
            </w:r>
          </w:p>
        </w:tc>
        <w:tc>
          <w:tcPr>
            <w:tcW w:w="1134" w:type="dxa"/>
            <w:shd w:val="clear" w:color="auto" w:fill="auto"/>
            <w:tcMar>
              <w:top w:w="57" w:type="dxa"/>
              <w:left w:w="0" w:type="dxa"/>
              <w:bottom w:w="57" w:type="dxa"/>
              <w:right w:w="0" w:type="dxa"/>
            </w:tcMar>
            <w:vAlign w:val="bottom"/>
          </w:tcPr>
          <w:p w14:paraId="19750AFB" w14:textId="77777777" w:rsidR="003D1051" w:rsidRPr="003D1051" w:rsidRDefault="003D1051" w:rsidP="001A46E0">
            <w:pPr>
              <w:spacing w:line="240" w:lineRule="atLeast"/>
              <w:jc w:val="right"/>
              <w:rPr>
                <w:rFonts w:ascii="Tahoma" w:hAnsi="Tahoma"/>
                <w:color w:val="000000" w:themeColor="text1"/>
                <w:sz w:val="16"/>
                <w:lang w:val="en-GB"/>
              </w:rPr>
            </w:pPr>
            <w:r w:rsidRPr="003D1051">
              <w:rPr>
                <w:rFonts w:ascii="Tahoma" w:hAnsi="Tahoma"/>
                <w:color w:val="000000" w:themeColor="text1"/>
                <w:sz w:val="16"/>
                <w:lang w:val="en-GB"/>
              </w:rPr>
              <w:t>83</w:t>
            </w:r>
          </w:p>
        </w:tc>
      </w:tr>
      <w:tr w:rsidR="00615190" w:rsidRPr="003D1051" w14:paraId="1D37AF73" w14:textId="77777777" w:rsidTr="00C54521">
        <w:trPr>
          <w:trHeight w:val="60"/>
        </w:trPr>
        <w:tc>
          <w:tcPr>
            <w:tcW w:w="397" w:type="dxa"/>
            <w:shd w:val="clear" w:color="auto" w:fill="auto"/>
            <w:tcMar>
              <w:top w:w="57" w:type="dxa"/>
              <w:left w:w="0" w:type="dxa"/>
              <w:bottom w:w="85" w:type="dxa"/>
              <w:right w:w="0" w:type="dxa"/>
            </w:tcMar>
            <w:vAlign w:val="bottom"/>
          </w:tcPr>
          <w:p w14:paraId="543179EA" w14:textId="77777777" w:rsidR="003D1051" w:rsidRPr="003D1051" w:rsidRDefault="003D1051" w:rsidP="00615190">
            <w:pPr>
              <w:spacing w:line="240" w:lineRule="atLeast"/>
              <w:rPr>
                <w:rFonts w:ascii="Tahoma" w:hAnsi="Tahoma"/>
                <w:color w:val="000000" w:themeColor="text1"/>
                <w:sz w:val="16"/>
                <w:lang w:val="en-GB"/>
              </w:rPr>
            </w:pPr>
          </w:p>
        </w:tc>
        <w:tc>
          <w:tcPr>
            <w:tcW w:w="4423" w:type="dxa"/>
            <w:tcBorders>
              <w:bottom w:val="single" w:sz="4" w:space="0" w:color="auto"/>
            </w:tcBorders>
            <w:shd w:val="clear" w:color="auto" w:fill="auto"/>
            <w:tcMar>
              <w:top w:w="57" w:type="dxa"/>
              <w:left w:w="0" w:type="dxa"/>
              <w:bottom w:w="85" w:type="dxa"/>
              <w:right w:w="113" w:type="dxa"/>
            </w:tcMar>
            <w:vAlign w:val="bottom"/>
          </w:tcPr>
          <w:p w14:paraId="091ED9A2" w14:textId="77777777" w:rsidR="003D1051" w:rsidRPr="003D1051" w:rsidRDefault="003D1051" w:rsidP="00615190">
            <w:pPr>
              <w:spacing w:line="240" w:lineRule="atLeast"/>
              <w:rPr>
                <w:rFonts w:ascii="Tahoma" w:hAnsi="Tahoma"/>
                <w:color w:val="000000" w:themeColor="text1"/>
                <w:sz w:val="16"/>
                <w:lang w:val="en-GB"/>
              </w:rPr>
            </w:pPr>
            <w:r w:rsidRPr="003D1051">
              <w:rPr>
                <w:rFonts w:ascii="Tahoma" w:hAnsi="Tahoma"/>
                <w:color w:val="000000" w:themeColor="text1"/>
                <w:sz w:val="16"/>
                <w:lang w:val="en-GB"/>
              </w:rPr>
              <w:t>Other revenue</w:t>
            </w:r>
          </w:p>
        </w:tc>
        <w:tc>
          <w:tcPr>
            <w:tcW w:w="2126" w:type="dxa"/>
            <w:tcBorders>
              <w:bottom w:val="single" w:sz="4" w:space="0" w:color="auto"/>
            </w:tcBorders>
            <w:shd w:val="clear" w:color="auto" w:fill="auto"/>
            <w:tcMar>
              <w:top w:w="57" w:type="dxa"/>
              <w:left w:w="113" w:type="dxa"/>
              <w:bottom w:w="85" w:type="dxa"/>
              <w:right w:w="113" w:type="dxa"/>
            </w:tcMar>
            <w:vAlign w:val="bottom"/>
          </w:tcPr>
          <w:p w14:paraId="7F8FC43C" w14:textId="77777777" w:rsidR="003D1051" w:rsidRPr="003D1051" w:rsidRDefault="003D1051" w:rsidP="00615190">
            <w:pPr>
              <w:spacing w:line="240" w:lineRule="atLeast"/>
              <w:rPr>
                <w:rFonts w:ascii="Tahoma" w:hAnsi="Tahoma"/>
                <w:color w:val="000000" w:themeColor="text1"/>
                <w:sz w:val="16"/>
                <w:lang w:val="en-GB"/>
              </w:rPr>
            </w:pPr>
            <w:r w:rsidRPr="003D1051">
              <w:rPr>
                <w:rFonts w:ascii="Tahoma" w:hAnsi="Tahoma"/>
                <w:color w:val="000000" w:themeColor="text1"/>
                <w:sz w:val="16"/>
                <w:lang w:val="en-GB"/>
              </w:rPr>
              <w:t>Various</w:t>
            </w:r>
          </w:p>
        </w:tc>
        <w:tc>
          <w:tcPr>
            <w:tcW w:w="992" w:type="dxa"/>
            <w:tcBorders>
              <w:bottom w:val="single" w:sz="4" w:space="0" w:color="auto"/>
            </w:tcBorders>
            <w:shd w:val="clear" w:color="auto" w:fill="auto"/>
            <w:tcMar>
              <w:top w:w="57" w:type="dxa"/>
              <w:left w:w="0" w:type="dxa"/>
              <w:bottom w:w="85" w:type="dxa"/>
              <w:right w:w="0" w:type="dxa"/>
            </w:tcMar>
            <w:vAlign w:val="bottom"/>
          </w:tcPr>
          <w:p w14:paraId="49682E54" w14:textId="77777777" w:rsidR="003D1051" w:rsidRPr="003D1051" w:rsidRDefault="003D1051" w:rsidP="001A46E0">
            <w:pPr>
              <w:spacing w:line="240" w:lineRule="atLeast"/>
              <w:jc w:val="right"/>
              <w:rPr>
                <w:rFonts w:ascii="Tahoma" w:hAnsi="Tahoma"/>
                <w:b/>
                <w:bCs/>
                <w:color w:val="000000" w:themeColor="text1"/>
                <w:sz w:val="16"/>
                <w:lang w:val="en-GB"/>
              </w:rPr>
            </w:pPr>
            <w:r w:rsidRPr="003D1051">
              <w:rPr>
                <w:rFonts w:ascii="Tahoma" w:hAnsi="Tahoma"/>
                <w:b/>
                <w:bCs/>
                <w:color w:val="000000" w:themeColor="text1"/>
                <w:sz w:val="16"/>
                <w:lang w:val="en-GB"/>
              </w:rPr>
              <w:t>28</w:t>
            </w:r>
          </w:p>
        </w:tc>
        <w:tc>
          <w:tcPr>
            <w:tcW w:w="1134" w:type="dxa"/>
            <w:tcBorders>
              <w:bottom w:val="single" w:sz="4" w:space="0" w:color="auto"/>
            </w:tcBorders>
            <w:shd w:val="clear" w:color="auto" w:fill="auto"/>
            <w:tcMar>
              <w:top w:w="57" w:type="dxa"/>
              <w:left w:w="0" w:type="dxa"/>
              <w:bottom w:w="85" w:type="dxa"/>
              <w:right w:w="0" w:type="dxa"/>
            </w:tcMar>
            <w:vAlign w:val="bottom"/>
          </w:tcPr>
          <w:p w14:paraId="3CC62229" w14:textId="77777777" w:rsidR="003D1051" w:rsidRPr="003D1051" w:rsidRDefault="003D1051" w:rsidP="001A46E0">
            <w:pPr>
              <w:spacing w:line="240" w:lineRule="atLeast"/>
              <w:jc w:val="right"/>
              <w:rPr>
                <w:rFonts w:ascii="Tahoma" w:hAnsi="Tahoma"/>
                <w:color w:val="000000" w:themeColor="text1"/>
                <w:sz w:val="16"/>
                <w:lang w:val="en-GB"/>
              </w:rPr>
            </w:pPr>
            <w:r w:rsidRPr="003D1051">
              <w:rPr>
                <w:rFonts w:ascii="Tahoma" w:hAnsi="Tahoma"/>
                <w:color w:val="000000" w:themeColor="text1"/>
                <w:sz w:val="16"/>
                <w:lang w:val="en-GB"/>
              </w:rPr>
              <w:t>54</w:t>
            </w:r>
          </w:p>
        </w:tc>
        <w:tc>
          <w:tcPr>
            <w:tcW w:w="1134" w:type="dxa"/>
            <w:tcBorders>
              <w:bottom w:val="single" w:sz="4" w:space="0" w:color="auto"/>
            </w:tcBorders>
            <w:shd w:val="clear" w:color="auto" w:fill="auto"/>
            <w:tcMar>
              <w:top w:w="57" w:type="dxa"/>
              <w:left w:w="0" w:type="dxa"/>
              <w:bottom w:w="85" w:type="dxa"/>
              <w:right w:w="0" w:type="dxa"/>
            </w:tcMar>
            <w:vAlign w:val="bottom"/>
          </w:tcPr>
          <w:p w14:paraId="181949FA" w14:textId="77777777" w:rsidR="003D1051" w:rsidRPr="003D1051" w:rsidRDefault="003D1051" w:rsidP="001A46E0">
            <w:pPr>
              <w:spacing w:line="240" w:lineRule="atLeast"/>
              <w:jc w:val="right"/>
              <w:rPr>
                <w:rFonts w:ascii="Tahoma" w:hAnsi="Tahoma"/>
                <w:color w:val="000000" w:themeColor="text1"/>
                <w:sz w:val="16"/>
                <w:lang w:val="en-GB"/>
              </w:rPr>
            </w:pPr>
            <w:r w:rsidRPr="003D1051">
              <w:rPr>
                <w:rFonts w:ascii="Tahoma" w:hAnsi="Tahoma"/>
                <w:color w:val="000000" w:themeColor="text1"/>
                <w:sz w:val="16"/>
                <w:lang w:val="en-GB"/>
              </w:rPr>
              <w:t>95</w:t>
            </w:r>
          </w:p>
        </w:tc>
      </w:tr>
      <w:tr w:rsidR="00615190" w:rsidRPr="003D1051" w14:paraId="39E707A3" w14:textId="77777777" w:rsidTr="00C54521">
        <w:trPr>
          <w:trHeight w:val="60"/>
        </w:trPr>
        <w:tc>
          <w:tcPr>
            <w:tcW w:w="397" w:type="dxa"/>
            <w:shd w:val="clear" w:color="auto" w:fill="auto"/>
            <w:tcMar>
              <w:top w:w="85" w:type="dxa"/>
              <w:left w:w="0" w:type="dxa"/>
              <w:bottom w:w="85" w:type="dxa"/>
              <w:right w:w="0" w:type="dxa"/>
            </w:tcMar>
            <w:vAlign w:val="bottom"/>
          </w:tcPr>
          <w:p w14:paraId="7C528805" w14:textId="77777777" w:rsidR="003D1051" w:rsidRPr="003D1051" w:rsidRDefault="003D1051" w:rsidP="00615190">
            <w:pPr>
              <w:spacing w:line="240" w:lineRule="atLeast"/>
              <w:rPr>
                <w:rFonts w:ascii="Tahoma" w:hAnsi="Tahoma"/>
                <w:color w:val="000000" w:themeColor="text1"/>
                <w:sz w:val="16"/>
                <w:lang w:val="en-GB"/>
              </w:rPr>
            </w:pPr>
          </w:p>
        </w:tc>
        <w:tc>
          <w:tcPr>
            <w:tcW w:w="4423" w:type="dxa"/>
            <w:tcBorders>
              <w:top w:val="single" w:sz="4" w:space="0" w:color="auto"/>
              <w:bottom w:val="single" w:sz="12" w:space="0" w:color="auto"/>
            </w:tcBorders>
            <w:shd w:val="clear" w:color="auto" w:fill="auto"/>
            <w:tcMar>
              <w:top w:w="85" w:type="dxa"/>
              <w:left w:w="0" w:type="dxa"/>
              <w:bottom w:w="85" w:type="dxa"/>
              <w:right w:w="113" w:type="dxa"/>
            </w:tcMar>
            <w:vAlign w:val="bottom"/>
          </w:tcPr>
          <w:p w14:paraId="05391F55" w14:textId="77777777" w:rsidR="003D1051" w:rsidRPr="003D1051" w:rsidRDefault="003D1051" w:rsidP="00615190">
            <w:pPr>
              <w:spacing w:line="240" w:lineRule="atLeast"/>
              <w:rPr>
                <w:rFonts w:ascii="Tahoma" w:hAnsi="Tahoma"/>
                <w:color w:val="000000" w:themeColor="text1"/>
                <w:sz w:val="16"/>
                <w:lang w:val="en-GB"/>
              </w:rPr>
            </w:pPr>
          </w:p>
        </w:tc>
        <w:tc>
          <w:tcPr>
            <w:tcW w:w="2126" w:type="dxa"/>
            <w:tcBorders>
              <w:top w:val="single" w:sz="4" w:space="0" w:color="auto"/>
              <w:bottom w:val="single" w:sz="12" w:space="0" w:color="auto"/>
            </w:tcBorders>
            <w:shd w:val="clear" w:color="auto" w:fill="auto"/>
            <w:tcMar>
              <w:top w:w="85" w:type="dxa"/>
              <w:left w:w="113" w:type="dxa"/>
              <w:bottom w:w="85" w:type="dxa"/>
              <w:right w:w="113" w:type="dxa"/>
            </w:tcMar>
            <w:vAlign w:val="bottom"/>
          </w:tcPr>
          <w:p w14:paraId="7B73A890" w14:textId="77777777" w:rsidR="003D1051" w:rsidRPr="003D1051" w:rsidRDefault="003D1051" w:rsidP="00615190">
            <w:pPr>
              <w:spacing w:line="240" w:lineRule="atLeast"/>
              <w:rPr>
                <w:rFonts w:ascii="Tahoma" w:hAnsi="Tahoma"/>
                <w:color w:val="000000" w:themeColor="text1"/>
                <w:sz w:val="16"/>
                <w:lang w:val="en-GB"/>
              </w:rPr>
            </w:pPr>
          </w:p>
        </w:tc>
        <w:tc>
          <w:tcPr>
            <w:tcW w:w="992"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1F168E5B" w14:textId="77777777" w:rsidR="003D1051" w:rsidRPr="003D1051" w:rsidRDefault="003D1051" w:rsidP="001A46E0">
            <w:pPr>
              <w:spacing w:line="240" w:lineRule="atLeast"/>
              <w:jc w:val="right"/>
              <w:rPr>
                <w:rFonts w:ascii="Tahoma" w:hAnsi="Tahoma"/>
                <w:b/>
                <w:bCs/>
                <w:color w:val="000000" w:themeColor="text1"/>
                <w:sz w:val="16"/>
                <w:lang w:val="en-GB"/>
              </w:rPr>
            </w:pPr>
            <w:r w:rsidRPr="003D1051">
              <w:rPr>
                <w:rFonts w:ascii="Tahoma" w:hAnsi="Tahoma"/>
                <w:b/>
                <w:bCs/>
                <w:color w:val="000000" w:themeColor="text1"/>
                <w:sz w:val="16"/>
                <w:lang w:val="en-GB"/>
              </w:rPr>
              <w:t>3 240</w:t>
            </w:r>
          </w:p>
        </w:tc>
        <w:tc>
          <w:tcPr>
            <w:tcW w:w="1134"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3F5FFE38" w14:textId="77777777" w:rsidR="003D1051" w:rsidRPr="003D1051" w:rsidRDefault="003D1051" w:rsidP="001A46E0">
            <w:pPr>
              <w:spacing w:line="240" w:lineRule="atLeast"/>
              <w:jc w:val="right"/>
              <w:rPr>
                <w:rFonts w:ascii="Tahoma" w:hAnsi="Tahoma"/>
                <w:color w:val="000000" w:themeColor="text1"/>
                <w:sz w:val="16"/>
                <w:lang w:val="en-GB"/>
              </w:rPr>
            </w:pPr>
            <w:r w:rsidRPr="003D1051">
              <w:rPr>
                <w:rFonts w:ascii="Tahoma" w:hAnsi="Tahoma"/>
                <w:color w:val="000000" w:themeColor="text1"/>
                <w:sz w:val="16"/>
                <w:lang w:val="en-GB"/>
              </w:rPr>
              <w:t>2 753</w:t>
            </w:r>
          </w:p>
        </w:tc>
        <w:tc>
          <w:tcPr>
            <w:tcW w:w="1134"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60A876EB" w14:textId="77777777" w:rsidR="003D1051" w:rsidRPr="003D1051" w:rsidRDefault="003D1051" w:rsidP="001A46E0">
            <w:pPr>
              <w:spacing w:line="240" w:lineRule="atLeast"/>
              <w:jc w:val="right"/>
              <w:rPr>
                <w:rFonts w:ascii="Tahoma" w:hAnsi="Tahoma"/>
                <w:color w:val="000000" w:themeColor="text1"/>
                <w:sz w:val="16"/>
                <w:lang w:val="en-GB"/>
              </w:rPr>
            </w:pPr>
            <w:r w:rsidRPr="003D1051">
              <w:rPr>
                <w:rFonts w:ascii="Tahoma" w:hAnsi="Tahoma"/>
                <w:color w:val="000000" w:themeColor="text1"/>
                <w:sz w:val="16"/>
                <w:lang w:val="en-GB"/>
              </w:rPr>
              <w:t>6 237</w:t>
            </w:r>
          </w:p>
        </w:tc>
      </w:tr>
    </w:tbl>
    <w:p w14:paraId="6F1CD220" w14:textId="77777777" w:rsidR="003D1051" w:rsidRPr="00615190" w:rsidRDefault="003D1051" w:rsidP="00615190">
      <w:pPr>
        <w:spacing w:line="240" w:lineRule="atLeast"/>
        <w:rPr>
          <w:rFonts w:ascii="Tahoma" w:hAnsi="Tahoma"/>
          <w:color w:val="000000" w:themeColor="text1"/>
          <w:sz w:val="16"/>
        </w:rPr>
      </w:pPr>
    </w:p>
    <w:tbl>
      <w:tblPr>
        <w:tblW w:w="10206" w:type="dxa"/>
        <w:tblInd w:w="-8" w:type="dxa"/>
        <w:tblLayout w:type="fixed"/>
        <w:tblCellMar>
          <w:left w:w="0" w:type="dxa"/>
          <w:right w:w="0" w:type="dxa"/>
        </w:tblCellMar>
        <w:tblLook w:val="0000" w:firstRow="0" w:lastRow="0" w:firstColumn="0" w:lastColumn="0" w:noHBand="0" w:noVBand="0"/>
      </w:tblPr>
      <w:tblGrid>
        <w:gridCol w:w="405"/>
        <w:gridCol w:w="6541"/>
        <w:gridCol w:w="992"/>
        <w:gridCol w:w="1134"/>
        <w:gridCol w:w="1134"/>
      </w:tblGrid>
      <w:tr w:rsidR="00615190" w:rsidRPr="00786360" w14:paraId="52B175F2" w14:textId="77777777" w:rsidTr="002B79F3">
        <w:trPr>
          <w:trHeight w:val="60"/>
        </w:trPr>
        <w:tc>
          <w:tcPr>
            <w:tcW w:w="405" w:type="dxa"/>
            <w:shd w:val="clear" w:color="auto" w:fill="auto"/>
            <w:tcMar>
              <w:top w:w="57" w:type="dxa"/>
              <w:left w:w="0" w:type="dxa"/>
              <w:bottom w:w="113" w:type="dxa"/>
              <w:right w:w="0" w:type="dxa"/>
            </w:tcMar>
            <w:vAlign w:val="bottom"/>
          </w:tcPr>
          <w:p w14:paraId="3FB614A1" w14:textId="77777777" w:rsidR="00786360" w:rsidRPr="00786360" w:rsidRDefault="00786360" w:rsidP="00615190">
            <w:pPr>
              <w:spacing w:line="240" w:lineRule="atLeast"/>
              <w:rPr>
                <w:rFonts w:ascii="Tahoma" w:hAnsi="Tahoma"/>
                <w:color w:val="000000" w:themeColor="text1"/>
                <w:sz w:val="16"/>
                <w:lang w:val="en-GB"/>
              </w:rPr>
            </w:pPr>
          </w:p>
        </w:tc>
        <w:tc>
          <w:tcPr>
            <w:tcW w:w="9801" w:type="dxa"/>
            <w:gridSpan w:val="4"/>
            <w:shd w:val="clear" w:color="auto" w:fill="auto"/>
            <w:tcMar>
              <w:top w:w="57" w:type="dxa"/>
              <w:left w:w="0" w:type="dxa"/>
              <w:bottom w:w="113" w:type="dxa"/>
              <w:right w:w="0" w:type="dxa"/>
            </w:tcMar>
            <w:vAlign w:val="bottom"/>
          </w:tcPr>
          <w:p w14:paraId="474239D5" w14:textId="77777777" w:rsidR="00786360" w:rsidRPr="00786360" w:rsidRDefault="00786360" w:rsidP="00615190">
            <w:pPr>
              <w:spacing w:line="240" w:lineRule="atLeast"/>
              <w:rPr>
                <w:rFonts w:ascii="Tahoma" w:hAnsi="Tahoma"/>
                <w:color w:val="000000" w:themeColor="text1"/>
                <w:sz w:val="16"/>
                <w:lang w:val="en-GB"/>
              </w:rPr>
            </w:pPr>
            <w:r w:rsidRPr="00786360">
              <w:rPr>
                <w:rFonts w:ascii="Tahoma" w:hAnsi="Tahoma"/>
                <w:color w:val="000000" w:themeColor="text1"/>
                <w:sz w:val="16"/>
                <w:lang w:val="en-GB"/>
              </w:rPr>
              <w:t>Revenue is presented on an economic-interest basis (</w:t>
            </w:r>
            <w:proofErr w:type="spellStart"/>
            <w:proofErr w:type="gramStart"/>
            <w:r w:rsidRPr="00786360">
              <w:rPr>
                <w:rFonts w:ascii="Tahoma" w:hAnsi="Tahoma"/>
                <w:color w:val="000000" w:themeColor="text1"/>
                <w:sz w:val="16"/>
                <w:lang w:val="en-GB"/>
              </w:rPr>
              <w:t>ie</w:t>
            </w:r>
            <w:proofErr w:type="spellEnd"/>
            <w:proofErr w:type="gramEnd"/>
            <w:r w:rsidRPr="00786360">
              <w:rPr>
                <w:rFonts w:ascii="Tahoma" w:hAnsi="Tahoma"/>
                <w:color w:val="000000" w:themeColor="text1"/>
                <w:sz w:val="16"/>
                <w:lang w:val="en-GB"/>
              </w:rPr>
              <w:t xml:space="preserve"> including the proportionate consolidation of the revenue of associates and joint ventures) in the group’s segmental review and is accordingly not directly comparable to the above consolidated revenue figures. Below is the group’s revenue by geographical area:</w:t>
            </w:r>
          </w:p>
        </w:tc>
      </w:tr>
      <w:tr w:rsidR="00615190" w:rsidRPr="00786360" w14:paraId="0790B72C" w14:textId="77777777" w:rsidTr="00D00EBD">
        <w:trPr>
          <w:trHeight w:val="60"/>
        </w:trPr>
        <w:tc>
          <w:tcPr>
            <w:tcW w:w="405" w:type="dxa"/>
            <w:shd w:val="clear" w:color="auto" w:fill="auto"/>
            <w:tcMar>
              <w:top w:w="85" w:type="dxa"/>
              <w:left w:w="0" w:type="dxa"/>
              <w:bottom w:w="85" w:type="dxa"/>
              <w:right w:w="0" w:type="dxa"/>
            </w:tcMar>
            <w:vAlign w:val="bottom"/>
          </w:tcPr>
          <w:p w14:paraId="7D06AF62" w14:textId="77777777" w:rsidR="00786360" w:rsidRPr="00786360" w:rsidRDefault="00786360" w:rsidP="00615190">
            <w:pPr>
              <w:spacing w:line="240" w:lineRule="atLeast"/>
              <w:rPr>
                <w:rFonts w:ascii="Tahoma" w:hAnsi="Tahoma"/>
                <w:color w:val="000000" w:themeColor="text1"/>
                <w:sz w:val="16"/>
                <w:lang w:val="en-GB"/>
              </w:rPr>
            </w:pPr>
          </w:p>
        </w:tc>
        <w:tc>
          <w:tcPr>
            <w:tcW w:w="6541" w:type="dxa"/>
            <w:shd w:val="clear" w:color="auto" w:fill="auto"/>
            <w:tcMar>
              <w:top w:w="85" w:type="dxa"/>
              <w:left w:w="0" w:type="dxa"/>
              <w:bottom w:w="85" w:type="dxa"/>
              <w:right w:w="0" w:type="dxa"/>
            </w:tcMar>
            <w:vAlign w:val="bottom"/>
          </w:tcPr>
          <w:p w14:paraId="04834714" w14:textId="77777777" w:rsidR="00786360" w:rsidRPr="00786360" w:rsidRDefault="00786360" w:rsidP="00615190">
            <w:pPr>
              <w:spacing w:line="240" w:lineRule="atLeast"/>
              <w:rPr>
                <w:rFonts w:ascii="Tahoma" w:hAnsi="Tahoma"/>
                <w:color w:val="000000" w:themeColor="text1"/>
                <w:sz w:val="16"/>
                <w:lang w:val="en-GB"/>
              </w:rPr>
            </w:pPr>
          </w:p>
        </w:tc>
        <w:tc>
          <w:tcPr>
            <w:tcW w:w="2126" w:type="dxa"/>
            <w:gridSpan w:val="2"/>
            <w:shd w:val="clear" w:color="auto" w:fill="auto"/>
            <w:tcMar>
              <w:top w:w="85" w:type="dxa"/>
              <w:left w:w="0" w:type="dxa"/>
              <w:bottom w:w="85" w:type="dxa"/>
              <w:right w:w="0" w:type="dxa"/>
            </w:tcMar>
            <w:vAlign w:val="bottom"/>
          </w:tcPr>
          <w:p w14:paraId="3B4A8323" w14:textId="77777777" w:rsidR="00786360" w:rsidRPr="00786360" w:rsidRDefault="00786360" w:rsidP="00E8202E">
            <w:pPr>
              <w:spacing w:line="240" w:lineRule="atLeast"/>
              <w:ind w:left="431"/>
              <w:jc w:val="center"/>
              <w:rPr>
                <w:rFonts w:ascii="Tahoma" w:hAnsi="Tahoma"/>
                <w:b/>
                <w:bCs/>
                <w:color w:val="000000" w:themeColor="text1"/>
                <w:sz w:val="16"/>
                <w:lang w:val="en-GB"/>
              </w:rPr>
            </w:pPr>
            <w:r w:rsidRPr="00786360">
              <w:rPr>
                <w:rFonts w:ascii="Tahoma" w:hAnsi="Tahoma"/>
                <w:b/>
                <w:bCs/>
                <w:color w:val="000000" w:themeColor="text1"/>
                <w:sz w:val="16"/>
                <w:lang w:val="en-GB"/>
              </w:rPr>
              <w:t>Six months ended</w:t>
            </w:r>
          </w:p>
          <w:p w14:paraId="3495AA63" w14:textId="77777777" w:rsidR="00786360" w:rsidRPr="00786360" w:rsidRDefault="00786360" w:rsidP="00E8202E">
            <w:pPr>
              <w:spacing w:line="240" w:lineRule="atLeast"/>
              <w:ind w:left="431"/>
              <w:jc w:val="center"/>
              <w:rPr>
                <w:rFonts w:ascii="Tahoma" w:hAnsi="Tahoma"/>
                <w:color w:val="000000" w:themeColor="text1"/>
                <w:sz w:val="16"/>
                <w:lang w:val="en-GB"/>
              </w:rPr>
            </w:pPr>
            <w:r w:rsidRPr="00786360">
              <w:rPr>
                <w:rFonts w:ascii="Tahoma" w:hAnsi="Tahoma"/>
                <w:b/>
                <w:bCs/>
                <w:color w:val="000000" w:themeColor="text1"/>
                <w:sz w:val="16"/>
                <w:lang w:val="en-GB"/>
              </w:rPr>
              <w:t>30 September</w:t>
            </w:r>
          </w:p>
        </w:tc>
        <w:tc>
          <w:tcPr>
            <w:tcW w:w="1134" w:type="dxa"/>
            <w:shd w:val="clear" w:color="auto" w:fill="auto"/>
            <w:tcMar>
              <w:top w:w="85" w:type="dxa"/>
              <w:left w:w="0" w:type="dxa"/>
              <w:bottom w:w="85" w:type="dxa"/>
              <w:right w:w="0" w:type="dxa"/>
            </w:tcMar>
            <w:vAlign w:val="bottom"/>
          </w:tcPr>
          <w:p w14:paraId="6CB6552E" w14:textId="77777777" w:rsidR="00786360" w:rsidRPr="00786360" w:rsidRDefault="00786360" w:rsidP="00F6771F">
            <w:pPr>
              <w:spacing w:line="240" w:lineRule="atLeast"/>
              <w:ind w:right="113"/>
              <w:jc w:val="right"/>
              <w:rPr>
                <w:rFonts w:ascii="Tahoma" w:hAnsi="Tahoma"/>
                <w:color w:val="000000" w:themeColor="text1"/>
                <w:sz w:val="16"/>
                <w:lang w:val="en-GB"/>
              </w:rPr>
            </w:pPr>
            <w:r w:rsidRPr="00786360">
              <w:rPr>
                <w:rFonts w:ascii="Tahoma" w:hAnsi="Tahoma"/>
                <w:color w:val="000000" w:themeColor="text1"/>
                <w:sz w:val="16"/>
                <w:lang w:val="en-GB"/>
              </w:rPr>
              <w:t>Year</w:t>
            </w:r>
          </w:p>
          <w:p w14:paraId="29EEAEE9" w14:textId="77777777" w:rsidR="00786360" w:rsidRPr="00786360" w:rsidRDefault="00786360" w:rsidP="00F6771F">
            <w:pPr>
              <w:spacing w:line="240" w:lineRule="atLeast"/>
              <w:ind w:right="113"/>
              <w:jc w:val="right"/>
              <w:rPr>
                <w:rFonts w:ascii="Tahoma" w:hAnsi="Tahoma"/>
                <w:color w:val="000000" w:themeColor="text1"/>
                <w:sz w:val="16"/>
                <w:lang w:val="en-GB"/>
              </w:rPr>
            </w:pPr>
            <w:r w:rsidRPr="00786360">
              <w:rPr>
                <w:rFonts w:ascii="Tahoma" w:hAnsi="Tahoma"/>
                <w:color w:val="000000" w:themeColor="text1"/>
                <w:sz w:val="16"/>
                <w:lang w:val="en-GB"/>
              </w:rPr>
              <w:t>ended</w:t>
            </w:r>
          </w:p>
          <w:p w14:paraId="44B8FB62" w14:textId="77777777" w:rsidR="00786360" w:rsidRPr="00786360" w:rsidRDefault="00786360" w:rsidP="00F6771F">
            <w:pPr>
              <w:spacing w:line="240" w:lineRule="atLeast"/>
              <w:ind w:right="113"/>
              <w:jc w:val="right"/>
              <w:rPr>
                <w:rFonts w:ascii="Tahoma" w:hAnsi="Tahoma"/>
                <w:color w:val="000000" w:themeColor="text1"/>
                <w:sz w:val="16"/>
                <w:lang w:val="en-GB"/>
              </w:rPr>
            </w:pPr>
            <w:r w:rsidRPr="00786360">
              <w:rPr>
                <w:rFonts w:ascii="Tahoma" w:hAnsi="Tahoma"/>
                <w:color w:val="000000" w:themeColor="text1"/>
                <w:sz w:val="16"/>
                <w:lang w:val="en-GB"/>
              </w:rPr>
              <w:t>31 March</w:t>
            </w:r>
          </w:p>
        </w:tc>
      </w:tr>
      <w:tr w:rsidR="00615190" w:rsidRPr="00786360" w14:paraId="599A380C" w14:textId="77777777" w:rsidTr="00D00EBD">
        <w:trPr>
          <w:trHeight w:val="60"/>
        </w:trPr>
        <w:tc>
          <w:tcPr>
            <w:tcW w:w="405" w:type="dxa"/>
            <w:shd w:val="clear" w:color="auto" w:fill="auto"/>
            <w:tcMar>
              <w:top w:w="113" w:type="dxa"/>
              <w:left w:w="0" w:type="dxa"/>
              <w:bottom w:w="113" w:type="dxa"/>
              <w:right w:w="0" w:type="dxa"/>
            </w:tcMar>
            <w:vAlign w:val="bottom"/>
          </w:tcPr>
          <w:p w14:paraId="55CFBAEC" w14:textId="77777777" w:rsidR="00786360" w:rsidRPr="00786360" w:rsidRDefault="00786360" w:rsidP="00615190">
            <w:pPr>
              <w:spacing w:line="240" w:lineRule="atLeast"/>
              <w:rPr>
                <w:rFonts w:ascii="Tahoma" w:hAnsi="Tahoma"/>
                <w:color w:val="000000" w:themeColor="text1"/>
                <w:sz w:val="16"/>
                <w:lang w:val="en-GB"/>
              </w:rPr>
            </w:pPr>
          </w:p>
        </w:tc>
        <w:tc>
          <w:tcPr>
            <w:tcW w:w="6541" w:type="dxa"/>
            <w:tcBorders>
              <w:bottom w:val="single" w:sz="12" w:space="0" w:color="auto"/>
            </w:tcBorders>
            <w:shd w:val="clear" w:color="auto" w:fill="auto"/>
            <w:tcMar>
              <w:top w:w="113" w:type="dxa"/>
              <w:left w:w="0" w:type="dxa"/>
              <w:bottom w:w="113" w:type="dxa"/>
              <w:right w:w="0" w:type="dxa"/>
            </w:tcMar>
            <w:vAlign w:val="bottom"/>
          </w:tcPr>
          <w:p w14:paraId="1D42C275" w14:textId="77777777" w:rsidR="00786360" w:rsidRPr="00786360" w:rsidRDefault="00786360" w:rsidP="00615190">
            <w:pPr>
              <w:spacing w:line="240" w:lineRule="atLeast"/>
              <w:rPr>
                <w:rFonts w:ascii="Tahoma" w:hAnsi="Tahoma"/>
                <w:b/>
                <w:bCs/>
                <w:color w:val="000000" w:themeColor="text1"/>
                <w:sz w:val="16"/>
                <w:lang w:val="en-GB"/>
              </w:rPr>
            </w:pPr>
            <w:r w:rsidRPr="00786360">
              <w:rPr>
                <w:rFonts w:ascii="Tahoma" w:hAnsi="Tahoma"/>
                <w:b/>
                <w:bCs/>
                <w:color w:val="000000" w:themeColor="text1"/>
                <w:sz w:val="16"/>
                <w:lang w:val="en-GB"/>
              </w:rPr>
              <w:t>Geographical area</w:t>
            </w:r>
          </w:p>
        </w:tc>
        <w:tc>
          <w:tcPr>
            <w:tcW w:w="992" w:type="dxa"/>
            <w:tcBorders>
              <w:bottom w:val="single" w:sz="12" w:space="0" w:color="auto"/>
            </w:tcBorders>
            <w:shd w:val="clear" w:color="auto" w:fill="auto"/>
            <w:tcMar>
              <w:top w:w="113" w:type="dxa"/>
              <w:left w:w="0" w:type="dxa"/>
              <w:bottom w:w="113" w:type="dxa"/>
              <w:right w:w="0" w:type="dxa"/>
            </w:tcMar>
            <w:vAlign w:val="bottom"/>
          </w:tcPr>
          <w:p w14:paraId="252ACA5D" w14:textId="77777777" w:rsidR="00786360" w:rsidRPr="00786360" w:rsidRDefault="00786360" w:rsidP="006C78F0">
            <w:pPr>
              <w:spacing w:line="240" w:lineRule="atLeast"/>
              <w:jc w:val="right"/>
              <w:rPr>
                <w:rFonts w:ascii="Tahoma" w:hAnsi="Tahoma"/>
                <w:b/>
                <w:bCs/>
                <w:color w:val="000000" w:themeColor="text1"/>
                <w:sz w:val="16"/>
                <w:lang w:val="en-GB"/>
              </w:rPr>
            </w:pPr>
            <w:r w:rsidRPr="00786360">
              <w:rPr>
                <w:rFonts w:ascii="Tahoma" w:hAnsi="Tahoma"/>
                <w:b/>
                <w:bCs/>
                <w:color w:val="000000" w:themeColor="text1"/>
                <w:sz w:val="16"/>
                <w:lang w:val="en-GB"/>
              </w:rPr>
              <w:t>2022</w:t>
            </w:r>
          </w:p>
          <w:p w14:paraId="75A20CAD" w14:textId="77777777" w:rsidR="00786360" w:rsidRPr="00786360" w:rsidRDefault="00786360" w:rsidP="006C78F0">
            <w:pPr>
              <w:spacing w:line="240" w:lineRule="atLeast"/>
              <w:jc w:val="right"/>
              <w:rPr>
                <w:rFonts w:ascii="Tahoma" w:hAnsi="Tahoma"/>
                <w:b/>
                <w:bCs/>
                <w:color w:val="000000" w:themeColor="text1"/>
                <w:sz w:val="16"/>
                <w:lang w:val="en-GB"/>
              </w:rPr>
            </w:pPr>
            <w:proofErr w:type="spellStart"/>
            <w:r w:rsidRPr="00786360">
              <w:rPr>
                <w:rFonts w:ascii="Tahoma" w:hAnsi="Tahoma"/>
                <w:b/>
                <w:bCs/>
                <w:color w:val="000000" w:themeColor="text1"/>
                <w:sz w:val="16"/>
                <w:lang w:val="en-GB"/>
              </w:rPr>
              <w:t>US$’m</w:t>
            </w:r>
            <w:proofErr w:type="spellEnd"/>
          </w:p>
        </w:tc>
        <w:tc>
          <w:tcPr>
            <w:tcW w:w="1134" w:type="dxa"/>
            <w:tcBorders>
              <w:bottom w:val="single" w:sz="12" w:space="0" w:color="auto"/>
            </w:tcBorders>
            <w:shd w:val="clear" w:color="auto" w:fill="auto"/>
            <w:tcMar>
              <w:top w:w="113" w:type="dxa"/>
              <w:left w:w="0" w:type="dxa"/>
              <w:bottom w:w="113" w:type="dxa"/>
              <w:right w:w="0" w:type="dxa"/>
            </w:tcMar>
            <w:vAlign w:val="bottom"/>
          </w:tcPr>
          <w:p w14:paraId="64CD4035" w14:textId="77777777" w:rsidR="00786360" w:rsidRPr="00786360" w:rsidRDefault="00786360" w:rsidP="006C78F0">
            <w:pPr>
              <w:spacing w:line="240" w:lineRule="atLeast"/>
              <w:jc w:val="right"/>
              <w:rPr>
                <w:rFonts w:ascii="Tahoma" w:hAnsi="Tahoma"/>
                <w:color w:val="000000" w:themeColor="text1"/>
                <w:sz w:val="16"/>
                <w:lang w:val="en-GB"/>
              </w:rPr>
            </w:pPr>
            <w:r w:rsidRPr="00786360">
              <w:rPr>
                <w:rFonts w:ascii="Tahoma" w:hAnsi="Tahoma"/>
                <w:color w:val="000000" w:themeColor="text1"/>
                <w:sz w:val="16"/>
                <w:lang w:val="en-GB"/>
              </w:rPr>
              <w:t>2021</w:t>
            </w:r>
          </w:p>
          <w:p w14:paraId="312518BB" w14:textId="77777777" w:rsidR="00786360" w:rsidRPr="00786360" w:rsidRDefault="00786360" w:rsidP="006C78F0">
            <w:pPr>
              <w:spacing w:line="240" w:lineRule="atLeast"/>
              <w:jc w:val="right"/>
              <w:rPr>
                <w:rFonts w:ascii="Tahoma" w:hAnsi="Tahoma"/>
                <w:color w:val="000000" w:themeColor="text1"/>
                <w:sz w:val="16"/>
                <w:lang w:val="en-GB"/>
              </w:rPr>
            </w:pPr>
            <w:proofErr w:type="spellStart"/>
            <w:r w:rsidRPr="00786360">
              <w:rPr>
                <w:rFonts w:ascii="Tahoma" w:hAnsi="Tahoma"/>
                <w:color w:val="000000" w:themeColor="text1"/>
                <w:sz w:val="16"/>
                <w:lang w:val="en-GB"/>
              </w:rPr>
              <w:t>US$’m</w:t>
            </w:r>
            <w:proofErr w:type="spellEnd"/>
          </w:p>
        </w:tc>
        <w:tc>
          <w:tcPr>
            <w:tcW w:w="1134" w:type="dxa"/>
            <w:tcBorders>
              <w:bottom w:val="single" w:sz="12" w:space="0" w:color="auto"/>
            </w:tcBorders>
            <w:shd w:val="clear" w:color="auto" w:fill="auto"/>
            <w:tcMar>
              <w:top w:w="113" w:type="dxa"/>
              <w:left w:w="0" w:type="dxa"/>
              <w:bottom w:w="113" w:type="dxa"/>
              <w:right w:w="0" w:type="dxa"/>
            </w:tcMar>
            <w:vAlign w:val="bottom"/>
          </w:tcPr>
          <w:p w14:paraId="773291DA" w14:textId="77777777" w:rsidR="00786360" w:rsidRPr="00786360" w:rsidRDefault="00786360" w:rsidP="006C78F0">
            <w:pPr>
              <w:spacing w:line="240" w:lineRule="atLeast"/>
              <w:ind w:right="113"/>
              <w:jc w:val="right"/>
              <w:rPr>
                <w:rFonts w:ascii="Tahoma" w:hAnsi="Tahoma"/>
                <w:color w:val="000000" w:themeColor="text1"/>
                <w:sz w:val="16"/>
                <w:lang w:val="en-GB"/>
              </w:rPr>
            </w:pPr>
            <w:r w:rsidRPr="00786360">
              <w:rPr>
                <w:rFonts w:ascii="Tahoma" w:hAnsi="Tahoma"/>
                <w:color w:val="000000" w:themeColor="text1"/>
                <w:sz w:val="16"/>
                <w:lang w:val="en-GB"/>
              </w:rPr>
              <w:t>2022</w:t>
            </w:r>
          </w:p>
          <w:p w14:paraId="6A1242D1" w14:textId="77777777" w:rsidR="00786360" w:rsidRPr="00786360" w:rsidRDefault="00786360" w:rsidP="006C78F0">
            <w:pPr>
              <w:spacing w:line="240" w:lineRule="atLeast"/>
              <w:ind w:right="113"/>
              <w:jc w:val="right"/>
              <w:rPr>
                <w:rFonts w:ascii="Tahoma" w:hAnsi="Tahoma"/>
                <w:color w:val="000000" w:themeColor="text1"/>
                <w:sz w:val="16"/>
                <w:lang w:val="en-GB"/>
              </w:rPr>
            </w:pPr>
            <w:proofErr w:type="spellStart"/>
            <w:r w:rsidRPr="00786360">
              <w:rPr>
                <w:rFonts w:ascii="Tahoma" w:hAnsi="Tahoma"/>
                <w:color w:val="000000" w:themeColor="text1"/>
                <w:sz w:val="16"/>
                <w:lang w:val="en-GB"/>
              </w:rPr>
              <w:t>US$’m</w:t>
            </w:r>
            <w:proofErr w:type="spellEnd"/>
          </w:p>
        </w:tc>
      </w:tr>
      <w:tr w:rsidR="00615190" w:rsidRPr="00786360" w14:paraId="492DFDF2" w14:textId="77777777" w:rsidTr="00D00EBD">
        <w:trPr>
          <w:trHeight w:val="60"/>
        </w:trPr>
        <w:tc>
          <w:tcPr>
            <w:tcW w:w="405" w:type="dxa"/>
            <w:shd w:val="clear" w:color="auto" w:fill="auto"/>
            <w:tcMar>
              <w:top w:w="142" w:type="dxa"/>
              <w:left w:w="0" w:type="dxa"/>
              <w:bottom w:w="57" w:type="dxa"/>
              <w:right w:w="0" w:type="dxa"/>
            </w:tcMar>
            <w:vAlign w:val="bottom"/>
          </w:tcPr>
          <w:p w14:paraId="0C650253" w14:textId="77777777" w:rsidR="00786360" w:rsidRPr="00786360" w:rsidRDefault="00786360" w:rsidP="00615190">
            <w:pPr>
              <w:spacing w:line="240" w:lineRule="atLeast"/>
              <w:rPr>
                <w:rFonts w:ascii="Tahoma" w:hAnsi="Tahoma"/>
                <w:color w:val="000000" w:themeColor="text1"/>
                <w:sz w:val="16"/>
                <w:lang w:val="en-GB"/>
              </w:rPr>
            </w:pPr>
          </w:p>
        </w:tc>
        <w:tc>
          <w:tcPr>
            <w:tcW w:w="6541" w:type="dxa"/>
            <w:tcBorders>
              <w:top w:val="single" w:sz="12" w:space="0" w:color="auto"/>
            </w:tcBorders>
            <w:shd w:val="clear" w:color="auto" w:fill="auto"/>
            <w:tcMar>
              <w:top w:w="142" w:type="dxa"/>
              <w:left w:w="0" w:type="dxa"/>
              <w:bottom w:w="57" w:type="dxa"/>
              <w:right w:w="0" w:type="dxa"/>
            </w:tcMar>
            <w:vAlign w:val="bottom"/>
          </w:tcPr>
          <w:p w14:paraId="1A16D517" w14:textId="77777777" w:rsidR="00786360" w:rsidRPr="00786360" w:rsidRDefault="00786360" w:rsidP="00615190">
            <w:pPr>
              <w:spacing w:line="240" w:lineRule="atLeast"/>
              <w:rPr>
                <w:rFonts w:ascii="Tahoma" w:hAnsi="Tahoma"/>
                <w:color w:val="000000" w:themeColor="text1"/>
                <w:sz w:val="16"/>
                <w:lang w:val="en-GB"/>
              </w:rPr>
            </w:pPr>
            <w:r w:rsidRPr="00786360">
              <w:rPr>
                <w:rFonts w:ascii="Tahoma" w:hAnsi="Tahoma"/>
                <w:color w:val="000000" w:themeColor="text1"/>
                <w:sz w:val="16"/>
                <w:lang w:val="en-GB"/>
              </w:rPr>
              <w:t>Asia</w:t>
            </w:r>
          </w:p>
        </w:tc>
        <w:tc>
          <w:tcPr>
            <w:tcW w:w="992" w:type="dxa"/>
            <w:tcBorders>
              <w:top w:val="single" w:sz="12" w:space="0" w:color="auto"/>
            </w:tcBorders>
            <w:shd w:val="clear" w:color="auto" w:fill="auto"/>
            <w:tcMar>
              <w:top w:w="142" w:type="dxa"/>
              <w:left w:w="0" w:type="dxa"/>
              <w:bottom w:w="57" w:type="dxa"/>
              <w:right w:w="0" w:type="dxa"/>
            </w:tcMar>
            <w:vAlign w:val="bottom"/>
          </w:tcPr>
          <w:p w14:paraId="78F989E6" w14:textId="77777777" w:rsidR="00786360" w:rsidRPr="00786360" w:rsidRDefault="00786360" w:rsidP="006C78F0">
            <w:pPr>
              <w:spacing w:line="240" w:lineRule="atLeast"/>
              <w:jc w:val="right"/>
              <w:rPr>
                <w:rFonts w:ascii="Tahoma" w:hAnsi="Tahoma"/>
                <w:b/>
                <w:bCs/>
                <w:color w:val="000000" w:themeColor="text1"/>
                <w:sz w:val="16"/>
                <w:lang w:val="en-GB"/>
              </w:rPr>
            </w:pPr>
            <w:r w:rsidRPr="00786360">
              <w:rPr>
                <w:rFonts w:ascii="Tahoma" w:hAnsi="Tahoma"/>
                <w:b/>
                <w:bCs/>
                <w:color w:val="000000" w:themeColor="text1"/>
                <w:sz w:val="16"/>
                <w:lang w:val="en-GB"/>
              </w:rPr>
              <w:t>487</w:t>
            </w:r>
          </w:p>
        </w:tc>
        <w:tc>
          <w:tcPr>
            <w:tcW w:w="1134" w:type="dxa"/>
            <w:tcBorders>
              <w:top w:val="single" w:sz="12" w:space="0" w:color="auto"/>
            </w:tcBorders>
            <w:shd w:val="clear" w:color="auto" w:fill="auto"/>
            <w:tcMar>
              <w:top w:w="142" w:type="dxa"/>
              <w:left w:w="0" w:type="dxa"/>
              <w:bottom w:w="57" w:type="dxa"/>
              <w:right w:w="0" w:type="dxa"/>
            </w:tcMar>
            <w:vAlign w:val="bottom"/>
          </w:tcPr>
          <w:p w14:paraId="182C45C0" w14:textId="77777777" w:rsidR="00786360" w:rsidRPr="00786360" w:rsidRDefault="00786360" w:rsidP="006C78F0">
            <w:pPr>
              <w:spacing w:line="240" w:lineRule="atLeast"/>
              <w:jc w:val="right"/>
              <w:rPr>
                <w:rFonts w:ascii="Tahoma" w:hAnsi="Tahoma"/>
                <w:color w:val="000000" w:themeColor="text1"/>
                <w:sz w:val="16"/>
                <w:lang w:val="en-GB"/>
              </w:rPr>
            </w:pPr>
            <w:r w:rsidRPr="00786360">
              <w:rPr>
                <w:rFonts w:ascii="Tahoma" w:hAnsi="Tahoma"/>
                <w:color w:val="000000" w:themeColor="text1"/>
                <w:sz w:val="16"/>
                <w:lang w:val="en-GB"/>
              </w:rPr>
              <w:t>275</w:t>
            </w:r>
          </w:p>
        </w:tc>
        <w:tc>
          <w:tcPr>
            <w:tcW w:w="1134" w:type="dxa"/>
            <w:tcBorders>
              <w:top w:val="single" w:sz="12" w:space="0" w:color="auto"/>
            </w:tcBorders>
            <w:shd w:val="clear" w:color="auto" w:fill="auto"/>
            <w:tcMar>
              <w:top w:w="142" w:type="dxa"/>
              <w:left w:w="0" w:type="dxa"/>
              <w:bottom w:w="57" w:type="dxa"/>
              <w:right w:w="0" w:type="dxa"/>
            </w:tcMar>
            <w:vAlign w:val="bottom"/>
          </w:tcPr>
          <w:p w14:paraId="757CA0B4" w14:textId="77777777" w:rsidR="00786360" w:rsidRPr="00786360" w:rsidRDefault="00786360" w:rsidP="006C78F0">
            <w:pPr>
              <w:spacing w:line="240" w:lineRule="atLeast"/>
              <w:ind w:right="113"/>
              <w:jc w:val="right"/>
              <w:rPr>
                <w:rFonts w:ascii="Tahoma" w:hAnsi="Tahoma"/>
                <w:color w:val="000000" w:themeColor="text1"/>
                <w:sz w:val="16"/>
                <w:lang w:val="en-GB"/>
              </w:rPr>
            </w:pPr>
            <w:r w:rsidRPr="00786360">
              <w:rPr>
                <w:rFonts w:ascii="Tahoma" w:hAnsi="Tahoma"/>
                <w:color w:val="000000" w:themeColor="text1"/>
                <w:sz w:val="16"/>
                <w:lang w:val="en-GB"/>
              </w:rPr>
              <w:t>701</w:t>
            </w:r>
          </w:p>
        </w:tc>
      </w:tr>
      <w:tr w:rsidR="00615190" w:rsidRPr="00786360" w14:paraId="4840FECC" w14:textId="77777777" w:rsidTr="000F2214">
        <w:trPr>
          <w:trHeight w:val="60"/>
        </w:trPr>
        <w:tc>
          <w:tcPr>
            <w:tcW w:w="405" w:type="dxa"/>
            <w:shd w:val="clear" w:color="auto" w:fill="auto"/>
            <w:tcMar>
              <w:top w:w="57" w:type="dxa"/>
              <w:left w:w="0" w:type="dxa"/>
              <w:bottom w:w="57" w:type="dxa"/>
              <w:right w:w="0" w:type="dxa"/>
            </w:tcMar>
            <w:vAlign w:val="bottom"/>
          </w:tcPr>
          <w:p w14:paraId="0473FDC4" w14:textId="77777777" w:rsidR="00786360" w:rsidRPr="00786360" w:rsidRDefault="00786360" w:rsidP="00615190">
            <w:pPr>
              <w:spacing w:line="240" w:lineRule="atLeast"/>
              <w:rPr>
                <w:rFonts w:ascii="Tahoma" w:hAnsi="Tahoma"/>
                <w:color w:val="000000" w:themeColor="text1"/>
                <w:sz w:val="16"/>
                <w:lang w:val="en-GB"/>
              </w:rPr>
            </w:pPr>
          </w:p>
        </w:tc>
        <w:tc>
          <w:tcPr>
            <w:tcW w:w="6541" w:type="dxa"/>
            <w:shd w:val="clear" w:color="auto" w:fill="auto"/>
            <w:tcMar>
              <w:top w:w="57" w:type="dxa"/>
              <w:left w:w="0" w:type="dxa"/>
              <w:bottom w:w="57" w:type="dxa"/>
              <w:right w:w="0" w:type="dxa"/>
            </w:tcMar>
            <w:vAlign w:val="bottom"/>
          </w:tcPr>
          <w:p w14:paraId="70DAFB4D" w14:textId="77777777" w:rsidR="00786360" w:rsidRPr="00786360" w:rsidRDefault="00786360" w:rsidP="00615190">
            <w:pPr>
              <w:spacing w:line="240" w:lineRule="atLeast"/>
              <w:rPr>
                <w:rFonts w:ascii="Tahoma" w:hAnsi="Tahoma"/>
                <w:color w:val="000000" w:themeColor="text1"/>
                <w:sz w:val="16"/>
                <w:lang w:val="en-GB"/>
              </w:rPr>
            </w:pPr>
            <w:r w:rsidRPr="00786360">
              <w:rPr>
                <w:rFonts w:ascii="Tahoma" w:hAnsi="Tahoma"/>
                <w:color w:val="000000" w:themeColor="text1"/>
                <w:sz w:val="16"/>
                <w:lang w:val="en-GB"/>
              </w:rPr>
              <w:t>Europe</w:t>
            </w:r>
          </w:p>
        </w:tc>
        <w:tc>
          <w:tcPr>
            <w:tcW w:w="992" w:type="dxa"/>
            <w:tcBorders>
              <w:bottom w:val="single" w:sz="4" w:space="0" w:color="auto"/>
            </w:tcBorders>
            <w:shd w:val="clear" w:color="auto" w:fill="auto"/>
            <w:tcMar>
              <w:top w:w="57" w:type="dxa"/>
              <w:left w:w="0" w:type="dxa"/>
              <w:bottom w:w="57" w:type="dxa"/>
              <w:right w:w="0" w:type="dxa"/>
            </w:tcMar>
            <w:vAlign w:val="bottom"/>
          </w:tcPr>
          <w:p w14:paraId="1BE7B488" w14:textId="77777777" w:rsidR="00786360" w:rsidRPr="00786360" w:rsidRDefault="00786360" w:rsidP="006C78F0">
            <w:pPr>
              <w:spacing w:line="240" w:lineRule="atLeast"/>
              <w:jc w:val="right"/>
              <w:rPr>
                <w:rFonts w:ascii="Tahoma" w:hAnsi="Tahoma"/>
                <w:b/>
                <w:bCs/>
                <w:color w:val="000000" w:themeColor="text1"/>
                <w:sz w:val="16"/>
                <w:lang w:val="en-GB"/>
              </w:rPr>
            </w:pPr>
            <w:r w:rsidRPr="00786360">
              <w:rPr>
                <w:rFonts w:ascii="Tahoma" w:hAnsi="Tahoma"/>
                <w:b/>
                <w:bCs/>
                <w:color w:val="000000" w:themeColor="text1"/>
                <w:sz w:val="16"/>
                <w:lang w:val="en-GB"/>
              </w:rPr>
              <w:t>1 266</w:t>
            </w:r>
          </w:p>
        </w:tc>
        <w:tc>
          <w:tcPr>
            <w:tcW w:w="1134" w:type="dxa"/>
            <w:tcBorders>
              <w:bottom w:val="single" w:sz="4" w:space="0" w:color="auto"/>
            </w:tcBorders>
            <w:shd w:val="clear" w:color="auto" w:fill="auto"/>
            <w:tcMar>
              <w:top w:w="57" w:type="dxa"/>
              <w:left w:w="0" w:type="dxa"/>
              <w:bottom w:w="57" w:type="dxa"/>
              <w:right w:w="0" w:type="dxa"/>
            </w:tcMar>
            <w:vAlign w:val="bottom"/>
          </w:tcPr>
          <w:p w14:paraId="23058D1D" w14:textId="77777777" w:rsidR="00786360" w:rsidRPr="00786360" w:rsidRDefault="00786360" w:rsidP="006C78F0">
            <w:pPr>
              <w:spacing w:line="240" w:lineRule="atLeast"/>
              <w:jc w:val="right"/>
              <w:rPr>
                <w:rFonts w:ascii="Tahoma" w:hAnsi="Tahoma"/>
                <w:color w:val="000000" w:themeColor="text1"/>
                <w:sz w:val="16"/>
                <w:lang w:val="en-GB"/>
              </w:rPr>
            </w:pPr>
            <w:r w:rsidRPr="00786360">
              <w:rPr>
                <w:rFonts w:ascii="Tahoma" w:hAnsi="Tahoma"/>
                <w:color w:val="000000" w:themeColor="text1"/>
                <w:sz w:val="16"/>
                <w:lang w:val="en-GB"/>
              </w:rPr>
              <w:t>1 373</w:t>
            </w:r>
          </w:p>
        </w:tc>
        <w:tc>
          <w:tcPr>
            <w:tcW w:w="1134" w:type="dxa"/>
            <w:tcBorders>
              <w:bottom w:val="single" w:sz="4" w:space="0" w:color="auto"/>
            </w:tcBorders>
            <w:shd w:val="clear" w:color="auto" w:fill="auto"/>
            <w:tcMar>
              <w:top w:w="57" w:type="dxa"/>
              <w:left w:w="0" w:type="dxa"/>
              <w:bottom w:w="57" w:type="dxa"/>
              <w:right w:w="0" w:type="dxa"/>
            </w:tcMar>
            <w:vAlign w:val="bottom"/>
          </w:tcPr>
          <w:p w14:paraId="270364DB" w14:textId="77777777" w:rsidR="00786360" w:rsidRPr="00786360" w:rsidRDefault="00786360" w:rsidP="006C78F0">
            <w:pPr>
              <w:spacing w:line="240" w:lineRule="atLeast"/>
              <w:ind w:right="113"/>
              <w:jc w:val="right"/>
              <w:rPr>
                <w:rFonts w:ascii="Tahoma" w:hAnsi="Tahoma"/>
                <w:color w:val="000000" w:themeColor="text1"/>
                <w:sz w:val="16"/>
                <w:lang w:val="en-GB"/>
              </w:rPr>
            </w:pPr>
            <w:r w:rsidRPr="00786360">
              <w:rPr>
                <w:rFonts w:ascii="Tahoma" w:hAnsi="Tahoma"/>
                <w:color w:val="000000" w:themeColor="text1"/>
                <w:sz w:val="16"/>
                <w:lang w:val="en-GB"/>
              </w:rPr>
              <w:t>2 989</w:t>
            </w:r>
          </w:p>
        </w:tc>
      </w:tr>
      <w:tr w:rsidR="00615190" w:rsidRPr="00786360" w14:paraId="4840C61F" w14:textId="77777777" w:rsidTr="000F2214">
        <w:trPr>
          <w:trHeight w:val="60"/>
        </w:trPr>
        <w:tc>
          <w:tcPr>
            <w:tcW w:w="405" w:type="dxa"/>
            <w:shd w:val="clear" w:color="auto" w:fill="auto"/>
            <w:tcMar>
              <w:top w:w="57" w:type="dxa"/>
              <w:left w:w="0" w:type="dxa"/>
              <w:bottom w:w="57" w:type="dxa"/>
              <w:right w:w="0" w:type="dxa"/>
            </w:tcMar>
            <w:vAlign w:val="bottom"/>
          </w:tcPr>
          <w:p w14:paraId="007BBEC4" w14:textId="77777777" w:rsidR="00786360" w:rsidRPr="00786360" w:rsidRDefault="00786360" w:rsidP="00615190">
            <w:pPr>
              <w:spacing w:line="240" w:lineRule="atLeast"/>
              <w:rPr>
                <w:rFonts w:ascii="Tahoma" w:hAnsi="Tahoma"/>
                <w:color w:val="000000" w:themeColor="text1"/>
                <w:sz w:val="16"/>
                <w:lang w:val="en-GB"/>
              </w:rPr>
            </w:pPr>
          </w:p>
        </w:tc>
        <w:tc>
          <w:tcPr>
            <w:tcW w:w="6541" w:type="dxa"/>
            <w:tcBorders>
              <w:right w:val="single" w:sz="4" w:space="0" w:color="auto"/>
            </w:tcBorders>
            <w:shd w:val="clear" w:color="auto" w:fill="auto"/>
            <w:tcMar>
              <w:top w:w="57" w:type="dxa"/>
              <w:left w:w="113" w:type="dxa"/>
              <w:bottom w:w="57" w:type="dxa"/>
              <w:right w:w="0" w:type="dxa"/>
            </w:tcMar>
            <w:vAlign w:val="bottom"/>
          </w:tcPr>
          <w:p w14:paraId="265212D6" w14:textId="77777777" w:rsidR="00786360" w:rsidRPr="00786360" w:rsidRDefault="00786360" w:rsidP="00615190">
            <w:pPr>
              <w:spacing w:line="240" w:lineRule="atLeast"/>
              <w:rPr>
                <w:rFonts w:ascii="Tahoma" w:hAnsi="Tahoma"/>
                <w:color w:val="000000" w:themeColor="text1"/>
                <w:sz w:val="16"/>
                <w:lang w:val="en-GB"/>
              </w:rPr>
            </w:pPr>
            <w:r w:rsidRPr="00786360">
              <w:rPr>
                <w:rFonts w:ascii="Tahoma" w:hAnsi="Tahoma"/>
                <w:color w:val="000000" w:themeColor="text1"/>
                <w:sz w:val="16"/>
                <w:lang w:val="en-GB"/>
              </w:rPr>
              <w:t>Central Europe</w:t>
            </w:r>
          </w:p>
        </w:tc>
        <w:tc>
          <w:tcPr>
            <w:tcW w:w="992" w:type="dxa"/>
            <w:tcBorders>
              <w:top w:val="single" w:sz="4" w:space="0" w:color="auto"/>
              <w:left w:val="single" w:sz="4" w:space="0" w:color="auto"/>
            </w:tcBorders>
            <w:shd w:val="clear" w:color="auto" w:fill="auto"/>
            <w:tcMar>
              <w:top w:w="57" w:type="dxa"/>
              <w:left w:w="0" w:type="dxa"/>
              <w:bottom w:w="57" w:type="dxa"/>
              <w:right w:w="0" w:type="dxa"/>
            </w:tcMar>
            <w:vAlign w:val="bottom"/>
          </w:tcPr>
          <w:p w14:paraId="35A966F9" w14:textId="77777777" w:rsidR="00786360" w:rsidRPr="00786360" w:rsidRDefault="00786360" w:rsidP="006C78F0">
            <w:pPr>
              <w:spacing w:line="240" w:lineRule="atLeast"/>
              <w:jc w:val="right"/>
              <w:rPr>
                <w:rFonts w:ascii="Tahoma" w:hAnsi="Tahoma"/>
                <w:b/>
                <w:bCs/>
                <w:color w:val="000000" w:themeColor="text1"/>
                <w:sz w:val="16"/>
                <w:lang w:val="en-GB"/>
              </w:rPr>
            </w:pPr>
            <w:r w:rsidRPr="00786360">
              <w:rPr>
                <w:rFonts w:ascii="Tahoma" w:hAnsi="Tahoma"/>
                <w:b/>
                <w:bCs/>
                <w:color w:val="000000" w:themeColor="text1"/>
                <w:sz w:val="16"/>
                <w:lang w:val="en-GB"/>
              </w:rPr>
              <w:t>327</w:t>
            </w:r>
          </w:p>
        </w:tc>
        <w:tc>
          <w:tcPr>
            <w:tcW w:w="1134" w:type="dxa"/>
            <w:tcBorders>
              <w:top w:val="single" w:sz="4" w:space="0" w:color="auto"/>
            </w:tcBorders>
            <w:shd w:val="clear" w:color="auto" w:fill="auto"/>
            <w:tcMar>
              <w:top w:w="57" w:type="dxa"/>
              <w:left w:w="0" w:type="dxa"/>
              <w:bottom w:w="57" w:type="dxa"/>
              <w:right w:w="0" w:type="dxa"/>
            </w:tcMar>
            <w:vAlign w:val="bottom"/>
          </w:tcPr>
          <w:p w14:paraId="3EE02B85" w14:textId="77777777" w:rsidR="00786360" w:rsidRPr="00786360" w:rsidRDefault="00786360" w:rsidP="006C78F0">
            <w:pPr>
              <w:spacing w:line="240" w:lineRule="atLeast"/>
              <w:jc w:val="right"/>
              <w:rPr>
                <w:rFonts w:ascii="Tahoma" w:hAnsi="Tahoma"/>
                <w:color w:val="000000" w:themeColor="text1"/>
                <w:sz w:val="16"/>
                <w:lang w:val="en-GB"/>
              </w:rPr>
            </w:pPr>
            <w:r w:rsidRPr="00786360">
              <w:rPr>
                <w:rFonts w:ascii="Tahoma" w:hAnsi="Tahoma"/>
                <w:color w:val="000000" w:themeColor="text1"/>
                <w:sz w:val="16"/>
                <w:lang w:val="en-GB"/>
              </w:rPr>
              <w:t>361</w:t>
            </w:r>
          </w:p>
        </w:tc>
        <w:tc>
          <w:tcPr>
            <w:tcW w:w="1134" w:type="dxa"/>
            <w:tcBorders>
              <w:top w:val="single" w:sz="4" w:space="0" w:color="auto"/>
              <w:right w:val="single" w:sz="4" w:space="0" w:color="auto"/>
            </w:tcBorders>
            <w:shd w:val="clear" w:color="auto" w:fill="auto"/>
            <w:tcMar>
              <w:top w:w="57" w:type="dxa"/>
              <w:left w:w="0" w:type="dxa"/>
              <w:bottom w:w="57" w:type="dxa"/>
              <w:right w:w="0" w:type="dxa"/>
            </w:tcMar>
            <w:vAlign w:val="bottom"/>
          </w:tcPr>
          <w:p w14:paraId="38F2735F" w14:textId="77777777" w:rsidR="00786360" w:rsidRPr="00786360" w:rsidRDefault="00786360" w:rsidP="006C78F0">
            <w:pPr>
              <w:spacing w:line="240" w:lineRule="atLeast"/>
              <w:ind w:right="113"/>
              <w:jc w:val="right"/>
              <w:rPr>
                <w:rFonts w:ascii="Tahoma" w:hAnsi="Tahoma"/>
                <w:color w:val="000000" w:themeColor="text1"/>
                <w:sz w:val="16"/>
                <w:lang w:val="en-GB"/>
              </w:rPr>
            </w:pPr>
            <w:r w:rsidRPr="00786360">
              <w:rPr>
                <w:rFonts w:ascii="Tahoma" w:hAnsi="Tahoma"/>
                <w:color w:val="000000" w:themeColor="text1"/>
                <w:sz w:val="16"/>
                <w:lang w:val="en-GB"/>
              </w:rPr>
              <w:t>768</w:t>
            </w:r>
          </w:p>
        </w:tc>
      </w:tr>
      <w:tr w:rsidR="00615190" w:rsidRPr="00786360" w14:paraId="1DEF666F" w14:textId="77777777" w:rsidTr="000F2214">
        <w:trPr>
          <w:trHeight w:val="60"/>
        </w:trPr>
        <w:tc>
          <w:tcPr>
            <w:tcW w:w="405" w:type="dxa"/>
            <w:shd w:val="clear" w:color="auto" w:fill="auto"/>
            <w:tcMar>
              <w:top w:w="57" w:type="dxa"/>
              <w:left w:w="0" w:type="dxa"/>
              <w:bottom w:w="57" w:type="dxa"/>
              <w:right w:w="0" w:type="dxa"/>
            </w:tcMar>
            <w:vAlign w:val="bottom"/>
          </w:tcPr>
          <w:p w14:paraId="77FD7F75" w14:textId="77777777" w:rsidR="00786360" w:rsidRPr="00786360" w:rsidRDefault="00786360" w:rsidP="00615190">
            <w:pPr>
              <w:spacing w:line="240" w:lineRule="atLeast"/>
              <w:rPr>
                <w:rFonts w:ascii="Tahoma" w:hAnsi="Tahoma"/>
                <w:color w:val="000000" w:themeColor="text1"/>
                <w:sz w:val="16"/>
                <w:lang w:val="en-GB"/>
              </w:rPr>
            </w:pPr>
          </w:p>
        </w:tc>
        <w:tc>
          <w:tcPr>
            <w:tcW w:w="6541" w:type="dxa"/>
            <w:tcBorders>
              <w:right w:val="single" w:sz="4" w:space="0" w:color="auto"/>
            </w:tcBorders>
            <w:shd w:val="clear" w:color="auto" w:fill="auto"/>
            <w:tcMar>
              <w:top w:w="57" w:type="dxa"/>
              <w:left w:w="113" w:type="dxa"/>
              <w:bottom w:w="57" w:type="dxa"/>
              <w:right w:w="0" w:type="dxa"/>
            </w:tcMar>
            <w:vAlign w:val="bottom"/>
          </w:tcPr>
          <w:p w14:paraId="530F906E" w14:textId="77777777" w:rsidR="00786360" w:rsidRPr="00786360" w:rsidRDefault="00786360" w:rsidP="00615190">
            <w:pPr>
              <w:spacing w:line="240" w:lineRule="atLeast"/>
              <w:rPr>
                <w:rFonts w:ascii="Tahoma" w:hAnsi="Tahoma"/>
                <w:color w:val="000000" w:themeColor="text1"/>
                <w:sz w:val="16"/>
                <w:lang w:val="en-GB"/>
              </w:rPr>
            </w:pPr>
            <w:r w:rsidRPr="00786360">
              <w:rPr>
                <w:rFonts w:ascii="Tahoma" w:hAnsi="Tahoma"/>
                <w:color w:val="000000" w:themeColor="text1"/>
                <w:sz w:val="16"/>
                <w:lang w:val="en-GB"/>
              </w:rPr>
              <w:t>Eastern Europe</w:t>
            </w:r>
          </w:p>
        </w:tc>
        <w:tc>
          <w:tcPr>
            <w:tcW w:w="992" w:type="dxa"/>
            <w:tcBorders>
              <w:left w:val="single" w:sz="4" w:space="0" w:color="auto"/>
            </w:tcBorders>
            <w:shd w:val="clear" w:color="auto" w:fill="auto"/>
            <w:tcMar>
              <w:top w:w="57" w:type="dxa"/>
              <w:left w:w="0" w:type="dxa"/>
              <w:bottom w:w="57" w:type="dxa"/>
              <w:right w:w="0" w:type="dxa"/>
            </w:tcMar>
            <w:vAlign w:val="bottom"/>
          </w:tcPr>
          <w:p w14:paraId="1724BF94" w14:textId="77777777" w:rsidR="00786360" w:rsidRPr="00786360" w:rsidRDefault="00786360" w:rsidP="006C78F0">
            <w:pPr>
              <w:spacing w:line="240" w:lineRule="atLeast"/>
              <w:jc w:val="right"/>
              <w:rPr>
                <w:rFonts w:ascii="Tahoma" w:hAnsi="Tahoma"/>
                <w:b/>
                <w:bCs/>
                <w:color w:val="000000" w:themeColor="text1"/>
                <w:sz w:val="16"/>
                <w:lang w:val="en-GB"/>
              </w:rPr>
            </w:pPr>
            <w:r w:rsidRPr="00786360">
              <w:rPr>
                <w:rFonts w:ascii="Tahoma" w:hAnsi="Tahoma"/>
                <w:b/>
                <w:bCs/>
                <w:color w:val="000000" w:themeColor="text1"/>
                <w:sz w:val="16"/>
                <w:lang w:val="en-GB"/>
              </w:rPr>
              <w:t>892</w:t>
            </w:r>
          </w:p>
        </w:tc>
        <w:tc>
          <w:tcPr>
            <w:tcW w:w="1134" w:type="dxa"/>
            <w:shd w:val="clear" w:color="auto" w:fill="auto"/>
            <w:tcMar>
              <w:top w:w="57" w:type="dxa"/>
              <w:left w:w="0" w:type="dxa"/>
              <w:bottom w:w="57" w:type="dxa"/>
              <w:right w:w="0" w:type="dxa"/>
            </w:tcMar>
            <w:vAlign w:val="bottom"/>
          </w:tcPr>
          <w:p w14:paraId="77D64EA7" w14:textId="77777777" w:rsidR="00786360" w:rsidRPr="00786360" w:rsidRDefault="00786360" w:rsidP="006C78F0">
            <w:pPr>
              <w:spacing w:line="240" w:lineRule="atLeast"/>
              <w:jc w:val="right"/>
              <w:rPr>
                <w:rFonts w:ascii="Tahoma" w:hAnsi="Tahoma"/>
                <w:color w:val="000000" w:themeColor="text1"/>
                <w:sz w:val="16"/>
                <w:lang w:val="en-GB"/>
              </w:rPr>
            </w:pPr>
            <w:r w:rsidRPr="00786360">
              <w:rPr>
                <w:rFonts w:ascii="Tahoma" w:hAnsi="Tahoma"/>
                <w:color w:val="000000" w:themeColor="text1"/>
                <w:sz w:val="16"/>
                <w:lang w:val="en-GB"/>
              </w:rPr>
              <w:t>964</w:t>
            </w:r>
          </w:p>
        </w:tc>
        <w:tc>
          <w:tcPr>
            <w:tcW w:w="1134" w:type="dxa"/>
            <w:tcBorders>
              <w:right w:val="single" w:sz="4" w:space="0" w:color="auto"/>
            </w:tcBorders>
            <w:shd w:val="clear" w:color="auto" w:fill="auto"/>
            <w:tcMar>
              <w:top w:w="57" w:type="dxa"/>
              <w:left w:w="0" w:type="dxa"/>
              <w:bottom w:w="57" w:type="dxa"/>
              <w:right w:w="0" w:type="dxa"/>
            </w:tcMar>
            <w:vAlign w:val="bottom"/>
          </w:tcPr>
          <w:p w14:paraId="73945E37" w14:textId="77777777" w:rsidR="00786360" w:rsidRPr="00786360" w:rsidRDefault="00786360" w:rsidP="006C78F0">
            <w:pPr>
              <w:spacing w:line="240" w:lineRule="atLeast"/>
              <w:ind w:right="113"/>
              <w:jc w:val="right"/>
              <w:rPr>
                <w:rFonts w:ascii="Tahoma" w:hAnsi="Tahoma"/>
                <w:color w:val="000000" w:themeColor="text1"/>
                <w:sz w:val="16"/>
                <w:lang w:val="en-GB"/>
              </w:rPr>
            </w:pPr>
            <w:r w:rsidRPr="00786360">
              <w:rPr>
                <w:rFonts w:ascii="Tahoma" w:hAnsi="Tahoma"/>
                <w:color w:val="000000" w:themeColor="text1"/>
                <w:sz w:val="16"/>
                <w:lang w:val="en-GB"/>
              </w:rPr>
              <w:t>2 121</w:t>
            </w:r>
          </w:p>
        </w:tc>
      </w:tr>
      <w:tr w:rsidR="00615190" w:rsidRPr="00786360" w14:paraId="4ED9C860" w14:textId="77777777" w:rsidTr="000F2214">
        <w:trPr>
          <w:trHeight w:val="60"/>
        </w:trPr>
        <w:tc>
          <w:tcPr>
            <w:tcW w:w="405" w:type="dxa"/>
            <w:shd w:val="clear" w:color="auto" w:fill="auto"/>
            <w:tcMar>
              <w:top w:w="57" w:type="dxa"/>
              <w:left w:w="0" w:type="dxa"/>
              <w:bottom w:w="57" w:type="dxa"/>
              <w:right w:w="0" w:type="dxa"/>
            </w:tcMar>
            <w:vAlign w:val="bottom"/>
          </w:tcPr>
          <w:p w14:paraId="04396CF2" w14:textId="77777777" w:rsidR="00786360" w:rsidRPr="00786360" w:rsidRDefault="00786360" w:rsidP="00615190">
            <w:pPr>
              <w:spacing w:line="240" w:lineRule="atLeast"/>
              <w:rPr>
                <w:rFonts w:ascii="Tahoma" w:hAnsi="Tahoma"/>
                <w:color w:val="000000" w:themeColor="text1"/>
                <w:sz w:val="16"/>
                <w:lang w:val="en-GB"/>
              </w:rPr>
            </w:pPr>
          </w:p>
        </w:tc>
        <w:tc>
          <w:tcPr>
            <w:tcW w:w="6541" w:type="dxa"/>
            <w:tcBorders>
              <w:right w:val="single" w:sz="4" w:space="0" w:color="auto"/>
            </w:tcBorders>
            <w:shd w:val="clear" w:color="auto" w:fill="auto"/>
            <w:tcMar>
              <w:top w:w="57" w:type="dxa"/>
              <w:left w:w="113" w:type="dxa"/>
              <w:bottom w:w="57" w:type="dxa"/>
              <w:right w:w="0" w:type="dxa"/>
            </w:tcMar>
            <w:vAlign w:val="bottom"/>
          </w:tcPr>
          <w:p w14:paraId="2A15315E" w14:textId="77777777" w:rsidR="00786360" w:rsidRPr="00786360" w:rsidRDefault="00786360" w:rsidP="00615190">
            <w:pPr>
              <w:spacing w:line="240" w:lineRule="atLeast"/>
              <w:rPr>
                <w:rFonts w:ascii="Tahoma" w:hAnsi="Tahoma"/>
                <w:color w:val="000000" w:themeColor="text1"/>
                <w:sz w:val="16"/>
                <w:lang w:val="en-GB"/>
              </w:rPr>
            </w:pPr>
            <w:r w:rsidRPr="00786360">
              <w:rPr>
                <w:rFonts w:ascii="Tahoma" w:hAnsi="Tahoma"/>
                <w:color w:val="000000" w:themeColor="text1"/>
                <w:sz w:val="16"/>
                <w:lang w:val="en-GB"/>
              </w:rPr>
              <w:t>Western Europe</w:t>
            </w:r>
          </w:p>
        </w:tc>
        <w:tc>
          <w:tcPr>
            <w:tcW w:w="992" w:type="dxa"/>
            <w:tcBorders>
              <w:left w:val="single" w:sz="4" w:space="0" w:color="auto"/>
              <w:bottom w:val="single" w:sz="4" w:space="0" w:color="auto"/>
            </w:tcBorders>
            <w:shd w:val="clear" w:color="auto" w:fill="auto"/>
            <w:tcMar>
              <w:top w:w="57" w:type="dxa"/>
              <w:left w:w="0" w:type="dxa"/>
              <w:bottom w:w="57" w:type="dxa"/>
              <w:right w:w="0" w:type="dxa"/>
            </w:tcMar>
            <w:vAlign w:val="bottom"/>
          </w:tcPr>
          <w:p w14:paraId="0A13B87F" w14:textId="77777777" w:rsidR="00786360" w:rsidRPr="00786360" w:rsidRDefault="00786360" w:rsidP="006C78F0">
            <w:pPr>
              <w:spacing w:line="240" w:lineRule="atLeast"/>
              <w:jc w:val="right"/>
              <w:rPr>
                <w:rFonts w:ascii="Tahoma" w:hAnsi="Tahoma"/>
                <w:b/>
                <w:bCs/>
                <w:color w:val="000000" w:themeColor="text1"/>
                <w:sz w:val="16"/>
                <w:lang w:val="en-GB"/>
              </w:rPr>
            </w:pPr>
            <w:r w:rsidRPr="00786360">
              <w:rPr>
                <w:rFonts w:ascii="Tahoma" w:hAnsi="Tahoma"/>
                <w:b/>
                <w:bCs/>
                <w:color w:val="000000" w:themeColor="text1"/>
                <w:sz w:val="16"/>
                <w:lang w:val="en-GB"/>
              </w:rPr>
              <w:t>47</w:t>
            </w:r>
          </w:p>
        </w:tc>
        <w:tc>
          <w:tcPr>
            <w:tcW w:w="1134" w:type="dxa"/>
            <w:tcBorders>
              <w:bottom w:val="single" w:sz="4" w:space="0" w:color="auto"/>
            </w:tcBorders>
            <w:shd w:val="clear" w:color="auto" w:fill="auto"/>
            <w:tcMar>
              <w:top w:w="57" w:type="dxa"/>
              <w:left w:w="0" w:type="dxa"/>
              <w:bottom w:w="57" w:type="dxa"/>
              <w:right w:w="0" w:type="dxa"/>
            </w:tcMar>
            <w:vAlign w:val="bottom"/>
          </w:tcPr>
          <w:p w14:paraId="31998F58" w14:textId="77777777" w:rsidR="00786360" w:rsidRPr="00786360" w:rsidRDefault="00786360" w:rsidP="006C78F0">
            <w:pPr>
              <w:spacing w:line="240" w:lineRule="atLeast"/>
              <w:jc w:val="right"/>
              <w:rPr>
                <w:rFonts w:ascii="Tahoma" w:hAnsi="Tahoma"/>
                <w:color w:val="000000" w:themeColor="text1"/>
                <w:sz w:val="16"/>
                <w:lang w:val="en-GB"/>
              </w:rPr>
            </w:pPr>
            <w:r w:rsidRPr="00786360">
              <w:rPr>
                <w:rFonts w:ascii="Tahoma" w:hAnsi="Tahoma"/>
                <w:color w:val="000000" w:themeColor="text1"/>
                <w:sz w:val="16"/>
                <w:lang w:val="en-GB"/>
              </w:rPr>
              <w:t>48</w:t>
            </w:r>
          </w:p>
        </w:tc>
        <w:tc>
          <w:tcPr>
            <w:tcW w:w="1134" w:type="dxa"/>
            <w:tcBorders>
              <w:bottom w:val="single" w:sz="4" w:space="0" w:color="auto"/>
              <w:right w:val="single" w:sz="4" w:space="0" w:color="auto"/>
            </w:tcBorders>
            <w:shd w:val="clear" w:color="auto" w:fill="auto"/>
            <w:tcMar>
              <w:top w:w="57" w:type="dxa"/>
              <w:left w:w="0" w:type="dxa"/>
              <w:bottom w:w="57" w:type="dxa"/>
              <w:right w:w="0" w:type="dxa"/>
            </w:tcMar>
            <w:vAlign w:val="bottom"/>
          </w:tcPr>
          <w:p w14:paraId="6B1CE714" w14:textId="77777777" w:rsidR="00786360" w:rsidRPr="00786360" w:rsidRDefault="00786360" w:rsidP="006C78F0">
            <w:pPr>
              <w:spacing w:line="240" w:lineRule="atLeast"/>
              <w:ind w:right="113"/>
              <w:jc w:val="right"/>
              <w:rPr>
                <w:rFonts w:ascii="Tahoma" w:hAnsi="Tahoma"/>
                <w:color w:val="000000" w:themeColor="text1"/>
                <w:sz w:val="16"/>
                <w:lang w:val="en-GB"/>
              </w:rPr>
            </w:pPr>
            <w:r w:rsidRPr="00786360">
              <w:rPr>
                <w:rFonts w:ascii="Tahoma" w:hAnsi="Tahoma"/>
                <w:color w:val="000000" w:themeColor="text1"/>
                <w:sz w:val="16"/>
                <w:lang w:val="en-GB"/>
              </w:rPr>
              <w:t>100</w:t>
            </w:r>
          </w:p>
        </w:tc>
      </w:tr>
      <w:tr w:rsidR="00615190" w:rsidRPr="00786360" w14:paraId="1C12E7B0" w14:textId="77777777" w:rsidTr="000F2214">
        <w:trPr>
          <w:trHeight w:val="60"/>
        </w:trPr>
        <w:tc>
          <w:tcPr>
            <w:tcW w:w="405" w:type="dxa"/>
            <w:shd w:val="clear" w:color="auto" w:fill="auto"/>
            <w:tcMar>
              <w:top w:w="57" w:type="dxa"/>
              <w:left w:w="0" w:type="dxa"/>
              <w:bottom w:w="57" w:type="dxa"/>
              <w:right w:w="0" w:type="dxa"/>
            </w:tcMar>
            <w:vAlign w:val="bottom"/>
          </w:tcPr>
          <w:p w14:paraId="13E8EA1D" w14:textId="77777777" w:rsidR="00786360" w:rsidRPr="00786360" w:rsidRDefault="00786360" w:rsidP="00615190">
            <w:pPr>
              <w:spacing w:line="240" w:lineRule="atLeast"/>
              <w:rPr>
                <w:rFonts w:ascii="Tahoma" w:hAnsi="Tahoma"/>
                <w:color w:val="000000" w:themeColor="text1"/>
                <w:sz w:val="16"/>
                <w:lang w:val="en-GB"/>
              </w:rPr>
            </w:pPr>
          </w:p>
        </w:tc>
        <w:tc>
          <w:tcPr>
            <w:tcW w:w="6541" w:type="dxa"/>
            <w:shd w:val="clear" w:color="auto" w:fill="auto"/>
            <w:tcMar>
              <w:top w:w="57" w:type="dxa"/>
              <w:left w:w="0" w:type="dxa"/>
              <w:bottom w:w="57" w:type="dxa"/>
              <w:right w:w="0" w:type="dxa"/>
            </w:tcMar>
            <w:vAlign w:val="bottom"/>
          </w:tcPr>
          <w:p w14:paraId="696A08D7" w14:textId="77777777" w:rsidR="00786360" w:rsidRPr="00786360" w:rsidRDefault="00786360" w:rsidP="00615190">
            <w:pPr>
              <w:spacing w:line="240" w:lineRule="atLeast"/>
              <w:rPr>
                <w:rFonts w:ascii="Tahoma" w:hAnsi="Tahoma"/>
                <w:color w:val="000000" w:themeColor="text1"/>
                <w:sz w:val="16"/>
                <w:lang w:val="en-GB"/>
              </w:rPr>
            </w:pPr>
            <w:r w:rsidRPr="00786360">
              <w:rPr>
                <w:rFonts w:ascii="Tahoma" w:hAnsi="Tahoma"/>
                <w:color w:val="000000" w:themeColor="text1"/>
                <w:sz w:val="16"/>
                <w:lang w:val="en-GB"/>
              </w:rPr>
              <w:t>Latin America</w:t>
            </w:r>
          </w:p>
        </w:tc>
        <w:tc>
          <w:tcPr>
            <w:tcW w:w="992" w:type="dxa"/>
            <w:tcBorders>
              <w:top w:val="single" w:sz="4" w:space="0" w:color="auto"/>
            </w:tcBorders>
            <w:shd w:val="clear" w:color="auto" w:fill="auto"/>
            <w:tcMar>
              <w:top w:w="57" w:type="dxa"/>
              <w:left w:w="0" w:type="dxa"/>
              <w:bottom w:w="57" w:type="dxa"/>
              <w:right w:w="0" w:type="dxa"/>
            </w:tcMar>
            <w:vAlign w:val="bottom"/>
          </w:tcPr>
          <w:p w14:paraId="23E203B0" w14:textId="77777777" w:rsidR="00786360" w:rsidRPr="00786360" w:rsidRDefault="00786360" w:rsidP="006C78F0">
            <w:pPr>
              <w:spacing w:line="240" w:lineRule="atLeast"/>
              <w:jc w:val="right"/>
              <w:rPr>
                <w:rFonts w:ascii="Tahoma" w:hAnsi="Tahoma"/>
                <w:b/>
                <w:bCs/>
                <w:color w:val="000000" w:themeColor="text1"/>
                <w:sz w:val="16"/>
                <w:lang w:val="en-GB"/>
              </w:rPr>
            </w:pPr>
            <w:r w:rsidRPr="00786360">
              <w:rPr>
                <w:rFonts w:ascii="Tahoma" w:hAnsi="Tahoma"/>
                <w:b/>
                <w:bCs/>
                <w:color w:val="000000" w:themeColor="text1"/>
                <w:sz w:val="16"/>
                <w:lang w:val="en-GB"/>
              </w:rPr>
              <w:t>1 140</w:t>
            </w:r>
          </w:p>
        </w:tc>
        <w:tc>
          <w:tcPr>
            <w:tcW w:w="1134" w:type="dxa"/>
            <w:tcBorders>
              <w:top w:val="single" w:sz="4" w:space="0" w:color="auto"/>
            </w:tcBorders>
            <w:shd w:val="clear" w:color="auto" w:fill="auto"/>
            <w:tcMar>
              <w:top w:w="57" w:type="dxa"/>
              <w:left w:w="0" w:type="dxa"/>
              <w:bottom w:w="57" w:type="dxa"/>
              <w:right w:w="0" w:type="dxa"/>
            </w:tcMar>
            <w:vAlign w:val="bottom"/>
          </w:tcPr>
          <w:p w14:paraId="30B439C6" w14:textId="77777777" w:rsidR="00786360" w:rsidRPr="00786360" w:rsidRDefault="00786360" w:rsidP="006C78F0">
            <w:pPr>
              <w:spacing w:line="240" w:lineRule="atLeast"/>
              <w:jc w:val="right"/>
              <w:rPr>
                <w:rFonts w:ascii="Tahoma" w:hAnsi="Tahoma"/>
                <w:color w:val="000000" w:themeColor="text1"/>
                <w:sz w:val="16"/>
                <w:lang w:val="en-GB"/>
              </w:rPr>
            </w:pPr>
            <w:r w:rsidRPr="00786360">
              <w:rPr>
                <w:rFonts w:ascii="Tahoma" w:hAnsi="Tahoma"/>
                <w:color w:val="000000" w:themeColor="text1"/>
                <w:sz w:val="16"/>
                <w:lang w:val="en-GB"/>
              </w:rPr>
              <w:t>820</w:t>
            </w:r>
          </w:p>
        </w:tc>
        <w:tc>
          <w:tcPr>
            <w:tcW w:w="1134" w:type="dxa"/>
            <w:tcBorders>
              <w:top w:val="single" w:sz="4" w:space="0" w:color="auto"/>
            </w:tcBorders>
            <w:shd w:val="clear" w:color="auto" w:fill="auto"/>
            <w:tcMar>
              <w:top w:w="57" w:type="dxa"/>
              <w:left w:w="0" w:type="dxa"/>
              <w:bottom w:w="57" w:type="dxa"/>
              <w:right w:w="0" w:type="dxa"/>
            </w:tcMar>
            <w:vAlign w:val="bottom"/>
          </w:tcPr>
          <w:p w14:paraId="0D193BAC" w14:textId="77777777" w:rsidR="00786360" w:rsidRPr="00786360" w:rsidRDefault="00786360" w:rsidP="006C78F0">
            <w:pPr>
              <w:spacing w:line="240" w:lineRule="atLeast"/>
              <w:ind w:right="113"/>
              <w:jc w:val="right"/>
              <w:rPr>
                <w:rFonts w:ascii="Tahoma" w:hAnsi="Tahoma"/>
                <w:color w:val="000000" w:themeColor="text1"/>
                <w:sz w:val="16"/>
                <w:lang w:val="en-GB"/>
              </w:rPr>
            </w:pPr>
            <w:r w:rsidRPr="00786360">
              <w:rPr>
                <w:rFonts w:ascii="Tahoma" w:hAnsi="Tahoma"/>
                <w:color w:val="000000" w:themeColor="text1"/>
                <w:sz w:val="16"/>
                <w:lang w:val="en-GB"/>
              </w:rPr>
              <w:t>1 834</w:t>
            </w:r>
          </w:p>
        </w:tc>
      </w:tr>
      <w:tr w:rsidR="00615190" w:rsidRPr="00786360" w14:paraId="2A66A563" w14:textId="77777777" w:rsidTr="002F078E">
        <w:trPr>
          <w:trHeight w:val="60"/>
        </w:trPr>
        <w:tc>
          <w:tcPr>
            <w:tcW w:w="405" w:type="dxa"/>
            <w:shd w:val="clear" w:color="auto" w:fill="auto"/>
            <w:tcMar>
              <w:top w:w="57" w:type="dxa"/>
              <w:left w:w="0" w:type="dxa"/>
              <w:bottom w:w="57" w:type="dxa"/>
              <w:right w:w="0" w:type="dxa"/>
            </w:tcMar>
            <w:vAlign w:val="bottom"/>
          </w:tcPr>
          <w:p w14:paraId="1C4F193D" w14:textId="77777777" w:rsidR="00786360" w:rsidRPr="00786360" w:rsidRDefault="00786360" w:rsidP="00615190">
            <w:pPr>
              <w:spacing w:line="240" w:lineRule="atLeast"/>
              <w:rPr>
                <w:rFonts w:ascii="Tahoma" w:hAnsi="Tahoma"/>
                <w:color w:val="000000" w:themeColor="text1"/>
                <w:sz w:val="16"/>
                <w:lang w:val="en-GB"/>
              </w:rPr>
            </w:pPr>
          </w:p>
        </w:tc>
        <w:tc>
          <w:tcPr>
            <w:tcW w:w="6541" w:type="dxa"/>
            <w:shd w:val="clear" w:color="auto" w:fill="auto"/>
            <w:tcMar>
              <w:top w:w="57" w:type="dxa"/>
              <w:left w:w="0" w:type="dxa"/>
              <w:bottom w:w="57" w:type="dxa"/>
              <w:right w:w="0" w:type="dxa"/>
            </w:tcMar>
            <w:vAlign w:val="bottom"/>
          </w:tcPr>
          <w:p w14:paraId="21880BE2" w14:textId="77777777" w:rsidR="00786360" w:rsidRPr="00786360" w:rsidRDefault="00786360" w:rsidP="00615190">
            <w:pPr>
              <w:spacing w:line="240" w:lineRule="atLeast"/>
              <w:rPr>
                <w:rFonts w:ascii="Tahoma" w:hAnsi="Tahoma"/>
                <w:color w:val="000000" w:themeColor="text1"/>
                <w:sz w:val="16"/>
                <w:lang w:val="en-GB"/>
              </w:rPr>
            </w:pPr>
            <w:r w:rsidRPr="00786360">
              <w:rPr>
                <w:rFonts w:ascii="Tahoma" w:hAnsi="Tahoma"/>
                <w:color w:val="000000" w:themeColor="text1"/>
                <w:sz w:val="16"/>
                <w:lang w:val="en-GB"/>
              </w:rPr>
              <w:t>North America</w:t>
            </w:r>
          </w:p>
        </w:tc>
        <w:tc>
          <w:tcPr>
            <w:tcW w:w="992" w:type="dxa"/>
            <w:shd w:val="clear" w:color="auto" w:fill="auto"/>
            <w:tcMar>
              <w:top w:w="57" w:type="dxa"/>
              <w:left w:w="0" w:type="dxa"/>
              <w:bottom w:w="57" w:type="dxa"/>
              <w:right w:w="0" w:type="dxa"/>
            </w:tcMar>
            <w:vAlign w:val="bottom"/>
          </w:tcPr>
          <w:p w14:paraId="7B3CA4F4" w14:textId="77777777" w:rsidR="00786360" w:rsidRPr="00786360" w:rsidRDefault="00786360" w:rsidP="006C78F0">
            <w:pPr>
              <w:spacing w:line="240" w:lineRule="atLeast"/>
              <w:jc w:val="right"/>
              <w:rPr>
                <w:rFonts w:ascii="Tahoma" w:hAnsi="Tahoma"/>
                <w:b/>
                <w:bCs/>
                <w:color w:val="000000" w:themeColor="text1"/>
                <w:sz w:val="16"/>
                <w:lang w:val="en-GB"/>
              </w:rPr>
            </w:pPr>
            <w:r w:rsidRPr="00786360">
              <w:rPr>
                <w:rFonts w:ascii="Tahoma" w:hAnsi="Tahoma"/>
                <w:b/>
                <w:bCs/>
                <w:color w:val="000000" w:themeColor="text1"/>
                <w:sz w:val="16"/>
                <w:lang w:val="en-GB"/>
              </w:rPr>
              <w:t>314</w:t>
            </w:r>
          </w:p>
        </w:tc>
        <w:tc>
          <w:tcPr>
            <w:tcW w:w="1134" w:type="dxa"/>
            <w:shd w:val="clear" w:color="auto" w:fill="auto"/>
            <w:tcMar>
              <w:top w:w="57" w:type="dxa"/>
              <w:left w:w="0" w:type="dxa"/>
              <w:bottom w:w="57" w:type="dxa"/>
              <w:right w:w="0" w:type="dxa"/>
            </w:tcMar>
            <w:vAlign w:val="bottom"/>
          </w:tcPr>
          <w:p w14:paraId="60912C42" w14:textId="77777777" w:rsidR="00786360" w:rsidRPr="00786360" w:rsidRDefault="00786360" w:rsidP="006C78F0">
            <w:pPr>
              <w:spacing w:line="240" w:lineRule="atLeast"/>
              <w:jc w:val="right"/>
              <w:rPr>
                <w:rFonts w:ascii="Tahoma" w:hAnsi="Tahoma"/>
                <w:color w:val="000000" w:themeColor="text1"/>
                <w:sz w:val="16"/>
                <w:lang w:val="en-GB"/>
              </w:rPr>
            </w:pPr>
            <w:r w:rsidRPr="00786360">
              <w:rPr>
                <w:rFonts w:ascii="Tahoma" w:hAnsi="Tahoma"/>
                <w:color w:val="000000" w:themeColor="text1"/>
                <w:sz w:val="16"/>
                <w:lang w:val="en-GB"/>
              </w:rPr>
              <w:t>252</w:t>
            </w:r>
          </w:p>
        </w:tc>
        <w:tc>
          <w:tcPr>
            <w:tcW w:w="1134" w:type="dxa"/>
            <w:shd w:val="clear" w:color="auto" w:fill="auto"/>
            <w:tcMar>
              <w:top w:w="57" w:type="dxa"/>
              <w:left w:w="0" w:type="dxa"/>
              <w:bottom w:w="57" w:type="dxa"/>
              <w:right w:w="0" w:type="dxa"/>
            </w:tcMar>
            <w:vAlign w:val="bottom"/>
          </w:tcPr>
          <w:p w14:paraId="3C5BD77D" w14:textId="77777777" w:rsidR="00786360" w:rsidRPr="00786360" w:rsidRDefault="00786360" w:rsidP="006C78F0">
            <w:pPr>
              <w:spacing w:line="240" w:lineRule="atLeast"/>
              <w:ind w:right="113"/>
              <w:jc w:val="right"/>
              <w:rPr>
                <w:rFonts w:ascii="Tahoma" w:hAnsi="Tahoma"/>
                <w:color w:val="000000" w:themeColor="text1"/>
                <w:sz w:val="16"/>
                <w:lang w:val="en-GB"/>
              </w:rPr>
            </w:pPr>
            <w:r w:rsidRPr="00786360">
              <w:rPr>
                <w:rFonts w:ascii="Tahoma" w:hAnsi="Tahoma"/>
                <w:color w:val="000000" w:themeColor="text1"/>
                <w:sz w:val="16"/>
                <w:lang w:val="en-GB"/>
              </w:rPr>
              <w:t>647</w:t>
            </w:r>
          </w:p>
        </w:tc>
      </w:tr>
      <w:tr w:rsidR="00615190" w:rsidRPr="00786360" w14:paraId="198D682D" w14:textId="77777777" w:rsidTr="002F078E">
        <w:trPr>
          <w:trHeight w:val="60"/>
        </w:trPr>
        <w:tc>
          <w:tcPr>
            <w:tcW w:w="405" w:type="dxa"/>
            <w:shd w:val="clear" w:color="auto" w:fill="auto"/>
            <w:tcMar>
              <w:top w:w="57" w:type="dxa"/>
              <w:left w:w="0" w:type="dxa"/>
              <w:bottom w:w="85" w:type="dxa"/>
              <w:right w:w="0" w:type="dxa"/>
            </w:tcMar>
            <w:vAlign w:val="bottom"/>
          </w:tcPr>
          <w:p w14:paraId="3EE38BAD" w14:textId="77777777" w:rsidR="00786360" w:rsidRPr="00786360" w:rsidRDefault="00786360" w:rsidP="00615190">
            <w:pPr>
              <w:spacing w:line="240" w:lineRule="atLeast"/>
              <w:rPr>
                <w:rFonts w:ascii="Tahoma" w:hAnsi="Tahoma"/>
                <w:color w:val="000000" w:themeColor="text1"/>
                <w:sz w:val="16"/>
                <w:lang w:val="en-GB"/>
              </w:rPr>
            </w:pPr>
          </w:p>
        </w:tc>
        <w:tc>
          <w:tcPr>
            <w:tcW w:w="6541" w:type="dxa"/>
            <w:tcBorders>
              <w:bottom w:val="single" w:sz="4" w:space="0" w:color="auto"/>
            </w:tcBorders>
            <w:shd w:val="clear" w:color="auto" w:fill="auto"/>
            <w:tcMar>
              <w:top w:w="57" w:type="dxa"/>
              <w:left w:w="0" w:type="dxa"/>
              <w:bottom w:w="85" w:type="dxa"/>
              <w:right w:w="0" w:type="dxa"/>
            </w:tcMar>
            <w:vAlign w:val="bottom"/>
          </w:tcPr>
          <w:p w14:paraId="3A7234FA" w14:textId="77777777" w:rsidR="00786360" w:rsidRPr="00786360" w:rsidRDefault="00786360" w:rsidP="00615190">
            <w:pPr>
              <w:spacing w:line="240" w:lineRule="atLeast"/>
              <w:rPr>
                <w:rFonts w:ascii="Tahoma" w:hAnsi="Tahoma"/>
                <w:color w:val="000000" w:themeColor="text1"/>
                <w:sz w:val="16"/>
                <w:lang w:val="en-GB"/>
              </w:rPr>
            </w:pPr>
            <w:r w:rsidRPr="00786360">
              <w:rPr>
                <w:rFonts w:ascii="Tahoma" w:hAnsi="Tahoma"/>
                <w:color w:val="000000" w:themeColor="text1"/>
                <w:sz w:val="16"/>
                <w:lang w:val="en-GB"/>
              </w:rPr>
              <w:t>Other</w:t>
            </w:r>
          </w:p>
        </w:tc>
        <w:tc>
          <w:tcPr>
            <w:tcW w:w="992" w:type="dxa"/>
            <w:tcBorders>
              <w:bottom w:val="single" w:sz="4" w:space="0" w:color="auto"/>
            </w:tcBorders>
            <w:shd w:val="clear" w:color="auto" w:fill="auto"/>
            <w:tcMar>
              <w:top w:w="57" w:type="dxa"/>
              <w:left w:w="0" w:type="dxa"/>
              <w:bottom w:w="85" w:type="dxa"/>
              <w:right w:w="0" w:type="dxa"/>
            </w:tcMar>
            <w:vAlign w:val="bottom"/>
          </w:tcPr>
          <w:p w14:paraId="4A673F73" w14:textId="77777777" w:rsidR="00786360" w:rsidRPr="00786360" w:rsidRDefault="00786360" w:rsidP="006C78F0">
            <w:pPr>
              <w:spacing w:line="240" w:lineRule="atLeast"/>
              <w:jc w:val="right"/>
              <w:rPr>
                <w:rFonts w:ascii="Tahoma" w:hAnsi="Tahoma"/>
                <w:b/>
                <w:bCs/>
                <w:color w:val="000000" w:themeColor="text1"/>
                <w:sz w:val="16"/>
                <w:lang w:val="en-GB"/>
              </w:rPr>
            </w:pPr>
            <w:r w:rsidRPr="00786360">
              <w:rPr>
                <w:rFonts w:ascii="Tahoma" w:hAnsi="Tahoma"/>
                <w:b/>
                <w:bCs/>
                <w:color w:val="000000" w:themeColor="text1"/>
                <w:sz w:val="16"/>
                <w:lang w:val="en-GB"/>
              </w:rPr>
              <w:t>33</w:t>
            </w:r>
          </w:p>
        </w:tc>
        <w:tc>
          <w:tcPr>
            <w:tcW w:w="1134" w:type="dxa"/>
            <w:tcBorders>
              <w:bottom w:val="single" w:sz="4" w:space="0" w:color="auto"/>
            </w:tcBorders>
            <w:shd w:val="clear" w:color="auto" w:fill="auto"/>
            <w:tcMar>
              <w:top w:w="57" w:type="dxa"/>
              <w:left w:w="0" w:type="dxa"/>
              <w:bottom w:w="85" w:type="dxa"/>
              <w:right w:w="0" w:type="dxa"/>
            </w:tcMar>
            <w:vAlign w:val="bottom"/>
          </w:tcPr>
          <w:p w14:paraId="75F9F671" w14:textId="77777777" w:rsidR="00786360" w:rsidRPr="00786360" w:rsidRDefault="00786360" w:rsidP="006C78F0">
            <w:pPr>
              <w:spacing w:line="240" w:lineRule="atLeast"/>
              <w:jc w:val="right"/>
              <w:rPr>
                <w:rFonts w:ascii="Tahoma" w:hAnsi="Tahoma"/>
                <w:color w:val="000000" w:themeColor="text1"/>
                <w:sz w:val="16"/>
                <w:lang w:val="en-GB"/>
              </w:rPr>
            </w:pPr>
            <w:r w:rsidRPr="00786360">
              <w:rPr>
                <w:rFonts w:ascii="Tahoma" w:hAnsi="Tahoma"/>
                <w:color w:val="000000" w:themeColor="text1"/>
                <w:sz w:val="16"/>
                <w:lang w:val="en-GB"/>
              </w:rPr>
              <w:t>33</w:t>
            </w:r>
          </w:p>
        </w:tc>
        <w:tc>
          <w:tcPr>
            <w:tcW w:w="1134" w:type="dxa"/>
            <w:tcBorders>
              <w:bottom w:val="single" w:sz="4" w:space="0" w:color="auto"/>
            </w:tcBorders>
            <w:shd w:val="clear" w:color="auto" w:fill="auto"/>
            <w:tcMar>
              <w:top w:w="57" w:type="dxa"/>
              <w:left w:w="0" w:type="dxa"/>
              <w:bottom w:w="85" w:type="dxa"/>
              <w:right w:w="0" w:type="dxa"/>
            </w:tcMar>
            <w:vAlign w:val="bottom"/>
          </w:tcPr>
          <w:p w14:paraId="11703AD3" w14:textId="77777777" w:rsidR="00786360" w:rsidRPr="00786360" w:rsidRDefault="00786360" w:rsidP="006C78F0">
            <w:pPr>
              <w:spacing w:line="240" w:lineRule="atLeast"/>
              <w:ind w:right="113"/>
              <w:jc w:val="right"/>
              <w:rPr>
                <w:rFonts w:ascii="Tahoma" w:hAnsi="Tahoma"/>
                <w:color w:val="000000" w:themeColor="text1"/>
                <w:sz w:val="16"/>
                <w:lang w:val="en-GB"/>
              </w:rPr>
            </w:pPr>
            <w:r w:rsidRPr="00786360">
              <w:rPr>
                <w:rFonts w:ascii="Tahoma" w:hAnsi="Tahoma"/>
                <w:color w:val="000000" w:themeColor="text1"/>
                <w:sz w:val="16"/>
                <w:lang w:val="en-GB"/>
              </w:rPr>
              <w:t>66</w:t>
            </w:r>
          </w:p>
        </w:tc>
      </w:tr>
      <w:tr w:rsidR="00615190" w:rsidRPr="00786360" w14:paraId="538227CF" w14:textId="77777777" w:rsidTr="002F078E">
        <w:trPr>
          <w:trHeight w:val="60"/>
        </w:trPr>
        <w:tc>
          <w:tcPr>
            <w:tcW w:w="405" w:type="dxa"/>
            <w:shd w:val="clear" w:color="auto" w:fill="auto"/>
            <w:tcMar>
              <w:top w:w="85" w:type="dxa"/>
              <w:left w:w="0" w:type="dxa"/>
              <w:bottom w:w="85" w:type="dxa"/>
              <w:right w:w="0" w:type="dxa"/>
            </w:tcMar>
            <w:vAlign w:val="bottom"/>
          </w:tcPr>
          <w:p w14:paraId="60E250AD" w14:textId="77777777" w:rsidR="00786360" w:rsidRPr="00786360" w:rsidRDefault="00786360" w:rsidP="00615190">
            <w:pPr>
              <w:spacing w:line="240" w:lineRule="atLeast"/>
              <w:rPr>
                <w:rFonts w:ascii="Tahoma" w:hAnsi="Tahoma"/>
                <w:color w:val="000000" w:themeColor="text1"/>
                <w:sz w:val="16"/>
                <w:lang w:val="en-GB"/>
              </w:rPr>
            </w:pPr>
          </w:p>
        </w:tc>
        <w:tc>
          <w:tcPr>
            <w:tcW w:w="6541"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653DDDE1" w14:textId="77777777" w:rsidR="00786360" w:rsidRPr="00786360" w:rsidRDefault="00786360" w:rsidP="00615190">
            <w:pPr>
              <w:spacing w:line="240" w:lineRule="atLeast"/>
              <w:rPr>
                <w:rFonts w:ascii="Tahoma" w:hAnsi="Tahoma"/>
                <w:b/>
                <w:bCs/>
                <w:color w:val="000000" w:themeColor="text1"/>
                <w:sz w:val="16"/>
                <w:lang w:val="en-GB"/>
              </w:rPr>
            </w:pPr>
            <w:r w:rsidRPr="00786360">
              <w:rPr>
                <w:rFonts w:ascii="Tahoma" w:hAnsi="Tahoma"/>
                <w:b/>
                <w:bCs/>
                <w:color w:val="000000" w:themeColor="text1"/>
                <w:sz w:val="16"/>
                <w:lang w:val="en-GB"/>
              </w:rPr>
              <w:t>Total</w:t>
            </w:r>
          </w:p>
        </w:tc>
        <w:tc>
          <w:tcPr>
            <w:tcW w:w="992"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1175E332" w14:textId="77777777" w:rsidR="00786360" w:rsidRPr="00786360" w:rsidRDefault="00786360" w:rsidP="006C78F0">
            <w:pPr>
              <w:spacing w:line="240" w:lineRule="atLeast"/>
              <w:jc w:val="right"/>
              <w:rPr>
                <w:rFonts w:ascii="Tahoma" w:hAnsi="Tahoma"/>
                <w:b/>
                <w:bCs/>
                <w:color w:val="000000" w:themeColor="text1"/>
                <w:sz w:val="16"/>
                <w:lang w:val="en-GB"/>
              </w:rPr>
            </w:pPr>
            <w:r w:rsidRPr="00786360">
              <w:rPr>
                <w:rFonts w:ascii="Tahoma" w:hAnsi="Tahoma"/>
                <w:b/>
                <w:bCs/>
                <w:color w:val="000000" w:themeColor="text1"/>
                <w:sz w:val="16"/>
                <w:lang w:val="en-GB"/>
              </w:rPr>
              <w:t>3 240</w:t>
            </w:r>
          </w:p>
        </w:tc>
        <w:tc>
          <w:tcPr>
            <w:tcW w:w="1134"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7299C290" w14:textId="77777777" w:rsidR="00786360" w:rsidRPr="00786360" w:rsidRDefault="00786360" w:rsidP="006C78F0">
            <w:pPr>
              <w:spacing w:line="240" w:lineRule="atLeast"/>
              <w:jc w:val="right"/>
              <w:rPr>
                <w:rFonts w:ascii="Tahoma" w:hAnsi="Tahoma"/>
                <w:color w:val="000000" w:themeColor="text1"/>
                <w:sz w:val="16"/>
                <w:lang w:val="en-GB"/>
              </w:rPr>
            </w:pPr>
            <w:r w:rsidRPr="00786360">
              <w:rPr>
                <w:rFonts w:ascii="Tahoma" w:hAnsi="Tahoma"/>
                <w:color w:val="000000" w:themeColor="text1"/>
                <w:sz w:val="16"/>
                <w:lang w:val="en-GB"/>
              </w:rPr>
              <w:t>2 753</w:t>
            </w:r>
          </w:p>
        </w:tc>
        <w:tc>
          <w:tcPr>
            <w:tcW w:w="1134"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0FCA0082" w14:textId="77777777" w:rsidR="00786360" w:rsidRPr="00786360" w:rsidRDefault="00786360" w:rsidP="006C78F0">
            <w:pPr>
              <w:spacing w:line="240" w:lineRule="atLeast"/>
              <w:ind w:right="113"/>
              <w:jc w:val="right"/>
              <w:rPr>
                <w:rFonts w:ascii="Tahoma" w:hAnsi="Tahoma"/>
                <w:color w:val="000000" w:themeColor="text1"/>
                <w:sz w:val="16"/>
                <w:lang w:val="en-GB"/>
              </w:rPr>
            </w:pPr>
            <w:r w:rsidRPr="00786360">
              <w:rPr>
                <w:rFonts w:ascii="Tahoma" w:hAnsi="Tahoma"/>
                <w:color w:val="000000" w:themeColor="text1"/>
                <w:sz w:val="16"/>
                <w:lang w:val="en-GB"/>
              </w:rPr>
              <w:t>6 237</w:t>
            </w:r>
          </w:p>
        </w:tc>
      </w:tr>
    </w:tbl>
    <w:p w14:paraId="433E0CF6" w14:textId="77777777" w:rsidR="00A31D35" w:rsidRDefault="00A31D35" w:rsidP="00615190">
      <w:pPr>
        <w:spacing w:line="240" w:lineRule="atLeast"/>
        <w:rPr>
          <w:rFonts w:ascii="Tahoma" w:hAnsi="Tahoma"/>
          <w:color w:val="000000" w:themeColor="text1"/>
          <w:sz w:val="16"/>
        </w:rPr>
      </w:pPr>
    </w:p>
    <w:p w14:paraId="3E840E43" w14:textId="77777777" w:rsidR="00786360" w:rsidRPr="00615190" w:rsidRDefault="00A31D35" w:rsidP="006977DE">
      <w:pPr>
        <w:rPr>
          <w:rFonts w:ascii="Tahoma" w:hAnsi="Tahoma"/>
          <w:color w:val="000000" w:themeColor="text1"/>
          <w:sz w:val="16"/>
        </w:rPr>
      </w:pPr>
      <w:r>
        <w:rPr>
          <w:rFonts w:ascii="Tahoma" w:hAnsi="Tahoma"/>
          <w:color w:val="000000" w:themeColor="text1"/>
          <w:sz w:val="16"/>
        </w:rPr>
        <w:br w:type="page"/>
      </w:r>
    </w:p>
    <w:tbl>
      <w:tblPr>
        <w:tblW w:w="10206" w:type="dxa"/>
        <w:tblInd w:w="-8" w:type="dxa"/>
        <w:tblLayout w:type="fixed"/>
        <w:tblCellMar>
          <w:left w:w="0" w:type="dxa"/>
          <w:right w:w="0" w:type="dxa"/>
        </w:tblCellMar>
        <w:tblLook w:val="0000" w:firstRow="0" w:lastRow="0" w:firstColumn="0" w:lastColumn="0" w:noHBand="0" w:noVBand="0"/>
      </w:tblPr>
      <w:tblGrid>
        <w:gridCol w:w="397"/>
        <w:gridCol w:w="6549"/>
        <w:gridCol w:w="992"/>
        <w:gridCol w:w="1134"/>
        <w:gridCol w:w="1134"/>
      </w:tblGrid>
      <w:tr w:rsidR="00615190" w:rsidRPr="00AF3707" w14:paraId="34C55654" w14:textId="77777777" w:rsidTr="005D4D6E">
        <w:trPr>
          <w:trHeight w:val="60"/>
        </w:trPr>
        <w:tc>
          <w:tcPr>
            <w:tcW w:w="397" w:type="dxa"/>
            <w:shd w:val="clear" w:color="auto" w:fill="auto"/>
            <w:tcMar>
              <w:top w:w="142" w:type="dxa"/>
              <w:left w:w="0" w:type="dxa"/>
              <w:bottom w:w="113" w:type="dxa"/>
              <w:right w:w="0" w:type="dxa"/>
            </w:tcMar>
            <w:vAlign w:val="bottom"/>
          </w:tcPr>
          <w:p w14:paraId="6B23F275" w14:textId="77777777" w:rsidR="00AF3707" w:rsidRPr="00AF3707" w:rsidRDefault="00E36B54" w:rsidP="006B45D6">
            <w:pPr>
              <w:contextualSpacing/>
              <w:rPr>
                <w:rFonts w:ascii="Tahoma" w:hAnsi="Tahoma"/>
                <w:b/>
                <w:bCs/>
                <w:color w:val="000000" w:themeColor="text1"/>
                <w:sz w:val="16"/>
                <w:lang w:val="en-GB"/>
              </w:rPr>
            </w:pPr>
            <w:r w:rsidRPr="00E36B54">
              <w:rPr>
                <w:rFonts w:ascii="Tahoma" w:hAnsi="Tahoma"/>
                <w:b/>
                <w:bCs/>
                <w:color w:val="000000" w:themeColor="text1"/>
                <w:sz w:val="16"/>
                <w:lang w:val="en-GB"/>
              </w:rPr>
              <w:lastRenderedPageBreak/>
              <w:t>8.</w:t>
            </w:r>
          </w:p>
        </w:tc>
        <w:tc>
          <w:tcPr>
            <w:tcW w:w="9809" w:type="dxa"/>
            <w:gridSpan w:val="4"/>
            <w:shd w:val="clear" w:color="auto" w:fill="auto"/>
            <w:tcMar>
              <w:top w:w="142" w:type="dxa"/>
              <w:left w:w="0" w:type="dxa"/>
              <w:bottom w:w="113" w:type="dxa"/>
              <w:right w:w="0" w:type="dxa"/>
            </w:tcMar>
            <w:vAlign w:val="bottom"/>
          </w:tcPr>
          <w:p w14:paraId="5D1975B4" w14:textId="77777777" w:rsidR="00AF3707" w:rsidRPr="00AF3707" w:rsidRDefault="00E36B54" w:rsidP="006B45D6">
            <w:pPr>
              <w:contextualSpacing/>
              <w:rPr>
                <w:rFonts w:ascii="Tahoma" w:hAnsi="Tahoma"/>
                <w:b/>
                <w:bCs/>
                <w:color w:val="000000" w:themeColor="text1"/>
                <w:sz w:val="16"/>
                <w:lang w:val="en-GB"/>
              </w:rPr>
            </w:pPr>
            <w:r w:rsidRPr="00E36B54">
              <w:rPr>
                <w:rFonts w:ascii="Tahoma" w:hAnsi="Tahoma"/>
                <w:b/>
                <w:bCs/>
                <w:color w:val="000000" w:themeColor="text1"/>
                <w:sz w:val="16"/>
                <w:lang w:val="en-GB"/>
              </w:rPr>
              <w:t>FINANCE (COSTS)/INCOME</w:t>
            </w:r>
          </w:p>
        </w:tc>
      </w:tr>
      <w:tr w:rsidR="00615190" w:rsidRPr="00AF3707" w14:paraId="2B1EA255" w14:textId="77777777" w:rsidTr="00A63A93">
        <w:trPr>
          <w:trHeight w:val="60"/>
        </w:trPr>
        <w:tc>
          <w:tcPr>
            <w:tcW w:w="397" w:type="dxa"/>
            <w:shd w:val="clear" w:color="auto" w:fill="auto"/>
            <w:tcMar>
              <w:top w:w="85" w:type="dxa"/>
              <w:left w:w="0" w:type="dxa"/>
              <w:bottom w:w="85" w:type="dxa"/>
              <w:right w:w="0" w:type="dxa"/>
            </w:tcMar>
            <w:vAlign w:val="bottom"/>
          </w:tcPr>
          <w:p w14:paraId="118DA97D" w14:textId="77777777" w:rsidR="00AF3707" w:rsidRPr="00AF3707" w:rsidRDefault="00AF3707" w:rsidP="006B45D6">
            <w:pPr>
              <w:contextualSpacing/>
              <w:rPr>
                <w:rFonts w:ascii="Tahoma" w:hAnsi="Tahoma"/>
                <w:color w:val="000000" w:themeColor="text1"/>
                <w:sz w:val="16"/>
                <w:lang w:val="en-GB"/>
              </w:rPr>
            </w:pPr>
          </w:p>
        </w:tc>
        <w:tc>
          <w:tcPr>
            <w:tcW w:w="6549" w:type="dxa"/>
            <w:shd w:val="clear" w:color="auto" w:fill="auto"/>
            <w:tcMar>
              <w:top w:w="85" w:type="dxa"/>
              <w:left w:w="0" w:type="dxa"/>
              <w:bottom w:w="85" w:type="dxa"/>
              <w:right w:w="0" w:type="dxa"/>
            </w:tcMar>
            <w:vAlign w:val="bottom"/>
          </w:tcPr>
          <w:p w14:paraId="02ABD324" w14:textId="77777777" w:rsidR="00AF3707" w:rsidRPr="00AF3707" w:rsidRDefault="00AF3707" w:rsidP="006B45D6">
            <w:pPr>
              <w:contextualSpacing/>
              <w:rPr>
                <w:rFonts w:ascii="Tahoma" w:hAnsi="Tahoma"/>
                <w:color w:val="000000" w:themeColor="text1"/>
                <w:sz w:val="16"/>
                <w:lang w:val="en-GB"/>
              </w:rPr>
            </w:pPr>
          </w:p>
        </w:tc>
        <w:tc>
          <w:tcPr>
            <w:tcW w:w="2126" w:type="dxa"/>
            <w:gridSpan w:val="2"/>
            <w:shd w:val="clear" w:color="auto" w:fill="auto"/>
            <w:tcMar>
              <w:top w:w="85" w:type="dxa"/>
              <w:left w:w="0" w:type="dxa"/>
              <w:bottom w:w="85" w:type="dxa"/>
              <w:right w:w="0" w:type="dxa"/>
            </w:tcMar>
            <w:vAlign w:val="bottom"/>
          </w:tcPr>
          <w:p w14:paraId="14CFBE6F" w14:textId="77777777" w:rsidR="00AF3707" w:rsidRPr="00AF3707" w:rsidRDefault="00AF3707" w:rsidP="006B45D6">
            <w:pPr>
              <w:contextualSpacing/>
              <w:jc w:val="center"/>
              <w:rPr>
                <w:rFonts w:ascii="Tahoma" w:hAnsi="Tahoma"/>
                <w:b/>
                <w:bCs/>
                <w:color w:val="000000" w:themeColor="text1"/>
                <w:sz w:val="16"/>
                <w:lang w:val="en-GB"/>
              </w:rPr>
            </w:pPr>
            <w:r w:rsidRPr="00AF3707">
              <w:rPr>
                <w:rFonts w:ascii="Tahoma" w:hAnsi="Tahoma"/>
                <w:b/>
                <w:bCs/>
                <w:color w:val="000000" w:themeColor="text1"/>
                <w:sz w:val="16"/>
                <w:lang w:val="en-GB"/>
              </w:rPr>
              <w:t>Six months ended</w:t>
            </w:r>
          </w:p>
          <w:p w14:paraId="00C95E34" w14:textId="77777777" w:rsidR="00AF3707" w:rsidRPr="00AF3707" w:rsidRDefault="00AF3707" w:rsidP="006B45D6">
            <w:pPr>
              <w:contextualSpacing/>
              <w:jc w:val="center"/>
              <w:rPr>
                <w:rFonts w:ascii="Tahoma" w:hAnsi="Tahoma"/>
                <w:color w:val="000000" w:themeColor="text1"/>
                <w:sz w:val="16"/>
                <w:lang w:val="en-GB"/>
              </w:rPr>
            </w:pPr>
            <w:r w:rsidRPr="00AF3707">
              <w:rPr>
                <w:rFonts w:ascii="Tahoma" w:hAnsi="Tahoma"/>
                <w:b/>
                <w:bCs/>
                <w:color w:val="000000" w:themeColor="text1"/>
                <w:sz w:val="16"/>
                <w:lang w:val="en-GB"/>
              </w:rPr>
              <w:t>30 September</w:t>
            </w:r>
          </w:p>
        </w:tc>
        <w:tc>
          <w:tcPr>
            <w:tcW w:w="1134" w:type="dxa"/>
            <w:shd w:val="clear" w:color="auto" w:fill="auto"/>
            <w:tcMar>
              <w:top w:w="85" w:type="dxa"/>
              <w:left w:w="0" w:type="dxa"/>
              <w:bottom w:w="85" w:type="dxa"/>
              <w:right w:w="0" w:type="dxa"/>
            </w:tcMar>
            <w:vAlign w:val="bottom"/>
          </w:tcPr>
          <w:p w14:paraId="482FAC02" w14:textId="77777777" w:rsidR="00AF3707" w:rsidRPr="00AF3707" w:rsidRDefault="00AF3707" w:rsidP="006B45D6">
            <w:pPr>
              <w:ind w:right="113"/>
              <w:contextualSpacing/>
              <w:jc w:val="right"/>
              <w:rPr>
                <w:rFonts w:ascii="Tahoma" w:hAnsi="Tahoma"/>
                <w:color w:val="000000" w:themeColor="text1"/>
                <w:sz w:val="16"/>
                <w:lang w:val="en-GB"/>
              </w:rPr>
            </w:pPr>
            <w:r w:rsidRPr="00AF3707">
              <w:rPr>
                <w:rFonts w:ascii="Tahoma" w:hAnsi="Tahoma"/>
                <w:color w:val="000000" w:themeColor="text1"/>
                <w:sz w:val="16"/>
                <w:lang w:val="en-GB"/>
              </w:rPr>
              <w:t>Year</w:t>
            </w:r>
          </w:p>
          <w:p w14:paraId="67E6AEA1" w14:textId="77777777" w:rsidR="00AF3707" w:rsidRPr="00AF3707" w:rsidRDefault="00AF3707" w:rsidP="006B45D6">
            <w:pPr>
              <w:ind w:right="113"/>
              <w:contextualSpacing/>
              <w:jc w:val="right"/>
              <w:rPr>
                <w:rFonts w:ascii="Tahoma" w:hAnsi="Tahoma"/>
                <w:color w:val="000000" w:themeColor="text1"/>
                <w:sz w:val="16"/>
                <w:lang w:val="en-GB"/>
              </w:rPr>
            </w:pPr>
            <w:r w:rsidRPr="00AF3707">
              <w:rPr>
                <w:rFonts w:ascii="Tahoma" w:hAnsi="Tahoma"/>
                <w:color w:val="000000" w:themeColor="text1"/>
                <w:sz w:val="16"/>
                <w:lang w:val="en-GB"/>
              </w:rPr>
              <w:t xml:space="preserve"> ended</w:t>
            </w:r>
          </w:p>
          <w:p w14:paraId="17C63CFE" w14:textId="77777777" w:rsidR="00AF3707" w:rsidRPr="00AF3707" w:rsidRDefault="00AF3707" w:rsidP="006B45D6">
            <w:pPr>
              <w:ind w:right="113"/>
              <w:contextualSpacing/>
              <w:jc w:val="right"/>
              <w:rPr>
                <w:rFonts w:ascii="Tahoma" w:hAnsi="Tahoma"/>
                <w:color w:val="000000" w:themeColor="text1"/>
                <w:sz w:val="16"/>
                <w:lang w:val="en-GB"/>
              </w:rPr>
            </w:pPr>
            <w:r w:rsidRPr="00AF3707">
              <w:rPr>
                <w:rFonts w:ascii="Tahoma" w:hAnsi="Tahoma"/>
                <w:color w:val="000000" w:themeColor="text1"/>
                <w:sz w:val="16"/>
                <w:lang w:val="en-GB"/>
              </w:rPr>
              <w:t>31 March</w:t>
            </w:r>
          </w:p>
        </w:tc>
      </w:tr>
      <w:tr w:rsidR="00615190" w:rsidRPr="00AF3707" w14:paraId="5B929B54" w14:textId="77777777" w:rsidTr="00A63A93">
        <w:trPr>
          <w:trHeight w:val="60"/>
        </w:trPr>
        <w:tc>
          <w:tcPr>
            <w:tcW w:w="397" w:type="dxa"/>
            <w:shd w:val="clear" w:color="auto" w:fill="auto"/>
            <w:tcMar>
              <w:top w:w="113" w:type="dxa"/>
              <w:left w:w="0" w:type="dxa"/>
              <w:bottom w:w="113" w:type="dxa"/>
              <w:right w:w="0" w:type="dxa"/>
            </w:tcMar>
            <w:vAlign w:val="bottom"/>
          </w:tcPr>
          <w:p w14:paraId="51466A59" w14:textId="77777777" w:rsidR="00AF3707" w:rsidRPr="00AF3707" w:rsidRDefault="00AF3707" w:rsidP="006B45D6">
            <w:pPr>
              <w:contextualSpacing/>
              <w:rPr>
                <w:rFonts w:ascii="Tahoma" w:hAnsi="Tahoma"/>
                <w:color w:val="000000" w:themeColor="text1"/>
                <w:sz w:val="16"/>
                <w:lang w:val="en-GB"/>
              </w:rPr>
            </w:pPr>
          </w:p>
        </w:tc>
        <w:tc>
          <w:tcPr>
            <w:tcW w:w="6549" w:type="dxa"/>
            <w:tcBorders>
              <w:bottom w:val="single" w:sz="12" w:space="0" w:color="auto"/>
            </w:tcBorders>
            <w:shd w:val="clear" w:color="auto" w:fill="auto"/>
            <w:tcMar>
              <w:top w:w="113" w:type="dxa"/>
              <w:left w:w="0" w:type="dxa"/>
              <w:bottom w:w="113" w:type="dxa"/>
              <w:right w:w="0" w:type="dxa"/>
            </w:tcMar>
            <w:vAlign w:val="bottom"/>
          </w:tcPr>
          <w:p w14:paraId="156ABF83" w14:textId="77777777" w:rsidR="00AF3707" w:rsidRPr="00AF3707" w:rsidRDefault="00AF3707" w:rsidP="006B45D6">
            <w:pPr>
              <w:contextualSpacing/>
              <w:rPr>
                <w:rFonts w:ascii="Tahoma" w:hAnsi="Tahoma"/>
                <w:color w:val="000000" w:themeColor="text1"/>
                <w:sz w:val="16"/>
                <w:lang w:val="en-GB"/>
              </w:rPr>
            </w:pPr>
          </w:p>
        </w:tc>
        <w:tc>
          <w:tcPr>
            <w:tcW w:w="992" w:type="dxa"/>
            <w:tcBorders>
              <w:bottom w:val="single" w:sz="12" w:space="0" w:color="auto"/>
            </w:tcBorders>
            <w:shd w:val="clear" w:color="auto" w:fill="auto"/>
            <w:tcMar>
              <w:top w:w="113" w:type="dxa"/>
              <w:left w:w="0" w:type="dxa"/>
              <w:bottom w:w="113" w:type="dxa"/>
              <w:right w:w="0" w:type="dxa"/>
            </w:tcMar>
            <w:vAlign w:val="bottom"/>
          </w:tcPr>
          <w:p w14:paraId="3B41BCA3" w14:textId="77777777" w:rsidR="00AF3707" w:rsidRPr="00AF3707" w:rsidRDefault="00AF3707" w:rsidP="006B45D6">
            <w:pPr>
              <w:contextualSpacing/>
              <w:jc w:val="right"/>
              <w:rPr>
                <w:rFonts w:ascii="Tahoma" w:hAnsi="Tahoma"/>
                <w:b/>
                <w:bCs/>
                <w:color w:val="000000" w:themeColor="text1"/>
                <w:sz w:val="16"/>
                <w:lang w:val="en-GB"/>
              </w:rPr>
            </w:pPr>
            <w:r w:rsidRPr="00AF3707">
              <w:rPr>
                <w:rFonts w:ascii="Tahoma" w:hAnsi="Tahoma"/>
                <w:b/>
                <w:bCs/>
                <w:color w:val="000000" w:themeColor="text1"/>
                <w:sz w:val="16"/>
                <w:lang w:val="en-GB"/>
              </w:rPr>
              <w:t>2022</w:t>
            </w:r>
          </w:p>
          <w:p w14:paraId="63EE8DF5" w14:textId="77777777" w:rsidR="00AF3707" w:rsidRPr="00AF3707" w:rsidRDefault="00AF3707" w:rsidP="006B45D6">
            <w:pPr>
              <w:contextualSpacing/>
              <w:jc w:val="right"/>
              <w:rPr>
                <w:rFonts w:ascii="Tahoma" w:hAnsi="Tahoma"/>
                <w:b/>
                <w:bCs/>
                <w:color w:val="000000" w:themeColor="text1"/>
                <w:sz w:val="16"/>
                <w:lang w:val="en-GB"/>
              </w:rPr>
            </w:pPr>
            <w:proofErr w:type="spellStart"/>
            <w:r w:rsidRPr="00AF3707">
              <w:rPr>
                <w:rFonts w:ascii="Tahoma" w:hAnsi="Tahoma"/>
                <w:b/>
                <w:bCs/>
                <w:color w:val="000000" w:themeColor="text1"/>
                <w:sz w:val="16"/>
                <w:lang w:val="en-GB"/>
              </w:rPr>
              <w:t>US$’m</w:t>
            </w:r>
            <w:proofErr w:type="spellEnd"/>
          </w:p>
        </w:tc>
        <w:tc>
          <w:tcPr>
            <w:tcW w:w="1134" w:type="dxa"/>
            <w:tcBorders>
              <w:bottom w:val="single" w:sz="12" w:space="0" w:color="auto"/>
            </w:tcBorders>
            <w:shd w:val="clear" w:color="auto" w:fill="auto"/>
            <w:tcMar>
              <w:top w:w="113" w:type="dxa"/>
              <w:left w:w="0" w:type="dxa"/>
              <w:bottom w:w="113" w:type="dxa"/>
              <w:right w:w="0" w:type="dxa"/>
            </w:tcMar>
            <w:vAlign w:val="bottom"/>
          </w:tcPr>
          <w:p w14:paraId="51C8DA8D" w14:textId="77777777" w:rsidR="00AF3707" w:rsidRPr="00AF3707" w:rsidRDefault="00AF3707" w:rsidP="006B45D6">
            <w:pPr>
              <w:contextualSpacing/>
              <w:jc w:val="right"/>
              <w:rPr>
                <w:rFonts w:ascii="Tahoma" w:hAnsi="Tahoma"/>
                <w:color w:val="000000" w:themeColor="text1"/>
                <w:sz w:val="16"/>
                <w:lang w:val="en-GB"/>
              </w:rPr>
            </w:pPr>
            <w:r w:rsidRPr="00AF3707">
              <w:rPr>
                <w:rFonts w:ascii="Tahoma" w:hAnsi="Tahoma"/>
                <w:color w:val="000000" w:themeColor="text1"/>
                <w:sz w:val="16"/>
                <w:lang w:val="en-GB"/>
              </w:rPr>
              <w:t>2021</w:t>
            </w:r>
          </w:p>
          <w:p w14:paraId="2175384E" w14:textId="77777777" w:rsidR="00AF3707" w:rsidRPr="00AF3707" w:rsidRDefault="00AF3707" w:rsidP="006B45D6">
            <w:pPr>
              <w:contextualSpacing/>
              <w:jc w:val="right"/>
              <w:rPr>
                <w:rFonts w:ascii="Tahoma" w:hAnsi="Tahoma"/>
                <w:color w:val="000000" w:themeColor="text1"/>
                <w:sz w:val="16"/>
                <w:lang w:val="en-GB"/>
              </w:rPr>
            </w:pPr>
            <w:proofErr w:type="spellStart"/>
            <w:r w:rsidRPr="00AF3707">
              <w:rPr>
                <w:rFonts w:ascii="Tahoma" w:hAnsi="Tahoma"/>
                <w:color w:val="000000" w:themeColor="text1"/>
                <w:sz w:val="16"/>
                <w:lang w:val="en-GB"/>
              </w:rPr>
              <w:t>US$’m</w:t>
            </w:r>
            <w:proofErr w:type="spellEnd"/>
          </w:p>
        </w:tc>
        <w:tc>
          <w:tcPr>
            <w:tcW w:w="1134" w:type="dxa"/>
            <w:tcBorders>
              <w:bottom w:val="single" w:sz="12" w:space="0" w:color="auto"/>
            </w:tcBorders>
            <w:shd w:val="clear" w:color="auto" w:fill="auto"/>
            <w:tcMar>
              <w:top w:w="113" w:type="dxa"/>
              <w:left w:w="0" w:type="dxa"/>
              <w:bottom w:w="113" w:type="dxa"/>
              <w:right w:w="0" w:type="dxa"/>
            </w:tcMar>
            <w:vAlign w:val="bottom"/>
          </w:tcPr>
          <w:p w14:paraId="28FDBD16" w14:textId="77777777" w:rsidR="00AF3707" w:rsidRPr="00AF3707" w:rsidRDefault="00AF3707" w:rsidP="006B45D6">
            <w:pPr>
              <w:ind w:right="113"/>
              <w:contextualSpacing/>
              <w:jc w:val="right"/>
              <w:rPr>
                <w:rFonts w:ascii="Tahoma" w:hAnsi="Tahoma"/>
                <w:color w:val="000000" w:themeColor="text1"/>
                <w:sz w:val="16"/>
                <w:lang w:val="en-GB"/>
              </w:rPr>
            </w:pPr>
            <w:r w:rsidRPr="00AF3707">
              <w:rPr>
                <w:rFonts w:ascii="Tahoma" w:hAnsi="Tahoma"/>
                <w:color w:val="000000" w:themeColor="text1"/>
                <w:sz w:val="16"/>
                <w:lang w:val="en-GB"/>
              </w:rPr>
              <w:t>2022</w:t>
            </w:r>
          </w:p>
          <w:p w14:paraId="294BCA0A" w14:textId="77777777" w:rsidR="00AF3707" w:rsidRPr="00AF3707" w:rsidRDefault="00AF3707" w:rsidP="006B45D6">
            <w:pPr>
              <w:ind w:right="113"/>
              <w:contextualSpacing/>
              <w:jc w:val="right"/>
              <w:rPr>
                <w:rFonts w:ascii="Tahoma" w:hAnsi="Tahoma"/>
                <w:color w:val="000000" w:themeColor="text1"/>
                <w:sz w:val="16"/>
                <w:lang w:val="en-GB"/>
              </w:rPr>
            </w:pPr>
            <w:proofErr w:type="spellStart"/>
            <w:r w:rsidRPr="00AF3707">
              <w:rPr>
                <w:rFonts w:ascii="Tahoma" w:hAnsi="Tahoma"/>
                <w:color w:val="000000" w:themeColor="text1"/>
                <w:sz w:val="16"/>
                <w:lang w:val="en-GB"/>
              </w:rPr>
              <w:t>US$’m</w:t>
            </w:r>
            <w:proofErr w:type="spellEnd"/>
          </w:p>
        </w:tc>
      </w:tr>
      <w:tr w:rsidR="00615190" w:rsidRPr="00AF3707" w14:paraId="674B50E2" w14:textId="77777777" w:rsidTr="00A63A93">
        <w:trPr>
          <w:trHeight w:val="60"/>
        </w:trPr>
        <w:tc>
          <w:tcPr>
            <w:tcW w:w="397" w:type="dxa"/>
            <w:shd w:val="clear" w:color="auto" w:fill="auto"/>
            <w:tcMar>
              <w:top w:w="142" w:type="dxa"/>
              <w:left w:w="0" w:type="dxa"/>
              <w:bottom w:w="57" w:type="dxa"/>
              <w:right w:w="0" w:type="dxa"/>
            </w:tcMar>
            <w:vAlign w:val="bottom"/>
          </w:tcPr>
          <w:p w14:paraId="225DBA1D" w14:textId="77777777" w:rsidR="00AF3707" w:rsidRPr="00AF3707" w:rsidRDefault="00AF3707" w:rsidP="006B45D6">
            <w:pPr>
              <w:contextualSpacing/>
              <w:rPr>
                <w:rFonts w:ascii="Tahoma" w:hAnsi="Tahoma"/>
                <w:color w:val="000000" w:themeColor="text1"/>
                <w:sz w:val="16"/>
                <w:lang w:val="en-GB"/>
              </w:rPr>
            </w:pPr>
          </w:p>
        </w:tc>
        <w:tc>
          <w:tcPr>
            <w:tcW w:w="6549" w:type="dxa"/>
            <w:tcBorders>
              <w:top w:val="single" w:sz="12" w:space="0" w:color="auto"/>
            </w:tcBorders>
            <w:shd w:val="clear" w:color="auto" w:fill="auto"/>
            <w:tcMar>
              <w:top w:w="142" w:type="dxa"/>
              <w:left w:w="0" w:type="dxa"/>
              <w:bottom w:w="57" w:type="dxa"/>
              <w:right w:w="0" w:type="dxa"/>
            </w:tcMar>
            <w:vAlign w:val="bottom"/>
          </w:tcPr>
          <w:p w14:paraId="00B9A0CA" w14:textId="77777777" w:rsidR="00AF3707" w:rsidRPr="00AF3707" w:rsidRDefault="00AF3707" w:rsidP="006B45D6">
            <w:pPr>
              <w:contextualSpacing/>
              <w:rPr>
                <w:rFonts w:ascii="Tahoma" w:hAnsi="Tahoma"/>
                <w:b/>
                <w:bCs/>
                <w:color w:val="000000" w:themeColor="text1"/>
                <w:sz w:val="16"/>
                <w:lang w:val="en-GB"/>
              </w:rPr>
            </w:pPr>
            <w:r w:rsidRPr="00AF3707">
              <w:rPr>
                <w:rFonts w:ascii="Tahoma" w:hAnsi="Tahoma"/>
                <w:b/>
                <w:bCs/>
                <w:color w:val="000000" w:themeColor="text1"/>
                <w:sz w:val="16"/>
                <w:lang w:val="en-GB"/>
              </w:rPr>
              <w:t>Interest income</w:t>
            </w:r>
          </w:p>
        </w:tc>
        <w:tc>
          <w:tcPr>
            <w:tcW w:w="992" w:type="dxa"/>
            <w:tcBorders>
              <w:top w:val="single" w:sz="12" w:space="0" w:color="auto"/>
              <w:bottom w:val="single" w:sz="4" w:space="0" w:color="auto"/>
            </w:tcBorders>
            <w:shd w:val="clear" w:color="auto" w:fill="auto"/>
            <w:tcMar>
              <w:top w:w="142" w:type="dxa"/>
              <w:left w:w="0" w:type="dxa"/>
              <w:bottom w:w="57" w:type="dxa"/>
              <w:right w:w="0" w:type="dxa"/>
            </w:tcMar>
            <w:vAlign w:val="bottom"/>
          </w:tcPr>
          <w:p w14:paraId="6C5A05F9" w14:textId="77777777" w:rsidR="00AF3707" w:rsidRPr="00AF3707" w:rsidRDefault="00AF3707" w:rsidP="006B45D6">
            <w:pPr>
              <w:contextualSpacing/>
              <w:jc w:val="right"/>
              <w:rPr>
                <w:rFonts w:ascii="Tahoma" w:hAnsi="Tahoma"/>
                <w:b/>
                <w:bCs/>
                <w:color w:val="000000" w:themeColor="text1"/>
                <w:sz w:val="16"/>
                <w:lang w:val="en-GB"/>
              </w:rPr>
            </w:pPr>
            <w:r w:rsidRPr="00AF3707">
              <w:rPr>
                <w:rFonts w:ascii="Tahoma" w:hAnsi="Tahoma"/>
                <w:b/>
                <w:bCs/>
                <w:color w:val="000000" w:themeColor="text1"/>
                <w:sz w:val="16"/>
                <w:lang w:val="en-GB"/>
              </w:rPr>
              <w:t>140</w:t>
            </w:r>
          </w:p>
        </w:tc>
        <w:tc>
          <w:tcPr>
            <w:tcW w:w="1134" w:type="dxa"/>
            <w:tcBorders>
              <w:top w:val="single" w:sz="12" w:space="0" w:color="auto"/>
              <w:bottom w:val="single" w:sz="4" w:space="0" w:color="auto"/>
            </w:tcBorders>
            <w:shd w:val="clear" w:color="auto" w:fill="auto"/>
            <w:tcMar>
              <w:top w:w="142" w:type="dxa"/>
              <w:left w:w="0" w:type="dxa"/>
              <w:bottom w:w="57" w:type="dxa"/>
              <w:right w:w="0" w:type="dxa"/>
            </w:tcMar>
            <w:vAlign w:val="bottom"/>
          </w:tcPr>
          <w:p w14:paraId="54A4222F" w14:textId="77777777" w:rsidR="00AF3707" w:rsidRPr="00AF3707" w:rsidRDefault="00AF3707" w:rsidP="006B45D6">
            <w:pPr>
              <w:contextualSpacing/>
              <w:jc w:val="right"/>
              <w:rPr>
                <w:rFonts w:ascii="Tahoma" w:hAnsi="Tahoma"/>
                <w:color w:val="000000" w:themeColor="text1"/>
                <w:sz w:val="16"/>
                <w:lang w:val="en-GB"/>
              </w:rPr>
            </w:pPr>
            <w:r w:rsidRPr="00AF3707">
              <w:rPr>
                <w:rFonts w:ascii="Tahoma" w:hAnsi="Tahoma"/>
                <w:color w:val="000000" w:themeColor="text1"/>
                <w:sz w:val="16"/>
                <w:lang w:val="en-GB"/>
              </w:rPr>
              <w:t>27</w:t>
            </w:r>
          </w:p>
        </w:tc>
        <w:tc>
          <w:tcPr>
            <w:tcW w:w="1134" w:type="dxa"/>
            <w:tcBorders>
              <w:top w:val="single" w:sz="12" w:space="0" w:color="auto"/>
              <w:bottom w:val="single" w:sz="4" w:space="0" w:color="auto"/>
            </w:tcBorders>
            <w:shd w:val="clear" w:color="auto" w:fill="auto"/>
            <w:tcMar>
              <w:top w:w="142" w:type="dxa"/>
              <w:left w:w="0" w:type="dxa"/>
              <w:bottom w:w="57" w:type="dxa"/>
              <w:right w:w="0" w:type="dxa"/>
            </w:tcMar>
            <w:vAlign w:val="bottom"/>
          </w:tcPr>
          <w:p w14:paraId="37C04CB3" w14:textId="77777777" w:rsidR="00AF3707" w:rsidRPr="00AF3707" w:rsidRDefault="00AF3707" w:rsidP="006B45D6">
            <w:pPr>
              <w:ind w:right="113"/>
              <w:contextualSpacing/>
              <w:jc w:val="right"/>
              <w:rPr>
                <w:rFonts w:ascii="Tahoma" w:hAnsi="Tahoma"/>
                <w:color w:val="000000" w:themeColor="text1"/>
                <w:sz w:val="16"/>
                <w:lang w:val="en-GB"/>
              </w:rPr>
            </w:pPr>
            <w:r w:rsidRPr="00AF3707">
              <w:rPr>
                <w:rFonts w:ascii="Tahoma" w:hAnsi="Tahoma"/>
                <w:color w:val="000000" w:themeColor="text1"/>
                <w:sz w:val="16"/>
                <w:lang w:val="en-GB"/>
              </w:rPr>
              <w:t>53</w:t>
            </w:r>
          </w:p>
        </w:tc>
      </w:tr>
      <w:tr w:rsidR="00615190" w:rsidRPr="00AF3707" w14:paraId="2263D674" w14:textId="77777777" w:rsidTr="007E0CB4">
        <w:trPr>
          <w:trHeight w:val="60"/>
        </w:trPr>
        <w:tc>
          <w:tcPr>
            <w:tcW w:w="397" w:type="dxa"/>
            <w:shd w:val="clear" w:color="auto" w:fill="auto"/>
            <w:tcMar>
              <w:top w:w="57" w:type="dxa"/>
              <w:left w:w="0" w:type="dxa"/>
              <w:bottom w:w="57" w:type="dxa"/>
              <w:right w:w="0" w:type="dxa"/>
            </w:tcMar>
            <w:vAlign w:val="bottom"/>
          </w:tcPr>
          <w:p w14:paraId="4F6AD07B" w14:textId="77777777" w:rsidR="00AF3707" w:rsidRPr="00AF3707" w:rsidRDefault="00AF3707" w:rsidP="006B45D6">
            <w:pPr>
              <w:contextualSpacing/>
              <w:rPr>
                <w:rFonts w:ascii="Tahoma" w:hAnsi="Tahoma"/>
                <w:color w:val="000000" w:themeColor="text1"/>
                <w:sz w:val="16"/>
                <w:lang w:val="en-GB"/>
              </w:rPr>
            </w:pPr>
          </w:p>
        </w:tc>
        <w:tc>
          <w:tcPr>
            <w:tcW w:w="6549" w:type="dxa"/>
            <w:tcBorders>
              <w:right w:val="single" w:sz="4" w:space="0" w:color="auto"/>
            </w:tcBorders>
            <w:shd w:val="clear" w:color="auto" w:fill="auto"/>
            <w:tcMar>
              <w:top w:w="57" w:type="dxa"/>
              <w:left w:w="113" w:type="dxa"/>
              <w:bottom w:w="57" w:type="dxa"/>
              <w:right w:w="0" w:type="dxa"/>
            </w:tcMar>
            <w:vAlign w:val="bottom"/>
          </w:tcPr>
          <w:p w14:paraId="4FCCEB7B" w14:textId="77777777" w:rsidR="00AF3707" w:rsidRPr="00AF3707" w:rsidRDefault="00AF3707" w:rsidP="006B45D6">
            <w:pPr>
              <w:contextualSpacing/>
              <w:rPr>
                <w:rFonts w:ascii="Tahoma" w:hAnsi="Tahoma"/>
                <w:color w:val="000000" w:themeColor="text1"/>
                <w:sz w:val="16"/>
                <w:lang w:val="en-GB"/>
              </w:rPr>
            </w:pPr>
            <w:r w:rsidRPr="00AF3707">
              <w:rPr>
                <w:rFonts w:ascii="Tahoma" w:hAnsi="Tahoma"/>
                <w:color w:val="000000" w:themeColor="text1"/>
                <w:sz w:val="16"/>
                <w:lang w:val="en-GB"/>
              </w:rPr>
              <w:t>Loans and bank accounts</w:t>
            </w:r>
          </w:p>
        </w:tc>
        <w:tc>
          <w:tcPr>
            <w:tcW w:w="992" w:type="dxa"/>
            <w:tcBorders>
              <w:top w:val="single" w:sz="4" w:space="0" w:color="auto"/>
              <w:left w:val="single" w:sz="4" w:space="0" w:color="auto"/>
            </w:tcBorders>
            <w:shd w:val="clear" w:color="auto" w:fill="auto"/>
            <w:tcMar>
              <w:top w:w="57" w:type="dxa"/>
              <w:left w:w="0" w:type="dxa"/>
              <w:bottom w:w="57" w:type="dxa"/>
              <w:right w:w="0" w:type="dxa"/>
            </w:tcMar>
            <w:vAlign w:val="bottom"/>
          </w:tcPr>
          <w:p w14:paraId="03729DA3" w14:textId="77777777" w:rsidR="00AF3707" w:rsidRPr="00AF3707" w:rsidRDefault="00AF3707" w:rsidP="006B45D6">
            <w:pPr>
              <w:contextualSpacing/>
              <w:jc w:val="right"/>
              <w:rPr>
                <w:rFonts w:ascii="Tahoma" w:hAnsi="Tahoma"/>
                <w:b/>
                <w:bCs/>
                <w:color w:val="000000" w:themeColor="text1"/>
                <w:sz w:val="16"/>
                <w:lang w:val="en-GB"/>
              </w:rPr>
            </w:pPr>
            <w:r w:rsidRPr="00AF3707">
              <w:rPr>
                <w:rFonts w:ascii="Tahoma" w:hAnsi="Tahoma"/>
                <w:b/>
                <w:bCs/>
                <w:color w:val="000000" w:themeColor="text1"/>
                <w:sz w:val="16"/>
                <w:lang w:val="en-GB"/>
              </w:rPr>
              <w:t>123</w:t>
            </w:r>
          </w:p>
        </w:tc>
        <w:tc>
          <w:tcPr>
            <w:tcW w:w="1134" w:type="dxa"/>
            <w:tcBorders>
              <w:top w:val="single" w:sz="4" w:space="0" w:color="auto"/>
            </w:tcBorders>
            <w:shd w:val="clear" w:color="auto" w:fill="auto"/>
            <w:tcMar>
              <w:top w:w="57" w:type="dxa"/>
              <w:left w:w="0" w:type="dxa"/>
              <w:bottom w:w="57" w:type="dxa"/>
              <w:right w:w="0" w:type="dxa"/>
            </w:tcMar>
            <w:vAlign w:val="bottom"/>
          </w:tcPr>
          <w:p w14:paraId="5F16226C" w14:textId="77777777" w:rsidR="00AF3707" w:rsidRPr="00AF3707" w:rsidRDefault="00AF3707" w:rsidP="006B45D6">
            <w:pPr>
              <w:contextualSpacing/>
              <w:jc w:val="right"/>
              <w:rPr>
                <w:rFonts w:ascii="Tahoma" w:hAnsi="Tahoma"/>
                <w:color w:val="000000" w:themeColor="text1"/>
                <w:sz w:val="16"/>
                <w:lang w:val="en-GB"/>
              </w:rPr>
            </w:pPr>
            <w:r w:rsidRPr="00AF3707">
              <w:rPr>
                <w:rFonts w:ascii="Tahoma" w:hAnsi="Tahoma"/>
                <w:color w:val="000000" w:themeColor="text1"/>
                <w:sz w:val="16"/>
                <w:lang w:val="en-GB"/>
              </w:rPr>
              <w:t>23</w:t>
            </w:r>
          </w:p>
        </w:tc>
        <w:tc>
          <w:tcPr>
            <w:tcW w:w="1134" w:type="dxa"/>
            <w:tcBorders>
              <w:top w:val="single" w:sz="4" w:space="0" w:color="auto"/>
              <w:right w:val="single" w:sz="4" w:space="0" w:color="auto"/>
            </w:tcBorders>
            <w:shd w:val="clear" w:color="auto" w:fill="auto"/>
            <w:tcMar>
              <w:top w:w="57" w:type="dxa"/>
              <w:left w:w="0" w:type="dxa"/>
              <w:bottom w:w="57" w:type="dxa"/>
              <w:right w:w="0" w:type="dxa"/>
            </w:tcMar>
            <w:vAlign w:val="bottom"/>
          </w:tcPr>
          <w:p w14:paraId="6F336984" w14:textId="77777777" w:rsidR="00AF3707" w:rsidRPr="00AF3707" w:rsidRDefault="00AF3707" w:rsidP="006B45D6">
            <w:pPr>
              <w:ind w:right="113"/>
              <w:contextualSpacing/>
              <w:jc w:val="right"/>
              <w:rPr>
                <w:rFonts w:ascii="Tahoma" w:hAnsi="Tahoma"/>
                <w:color w:val="000000" w:themeColor="text1"/>
                <w:sz w:val="16"/>
                <w:lang w:val="en-GB"/>
              </w:rPr>
            </w:pPr>
            <w:r w:rsidRPr="00AF3707">
              <w:rPr>
                <w:rFonts w:ascii="Tahoma" w:hAnsi="Tahoma"/>
                <w:color w:val="000000" w:themeColor="text1"/>
                <w:sz w:val="16"/>
                <w:lang w:val="en-GB"/>
              </w:rPr>
              <w:t>35</w:t>
            </w:r>
          </w:p>
        </w:tc>
      </w:tr>
      <w:tr w:rsidR="00615190" w:rsidRPr="00AF3707" w14:paraId="2716E2C2" w14:textId="77777777" w:rsidTr="007E0CB4">
        <w:trPr>
          <w:trHeight w:val="60"/>
        </w:trPr>
        <w:tc>
          <w:tcPr>
            <w:tcW w:w="397" w:type="dxa"/>
            <w:shd w:val="clear" w:color="auto" w:fill="auto"/>
            <w:tcMar>
              <w:top w:w="57" w:type="dxa"/>
              <w:left w:w="0" w:type="dxa"/>
              <w:bottom w:w="57" w:type="dxa"/>
              <w:right w:w="0" w:type="dxa"/>
            </w:tcMar>
            <w:vAlign w:val="bottom"/>
          </w:tcPr>
          <w:p w14:paraId="6B26F063" w14:textId="77777777" w:rsidR="00AF3707" w:rsidRPr="00AF3707" w:rsidRDefault="00AF3707" w:rsidP="006B45D6">
            <w:pPr>
              <w:contextualSpacing/>
              <w:rPr>
                <w:rFonts w:ascii="Tahoma" w:hAnsi="Tahoma"/>
                <w:color w:val="000000" w:themeColor="text1"/>
                <w:sz w:val="16"/>
                <w:lang w:val="en-GB"/>
              </w:rPr>
            </w:pPr>
          </w:p>
        </w:tc>
        <w:tc>
          <w:tcPr>
            <w:tcW w:w="6549" w:type="dxa"/>
            <w:tcBorders>
              <w:right w:val="single" w:sz="4" w:space="0" w:color="auto"/>
            </w:tcBorders>
            <w:shd w:val="clear" w:color="auto" w:fill="auto"/>
            <w:tcMar>
              <w:top w:w="57" w:type="dxa"/>
              <w:left w:w="113" w:type="dxa"/>
              <w:bottom w:w="57" w:type="dxa"/>
              <w:right w:w="0" w:type="dxa"/>
            </w:tcMar>
            <w:vAlign w:val="bottom"/>
          </w:tcPr>
          <w:p w14:paraId="4FE0F469" w14:textId="77777777" w:rsidR="00AF3707" w:rsidRPr="00AF3707" w:rsidRDefault="00AF3707" w:rsidP="006B45D6">
            <w:pPr>
              <w:contextualSpacing/>
              <w:rPr>
                <w:rFonts w:ascii="Tahoma" w:hAnsi="Tahoma"/>
                <w:color w:val="000000" w:themeColor="text1"/>
                <w:sz w:val="16"/>
                <w:lang w:val="en-GB"/>
              </w:rPr>
            </w:pPr>
            <w:r w:rsidRPr="00AF3707">
              <w:rPr>
                <w:rFonts w:ascii="Tahoma" w:hAnsi="Tahoma"/>
                <w:color w:val="000000" w:themeColor="text1"/>
                <w:sz w:val="16"/>
                <w:lang w:val="en-GB"/>
              </w:rPr>
              <w:t>Other</w:t>
            </w:r>
          </w:p>
        </w:tc>
        <w:tc>
          <w:tcPr>
            <w:tcW w:w="992" w:type="dxa"/>
            <w:tcBorders>
              <w:left w:val="single" w:sz="4" w:space="0" w:color="auto"/>
              <w:bottom w:val="single" w:sz="4" w:space="0" w:color="auto"/>
            </w:tcBorders>
            <w:shd w:val="clear" w:color="auto" w:fill="auto"/>
            <w:tcMar>
              <w:top w:w="57" w:type="dxa"/>
              <w:left w:w="0" w:type="dxa"/>
              <w:bottom w:w="57" w:type="dxa"/>
              <w:right w:w="0" w:type="dxa"/>
            </w:tcMar>
            <w:vAlign w:val="bottom"/>
          </w:tcPr>
          <w:p w14:paraId="040D3019" w14:textId="77777777" w:rsidR="00AF3707" w:rsidRPr="00AF3707" w:rsidRDefault="00AF3707" w:rsidP="006B45D6">
            <w:pPr>
              <w:contextualSpacing/>
              <w:jc w:val="right"/>
              <w:rPr>
                <w:rFonts w:ascii="Tahoma" w:hAnsi="Tahoma"/>
                <w:b/>
                <w:bCs/>
                <w:color w:val="000000" w:themeColor="text1"/>
                <w:sz w:val="16"/>
                <w:lang w:val="en-GB"/>
              </w:rPr>
            </w:pPr>
            <w:r w:rsidRPr="00AF3707">
              <w:rPr>
                <w:rFonts w:ascii="Tahoma" w:hAnsi="Tahoma"/>
                <w:b/>
                <w:bCs/>
                <w:color w:val="000000" w:themeColor="text1"/>
                <w:sz w:val="16"/>
                <w:lang w:val="en-GB"/>
              </w:rPr>
              <w:t>17</w:t>
            </w:r>
          </w:p>
        </w:tc>
        <w:tc>
          <w:tcPr>
            <w:tcW w:w="1134" w:type="dxa"/>
            <w:tcBorders>
              <w:bottom w:val="single" w:sz="4" w:space="0" w:color="auto"/>
            </w:tcBorders>
            <w:shd w:val="clear" w:color="auto" w:fill="auto"/>
            <w:tcMar>
              <w:top w:w="57" w:type="dxa"/>
              <w:left w:w="0" w:type="dxa"/>
              <w:bottom w:w="57" w:type="dxa"/>
              <w:right w:w="0" w:type="dxa"/>
            </w:tcMar>
            <w:vAlign w:val="bottom"/>
          </w:tcPr>
          <w:p w14:paraId="08FADB4B" w14:textId="77777777" w:rsidR="00AF3707" w:rsidRPr="00AF3707" w:rsidRDefault="00AF3707" w:rsidP="006B45D6">
            <w:pPr>
              <w:contextualSpacing/>
              <w:jc w:val="right"/>
              <w:rPr>
                <w:rFonts w:ascii="Tahoma" w:hAnsi="Tahoma"/>
                <w:color w:val="000000" w:themeColor="text1"/>
                <w:sz w:val="16"/>
                <w:lang w:val="en-GB"/>
              </w:rPr>
            </w:pPr>
            <w:r w:rsidRPr="00AF3707">
              <w:rPr>
                <w:rFonts w:ascii="Tahoma" w:hAnsi="Tahoma"/>
                <w:color w:val="000000" w:themeColor="text1"/>
                <w:sz w:val="16"/>
                <w:lang w:val="en-GB"/>
              </w:rPr>
              <w:t>4</w:t>
            </w:r>
          </w:p>
        </w:tc>
        <w:tc>
          <w:tcPr>
            <w:tcW w:w="1134" w:type="dxa"/>
            <w:tcBorders>
              <w:bottom w:val="single" w:sz="4" w:space="0" w:color="auto"/>
              <w:right w:val="single" w:sz="4" w:space="0" w:color="auto"/>
            </w:tcBorders>
            <w:shd w:val="clear" w:color="auto" w:fill="auto"/>
            <w:tcMar>
              <w:top w:w="57" w:type="dxa"/>
              <w:left w:w="0" w:type="dxa"/>
              <w:bottom w:w="57" w:type="dxa"/>
              <w:right w:w="0" w:type="dxa"/>
            </w:tcMar>
            <w:vAlign w:val="bottom"/>
          </w:tcPr>
          <w:p w14:paraId="1ABB862B" w14:textId="77777777" w:rsidR="00AF3707" w:rsidRPr="00AF3707" w:rsidRDefault="00AF3707" w:rsidP="006B45D6">
            <w:pPr>
              <w:ind w:right="113"/>
              <w:contextualSpacing/>
              <w:jc w:val="right"/>
              <w:rPr>
                <w:rFonts w:ascii="Tahoma" w:hAnsi="Tahoma"/>
                <w:color w:val="000000" w:themeColor="text1"/>
                <w:sz w:val="16"/>
                <w:lang w:val="en-GB"/>
              </w:rPr>
            </w:pPr>
            <w:r w:rsidRPr="00AF3707">
              <w:rPr>
                <w:rFonts w:ascii="Tahoma" w:hAnsi="Tahoma"/>
                <w:color w:val="000000" w:themeColor="text1"/>
                <w:sz w:val="16"/>
                <w:lang w:val="en-GB"/>
              </w:rPr>
              <w:t>18</w:t>
            </w:r>
          </w:p>
        </w:tc>
      </w:tr>
      <w:tr w:rsidR="00615190" w:rsidRPr="00AF3707" w14:paraId="1C7FD5F9" w14:textId="77777777" w:rsidTr="00275CEF">
        <w:trPr>
          <w:trHeight w:val="60"/>
        </w:trPr>
        <w:tc>
          <w:tcPr>
            <w:tcW w:w="397" w:type="dxa"/>
            <w:shd w:val="clear" w:color="auto" w:fill="auto"/>
            <w:tcMar>
              <w:top w:w="57" w:type="dxa"/>
              <w:left w:w="0" w:type="dxa"/>
              <w:bottom w:w="57" w:type="dxa"/>
              <w:right w:w="0" w:type="dxa"/>
            </w:tcMar>
            <w:vAlign w:val="bottom"/>
          </w:tcPr>
          <w:p w14:paraId="3405FCBA" w14:textId="77777777" w:rsidR="00AF3707" w:rsidRPr="00AF3707" w:rsidRDefault="00AF3707" w:rsidP="006B45D6">
            <w:pPr>
              <w:contextualSpacing/>
              <w:rPr>
                <w:rFonts w:ascii="Tahoma" w:hAnsi="Tahoma"/>
                <w:color w:val="000000" w:themeColor="text1"/>
                <w:sz w:val="16"/>
                <w:lang w:val="en-GB"/>
              </w:rPr>
            </w:pPr>
          </w:p>
        </w:tc>
        <w:tc>
          <w:tcPr>
            <w:tcW w:w="6549" w:type="dxa"/>
            <w:shd w:val="clear" w:color="auto" w:fill="auto"/>
            <w:tcMar>
              <w:top w:w="57" w:type="dxa"/>
              <w:left w:w="0" w:type="dxa"/>
              <w:bottom w:w="57" w:type="dxa"/>
              <w:right w:w="0" w:type="dxa"/>
            </w:tcMar>
            <w:vAlign w:val="bottom"/>
          </w:tcPr>
          <w:p w14:paraId="64BD33A6" w14:textId="77777777" w:rsidR="00AF3707" w:rsidRPr="00AF3707" w:rsidRDefault="00AF3707" w:rsidP="006B45D6">
            <w:pPr>
              <w:contextualSpacing/>
              <w:rPr>
                <w:rFonts w:ascii="Tahoma" w:hAnsi="Tahoma"/>
                <w:b/>
                <w:bCs/>
                <w:color w:val="000000" w:themeColor="text1"/>
                <w:sz w:val="16"/>
                <w:lang w:val="en-GB"/>
              </w:rPr>
            </w:pPr>
            <w:r w:rsidRPr="00AF3707">
              <w:rPr>
                <w:rFonts w:ascii="Tahoma" w:hAnsi="Tahoma"/>
                <w:b/>
                <w:bCs/>
                <w:color w:val="000000" w:themeColor="text1"/>
                <w:sz w:val="16"/>
                <w:lang w:val="en-GB"/>
              </w:rPr>
              <w:t>Interest expense</w:t>
            </w:r>
          </w:p>
        </w:tc>
        <w:tc>
          <w:tcPr>
            <w:tcW w:w="992" w:type="dxa"/>
            <w:tcBorders>
              <w:top w:val="single" w:sz="4" w:space="0" w:color="auto"/>
              <w:bottom w:val="single" w:sz="4" w:space="0" w:color="auto"/>
            </w:tcBorders>
            <w:shd w:val="clear" w:color="auto" w:fill="auto"/>
            <w:tcMar>
              <w:top w:w="57" w:type="dxa"/>
              <w:left w:w="0" w:type="dxa"/>
              <w:bottom w:w="57" w:type="dxa"/>
              <w:right w:w="0" w:type="dxa"/>
            </w:tcMar>
            <w:vAlign w:val="bottom"/>
          </w:tcPr>
          <w:p w14:paraId="49735D77" w14:textId="77777777" w:rsidR="00AF3707" w:rsidRPr="00AF3707" w:rsidRDefault="00AF3707" w:rsidP="006B45D6">
            <w:pPr>
              <w:contextualSpacing/>
              <w:jc w:val="right"/>
              <w:rPr>
                <w:rFonts w:ascii="Tahoma" w:hAnsi="Tahoma"/>
                <w:b/>
                <w:bCs/>
                <w:color w:val="000000" w:themeColor="text1"/>
                <w:sz w:val="16"/>
                <w:lang w:val="en-GB"/>
              </w:rPr>
            </w:pPr>
            <w:r w:rsidRPr="00AF3707">
              <w:rPr>
                <w:rFonts w:ascii="Tahoma" w:hAnsi="Tahoma"/>
                <w:b/>
                <w:bCs/>
                <w:color w:val="000000" w:themeColor="text1"/>
                <w:sz w:val="16"/>
                <w:lang w:val="en-GB"/>
              </w:rPr>
              <w:t>(278)</w:t>
            </w:r>
          </w:p>
        </w:tc>
        <w:tc>
          <w:tcPr>
            <w:tcW w:w="1134" w:type="dxa"/>
            <w:tcBorders>
              <w:top w:val="single" w:sz="4" w:space="0" w:color="auto"/>
              <w:bottom w:val="single" w:sz="4" w:space="0" w:color="auto"/>
            </w:tcBorders>
            <w:shd w:val="clear" w:color="auto" w:fill="auto"/>
            <w:tcMar>
              <w:top w:w="57" w:type="dxa"/>
              <w:left w:w="0" w:type="dxa"/>
              <w:bottom w:w="57" w:type="dxa"/>
              <w:right w:w="0" w:type="dxa"/>
            </w:tcMar>
            <w:vAlign w:val="bottom"/>
          </w:tcPr>
          <w:p w14:paraId="69D5893A" w14:textId="77777777" w:rsidR="00AF3707" w:rsidRPr="00AF3707" w:rsidRDefault="00AF3707" w:rsidP="006B45D6">
            <w:pPr>
              <w:contextualSpacing/>
              <w:jc w:val="right"/>
              <w:rPr>
                <w:rFonts w:ascii="Tahoma" w:hAnsi="Tahoma"/>
                <w:color w:val="000000" w:themeColor="text1"/>
                <w:sz w:val="16"/>
                <w:lang w:val="en-GB"/>
              </w:rPr>
            </w:pPr>
            <w:r w:rsidRPr="00AF3707">
              <w:rPr>
                <w:rFonts w:ascii="Tahoma" w:hAnsi="Tahoma"/>
                <w:color w:val="000000" w:themeColor="text1"/>
                <w:sz w:val="16"/>
                <w:lang w:val="en-GB"/>
              </w:rPr>
              <w:t>(179)</w:t>
            </w:r>
          </w:p>
        </w:tc>
        <w:tc>
          <w:tcPr>
            <w:tcW w:w="1134" w:type="dxa"/>
            <w:tcBorders>
              <w:top w:val="single" w:sz="4" w:space="0" w:color="auto"/>
              <w:bottom w:val="single" w:sz="4" w:space="0" w:color="auto"/>
            </w:tcBorders>
            <w:shd w:val="clear" w:color="auto" w:fill="auto"/>
            <w:tcMar>
              <w:top w:w="57" w:type="dxa"/>
              <w:left w:w="0" w:type="dxa"/>
              <w:bottom w:w="57" w:type="dxa"/>
              <w:right w:w="0" w:type="dxa"/>
            </w:tcMar>
            <w:vAlign w:val="bottom"/>
          </w:tcPr>
          <w:p w14:paraId="3FFE5E98" w14:textId="77777777" w:rsidR="00AF3707" w:rsidRPr="00AF3707" w:rsidRDefault="00AF3707" w:rsidP="006B45D6">
            <w:pPr>
              <w:ind w:right="113"/>
              <w:contextualSpacing/>
              <w:jc w:val="right"/>
              <w:rPr>
                <w:rFonts w:ascii="Tahoma" w:hAnsi="Tahoma"/>
                <w:color w:val="000000" w:themeColor="text1"/>
                <w:sz w:val="16"/>
                <w:lang w:val="en-GB"/>
              </w:rPr>
            </w:pPr>
            <w:r w:rsidRPr="00AF3707">
              <w:rPr>
                <w:rFonts w:ascii="Tahoma" w:hAnsi="Tahoma"/>
                <w:color w:val="000000" w:themeColor="text1"/>
                <w:sz w:val="16"/>
                <w:lang w:val="en-GB"/>
              </w:rPr>
              <w:t>(399)</w:t>
            </w:r>
          </w:p>
        </w:tc>
      </w:tr>
      <w:tr w:rsidR="00615190" w:rsidRPr="00AF3707" w14:paraId="51F60772" w14:textId="77777777" w:rsidTr="00275CEF">
        <w:trPr>
          <w:trHeight w:val="60"/>
        </w:trPr>
        <w:tc>
          <w:tcPr>
            <w:tcW w:w="397" w:type="dxa"/>
            <w:shd w:val="clear" w:color="auto" w:fill="auto"/>
            <w:tcMar>
              <w:top w:w="57" w:type="dxa"/>
              <w:left w:w="0" w:type="dxa"/>
              <w:bottom w:w="57" w:type="dxa"/>
              <w:right w:w="0" w:type="dxa"/>
            </w:tcMar>
            <w:vAlign w:val="bottom"/>
          </w:tcPr>
          <w:p w14:paraId="6F406262" w14:textId="77777777" w:rsidR="00AF3707" w:rsidRPr="00AF3707" w:rsidRDefault="00AF3707" w:rsidP="006B45D6">
            <w:pPr>
              <w:contextualSpacing/>
              <w:rPr>
                <w:rFonts w:ascii="Tahoma" w:hAnsi="Tahoma"/>
                <w:color w:val="000000" w:themeColor="text1"/>
                <w:sz w:val="16"/>
                <w:lang w:val="en-GB"/>
              </w:rPr>
            </w:pPr>
          </w:p>
        </w:tc>
        <w:tc>
          <w:tcPr>
            <w:tcW w:w="6549" w:type="dxa"/>
            <w:tcBorders>
              <w:right w:val="single" w:sz="4" w:space="0" w:color="auto"/>
            </w:tcBorders>
            <w:shd w:val="clear" w:color="auto" w:fill="auto"/>
            <w:tcMar>
              <w:top w:w="57" w:type="dxa"/>
              <w:left w:w="113" w:type="dxa"/>
              <w:bottom w:w="57" w:type="dxa"/>
              <w:right w:w="0" w:type="dxa"/>
            </w:tcMar>
            <w:vAlign w:val="bottom"/>
          </w:tcPr>
          <w:p w14:paraId="140B3AE5" w14:textId="77777777" w:rsidR="00AF3707" w:rsidRPr="00AF3707" w:rsidRDefault="00AF3707" w:rsidP="006B45D6">
            <w:pPr>
              <w:contextualSpacing/>
              <w:rPr>
                <w:rFonts w:ascii="Tahoma" w:hAnsi="Tahoma"/>
                <w:color w:val="000000" w:themeColor="text1"/>
                <w:sz w:val="16"/>
                <w:lang w:val="en-GB"/>
              </w:rPr>
            </w:pPr>
            <w:r w:rsidRPr="00AF3707">
              <w:rPr>
                <w:rFonts w:ascii="Tahoma" w:hAnsi="Tahoma"/>
                <w:color w:val="000000" w:themeColor="text1"/>
                <w:sz w:val="16"/>
                <w:lang w:val="en-GB"/>
              </w:rPr>
              <w:t>Loans and overdrafts</w:t>
            </w:r>
          </w:p>
        </w:tc>
        <w:tc>
          <w:tcPr>
            <w:tcW w:w="992" w:type="dxa"/>
            <w:tcBorders>
              <w:top w:val="single" w:sz="4" w:space="0" w:color="auto"/>
              <w:left w:val="single" w:sz="4" w:space="0" w:color="auto"/>
            </w:tcBorders>
            <w:shd w:val="clear" w:color="auto" w:fill="auto"/>
            <w:tcMar>
              <w:top w:w="57" w:type="dxa"/>
              <w:left w:w="0" w:type="dxa"/>
              <w:bottom w:w="57" w:type="dxa"/>
              <w:right w:w="0" w:type="dxa"/>
            </w:tcMar>
            <w:vAlign w:val="bottom"/>
          </w:tcPr>
          <w:p w14:paraId="0DDF2F3F" w14:textId="77777777" w:rsidR="00AF3707" w:rsidRPr="00AF3707" w:rsidRDefault="00AF3707" w:rsidP="006B45D6">
            <w:pPr>
              <w:contextualSpacing/>
              <w:jc w:val="right"/>
              <w:rPr>
                <w:rFonts w:ascii="Tahoma" w:hAnsi="Tahoma"/>
                <w:b/>
                <w:bCs/>
                <w:color w:val="000000" w:themeColor="text1"/>
                <w:sz w:val="16"/>
                <w:lang w:val="en-GB"/>
              </w:rPr>
            </w:pPr>
            <w:r w:rsidRPr="00AF3707">
              <w:rPr>
                <w:rFonts w:ascii="Tahoma" w:hAnsi="Tahoma"/>
                <w:b/>
                <w:bCs/>
                <w:color w:val="000000" w:themeColor="text1"/>
                <w:sz w:val="16"/>
                <w:lang w:val="en-GB"/>
              </w:rPr>
              <w:t>(255)</w:t>
            </w:r>
          </w:p>
        </w:tc>
        <w:tc>
          <w:tcPr>
            <w:tcW w:w="1134" w:type="dxa"/>
            <w:tcBorders>
              <w:top w:val="single" w:sz="4" w:space="0" w:color="auto"/>
            </w:tcBorders>
            <w:shd w:val="clear" w:color="auto" w:fill="auto"/>
            <w:tcMar>
              <w:top w:w="57" w:type="dxa"/>
              <w:left w:w="0" w:type="dxa"/>
              <w:bottom w:w="57" w:type="dxa"/>
              <w:right w:w="0" w:type="dxa"/>
            </w:tcMar>
            <w:vAlign w:val="bottom"/>
          </w:tcPr>
          <w:p w14:paraId="46244560" w14:textId="77777777" w:rsidR="00AF3707" w:rsidRPr="00AF3707" w:rsidRDefault="00AF3707" w:rsidP="006B45D6">
            <w:pPr>
              <w:contextualSpacing/>
              <w:jc w:val="right"/>
              <w:rPr>
                <w:rFonts w:ascii="Tahoma" w:hAnsi="Tahoma"/>
                <w:color w:val="000000" w:themeColor="text1"/>
                <w:sz w:val="16"/>
                <w:lang w:val="en-GB"/>
              </w:rPr>
            </w:pPr>
            <w:r w:rsidRPr="00AF3707">
              <w:rPr>
                <w:rFonts w:ascii="Tahoma" w:hAnsi="Tahoma"/>
                <w:color w:val="000000" w:themeColor="text1"/>
                <w:sz w:val="16"/>
                <w:lang w:val="en-GB"/>
              </w:rPr>
              <w:t>(174)</w:t>
            </w:r>
          </w:p>
        </w:tc>
        <w:tc>
          <w:tcPr>
            <w:tcW w:w="1134" w:type="dxa"/>
            <w:tcBorders>
              <w:top w:val="single" w:sz="4" w:space="0" w:color="auto"/>
              <w:right w:val="single" w:sz="4" w:space="0" w:color="auto"/>
            </w:tcBorders>
            <w:shd w:val="clear" w:color="auto" w:fill="auto"/>
            <w:tcMar>
              <w:top w:w="57" w:type="dxa"/>
              <w:left w:w="0" w:type="dxa"/>
              <w:bottom w:w="57" w:type="dxa"/>
              <w:right w:w="0" w:type="dxa"/>
            </w:tcMar>
            <w:vAlign w:val="bottom"/>
          </w:tcPr>
          <w:p w14:paraId="78864445" w14:textId="77777777" w:rsidR="00AF3707" w:rsidRPr="00AF3707" w:rsidRDefault="00AF3707" w:rsidP="006B45D6">
            <w:pPr>
              <w:ind w:right="113"/>
              <w:contextualSpacing/>
              <w:jc w:val="right"/>
              <w:rPr>
                <w:rFonts w:ascii="Tahoma" w:hAnsi="Tahoma"/>
                <w:color w:val="000000" w:themeColor="text1"/>
                <w:sz w:val="16"/>
                <w:lang w:val="en-GB"/>
              </w:rPr>
            </w:pPr>
            <w:r w:rsidRPr="00AF3707">
              <w:rPr>
                <w:rFonts w:ascii="Tahoma" w:hAnsi="Tahoma"/>
                <w:color w:val="000000" w:themeColor="text1"/>
                <w:sz w:val="16"/>
                <w:lang w:val="en-GB"/>
              </w:rPr>
              <w:t>(383)</w:t>
            </w:r>
          </w:p>
        </w:tc>
      </w:tr>
      <w:tr w:rsidR="00615190" w:rsidRPr="00AF3707" w14:paraId="67B8EA1B" w14:textId="77777777" w:rsidTr="00275CEF">
        <w:trPr>
          <w:trHeight w:val="60"/>
        </w:trPr>
        <w:tc>
          <w:tcPr>
            <w:tcW w:w="397" w:type="dxa"/>
            <w:shd w:val="clear" w:color="auto" w:fill="auto"/>
            <w:tcMar>
              <w:top w:w="57" w:type="dxa"/>
              <w:left w:w="0" w:type="dxa"/>
              <w:bottom w:w="57" w:type="dxa"/>
              <w:right w:w="0" w:type="dxa"/>
            </w:tcMar>
            <w:vAlign w:val="bottom"/>
          </w:tcPr>
          <w:p w14:paraId="66888E55" w14:textId="77777777" w:rsidR="00AF3707" w:rsidRPr="00AF3707" w:rsidRDefault="00AF3707" w:rsidP="006B45D6">
            <w:pPr>
              <w:contextualSpacing/>
              <w:rPr>
                <w:rFonts w:ascii="Tahoma" w:hAnsi="Tahoma"/>
                <w:color w:val="000000" w:themeColor="text1"/>
                <w:sz w:val="16"/>
                <w:lang w:val="en-GB"/>
              </w:rPr>
            </w:pPr>
          </w:p>
        </w:tc>
        <w:tc>
          <w:tcPr>
            <w:tcW w:w="6549" w:type="dxa"/>
            <w:tcBorders>
              <w:right w:val="single" w:sz="4" w:space="0" w:color="auto"/>
            </w:tcBorders>
            <w:shd w:val="clear" w:color="auto" w:fill="auto"/>
            <w:tcMar>
              <w:top w:w="57" w:type="dxa"/>
              <w:left w:w="113" w:type="dxa"/>
              <w:bottom w:w="57" w:type="dxa"/>
              <w:right w:w="0" w:type="dxa"/>
            </w:tcMar>
            <w:vAlign w:val="bottom"/>
          </w:tcPr>
          <w:p w14:paraId="1FC93EA1" w14:textId="77777777" w:rsidR="00AF3707" w:rsidRPr="00AF3707" w:rsidRDefault="00AF3707" w:rsidP="006B45D6">
            <w:pPr>
              <w:contextualSpacing/>
              <w:rPr>
                <w:rFonts w:ascii="Tahoma" w:hAnsi="Tahoma"/>
                <w:color w:val="000000" w:themeColor="text1"/>
                <w:sz w:val="16"/>
                <w:lang w:val="en-GB"/>
              </w:rPr>
            </w:pPr>
            <w:r w:rsidRPr="00AF3707">
              <w:rPr>
                <w:rFonts w:ascii="Tahoma" w:hAnsi="Tahoma"/>
                <w:color w:val="000000" w:themeColor="text1"/>
                <w:sz w:val="16"/>
                <w:lang w:val="en-GB"/>
              </w:rPr>
              <w:t>Capitalised lease liabilities</w:t>
            </w:r>
          </w:p>
        </w:tc>
        <w:tc>
          <w:tcPr>
            <w:tcW w:w="992" w:type="dxa"/>
            <w:tcBorders>
              <w:left w:val="single" w:sz="4" w:space="0" w:color="auto"/>
            </w:tcBorders>
            <w:shd w:val="clear" w:color="auto" w:fill="auto"/>
            <w:tcMar>
              <w:top w:w="57" w:type="dxa"/>
              <w:left w:w="0" w:type="dxa"/>
              <w:bottom w:w="57" w:type="dxa"/>
              <w:right w:w="0" w:type="dxa"/>
            </w:tcMar>
            <w:vAlign w:val="bottom"/>
          </w:tcPr>
          <w:p w14:paraId="0674619C" w14:textId="77777777" w:rsidR="00AF3707" w:rsidRPr="00AF3707" w:rsidRDefault="00AF3707" w:rsidP="006B45D6">
            <w:pPr>
              <w:contextualSpacing/>
              <w:jc w:val="right"/>
              <w:rPr>
                <w:rFonts w:ascii="Tahoma" w:hAnsi="Tahoma"/>
                <w:b/>
                <w:bCs/>
                <w:color w:val="000000" w:themeColor="text1"/>
                <w:sz w:val="16"/>
                <w:lang w:val="en-GB"/>
              </w:rPr>
            </w:pPr>
            <w:r w:rsidRPr="00AF3707">
              <w:rPr>
                <w:rFonts w:ascii="Tahoma" w:hAnsi="Tahoma"/>
                <w:b/>
                <w:bCs/>
                <w:color w:val="000000" w:themeColor="text1"/>
                <w:sz w:val="16"/>
                <w:lang w:val="en-GB"/>
              </w:rPr>
              <w:t>(4)</w:t>
            </w:r>
          </w:p>
        </w:tc>
        <w:tc>
          <w:tcPr>
            <w:tcW w:w="1134" w:type="dxa"/>
            <w:shd w:val="clear" w:color="auto" w:fill="auto"/>
            <w:tcMar>
              <w:top w:w="57" w:type="dxa"/>
              <w:left w:w="0" w:type="dxa"/>
              <w:bottom w:w="57" w:type="dxa"/>
              <w:right w:w="0" w:type="dxa"/>
            </w:tcMar>
            <w:vAlign w:val="bottom"/>
          </w:tcPr>
          <w:p w14:paraId="39D15D36" w14:textId="77777777" w:rsidR="00AF3707" w:rsidRPr="00AF3707" w:rsidRDefault="00AF3707" w:rsidP="006B45D6">
            <w:pPr>
              <w:contextualSpacing/>
              <w:jc w:val="right"/>
              <w:rPr>
                <w:rFonts w:ascii="Tahoma" w:hAnsi="Tahoma"/>
                <w:color w:val="000000" w:themeColor="text1"/>
                <w:sz w:val="16"/>
                <w:lang w:val="en-GB"/>
              </w:rPr>
            </w:pPr>
            <w:r w:rsidRPr="00AF3707">
              <w:rPr>
                <w:rFonts w:ascii="Tahoma" w:hAnsi="Tahoma"/>
                <w:color w:val="000000" w:themeColor="text1"/>
                <w:sz w:val="16"/>
                <w:lang w:val="en-GB"/>
              </w:rPr>
              <w:t>(3)</w:t>
            </w:r>
          </w:p>
        </w:tc>
        <w:tc>
          <w:tcPr>
            <w:tcW w:w="1134" w:type="dxa"/>
            <w:tcBorders>
              <w:right w:val="single" w:sz="4" w:space="0" w:color="auto"/>
            </w:tcBorders>
            <w:shd w:val="clear" w:color="auto" w:fill="auto"/>
            <w:tcMar>
              <w:top w:w="57" w:type="dxa"/>
              <w:left w:w="0" w:type="dxa"/>
              <w:bottom w:w="57" w:type="dxa"/>
              <w:right w:w="0" w:type="dxa"/>
            </w:tcMar>
            <w:vAlign w:val="bottom"/>
          </w:tcPr>
          <w:p w14:paraId="2FF1BBA8" w14:textId="77777777" w:rsidR="00AF3707" w:rsidRPr="00AF3707" w:rsidRDefault="00AF3707" w:rsidP="006B45D6">
            <w:pPr>
              <w:ind w:right="113"/>
              <w:contextualSpacing/>
              <w:jc w:val="right"/>
              <w:rPr>
                <w:rFonts w:ascii="Tahoma" w:hAnsi="Tahoma"/>
                <w:color w:val="000000" w:themeColor="text1"/>
                <w:sz w:val="16"/>
                <w:lang w:val="en-GB"/>
              </w:rPr>
            </w:pPr>
            <w:r w:rsidRPr="00AF3707">
              <w:rPr>
                <w:rFonts w:ascii="Tahoma" w:hAnsi="Tahoma"/>
                <w:color w:val="000000" w:themeColor="text1"/>
                <w:sz w:val="16"/>
                <w:lang w:val="en-GB"/>
              </w:rPr>
              <w:t>(6)</w:t>
            </w:r>
          </w:p>
        </w:tc>
      </w:tr>
      <w:tr w:rsidR="00615190" w:rsidRPr="00AF3707" w14:paraId="7812AC88" w14:textId="77777777" w:rsidTr="00275CEF">
        <w:trPr>
          <w:trHeight w:val="60"/>
        </w:trPr>
        <w:tc>
          <w:tcPr>
            <w:tcW w:w="397" w:type="dxa"/>
            <w:shd w:val="clear" w:color="auto" w:fill="auto"/>
            <w:tcMar>
              <w:top w:w="57" w:type="dxa"/>
              <w:left w:w="0" w:type="dxa"/>
              <w:bottom w:w="57" w:type="dxa"/>
              <w:right w:w="0" w:type="dxa"/>
            </w:tcMar>
            <w:vAlign w:val="bottom"/>
          </w:tcPr>
          <w:p w14:paraId="3BF9F1FD" w14:textId="77777777" w:rsidR="00AF3707" w:rsidRPr="00AF3707" w:rsidRDefault="00AF3707" w:rsidP="006B45D6">
            <w:pPr>
              <w:contextualSpacing/>
              <w:rPr>
                <w:rFonts w:ascii="Tahoma" w:hAnsi="Tahoma"/>
                <w:color w:val="000000" w:themeColor="text1"/>
                <w:sz w:val="16"/>
                <w:lang w:val="en-GB"/>
              </w:rPr>
            </w:pPr>
          </w:p>
        </w:tc>
        <w:tc>
          <w:tcPr>
            <w:tcW w:w="6549" w:type="dxa"/>
            <w:tcBorders>
              <w:right w:val="single" w:sz="4" w:space="0" w:color="auto"/>
            </w:tcBorders>
            <w:shd w:val="clear" w:color="auto" w:fill="auto"/>
            <w:tcMar>
              <w:top w:w="57" w:type="dxa"/>
              <w:left w:w="113" w:type="dxa"/>
              <w:bottom w:w="57" w:type="dxa"/>
              <w:right w:w="0" w:type="dxa"/>
            </w:tcMar>
            <w:vAlign w:val="bottom"/>
          </w:tcPr>
          <w:p w14:paraId="7EC54B20" w14:textId="77777777" w:rsidR="00AF3707" w:rsidRPr="00AF3707" w:rsidRDefault="00AF3707" w:rsidP="006B45D6">
            <w:pPr>
              <w:contextualSpacing/>
              <w:rPr>
                <w:rFonts w:ascii="Tahoma" w:hAnsi="Tahoma"/>
                <w:color w:val="000000" w:themeColor="text1"/>
                <w:sz w:val="16"/>
                <w:lang w:val="en-GB"/>
              </w:rPr>
            </w:pPr>
            <w:r w:rsidRPr="00AF3707">
              <w:rPr>
                <w:rFonts w:ascii="Tahoma" w:hAnsi="Tahoma"/>
                <w:color w:val="000000" w:themeColor="text1"/>
                <w:sz w:val="16"/>
                <w:lang w:val="en-GB"/>
              </w:rPr>
              <w:t>Other</w:t>
            </w:r>
          </w:p>
        </w:tc>
        <w:tc>
          <w:tcPr>
            <w:tcW w:w="992" w:type="dxa"/>
            <w:tcBorders>
              <w:left w:val="single" w:sz="4" w:space="0" w:color="auto"/>
              <w:bottom w:val="single" w:sz="4" w:space="0" w:color="auto"/>
            </w:tcBorders>
            <w:shd w:val="clear" w:color="auto" w:fill="auto"/>
            <w:tcMar>
              <w:top w:w="57" w:type="dxa"/>
              <w:left w:w="0" w:type="dxa"/>
              <w:bottom w:w="57" w:type="dxa"/>
              <w:right w:w="0" w:type="dxa"/>
            </w:tcMar>
            <w:vAlign w:val="bottom"/>
          </w:tcPr>
          <w:p w14:paraId="71E0111E" w14:textId="77777777" w:rsidR="00AF3707" w:rsidRPr="00AF3707" w:rsidRDefault="00AF3707" w:rsidP="006B45D6">
            <w:pPr>
              <w:contextualSpacing/>
              <w:jc w:val="right"/>
              <w:rPr>
                <w:rFonts w:ascii="Tahoma" w:hAnsi="Tahoma"/>
                <w:b/>
                <w:bCs/>
                <w:color w:val="000000" w:themeColor="text1"/>
                <w:sz w:val="16"/>
                <w:lang w:val="en-GB"/>
              </w:rPr>
            </w:pPr>
            <w:r w:rsidRPr="00AF3707">
              <w:rPr>
                <w:rFonts w:ascii="Tahoma" w:hAnsi="Tahoma"/>
                <w:b/>
                <w:bCs/>
                <w:color w:val="000000" w:themeColor="text1"/>
                <w:sz w:val="16"/>
                <w:lang w:val="en-GB"/>
              </w:rPr>
              <w:t>(19)</w:t>
            </w:r>
          </w:p>
        </w:tc>
        <w:tc>
          <w:tcPr>
            <w:tcW w:w="1134" w:type="dxa"/>
            <w:tcBorders>
              <w:bottom w:val="single" w:sz="4" w:space="0" w:color="auto"/>
            </w:tcBorders>
            <w:shd w:val="clear" w:color="auto" w:fill="auto"/>
            <w:tcMar>
              <w:top w:w="57" w:type="dxa"/>
              <w:left w:w="0" w:type="dxa"/>
              <w:bottom w:w="57" w:type="dxa"/>
              <w:right w:w="0" w:type="dxa"/>
            </w:tcMar>
            <w:vAlign w:val="bottom"/>
          </w:tcPr>
          <w:p w14:paraId="3BFDADE6" w14:textId="77777777" w:rsidR="00AF3707" w:rsidRPr="00AF3707" w:rsidRDefault="00AF3707" w:rsidP="006B45D6">
            <w:pPr>
              <w:contextualSpacing/>
              <w:jc w:val="right"/>
              <w:rPr>
                <w:rFonts w:ascii="Tahoma" w:hAnsi="Tahoma"/>
                <w:color w:val="000000" w:themeColor="text1"/>
                <w:sz w:val="16"/>
                <w:lang w:val="en-GB"/>
              </w:rPr>
            </w:pPr>
            <w:r w:rsidRPr="00AF3707">
              <w:rPr>
                <w:rFonts w:ascii="Tahoma" w:hAnsi="Tahoma"/>
                <w:color w:val="000000" w:themeColor="text1"/>
                <w:sz w:val="16"/>
                <w:lang w:val="en-GB"/>
              </w:rPr>
              <w:t>(2)</w:t>
            </w:r>
          </w:p>
        </w:tc>
        <w:tc>
          <w:tcPr>
            <w:tcW w:w="1134" w:type="dxa"/>
            <w:tcBorders>
              <w:bottom w:val="single" w:sz="4" w:space="0" w:color="auto"/>
              <w:right w:val="single" w:sz="4" w:space="0" w:color="auto"/>
            </w:tcBorders>
            <w:shd w:val="clear" w:color="auto" w:fill="auto"/>
            <w:tcMar>
              <w:top w:w="57" w:type="dxa"/>
              <w:left w:w="0" w:type="dxa"/>
              <w:bottom w:w="57" w:type="dxa"/>
              <w:right w:w="0" w:type="dxa"/>
            </w:tcMar>
            <w:vAlign w:val="bottom"/>
          </w:tcPr>
          <w:p w14:paraId="0E053017" w14:textId="77777777" w:rsidR="00AF3707" w:rsidRPr="00AF3707" w:rsidRDefault="00AF3707" w:rsidP="006B45D6">
            <w:pPr>
              <w:ind w:right="113"/>
              <w:contextualSpacing/>
              <w:jc w:val="right"/>
              <w:rPr>
                <w:rFonts w:ascii="Tahoma" w:hAnsi="Tahoma"/>
                <w:color w:val="000000" w:themeColor="text1"/>
                <w:sz w:val="16"/>
                <w:lang w:val="en-GB"/>
              </w:rPr>
            </w:pPr>
            <w:r w:rsidRPr="00AF3707">
              <w:rPr>
                <w:rFonts w:ascii="Tahoma" w:hAnsi="Tahoma"/>
                <w:color w:val="000000" w:themeColor="text1"/>
                <w:sz w:val="16"/>
                <w:lang w:val="en-GB"/>
              </w:rPr>
              <w:t>(10)</w:t>
            </w:r>
          </w:p>
        </w:tc>
      </w:tr>
      <w:tr w:rsidR="00615190" w:rsidRPr="00AF3707" w14:paraId="4A86506B" w14:textId="77777777" w:rsidTr="00297938">
        <w:trPr>
          <w:trHeight w:val="60"/>
        </w:trPr>
        <w:tc>
          <w:tcPr>
            <w:tcW w:w="397" w:type="dxa"/>
            <w:shd w:val="clear" w:color="auto" w:fill="auto"/>
            <w:tcMar>
              <w:top w:w="57" w:type="dxa"/>
              <w:left w:w="0" w:type="dxa"/>
              <w:bottom w:w="57" w:type="dxa"/>
              <w:right w:w="0" w:type="dxa"/>
            </w:tcMar>
            <w:vAlign w:val="bottom"/>
          </w:tcPr>
          <w:p w14:paraId="7F71D6DD" w14:textId="77777777" w:rsidR="00AF3707" w:rsidRPr="00AF3707" w:rsidRDefault="00AF3707" w:rsidP="006B45D6">
            <w:pPr>
              <w:contextualSpacing/>
              <w:rPr>
                <w:rFonts w:ascii="Tahoma" w:hAnsi="Tahoma"/>
                <w:color w:val="000000" w:themeColor="text1"/>
                <w:sz w:val="16"/>
                <w:lang w:val="en-GB"/>
              </w:rPr>
            </w:pPr>
          </w:p>
        </w:tc>
        <w:tc>
          <w:tcPr>
            <w:tcW w:w="6549" w:type="dxa"/>
            <w:shd w:val="clear" w:color="auto" w:fill="auto"/>
            <w:tcMar>
              <w:top w:w="57" w:type="dxa"/>
              <w:left w:w="0" w:type="dxa"/>
              <w:bottom w:w="57" w:type="dxa"/>
              <w:right w:w="0" w:type="dxa"/>
            </w:tcMar>
            <w:vAlign w:val="bottom"/>
          </w:tcPr>
          <w:p w14:paraId="4D4CC70F" w14:textId="77777777" w:rsidR="00AF3707" w:rsidRPr="00AF3707" w:rsidRDefault="00AF3707" w:rsidP="006B45D6">
            <w:pPr>
              <w:contextualSpacing/>
              <w:rPr>
                <w:rFonts w:ascii="Tahoma" w:hAnsi="Tahoma"/>
                <w:b/>
                <w:bCs/>
                <w:color w:val="000000" w:themeColor="text1"/>
                <w:sz w:val="16"/>
                <w:lang w:val="en-GB"/>
              </w:rPr>
            </w:pPr>
            <w:r w:rsidRPr="00AF3707">
              <w:rPr>
                <w:rFonts w:ascii="Tahoma" w:hAnsi="Tahoma"/>
                <w:b/>
                <w:bCs/>
                <w:color w:val="000000" w:themeColor="text1"/>
                <w:sz w:val="16"/>
                <w:lang w:val="en-GB"/>
              </w:rPr>
              <w:t>Other finance income/(costs) – net</w:t>
            </w:r>
          </w:p>
        </w:tc>
        <w:tc>
          <w:tcPr>
            <w:tcW w:w="992" w:type="dxa"/>
            <w:tcBorders>
              <w:top w:val="single" w:sz="4" w:space="0" w:color="auto"/>
              <w:bottom w:val="single" w:sz="4" w:space="0" w:color="auto"/>
            </w:tcBorders>
            <w:shd w:val="clear" w:color="auto" w:fill="auto"/>
            <w:tcMar>
              <w:top w:w="57" w:type="dxa"/>
              <w:left w:w="0" w:type="dxa"/>
              <w:bottom w:w="57" w:type="dxa"/>
              <w:right w:w="0" w:type="dxa"/>
            </w:tcMar>
            <w:vAlign w:val="bottom"/>
          </w:tcPr>
          <w:p w14:paraId="157D5E26" w14:textId="77777777" w:rsidR="00AF3707" w:rsidRPr="00AF3707" w:rsidRDefault="00AF3707" w:rsidP="006B45D6">
            <w:pPr>
              <w:contextualSpacing/>
              <w:jc w:val="right"/>
              <w:rPr>
                <w:rFonts w:ascii="Tahoma" w:hAnsi="Tahoma"/>
                <w:b/>
                <w:bCs/>
                <w:color w:val="000000" w:themeColor="text1"/>
                <w:sz w:val="16"/>
                <w:lang w:val="en-GB"/>
              </w:rPr>
            </w:pPr>
            <w:r w:rsidRPr="00AF3707">
              <w:rPr>
                <w:rFonts w:ascii="Tahoma" w:hAnsi="Tahoma"/>
                <w:b/>
                <w:bCs/>
                <w:color w:val="000000" w:themeColor="text1"/>
                <w:sz w:val="16"/>
                <w:lang w:val="en-GB"/>
              </w:rPr>
              <w:t>294</w:t>
            </w:r>
          </w:p>
        </w:tc>
        <w:tc>
          <w:tcPr>
            <w:tcW w:w="1134" w:type="dxa"/>
            <w:tcBorders>
              <w:top w:val="single" w:sz="4" w:space="0" w:color="auto"/>
              <w:bottom w:val="single" w:sz="4" w:space="0" w:color="auto"/>
            </w:tcBorders>
            <w:shd w:val="clear" w:color="auto" w:fill="auto"/>
            <w:tcMar>
              <w:top w:w="57" w:type="dxa"/>
              <w:left w:w="0" w:type="dxa"/>
              <w:bottom w:w="57" w:type="dxa"/>
              <w:right w:w="0" w:type="dxa"/>
            </w:tcMar>
            <w:vAlign w:val="bottom"/>
          </w:tcPr>
          <w:p w14:paraId="0591872A" w14:textId="77777777" w:rsidR="00AF3707" w:rsidRPr="00AF3707" w:rsidRDefault="00AF3707" w:rsidP="006B45D6">
            <w:pPr>
              <w:contextualSpacing/>
              <w:jc w:val="right"/>
              <w:rPr>
                <w:rFonts w:ascii="Tahoma" w:hAnsi="Tahoma"/>
                <w:color w:val="000000" w:themeColor="text1"/>
                <w:sz w:val="16"/>
                <w:lang w:val="en-GB"/>
              </w:rPr>
            </w:pPr>
            <w:r w:rsidRPr="00AF3707">
              <w:rPr>
                <w:rFonts w:ascii="Tahoma" w:hAnsi="Tahoma"/>
                <w:color w:val="000000" w:themeColor="text1"/>
                <w:sz w:val="16"/>
                <w:lang w:val="en-GB"/>
              </w:rPr>
              <w:t>(172)</w:t>
            </w:r>
          </w:p>
        </w:tc>
        <w:tc>
          <w:tcPr>
            <w:tcW w:w="1134" w:type="dxa"/>
            <w:tcBorders>
              <w:top w:val="single" w:sz="4" w:space="0" w:color="auto"/>
              <w:bottom w:val="single" w:sz="4" w:space="0" w:color="auto"/>
            </w:tcBorders>
            <w:shd w:val="clear" w:color="auto" w:fill="auto"/>
            <w:tcMar>
              <w:top w:w="57" w:type="dxa"/>
              <w:left w:w="0" w:type="dxa"/>
              <w:bottom w:w="57" w:type="dxa"/>
              <w:right w:w="0" w:type="dxa"/>
            </w:tcMar>
            <w:vAlign w:val="bottom"/>
          </w:tcPr>
          <w:p w14:paraId="3AFB01F1" w14:textId="77777777" w:rsidR="00AF3707" w:rsidRPr="00AF3707" w:rsidRDefault="00AF3707" w:rsidP="006B45D6">
            <w:pPr>
              <w:ind w:right="113"/>
              <w:contextualSpacing/>
              <w:jc w:val="right"/>
              <w:rPr>
                <w:rFonts w:ascii="Tahoma" w:hAnsi="Tahoma"/>
                <w:color w:val="000000" w:themeColor="text1"/>
                <w:sz w:val="16"/>
                <w:lang w:val="en-GB"/>
              </w:rPr>
            </w:pPr>
            <w:r w:rsidRPr="00AF3707">
              <w:rPr>
                <w:rFonts w:ascii="Tahoma" w:hAnsi="Tahoma"/>
                <w:color w:val="000000" w:themeColor="text1"/>
                <w:sz w:val="16"/>
                <w:lang w:val="en-GB"/>
              </w:rPr>
              <w:t>(77)</w:t>
            </w:r>
          </w:p>
        </w:tc>
      </w:tr>
      <w:tr w:rsidR="00615190" w:rsidRPr="00AF3707" w14:paraId="242ABDD4" w14:textId="77777777" w:rsidTr="00297938">
        <w:trPr>
          <w:trHeight w:val="60"/>
        </w:trPr>
        <w:tc>
          <w:tcPr>
            <w:tcW w:w="397" w:type="dxa"/>
            <w:shd w:val="clear" w:color="auto" w:fill="auto"/>
            <w:tcMar>
              <w:top w:w="57" w:type="dxa"/>
              <w:left w:w="0" w:type="dxa"/>
              <w:bottom w:w="57" w:type="dxa"/>
              <w:right w:w="0" w:type="dxa"/>
            </w:tcMar>
            <w:vAlign w:val="bottom"/>
          </w:tcPr>
          <w:p w14:paraId="1DC7F8DB" w14:textId="77777777" w:rsidR="00AF3707" w:rsidRPr="00AF3707" w:rsidRDefault="00AF3707" w:rsidP="006B45D6">
            <w:pPr>
              <w:contextualSpacing/>
              <w:rPr>
                <w:rFonts w:ascii="Tahoma" w:hAnsi="Tahoma"/>
                <w:color w:val="000000" w:themeColor="text1"/>
                <w:sz w:val="16"/>
                <w:lang w:val="en-GB"/>
              </w:rPr>
            </w:pPr>
          </w:p>
        </w:tc>
        <w:tc>
          <w:tcPr>
            <w:tcW w:w="6549" w:type="dxa"/>
            <w:tcBorders>
              <w:right w:val="single" w:sz="4" w:space="0" w:color="auto"/>
            </w:tcBorders>
            <w:shd w:val="clear" w:color="auto" w:fill="auto"/>
            <w:tcMar>
              <w:top w:w="57" w:type="dxa"/>
              <w:left w:w="113" w:type="dxa"/>
              <w:bottom w:w="57" w:type="dxa"/>
              <w:right w:w="0" w:type="dxa"/>
            </w:tcMar>
            <w:vAlign w:val="bottom"/>
          </w:tcPr>
          <w:p w14:paraId="1BA2B730" w14:textId="77777777" w:rsidR="00AF3707" w:rsidRPr="00AF3707" w:rsidRDefault="00AF3707" w:rsidP="006B45D6">
            <w:pPr>
              <w:contextualSpacing/>
              <w:rPr>
                <w:rFonts w:ascii="Tahoma" w:hAnsi="Tahoma"/>
                <w:color w:val="000000" w:themeColor="text1"/>
                <w:sz w:val="16"/>
                <w:lang w:val="en-GB"/>
              </w:rPr>
            </w:pPr>
            <w:r w:rsidRPr="00AF3707">
              <w:rPr>
                <w:rFonts w:ascii="Tahoma" w:hAnsi="Tahoma"/>
                <w:color w:val="000000" w:themeColor="text1"/>
                <w:sz w:val="16"/>
                <w:lang w:val="en-GB"/>
              </w:rPr>
              <w:t>Gains/(losses) on translation of assets and liabilities</w:t>
            </w:r>
          </w:p>
        </w:tc>
        <w:tc>
          <w:tcPr>
            <w:tcW w:w="992" w:type="dxa"/>
            <w:tcBorders>
              <w:top w:val="single" w:sz="4" w:space="0" w:color="auto"/>
              <w:left w:val="single" w:sz="4" w:space="0" w:color="auto"/>
            </w:tcBorders>
            <w:shd w:val="clear" w:color="auto" w:fill="auto"/>
            <w:tcMar>
              <w:top w:w="57" w:type="dxa"/>
              <w:left w:w="0" w:type="dxa"/>
              <w:bottom w:w="57" w:type="dxa"/>
              <w:right w:w="0" w:type="dxa"/>
            </w:tcMar>
            <w:vAlign w:val="bottom"/>
          </w:tcPr>
          <w:p w14:paraId="4C5A66CE" w14:textId="77777777" w:rsidR="00AF3707" w:rsidRPr="00AF3707" w:rsidRDefault="00AF3707" w:rsidP="006B45D6">
            <w:pPr>
              <w:contextualSpacing/>
              <w:jc w:val="right"/>
              <w:rPr>
                <w:rFonts w:ascii="Tahoma" w:hAnsi="Tahoma"/>
                <w:b/>
                <w:bCs/>
                <w:color w:val="000000" w:themeColor="text1"/>
                <w:sz w:val="16"/>
                <w:lang w:val="en-GB"/>
              </w:rPr>
            </w:pPr>
            <w:r w:rsidRPr="00AF3707">
              <w:rPr>
                <w:rFonts w:ascii="Tahoma" w:hAnsi="Tahoma"/>
                <w:b/>
                <w:bCs/>
                <w:color w:val="000000" w:themeColor="text1"/>
                <w:sz w:val="16"/>
                <w:lang w:val="en-GB"/>
              </w:rPr>
              <w:t>317</w:t>
            </w:r>
          </w:p>
        </w:tc>
        <w:tc>
          <w:tcPr>
            <w:tcW w:w="1134" w:type="dxa"/>
            <w:tcBorders>
              <w:top w:val="single" w:sz="4" w:space="0" w:color="auto"/>
            </w:tcBorders>
            <w:shd w:val="clear" w:color="auto" w:fill="auto"/>
            <w:tcMar>
              <w:top w:w="57" w:type="dxa"/>
              <w:left w:w="0" w:type="dxa"/>
              <w:bottom w:w="57" w:type="dxa"/>
              <w:right w:w="0" w:type="dxa"/>
            </w:tcMar>
            <w:vAlign w:val="bottom"/>
          </w:tcPr>
          <w:p w14:paraId="4326D9C8" w14:textId="77777777" w:rsidR="00AF3707" w:rsidRPr="00AF3707" w:rsidRDefault="00AF3707" w:rsidP="006B45D6">
            <w:pPr>
              <w:contextualSpacing/>
              <w:jc w:val="right"/>
              <w:rPr>
                <w:rFonts w:ascii="Tahoma" w:hAnsi="Tahoma"/>
                <w:color w:val="000000" w:themeColor="text1"/>
                <w:sz w:val="16"/>
                <w:lang w:val="en-GB"/>
              </w:rPr>
            </w:pPr>
            <w:r w:rsidRPr="00AF3707">
              <w:rPr>
                <w:rFonts w:ascii="Tahoma" w:hAnsi="Tahoma"/>
                <w:color w:val="000000" w:themeColor="text1"/>
                <w:sz w:val="16"/>
                <w:lang w:val="en-GB"/>
              </w:rPr>
              <w:t>31</w:t>
            </w:r>
          </w:p>
        </w:tc>
        <w:tc>
          <w:tcPr>
            <w:tcW w:w="1134" w:type="dxa"/>
            <w:tcBorders>
              <w:top w:val="single" w:sz="4" w:space="0" w:color="auto"/>
              <w:right w:val="single" w:sz="4" w:space="0" w:color="auto"/>
            </w:tcBorders>
            <w:shd w:val="clear" w:color="auto" w:fill="auto"/>
            <w:tcMar>
              <w:top w:w="57" w:type="dxa"/>
              <w:left w:w="0" w:type="dxa"/>
              <w:bottom w:w="57" w:type="dxa"/>
              <w:right w:w="0" w:type="dxa"/>
            </w:tcMar>
            <w:vAlign w:val="bottom"/>
          </w:tcPr>
          <w:p w14:paraId="447DAB8B" w14:textId="77777777" w:rsidR="00AF3707" w:rsidRPr="00AF3707" w:rsidRDefault="00AF3707" w:rsidP="006B45D6">
            <w:pPr>
              <w:ind w:right="113"/>
              <w:contextualSpacing/>
              <w:jc w:val="right"/>
              <w:rPr>
                <w:rFonts w:ascii="Tahoma" w:hAnsi="Tahoma"/>
                <w:color w:val="000000" w:themeColor="text1"/>
                <w:sz w:val="16"/>
                <w:lang w:val="en-GB"/>
              </w:rPr>
            </w:pPr>
            <w:r w:rsidRPr="00AF3707">
              <w:rPr>
                <w:rFonts w:ascii="Tahoma" w:hAnsi="Tahoma"/>
                <w:color w:val="000000" w:themeColor="text1"/>
                <w:sz w:val="16"/>
                <w:lang w:val="en-GB"/>
              </w:rPr>
              <w:t>128</w:t>
            </w:r>
          </w:p>
        </w:tc>
      </w:tr>
      <w:tr w:rsidR="00615190" w:rsidRPr="00AF3707" w14:paraId="2ABD95AC" w14:textId="77777777" w:rsidTr="00297938">
        <w:trPr>
          <w:trHeight w:val="60"/>
        </w:trPr>
        <w:tc>
          <w:tcPr>
            <w:tcW w:w="397" w:type="dxa"/>
            <w:shd w:val="clear" w:color="auto" w:fill="auto"/>
            <w:tcMar>
              <w:top w:w="57" w:type="dxa"/>
              <w:left w:w="0" w:type="dxa"/>
              <w:bottom w:w="57" w:type="dxa"/>
              <w:right w:w="0" w:type="dxa"/>
            </w:tcMar>
            <w:vAlign w:val="bottom"/>
          </w:tcPr>
          <w:p w14:paraId="16C128B0" w14:textId="77777777" w:rsidR="00AF3707" w:rsidRPr="00AF3707" w:rsidRDefault="00AF3707" w:rsidP="006B45D6">
            <w:pPr>
              <w:contextualSpacing/>
              <w:rPr>
                <w:rFonts w:ascii="Tahoma" w:hAnsi="Tahoma"/>
                <w:color w:val="000000" w:themeColor="text1"/>
                <w:sz w:val="16"/>
                <w:lang w:val="en-GB"/>
              </w:rPr>
            </w:pPr>
          </w:p>
        </w:tc>
        <w:tc>
          <w:tcPr>
            <w:tcW w:w="6549" w:type="dxa"/>
            <w:tcBorders>
              <w:right w:val="single" w:sz="4" w:space="0" w:color="auto"/>
            </w:tcBorders>
            <w:shd w:val="clear" w:color="auto" w:fill="auto"/>
            <w:tcMar>
              <w:top w:w="57" w:type="dxa"/>
              <w:left w:w="113" w:type="dxa"/>
              <w:bottom w:w="57" w:type="dxa"/>
              <w:right w:w="0" w:type="dxa"/>
            </w:tcMar>
            <w:vAlign w:val="bottom"/>
          </w:tcPr>
          <w:p w14:paraId="0B42A409" w14:textId="77777777" w:rsidR="00AF3707" w:rsidRPr="00AF3707" w:rsidRDefault="00AF3707" w:rsidP="006B45D6">
            <w:pPr>
              <w:contextualSpacing/>
              <w:rPr>
                <w:rFonts w:ascii="Tahoma" w:hAnsi="Tahoma"/>
                <w:color w:val="000000" w:themeColor="text1"/>
                <w:sz w:val="16"/>
                <w:lang w:val="en-GB"/>
              </w:rPr>
            </w:pPr>
            <w:r w:rsidRPr="00AF3707">
              <w:rPr>
                <w:rFonts w:ascii="Tahoma" w:hAnsi="Tahoma"/>
                <w:color w:val="000000" w:themeColor="text1"/>
                <w:sz w:val="16"/>
                <w:lang w:val="en-GB"/>
              </w:rPr>
              <w:t>Gains/(losses) on derivative and other financial instruments</w:t>
            </w:r>
            <w:r w:rsidRPr="00AF3707">
              <w:rPr>
                <w:rFonts w:ascii="Tahoma" w:hAnsi="Tahoma"/>
                <w:color w:val="000000" w:themeColor="text1"/>
                <w:sz w:val="16"/>
                <w:vertAlign w:val="superscript"/>
                <w:lang w:val="en-GB"/>
              </w:rPr>
              <w:t>1</w:t>
            </w:r>
          </w:p>
        </w:tc>
        <w:tc>
          <w:tcPr>
            <w:tcW w:w="992" w:type="dxa"/>
            <w:tcBorders>
              <w:left w:val="single" w:sz="4" w:space="0" w:color="auto"/>
              <w:bottom w:val="single" w:sz="4" w:space="0" w:color="auto"/>
            </w:tcBorders>
            <w:shd w:val="clear" w:color="auto" w:fill="auto"/>
            <w:tcMar>
              <w:top w:w="57" w:type="dxa"/>
              <w:left w:w="0" w:type="dxa"/>
              <w:bottom w:w="57" w:type="dxa"/>
              <w:right w:w="0" w:type="dxa"/>
            </w:tcMar>
            <w:vAlign w:val="bottom"/>
          </w:tcPr>
          <w:p w14:paraId="169B944F" w14:textId="77777777" w:rsidR="00AF3707" w:rsidRPr="00AF3707" w:rsidRDefault="00AF3707" w:rsidP="006B45D6">
            <w:pPr>
              <w:contextualSpacing/>
              <w:jc w:val="right"/>
              <w:rPr>
                <w:rFonts w:ascii="Tahoma" w:hAnsi="Tahoma"/>
                <w:b/>
                <w:bCs/>
                <w:color w:val="000000" w:themeColor="text1"/>
                <w:sz w:val="16"/>
                <w:lang w:val="en-GB"/>
              </w:rPr>
            </w:pPr>
            <w:r w:rsidRPr="00AF3707">
              <w:rPr>
                <w:rFonts w:ascii="Tahoma" w:hAnsi="Tahoma"/>
                <w:b/>
                <w:bCs/>
                <w:color w:val="000000" w:themeColor="text1"/>
                <w:sz w:val="16"/>
                <w:lang w:val="en-GB"/>
              </w:rPr>
              <w:t>(23)</w:t>
            </w:r>
          </w:p>
        </w:tc>
        <w:tc>
          <w:tcPr>
            <w:tcW w:w="1134" w:type="dxa"/>
            <w:tcBorders>
              <w:bottom w:val="single" w:sz="4" w:space="0" w:color="auto"/>
            </w:tcBorders>
            <w:shd w:val="clear" w:color="auto" w:fill="auto"/>
            <w:tcMar>
              <w:top w:w="57" w:type="dxa"/>
              <w:left w:w="0" w:type="dxa"/>
              <w:bottom w:w="57" w:type="dxa"/>
              <w:right w:w="0" w:type="dxa"/>
            </w:tcMar>
            <w:vAlign w:val="bottom"/>
          </w:tcPr>
          <w:p w14:paraId="69956686" w14:textId="77777777" w:rsidR="00AF3707" w:rsidRPr="00AF3707" w:rsidRDefault="00AF3707" w:rsidP="006B45D6">
            <w:pPr>
              <w:contextualSpacing/>
              <w:jc w:val="right"/>
              <w:rPr>
                <w:rFonts w:ascii="Tahoma" w:hAnsi="Tahoma"/>
                <w:color w:val="000000" w:themeColor="text1"/>
                <w:sz w:val="16"/>
                <w:lang w:val="en-GB"/>
              </w:rPr>
            </w:pPr>
            <w:r w:rsidRPr="00AF3707">
              <w:rPr>
                <w:rFonts w:ascii="Tahoma" w:hAnsi="Tahoma"/>
                <w:color w:val="000000" w:themeColor="text1"/>
                <w:sz w:val="16"/>
                <w:lang w:val="en-GB"/>
              </w:rPr>
              <w:t>(203)</w:t>
            </w:r>
          </w:p>
        </w:tc>
        <w:tc>
          <w:tcPr>
            <w:tcW w:w="1134" w:type="dxa"/>
            <w:tcBorders>
              <w:bottom w:val="single" w:sz="4" w:space="0" w:color="auto"/>
              <w:right w:val="single" w:sz="4" w:space="0" w:color="auto"/>
            </w:tcBorders>
            <w:shd w:val="clear" w:color="auto" w:fill="auto"/>
            <w:tcMar>
              <w:top w:w="57" w:type="dxa"/>
              <w:left w:w="0" w:type="dxa"/>
              <w:bottom w:w="57" w:type="dxa"/>
              <w:right w:w="0" w:type="dxa"/>
            </w:tcMar>
            <w:vAlign w:val="bottom"/>
          </w:tcPr>
          <w:p w14:paraId="238B1BFE" w14:textId="77777777" w:rsidR="00AF3707" w:rsidRPr="00AF3707" w:rsidRDefault="00AF3707" w:rsidP="006B45D6">
            <w:pPr>
              <w:ind w:right="113"/>
              <w:contextualSpacing/>
              <w:jc w:val="right"/>
              <w:rPr>
                <w:rFonts w:ascii="Tahoma" w:hAnsi="Tahoma"/>
                <w:color w:val="000000" w:themeColor="text1"/>
                <w:sz w:val="16"/>
                <w:lang w:val="en-GB"/>
              </w:rPr>
            </w:pPr>
            <w:r w:rsidRPr="00AF3707">
              <w:rPr>
                <w:rFonts w:ascii="Tahoma" w:hAnsi="Tahoma"/>
                <w:color w:val="000000" w:themeColor="text1"/>
                <w:sz w:val="16"/>
                <w:lang w:val="en-GB"/>
              </w:rPr>
              <w:t>(205)</w:t>
            </w:r>
          </w:p>
        </w:tc>
      </w:tr>
      <w:tr w:rsidR="00615190" w:rsidRPr="00AF3707" w14:paraId="5D7BA305" w14:textId="77777777" w:rsidTr="00A63A93">
        <w:trPr>
          <w:trHeight w:hRule="exact" w:val="85"/>
        </w:trPr>
        <w:tc>
          <w:tcPr>
            <w:tcW w:w="397" w:type="dxa"/>
            <w:shd w:val="clear" w:color="auto" w:fill="auto"/>
            <w:tcMar>
              <w:top w:w="85" w:type="dxa"/>
              <w:left w:w="0" w:type="dxa"/>
              <w:bottom w:w="85" w:type="dxa"/>
              <w:right w:w="0" w:type="dxa"/>
            </w:tcMar>
            <w:vAlign w:val="bottom"/>
          </w:tcPr>
          <w:p w14:paraId="4623BC61" w14:textId="77777777" w:rsidR="00AF3707" w:rsidRPr="00AF3707" w:rsidRDefault="00AF3707" w:rsidP="006B45D6">
            <w:pPr>
              <w:contextualSpacing/>
              <w:rPr>
                <w:rFonts w:ascii="Tahoma" w:hAnsi="Tahoma"/>
                <w:color w:val="000000" w:themeColor="text1"/>
                <w:sz w:val="16"/>
                <w:lang w:val="en-GB"/>
              </w:rPr>
            </w:pPr>
          </w:p>
        </w:tc>
        <w:tc>
          <w:tcPr>
            <w:tcW w:w="6549" w:type="dxa"/>
            <w:tcBorders>
              <w:bottom w:val="single" w:sz="12" w:space="0" w:color="auto"/>
            </w:tcBorders>
            <w:shd w:val="clear" w:color="auto" w:fill="auto"/>
            <w:tcMar>
              <w:top w:w="85" w:type="dxa"/>
              <w:left w:w="0" w:type="dxa"/>
              <w:bottom w:w="85" w:type="dxa"/>
              <w:right w:w="0" w:type="dxa"/>
            </w:tcMar>
            <w:vAlign w:val="bottom"/>
          </w:tcPr>
          <w:p w14:paraId="63FEA75C" w14:textId="77777777" w:rsidR="00AF3707" w:rsidRPr="00AF3707" w:rsidRDefault="00AF3707" w:rsidP="006B45D6">
            <w:pPr>
              <w:contextualSpacing/>
              <w:rPr>
                <w:rFonts w:ascii="Tahoma" w:hAnsi="Tahoma"/>
                <w:color w:val="000000" w:themeColor="text1"/>
                <w:sz w:val="16"/>
                <w:lang w:val="en-GB"/>
              </w:rPr>
            </w:pPr>
          </w:p>
        </w:tc>
        <w:tc>
          <w:tcPr>
            <w:tcW w:w="992"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3B675142" w14:textId="77777777" w:rsidR="00AF3707" w:rsidRPr="00AF3707" w:rsidRDefault="00AF3707" w:rsidP="006B45D6">
            <w:pPr>
              <w:contextualSpacing/>
              <w:rPr>
                <w:rFonts w:ascii="Tahoma" w:hAnsi="Tahoma"/>
                <w:color w:val="000000" w:themeColor="text1"/>
                <w:sz w:val="16"/>
                <w:lang w:val="en-GB"/>
              </w:rPr>
            </w:pPr>
          </w:p>
        </w:tc>
        <w:tc>
          <w:tcPr>
            <w:tcW w:w="1134"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05A52CD8" w14:textId="77777777" w:rsidR="00AF3707" w:rsidRPr="00AF3707" w:rsidRDefault="00AF3707" w:rsidP="006B45D6">
            <w:pPr>
              <w:contextualSpacing/>
              <w:rPr>
                <w:rFonts w:ascii="Tahoma" w:hAnsi="Tahoma"/>
                <w:color w:val="000000" w:themeColor="text1"/>
                <w:sz w:val="16"/>
                <w:lang w:val="en-GB"/>
              </w:rPr>
            </w:pPr>
          </w:p>
        </w:tc>
        <w:tc>
          <w:tcPr>
            <w:tcW w:w="1134"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2CB6021B" w14:textId="77777777" w:rsidR="00AF3707" w:rsidRPr="00AF3707" w:rsidRDefault="00AF3707" w:rsidP="006B45D6">
            <w:pPr>
              <w:contextualSpacing/>
              <w:rPr>
                <w:rFonts w:ascii="Tahoma" w:hAnsi="Tahoma"/>
                <w:color w:val="000000" w:themeColor="text1"/>
                <w:sz w:val="16"/>
                <w:lang w:val="en-GB"/>
              </w:rPr>
            </w:pPr>
          </w:p>
        </w:tc>
      </w:tr>
      <w:tr w:rsidR="00615190" w:rsidRPr="00AF3707" w14:paraId="308D231E" w14:textId="77777777" w:rsidTr="00A63A93">
        <w:trPr>
          <w:trHeight w:val="60"/>
        </w:trPr>
        <w:tc>
          <w:tcPr>
            <w:tcW w:w="397" w:type="dxa"/>
            <w:shd w:val="clear" w:color="auto" w:fill="auto"/>
            <w:tcMar>
              <w:top w:w="85" w:type="dxa"/>
              <w:left w:w="0" w:type="dxa"/>
              <w:bottom w:w="85" w:type="dxa"/>
              <w:right w:w="0" w:type="dxa"/>
            </w:tcMar>
            <w:vAlign w:val="bottom"/>
          </w:tcPr>
          <w:p w14:paraId="6B29CF28" w14:textId="77777777" w:rsidR="00AF3707" w:rsidRPr="00AF3707" w:rsidRDefault="00AF3707" w:rsidP="006B45D6">
            <w:pPr>
              <w:contextualSpacing/>
              <w:rPr>
                <w:rFonts w:ascii="Tahoma" w:hAnsi="Tahoma"/>
                <w:color w:val="000000" w:themeColor="text1"/>
                <w:sz w:val="16"/>
                <w:lang w:val="en-GB"/>
              </w:rPr>
            </w:pPr>
          </w:p>
        </w:tc>
        <w:tc>
          <w:tcPr>
            <w:tcW w:w="9809" w:type="dxa"/>
            <w:gridSpan w:val="4"/>
            <w:tcBorders>
              <w:top w:val="single" w:sz="12" w:space="0" w:color="auto"/>
            </w:tcBorders>
            <w:shd w:val="clear" w:color="auto" w:fill="auto"/>
            <w:tcMar>
              <w:top w:w="85" w:type="dxa"/>
              <w:left w:w="0" w:type="dxa"/>
              <w:bottom w:w="85" w:type="dxa"/>
              <w:right w:w="0" w:type="dxa"/>
            </w:tcMar>
            <w:vAlign w:val="bottom"/>
          </w:tcPr>
          <w:p w14:paraId="3DFD114A" w14:textId="77777777" w:rsidR="00AF3707" w:rsidRPr="00AF3707" w:rsidRDefault="00AF3707" w:rsidP="006B45D6">
            <w:pPr>
              <w:pStyle w:val="FootnotesProsus2022FrontStylesProsus2022"/>
              <w:spacing w:line="240" w:lineRule="auto"/>
              <w:contextualSpacing/>
            </w:pPr>
            <w:r w:rsidRPr="00AF3707">
              <w:t>1</w:t>
            </w:r>
            <w:r w:rsidRPr="00AF3707">
              <w:tab/>
              <w:t xml:space="preserve">Prior </w:t>
            </w:r>
            <w:proofErr w:type="gramStart"/>
            <w:r w:rsidRPr="00AF3707">
              <w:t>periods</w:t>
            </w:r>
            <w:proofErr w:type="gramEnd"/>
            <w:r w:rsidRPr="00AF3707">
              <w:t xml:space="preserve"> included a cost of US$217m related to the early settlement of portions of the 2025 and 2027 bonds.</w:t>
            </w:r>
          </w:p>
        </w:tc>
      </w:tr>
    </w:tbl>
    <w:p w14:paraId="31890A92" w14:textId="77777777" w:rsidR="00AF3707" w:rsidRPr="00615190" w:rsidRDefault="00AF3707" w:rsidP="00615190">
      <w:pPr>
        <w:spacing w:line="240" w:lineRule="atLeast"/>
        <w:rPr>
          <w:rFonts w:ascii="Tahoma" w:hAnsi="Tahoma"/>
          <w:color w:val="000000" w:themeColor="text1"/>
          <w:sz w:val="16"/>
        </w:rPr>
      </w:pPr>
    </w:p>
    <w:tbl>
      <w:tblPr>
        <w:tblW w:w="10206" w:type="dxa"/>
        <w:tblInd w:w="-8" w:type="dxa"/>
        <w:tblLayout w:type="fixed"/>
        <w:tblCellMar>
          <w:left w:w="0" w:type="dxa"/>
          <w:right w:w="0" w:type="dxa"/>
        </w:tblCellMar>
        <w:tblLook w:val="0000" w:firstRow="0" w:lastRow="0" w:firstColumn="0" w:lastColumn="0" w:noHBand="0" w:noVBand="0"/>
      </w:tblPr>
      <w:tblGrid>
        <w:gridCol w:w="397"/>
        <w:gridCol w:w="6407"/>
        <w:gridCol w:w="1134"/>
        <w:gridCol w:w="1134"/>
        <w:gridCol w:w="1134"/>
      </w:tblGrid>
      <w:tr w:rsidR="00615190" w:rsidRPr="0058677E" w14:paraId="535B944D" w14:textId="77777777" w:rsidTr="006977DE">
        <w:trPr>
          <w:trHeight w:val="60"/>
        </w:trPr>
        <w:tc>
          <w:tcPr>
            <w:tcW w:w="397" w:type="dxa"/>
            <w:shd w:val="clear" w:color="auto" w:fill="auto"/>
            <w:tcMar>
              <w:top w:w="0" w:type="dxa"/>
              <w:left w:w="0" w:type="dxa"/>
              <w:bottom w:w="57" w:type="dxa"/>
              <w:right w:w="0" w:type="dxa"/>
            </w:tcMar>
            <w:vAlign w:val="bottom"/>
          </w:tcPr>
          <w:p w14:paraId="71674041" w14:textId="77777777" w:rsidR="0058677E" w:rsidRPr="0058677E" w:rsidRDefault="001F10B9" w:rsidP="00ED4EC2">
            <w:pPr>
              <w:contextualSpacing/>
              <w:rPr>
                <w:rFonts w:ascii="Tahoma" w:hAnsi="Tahoma"/>
                <w:b/>
                <w:bCs/>
                <w:color w:val="000000" w:themeColor="text1"/>
                <w:sz w:val="16"/>
                <w:lang w:val="en-GB"/>
              </w:rPr>
            </w:pPr>
            <w:r w:rsidRPr="0058677E">
              <w:rPr>
                <w:rFonts w:ascii="Tahoma" w:hAnsi="Tahoma"/>
                <w:b/>
                <w:bCs/>
                <w:color w:val="000000" w:themeColor="text1"/>
                <w:sz w:val="16"/>
                <w:lang w:val="en-GB"/>
              </w:rPr>
              <w:t>9.</w:t>
            </w:r>
          </w:p>
        </w:tc>
        <w:tc>
          <w:tcPr>
            <w:tcW w:w="9809" w:type="dxa"/>
            <w:gridSpan w:val="4"/>
            <w:shd w:val="clear" w:color="auto" w:fill="auto"/>
            <w:tcMar>
              <w:top w:w="0" w:type="dxa"/>
              <w:left w:w="0" w:type="dxa"/>
              <w:bottom w:w="57" w:type="dxa"/>
              <w:right w:w="0" w:type="dxa"/>
            </w:tcMar>
            <w:vAlign w:val="bottom"/>
          </w:tcPr>
          <w:p w14:paraId="2118E6D1" w14:textId="77777777" w:rsidR="0058677E" w:rsidRPr="0058677E" w:rsidRDefault="001F10B9" w:rsidP="00ED4EC2">
            <w:pPr>
              <w:contextualSpacing/>
              <w:rPr>
                <w:rFonts w:ascii="Tahoma" w:hAnsi="Tahoma"/>
                <w:b/>
                <w:bCs/>
                <w:color w:val="000000" w:themeColor="text1"/>
                <w:sz w:val="16"/>
                <w:lang w:val="en-GB"/>
              </w:rPr>
            </w:pPr>
            <w:r w:rsidRPr="0058677E">
              <w:rPr>
                <w:rFonts w:ascii="Tahoma" w:hAnsi="Tahoma"/>
                <w:b/>
                <w:bCs/>
                <w:color w:val="000000" w:themeColor="text1"/>
                <w:sz w:val="16"/>
                <w:lang w:val="en-GB"/>
              </w:rPr>
              <w:t>PROFIT BEFORE TAXATION</w:t>
            </w:r>
          </w:p>
        </w:tc>
      </w:tr>
      <w:tr w:rsidR="00615190" w:rsidRPr="0058677E" w14:paraId="7B98571E" w14:textId="77777777" w:rsidTr="006977DE">
        <w:trPr>
          <w:trHeight w:val="60"/>
        </w:trPr>
        <w:tc>
          <w:tcPr>
            <w:tcW w:w="397" w:type="dxa"/>
            <w:shd w:val="clear" w:color="auto" w:fill="auto"/>
            <w:tcMar>
              <w:top w:w="57" w:type="dxa"/>
              <w:left w:w="0" w:type="dxa"/>
              <w:bottom w:w="113" w:type="dxa"/>
              <w:right w:w="0" w:type="dxa"/>
            </w:tcMar>
            <w:vAlign w:val="bottom"/>
          </w:tcPr>
          <w:p w14:paraId="7B552689" w14:textId="77777777" w:rsidR="0058677E" w:rsidRPr="0058677E" w:rsidRDefault="0058677E" w:rsidP="00ED4EC2">
            <w:pPr>
              <w:contextualSpacing/>
              <w:rPr>
                <w:rFonts w:ascii="Tahoma" w:hAnsi="Tahoma"/>
                <w:color w:val="000000" w:themeColor="text1"/>
                <w:sz w:val="16"/>
                <w:lang w:val="en-GB"/>
              </w:rPr>
            </w:pPr>
          </w:p>
        </w:tc>
        <w:tc>
          <w:tcPr>
            <w:tcW w:w="9809" w:type="dxa"/>
            <w:gridSpan w:val="4"/>
            <w:shd w:val="clear" w:color="auto" w:fill="auto"/>
            <w:tcMar>
              <w:top w:w="57" w:type="dxa"/>
              <w:left w:w="0" w:type="dxa"/>
              <w:bottom w:w="113" w:type="dxa"/>
              <w:right w:w="0" w:type="dxa"/>
            </w:tcMar>
            <w:vAlign w:val="bottom"/>
          </w:tcPr>
          <w:p w14:paraId="0CB44A70" w14:textId="77777777" w:rsidR="0058677E" w:rsidRPr="0058677E" w:rsidRDefault="0058677E" w:rsidP="00ED4EC2">
            <w:pPr>
              <w:contextualSpacing/>
              <w:rPr>
                <w:rFonts w:ascii="Tahoma" w:hAnsi="Tahoma"/>
                <w:color w:val="000000" w:themeColor="text1"/>
                <w:sz w:val="16"/>
                <w:lang w:val="en-GB"/>
              </w:rPr>
            </w:pPr>
            <w:r w:rsidRPr="0058677E">
              <w:rPr>
                <w:rFonts w:ascii="Tahoma" w:hAnsi="Tahoma"/>
                <w:color w:val="000000" w:themeColor="text1"/>
                <w:sz w:val="16"/>
                <w:lang w:val="en-GB"/>
              </w:rPr>
              <w:t>In addition to the items already detailed, profit before taxation from continuing operations has been determined after taking into account, inter alia, the following:</w:t>
            </w:r>
          </w:p>
        </w:tc>
      </w:tr>
      <w:tr w:rsidR="00615190" w:rsidRPr="0058677E" w14:paraId="2610BA95" w14:textId="77777777" w:rsidTr="006977DE">
        <w:trPr>
          <w:trHeight w:val="60"/>
        </w:trPr>
        <w:tc>
          <w:tcPr>
            <w:tcW w:w="397" w:type="dxa"/>
            <w:shd w:val="clear" w:color="auto" w:fill="auto"/>
            <w:tcMar>
              <w:top w:w="85" w:type="dxa"/>
              <w:left w:w="0" w:type="dxa"/>
              <w:bottom w:w="85" w:type="dxa"/>
              <w:right w:w="0" w:type="dxa"/>
            </w:tcMar>
            <w:vAlign w:val="bottom"/>
          </w:tcPr>
          <w:p w14:paraId="1E530F17" w14:textId="77777777" w:rsidR="0058677E" w:rsidRPr="0058677E" w:rsidRDefault="0058677E" w:rsidP="00ED4EC2">
            <w:pPr>
              <w:contextualSpacing/>
              <w:rPr>
                <w:rFonts w:ascii="Tahoma" w:hAnsi="Tahoma"/>
                <w:color w:val="000000" w:themeColor="text1"/>
                <w:sz w:val="16"/>
                <w:lang w:val="en-GB"/>
              </w:rPr>
            </w:pPr>
          </w:p>
        </w:tc>
        <w:tc>
          <w:tcPr>
            <w:tcW w:w="6407" w:type="dxa"/>
            <w:shd w:val="clear" w:color="auto" w:fill="auto"/>
            <w:tcMar>
              <w:top w:w="85" w:type="dxa"/>
              <w:left w:w="0" w:type="dxa"/>
              <w:bottom w:w="85" w:type="dxa"/>
              <w:right w:w="0" w:type="dxa"/>
            </w:tcMar>
            <w:vAlign w:val="bottom"/>
          </w:tcPr>
          <w:p w14:paraId="73769C20" w14:textId="77777777" w:rsidR="0058677E" w:rsidRPr="0058677E" w:rsidRDefault="0058677E" w:rsidP="00ED4EC2">
            <w:pPr>
              <w:contextualSpacing/>
              <w:rPr>
                <w:rFonts w:ascii="Tahoma" w:hAnsi="Tahoma"/>
                <w:color w:val="000000" w:themeColor="text1"/>
                <w:sz w:val="16"/>
                <w:lang w:val="en-GB"/>
              </w:rPr>
            </w:pPr>
          </w:p>
        </w:tc>
        <w:tc>
          <w:tcPr>
            <w:tcW w:w="2268" w:type="dxa"/>
            <w:gridSpan w:val="2"/>
            <w:shd w:val="clear" w:color="auto" w:fill="auto"/>
            <w:tcMar>
              <w:top w:w="85" w:type="dxa"/>
              <w:left w:w="0" w:type="dxa"/>
              <w:bottom w:w="85" w:type="dxa"/>
              <w:right w:w="0" w:type="dxa"/>
            </w:tcMar>
            <w:vAlign w:val="bottom"/>
          </w:tcPr>
          <w:p w14:paraId="28506F5D" w14:textId="77777777" w:rsidR="0058677E" w:rsidRPr="0058677E" w:rsidRDefault="0058677E" w:rsidP="00ED4EC2">
            <w:pPr>
              <w:contextualSpacing/>
              <w:jc w:val="center"/>
              <w:rPr>
                <w:rFonts w:ascii="Tahoma" w:hAnsi="Tahoma"/>
                <w:b/>
                <w:bCs/>
                <w:color w:val="000000" w:themeColor="text1"/>
                <w:sz w:val="16"/>
                <w:lang w:val="en-GB"/>
              </w:rPr>
            </w:pPr>
            <w:r w:rsidRPr="0058677E">
              <w:rPr>
                <w:rFonts w:ascii="Tahoma" w:hAnsi="Tahoma"/>
                <w:b/>
                <w:bCs/>
                <w:color w:val="000000" w:themeColor="text1"/>
                <w:sz w:val="16"/>
                <w:lang w:val="en-GB"/>
              </w:rPr>
              <w:t>Six months ended</w:t>
            </w:r>
          </w:p>
          <w:p w14:paraId="30CD0074" w14:textId="77777777" w:rsidR="0058677E" w:rsidRPr="0058677E" w:rsidRDefault="0058677E" w:rsidP="00ED4EC2">
            <w:pPr>
              <w:contextualSpacing/>
              <w:jc w:val="center"/>
              <w:rPr>
                <w:rFonts w:ascii="Tahoma" w:hAnsi="Tahoma"/>
                <w:color w:val="000000" w:themeColor="text1"/>
                <w:sz w:val="16"/>
                <w:lang w:val="en-GB"/>
              </w:rPr>
            </w:pPr>
            <w:r w:rsidRPr="0058677E">
              <w:rPr>
                <w:rFonts w:ascii="Tahoma" w:hAnsi="Tahoma"/>
                <w:b/>
                <w:bCs/>
                <w:color w:val="000000" w:themeColor="text1"/>
                <w:sz w:val="16"/>
                <w:lang w:val="en-GB"/>
              </w:rPr>
              <w:t>30 September</w:t>
            </w:r>
          </w:p>
        </w:tc>
        <w:tc>
          <w:tcPr>
            <w:tcW w:w="1134" w:type="dxa"/>
            <w:shd w:val="clear" w:color="auto" w:fill="auto"/>
            <w:tcMar>
              <w:top w:w="85" w:type="dxa"/>
              <w:left w:w="0" w:type="dxa"/>
              <w:bottom w:w="85" w:type="dxa"/>
              <w:right w:w="0" w:type="dxa"/>
            </w:tcMar>
            <w:vAlign w:val="bottom"/>
          </w:tcPr>
          <w:p w14:paraId="4397286C" w14:textId="77777777" w:rsidR="0058677E" w:rsidRPr="0058677E" w:rsidRDefault="0058677E" w:rsidP="00FD2703">
            <w:pPr>
              <w:ind w:right="113"/>
              <w:contextualSpacing/>
              <w:jc w:val="right"/>
              <w:rPr>
                <w:rFonts w:ascii="Tahoma" w:hAnsi="Tahoma"/>
                <w:color w:val="000000" w:themeColor="text1"/>
                <w:sz w:val="16"/>
                <w:lang w:val="en-GB"/>
              </w:rPr>
            </w:pPr>
            <w:r w:rsidRPr="0058677E">
              <w:rPr>
                <w:rFonts w:ascii="Tahoma" w:hAnsi="Tahoma"/>
                <w:color w:val="000000" w:themeColor="text1"/>
                <w:sz w:val="16"/>
                <w:lang w:val="en-GB"/>
              </w:rPr>
              <w:t xml:space="preserve">Year </w:t>
            </w:r>
          </w:p>
          <w:p w14:paraId="18F69F9D" w14:textId="77777777" w:rsidR="0058677E" w:rsidRPr="0058677E" w:rsidRDefault="0058677E" w:rsidP="00FD2703">
            <w:pPr>
              <w:ind w:right="113"/>
              <w:contextualSpacing/>
              <w:jc w:val="right"/>
              <w:rPr>
                <w:rFonts w:ascii="Tahoma" w:hAnsi="Tahoma"/>
                <w:color w:val="000000" w:themeColor="text1"/>
                <w:sz w:val="16"/>
                <w:lang w:val="en-GB"/>
              </w:rPr>
            </w:pPr>
            <w:r w:rsidRPr="0058677E">
              <w:rPr>
                <w:rFonts w:ascii="Tahoma" w:hAnsi="Tahoma"/>
                <w:color w:val="000000" w:themeColor="text1"/>
                <w:sz w:val="16"/>
                <w:lang w:val="en-GB"/>
              </w:rPr>
              <w:t>ended</w:t>
            </w:r>
          </w:p>
          <w:p w14:paraId="4855FE7C" w14:textId="77777777" w:rsidR="0058677E" w:rsidRPr="0058677E" w:rsidRDefault="0058677E" w:rsidP="00FD2703">
            <w:pPr>
              <w:ind w:right="113"/>
              <w:contextualSpacing/>
              <w:jc w:val="right"/>
              <w:rPr>
                <w:rFonts w:ascii="Tahoma" w:hAnsi="Tahoma"/>
                <w:color w:val="000000" w:themeColor="text1"/>
                <w:sz w:val="16"/>
                <w:lang w:val="en-GB"/>
              </w:rPr>
            </w:pPr>
            <w:r w:rsidRPr="0058677E">
              <w:rPr>
                <w:rFonts w:ascii="Tahoma" w:hAnsi="Tahoma"/>
                <w:color w:val="000000" w:themeColor="text1"/>
                <w:sz w:val="16"/>
                <w:lang w:val="en-GB"/>
              </w:rPr>
              <w:t>31 March</w:t>
            </w:r>
          </w:p>
        </w:tc>
      </w:tr>
      <w:tr w:rsidR="00615190" w:rsidRPr="0058677E" w14:paraId="4B03E3CD" w14:textId="77777777" w:rsidTr="006977DE">
        <w:trPr>
          <w:trHeight w:val="60"/>
        </w:trPr>
        <w:tc>
          <w:tcPr>
            <w:tcW w:w="397" w:type="dxa"/>
            <w:shd w:val="clear" w:color="auto" w:fill="auto"/>
            <w:tcMar>
              <w:top w:w="113" w:type="dxa"/>
              <w:left w:w="0" w:type="dxa"/>
              <w:bottom w:w="113" w:type="dxa"/>
              <w:right w:w="0" w:type="dxa"/>
            </w:tcMar>
            <w:vAlign w:val="bottom"/>
          </w:tcPr>
          <w:p w14:paraId="6AD2B04E" w14:textId="77777777" w:rsidR="0058677E" w:rsidRPr="0058677E" w:rsidRDefault="0058677E" w:rsidP="00ED4EC2">
            <w:pPr>
              <w:contextualSpacing/>
              <w:rPr>
                <w:rFonts w:ascii="Tahoma" w:hAnsi="Tahoma"/>
                <w:color w:val="000000" w:themeColor="text1"/>
                <w:sz w:val="16"/>
                <w:lang w:val="en-GB"/>
              </w:rPr>
            </w:pPr>
          </w:p>
        </w:tc>
        <w:tc>
          <w:tcPr>
            <w:tcW w:w="6407" w:type="dxa"/>
            <w:tcBorders>
              <w:bottom w:val="single" w:sz="12" w:space="0" w:color="auto"/>
            </w:tcBorders>
            <w:shd w:val="clear" w:color="auto" w:fill="auto"/>
            <w:tcMar>
              <w:top w:w="113" w:type="dxa"/>
              <w:left w:w="0" w:type="dxa"/>
              <w:bottom w:w="113" w:type="dxa"/>
              <w:right w:w="0" w:type="dxa"/>
            </w:tcMar>
            <w:vAlign w:val="bottom"/>
          </w:tcPr>
          <w:p w14:paraId="2FC299CC" w14:textId="77777777" w:rsidR="0058677E" w:rsidRPr="0058677E" w:rsidRDefault="0058677E" w:rsidP="00ED4EC2">
            <w:pPr>
              <w:contextualSpacing/>
              <w:rPr>
                <w:rFonts w:ascii="Tahoma" w:hAnsi="Tahoma"/>
                <w:color w:val="000000" w:themeColor="text1"/>
                <w:sz w:val="16"/>
                <w:lang w:val="en-GB"/>
              </w:rPr>
            </w:pPr>
          </w:p>
        </w:tc>
        <w:tc>
          <w:tcPr>
            <w:tcW w:w="1134" w:type="dxa"/>
            <w:tcBorders>
              <w:bottom w:val="single" w:sz="12" w:space="0" w:color="auto"/>
            </w:tcBorders>
            <w:shd w:val="clear" w:color="auto" w:fill="auto"/>
            <w:tcMar>
              <w:top w:w="113" w:type="dxa"/>
              <w:left w:w="0" w:type="dxa"/>
              <w:bottom w:w="113" w:type="dxa"/>
              <w:right w:w="0" w:type="dxa"/>
            </w:tcMar>
            <w:vAlign w:val="bottom"/>
          </w:tcPr>
          <w:p w14:paraId="5792EB85" w14:textId="77777777" w:rsidR="0058677E" w:rsidRPr="002F078E" w:rsidRDefault="0058677E" w:rsidP="00ED4EC2">
            <w:pPr>
              <w:contextualSpacing/>
              <w:jc w:val="right"/>
              <w:rPr>
                <w:rFonts w:ascii="Tahoma" w:hAnsi="Tahoma"/>
                <w:b/>
                <w:bCs/>
                <w:color w:val="000000" w:themeColor="text1"/>
                <w:sz w:val="16"/>
                <w:lang w:val="en-GB"/>
              </w:rPr>
            </w:pPr>
            <w:r w:rsidRPr="002F078E">
              <w:rPr>
                <w:rFonts w:ascii="Tahoma" w:hAnsi="Tahoma"/>
                <w:b/>
                <w:bCs/>
                <w:color w:val="000000" w:themeColor="text1"/>
                <w:sz w:val="16"/>
                <w:lang w:val="en-GB"/>
              </w:rPr>
              <w:t>2022</w:t>
            </w:r>
          </w:p>
          <w:p w14:paraId="3A6220F0" w14:textId="77777777" w:rsidR="0058677E" w:rsidRPr="0058677E" w:rsidRDefault="0058677E" w:rsidP="00ED4EC2">
            <w:pPr>
              <w:contextualSpacing/>
              <w:jc w:val="right"/>
              <w:rPr>
                <w:rFonts w:ascii="Tahoma" w:hAnsi="Tahoma"/>
                <w:color w:val="000000" w:themeColor="text1"/>
                <w:sz w:val="16"/>
                <w:lang w:val="en-GB"/>
              </w:rPr>
            </w:pPr>
            <w:proofErr w:type="spellStart"/>
            <w:r w:rsidRPr="002F078E">
              <w:rPr>
                <w:rFonts w:ascii="Tahoma" w:hAnsi="Tahoma"/>
                <w:b/>
                <w:bCs/>
                <w:color w:val="000000" w:themeColor="text1"/>
                <w:sz w:val="16"/>
                <w:lang w:val="en-GB"/>
              </w:rPr>
              <w:t>US$’m</w:t>
            </w:r>
            <w:proofErr w:type="spellEnd"/>
          </w:p>
        </w:tc>
        <w:tc>
          <w:tcPr>
            <w:tcW w:w="1134" w:type="dxa"/>
            <w:tcBorders>
              <w:bottom w:val="single" w:sz="12" w:space="0" w:color="auto"/>
            </w:tcBorders>
            <w:shd w:val="clear" w:color="auto" w:fill="auto"/>
            <w:tcMar>
              <w:top w:w="113" w:type="dxa"/>
              <w:left w:w="0" w:type="dxa"/>
              <w:bottom w:w="113" w:type="dxa"/>
              <w:right w:w="0" w:type="dxa"/>
            </w:tcMar>
            <w:vAlign w:val="bottom"/>
          </w:tcPr>
          <w:p w14:paraId="619665EF" w14:textId="77777777" w:rsidR="0058677E" w:rsidRPr="0058677E" w:rsidRDefault="0058677E" w:rsidP="00ED4EC2">
            <w:pPr>
              <w:contextualSpacing/>
              <w:jc w:val="right"/>
              <w:rPr>
                <w:rFonts w:ascii="Tahoma" w:hAnsi="Tahoma"/>
                <w:color w:val="000000" w:themeColor="text1"/>
                <w:sz w:val="16"/>
                <w:lang w:val="en-GB"/>
              </w:rPr>
            </w:pPr>
            <w:r w:rsidRPr="0058677E">
              <w:rPr>
                <w:rFonts w:ascii="Tahoma" w:hAnsi="Tahoma"/>
                <w:color w:val="000000" w:themeColor="text1"/>
                <w:sz w:val="16"/>
                <w:lang w:val="en-GB"/>
              </w:rPr>
              <w:t>2021</w:t>
            </w:r>
          </w:p>
          <w:p w14:paraId="61D17E5A" w14:textId="77777777" w:rsidR="0058677E" w:rsidRPr="0058677E" w:rsidRDefault="0058677E" w:rsidP="00ED4EC2">
            <w:pPr>
              <w:contextualSpacing/>
              <w:jc w:val="right"/>
              <w:rPr>
                <w:rFonts w:ascii="Tahoma" w:hAnsi="Tahoma"/>
                <w:color w:val="000000" w:themeColor="text1"/>
                <w:sz w:val="16"/>
                <w:lang w:val="en-GB"/>
              </w:rPr>
            </w:pPr>
            <w:proofErr w:type="spellStart"/>
            <w:r w:rsidRPr="0058677E">
              <w:rPr>
                <w:rFonts w:ascii="Tahoma" w:hAnsi="Tahoma"/>
                <w:color w:val="000000" w:themeColor="text1"/>
                <w:sz w:val="16"/>
                <w:lang w:val="en-GB"/>
              </w:rPr>
              <w:t>US$’m</w:t>
            </w:r>
            <w:proofErr w:type="spellEnd"/>
          </w:p>
        </w:tc>
        <w:tc>
          <w:tcPr>
            <w:tcW w:w="1134" w:type="dxa"/>
            <w:tcBorders>
              <w:bottom w:val="single" w:sz="12" w:space="0" w:color="auto"/>
            </w:tcBorders>
            <w:shd w:val="clear" w:color="auto" w:fill="auto"/>
            <w:tcMar>
              <w:top w:w="113" w:type="dxa"/>
              <w:left w:w="0" w:type="dxa"/>
              <w:bottom w:w="113" w:type="dxa"/>
              <w:right w:w="0" w:type="dxa"/>
            </w:tcMar>
            <w:vAlign w:val="bottom"/>
          </w:tcPr>
          <w:p w14:paraId="3CE93E8D" w14:textId="77777777" w:rsidR="0058677E" w:rsidRPr="0058677E" w:rsidRDefault="0058677E" w:rsidP="00FD2703">
            <w:pPr>
              <w:ind w:right="113"/>
              <w:contextualSpacing/>
              <w:jc w:val="right"/>
              <w:rPr>
                <w:rFonts w:ascii="Tahoma" w:hAnsi="Tahoma"/>
                <w:color w:val="000000" w:themeColor="text1"/>
                <w:sz w:val="16"/>
                <w:lang w:val="en-GB"/>
              </w:rPr>
            </w:pPr>
            <w:r w:rsidRPr="0058677E">
              <w:rPr>
                <w:rFonts w:ascii="Tahoma" w:hAnsi="Tahoma"/>
                <w:color w:val="000000" w:themeColor="text1"/>
                <w:sz w:val="16"/>
                <w:lang w:val="en-GB"/>
              </w:rPr>
              <w:t>2022</w:t>
            </w:r>
          </w:p>
          <w:p w14:paraId="5B118ABA" w14:textId="77777777" w:rsidR="0058677E" w:rsidRPr="0058677E" w:rsidRDefault="0058677E" w:rsidP="00FD2703">
            <w:pPr>
              <w:ind w:right="113"/>
              <w:contextualSpacing/>
              <w:jc w:val="right"/>
              <w:rPr>
                <w:rFonts w:ascii="Tahoma" w:hAnsi="Tahoma"/>
                <w:color w:val="000000" w:themeColor="text1"/>
                <w:sz w:val="16"/>
                <w:lang w:val="en-GB"/>
              </w:rPr>
            </w:pPr>
            <w:proofErr w:type="spellStart"/>
            <w:r w:rsidRPr="0058677E">
              <w:rPr>
                <w:rFonts w:ascii="Tahoma" w:hAnsi="Tahoma"/>
                <w:color w:val="000000" w:themeColor="text1"/>
                <w:sz w:val="16"/>
                <w:lang w:val="en-GB"/>
              </w:rPr>
              <w:t>US$’m</w:t>
            </w:r>
            <w:proofErr w:type="spellEnd"/>
          </w:p>
        </w:tc>
      </w:tr>
      <w:tr w:rsidR="00615190" w:rsidRPr="0058677E" w14:paraId="27662701" w14:textId="77777777" w:rsidTr="006977DE">
        <w:trPr>
          <w:trHeight w:val="60"/>
        </w:trPr>
        <w:tc>
          <w:tcPr>
            <w:tcW w:w="397" w:type="dxa"/>
            <w:shd w:val="clear" w:color="auto" w:fill="auto"/>
            <w:tcMar>
              <w:top w:w="142" w:type="dxa"/>
              <w:left w:w="0" w:type="dxa"/>
              <w:bottom w:w="57" w:type="dxa"/>
              <w:right w:w="0" w:type="dxa"/>
            </w:tcMar>
            <w:vAlign w:val="bottom"/>
          </w:tcPr>
          <w:p w14:paraId="6F470E54" w14:textId="77777777" w:rsidR="0058677E" w:rsidRPr="0058677E" w:rsidRDefault="0058677E" w:rsidP="00ED4EC2">
            <w:pPr>
              <w:contextualSpacing/>
              <w:rPr>
                <w:rFonts w:ascii="Tahoma" w:hAnsi="Tahoma"/>
                <w:color w:val="000000" w:themeColor="text1"/>
                <w:sz w:val="16"/>
                <w:lang w:val="en-GB"/>
              </w:rPr>
            </w:pPr>
          </w:p>
        </w:tc>
        <w:tc>
          <w:tcPr>
            <w:tcW w:w="6407" w:type="dxa"/>
            <w:tcBorders>
              <w:top w:val="single" w:sz="12" w:space="0" w:color="auto"/>
            </w:tcBorders>
            <w:shd w:val="clear" w:color="auto" w:fill="auto"/>
            <w:tcMar>
              <w:top w:w="142" w:type="dxa"/>
              <w:left w:w="0" w:type="dxa"/>
              <w:bottom w:w="57" w:type="dxa"/>
              <w:right w:w="0" w:type="dxa"/>
            </w:tcMar>
            <w:vAlign w:val="bottom"/>
          </w:tcPr>
          <w:p w14:paraId="13FDAB13" w14:textId="77777777" w:rsidR="0058677E" w:rsidRPr="0058677E" w:rsidRDefault="0058677E" w:rsidP="00ED4EC2">
            <w:pPr>
              <w:contextualSpacing/>
              <w:rPr>
                <w:rFonts w:ascii="Tahoma" w:hAnsi="Tahoma"/>
                <w:b/>
                <w:bCs/>
                <w:color w:val="000000" w:themeColor="text1"/>
                <w:sz w:val="16"/>
                <w:lang w:val="en-GB"/>
              </w:rPr>
            </w:pPr>
            <w:r w:rsidRPr="0058677E">
              <w:rPr>
                <w:rFonts w:ascii="Tahoma" w:hAnsi="Tahoma"/>
                <w:b/>
                <w:bCs/>
                <w:color w:val="000000" w:themeColor="text1"/>
                <w:sz w:val="16"/>
                <w:lang w:val="en-GB"/>
              </w:rPr>
              <w:t>Depreciation of property, plant and equipment</w:t>
            </w:r>
          </w:p>
        </w:tc>
        <w:tc>
          <w:tcPr>
            <w:tcW w:w="1134" w:type="dxa"/>
            <w:tcBorders>
              <w:top w:val="single" w:sz="12" w:space="0" w:color="auto"/>
            </w:tcBorders>
            <w:shd w:val="clear" w:color="auto" w:fill="auto"/>
            <w:tcMar>
              <w:top w:w="142" w:type="dxa"/>
              <w:left w:w="0" w:type="dxa"/>
              <w:bottom w:w="57" w:type="dxa"/>
              <w:right w:w="0" w:type="dxa"/>
            </w:tcMar>
            <w:vAlign w:val="bottom"/>
          </w:tcPr>
          <w:p w14:paraId="0598A371" w14:textId="77777777" w:rsidR="0058677E" w:rsidRPr="0058677E" w:rsidRDefault="0058677E" w:rsidP="00ED4EC2">
            <w:pPr>
              <w:contextualSpacing/>
              <w:jc w:val="right"/>
              <w:rPr>
                <w:rFonts w:ascii="Tahoma" w:hAnsi="Tahoma"/>
                <w:b/>
                <w:bCs/>
                <w:color w:val="000000" w:themeColor="text1"/>
                <w:sz w:val="16"/>
                <w:lang w:val="en-GB"/>
              </w:rPr>
            </w:pPr>
            <w:r w:rsidRPr="0058677E">
              <w:rPr>
                <w:rFonts w:ascii="Tahoma" w:hAnsi="Tahoma"/>
                <w:b/>
                <w:bCs/>
                <w:color w:val="000000" w:themeColor="text1"/>
                <w:sz w:val="16"/>
                <w:lang w:val="en-GB"/>
              </w:rPr>
              <w:t>52</w:t>
            </w:r>
          </w:p>
        </w:tc>
        <w:tc>
          <w:tcPr>
            <w:tcW w:w="1134" w:type="dxa"/>
            <w:tcBorders>
              <w:top w:val="single" w:sz="12" w:space="0" w:color="auto"/>
            </w:tcBorders>
            <w:shd w:val="clear" w:color="auto" w:fill="auto"/>
            <w:tcMar>
              <w:top w:w="142" w:type="dxa"/>
              <w:left w:w="0" w:type="dxa"/>
              <w:bottom w:w="57" w:type="dxa"/>
              <w:right w:w="0" w:type="dxa"/>
            </w:tcMar>
            <w:vAlign w:val="bottom"/>
          </w:tcPr>
          <w:p w14:paraId="4BC2C79E" w14:textId="77777777" w:rsidR="0058677E" w:rsidRPr="0058677E" w:rsidRDefault="0058677E" w:rsidP="00ED4EC2">
            <w:pPr>
              <w:contextualSpacing/>
              <w:jc w:val="right"/>
              <w:rPr>
                <w:rFonts w:ascii="Tahoma" w:hAnsi="Tahoma"/>
                <w:color w:val="000000" w:themeColor="text1"/>
                <w:sz w:val="16"/>
                <w:lang w:val="en-GB"/>
              </w:rPr>
            </w:pPr>
            <w:r w:rsidRPr="0058677E">
              <w:rPr>
                <w:rFonts w:ascii="Tahoma" w:hAnsi="Tahoma"/>
                <w:color w:val="000000" w:themeColor="text1"/>
                <w:sz w:val="16"/>
                <w:lang w:val="en-GB"/>
              </w:rPr>
              <w:t>41</w:t>
            </w:r>
          </w:p>
        </w:tc>
        <w:tc>
          <w:tcPr>
            <w:tcW w:w="1134" w:type="dxa"/>
            <w:tcBorders>
              <w:top w:val="single" w:sz="12" w:space="0" w:color="auto"/>
            </w:tcBorders>
            <w:shd w:val="clear" w:color="auto" w:fill="auto"/>
            <w:tcMar>
              <w:top w:w="142" w:type="dxa"/>
              <w:left w:w="0" w:type="dxa"/>
              <w:bottom w:w="57" w:type="dxa"/>
              <w:right w:w="0" w:type="dxa"/>
            </w:tcMar>
            <w:vAlign w:val="bottom"/>
          </w:tcPr>
          <w:p w14:paraId="0A70E0A1" w14:textId="77777777" w:rsidR="0058677E" w:rsidRPr="0058677E" w:rsidRDefault="0058677E" w:rsidP="009D0121">
            <w:pPr>
              <w:ind w:right="113"/>
              <w:contextualSpacing/>
              <w:jc w:val="right"/>
              <w:rPr>
                <w:rFonts w:ascii="Tahoma" w:hAnsi="Tahoma"/>
                <w:color w:val="000000" w:themeColor="text1"/>
                <w:sz w:val="16"/>
                <w:lang w:val="en-GB"/>
              </w:rPr>
            </w:pPr>
            <w:r w:rsidRPr="0058677E">
              <w:rPr>
                <w:rFonts w:ascii="Tahoma" w:hAnsi="Tahoma"/>
                <w:color w:val="000000" w:themeColor="text1"/>
                <w:sz w:val="16"/>
                <w:lang w:val="en-GB"/>
              </w:rPr>
              <w:t>93</w:t>
            </w:r>
          </w:p>
        </w:tc>
      </w:tr>
      <w:tr w:rsidR="00615190" w:rsidRPr="0058677E" w14:paraId="3553F0A6" w14:textId="77777777" w:rsidTr="00DE4083">
        <w:trPr>
          <w:trHeight w:val="60"/>
        </w:trPr>
        <w:tc>
          <w:tcPr>
            <w:tcW w:w="397" w:type="dxa"/>
            <w:shd w:val="clear" w:color="auto" w:fill="auto"/>
            <w:tcMar>
              <w:top w:w="57" w:type="dxa"/>
              <w:left w:w="0" w:type="dxa"/>
              <w:bottom w:w="57" w:type="dxa"/>
              <w:right w:w="0" w:type="dxa"/>
            </w:tcMar>
            <w:vAlign w:val="bottom"/>
          </w:tcPr>
          <w:p w14:paraId="14F312C7" w14:textId="77777777" w:rsidR="0058677E" w:rsidRPr="0058677E" w:rsidRDefault="0058677E" w:rsidP="00ED4EC2">
            <w:pPr>
              <w:contextualSpacing/>
              <w:rPr>
                <w:rFonts w:ascii="Tahoma" w:hAnsi="Tahoma"/>
                <w:color w:val="000000" w:themeColor="text1"/>
                <w:sz w:val="16"/>
                <w:lang w:val="en-GB"/>
              </w:rPr>
            </w:pPr>
          </w:p>
        </w:tc>
        <w:tc>
          <w:tcPr>
            <w:tcW w:w="6407" w:type="dxa"/>
            <w:shd w:val="clear" w:color="auto" w:fill="auto"/>
            <w:tcMar>
              <w:top w:w="57" w:type="dxa"/>
              <w:left w:w="0" w:type="dxa"/>
              <w:bottom w:w="57" w:type="dxa"/>
              <w:right w:w="0" w:type="dxa"/>
            </w:tcMar>
            <w:vAlign w:val="bottom"/>
          </w:tcPr>
          <w:p w14:paraId="4C2425B9" w14:textId="77777777" w:rsidR="0058677E" w:rsidRPr="0058677E" w:rsidRDefault="0058677E" w:rsidP="00ED4EC2">
            <w:pPr>
              <w:contextualSpacing/>
              <w:rPr>
                <w:rFonts w:ascii="Tahoma" w:hAnsi="Tahoma"/>
                <w:b/>
                <w:bCs/>
                <w:color w:val="000000" w:themeColor="text1"/>
                <w:sz w:val="16"/>
                <w:lang w:val="en-GB"/>
              </w:rPr>
            </w:pPr>
            <w:r w:rsidRPr="0058677E">
              <w:rPr>
                <w:rFonts w:ascii="Tahoma" w:hAnsi="Tahoma"/>
                <w:b/>
                <w:bCs/>
                <w:color w:val="000000" w:themeColor="text1"/>
                <w:sz w:val="16"/>
                <w:lang w:val="en-GB"/>
              </w:rPr>
              <w:t>Amortisation</w:t>
            </w:r>
          </w:p>
        </w:tc>
        <w:tc>
          <w:tcPr>
            <w:tcW w:w="1134" w:type="dxa"/>
            <w:tcBorders>
              <w:bottom w:val="single" w:sz="4" w:space="0" w:color="auto"/>
            </w:tcBorders>
            <w:shd w:val="clear" w:color="auto" w:fill="auto"/>
            <w:tcMar>
              <w:top w:w="57" w:type="dxa"/>
              <w:left w:w="0" w:type="dxa"/>
              <w:bottom w:w="57" w:type="dxa"/>
              <w:right w:w="0" w:type="dxa"/>
            </w:tcMar>
            <w:vAlign w:val="bottom"/>
          </w:tcPr>
          <w:p w14:paraId="21C80459" w14:textId="77777777" w:rsidR="0058677E" w:rsidRPr="0058677E" w:rsidRDefault="0058677E" w:rsidP="00ED4EC2">
            <w:pPr>
              <w:contextualSpacing/>
              <w:jc w:val="right"/>
              <w:rPr>
                <w:rFonts w:ascii="Tahoma" w:hAnsi="Tahoma"/>
                <w:b/>
                <w:bCs/>
                <w:color w:val="000000" w:themeColor="text1"/>
                <w:sz w:val="16"/>
                <w:lang w:val="en-GB"/>
              </w:rPr>
            </w:pPr>
            <w:r w:rsidRPr="0058677E">
              <w:rPr>
                <w:rFonts w:ascii="Tahoma" w:hAnsi="Tahoma"/>
                <w:b/>
                <w:bCs/>
                <w:color w:val="000000" w:themeColor="text1"/>
                <w:sz w:val="16"/>
                <w:lang w:val="en-GB"/>
              </w:rPr>
              <w:t>46</w:t>
            </w:r>
          </w:p>
        </w:tc>
        <w:tc>
          <w:tcPr>
            <w:tcW w:w="1134" w:type="dxa"/>
            <w:tcBorders>
              <w:bottom w:val="single" w:sz="4" w:space="0" w:color="auto"/>
            </w:tcBorders>
            <w:shd w:val="clear" w:color="auto" w:fill="auto"/>
            <w:tcMar>
              <w:top w:w="57" w:type="dxa"/>
              <w:left w:w="0" w:type="dxa"/>
              <w:bottom w:w="57" w:type="dxa"/>
              <w:right w:w="0" w:type="dxa"/>
            </w:tcMar>
            <w:vAlign w:val="bottom"/>
          </w:tcPr>
          <w:p w14:paraId="115B9184" w14:textId="77777777" w:rsidR="0058677E" w:rsidRPr="0058677E" w:rsidRDefault="0058677E" w:rsidP="00ED4EC2">
            <w:pPr>
              <w:contextualSpacing/>
              <w:jc w:val="right"/>
              <w:rPr>
                <w:rFonts w:ascii="Tahoma" w:hAnsi="Tahoma"/>
                <w:color w:val="000000" w:themeColor="text1"/>
                <w:sz w:val="16"/>
                <w:lang w:val="en-GB"/>
              </w:rPr>
            </w:pPr>
            <w:r w:rsidRPr="0058677E">
              <w:rPr>
                <w:rFonts w:ascii="Tahoma" w:hAnsi="Tahoma"/>
                <w:color w:val="000000" w:themeColor="text1"/>
                <w:sz w:val="16"/>
                <w:lang w:val="en-GB"/>
              </w:rPr>
              <w:t>64</w:t>
            </w:r>
          </w:p>
        </w:tc>
        <w:tc>
          <w:tcPr>
            <w:tcW w:w="1134" w:type="dxa"/>
            <w:tcBorders>
              <w:bottom w:val="single" w:sz="4" w:space="0" w:color="auto"/>
            </w:tcBorders>
            <w:shd w:val="clear" w:color="auto" w:fill="auto"/>
            <w:tcMar>
              <w:top w:w="57" w:type="dxa"/>
              <w:left w:w="0" w:type="dxa"/>
              <w:bottom w:w="57" w:type="dxa"/>
              <w:right w:w="0" w:type="dxa"/>
            </w:tcMar>
            <w:vAlign w:val="bottom"/>
          </w:tcPr>
          <w:p w14:paraId="00EA3DDD" w14:textId="77777777" w:rsidR="0058677E" w:rsidRPr="0058677E" w:rsidRDefault="0058677E" w:rsidP="009D0121">
            <w:pPr>
              <w:ind w:right="113"/>
              <w:contextualSpacing/>
              <w:jc w:val="right"/>
              <w:rPr>
                <w:rFonts w:ascii="Tahoma" w:hAnsi="Tahoma"/>
                <w:color w:val="000000" w:themeColor="text1"/>
                <w:sz w:val="16"/>
                <w:lang w:val="en-GB"/>
              </w:rPr>
            </w:pPr>
            <w:r w:rsidRPr="0058677E">
              <w:rPr>
                <w:rFonts w:ascii="Tahoma" w:hAnsi="Tahoma"/>
                <w:color w:val="000000" w:themeColor="text1"/>
                <w:sz w:val="16"/>
                <w:lang w:val="en-GB"/>
              </w:rPr>
              <w:t>137</w:t>
            </w:r>
          </w:p>
        </w:tc>
      </w:tr>
      <w:tr w:rsidR="00615190" w:rsidRPr="0058677E" w14:paraId="09805593" w14:textId="77777777" w:rsidTr="00DE4083">
        <w:trPr>
          <w:trHeight w:val="60"/>
        </w:trPr>
        <w:tc>
          <w:tcPr>
            <w:tcW w:w="397" w:type="dxa"/>
            <w:shd w:val="clear" w:color="auto" w:fill="auto"/>
            <w:tcMar>
              <w:top w:w="57" w:type="dxa"/>
              <w:left w:w="0" w:type="dxa"/>
              <w:bottom w:w="57" w:type="dxa"/>
              <w:right w:w="0" w:type="dxa"/>
            </w:tcMar>
            <w:vAlign w:val="bottom"/>
          </w:tcPr>
          <w:p w14:paraId="7043CDF8" w14:textId="77777777" w:rsidR="0058677E" w:rsidRPr="0058677E" w:rsidRDefault="0058677E" w:rsidP="00ED4EC2">
            <w:pPr>
              <w:contextualSpacing/>
              <w:rPr>
                <w:rFonts w:ascii="Tahoma" w:hAnsi="Tahoma"/>
                <w:color w:val="000000" w:themeColor="text1"/>
                <w:sz w:val="16"/>
                <w:lang w:val="en-GB"/>
              </w:rPr>
            </w:pPr>
          </w:p>
        </w:tc>
        <w:tc>
          <w:tcPr>
            <w:tcW w:w="6407" w:type="dxa"/>
            <w:tcBorders>
              <w:right w:val="single" w:sz="4" w:space="0" w:color="auto"/>
            </w:tcBorders>
            <w:shd w:val="clear" w:color="auto" w:fill="auto"/>
            <w:tcMar>
              <w:top w:w="57" w:type="dxa"/>
              <w:left w:w="113" w:type="dxa"/>
              <w:bottom w:w="57" w:type="dxa"/>
              <w:right w:w="0" w:type="dxa"/>
            </w:tcMar>
            <w:vAlign w:val="bottom"/>
          </w:tcPr>
          <w:p w14:paraId="74419B3D" w14:textId="77777777" w:rsidR="0058677E" w:rsidRPr="0058677E" w:rsidRDefault="0058677E" w:rsidP="00ED4EC2">
            <w:pPr>
              <w:contextualSpacing/>
              <w:rPr>
                <w:rFonts w:ascii="Tahoma" w:hAnsi="Tahoma"/>
                <w:color w:val="000000" w:themeColor="text1"/>
                <w:sz w:val="16"/>
                <w:lang w:val="en-GB"/>
              </w:rPr>
            </w:pPr>
            <w:r w:rsidRPr="0058677E">
              <w:rPr>
                <w:rFonts w:ascii="Tahoma" w:hAnsi="Tahoma"/>
                <w:color w:val="000000" w:themeColor="text1"/>
                <w:sz w:val="16"/>
                <w:lang w:val="en-GB"/>
              </w:rPr>
              <w:t>Software</w:t>
            </w:r>
          </w:p>
        </w:tc>
        <w:tc>
          <w:tcPr>
            <w:tcW w:w="1134" w:type="dxa"/>
            <w:tcBorders>
              <w:top w:val="single" w:sz="4" w:space="0" w:color="auto"/>
              <w:left w:val="single" w:sz="4" w:space="0" w:color="auto"/>
            </w:tcBorders>
            <w:shd w:val="clear" w:color="auto" w:fill="auto"/>
            <w:tcMar>
              <w:top w:w="57" w:type="dxa"/>
              <w:left w:w="0" w:type="dxa"/>
              <w:bottom w:w="57" w:type="dxa"/>
              <w:right w:w="0" w:type="dxa"/>
            </w:tcMar>
            <w:vAlign w:val="bottom"/>
          </w:tcPr>
          <w:p w14:paraId="13ED6A39" w14:textId="77777777" w:rsidR="0058677E" w:rsidRPr="0058677E" w:rsidRDefault="0058677E" w:rsidP="00ED4EC2">
            <w:pPr>
              <w:contextualSpacing/>
              <w:jc w:val="right"/>
              <w:rPr>
                <w:rFonts w:ascii="Tahoma" w:hAnsi="Tahoma"/>
                <w:b/>
                <w:bCs/>
                <w:color w:val="000000" w:themeColor="text1"/>
                <w:sz w:val="16"/>
                <w:lang w:val="en-GB"/>
              </w:rPr>
            </w:pPr>
            <w:r w:rsidRPr="0058677E">
              <w:rPr>
                <w:rFonts w:ascii="Tahoma" w:hAnsi="Tahoma"/>
                <w:b/>
                <w:bCs/>
                <w:color w:val="000000" w:themeColor="text1"/>
                <w:sz w:val="16"/>
                <w:lang w:val="en-GB"/>
              </w:rPr>
              <w:t>6</w:t>
            </w:r>
          </w:p>
        </w:tc>
        <w:tc>
          <w:tcPr>
            <w:tcW w:w="1134" w:type="dxa"/>
            <w:tcBorders>
              <w:top w:val="single" w:sz="4" w:space="0" w:color="auto"/>
            </w:tcBorders>
            <w:shd w:val="clear" w:color="auto" w:fill="auto"/>
            <w:tcMar>
              <w:top w:w="57" w:type="dxa"/>
              <w:left w:w="0" w:type="dxa"/>
              <w:bottom w:w="57" w:type="dxa"/>
              <w:right w:w="0" w:type="dxa"/>
            </w:tcMar>
            <w:vAlign w:val="bottom"/>
          </w:tcPr>
          <w:p w14:paraId="1610D850" w14:textId="77777777" w:rsidR="0058677E" w:rsidRPr="0058677E" w:rsidRDefault="0058677E" w:rsidP="00ED4EC2">
            <w:pPr>
              <w:contextualSpacing/>
              <w:jc w:val="right"/>
              <w:rPr>
                <w:rFonts w:ascii="Tahoma" w:hAnsi="Tahoma"/>
                <w:color w:val="000000" w:themeColor="text1"/>
                <w:sz w:val="16"/>
                <w:lang w:val="en-GB"/>
              </w:rPr>
            </w:pPr>
            <w:r w:rsidRPr="0058677E">
              <w:rPr>
                <w:rFonts w:ascii="Tahoma" w:hAnsi="Tahoma"/>
                <w:color w:val="000000" w:themeColor="text1"/>
                <w:sz w:val="16"/>
                <w:lang w:val="en-GB"/>
              </w:rPr>
              <w:t>5</w:t>
            </w:r>
          </w:p>
        </w:tc>
        <w:tc>
          <w:tcPr>
            <w:tcW w:w="1134" w:type="dxa"/>
            <w:tcBorders>
              <w:top w:val="single" w:sz="4" w:space="0" w:color="auto"/>
              <w:right w:val="single" w:sz="4" w:space="0" w:color="auto"/>
            </w:tcBorders>
            <w:shd w:val="clear" w:color="auto" w:fill="auto"/>
            <w:tcMar>
              <w:top w:w="57" w:type="dxa"/>
              <w:left w:w="0" w:type="dxa"/>
              <w:bottom w:w="57" w:type="dxa"/>
              <w:right w:w="0" w:type="dxa"/>
            </w:tcMar>
            <w:vAlign w:val="bottom"/>
          </w:tcPr>
          <w:p w14:paraId="1F47331B" w14:textId="77777777" w:rsidR="0058677E" w:rsidRPr="0058677E" w:rsidRDefault="0058677E" w:rsidP="009D0121">
            <w:pPr>
              <w:ind w:right="113"/>
              <w:contextualSpacing/>
              <w:jc w:val="right"/>
              <w:rPr>
                <w:rFonts w:ascii="Tahoma" w:hAnsi="Tahoma"/>
                <w:color w:val="000000" w:themeColor="text1"/>
                <w:sz w:val="16"/>
                <w:lang w:val="en-GB"/>
              </w:rPr>
            </w:pPr>
            <w:r w:rsidRPr="0058677E">
              <w:rPr>
                <w:rFonts w:ascii="Tahoma" w:hAnsi="Tahoma"/>
                <w:color w:val="000000" w:themeColor="text1"/>
                <w:sz w:val="16"/>
                <w:lang w:val="en-GB"/>
              </w:rPr>
              <w:t>11</w:t>
            </w:r>
          </w:p>
        </w:tc>
      </w:tr>
      <w:tr w:rsidR="00615190" w:rsidRPr="0058677E" w14:paraId="16EB54E3" w14:textId="77777777" w:rsidTr="00DE4083">
        <w:trPr>
          <w:trHeight w:val="60"/>
        </w:trPr>
        <w:tc>
          <w:tcPr>
            <w:tcW w:w="397" w:type="dxa"/>
            <w:shd w:val="clear" w:color="auto" w:fill="auto"/>
            <w:tcMar>
              <w:top w:w="57" w:type="dxa"/>
              <w:left w:w="0" w:type="dxa"/>
              <w:bottom w:w="57" w:type="dxa"/>
              <w:right w:w="0" w:type="dxa"/>
            </w:tcMar>
            <w:vAlign w:val="bottom"/>
          </w:tcPr>
          <w:p w14:paraId="1B5F95D0" w14:textId="77777777" w:rsidR="0058677E" w:rsidRPr="0058677E" w:rsidRDefault="0058677E" w:rsidP="00ED4EC2">
            <w:pPr>
              <w:contextualSpacing/>
              <w:rPr>
                <w:rFonts w:ascii="Tahoma" w:hAnsi="Tahoma"/>
                <w:color w:val="000000" w:themeColor="text1"/>
                <w:sz w:val="16"/>
                <w:lang w:val="en-GB"/>
              </w:rPr>
            </w:pPr>
          </w:p>
        </w:tc>
        <w:tc>
          <w:tcPr>
            <w:tcW w:w="6407" w:type="dxa"/>
            <w:tcBorders>
              <w:right w:val="single" w:sz="4" w:space="0" w:color="auto"/>
            </w:tcBorders>
            <w:shd w:val="clear" w:color="auto" w:fill="auto"/>
            <w:tcMar>
              <w:top w:w="57" w:type="dxa"/>
              <w:left w:w="113" w:type="dxa"/>
              <w:bottom w:w="57" w:type="dxa"/>
              <w:right w:w="0" w:type="dxa"/>
            </w:tcMar>
            <w:vAlign w:val="bottom"/>
          </w:tcPr>
          <w:p w14:paraId="3D0302E3" w14:textId="77777777" w:rsidR="0058677E" w:rsidRPr="0058677E" w:rsidRDefault="0058677E" w:rsidP="00ED4EC2">
            <w:pPr>
              <w:contextualSpacing/>
              <w:rPr>
                <w:rFonts w:ascii="Tahoma" w:hAnsi="Tahoma"/>
                <w:color w:val="000000" w:themeColor="text1"/>
                <w:sz w:val="16"/>
                <w:lang w:val="en-GB"/>
              </w:rPr>
            </w:pPr>
            <w:r w:rsidRPr="0058677E">
              <w:rPr>
                <w:rFonts w:ascii="Tahoma" w:hAnsi="Tahoma"/>
                <w:color w:val="000000" w:themeColor="text1"/>
                <w:sz w:val="16"/>
                <w:lang w:val="en-GB"/>
              </w:rPr>
              <w:t>Other intangible assets</w:t>
            </w:r>
          </w:p>
        </w:tc>
        <w:tc>
          <w:tcPr>
            <w:tcW w:w="1134" w:type="dxa"/>
            <w:tcBorders>
              <w:left w:val="single" w:sz="4" w:space="0" w:color="auto"/>
              <w:bottom w:val="single" w:sz="4" w:space="0" w:color="auto"/>
            </w:tcBorders>
            <w:shd w:val="clear" w:color="auto" w:fill="auto"/>
            <w:tcMar>
              <w:top w:w="57" w:type="dxa"/>
              <w:left w:w="0" w:type="dxa"/>
              <w:bottom w:w="57" w:type="dxa"/>
              <w:right w:w="0" w:type="dxa"/>
            </w:tcMar>
            <w:vAlign w:val="bottom"/>
          </w:tcPr>
          <w:p w14:paraId="37928C64" w14:textId="77777777" w:rsidR="0058677E" w:rsidRPr="0058677E" w:rsidRDefault="0058677E" w:rsidP="00ED4EC2">
            <w:pPr>
              <w:contextualSpacing/>
              <w:jc w:val="right"/>
              <w:rPr>
                <w:rFonts w:ascii="Tahoma" w:hAnsi="Tahoma"/>
                <w:b/>
                <w:bCs/>
                <w:color w:val="000000" w:themeColor="text1"/>
                <w:sz w:val="16"/>
                <w:lang w:val="en-GB"/>
              </w:rPr>
            </w:pPr>
            <w:r w:rsidRPr="0058677E">
              <w:rPr>
                <w:rFonts w:ascii="Tahoma" w:hAnsi="Tahoma"/>
                <w:b/>
                <w:bCs/>
                <w:color w:val="000000" w:themeColor="text1"/>
                <w:sz w:val="16"/>
                <w:lang w:val="en-GB"/>
              </w:rPr>
              <w:t>40</w:t>
            </w:r>
          </w:p>
        </w:tc>
        <w:tc>
          <w:tcPr>
            <w:tcW w:w="1134" w:type="dxa"/>
            <w:tcBorders>
              <w:bottom w:val="single" w:sz="4" w:space="0" w:color="auto"/>
            </w:tcBorders>
            <w:shd w:val="clear" w:color="auto" w:fill="auto"/>
            <w:tcMar>
              <w:top w:w="57" w:type="dxa"/>
              <w:left w:w="0" w:type="dxa"/>
              <w:bottom w:w="57" w:type="dxa"/>
              <w:right w:w="0" w:type="dxa"/>
            </w:tcMar>
            <w:vAlign w:val="bottom"/>
          </w:tcPr>
          <w:p w14:paraId="0C20AE93" w14:textId="77777777" w:rsidR="0058677E" w:rsidRPr="0058677E" w:rsidRDefault="0058677E" w:rsidP="00ED4EC2">
            <w:pPr>
              <w:contextualSpacing/>
              <w:jc w:val="right"/>
              <w:rPr>
                <w:rFonts w:ascii="Tahoma" w:hAnsi="Tahoma"/>
                <w:color w:val="000000" w:themeColor="text1"/>
                <w:sz w:val="16"/>
                <w:lang w:val="en-GB"/>
              </w:rPr>
            </w:pPr>
            <w:r w:rsidRPr="0058677E">
              <w:rPr>
                <w:rFonts w:ascii="Tahoma" w:hAnsi="Tahoma"/>
                <w:color w:val="000000" w:themeColor="text1"/>
                <w:sz w:val="16"/>
                <w:lang w:val="en-GB"/>
              </w:rPr>
              <w:t>59</w:t>
            </w:r>
          </w:p>
        </w:tc>
        <w:tc>
          <w:tcPr>
            <w:tcW w:w="1134" w:type="dxa"/>
            <w:tcBorders>
              <w:bottom w:val="single" w:sz="4" w:space="0" w:color="auto"/>
              <w:right w:val="single" w:sz="4" w:space="0" w:color="auto"/>
            </w:tcBorders>
            <w:shd w:val="clear" w:color="auto" w:fill="auto"/>
            <w:tcMar>
              <w:top w:w="57" w:type="dxa"/>
              <w:left w:w="0" w:type="dxa"/>
              <w:bottom w:w="57" w:type="dxa"/>
              <w:right w:w="0" w:type="dxa"/>
            </w:tcMar>
            <w:vAlign w:val="bottom"/>
          </w:tcPr>
          <w:p w14:paraId="5CD5F380" w14:textId="77777777" w:rsidR="0058677E" w:rsidRPr="0058677E" w:rsidRDefault="0058677E" w:rsidP="009D0121">
            <w:pPr>
              <w:ind w:right="113"/>
              <w:contextualSpacing/>
              <w:jc w:val="right"/>
              <w:rPr>
                <w:rFonts w:ascii="Tahoma" w:hAnsi="Tahoma"/>
                <w:color w:val="000000" w:themeColor="text1"/>
                <w:sz w:val="16"/>
                <w:lang w:val="en-GB"/>
              </w:rPr>
            </w:pPr>
            <w:r w:rsidRPr="0058677E">
              <w:rPr>
                <w:rFonts w:ascii="Tahoma" w:hAnsi="Tahoma"/>
                <w:color w:val="000000" w:themeColor="text1"/>
                <w:sz w:val="16"/>
                <w:lang w:val="en-GB"/>
              </w:rPr>
              <w:t>126</w:t>
            </w:r>
          </w:p>
        </w:tc>
      </w:tr>
      <w:tr w:rsidR="00615190" w:rsidRPr="0058677E" w14:paraId="3977032C" w14:textId="77777777" w:rsidTr="00DE4083">
        <w:trPr>
          <w:trHeight w:val="60"/>
        </w:trPr>
        <w:tc>
          <w:tcPr>
            <w:tcW w:w="397" w:type="dxa"/>
            <w:shd w:val="clear" w:color="auto" w:fill="auto"/>
            <w:tcMar>
              <w:top w:w="57" w:type="dxa"/>
              <w:left w:w="0" w:type="dxa"/>
              <w:bottom w:w="57" w:type="dxa"/>
              <w:right w:w="0" w:type="dxa"/>
            </w:tcMar>
            <w:vAlign w:val="bottom"/>
          </w:tcPr>
          <w:p w14:paraId="5D2444B5" w14:textId="77777777" w:rsidR="0058677E" w:rsidRPr="0058677E" w:rsidRDefault="0058677E" w:rsidP="00ED4EC2">
            <w:pPr>
              <w:contextualSpacing/>
              <w:rPr>
                <w:rFonts w:ascii="Tahoma" w:hAnsi="Tahoma"/>
                <w:color w:val="000000" w:themeColor="text1"/>
                <w:sz w:val="16"/>
                <w:lang w:val="en-GB"/>
              </w:rPr>
            </w:pPr>
          </w:p>
        </w:tc>
        <w:tc>
          <w:tcPr>
            <w:tcW w:w="6407" w:type="dxa"/>
            <w:shd w:val="clear" w:color="auto" w:fill="auto"/>
            <w:tcMar>
              <w:top w:w="57" w:type="dxa"/>
              <w:left w:w="0" w:type="dxa"/>
              <w:bottom w:w="57" w:type="dxa"/>
              <w:right w:w="0" w:type="dxa"/>
            </w:tcMar>
            <w:vAlign w:val="bottom"/>
          </w:tcPr>
          <w:p w14:paraId="536CAF17" w14:textId="77777777" w:rsidR="0058677E" w:rsidRPr="0058677E" w:rsidRDefault="0058677E" w:rsidP="00ED4EC2">
            <w:pPr>
              <w:contextualSpacing/>
              <w:rPr>
                <w:rFonts w:ascii="Tahoma" w:hAnsi="Tahoma"/>
                <w:b/>
                <w:bCs/>
                <w:color w:val="000000" w:themeColor="text1"/>
                <w:sz w:val="16"/>
                <w:lang w:val="en-GB"/>
              </w:rPr>
            </w:pPr>
            <w:r w:rsidRPr="0058677E">
              <w:rPr>
                <w:rFonts w:ascii="Tahoma" w:hAnsi="Tahoma"/>
                <w:b/>
                <w:bCs/>
                <w:color w:val="000000" w:themeColor="text1"/>
                <w:sz w:val="16"/>
                <w:lang w:val="en-GB"/>
              </w:rPr>
              <w:t>Impairment losses on financial assets measured at amortised cost</w:t>
            </w:r>
          </w:p>
        </w:tc>
        <w:tc>
          <w:tcPr>
            <w:tcW w:w="1134" w:type="dxa"/>
            <w:tcBorders>
              <w:top w:val="single" w:sz="4" w:space="0" w:color="auto"/>
            </w:tcBorders>
            <w:shd w:val="clear" w:color="auto" w:fill="auto"/>
            <w:tcMar>
              <w:top w:w="57" w:type="dxa"/>
              <w:left w:w="0" w:type="dxa"/>
              <w:bottom w:w="57" w:type="dxa"/>
              <w:right w:w="0" w:type="dxa"/>
            </w:tcMar>
            <w:vAlign w:val="bottom"/>
          </w:tcPr>
          <w:p w14:paraId="0B85EF4F" w14:textId="77777777" w:rsidR="0058677E" w:rsidRPr="0058677E" w:rsidRDefault="0058677E" w:rsidP="00ED4EC2">
            <w:pPr>
              <w:contextualSpacing/>
              <w:jc w:val="right"/>
              <w:rPr>
                <w:rFonts w:ascii="Tahoma" w:hAnsi="Tahoma"/>
                <w:b/>
                <w:bCs/>
                <w:color w:val="000000" w:themeColor="text1"/>
                <w:sz w:val="16"/>
                <w:lang w:val="en-GB"/>
              </w:rPr>
            </w:pPr>
            <w:r w:rsidRPr="0058677E">
              <w:rPr>
                <w:rFonts w:ascii="Tahoma" w:hAnsi="Tahoma"/>
                <w:b/>
                <w:bCs/>
                <w:color w:val="000000" w:themeColor="text1"/>
                <w:sz w:val="16"/>
                <w:lang w:val="en-GB"/>
              </w:rPr>
              <w:t>2</w:t>
            </w:r>
          </w:p>
        </w:tc>
        <w:tc>
          <w:tcPr>
            <w:tcW w:w="1134" w:type="dxa"/>
            <w:tcBorders>
              <w:top w:val="single" w:sz="4" w:space="0" w:color="auto"/>
            </w:tcBorders>
            <w:shd w:val="clear" w:color="auto" w:fill="auto"/>
            <w:tcMar>
              <w:top w:w="57" w:type="dxa"/>
              <w:left w:w="0" w:type="dxa"/>
              <w:bottom w:w="57" w:type="dxa"/>
              <w:right w:w="0" w:type="dxa"/>
            </w:tcMar>
            <w:vAlign w:val="bottom"/>
          </w:tcPr>
          <w:p w14:paraId="2C3A5708" w14:textId="77777777" w:rsidR="0058677E" w:rsidRPr="0058677E" w:rsidRDefault="0058677E" w:rsidP="00ED4EC2">
            <w:pPr>
              <w:contextualSpacing/>
              <w:jc w:val="right"/>
              <w:rPr>
                <w:rFonts w:ascii="Tahoma" w:hAnsi="Tahoma"/>
                <w:color w:val="000000" w:themeColor="text1"/>
                <w:sz w:val="16"/>
                <w:lang w:val="en-GB"/>
              </w:rPr>
            </w:pPr>
            <w:r w:rsidRPr="0058677E">
              <w:rPr>
                <w:rFonts w:ascii="Tahoma" w:hAnsi="Tahoma"/>
                <w:color w:val="000000" w:themeColor="text1"/>
                <w:sz w:val="16"/>
                <w:lang w:val="en-GB"/>
              </w:rPr>
              <w:t>13</w:t>
            </w:r>
          </w:p>
        </w:tc>
        <w:tc>
          <w:tcPr>
            <w:tcW w:w="1134" w:type="dxa"/>
            <w:tcBorders>
              <w:top w:val="single" w:sz="4" w:space="0" w:color="auto"/>
            </w:tcBorders>
            <w:shd w:val="clear" w:color="auto" w:fill="auto"/>
            <w:tcMar>
              <w:top w:w="57" w:type="dxa"/>
              <w:left w:w="0" w:type="dxa"/>
              <w:bottom w:w="57" w:type="dxa"/>
              <w:right w:w="0" w:type="dxa"/>
            </w:tcMar>
            <w:vAlign w:val="bottom"/>
          </w:tcPr>
          <w:p w14:paraId="5529A3A0" w14:textId="77777777" w:rsidR="0058677E" w:rsidRPr="0058677E" w:rsidRDefault="0058677E" w:rsidP="009D0121">
            <w:pPr>
              <w:ind w:right="113"/>
              <w:contextualSpacing/>
              <w:jc w:val="right"/>
              <w:rPr>
                <w:rFonts w:ascii="Tahoma" w:hAnsi="Tahoma"/>
                <w:color w:val="000000" w:themeColor="text1"/>
                <w:sz w:val="16"/>
                <w:lang w:val="en-GB"/>
              </w:rPr>
            </w:pPr>
            <w:r w:rsidRPr="0058677E">
              <w:rPr>
                <w:rFonts w:ascii="Tahoma" w:hAnsi="Tahoma"/>
                <w:color w:val="000000" w:themeColor="text1"/>
                <w:sz w:val="16"/>
                <w:lang w:val="en-GB"/>
              </w:rPr>
              <w:t>17</w:t>
            </w:r>
          </w:p>
        </w:tc>
      </w:tr>
      <w:tr w:rsidR="00615190" w:rsidRPr="0058677E" w14:paraId="0740BA4F" w14:textId="77777777" w:rsidTr="006977DE">
        <w:trPr>
          <w:trHeight w:val="60"/>
        </w:trPr>
        <w:tc>
          <w:tcPr>
            <w:tcW w:w="397" w:type="dxa"/>
            <w:shd w:val="clear" w:color="auto" w:fill="auto"/>
            <w:tcMar>
              <w:top w:w="57" w:type="dxa"/>
              <w:left w:w="0" w:type="dxa"/>
              <w:bottom w:w="57" w:type="dxa"/>
              <w:right w:w="0" w:type="dxa"/>
            </w:tcMar>
            <w:vAlign w:val="bottom"/>
          </w:tcPr>
          <w:p w14:paraId="25C184DB" w14:textId="77777777" w:rsidR="0058677E" w:rsidRPr="0058677E" w:rsidRDefault="0058677E" w:rsidP="00ED4EC2">
            <w:pPr>
              <w:contextualSpacing/>
              <w:rPr>
                <w:rFonts w:ascii="Tahoma" w:hAnsi="Tahoma"/>
                <w:color w:val="000000" w:themeColor="text1"/>
                <w:sz w:val="16"/>
                <w:lang w:val="en-GB"/>
              </w:rPr>
            </w:pPr>
          </w:p>
        </w:tc>
        <w:tc>
          <w:tcPr>
            <w:tcW w:w="6407" w:type="dxa"/>
            <w:shd w:val="clear" w:color="auto" w:fill="auto"/>
            <w:tcMar>
              <w:top w:w="57" w:type="dxa"/>
              <w:left w:w="0" w:type="dxa"/>
              <w:bottom w:w="57" w:type="dxa"/>
              <w:right w:w="0" w:type="dxa"/>
            </w:tcMar>
            <w:vAlign w:val="bottom"/>
          </w:tcPr>
          <w:p w14:paraId="0C127F2F" w14:textId="77777777" w:rsidR="0058677E" w:rsidRPr="0058677E" w:rsidRDefault="0058677E" w:rsidP="00ED4EC2">
            <w:pPr>
              <w:contextualSpacing/>
              <w:rPr>
                <w:rFonts w:ascii="Tahoma" w:hAnsi="Tahoma"/>
                <w:b/>
                <w:bCs/>
                <w:color w:val="000000" w:themeColor="text1"/>
                <w:sz w:val="16"/>
                <w:lang w:val="en-GB"/>
              </w:rPr>
            </w:pPr>
            <w:r w:rsidRPr="0058677E">
              <w:rPr>
                <w:rFonts w:ascii="Tahoma" w:hAnsi="Tahoma"/>
                <w:b/>
                <w:bCs/>
                <w:color w:val="000000" w:themeColor="text1"/>
                <w:sz w:val="16"/>
                <w:lang w:val="en-GB"/>
              </w:rPr>
              <w:t>Net realisable value adjustments on inventory, net of reversals</w:t>
            </w:r>
            <w:r w:rsidRPr="0058677E">
              <w:rPr>
                <w:rFonts w:ascii="Tahoma" w:hAnsi="Tahoma"/>
                <w:b/>
                <w:bCs/>
                <w:color w:val="000000" w:themeColor="text1"/>
                <w:sz w:val="16"/>
                <w:vertAlign w:val="superscript"/>
                <w:lang w:val="en-GB"/>
              </w:rPr>
              <w:t>1</w:t>
            </w:r>
          </w:p>
        </w:tc>
        <w:tc>
          <w:tcPr>
            <w:tcW w:w="1134" w:type="dxa"/>
            <w:shd w:val="clear" w:color="auto" w:fill="auto"/>
            <w:tcMar>
              <w:top w:w="57" w:type="dxa"/>
              <w:left w:w="0" w:type="dxa"/>
              <w:bottom w:w="57" w:type="dxa"/>
              <w:right w:w="0" w:type="dxa"/>
            </w:tcMar>
            <w:vAlign w:val="bottom"/>
          </w:tcPr>
          <w:p w14:paraId="3CA5D556" w14:textId="77777777" w:rsidR="0058677E" w:rsidRPr="0058677E" w:rsidRDefault="0058677E" w:rsidP="00ED4EC2">
            <w:pPr>
              <w:contextualSpacing/>
              <w:jc w:val="right"/>
              <w:rPr>
                <w:rFonts w:ascii="Tahoma" w:hAnsi="Tahoma"/>
                <w:b/>
                <w:bCs/>
                <w:color w:val="000000" w:themeColor="text1"/>
                <w:sz w:val="16"/>
                <w:lang w:val="en-GB"/>
              </w:rPr>
            </w:pPr>
            <w:r w:rsidRPr="0058677E">
              <w:rPr>
                <w:rFonts w:ascii="Tahoma" w:hAnsi="Tahoma"/>
                <w:b/>
                <w:bCs/>
                <w:color w:val="000000" w:themeColor="text1"/>
                <w:sz w:val="16"/>
                <w:lang w:val="en-GB"/>
              </w:rPr>
              <w:t>3</w:t>
            </w:r>
          </w:p>
        </w:tc>
        <w:tc>
          <w:tcPr>
            <w:tcW w:w="1134" w:type="dxa"/>
            <w:shd w:val="clear" w:color="auto" w:fill="auto"/>
            <w:tcMar>
              <w:top w:w="57" w:type="dxa"/>
              <w:left w:w="0" w:type="dxa"/>
              <w:bottom w:w="57" w:type="dxa"/>
              <w:right w:w="0" w:type="dxa"/>
            </w:tcMar>
            <w:vAlign w:val="bottom"/>
          </w:tcPr>
          <w:p w14:paraId="40F624FA" w14:textId="77777777" w:rsidR="0058677E" w:rsidRPr="0058677E" w:rsidRDefault="0058677E" w:rsidP="00ED4EC2">
            <w:pPr>
              <w:contextualSpacing/>
              <w:jc w:val="right"/>
              <w:rPr>
                <w:rFonts w:ascii="Tahoma" w:hAnsi="Tahoma"/>
                <w:color w:val="000000" w:themeColor="text1"/>
                <w:sz w:val="16"/>
                <w:lang w:val="en-GB"/>
              </w:rPr>
            </w:pPr>
            <w:r w:rsidRPr="0058677E">
              <w:rPr>
                <w:rFonts w:ascii="Tahoma" w:hAnsi="Tahoma"/>
                <w:color w:val="000000" w:themeColor="text1"/>
                <w:sz w:val="16"/>
                <w:lang w:val="en-GB"/>
              </w:rPr>
              <w:t>2</w:t>
            </w:r>
          </w:p>
        </w:tc>
        <w:tc>
          <w:tcPr>
            <w:tcW w:w="1134" w:type="dxa"/>
            <w:shd w:val="clear" w:color="auto" w:fill="auto"/>
            <w:tcMar>
              <w:top w:w="57" w:type="dxa"/>
              <w:left w:w="0" w:type="dxa"/>
              <w:bottom w:w="57" w:type="dxa"/>
              <w:right w:w="0" w:type="dxa"/>
            </w:tcMar>
            <w:vAlign w:val="bottom"/>
          </w:tcPr>
          <w:p w14:paraId="3DF55167" w14:textId="77777777" w:rsidR="0058677E" w:rsidRPr="0058677E" w:rsidRDefault="0058677E" w:rsidP="009D0121">
            <w:pPr>
              <w:ind w:right="113"/>
              <w:contextualSpacing/>
              <w:jc w:val="right"/>
              <w:rPr>
                <w:rFonts w:ascii="Tahoma" w:hAnsi="Tahoma"/>
                <w:color w:val="000000" w:themeColor="text1"/>
                <w:sz w:val="16"/>
                <w:lang w:val="en-GB"/>
              </w:rPr>
            </w:pPr>
            <w:r w:rsidRPr="0058677E">
              <w:rPr>
                <w:rFonts w:ascii="Tahoma" w:hAnsi="Tahoma"/>
                <w:color w:val="000000" w:themeColor="text1"/>
                <w:sz w:val="16"/>
                <w:lang w:val="en-GB"/>
              </w:rPr>
              <w:t>6</w:t>
            </w:r>
          </w:p>
        </w:tc>
      </w:tr>
      <w:tr w:rsidR="00615190" w:rsidRPr="0058677E" w14:paraId="33E4FD08" w14:textId="77777777" w:rsidTr="00FF77A5">
        <w:trPr>
          <w:trHeight w:val="60"/>
        </w:trPr>
        <w:tc>
          <w:tcPr>
            <w:tcW w:w="397" w:type="dxa"/>
            <w:shd w:val="clear" w:color="auto" w:fill="auto"/>
            <w:tcMar>
              <w:top w:w="57" w:type="dxa"/>
              <w:left w:w="0" w:type="dxa"/>
              <w:bottom w:w="57" w:type="dxa"/>
              <w:right w:w="0" w:type="dxa"/>
            </w:tcMar>
            <w:vAlign w:val="bottom"/>
          </w:tcPr>
          <w:p w14:paraId="59380CAA" w14:textId="77777777" w:rsidR="0058677E" w:rsidRPr="0058677E" w:rsidRDefault="0058677E" w:rsidP="00ED4EC2">
            <w:pPr>
              <w:contextualSpacing/>
              <w:rPr>
                <w:rFonts w:ascii="Tahoma" w:hAnsi="Tahoma"/>
                <w:color w:val="000000" w:themeColor="text1"/>
                <w:sz w:val="16"/>
                <w:lang w:val="en-GB"/>
              </w:rPr>
            </w:pPr>
          </w:p>
        </w:tc>
        <w:tc>
          <w:tcPr>
            <w:tcW w:w="6407" w:type="dxa"/>
            <w:shd w:val="clear" w:color="auto" w:fill="auto"/>
            <w:tcMar>
              <w:top w:w="57" w:type="dxa"/>
              <w:left w:w="0" w:type="dxa"/>
              <w:bottom w:w="57" w:type="dxa"/>
              <w:right w:w="0" w:type="dxa"/>
            </w:tcMar>
            <w:vAlign w:val="bottom"/>
          </w:tcPr>
          <w:p w14:paraId="564AB6CA" w14:textId="77777777" w:rsidR="0058677E" w:rsidRPr="0058677E" w:rsidRDefault="0058677E" w:rsidP="00ED4EC2">
            <w:pPr>
              <w:contextualSpacing/>
              <w:rPr>
                <w:rFonts w:ascii="Tahoma" w:hAnsi="Tahoma"/>
                <w:b/>
                <w:bCs/>
                <w:color w:val="000000" w:themeColor="text1"/>
                <w:sz w:val="16"/>
                <w:lang w:val="en-GB"/>
              </w:rPr>
            </w:pPr>
            <w:r w:rsidRPr="0058677E">
              <w:rPr>
                <w:rFonts w:ascii="Tahoma" w:hAnsi="Tahoma"/>
                <w:b/>
                <w:bCs/>
                <w:color w:val="000000" w:themeColor="text1"/>
                <w:sz w:val="16"/>
                <w:lang w:val="en-GB"/>
              </w:rPr>
              <w:t>Other (losses)/gains – net</w:t>
            </w:r>
          </w:p>
        </w:tc>
        <w:tc>
          <w:tcPr>
            <w:tcW w:w="1134" w:type="dxa"/>
            <w:tcBorders>
              <w:bottom w:val="single" w:sz="4" w:space="0" w:color="auto"/>
            </w:tcBorders>
            <w:shd w:val="clear" w:color="auto" w:fill="auto"/>
            <w:tcMar>
              <w:top w:w="57" w:type="dxa"/>
              <w:left w:w="0" w:type="dxa"/>
              <w:bottom w:w="57" w:type="dxa"/>
              <w:right w:w="0" w:type="dxa"/>
            </w:tcMar>
            <w:vAlign w:val="bottom"/>
          </w:tcPr>
          <w:p w14:paraId="0B5345D8" w14:textId="77777777" w:rsidR="0058677E" w:rsidRPr="0058677E" w:rsidRDefault="0058677E" w:rsidP="00ED4EC2">
            <w:pPr>
              <w:contextualSpacing/>
              <w:jc w:val="right"/>
              <w:rPr>
                <w:rFonts w:ascii="Tahoma" w:hAnsi="Tahoma"/>
                <w:b/>
                <w:bCs/>
                <w:color w:val="000000" w:themeColor="text1"/>
                <w:sz w:val="16"/>
                <w:lang w:val="en-GB"/>
              </w:rPr>
            </w:pPr>
            <w:r w:rsidRPr="0058677E">
              <w:rPr>
                <w:rFonts w:ascii="Tahoma" w:hAnsi="Tahoma"/>
                <w:b/>
                <w:bCs/>
                <w:color w:val="000000" w:themeColor="text1"/>
                <w:sz w:val="16"/>
                <w:lang w:val="en-GB"/>
              </w:rPr>
              <w:t>(9)</w:t>
            </w:r>
          </w:p>
        </w:tc>
        <w:tc>
          <w:tcPr>
            <w:tcW w:w="1134" w:type="dxa"/>
            <w:tcBorders>
              <w:bottom w:val="single" w:sz="4" w:space="0" w:color="auto"/>
            </w:tcBorders>
            <w:shd w:val="clear" w:color="auto" w:fill="auto"/>
            <w:tcMar>
              <w:top w:w="57" w:type="dxa"/>
              <w:left w:w="0" w:type="dxa"/>
              <w:bottom w:w="57" w:type="dxa"/>
              <w:right w:w="0" w:type="dxa"/>
            </w:tcMar>
            <w:vAlign w:val="bottom"/>
          </w:tcPr>
          <w:p w14:paraId="14AB1682" w14:textId="77777777" w:rsidR="0058677E" w:rsidRPr="0058677E" w:rsidRDefault="0058677E" w:rsidP="00ED4EC2">
            <w:pPr>
              <w:contextualSpacing/>
              <w:jc w:val="right"/>
              <w:rPr>
                <w:rFonts w:ascii="Tahoma" w:hAnsi="Tahoma"/>
                <w:color w:val="000000" w:themeColor="text1"/>
                <w:sz w:val="16"/>
                <w:lang w:val="en-GB"/>
              </w:rPr>
            </w:pPr>
            <w:r w:rsidRPr="0058677E">
              <w:rPr>
                <w:rFonts w:ascii="Tahoma" w:hAnsi="Tahoma"/>
                <w:color w:val="000000" w:themeColor="text1"/>
                <w:sz w:val="16"/>
                <w:lang w:val="en-GB"/>
              </w:rPr>
              <w:t>56</w:t>
            </w:r>
          </w:p>
        </w:tc>
        <w:tc>
          <w:tcPr>
            <w:tcW w:w="1134" w:type="dxa"/>
            <w:tcBorders>
              <w:bottom w:val="single" w:sz="4" w:space="0" w:color="auto"/>
            </w:tcBorders>
            <w:shd w:val="clear" w:color="auto" w:fill="auto"/>
            <w:tcMar>
              <w:top w:w="57" w:type="dxa"/>
              <w:left w:w="0" w:type="dxa"/>
              <w:bottom w:w="57" w:type="dxa"/>
              <w:right w:w="0" w:type="dxa"/>
            </w:tcMar>
            <w:vAlign w:val="bottom"/>
          </w:tcPr>
          <w:p w14:paraId="028B450F" w14:textId="77777777" w:rsidR="0058677E" w:rsidRPr="0058677E" w:rsidRDefault="0058677E" w:rsidP="009D0121">
            <w:pPr>
              <w:ind w:right="113"/>
              <w:contextualSpacing/>
              <w:jc w:val="right"/>
              <w:rPr>
                <w:rFonts w:ascii="Tahoma" w:hAnsi="Tahoma"/>
                <w:color w:val="000000" w:themeColor="text1"/>
                <w:sz w:val="16"/>
                <w:lang w:val="en-GB"/>
              </w:rPr>
            </w:pPr>
            <w:r w:rsidRPr="0058677E">
              <w:rPr>
                <w:rFonts w:ascii="Tahoma" w:hAnsi="Tahoma"/>
                <w:color w:val="000000" w:themeColor="text1"/>
                <w:sz w:val="16"/>
                <w:lang w:val="en-GB"/>
              </w:rPr>
              <w:t>(169)</w:t>
            </w:r>
          </w:p>
        </w:tc>
      </w:tr>
      <w:tr w:rsidR="00615190" w:rsidRPr="0058677E" w14:paraId="6DF4F233" w14:textId="77777777" w:rsidTr="00FF77A5">
        <w:trPr>
          <w:trHeight w:val="60"/>
        </w:trPr>
        <w:tc>
          <w:tcPr>
            <w:tcW w:w="397" w:type="dxa"/>
            <w:shd w:val="clear" w:color="auto" w:fill="auto"/>
            <w:tcMar>
              <w:top w:w="57" w:type="dxa"/>
              <w:left w:w="0" w:type="dxa"/>
              <w:bottom w:w="57" w:type="dxa"/>
              <w:right w:w="0" w:type="dxa"/>
            </w:tcMar>
            <w:vAlign w:val="bottom"/>
          </w:tcPr>
          <w:p w14:paraId="72CBF8AB" w14:textId="77777777" w:rsidR="0058677E" w:rsidRPr="0058677E" w:rsidRDefault="0058677E" w:rsidP="00ED4EC2">
            <w:pPr>
              <w:contextualSpacing/>
              <w:rPr>
                <w:rFonts w:ascii="Tahoma" w:hAnsi="Tahoma"/>
                <w:color w:val="000000" w:themeColor="text1"/>
                <w:sz w:val="16"/>
                <w:lang w:val="en-GB"/>
              </w:rPr>
            </w:pPr>
          </w:p>
        </w:tc>
        <w:tc>
          <w:tcPr>
            <w:tcW w:w="6407" w:type="dxa"/>
            <w:tcBorders>
              <w:right w:val="single" w:sz="4" w:space="0" w:color="auto"/>
            </w:tcBorders>
            <w:shd w:val="clear" w:color="auto" w:fill="auto"/>
            <w:tcMar>
              <w:top w:w="57" w:type="dxa"/>
              <w:left w:w="113" w:type="dxa"/>
              <w:bottom w:w="57" w:type="dxa"/>
              <w:right w:w="0" w:type="dxa"/>
            </w:tcMar>
            <w:vAlign w:val="bottom"/>
          </w:tcPr>
          <w:p w14:paraId="160FA405" w14:textId="77777777" w:rsidR="0058677E" w:rsidRPr="0058677E" w:rsidRDefault="0058677E" w:rsidP="00ED4EC2">
            <w:pPr>
              <w:contextualSpacing/>
              <w:rPr>
                <w:rFonts w:ascii="Tahoma" w:hAnsi="Tahoma"/>
                <w:color w:val="000000" w:themeColor="text1"/>
                <w:sz w:val="16"/>
                <w:lang w:val="en-GB"/>
              </w:rPr>
            </w:pPr>
            <w:r w:rsidRPr="0058677E">
              <w:rPr>
                <w:rFonts w:ascii="Tahoma" w:hAnsi="Tahoma"/>
                <w:color w:val="000000" w:themeColor="text1"/>
                <w:sz w:val="16"/>
                <w:lang w:val="en-GB"/>
              </w:rPr>
              <w:t>Income on business support services</w:t>
            </w:r>
          </w:p>
        </w:tc>
        <w:tc>
          <w:tcPr>
            <w:tcW w:w="1134" w:type="dxa"/>
            <w:tcBorders>
              <w:top w:val="single" w:sz="4" w:space="0" w:color="auto"/>
              <w:left w:val="single" w:sz="4" w:space="0" w:color="auto"/>
            </w:tcBorders>
            <w:shd w:val="clear" w:color="auto" w:fill="auto"/>
            <w:tcMar>
              <w:top w:w="57" w:type="dxa"/>
              <w:left w:w="0" w:type="dxa"/>
              <w:bottom w:w="57" w:type="dxa"/>
              <w:right w:w="0" w:type="dxa"/>
            </w:tcMar>
            <w:vAlign w:val="bottom"/>
          </w:tcPr>
          <w:p w14:paraId="71141CDE" w14:textId="77777777" w:rsidR="0058677E" w:rsidRPr="0058677E" w:rsidRDefault="0058677E" w:rsidP="00ED4EC2">
            <w:pPr>
              <w:contextualSpacing/>
              <w:jc w:val="right"/>
              <w:rPr>
                <w:rFonts w:ascii="Tahoma" w:hAnsi="Tahoma"/>
                <w:b/>
                <w:bCs/>
                <w:color w:val="000000" w:themeColor="text1"/>
                <w:sz w:val="16"/>
                <w:lang w:val="en-GB"/>
              </w:rPr>
            </w:pPr>
            <w:r w:rsidRPr="0058677E">
              <w:rPr>
                <w:rFonts w:ascii="Tahoma" w:hAnsi="Tahoma"/>
                <w:b/>
                <w:bCs/>
                <w:color w:val="000000" w:themeColor="text1"/>
                <w:sz w:val="16"/>
                <w:lang w:val="en-GB"/>
              </w:rPr>
              <w:t>7</w:t>
            </w:r>
          </w:p>
        </w:tc>
        <w:tc>
          <w:tcPr>
            <w:tcW w:w="1134" w:type="dxa"/>
            <w:tcBorders>
              <w:top w:val="single" w:sz="4" w:space="0" w:color="auto"/>
            </w:tcBorders>
            <w:shd w:val="clear" w:color="auto" w:fill="auto"/>
            <w:tcMar>
              <w:top w:w="57" w:type="dxa"/>
              <w:left w:w="0" w:type="dxa"/>
              <w:bottom w:w="57" w:type="dxa"/>
              <w:right w:w="0" w:type="dxa"/>
            </w:tcMar>
            <w:vAlign w:val="bottom"/>
          </w:tcPr>
          <w:p w14:paraId="2BA474AC" w14:textId="77777777" w:rsidR="0058677E" w:rsidRPr="0058677E" w:rsidRDefault="0058677E" w:rsidP="00ED4EC2">
            <w:pPr>
              <w:contextualSpacing/>
              <w:jc w:val="right"/>
              <w:rPr>
                <w:rFonts w:ascii="Tahoma" w:hAnsi="Tahoma"/>
                <w:color w:val="000000" w:themeColor="text1"/>
                <w:sz w:val="16"/>
                <w:lang w:val="en-GB"/>
              </w:rPr>
            </w:pPr>
            <w:r w:rsidRPr="0058677E">
              <w:rPr>
                <w:rFonts w:ascii="Tahoma" w:hAnsi="Tahoma"/>
                <w:color w:val="000000" w:themeColor="text1"/>
                <w:sz w:val="16"/>
                <w:lang w:val="en-GB"/>
              </w:rPr>
              <w:t>13</w:t>
            </w:r>
          </w:p>
        </w:tc>
        <w:tc>
          <w:tcPr>
            <w:tcW w:w="1134" w:type="dxa"/>
            <w:tcBorders>
              <w:top w:val="single" w:sz="4" w:space="0" w:color="auto"/>
              <w:right w:val="single" w:sz="4" w:space="0" w:color="auto"/>
            </w:tcBorders>
            <w:shd w:val="clear" w:color="auto" w:fill="auto"/>
            <w:tcMar>
              <w:top w:w="57" w:type="dxa"/>
              <w:left w:w="0" w:type="dxa"/>
              <w:bottom w:w="57" w:type="dxa"/>
              <w:right w:w="0" w:type="dxa"/>
            </w:tcMar>
            <w:vAlign w:val="bottom"/>
          </w:tcPr>
          <w:p w14:paraId="5F1CC66B" w14:textId="77777777" w:rsidR="0058677E" w:rsidRPr="0058677E" w:rsidRDefault="0058677E" w:rsidP="009D0121">
            <w:pPr>
              <w:ind w:right="113"/>
              <w:contextualSpacing/>
              <w:jc w:val="right"/>
              <w:rPr>
                <w:rFonts w:ascii="Tahoma" w:hAnsi="Tahoma"/>
                <w:color w:val="000000" w:themeColor="text1"/>
                <w:sz w:val="16"/>
                <w:lang w:val="en-GB"/>
              </w:rPr>
            </w:pPr>
            <w:r w:rsidRPr="0058677E">
              <w:rPr>
                <w:rFonts w:ascii="Tahoma" w:hAnsi="Tahoma"/>
                <w:color w:val="000000" w:themeColor="text1"/>
                <w:sz w:val="16"/>
                <w:lang w:val="en-GB"/>
              </w:rPr>
              <w:t>34</w:t>
            </w:r>
          </w:p>
        </w:tc>
      </w:tr>
      <w:tr w:rsidR="00615190" w:rsidRPr="0058677E" w14:paraId="38B9A66E" w14:textId="77777777" w:rsidTr="00FF77A5">
        <w:trPr>
          <w:trHeight w:val="60"/>
        </w:trPr>
        <w:tc>
          <w:tcPr>
            <w:tcW w:w="397" w:type="dxa"/>
            <w:shd w:val="clear" w:color="auto" w:fill="auto"/>
            <w:tcMar>
              <w:top w:w="57" w:type="dxa"/>
              <w:left w:w="0" w:type="dxa"/>
              <w:bottom w:w="57" w:type="dxa"/>
              <w:right w:w="0" w:type="dxa"/>
            </w:tcMar>
            <w:vAlign w:val="bottom"/>
          </w:tcPr>
          <w:p w14:paraId="68FC8DFA" w14:textId="77777777" w:rsidR="0058677E" w:rsidRPr="0058677E" w:rsidRDefault="0058677E" w:rsidP="00ED4EC2">
            <w:pPr>
              <w:contextualSpacing/>
              <w:rPr>
                <w:rFonts w:ascii="Tahoma" w:hAnsi="Tahoma"/>
                <w:color w:val="000000" w:themeColor="text1"/>
                <w:sz w:val="16"/>
                <w:lang w:val="en-GB"/>
              </w:rPr>
            </w:pPr>
          </w:p>
        </w:tc>
        <w:tc>
          <w:tcPr>
            <w:tcW w:w="6407" w:type="dxa"/>
            <w:tcBorders>
              <w:right w:val="single" w:sz="4" w:space="0" w:color="auto"/>
            </w:tcBorders>
            <w:shd w:val="clear" w:color="auto" w:fill="auto"/>
            <w:tcMar>
              <w:top w:w="57" w:type="dxa"/>
              <w:left w:w="113" w:type="dxa"/>
              <w:bottom w:w="57" w:type="dxa"/>
              <w:right w:w="0" w:type="dxa"/>
            </w:tcMar>
            <w:vAlign w:val="bottom"/>
          </w:tcPr>
          <w:p w14:paraId="3BDFAEF9" w14:textId="77777777" w:rsidR="0058677E" w:rsidRPr="0058677E" w:rsidRDefault="0058677E" w:rsidP="00ED4EC2">
            <w:pPr>
              <w:contextualSpacing/>
              <w:rPr>
                <w:rFonts w:ascii="Tahoma" w:hAnsi="Tahoma"/>
                <w:color w:val="000000" w:themeColor="text1"/>
                <w:sz w:val="16"/>
                <w:lang w:val="en-GB"/>
              </w:rPr>
            </w:pPr>
            <w:r w:rsidRPr="0058677E">
              <w:rPr>
                <w:rFonts w:ascii="Tahoma" w:hAnsi="Tahoma"/>
                <w:color w:val="000000" w:themeColor="text1"/>
                <w:sz w:val="16"/>
                <w:lang w:val="en-GB"/>
              </w:rPr>
              <w:t>Impairment of goodwill and other intangible assets</w:t>
            </w:r>
          </w:p>
        </w:tc>
        <w:tc>
          <w:tcPr>
            <w:tcW w:w="1134" w:type="dxa"/>
            <w:tcBorders>
              <w:left w:val="single" w:sz="4" w:space="0" w:color="auto"/>
            </w:tcBorders>
            <w:shd w:val="clear" w:color="auto" w:fill="auto"/>
            <w:tcMar>
              <w:top w:w="57" w:type="dxa"/>
              <w:left w:w="0" w:type="dxa"/>
              <w:bottom w:w="57" w:type="dxa"/>
              <w:right w:w="0" w:type="dxa"/>
            </w:tcMar>
            <w:vAlign w:val="bottom"/>
          </w:tcPr>
          <w:p w14:paraId="0F4869AA" w14:textId="77777777" w:rsidR="0058677E" w:rsidRPr="0058677E" w:rsidRDefault="0058677E" w:rsidP="00ED4EC2">
            <w:pPr>
              <w:contextualSpacing/>
              <w:jc w:val="right"/>
              <w:rPr>
                <w:rFonts w:ascii="Tahoma" w:hAnsi="Tahoma"/>
                <w:b/>
                <w:bCs/>
                <w:color w:val="000000" w:themeColor="text1"/>
                <w:sz w:val="16"/>
                <w:lang w:val="en-GB"/>
              </w:rPr>
            </w:pPr>
            <w:r w:rsidRPr="0058677E">
              <w:rPr>
                <w:rFonts w:ascii="Tahoma" w:hAnsi="Tahoma"/>
                <w:b/>
                <w:bCs/>
                <w:color w:val="000000" w:themeColor="text1"/>
                <w:sz w:val="16"/>
                <w:lang w:val="en-GB"/>
              </w:rPr>
              <w:t>(15)</w:t>
            </w:r>
          </w:p>
        </w:tc>
        <w:tc>
          <w:tcPr>
            <w:tcW w:w="1134" w:type="dxa"/>
            <w:shd w:val="clear" w:color="auto" w:fill="auto"/>
            <w:tcMar>
              <w:top w:w="57" w:type="dxa"/>
              <w:left w:w="0" w:type="dxa"/>
              <w:bottom w:w="57" w:type="dxa"/>
              <w:right w:w="0" w:type="dxa"/>
            </w:tcMar>
            <w:vAlign w:val="bottom"/>
          </w:tcPr>
          <w:p w14:paraId="680A651D" w14:textId="77777777" w:rsidR="0058677E" w:rsidRPr="0058677E" w:rsidRDefault="0058677E" w:rsidP="00ED4EC2">
            <w:pPr>
              <w:contextualSpacing/>
              <w:jc w:val="right"/>
              <w:rPr>
                <w:rFonts w:ascii="Tahoma" w:hAnsi="Tahoma"/>
                <w:color w:val="000000" w:themeColor="text1"/>
                <w:sz w:val="16"/>
                <w:lang w:val="en-GB"/>
              </w:rPr>
            </w:pPr>
            <w:r w:rsidRPr="0058677E">
              <w:rPr>
                <w:rFonts w:ascii="Tahoma" w:hAnsi="Tahoma"/>
                <w:color w:val="000000" w:themeColor="text1"/>
                <w:sz w:val="16"/>
                <w:lang w:val="en-GB"/>
              </w:rPr>
              <w:t>—</w:t>
            </w:r>
          </w:p>
        </w:tc>
        <w:tc>
          <w:tcPr>
            <w:tcW w:w="1134" w:type="dxa"/>
            <w:tcBorders>
              <w:right w:val="single" w:sz="4" w:space="0" w:color="auto"/>
            </w:tcBorders>
            <w:shd w:val="clear" w:color="auto" w:fill="auto"/>
            <w:tcMar>
              <w:top w:w="57" w:type="dxa"/>
              <w:left w:w="0" w:type="dxa"/>
              <w:bottom w:w="57" w:type="dxa"/>
              <w:right w:w="0" w:type="dxa"/>
            </w:tcMar>
            <w:vAlign w:val="bottom"/>
          </w:tcPr>
          <w:p w14:paraId="71D5F8E0" w14:textId="77777777" w:rsidR="0058677E" w:rsidRPr="0058677E" w:rsidRDefault="0058677E" w:rsidP="009D0121">
            <w:pPr>
              <w:ind w:right="113"/>
              <w:contextualSpacing/>
              <w:jc w:val="right"/>
              <w:rPr>
                <w:rFonts w:ascii="Tahoma" w:hAnsi="Tahoma"/>
                <w:color w:val="000000" w:themeColor="text1"/>
                <w:sz w:val="16"/>
                <w:lang w:val="en-GB"/>
              </w:rPr>
            </w:pPr>
            <w:r w:rsidRPr="0058677E">
              <w:rPr>
                <w:rFonts w:ascii="Tahoma" w:hAnsi="Tahoma"/>
                <w:color w:val="000000" w:themeColor="text1"/>
                <w:sz w:val="16"/>
                <w:lang w:val="en-GB"/>
              </w:rPr>
              <w:t>(246)</w:t>
            </w:r>
          </w:p>
        </w:tc>
      </w:tr>
      <w:tr w:rsidR="00615190" w:rsidRPr="0058677E" w14:paraId="309F9432" w14:textId="77777777" w:rsidTr="00FF77A5">
        <w:trPr>
          <w:trHeight w:val="60"/>
        </w:trPr>
        <w:tc>
          <w:tcPr>
            <w:tcW w:w="397" w:type="dxa"/>
            <w:shd w:val="clear" w:color="auto" w:fill="auto"/>
            <w:tcMar>
              <w:top w:w="57" w:type="dxa"/>
              <w:left w:w="0" w:type="dxa"/>
              <w:bottom w:w="57" w:type="dxa"/>
              <w:right w:w="0" w:type="dxa"/>
            </w:tcMar>
            <w:vAlign w:val="bottom"/>
          </w:tcPr>
          <w:p w14:paraId="4532A9F2" w14:textId="77777777" w:rsidR="0058677E" w:rsidRPr="0058677E" w:rsidRDefault="0058677E" w:rsidP="00ED4EC2">
            <w:pPr>
              <w:contextualSpacing/>
              <w:rPr>
                <w:rFonts w:ascii="Tahoma" w:hAnsi="Tahoma"/>
                <w:color w:val="000000" w:themeColor="text1"/>
                <w:sz w:val="16"/>
                <w:lang w:val="en-GB"/>
              </w:rPr>
            </w:pPr>
          </w:p>
        </w:tc>
        <w:tc>
          <w:tcPr>
            <w:tcW w:w="6407" w:type="dxa"/>
            <w:tcBorders>
              <w:right w:val="single" w:sz="4" w:space="0" w:color="auto"/>
            </w:tcBorders>
            <w:shd w:val="clear" w:color="auto" w:fill="auto"/>
            <w:tcMar>
              <w:top w:w="57" w:type="dxa"/>
              <w:left w:w="113" w:type="dxa"/>
              <w:bottom w:w="57" w:type="dxa"/>
              <w:right w:w="0" w:type="dxa"/>
            </w:tcMar>
            <w:vAlign w:val="bottom"/>
          </w:tcPr>
          <w:p w14:paraId="43AE768A" w14:textId="77777777" w:rsidR="0058677E" w:rsidRPr="0058677E" w:rsidRDefault="0058677E" w:rsidP="00ED4EC2">
            <w:pPr>
              <w:contextualSpacing/>
              <w:rPr>
                <w:rFonts w:ascii="Tahoma" w:hAnsi="Tahoma"/>
                <w:color w:val="000000" w:themeColor="text1"/>
                <w:sz w:val="16"/>
                <w:lang w:val="en-GB"/>
              </w:rPr>
            </w:pPr>
            <w:r w:rsidRPr="0058677E">
              <w:rPr>
                <w:rFonts w:ascii="Tahoma" w:hAnsi="Tahoma"/>
                <w:color w:val="000000" w:themeColor="text1"/>
                <w:sz w:val="16"/>
                <w:lang w:val="en-GB"/>
              </w:rPr>
              <w:t>Dividends received on investments</w:t>
            </w:r>
          </w:p>
        </w:tc>
        <w:tc>
          <w:tcPr>
            <w:tcW w:w="1134" w:type="dxa"/>
            <w:tcBorders>
              <w:left w:val="single" w:sz="4" w:space="0" w:color="auto"/>
            </w:tcBorders>
            <w:shd w:val="clear" w:color="auto" w:fill="auto"/>
            <w:tcMar>
              <w:top w:w="57" w:type="dxa"/>
              <w:left w:w="0" w:type="dxa"/>
              <w:bottom w:w="57" w:type="dxa"/>
              <w:right w:w="0" w:type="dxa"/>
            </w:tcMar>
            <w:vAlign w:val="bottom"/>
          </w:tcPr>
          <w:p w14:paraId="17066CDE" w14:textId="77777777" w:rsidR="0058677E" w:rsidRPr="0058677E" w:rsidRDefault="0058677E" w:rsidP="00ED4EC2">
            <w:pPr>
              <w:contextualSpacing/>
              <w:jc w:val="right"/>
              <w:rPr>
                <w:rFonts w:ascii="Tahoma" w:hAnsi="Tahoma"/>
                <w:b/>
                <w:bCs/>
                <w:color w:val="000000" w:themeColor="text1"/>
                <w:sz w:val="16"/>
                <w:lang w:val="en-GB"/>
              </w:rPr>
            </w:pPr>
            <w:r w:rsidRPr="0058677E">
              <w:rPr>
                <w:rFonts w:ascii="Tahoma" w:hAnsi="Tahoma"/>
                <w:b/>
                <w:bCs/>
                <w:color w:val="000000" w:themeColor="text1"/>
                <w:sz w:val="16"/>
                <w:lang w:val="en-GB"/>
              </w:rPr>
              <w:t>—</w:t>
            </w:r>
          </w:p>
        </w:tc>
        <w:tc>
          <w:tcPr>
            <w:tcW w:w="1134" w:type="dxa"/>
            <w:shd w:val="clear" w:color="auto" w:fill="auto"/>
            <w:tcMar>
              <w:top w:w="57" w:type="dxa"/>
              <w:left w:w="0" w:type="dxa"/>
              <w:bottom w:w="57" w:type="dxa"/>
              <w:right w:w="0" w:type="dxa"/>
            </w:tcMar>
            <w:vAlign w:val="bottom"/>
          </w:tcPr>
          <w:p w14:paraId="6C8B473A" w14:textId="77777777" w:rsidR="0058677E" w:rsidRPr="0058677E" w:rsidRDefault="0058677E" w:rsidP="00ED4EC2">
            <w:pPr>
              <w:contextualSpacing/>
              <w:jc w:val="right"/>
              <w:rPr>
                <w:rFonts w:ascii="Tahoma" w:hAnsi="Tahoma"/>
                <w:color w:val="000000" w:themeColor="text1"/>
                <w:sz w:val="16"/>
                <w:lang w:val="en-GB"/>
              </w:rPr>
            </w:pPr>
            <w:r w:rsidRPr="0058677E">
              <w:rPr>
                <w:rFonts w:ascii="Tahoma" w:hAnsi="Tahoma"/>
                <w:color w:val="000000" w:themeColor="text1"/>
                <w:sz w:val="16"/>
                <w:lang w:val="en-GB"/>
              </w:rPr>
              <w:t>39</w:t>
            </w:r>
          </w:p>
        </w:tc>
        <w:tc>
          <w:tcPr>
            <w:tcW w:w="1134" w:type="dxa"/>
            <w:tcBorders>
              <w:right w:val="single" w:sz="4" w:space="0" w:color="auto"/>
            </w:tcBorders>
            <w:shd w:val="clear" w:color="auto" w:fill="auto"/>
            <w:tcMar>
              <w:top w:w="57" w:type="dxa"/>
              <w:left w:w="0" w:type="dxa"/>
              <w:bottom w:w="57" w:type="dxa"/>
              <w:right w:w="0" w:type="dxa"/>
            </w:tcMar>
            <w:vAlign w:val="bottom"/>
          </w:tcPr>
          <w:p w14:paraId="36388052" w14:textId="77777777" w:rsidR="0058677E" w:rsidRPr="0058677E" w:rsidRDefault="0058677E" w:rsidP="009D0121">
            <w:pPr>
              <w:ind w:right="113"/>
              <w:contextualSpacing/>
              <w:jc w:val="right"/>
              <w:rPr>
                <w:rFonts w:ascii="Tahoma" w:hAnsi="Tahoma"/>
                <w:color w:val="000000" w:themeColor="text1"/>
                <w:sz w:val="16"/>
                <w:lang w:val="en-GB"/>
              </w:rPr>
            </w:pPr>
            <w:r w:rsidRPr="0058677E">
              <w:rPr>
                <w:rFonts w:ascii="Tahoma" w:hAnsi="Tahoma"/>
                <w:color w:val="000000" w:themeColor="text1"/>
                <w:sz w:val="16"/>
                <w:lang w:val="en-GB"/>
              </w:rPr>
              <w:t>45</w:t>
            </w:r>
          </w:p>
        </w:tc>
      </w:tr>
      <w:tr w:rsidR="00615190" w:rsidRPr="0058677E" w14:paraId="679B835A" w14:textId="77777777" w:rsidTr="00FF77A5">
        <w:trPr>
          <w:trHeight w:val="60"/>
        </w:trPr>
        <w:tc>
          <w:tcPr>
            <w:tcW w:w="397" w:type="dxa"/>
            <w:shd w:val="clear" w:color="auto" w:fill="auto"/>
            <w:tcMar>
              <w:top w:w="57" w:type="dxa"/>
              <w:left w:w="0" w:type="dxa"/>
              <w:bottom w:w="57" w:type="dxa"/>
              <w:right w:w="0" w:type="dxa"/>
            </w:tcMar>
            <w:vAlign w:val="bottom"/>
          </w:tcPr>
          <w:p w14:paraId="750503CC" w14:textId="77777777" w:rsidR="0058677E" w:rsidRPr="0058677E" w:rsidRDefault="0058677E" w:rsidP="00ED4EC2">
            <w:pPr>
              <w:contextualSpacing/>
              <w:rPr>
                <w:rFonts w:ascii="Tahoma" w:hAnsi="Tahoma"/>
                <w:color w:val="000000" w:themeColor="text1"/>
                <w:sz w:val="16"/>
                <w:lang w:val="en-GB"/>
              </w:rPr>
            </w:pPr>
          </w:p>
        </w:tc>
        <w:tc>
          <w:tcPr>
            <w:tcW w:w="6407" w:type="dxa"/>
            <w:tcBorders>
              <w:right w:val="single" w:sz="4" w:space="0" w:color="auto"/>
            </w:tcBorders>
            <w:shd w:val="clear" w:color="auto" w:fill="auto"/>
            <w:tcMar>
              <w:top w:w="57" w:type="dxa"/>
              <w:left w:w="113" w:type="dxa"/>
              <w:bottom w:w="57" w:type="dxa"/>
              <w:right w:w="0" w:type="dxa"/>
            </w:tcMar>
            <w:vAlign w:val="bottom"/>
          </w:tcPr>
          <w:p w14:paraId="5C6FADCE" w14:textId="77777777" w:rsidR="0058677E" w:rsidRPr="0058677E" w:rsidRDefault="0058677E" w:rsidP="00ED4EC2">
            <w:pPr>
              <w:contextualSpacing/>
              <w:rPr>
                <w:rFonts w:ascii="Tahoma" w:hAnsi="Tahoma"/>
                <w:color w:val="000000" w:themeColor="text1"/>
                <w:sz w:val="16"/>
                <w:lang w:val="en-GB"/>
              </w:rPr>
            </w:pPr>
            <w:r w:rsidRPr="0058677E">
              <w:rPr>
                <w:rFonts w:ascii="Tahoma" w:hAnsi="Tahoma"/>
                <w:color w:val="000000" w:themeColor="text1"/>
                <w:sz w:val="16"/>
                <w:lang w:val="en-GB"/>
              </w:rPr>
              <w:t>Fair-value adjustments on financial instruments</w:t>
            </w:r>
          </w:p>
        </w:tc>
        <w:tc>
          <w:tcPr>
            <w:tcW w:w="1134" w:type="dxa"/>
            <w:tcBorders>
              <w:left w:val="single" w:sz="4" w:space="0" w:color="auto"/>
            </w:tcBorders>
            <w:shd w:val="clear" w:color="auto" w:fill="auto"/>
            <w:tcMar>
              <w:top w:w="57" w:type="dxa"/>
              <w:left w:w="0" w:type="dxa"/>
              <w:bottom w:w="57" w:type="dxa"/>
              <w:right w:w="0" w:type="dxa"/>
            </w:tcMar>
            <w:vAlign w:val="bottom"/>
          </w:tcPr>
          <w:p w14:paraId="436BAC0D" w14:textId="77777777" w:rsidR="0058677E" w:rsidRPr="0058677E" w:rsidRDefault="0058677E" w:rsidP="00ED4EC2">
            <w:pPr>
              <w:contextualSpacing/>
              <w:jc w:val="right"/>
              <w:rPr>
                <w:rFonts w:ascii="Tahoma" w:hAnsi="Tahoma"/>
                <w:b/>
                <w:bCs/>
                <w:color w:val="000000" w:themeColor="text1"/>
                <w:sz w:val="16"/>
                <w:lang w:val="en-GB"/>
              </w:rPr>
            </w:pPr>
            <w:r w:rsidRPr="0058677E">
              <w:rPr>
                <w:rFonts w:ascii="Tahoma" w:hAnsi="Tahoma"/>
                <w:b/>
                <w:bCs/>
                <w:color w:val="000000" w:themeColor="text1"/>
                <w:sz w:val="16"/>
                <w:lang w:val="en-GB"/>
              </w:rPr>
              <w:t>—</w:t>
            </w:r>
          </w:p>
        </w:tc>
        <w:tc>
          <w:tcPr>
            <w:tcW w:w="1134" w:type="dxa"/>
            <w:shd w:val="clear" w:color="auto" w:fill="auto"/>
            <w:tcMar>
              <w:top w:w="57" w:type="dxa"/>
              <w:left w:w="0" w:type="dxa"/>
              <w:bottom w:w="57" w:type="dxa"/>
              <w:right w:w="0" w:type="dxa"/>
            </w:tcMar>
            <w:vAlign w:val="bottom"/>
          </w:tcPr>
          <w:p w14:paraId="14B43E00" w14:textId="77777777" w:rsidR="0058677E" w:rsidRPr="0058677E" w:rsidRDefault="0058677E" w:rsidP="00ED4EC2">
            <w:pPr>
              <w:contextualSpacing/>
              <w:jc w:val="right"/>
              <w:rPr>
                <w:rFonts w:ascii="Tahoma" w:hAnsi="Tahoma"/>
                <w:color w:val="000000" w:themeColor="text1"/>
                <w:sz w:val="16"/>
                <w:lang w:val="en-GB"/>
              </w:rPr>
            </w:pPr>
            <w:r w:rsidRPr="0058677E">
              <w:rPr>
                <w:rFonts w:ascii="Tahoma" w:hAnsi="Tahoma"/>
                <w:color w:val="000000" w:themeColor="text1"/>
                <w:sz w:val="16"/>
                <w:lang w:val="en-GB"/>
              </w:rPr>
              <w:t>5</w:t>
            </w:r>
          </w:p>
        </w:tc>
        <w:tc>
          <w:tcPr>
            <w:tcW w:w="1134" w:type="dxa"/>
            <w:tcBorders>
              <w:right w:val="single" w:sz="4" w:space="0" w:color="auto"/>
            </w:tcBorders>
            <w:shd w:val="clear" w:color="auto" w:fill="auto"/>
            <w:tcMar>
              <w:top w:w="57" w:type="dxa"/>
              <w:left w:w="0" w:type="dxa"/>
              <w:bottom w:w="57" w:type="dxa"/>
              <w:right w:w="0" w:type="dxa"/>
            </w:tcMar>
            <w:vAlign w:val="bottom"/>
          </w:tcPr>
          <w:p w14:paraId="61BB4038" w14:textId="77777777" w:rsidR="0058677E" w:rsidRPr="0058677E" w:rsidRDefault="0058677E" w:rsidP="009D0121">
            <w:pPr>
              <w:ind w:right="113"/>
              <w:contextualSpacing/>
              <w:jc w:val="right"/>
              <w:rPr>
                <w:rFonts w:ascii="Tahoma" w:hAnsi="Tahoma"/>
                <w:color w:val="000000" w:themeColor="text1"/>
                <w:sz w:val="16"/>
                <w:lang w:val="en-GB"/>
              </w:rPr>
            </w:pPr>
            <w:r w:rsidRPr="0058677E">
              <w:rPr>
                <w:rFonts w:ascii="Tahoma" w:hAnsi="Tahoma"/>
                <w:color w:val="000000" w:themeColor="text1"/>
                <w:sz w:val="16"/>
                <w:lang w:val="en-GB"/>
              </w:rPr>
              <w:t>—</w:t>
            </w:r>
          </w:p>
        </w:tc>
      </w:tr>
      <w:tr w:rsidR="00615190" w:rsidRPr="0058677E" w14:paraId="4F8B557E" w14:textId="77777777" w:rsidTr="00FF77A5">
        <w:trPr>
          <w:trHeight w:val="60"/>
        </w:trPr>
        <w:tc>
          <w:tcPr>
            <w:tcW w:w="397" w:type="dxa"/>
            <w:shd w:val="clear" w:color="auto" w:fill="auto"/>
            <w:tcMar>
              <w:top w:w="57" w:type="dxa"/>
              <w:left w:w="0" w:type="dxa"/>
              <w:bottom w:w="57" w:type="dxa"/>
              <w:right w:w="0" w:type="dxa"/>
            </w:tcMar>
            <w:vAlign w:val="bottom"/>
          </w:tcPr>
          <w:p w14:paraId="540AF9D2" w14:textId="77777777" w:rsidR="0058677E" w:rsidRPr="0058677E" w:rsidRDefault="0058677E" w:rsidP="00ED4EC2">
            <w:pPr>
              <w:contextualSpacing/>
              <w:rPr>
                <w:rFonts w:ascii="Tahoma" w:hAnsi="Tahoma"/>
                <w:color w:val="000000" w:themeColor="text1"/>
                <w:sz w:val="16"/>
                <w:lang w:val="en-GB"/>
              </w:rPr>
            </w:pPr>
          </w:p>
        </w:tc>
        <w:tc>
          <w:tcPr>
            <w:tcW w:w="6407" w:type="dxa"/>
            <w:tcBorders>
              <w:right w:val="single" w:sz="4" w:space="0" w:color="auto"/>
            </w:tcBorders>
            <w:shd w:val="clear" w:color="auto" w:fill="auto"/>
            <w:tcMar>
              <w:top w:w="57" w:type="dxa"/>
              <w:left w:w="113" w:type="dxa"/>
              <w:bottom w:w="57" w:type="dxa"/>
              <w:right w:w="0" w:type="dxa"/>
            </w:tcMar>
            <w:vAlign w:val="bottom"/>
          </w:tcPr>
          <w:p w14:paraId="441EDD3B" w14:textId="77777777" w:rsidR="0058677E" w:rsidRPr="0058677E" w:rsidRDefault="0058677E" w:rsidP="00ED4EC2">
            <w:pPr>
              <w:contextualSpacing/>
              <w:rPr>
                <w:rFonts w:ascii="Tahoma" w:hAnsi="Tahoma"/>
                <w:color w:val="000000" w:themeColor="text1"/>
                <w:sz w:val="16"/>
                <w:lang w:val="en-GB"/>
              </w:rPr>
            </w:pPr>
            <w:r w:rsidRPr="0058677E">
              <w:rPr>
                <w:rFonts w:ascii="Tahoma" w:hAnsi="Tahoma"/>
                <w:color w:val="000000" w:themeColor="text1"/>
                <w:sz w:val="16"/>
                <w:lang w:val="en-GB"/>
              </w:rPr>
              <w:t>Other</w:t>
            </w:r>
          </w:p>
        </w:tc>
        <w:tc>
          <w:tcPr>
            <w:tcW w:w="1134" w:type="dxa"/>
            <w:tcBorders>
              <w:left w:val="single" w:sz="4" w:space="0" w:color="auto"/>
              <w:bottom w:val="single" w:sz="4" w:space="0" w:color="auto"/>
            </w:tcBorders>
            <w:shd w:val="clear" w:color="auto" w:fill="auto"/>
            <w:tcMar>
              <w:top w:w="57" w:type="dxa"/>
              <w:left w:w="0" w:type="dxa"/>
              <w:bottom w:w="57" w:type="dxa"/>
              <w:right w:w="0" w:type="dxa"/>
            </w:tcMar>
            <w:vAlign w:val="bottom"/>
          </w:tcPr>
          <w:p w14:paraId="6F1A0882" w14:textId="77777777" w:rsidR="0058677E" w:rsidRPr="0058677E" w:rsidRDefault="0058677E" w:rsidP="00ED4EC2">
            <w:pPr>
              <w:contextualSpacing/>
              <w:jc w:val="right"/>
              <w:rPr>
                <w:rFonts w:ascii="Tahoma" w:hAnsi="Tahoma"/>
                <w:b/>
                <w:bCs/>
                <w:color w:val="000000" w:themeColor="text1"/>
                <w:sz w:val="16"/>
                <w:lang w:val="en-GB"/>
              </w:rPr>
            </w:pPr>
            <w:r w:rsidRPr="0058677E">
              <w:rPr>
                <w:rFonts w:ascii="Tahoma" w:hAnsi="Tahoma"/>
                <w:b/>
                <w:bCs/>
                <w:color w:val="000000" w:themeColor="text1"/>
                <w:sz w:val="16"/>
                <w:lang w:val="en-GB"/>
              </w:rPr>
              <w:t>(1)</w:t>
            </w:r>
          </w:p>
        </w:tc>
        <w:tc>
          <w:tcPr>
            <w:tcW w:w="1134" w:type="dxa"/>
            <w:tcBorders>
              <w:bottom w:val="single" w:sz="4" w:space="0" w:color="auto"/>
            </w:tcBorders>
            <w:shd w:val="clear" w:color="auto" w:fill="auto"/>
            <w:tcMar>
              <w:top w:w="57" w:type="dxa"/>
              <w:left w:w="0" w:type="dxa"/>
              <w:bottom w:w="57" w:type="dxa"/>
              <w:right w:w="0" w:type="dxa"/>
            </w:tcMar>
            <w:vAlign w:val="bottom"/>
          </w:tcPr>
          <w:p w14:paraId="54C54887" w14:textId="77777777" w:rsidR="0058677E" w:rsidRPr="0058677E" w:rsidRDefault="0058677E" w:rsidP="00ED4EC2">
            <w:pPr>
              <w:contextualSpacing/>
              <w:jc w:val="right"/>
              <w:rPr>
                <w:rFonts w:ascii="Tahoma" w:hAnsi="Tahoma"/>
                <w:color w:val="000000" w:themeColor="text1"/>
                <w:sz w:val="16"/>
                <w:lang w:val="en-GB"/>
              </w:rPr>
            </w:pPr>
            <w:r w:rsidRPr="0058677E">
              <w:rPr>
                <w:rFonts w:ascii="Tahoma" w:hAnsi="Tahoma"/>
                <w:color w:val="000000" w:themeColor="text1"/>
                <w:sz w:val="16"/>
                <w:lang w:val="en-GB"/>
              </w:rPr>
              <w:t>(1)</w:t>
            </w:r>
          </w:p>
        </w:tc>
        <w:tc>
          <w:tcPr>
            <w:tcW w:w="1134" w:type="dxa"/>
            <w:tcBorders>
              <w:bottom w:val="single" w:sz="4" w:space="0" w:color="auto"/>
              <w:right w:val="single" w:sz="4" w:space="0" w:color="auto"/>
            </w:tcBorders>
            <w:shd w:val="clear" w:color="auto" w:fill="auto"/>
            <w:tcMar>
              <w:top w:w="57" w:type="dxa"/>
              <w:left w:w="0" w:type="dxa"/>
              <w:bottom w:w="57" w:type="dxa"/>
              <w:right w:w="0" w:type="dxa"/>
            </w:tcMar>
            <w:vAlign w:val="bottom"/>
          </w:tcPr>
          <w:p w14:paraId="2F7C5310" w14:textId="77777777" w:rsidR="0058677E" w:rsidRPr="0058677E" w:rsidRDefault="0058677E" w:rsidP="009D0121">
            <w:pPr>
              <w:ind w:right="113"/>
              <w:contextualSpacing/>
              <w:jc w:val="right"/>
              <w:rPr>
                <w:rFonts w:ascii="Tahoma" w:hAnsi="Tahoma"/>
                <w:color w:val="000000" w:themeColor="text1"/>
                <w:sz w:val="16"/>
                <w:lang w:val="en-GB"/>
              </w:rPr>
            </w:pPr>
            <w:r w:rsidRPr="0058677E">
              <w:rPr>
                <w:rFonts w:ascii="Tahoma" w:hAnsi="Tahoma"/>
                <w:color w:val="000000" w:themeColor="text1"/>
                <w:sz w:val="16"/>
                <w:lang w:val="en-GB"/>
              </w:rPr>
              <w:t>(2)</w:t>
            </w:r>
          </w:p>
        </w:tc>
      </w:tr>
      <w:tr w:rsidR="00615190" w:rsidRPr="0058677E" w14:paraId="030ADB30" w14:textId="77777777" w:rsidTr="00F24A97">
        <w:trPr>
          <w:trHeight w:val="60"/>
        </w:trPr>
        <w:tc>
          <w:tcPr>
            <w:tcW w:w="397" w:type="dxa"/>
            <w:shd w:val="clear" w:color="auto" w:fill="auto"/>
            <w:tcMar>
              <w:top w:w="57" w:type="dxa"/>
              <w:left w:w="0" w:type="dxa"/>
              <w:bottom w:w="57" w:type="dxa"/>
              <w:right w:w="0" w:type="dxa"/>
            </w:tcMar>
            <w:vAlign w:val="bottom"/>
          </w:tcPr>
          <w:p w14:paraId="2F5BA3F5" w14:textId="77777777" w:rsidR="0058677E" w:rsidRPr="0058677E" w:rsidRDefault="0058677E" w:rsidP="00ED4EC2">
            <w:pPr>
              <w:contextualSpacing/>
              <w:rPr>
                <w:rFonts w:ascii="Tahoma" w:hAnsi="Tahoma"/>
                <w:color w:val="000000" w:themeColor="text1"/>
                <w:sz w:val="16"/>
                <w:lang w:val="en-GB"/>
              </w:rPr>
            </w:pPr>
          </w:p>
        </w:tc>
        <w:tc>
          <w:tcPr>
            <w:tcW w:w="6407" w:type="dxa"/>
            <w:shd w:val="clear" w:color="auto" w:fill="auto"/>
            <w:tcMar>
              <w:top w:w="57" w:type="dxa"/>
              <w:left w:w="0" w:type="dxa"/>
              <w:bottom w:w="57" w:type="dxa"/>
              <w:right w:w="0" w:type="dxa"/>
            </w:tcMar>
            <w:vAlign w:val="bottom"/>
          </w:tcPr>
          <w:p w14:paraId="69ADB808" w14:textId="77777777" w:rsidR="0058677E" w:rsidRPr="0058677E" w:rsidRDefault="0058677E" w:rsidP="00ED4EC2">
            <w:pPr>
              <w:contextualSpacing/>
              <w:rPr>
                <w:rFonts w:ascii="Tahoma" w:hAnsi="Tahoma"/>
                <w:b/>
                <w:bCs/>
                <w:color w:val="000000" w:themeColor="text1"/>
                <w:sz w:val="16"/>
                <w:lang w:val="en-GB"/>
              </w:rPr>
            </w:pPr>
            <w:r w:rsidRPr="0058677E">
              <w:rPr>
                <w:rFonts w:ascii="Tahoma" w:hAnsi="Tahoma"/>
                <w:b/>
                <w:bCs/>
                <w:color w:val="000000" w:themeColor="text1"/>
                <w:sz w:val="16"/>
                <w:lang w:val="en-GB"/>
              </w:rPr>
              <w:t>Net gains/(losses) on acquisitions and disposals</w:t>
            </w:r>
          </w:p>
        </w:tc>
        <w:tc>
          <w:tcPr>
            <w:tcW w:w="1134" w:type="dxa"/>
            <w:tcBorders>
              <w:top w:val="single" w:sz="4" w:space="0" w:color="auto"/>
              <w:bottom w:val="single" w:sz="4" w:space="0" w:color="auto"/>
            </w:tcBorders>
            <w:shd w:val="clear" w:color="auto" w:fill="auto"/>
            <w:tcMar>
              <w:top w:w="57" w:type="dxa"/>
              <w:left w:w="0" w:type="dxa"/>
              <w:bottom w:w="57" w:type="dxa"/>
              <w:right w:w="0" w:type="dxa"/>
            </w:tcMar>
            <w:vAlign w:val="bottom"/>
          </w:tcPr>
          <w:p w14:paraId="4879F66E" w14:textId="77777777" w:rsidR="0058677E" w:rsidRPr="0058677E" w:rsidRDefault="0058677E" w:rsidP="00ED4EC2">
            <w:pPr>
              <w:contextualSpacing/>
              <w:jc w:val="right"/>
              <w:rPr>
                <w:rFonts w:ascii="Tahoma" w:hAnsi="Tahoma"/>
                <w:b/>
                <w:bCs/>
                <w:color w:val="000000" w:themeColor="text1"/>
                <w:sz w:val="16"/>
                <w:lang w:val="en-GB"/>
              </w:rPr>
            </w:pPr>
            <w:r w:rsidRPr="0058677E">
              <w:rPr>
                <w:rFonts w:ascii="Tahoma" w:hAnsi="Tahoma"/>
                <w:b/>
                <w:bCs/>
                <w:color w:val="000000" w:themeColor="text1"/>
                <w:sz w:val="16"/>
                <w:lang w:val="en-GB"/>
              </w:rPr>
              <w:t>136</w:t>
            </w:r>
          </w:p>
        </w:tc>
        <w:tc>
          <w:tcPr>
            <w:tcW w:w="1134" w:type="dxa"/>
            <w:tcBorders>
              <w:top w:val="single" w:sz="4" w:space="0" w:color="auto"/>
              <w:bottom w:val="single" w:sz="4" w:space="0" w:color="auto"/>
            </w:tcBorders>
            <w:shd w:val="clear" w:color="auto" w:fill="auto"/>
            <w:tcMar>
              <w:top w:w="57" w:type="dxa"/>
              <w:left w:w="0" w:type="dxa"/>
              <w:bottom w:w="57" w:type="dxa"/>
              <w:right w:w="0" w:type="dxa"/>
            </w:tcMar>
            <w:vAlign w:val="bottom"/>
          </w:tcPr>
          <w:p w14:paraId="09EFA68B" w14:textId="77777777" w:rsidR="0058677E" w:rsidRPr="0058677E" w:rsidRDefault="0058677E" w:rsidP="00ED4EC2">
            <w:pPr>
              <w:contextualSpacing/>
              <w:jc w:val="right"/>
              <w:rPr>
                <w:rFonts w:ascii="Tahoma" w:hAnsi="Tahoma"/>
                <w:color w:val="000000" w:themeColor="text1"/>
                <w:sz w:val="16"/>
                <w:lang w:val="en-GB"/>
              </w:rPr>
            </w:pPr>
            <w:r w:rsidRPr="0058677E">
              <w:rPr>
                <w:rFonts w:ascii="Tahoma" w:hAnsi="Tahoma"/>
                <w:color w:val="000000" w:themeColor="text1"/>
                <w:sz w:val="16"/>
                <w:lang w:val="en-GB"/>
              </w:rPr>
              <w:t>(18)</w:t>
            </w:r>
          </w:p>
        </w:tc>
        <w:tc>
          <w:tcPr>
            <w:tcW w:w="1134" w:type="dxa"/>
            <w:tcBorders>
              <w:top w:val="single" w:sz="4" w:space="0" w:color="auto"/>
              <w:bottom w:val="single" w:sz="4" w:space="0" w:color="auto"/>
            </w:tcBorders>
            <w:shd w:val="clear" w:color="auto" w:fill="auto"/>
            <w:tcMar>
              <w:top w:w="57" w:type="dxa"/>
              <w:left w:w="0" w:type="dxa"/>
              <w:bottom w:w="57" w:type="dxa"/>
              <w:right w:w="0" w:type="dxa"/>
            </w:tcMar>
            <w:vAlign w:val="bottom"/>
          </w:tcPr>
          <w:p w14:paraId="49D4C809" w14:textId="77777777" w:rsidR="0058677E" w:rsidRPr="0058677E" w:rsidRDefault="0058677E" w:rsidP="009D0121">
            <w:pPr>
              <w:ind w:right="113"/>
              <w:contextualSpacing/>
              <w:jc w:val="right"/>
              <w:rPr>
                <w:rFonts w:ascii="Tahoma" w:hAnsi="Tahoma"/>
                <w:color w:val="000000" w:themeColor="text1"/>
                <w:sz w:val="16"/>
                <w:lang w:val="en-GB"/>
              </w:rPr>
            </w:pPr>
            <w:r w:rsidRPr="0058677E">
              <w:rPr>
                <w:rFonts w:ascii="Tahoma" w:hAnsi="Tahoma"/>
                <w:color w:val="000000" w:themeColor="text1"/>
                <w:sz w:val="16"/>
                <w:lang w:val="en-GB"/>
              </w:rPr>
              <w:t>(1 130)</w:t>
            </w:r>
          </w:p>
        </w:tc>
      </w:tr>
      <w:tr w:rsidR="00615190" w:rsidRPr="0058677E" w14:paraId="5F0E1C62" w14:textId="77777777" w:rsidTr="00F24A97">
        <w:trPr>
          <w:trHeight w:val="60"/>
        </w:trPr>
        <w:tc>
          <w:tcPr>
            <w:tcW w:w="397" w:type="dxa"/>
            <w:shd w:val="clear" w:color="auto" w:fill="auto"/>
            <w:tcMar>
              <w:top w:w="57" w:type="dxa"/>
              <w:left w:w="0" w:type="dxa"/>
              <w:bottom w:w="57" w:type="dxa"/>
              <w:right w:w="0" w:type="dxa"/>
            </w:tcMar>
            <w:vAlign w:val="bottom"/>
          </w:tcPr>
          <w:p w14:paraId="528772B7" w14:textId="77777777" w:rsidR="0058677E" w:rsidRPr="0058677E" w:rsidRDefault="0058677E" w:rsidP="00ED4EC2">
            <w:pPr>
              <w:contextualSpacing/>
              <w:rPr>
                <w:rFonts w:ascii="Tahoma" w:hAnsi="Tahoma"/>
                <w:color w:val="000000" w:themeColor="text1"/>
                <w:sz w:val="16"/>
                <w:lang w:val="en-GB"/>
              </w:rPr>
            </w:pPr>
          </w:p>
        </w:tc>
        <w:tc>
          <w:tcPr>
            <w:tcW w:w="6407" w:type="dxa"/>
            <w:tcBorders>
              <w:right w:val="single" w:sz="4" w:space="0" w:color="auto"/>
            </w:tcBorders>
            <w:shd w:val="clear" w:color="auto" w:fill="auto"/>
            <w:tcMar>
              <w:top w:w="57" w:type="dxa"/>
              <w:left w:w="113" w:type="dxa"/>
              <w:bottom w:w="57" w:type="dxa"/>
              <w:right w:w="0" w:type="dxa"/>
            </w:tcMar>
            <w:vAlign w:val="bottom"/>
          </w:tcPr>
          <w:p w14:paraId="3148ABC1" w14:textId="77777777" w:rsidR="0058677E" w:rsidRPr="0058677E" w:rsidRDefault="0058677E" w:rsidP="00ED4EC2">
            <w:pPr>
              <w:contextualSpacing/>
              <w:rPr>
                <w:rFonts w:ascii="Tahoma" w:hAnsi="Tahoma"/>
                <w:color w:val="000000" w:themeColor="text1"/>
                <w:sz w:val="16"/>
                <w:lang w:val="en-GB"/>
              </w:rPr>
            </w:pPr>
            <w:r w:rsidRPr="0058677E">
              <w:rPr>
                <w:rFonts w:ascii="Tahoma" w:hAnsi="Tahoma"/>
                <w:color w:val="000000" w:themeColor="text1"/>
                <w:sz w:val="16"/>
                <w:lang w:val="en-GB"/>
              </w:rPr>
              <w:t>Gains/(losses) on disposal of investments – net</w:t>
            </w:r>
          </w:p>
        </w:tc>
        <w:tc>
          <w:tcPr>
            <w:tcW w:w="1134" w:type="dxa"/>
            <w:tcBorders>
              <w:top w:val="single" w:sz="4" w:space="0" w:color="auto"/>
              <w:left w:val="single" w:sz="4" w:space="0" w:color="auto"/>
            </w:tcBorders>
            <w:shd w:val="clear" w:color="auto" w:fill="auto"/>
            <w:tcMar>
              <w:top w:w="57" w:type="dxa"/>
              <w:left w:w="0" w:type="dxa"/>
              <w:bottom w:w="57" w:type="dxa"/>
              <w:right w:w="0" w:type="dxa"/>
            </w:tcMar>
            <w:vAlign w:val="bottom"/>
          </w:tcPr>
          <w:p w14:paraId="4BF1CA5A" w14:textId="77777777" w:rsidR="0058677E" w:rsidRPr="0058677E" w:rsidRDefault="0058677E" w:rsidP="00ED4EC2">
            <w:pPr>
              <w:contextualSpacing/>
              <w:jc w:val="right"/>
              <w:rPr>
                <w:rFonts w:ascii="Tahoma" w:hAnsi="Tahoma"/>
                <w:b/>
                <w:bCs/>
                <w:color w:val="000000" w:themeColor="text1"/>
                <w:sz w:val="16"/>
                <w:lang w:val="en-GB"/>
              </w:rPr>
            </w:pPr>
            <w:r w:rsidRPr="0058677E">
              <w:rPr>
                <w:rFonts w:ascii="Tahoma" w:hAnsi="Tahoma"/>
                <w:b/>
                <w:bCs/>
                <w:color w:val="000000" w:themeColor="text1"/>
                <w:sz w:val="16"/>
                <w:lang w:val="en-GB"/>
              </w:rPr>
              <w:t>25</w:t>
            </w:r>
          </w:p>
        </w:tc>
        <w:tc>
          <w:tcPr>
            <w:tcW w:w="1134" w:type="dxa"/>
            <w:tcBorders>
              <w:top w:val="single" w:sz="4" w:space="0" w:color="auto"/>
            </w:tcBorders>
            <w:shd w:val="clear" w:color="auto" w:fill="auto"/>
            <w:tcMar>
              <w:top w:w="57" w:type="dxa"/>
              <w:left w:w="0" w:type="dxa"/>
              <w:bottom w:w="57" w:type="dxa"/>
              <w:right w:w="0" w:type="dxa"/>
            </w:tcMar>
            <w:vAlign w:val="bottom"/>
          </w:tcPr>
          <w:p w14:paraId="15ECC43A" w14:textId="77777777" w:rsidR="0058677E" w:rsidRPr="0058677E" w:rsidRDefault="0058677E" w:rsidP="00ED4EC2">
            <w:pPr>
              <w:contextualSpacing/>
              <w:jc w:val="right"/>
              <w:rPr>
                <w:rFonts w:ascii="Tahoma" w:hAnsi="Tahoma"/>
                <w:color w:val="000000" w:themeColor="text1"/>
                <w:sz w:val="16"/>
                <w:lang w:val="en-GB"/>
              </w:rPr>
            </w:pPr>
            <w:r w:rsidRPr="0058677E">
              <w:rPr>
                <w:rFonts w:ascii="Tahoma" w:hAnsi="Tahoma"/>
                <w:color w:val="000000" w:themeColor="text1"/>
                <w:sz w:val="16"/>
                <w:lang w:val="en-GB"/>
              </w:rPr>
              <w:t>(9)</w:t>
            </w:r>
          </w:p>
        </w:tc>
        <w:tc>
          <w:tcPr>
            <w:tcW w:w="1134" w:type="dxa"/>
            <w:tcBorders>
              <w:top w:val="single" w:sz="4" w:space="0" w:color="auto"/>
              <w:right w:val="single" w:sz="4" w:space="0" w:color="auto"/>
            </w:tcBorders>
            <w:shd w:val="clear" w:color="auto" w:fill="auto"/>
            <w:tcMar>
              <w:top w:w="57" w:type="dxa"/>
              <w:left w:w="0" w:type="dxa"/>
              <w:bottom w:w="57" w:type="dxa"/>
              <w:right w:w="0" w:type="dxa"/>
            </w:tcMar>
            <w:vAlign w:val="bottom"/>
          </w:tcPr>
          <w:p w14:paraId="37309D44" w14:textId="77777777" w:rsidR="0058677E" w:rsidRPr="0058677E" w:rsidRDefault="0058677E" w:rsidP="009D0121">
            <w:pPr>
              <w:ind w:right="113"/>
              <w:contextualSpacing/>
              <w:jc w:val="right"/>
              <w:rPr>
                <w:rFonts w:ascii="Tahoma" w:hAnsi="Tahoma"/>
                <w:color w:val="000000" w:themeColor="text1"/>
                <w:sz w:val="16"/>
                <w:lang w:val="en-GB"/>
              </w:rPr>
            </w:pPr>
            <w:r w:rsidRPr="0058677E">
              <w:rPr>
                <w:rFonts w:ascii="Tahoma" w:hAnsi="Tahoma"/>
                <w:color w:val="000000" w:themeColor="text1"/>
                <w:sz w:val="16"/>
                <w:lang w:val="en-GB"/>
              </w:rPr>
              <w:t>31</w:t>
            </w:r>
          </w:p>
        </w:tc>
      </w:tr>
      <w:tr w:rsidR="00615190" w:rsidRPr="0058677E" w14:paraId="676846D3" w14:textId="77777777" w:rsidTr="00F24A97">
        <w:trPr>
          <w:trHeight w:val="60"/>
        </w:trPr>
        <w:tc>
          <w:tcPr>
            <w:tcW w:w="397" w:type="dxa"/>
            <w:shd w:val="clear" w:color="auto" w:fill="auto"/>
            <w:tcMar>
              <w:top w:w="57" w:type="dxa"/>
              <w:left w:w="0" w:type="dxa"/>
              <w:bottom w:w="57" w:type="dxa"/>
              <w:right w:w="0" w:type="dxa"/>
            </w:tcMar>
            <w:vAlign w:val="bottom"/>
          </w:tcPr>
          <w:p w14:paraId="3B63BDE8" w14:textId="77777777" w:rsidR="0058677E" w:rsidRPr="0058677E" w:rsidRDefault="0058677E" w:rsidP="00ED4EC2">
            <w:pPr>
              <w:contextualSpacing/>
              <w:rPr>
                <w:rFonts w:ascii="Tahoma" w:hAnsi="Tahoma"/>
                <w:color w:val="000000" w:themeColor="text1"/>
                <w:sz w:val="16"/>
                <w:lang w:val="en-GB"/>
              </w:rPr>
            </w:pPr>
          </w:p>
        </w:tc>
        <w:tc>
          <w:tcPr>
            <w:tcW w:w="6407" w:type="dxa"/>
            <w:tcBorders>
              <w:right w:val="single" w:sz="4" w:space="0" w:color="auto"/>
            </w:tcBorders>
            <w:shd w:val="clear" w:color="auto" w:fill="auto"/>
            <w:tcMar>
              <w:top w:w="57" w:type="dxa"/>
              <w:left w:w="113" w:type="dxa"/>
              <w:bottom w:w="57" w:type="dxa"/>
              <w:right w:w="0" w:type="dxa"/>
            </w:tcMar>
            <w:vAlign w:val="bottom"/>
          </w:tcPr>
          <w:p w14:paraId="7C79531B" w14:textId="77777777" w:rsidR="0058677E" w:rsidRPr="0058677E" w:rsidRDefault="0058677E" w:rsidP="00ED4EC2">
            <w:pPr>
              <w:contextualSpacing/>
              <w:rPr>
                <w:rFonts w:ascii="Tahoma" w:hAnsi="Tahoma"/>
                <w:color w:val="000000" w:themeColor="text1"/>
                <w:sz w:val="16"/>
                <w:lang w:val="en-GB"/>
              </w:rPr>
            </w:pPr>
            <w:r w:rsidRPr="0058677E">
              <w:rPr>
                <w:rFonts w:ascii="Tahoma" w:hAnsi="Tahoma"/>
                <w:color w:val="000000" w:themeColor="text1"/>
                <w:sz w:val="16"/>
                <w:lang w:val="en-GB"/>
              </w:rPr>
              <w:t>Gains on loss of control</w:t>
            </w:r>
          </w:p>
        </w:tc>
        <w:tc>
          <w:tcPr>
            <w:tcW w:w="1134" w:type="dxa"/>
            <w:tcBorders>
              <w:left w:val="single" w:sz="4" w:space="0" w:color="auto"/>
            </w:tcBorders>
            <w:shd w:val="clear" w:color="auto" w:fill="auto"/>
            <w:tcMar>
              <w:top w:w="57" w:type="dxa"/>
              <w:left w:w="0" w:type="dxa"/>
              <w:bottom w:w="57" w:type="dxa"/>
              <w:right w:w="0" w:type="dxa"/>
            </w:tcMar>
            <w:vAlign w:val="bottom"/>
          </w:tcPr>
          <w:p w14:paraId="55762D3E" w14:textId="77777777" w:rsidR="0058677E" w:rsidRPr="0058677E" w:rsidRDefault="0058677E" w:rsidP="00ED4EC2">
            <w:pPr>
              <w:contextualSpacing/>
              <w:jc w:val="right"/>
              <w:rPr>
                <w:rFonts w:ascii="Tahoma" w:hAnsi="Tahoma"/>
                <w:b/>
                <w:bCs/>
                <w:color w:val="000000" w:themeColor="text1"/>
                <w:sz w:val="16"/>
                <w:lang w:val="en-GB"/>
              </w:rPr>
            </w:pPr>
            <w:r w:rsidRPr="0058677E">
              <w:rPr>
                <w:rFonts w:ascii="Tahoma" w:hAnsi="Tahoma"/>
                <w:b/>
                <w:bCs/>
                <w:color w:val="000000" w:themeColor="text1"/>
                <w:sz w:val="16"/>
                <w:lang w:val="en-GB"/>
              </w:rPr>
              <w:t>23</w:t>
            </w:r>
          </w:p>
        </w:tc>
        <w:tc>
          <w:tcPr>
            <w:tcW w:w="1134" w:type="dxa"/>
            <w:shd w:val="clear" w:color="auto" w:fill="auto"/>
            <w:tcMar>
              <w:top w:w="57" w:type="dxa"/>
              <w:left w:w="0" w:type="dxa"/>
              <w:bottom w:w="57" w:type="dxa"/>
              <w:right w:w="0" w:type="dxa"/>
            </w:tcMar>
            <w:vAlign w:val="bottom"/>
          </w:tcPr>
          <w:p w14:paraId="31B275DF" w14:textId="77777777" w:rsidR="0058677E" w:rsidRPr="0058677E" w:rsidRDefault="0058677E" w:rsidP="00ED4EC2">
            <w:pPr>
              <w:contextualSpacing/>
              <w:jc w:val="right"/>
              <w:rPr>
                <w:rFonts w:ascii="Tahoma" w:hAnsi="Tahoma"/>
                <w:color w:val="000000" w:themeColor="text1"/>
                <w:sz w:val="16"/>
                <w:lang w:val="en-GB"/>
              </w:rPr>
            </w:pPr>
            <w:r w:rsidRPr="0058677E">
              <w:rPr>
                <w:rFonts w:ascii="Tahoma" w:hAnsi="Tahoma"/>
                <w:color w:val="000000" w:themeColor="text1"/>
                <w:sz w:val="16"/>
                <w:lang w:val="en-GB"/>
              </w:rPr>
              <w:t>—</w:t>
            </w:r>
          </w:p>
        </w:tc>
        <w:tc>
          <w:tcPr>
            <w:tcW w:w="1134" w:type="dxa"/>
            <w:tcBorders>
              <w:right w:val="single" w:sz="4" w:space="0" w:color="auto"/>
            </w:tcBorders>
            <w:shd w:val="clear" w:color="auto" w:fill="auto"/>
            <w:tcMar>
              <w:top w:w="57" w:type="dxa"/>
              <w:left w:w="0" w:type="dxa"/>
              <w:bottom w:w="57" w:type="dxa"/>
              <w:right w:w="0" w:type="dxa"/>
            </w:tcMar>
            <w:vAlign w:val="bottom"/>
          </w:tcPr>
          <w:p w14:paraId="2660B764" w14:textId="77777777" w:rsidR="0058677E" w:rsidRPr="0058677E" w:rsidRDefault="0058677E" w:rsidP="009D0121">
            <w:pPr>
              <w:ind w:right="113"/>
              <w:contextualSpacing/>
              <w:jc w:val="right"/>
              <w:rPr>
                <w:rFonts w:ascii="Tahoma" w:hAnsi="Tahoma"/>
                <w:color w:val="000000" w:themeColor="text1"/>
                <w:sz w:val="16"/>
                <w:lang w:val="en-GB"/>
              </w:rPr>
            </w:pPr>
            <w:r w:rsidRPr="0058677E">
              <w:rPr>
                <w:rFonts w:ascii="Tahoma" w:hAnsi="Tahoma"/>
                <w:color w:val="000000" w:themeColor="text1"/>
                <w:sz w:val="16"/>
                <w:lang w:val="en-GB"/>
              </w:rPr>
              <w:t>—</w:t>
            </w:r>
          </w:p>
        </w:tc>
      </w:tr>
      <w:tr w:rsidR="00615190" w:rsidRPr="0058677E" w14:paraId="79AD03C7" w14:textId="77777777" w:rsidTr="00F24A97">
        <w:trPr>
          <w:trHeight w:val="60"/>
        </w:trPr>
        <w:tc>
          <w:tcPr>
            <w:tcW w:w="397" w:type="dxa"/>
            <w:shd w:val="clear" w:color="auto" w:fill="auto"/>
            <w:tcMar>
              <w:top w:w="57" w:type="dxa"/>
              <w:left w:w="0" w:type="dxa"/>
              <w:bottom w:w="57" w:type="dxa"/>
              <w:right w:w="0" w:type="dxa"/>
            </w:tcMar>
            <w:vAlign w:val="bottom"/>
          </w:tcPr>
          <w:p w14:paraId="26720224" w14:textId="77777777" w:rsidR="0058677E" w:rsidRPr="0058677E" w:rsidRDefault="0058677E" w:rsidP="00ED4EC2">
            <w:pPr>
              <w:contextualSpacing/>
              <w:rPr>
                <w:rFonts w:ascii="Tahoma" w:hAnsi="Tahoma"/>
                <w:color w:val="000000" w:themeColor="text1"/>
                <w:sz w:val="16"/>
                <w:lang w:val="en-GB"/>
              </w:rPr>
            </w:pPr>
          </w:p>
        </w:tc>
        <w:tc>
          <w:tcPr>
            <w:tcW w:w="6407" w:type="dxa"/>
            <w:tcBorders>
              <w:right w:val="single" w:sz="4" w:space="0" w:color="auto"/>
            </w:tcBorders>
            <w:shd w:val="clear" w:color="auto" w:fill="auto"/>
            <w:tcMar>
              <w:top w:w="57" w:type="dxa"/>
              <w:left w:w="113" w:type="dxa"/>
              <w:bottom w:w="57" w:type="dxa"/>
              <w:right w:w="0" w:type="dxa"/>
            </w:tcMar>
            <w:vAlign w:val="bottom"/>
          </w:tcPr>
          <w:p w14:paraId="7EC8F1B8" w14:textId="77777777" w:rsidR="0058677E" w:rsidRPr="0058677E" w:rsidRDefault="0058677E" w:rsidP="00ED4EC2">
            <w:pPr>
              <w:contextualSpacing/>
              <w:rPr>
                <w:rFonts w:ascii="Tahoma" w:hAnsi="Tahoma"/>
                <w:color w:val="000000" w:themeColor="text1"/>
                <w:sz w:val="16"/>
                <w:lang w:val="en-GB"/>
              </w:rPr>
            </w:pPr>
            <w:r w:rsidRPr="0058677E">
              <w:rPr>
                <w:rFonts w:ascii="Tahoma" w:hAnsi="Tahoma"/>
                <w:color w:val="000000" w:themeColor="text1"/>
                <w:sz w:val="16"/>
                <w:lang w:val="en-GB"/>
              </w:rPr>
              <w:t>Loss recognised on sale of business – net</w:t>
            </w:r>
          </w:p>
        </w:tc>
        <w:tc>
          <w:tcPr>
            <w:tcW w:w="1134" w:type="dxa"/>
            <w:tcBorders>
              <w:left w:val="single" w:sz="4" w:space="0" w:color="auto"/>
            </w:tcBorders>
            <w:shd w:val="clear" w:color="auto" w:fill="auto"/>
            <w:tcMar>
              <w:top w:w="57" w:type="dxa"/>
              <w:left w:w="0" w:type="dxa"/>
              <w:bottom w:w="57" w:type="dxa"/>
              <w:right w:w="0" w:type="dxa"/>
            </w:tcMar>
            <w:vAlign w:val="bottom"/>
          </w:tcPr>
          <w:p w14:paraId="7DEE2D74" w14:textId="77777777" w:rsidR="0058677E" w:rsidRPr="0058677E" w:rsidRDefault="0058677E" w:rsidP="00ED4EC2">
            <w:pPr>
              <w:contextualSpacing/>
              <w:jc w:val="right"/>
              <w:rPr>
                <w:rFonts w:ascii="Tahoma" w:hAnsi="Tahoma"/>
                <w:b/>
                <w:bCs/>
                <w:color w:val="000000" w:themeColor="text1"/>
                <w:sz w:val="16"/>
                <w:lang w:val="en-GB"/>
              </w:rPr>
            </w:pPr>
            <w:r w:rsidRPr="0058677E">
              <w:rPr>
                <w:rFonts w:ascii="Tahoma" w:hAnsi="Tahoma"/>
                <w:b/>
                <w:bCs/>
                <w:color w:val="000000" w:themeColor="text1"/>
                <w:sz w:val="16"/>
                <w:lang w:val="en-GB"/>
              </w:rPr>
              <w:t>—</w:t>
            </w:r>
          </w:p>
        </w:tc>
        <w:tc>
          <w:tcPr>
            <w:tcW w:w="1134" w:type="dxa"/>
            <w:shd w:val="clear" w:color="auto" w:fill="auto"/>
            <w:tcMar>
              <w:top w:w="57" w:type="dxa"/>
              <w:left w:w="0" w:type="dxa"/>
              <w:bottom w:w="57" w:type="dxa"/>
              <w:right w:w="0" w:type="dxa"/>
            </w:tcMar>
            <w:vAlign w:val="bottom"/>
          </w:tcPr>
          <w:p w14:paraId="3552C708" w14:textId="77777777" w:rsidR="0058677E" w:rsidRPr="0058677E" w:rsidRDefault="0058677E" w:rsidP="00ED4EC2">
            <w:pPr>
              <w:contextualSpacing/>
              <w:jc w:val="right"/>
              <w:rPr>
                <w:rFonts w:ascii="Tahoma" w:hAnsi="Tahoma"/>
                <w:color w:val="000000" w:themeColor="text1"/>
                <w:sz w:val="16"/>
                <w:lang w:val="en-GB"/>
              </w:rPr>
            </w:pPr>
            <w:r w:rsidRPr="0058677E">
              <w:rPr>
                <w:rFonts w:ascii="Tahoma" w:hAnsi="Tahoma"/>
                <w:color w:val="000000" w:themeColor="text1"/>
                <w:sz w:val="16"/>
                <w:lang w:val="en-GB"/>
              </w:rPr>
              <w:t>—</w:t>
            </w:r>
          </w:p>
        </w:tc>
        <w:tc>
          <w:tcPr>
            <w:tcW w:w="1134" w:type="dxa"/>
            <w:tcBorders>
              <w:right w:val="single" w:sz="4" w:space="0" w:color="auto"/>
            </w:tcBorders>
            <w:shd w:val="clear" w:color="auto" w:fill="auto"/>
            <w:tcMar>
              <w:top w:w="57" w:type="dxa"/>
              <w:left w:w="0" w:type="dxa"/>
              <w:bottom w:w="57" w:type="dxa"/>
              <w:right w:w="0" w:type="dxa"/>
            </w:tcMar>
            <w:vAlign w:val="bottom"/>
          </w:tcPr>
          <w:p w14:paraId="43AA5C8A" w14:textId="77777777" w:rsidR="0058677E" w:rsidRPr="0058677E" w:rsidRDefault="0058677E" w:rsidP="009D0121">
            <w:pPr>
              <w:ind w:right="113"/>
              <w:contextualSpacing/>
              <w:jc w:val="right"/>
              <w:rPr>
                <w:rFonts w:ascii="Tahoma" w:hAnsi="Tahoma"/>
                <w:color w:val="000000" w:themeColor="text1"/>
                <w:sz w:val="16"/>
                <w:lang w:val="en-GB"/>
              </w:rPr>
            </w:pPr>
            <w:r w:rsidRPr="0058677E">
              <w:rPr>
                <w:rFonts w:ascii="Tahoma" w:hAnsi="Tahoma"/>
                <w:color w:val="000000" w:themeColor="text1"/>
                <w:sz w:val="16"/>
                <w:lang w:val="en-GB"/>
              </w:rPr>
              <w:t>(1)</w:t>
            </w:r>
          </w:p>
        </w:tc>
      </w:tr>
      <w:tr w:rsidR="00615190" w:rsidRPr="0058677E" w14:paraId="3C55B3BA" w14:textId="77777777" w:rsidTr="00F24A97">
        <w:trPr>
          <w:trHeight w:val="60"/>
        </w:trPr>
        <w:tc>
          <w:tcPr>
            <w:tcW w:w="397" w:type="dxa"/>
            <w:shd w:val="clear" w:color="auto" w:fill="auto"/>
            <w:tcMar>
              <w:top w:w="57" w:type="dxa"/>
              <w:left w:w="0" w:type="dxa"/>
              <w:bottom w:w="57" w:type="dxa"/>
              <w:right w:w="0" w:type="dxa"/>
            </w:tcMar>
            <w:vAlign w:val="bottom"/>
          </w:tcPr>
          <w:p w14:paraId="7D76EDD6" w14:textId="77777777" w:rsidR="0058677E" w:rsidRPr="0058677E" w:rsidRDefault="0058677E" w:rsidP="00ED4EC2">
            <w:pPr>
              <w:contextualSpacing/>
              <w:rPr>
                <w:rFonts w:ascii="Tahoma" w:hAnsi="Tahoma"/>
                <w:color w:val="000000" w:themeColor="text1"/>
                <w:sz w:val="16"/>
                <w:lang w:val="en-GB"/>
              </w:rPr>
            </w:pPr>
          </w:p>
        </w:tc>
        <w:tc>
          <w:tcPr>
            <w:tcW w:w="6407" w:type="dxa"/>
            <w:tcBorders>
              <w:right w:val="single" w:sz="4" w:space="0" w:color="auto"/>
            </w:tcBorders>
            <w:shd w:val="clear" w:color="auto" w:fill="auto"/>
            <w:tcMar>
              <w:top w:w="57" w:type="dxa"/>
              <w:left w:w="113" w:type="dxa"/>
              <w:bottom w:w="57" w:type="dxa"/>
              <w:right w:w="0" w:type="dxa"/>
            </w:tcMar>
            <w:vAlign w:val="bottom"/>
          </w:tcPr>
          <w:p w14:paraId="568F3762" w14:textId="77777777" w:rsidR="0058677E" w:rsidRPr="0058677E" w:rsidRDefault="0058677E" w:rsidP="00ED4EC2">
            <w:pPr>
              <w:contextualSpacing/>
              <w:rPr>
                <w:rFonts w:ascii="Tahoma" w:hAnsi="Tahoma"/>
                <w:color w:val="000000" w:themeColor="text1"/>
                <w:sz w:val="16"/>
                <w:lang w:val="en-GB"/>
              </w:rPr>
            </w:pPr>
            <w:r w:rsidRPr="0058677E">
              <w:rPr>
                <w:rFonts w:ascii="Tahoma" w:hAnsi="Tahoma"/>
                <w:color w:val="000000" w:themeColor="text1"/>
                <w:sz w:val="16"/>
                <w:lang w:val="en-GB"/>
              </w:rPr>
              <w:t>Gains/(losses) recognised on loss of significant influence</w:t>
            </w:r>
            <w:r w:rsidRPr="0058677E">
              <w:rPr>
                <w:rFonts w:ascii="Tahoma" w:hAnsi="Tahoma"/>
                <w:color w:val="000000" w:themeColor="text1"/>
                <w:sz w:val="16"/>
                <w:vertAlign w:val="superscript"/>
                <w:lang w:val="en-GB"/>
              </w:rPr>
              <w:t>2</w:t>
            </w:r>
          </w:p>
        </w:tc>
        <w:tc>
          <w:tcPr>
            <w:tcW w:w="1134" w:type="dxa"/>
            <w:tcBorders>
              <w:left w:val="single" w:sz="4" w:space="0" w:color="auto"/>
            </w:tcBorders>
            <w:shd w:val="clear" w:color="auto" w:fill="auto"/>
            <w:tcMar>
              <w:top w:w="57" w:type="dxa"/>
              <w:left w:w="0" w:type="dxa"/>
              <w:bottom w:w="57" w:type="dxa"/>
              <w:right w:w="0" w:type="dxa"/>
            </w:tcMar>
            <w:vAlign w:val="bottom"/>
          </w:tcPr>
          <w:p w14:paraId="4F4C8231" w14:textId="77777777" w:rsidR="0058677E" w:rsidRPr="0058677E" w:rsidRDefault="0058677E" w:rsidP="00ED4EC2">
            <w:pPr>
              <w:contextualSpacing/>
              <w:jc w:val="right"/>
              <w:rPr>
                <w:rFonts w:ascii="Tahoma" w:hAnsi="Tahoma"/>
                <w:b/>
                <w:bCs/>
                <w:color w:val="000000" w:themeColor="text1"/>
                <w:sz w:val="16"/>
                <w:lang w:val="en-GB"/>
              </w:rPr>
            </w:pPr>
            <w:r w:rsidRPr="0058677E">
              <w:rPr>
                <w:rFonts w:ascii="Tahoma" w:hAnsi="Tahoma"/>
                <w:b/>
                <w:bCs/>
                <w:color w:val="000000" w:themeColor="text1"/>
                <w:sz w:val="16"/>
                <w:lang w:val="en-GB"/>
              </w:rPr>
              <w:t>99</w:t>
            </w:r>
          </w:p>
        </w:tc>
        <w:tc>
          <w:tcPr>
            <w:tcW w:w="1134" w:type="dxa"/>
            <w:shd w:val="clear" w:color="auto" w:fill="auto"/>
            <w:tcMar>
              <w:top w:w="57" w:type="dxa"/>
              <w:left w:w="0" w:type="dxa"/>
              <w:bottom w:w="57" w:type="dxa"/>
              <w:right w:w="0" w:type="dxa"/>
            </w:tcMar>
            <w:vAlign w:val="bottom"/>
          </w:tcPr>
          <w:p w14:paraId="452B789A" w14:textId="77777777" w:rsidR="0058677E" w:rsidRPr="0058677E" w:rsidRDefault="0058677E" w:rsidP="00ED4EC2">
            <w:pPr>
              <w:contextualSpacing/>
              <w:jc w:val="right"/>
              <w:rPr>
                <w:rFonts w:ascii="Tahoma" w:hAnsi="Tahoma"/>
                <w:color w:val="000000" w:themeColor="text1"/>
                <w:sz w:val="16"/>
                <w:lang w:val="en-GB"/>
              </w:rPr>
            </w:pPr>
            <w:r w:rsidRPr="0058677E">
              <w:rPr>
                <w:rFonts w:ascii="Tahoma" w:hAnsi="Tahoma"/>
                <w:color w:val="000000" w:themeColor="text1"/>
                <w:sz w:val="16"/>
                <w:lang w:val="en-GB"/>
              </w:rPr>
              <w:t>25</w:t>
            </w:r>
          </w:p>
        </w:tc>
        <w:tc>
          <w:tcPr>
            <w:tcW w:w="1134" w:type="dxa"/>
            <w:tcBorders>
              <w:right w:val="single" w:sz="4" w:space="0" w:color="auto"/>
            </w:tcBorders>
            <w:shd w:val="clear" w:color="auto" w:fill="auto"/>
            <w:tcMar>
              <w:top w:w="57" w:type="dxa"/>
              <w:left w:w="0" w:type="dxa"/>
              <w:bottom w:w="57" w:type="dxa"/>
              <w:right w:w="0" w:type="dxa"/>
            </w:tcMar>
            <w:vAlign w:val="bottom"/>
          </w:tcPr>
          <w:p w14:paraId="2FBE8DE1" w14:textId="77777777" w:rsidR="0058677E" w:rsidRPr="0058677E" w:rsidRDefault="0058677E" w:rsidP="009D0121">
            <w:pPr>
              <w:ind w:right="113"/>
              <w:contextualSpacing/>
              <w:jc w:val="right"/>
              <w:rPr>
                <w:rFonts w:ascii="Tahoma" w:hAnsi="Tahoma"/>
                <w:color w:val="000000" w:themeColor="text1"/>
                <w:sz w:val="16"/>
                <w:lang w:val="en-GB"/>
              </w:rPr>
            </w:pPr>
            <w:r w:rsidRPr="0058677E">
              <w:rPr>
                <w:rFonts w:ascii="Tahoma" w:hAnsi="Tahoma"/>
                <w:color w:val="000000" w:themeColor="text1"/>
                <w:sz w:val="16"/>
                <w:lang w:val="en-GB"/>
              </w:rPr>
              <w:t>(1 112)</w:t>
            </w:r>
          </w:p>
        </w:tc>
      </w:tr>
      <w:tr w:rsidR="00615190" w:rsidRPr="0058677E" w14:paraId="4FF721AA" w14:textId="77777777" w:rsidTr="00F24A97">
        <w:trPr>
          <w:trHeight w:val="60"/>
        </w:trPr>
        <w:tc>
          <w:tcPr>
            <w:tcW w:w="397" w:type="dxa"/>
            <w:shd w:val="clear" w:color="auto" w:fill="auto"/>
            <w:tcMar>
              <w:top w:w="57" w:type="dxa"/>
              <w:left w:w="0" w:type="dxa"/>
              <w:bottom w:w="57" w:type="dxa"/>
              <w:right w:w="0" w:type="dxa"/>
            </w:tcMar>
            <w:vAlign w:val="bottom"/>
          </w:tcPr>
          <w:p w14:paraId="3EDCA8E2" w14:textId="77777777" w:rsidR="0058677E" w:rsidRPr="0058677E" w:rsidRDefault="0058677E" w:rsidP="00ED4EC2">
            <w:pPr>
              <w:contextualSpacing/>
              <w:rPr>
                <w:rFonts w:ascii="Tahoma" w:hAnsi="Tahoma"/>
                <w:color w:val="000000" w:themeColor="text1"/>
                <w:sz w:val="16"/>
                <w:lang w:val="en-GB"/>
              </w:rPr>
            </w:pPr>
          </w:p>
        </w:tc>
        <w:tc>
          <w:tcPr>
            <w:tcW w:w="6407" w:type="dxa"/>
            <w:tcBorders>
              <w:right w:val="single" w:sz="4" w:space="0" w:color="auto"/>
            </w:tcBorders>
            <w:shd w:val="clear" w:color="auto" w:fill="auto"/>
            <w:tcMar>
              <w:top w:w="57" w:type="dxa"/>
              <w:left w:w="113" w:type="dxa"/>
              <w:bottom w:w="57" w:type="dxa"/>
              <w:right w:w="0" w:type="dxa"/>
            </w:tcMar>
            <w:vAlign w:val="bottom"/>
          </w:tcPr>
          <w:p w14:paraId="3247B66D" w14:textId="77777777" w:rsidR="0058677E" w:rsidRPr="0058677E" w:rsidRDefault="0058677E" w:rsidP="00ED4EC2">
            <w:pPr>
              <w:contextualSpacing/>
              <w:rPr>
                <w:rFonts w:ascii="Tahoma" w:hAnsi="Tahoma"/>
                <w:color w:val="000000" w:themeColor="text1"/>
                <w:sz w:val="16"/>
                <w:lang w:val="en-GB"/>
              </w:rPr>
            </w:pPr>
            <w:r w:rsidRPr="0058677E">
              <w:rPr>
                <w:rFonts w:ascii="Tahoma" w:hAnsi="Tahoma"/>
                <w:color w:val="000000" w:themeColor="text1"/>
                <w:sz w:val="16"/>
                <w:lang w:val="en-GB"/>
              </w:rPr>
              <w:t>Remeasurement of contingent consideration</w:t>
            </w:r>
          </w:p>
        </w:tc>
        <w:tc>
          <w:tcPr>
            <w:tcW w:w="1134" w:type="dxa"/>
            <w:tcBorders>
              <w:left w:val="single" w:sz="4" w:space="0" w:color="auto"/>
            </w:tcBorders>
            <w:shd w:val="clear" w:color="auto" w:fill="auto"/>
            <w:tcMar>
              <w:top w:w="57" w:type="dxa"/>
              <w:left w:w="0" w:type="dxa"/>
              <w:bottom w:w="57" w:type="dxa"/>
              <w:right w:w="0" w:type="dxa"/>
            </w:tcMar>
            <w:vAlign w:val="bottom"/>
          </w:tcPr>
          <w:p w14:paraId="042E42A7" w14:textId="77777777" w:rsidR="0058677E" w:rsidRPr="0058677E" w:rsidRDefault="0058677E" w:rsidP="00ED4EC2">
            <w:pPr>
              <w:contextualSpacing/>
              <w:jc w:val="right"/>
              <w:rPr>
                <w:rFonts w:ascii="Tahoma" w:hAnsi="Tahoma"/>
                <w:b/>
                <w:bCs/>
                <w:color w:val="000000" w:themeColor="text1"/>
                <w:sz w:val="16"/>
                <w:lang w:val="en-GB"/>
              </w:rPr>
            </w:pPr>
            <w:r w:rsidRPr="0058677E">
              <w:rPr>
                <w:rFonts w:ascii="Tahoma" w:hAnsi="Tahoma"/>
                <w:b/>
                <w:bCs/>
                <w:color w:val="000000" w:themeColor="text1"/>
                <w:sz w:val="16"/>
                <w:lang w:val="en-GB"/>
              </w:rPr>
              <w:t>—</w:t>
            </w:r>
          </w:p>
        </w:tc>
        <w:tc>
          <w:tcPr>
            <w:tcW w:w="1134" w:type="dxa"/>
            <w:shd w:val="clear" w:color="auto" w:fill="auto"/>
            <w:tcMar>
              <w:top w:w="57" w:type="dxa"/>
              <w:left w:w="0" w:type="dxa"/>
              <w:bottom w:w="57" w:type="dxa"/>
              <w:right w:w="0" w:type="dxa"/>
            </w:tcMar>
            <w:vAlign w:val="bottom"/>
          </w:tcPr>
          <w:p w14:paraId="7DBFA5FB" w14:textId="77777777" w:rsidR="0058677E" w:rsidRPr="0058677E" w:rsidRDefault="0058677E" w:rsidP="00ED4EC2">
            <w:pPr>
              <w:contextualSpacing/>
              <w:jc w:val="right"/>
              <w:rPr>
                <w:rFonts w:ascii="Tahoma" w:hAnsi="Tahoma"/>
                <w:color w:val="000000" w:themeColor="text1"/>
                <w:sz w:val="16"/>
                <w:lang w:val="en-GB"/>
              </w:rPr>
            </w:pPr>
            <w:r w:rsidRPr="0058677E">
              <w:rPr>
                <w:rFonts w:ascii="Tahoma" w:hAnsi="Tahoma"/>
                <w:color w:val="000000" w:themeColor="text1"/>
                <w:sz w:val="16"/>
                <w:lang w:val="en-GB"/>
              </w:rPr>
              <w:t>—</w:t>
            </w:r>
          </w:p>
        </w:tc>
        <w:tc>
          <w:tcPr>
            <w:tcW w:w="1134" w:type="dxa"/>
            <w:tcBorders>
              <w:right w:val="single" w:sz="4" w:space="0" w:color="auto"/>
            </w:tcBorders>
            <w:shd w:val="clear" w:color="auto" w:fill="auto"/>
            <w:tcMar>
              <w:top w:w="57" w:type="dxa"/>
              <w:left w:w="0" w:type="dxa"/>
              <w:bottom w:w="57" w:type="dxa"/>
              <w:right w:w="0" w:type="dxa"/>
            </w:tcMar>
            <w:vAlign w:val="bottom"/>
          </w:tcPr>
          <w:p w14:paraId="3C4F798E" w14:textId="77777777" w:rsidR="0058677E" w:rsidRPr="0058677E" w:rsidRDefault="0058677E" w:rsidP="009D0121">
            <w:pPr>
              <w:ind w:right="113"/>
              <w:contextualSpacing/>
              <w:jc w:val="right"/>
              <w:rPr>
                <w:rFonts w:ascii="Tahoma" w:hAnsi="Tahoma"/>
                <w:color w:val="000000" w:themeColor="text1"/>
                <w:sz w:val="16"/>
                <w:lang w:val="en-GB"/>
              </w:rPr>
            </w:pPr>
            <w:r w:rsidRPr="0058677E">
              <w:rPr>
                <w:rFonts w:ascii="Tahoma" w:hAnsi="Tahoma"/>
                <w:color w:val="000000" w:themeColor="text1"/>
                <w:sz w:val="16"/>
                <w:lang w:val="en-GB"/>
              </w:rPr>
              <w:t>(6)</w:t>
            </w:r>
          </w:p>
        </w:tc>
      </w:tr>
      <w:tr w:rsidR="00615190" w:rsidRPr="0058677E" w14:paraId="5DF94001" w14:textId="77777777" w:rsidTr="00F24A97">
        <w:trPr>
          <w:trHeight w:val="60"/>
        </w:trPr>
        <w:tc>
          <w:tcPr>
            <w:tcW w:w="397" w:type="dxa"/>
            <w:shd w:val="clear" w:color="auto" w:fill="auto"/>
            <w:tcMar>
              <w:top w:w="57" w:type="dxa"/>
              <w:left w:w="0" w:type="dxa"/>
              <w:bottom w:w="57" w:type="dxa"/>
              <w:right w:w="0" w:type="dxa"/>
            </w:tcMar>
            <w:vAlign w:val="bottom"/>
          </w:tcPr>
          <w:p w14:paraId="56D351DF" w14:textId="77777777" w:rsidR="0058677E" w:rsidRPr="0058677E" w:rsidRDefault="0058677E" w:rsidP="00ED4EC2">
            <w:pPr>
              <w:contextualSpacing/>
              <w:rPr>
                <w:rFonts w:ascii="Tahoma" w:hAnsi="Tahoma"/>
                <w:color w:val="000000" w:themeColor="text1"/>
                <w:sz w:val="16"/>
                <w:lang w:val="en-GB"/>
              </w:rPr>
            </w:pPr>
          </w:p>
        </w:tc>
        <w:tc>
          <w:tcPr>
            <w:tcW w:w="6407" w:type="dxa"/>
            <w:tcBorders>
              <w:right w:val="single" w:sz="4" w:space="0" w:color="auto"/>
            </w:tcBorders>
            <w:shd w:val="clear" w:color="auto" w:fill="auto"/>
            <w:tcMar>
              <w:top w:w="57" w:type="dxa"/>
              <w:left w:w="113" w:type="dxa"/>
              <w:bottom w:w="57" w:type="dxa"/>
              <w:right w:w="0" w:type="dxa"/>
            </w:tcMar>
            <w:vAlign w:val="bottom"/>
          </w:tcPr>
          <w:p w14:paraId="03F8AD0F" w14:textId="77777777" w:rsidR="0058677E" w:rsidRPr="0058677E" w:rsidRDefault="0058677E" w:rsidP="00ED4EC2">
            <w:pPr>
              <w:contextualSpacing/>
              <w:rPr>
                <w:rFonts w:ascii="Tahoma" w:hAnsi="Tahoma"/>
                <w:color w:val="000000" w:themeColor="text1"/>
                <w:sz w:val="16"/>
                <w:lang w:val="en-GB"/>
              </w:rPr>
            </w:pPr>
            <w:r w:rsidRPr="0058677E">
              <w:rPr>
                <w:rFonts w:ascii="Tahoma" w:hAnsi="Tahoma"/>
                <w:color w:val="000000" w:themeColor="text1"/>
                <w:sz w:val="16"/>
                <w:lang w:val="en-GB"/>
              </w:rPr>
              <w:t>Transaction-related costs</w:t>
            </w:r>
          </w:p>
        </w:tc>
        <w:tc>
          <w:tcPr>
            <w:tcW w:w="1134" w:type="dxa"/>
            <w:tcBorders>
              <w:left w:val="single" w:sz="4" w:space="0" w:color="auto"/>
            </w:tcBorders>
            <w:shd w:val="clear" w:color="auto" w:fill="auto"/>
            <w:tcMar>
              <w:top w:w="57" w:type="dxa"/>
              <w:left w:w="0" w:type="dxa"/>
              <w:bottom w:w="57" w:type="dxa"/>
              <w:right w:w="0" w:type="dxa"/>
            </w:tcMar>
            <w:vAlign w:val="bottom"/>
          </w:tcPr>
          <w:p w14:paraId="7613D224" w14:textId="77777777" w:rsidR="0058677E" w:rsidRPr="0058677E" w:rsidRDefault="0058677E" w:rsidP="00ED4EC2">
            <w:pPr>
              <w:contextualSpacing/>
              <w:jc w:val="right"/>
              <w:rPr>
                <w:rFonts w:ascii="Tahoma" w:hAnsi="Tahoma"/>
                <w:b/>
                <w:bCs/>
                <w:color w:val="000000" w:themeColor="text1"/>
                <w:sz w:val="16"/>
                <w:lang w:val="en-GB"/>
              </w:rPr>
            </w:pPr>
            <w:r w:rsidRPr="0058677E">
              <w:rPr>
                <w:rFonts w:ascii="Tahoma" w:hAnsi="Tahoma"/>
                <w:b/>
                <w:bCs/>
                <w:color w:val="000000" w:themeColor="text1"/>
                <w:sz w:val="16"/>
                <w:lang w:val="en-GB"/>
              </w:rPr>
              <w:t>(11)</w:t>
            </w:r>
          </w:p>
        </w:tc>
        <w:tc>
          <w:tcPr>
            <w:tcW w:w="1134" w:type="dxa"/>
            <w:shd w:val="clear" w:color="auto" w:fill="auto"/>
            <w:tcMar>
              <w:top w:w="57" w:type="dxa"/>
              <w:left w:w="0" w:type="dxa"/>
              <w:bottom w:w="57" w:type="dxa"/>
              <w:right w:w="0" w:type="dxa"/>
            </w:tcMar>
            <w:vAlign w:val="bottom"/>
          </w:tcPr>
          <w:p w14:paraId="7171AA08" w14:textId="77777777" w:rsidR="0058677E" w:rsidRPr="0058677E" w:rsidRDefault="0058677E" w:rsidP="00ED4EC2">
            <w:pPr>
              <w:contextualSpacing/>
              <w:jc w:val="right"/>
              <w:rPr>
                <w:rFonts w:ascii="Tahoma" w:hAnsi="Tahoma"/>
                <w:color w:val="000000" w:themeColor="text1"/>
                <w:sz w:val="16"/>
                <w:lang w:val="en-GB"/>
              </w:rPr>
            </w:pPr>
            <w:r w:rsidRPr="0058677E">
              <w:rPr>
                <w:rFonts w:ascii="Tahoma" w:hAnsi="Tahoma"/>
                <w:color w:val="000000" w:themeColor="text1"/>
                <w:sz w:val="16"/>
                <w:lang w:val="en-GB"/>
              </w:rPr>
              <w:t>(31)</w:t>
            </w:r>
          </w:p>
        </w:tc>
        <w:tc>
          <w:tcPr>
            <w:tcW w:w="1134" w:type="dxa"/>
            <w:tcBorders>
              <w:right w:val="single" w:sz="4" w:space="0" w:color="auto"/>
            </w:tcBorders>
            <w:shd w:val="clear" w:color="auto" w:fill="auto"/>
            <w:tcMar>
              <w:top w:w="57" w:type="dxa"/>
              <w:left w:w="0" w:type="dxa"/>
              <w:bottom w:w="57" w:type="dxa"/>
              <w:right w:w="0" w:type="dxa"/>
            </w:tcMar>
            <w:vAlign w:val="bottom"/>
          </w:tcPr>
          <w:p w14:paraId="3094F7F5" w14:textId="77777777" w:rsidR="0058677E" w:rsidRPr="0058677E" w:rsidRDefault="0058677E" w:rsidP="009D0121">
            <w:pPr>
              <w:ind w:right="113"/>
              <w:contextualSpacing/>
              <w:jc w:val="right"/>
              <w:rPr>
                <w:rFonts w:ascii="Tahoma" w:hAnsi="Tahoma"/>
                <w:color w:val="000000" w:themeColor="text1"/>
                <w:sz w:val="16"/>
                <w:lang w:val="en-GB"/>
              </w:rPr>
            </w:pPr>
            <w:r w:rsidRPr="0058677E">
              <w:rPr>
                <w:rFonts w:ascii="Tahoma" w:hAnsi="Tahoma"/>
                <w:color w:val="000000" w:themeColor="text1"/>
                <w:sz w:val="16"/>
                <w:lang w:val="en-GB"/>
              </w:rPr>
              <w:t>(43)</w:t>
            </w:r>
          </w:p>
        </w:tc>
      </w:tr>
      <w:tr w:rsidR="00615190" w:rsidRPr="0058677E" w14:paraId="773457EF" w14:textId="77777777" w:rsidTr="00F24A97">
        <w:trPr>
          <w:trHeight w:val="60"/>
        </w:trPr>
        <w:tc>
          <w:tcPr>
            <w:tcW w:w="397" w:type="dxa"/>
            <w:shd w:val="clear" w:color="auto" w:fill="auto"/>
            <w:tcMar>
              <w:top w:w="57" w:type="dxa"/>
              <w:left w:w="0" w:type="dxa"/>
              <w:bottom w:w="57" w:type="dxa"/>
              <w:right w:w="0" w:type="dxa"/>
            </w:tcMar>
            <w:vAlign w:val="bottom"/>
          </w:tcPr>
          <w:p w14:paraId="3E194393" w14:textId="77777777" w:rsidR="0058677E" w:rsidRPr="0058677E" w:rsidRDefault="0058677E" w:rsidP="00ED4EC2">
            <w:pPr>
              <w:contextualSpacing/>
              <w:rPr>
                <w:rFonts w:ascii="Tahoma" w:hAnsi="Tahoma"/>
                <w:color w:val="000000" w:themeColor="text1"/>
                <w:sz w:val="16"/>
                <w:lang w:val="en-GB"/>
              </w:rPr>
            </w:pPr>
          </w:p>
        </w:tc>
        <w:tc>
          <w:tcPr>
            <w:tcW w:w="6407" w:type="dxa"/>
            <w:tcBorders>
              <w:right w:val="single" w:sz="4" w:space="0" w:color="auto"/>
            </w:tcBorders>
            <w:shd w:val="clear" w:color="auto" w:fill="auto"/>
            <w:tcMar>
              <w:top w:w="57" w:type="dxa"/>
              <w:left w:w="113" w:type="dxa"/>
              <w:bottom w:w="57" w:type="dxa"/>
              <w:right w:w="0" w:type="dxa"/>
            </w:tcMar>
            <w:vAlign w:val="bottom"/>
          </w:tcPr>
          <w:p w14:paraId="6A4236BE" w14:textId="77777777" w:rsidR="0058677E" w:rsidRPr="0058677E" w:rsidRDefault="0058677E" w:rsidP="00ED4EC2">
            <w:pPr>
              <w:contextualSpacing/>
              <w:rPr>
                <w:rFonts w:ascii="Tahoma" w:hAnsi="Tahoma"/>
                <w:color w:val="000000" w:themeColor="text1"/>
                <w:sz w:val="16"/>
                <w:lang w:val="en-GB"/>
              </w:rPr>
            </w:pPr>
            <w:r w:rsidRPr="0058677E">
              <w:rPr>
                <w:rFonts w:ascii="Tahoma" w:hAnsi="Tahoma"/>
                <w:color w:val="000000" w:themeColor="text1"/>
                <w:sz w:val="16"/>
                <w:lang w:val="en-GB"/>
              </w:rPr>
              <w:t>Other</w:t>
            </w:r>
          </w:p>
        </w:tc>
        <w:tc>
          <w:tcPr>
            <w:tcW w:w="1134" w:type="dxa"/>
            <w:tcBorders>
              <w:left w:val="single" w:sz="4" w:space="0" w:color="auto"/>
              <w:bottom w:val="single" w:sz="4" w:space="0" w:color="auto"/>
            </w:tcBorders>
            <w:shd w:val="clear" w:color="auto" w:fill="auto"/>
            <w:tcMar>
              <w:top w:w="57" w:type="dxa"/>
              <w:left w:w="0" w:type="dxa"/>
              <w:bottom w:w="57" w:type="dxa"/>
              <w:right w:w="0" w:type="dxa"/>
            </w:tcMar>
            <w:vAlign w:val="bottom"/>
          </w:tcPr>
          <w:p w14:paraId="093AF6C9" w14:textId="77777777" w:rsidR="0058677E" w:rsidRPr="0058677E" w:rsidRDefault="0058677E" w:rsidP="00ED4EC2">
            <w:pPr>
              <w:contextualSpacing/>
              <w:jc w:val="right"/>
              <w:rPr>
                <w:rFonts w:ascii="Tahoma" w:hAnsi="Tahoma"/>
                <w:b/>
                <w:bCs/>
                <w:color w:val="000000" w:themeColor="text1"/>
                <w:sz w:val="16"/>
                <w:lang w:val="en-GB"/>
              </w:rPr>
            </w:pPr>
            <w:r w:rsidRPr="0058677E">
              <w:rPr>
                <w:rFonts w:ascii="Tahoma" w:hAnsi="Tahoma"/>
                <w:b/>
                <w:bCs/>
                <w:color w:val="000000" w:themeColor="text1"/>
                <w:sz w:val="16"/>
                <w:lang w:val="en-GB"/>
              </w:rPr>
              <w:t>—</w:t>
            </w:r>
          </w:p>
        </w:tc>
        <w:tc>
          <w:tcPr>
            <w:tcW w:w="1134" w:type="dxa"/>
            <w:tcBorders>
              <w:bottom w:val="single" w:sz="4" w:space="0" w:color="auto"/>
            </w:tcBorders>
            <w:shd w:val="clear" w:color="auto" w:fill="auto"/>
            <w:tcMar>
              <w:top w:w="57" w:type="dxa"/>
              <w:left w:w="0" w:type="dxa"/>
              <w:bottom w:w="57" w:type="dxa"/>
              <w:right w:w="0" w:type="dxa"/>
            </w:tcMar>
            <w:vAlign w:val="bottom"/>
          </w:tcPr>
          <w:p w14:paraId="361A35BE" w14:textId="77777777" w:rsidR="0058677E" w:rsidRPr="0058677E" w:rsidRDefault="0058677E" w:rsidP="00ED4EC2">
            <w:pPr>
              <w:contextualSpacing/>
              <w:jc w:val="right"/>
              <w:rPr>
                <w:rFonts w:ascii="Tahoma" w:hAnsi="Tahoma"/>
                <w:color w:val="000000" w:themeColor="text1"/>
                <w:sz w:val="16"/>
                <w:lang w:val="en-GB"/>
              </w:rPr>
            </w:pPr>
            <w:r w:rsidRPr="0058677E">
              <w:rPr>
                <w:rFonts w:ascii="Tahoma" w:hAnsi="Tahoma"/>
                <w:color w:val="000000" w:themeColor="text1"/>
                <w:sz w:val="16"/>
                <w:lang w:val="en-GB"/>
              </w:rPr>
              <w:t>(3)</w:t>
            </w:r>
          </w:p>
        </w:tc>
        <w:tc>
          <w:tcPr>
            <w:tcW w:w="1134" w:type="dxa"/>
            <w:tcBorders>
              <w:bottom w:val="single" w:sz="4" w:space="0" w:color="auto"/>
              <w:right w:val="single" w:sz="4" w:space="0" w:color="auto"/>
            </w:tcBorders>
            <w:shd w:val="clear" w:color="auto" w:fill="auto"/>
            <w:tcMar>
              <w:top w:w="57" w:type="dxa"/>
              <w:left w:w="0" w:type="dxa"/>
              <w:bottom w:w="57" w:type="dxa"/>
              <w:right w:w="0" w:type="dxa"/>
            </w:tcMar>
            <w:vAlign w:val="bottom"/>
          </w:tcPr>
          <w:p w14:paraId="268C80C2" w14:textId="77777777" w:rsidR="0058677E" w:rsidRPr="0058677E" w:rsidRDefault="0058677E" w:rsidP="009D0121">
            <w:pPr>
              <w:ind w:right="113"/>
              <w:contextualSpacing/>
              <w:jc w:val="right"/>
              <w:rPr>
                <w:rFonts w:ascii="Tahoma" w:hAnsi="Tahoma"/>
                <w:color w:val="000000" w:themeColor="text1"/>
                <w:sz w:val="16"/>
                <w:lang w:val="en-GB"/>
              </w:rPr>
            </w:pPr>
            <w:r w:rsidRPr="0058677E">
              <w:rPr>
                <w:rFonts w:ascii="Tahoma" w:hAnsi="Tahoma"/>
                <w:color w:val="000000" w:themeColor="text1"/>
                <w:sz w:val="16"/>
                <w:lang w:val="en-GB"/>
              </w:rPr>
              <w:t>1</w:t>
            </w:r>
          </w:p>
        </w:tc>
      </w:tr>
      <w:tr w:rsidR="00615190" w:rsidRPr="0058677E" w14:paraId="013DF0E3" w14:textId="77777777" w:rsidTr="00F24A97">
        <w:trPr>
          <w:trHeight w:hRule="exact" w:val="85"/>
        </w:trPr>
        <w:tc>
          <w:tcPr>
            <w:tcW w:w="397" w:type="dxa"/>
            <w:shd w:val="clear" w:color="auto" w:fill="auto"/>
            <w:tcMar>
              <w:top w:w="85" w:type="dxa"/>
              <w:left w:w="0" w:type="dxa"/>
              <w:bottom w:w="85" w:type="dxa"/>
              <w:right w:w="0" w:type="dxa"/>
            </w:tcMar>
            <w:vAlign w:val="bottom"/>
          </w:tcPr>
          <w:p w14:paraId="2E1E5447" w14:textId="77777777" w:rsidR="0058677E" w:rsidRPr="0058677E" w:rsidRDefault="0058677E" w:rsidP="00ED4EC2">
            <w:pPr>
              <w:contextualSpacing/>
              <w:rPr>
                <w:rFonts w:ascii="Tahoma" w:hAnsi="Tahoma"/>
                <w:color w:val="000000" w:themeColor="text1"/>
                <w:sz w:val="16"/>
                <w:lang w:val="en-GB"/>
              </w:rPr>
            </w:pPr>
          </w:p>
        </w:tc>
        <w:tc>
          <w:tcPr>
            <w:tcW w:w="6407" w:type="dxa"/>
            <w:tcBorders>
              <w:bottom w:val="single" w:sz="12" w:space="0" w:color="auto"/>
            </w:tcBorders>
            <w:shd w:val="clear" w:color="auto" w:fill="auto"/>
            <w:tcMar>
              <w:top w:w="85" w:type="dxa"/>
              <w:left w:w="0" w:type="dxa"/>
              <w:bottom w:w="85" w:type="dxa"/>
              <w:right w:w="0" w:type="dxa"/>
            </w:tcMar>
            <w:vAlign w:val="bottom"/>
          </w:tcPr>
          <w:p w14:paraId="5C93E35C" w14:textId="77777777" w:rsidR="0058677E" w:rsidRPr="0058677E" w:rsidRDefault="0058677E" w:rsidP="00ED4EC2">
            <w:pPr>
              <w:contextualSpacing/>
              <w:rPr>
                <w:rFonts w:ascii="Tahoma" w:hAnsi="Tahoma"/>
                <w:color w:val="000000" w:themeColor="text1"/>
                <w:sz w:val="16"/>
                <w:lang w:val="en-GB"/>
              </w:rPr>
            </w:pPr>
          </w:p>
        </w:tc>
        <w:tc>
          <w:tcPr>
            <w:tcW w:w="1134"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308629C6" w14:textId="77777777" w:rsidR="0058677E" w:rsidRPr="0058677E" w:rsidRDefault="0058677E" w:rsidP="00ED4EC2">
            <w:pPr>
              <w:contextualSpacing/>
              <w:rPr>
                <w:rFonts w:ascii="Tahoma" w:hAnsi="Tahoma"/>
                <w:color w:val="000000" w:themeColor="text1"/>
                <w:sz w:val="16"/>
                <w:lang w:val="en-GB"/>
              </w:rPr>
            </w:pPr>
          </w:p>
        </w:tc>
        <w:tc>
          <w:tcPr>
            <w:tcW w:w="1134"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25FD533E" w14:textId="77777777" w:rsidR="0058677E" w:rsidRPr="0058677E" w:rsidRDefault="0058677E" w:rsidP="00ED4EC2">
            <w:pPr>
              <w:contextualSpacing/>
              <w:rPr>
                <w:rFonts w:ascii="Tahoma" w:hAnsi="Tahoma"/>
                <w:color w:val="000000" w:themeColor="text1"/>
                <w:sz w:val="16"/>
                <w:lang w:val="en-GB"/>
              </w:rPr>
            </w:pPr>
          </w:p>
        </w:tc>
        <w:tc>
          <w:tcPr>
            <w:tcW w:w="1134"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026F41DA" w14:textId="77777777" w:rsidR="0058677E" w:rsidRPr="0058677E" w:rsidRDefault="0058677E" w:rsidP="009D0121">
            <w:pPr>
              <w:ind w:right="113"/>
              <w:contextualSpacing/>
              <w:rPr>
                <w:rFonts w:ascii="Tahoma" w:hAnsi="Tahoma"/>
                <w:color w:val="000000" w:themeColor="text1"/>
                <w:sz w:val="16"/>
                <w:lang w:val="en-GB"/>
              </w:rPr>
            </w:pPr>
          </w:p>
        </w:tc>
      </w:tr>
      <w:tr w:rsidR="00615190" w:rsidRPr="0058677E" w14:paraId="7B0C149C" w14:textId="77777777" w:rsidTr="00B04452">
        <w:trPr>
          <w:trHeight w:val="60"/>
        </w:trPr>
        <w:tc>
          <w:tcPr>
            <w:tcW w:w="397" w:type="dxa"/>
            <w:shd w:val="clear" w:color="auto" w:fill="auto"/>
            <w:tcMar>
              <w:top w:w="85" w:type="dxa"/>
              <w:left w:w="0" w:type="dxa"/>
              <w:bottom w:w="85" w:type="dxa"/>
              <w:right w:w="0" w:type="dxa"/>
            </w:tcMar>
            <w:vAlign w:val="bottom"/>
          </w:tcPr>
          <w:p w14:paraId="404ED9C8" w14:textId="77777777" w:rsidR="0058677E" w:rsidRPr="0058677E" w:rsidRDefault="0058677E" w:rsidP="00ED4EC2">
            <w:pPr>
              <w:contextualSpacing/>
              <w:rPr>
                <w:rFonts w:ascii="Tahoma" w:hAnsi="Tahoma"/>
                <w:color w:val="000000" w:themeColor="text1"/>
                <w:sz w:val="16"/>
                <w:lang w:val="en-GB"/>
              </w:rPr>
            </w:pPr>
          </w:p>
        </w:tc>
        <w:tc>
          <w:tcPr>
            <w:tcW w:w="9809" w:type="dxa"/>
            <w:gridSpan w:val="4"/>
            <w:tcBorders>
              <w:top w:val="single" w:sz="12" w:space="0" w:color="auto"/>
            </w:tcBorders>
            <w:shd w:val="clear" w:color="auto" w:fill="auto"/>
            <w:tcMar>
              <w:top w:w="85" w:type="dxa"/>
              <w:left w:w="0" w:type="dxa"/>
              <w:bottom w:w="85" w:type="dxa"/>
              <w:right w:w="0" w:type="dxa"/>
            </w:tcMar>
            <w:vAlign w:val="bottom"/>
          </w:tcPr>
          <w:p w14:paraId="2C05A9AA" w14:textId="77777777" w:rsidR="0058677E" w:rsidRPr="006977DE" w:rsidRDefault="0058677E" w:rsidP="00ED4EC2">
            <w:pPr>
              <w:pStyle w:val="FootnotesProsus2022FrontStylesProsus2022"/>
              <w:spacing w:line="240" w:lineRule="auto"/>
              <w:contextualSpacing/>
            </w:pPr>
            <w:r w:rsidRPr="006977DE">
              <w:t>1</w:t>
            </w:r>
            <w:r w:rsidRPr="006977DE">
              <w:tab/>
              <w:t xml:space="preserve">Net realisable value </w:t>
            </w:r>
            <w:proofErr w:type="spellStart"/>
            <w:r w:rsidRPr="006977DE">
              <w:t>writedowns</w:t>
            </w:r>
            <w:proofErr w:type="spellEnd"/>
            <w:r w:rsidRPr="006977DE">
              <w:t xml:space="preserve"> relate primarily to the Etail segment.</w:t>
            </w:r>
          </w:p>
          <w:p w14:paraId="704AA796" w14:textId="77777777" w:rsidR="0058677E" w:rsidRPr="0058677E" w:rsidRDefault="0058677E" w:rsidP="00ED4EC2">
            <w:pPr>
              <w:pStyle w:val="FootnotesProsus2022FrontStylesProsus2022"/>
              <w:spacing w:line="240" w:lineRule="auto"/>
              <w:contextualSpacing/>
            </w:pPr>
            <w:r w:rsidRPr="006977DE">
              <w:t>2</w:t>
            </w:r>
            <w:r w:rsidRPr="006977DE">
              <w:tab/>
              <w:t>In the 31 March 2022 financial year, the group reclassified a portion of the foreign currency translation reserves related to VK from ‘Other comprehensive income’ to the income statement, amounting to a loss of US$1.14bn as a result of the loss of significant influence.</w:t>
            </w:r>
          </w:p>
        </w:tc>
      </w:tr>
    </w:tbl>
    <w:p w14:paraId="197F8CE6" w14:textId="77777777" w:rsidR="0058677E" w:rsidRPr="00615190" w:rsidRDefault="0058677E" w:rsidP="00615190">
      <w:pPr>
        <w:spacing w:line="240" w:lineRule="atLeast"/>
        <w:rPr>
          <w:rFonts w:ascii="Tahoma" w:hAnsi="Tahoma"/>
          <w:color w:val="000000" w:themeColor="text1"/>
          <w:sz w:val="16"/>
        </w:rPr>
      </w:pPr>
    </w:p>
    <w:tbl>
      <w:tblPr>
        <w:tblW w:w="10206" w:type="dxa"/>
        <w:tblInd w:w="-8" w:type="dxa"/>
        <w:tblLayout w:type="fixed"/>
        <w:tblCellMar>
          <w:left w:w="0" w:type="dxa"/>
          <w:right w:w="0" w:type="dxa"/>
        </w:tblCellMar>
        <w:tblLook w:val="0000" w:firstRow="0" w:lastRow="0" w:firstColumn="0" w:lastColumn="0" w:noHBand="0" w:noVBand="0"/>
      </w:tblPr>
      <w:tblGrid>
        <w:gridCol w:w="397"/>
        <w:gridCol w:w="6407"/>
        <w:gridCol w:w="1134"/>
        <w:gridCol w:w="1134"/>
        <w:gridCol w:w="1134"/>
      </w:tblGrid>
      <w:tr w:rsidR="00615190" w:rsidRPr="00200D95" w14:paraId="41FC9CFB" w14:textId="77777777" w:rsidTr="00484B0F">
        <w:trPr>
          <w:trHeight w:val="60"/>
        </w:trPr>
        <w:tc>
          <w:tcPr>
            <w:tcW w:w="397" w:type="dxa"/>
            <w:shd w:val="clear" w:color="auto" w:fill="auto"/>
            <w:tcMar>
              <w:top w:w="0" w:type="dxa"/>
              <w:left w:w="0" w:type="dxa"/>
              <w:bottom w:w="57" w:type="dxa"/>
              <w:right w:w="0" w:type="dxa"/>
            </w:tcMar>
            <w:vAlign w:val="bottom"/>
          </w:tcPr>
          <w:p w14:paraId="4D4D2081" w14:textId="77777777" w:rsidR="00200D95" w:rsidRPr="00200D95" w:rsidRDefault="00115399" w:rsidP="00615190">
            <w:pPr>
              <w:spacing w:line="240" w:lineRule="atLeast"/>
              <w:rPr>
                <w:rFonts w:ascii="Tahoma" w:hAnsi="Tahoma"/>
                <w:b/>
                <w:bCs/>
                <w:color w:val="000000" w:themeColor="text1"/>
                <w:sz w:val="16"/>
                <w:lang w:val="en-GB"/>
              </w:rPr>
            </w:pPr>
            <w:r w:rsidRPr="00115399">
              <w:rPr>
                <w:rFonts w:ascii="Tahoma" w:hAnsi="Tahoma"/>
                <w:b/>
                <w:bCs/>
                <w:color w:val="000000" w:themeColor="text1"/>
                <w:sz w:val="16"/>
                <w:lang w:val="en-GB"/>
              </w:rPr>
              <w:t>10.</w:t>
            </w:r>
          </w:p>
        </w:tc>
        <w:tc>
          <w:tcPr>
            <w:tcW w:w="9809" w:type="dxa"/>
            <w:gridSpan w:val="4"/>
            <w:shd w:val="clear" w:color="auto" w:fill="auto"/>
            <w:tcMar>
              <w:top w:w="0" w:type="dxa"/>
              <w:left w:w="0" w:type="dxa"/>
              <w:bottom w:w="57" w:type="dxa"/>
              <w:right w:w="0" w:type="dxa"/>
            </w:tcMar>
            <w:vAlign w:val="bottom"/>
          </w:tcPr>
          <w:p w14:paraId="22E4E39C" w14:textId="77777777" w:rsidR="00200D95" w:rsidRPr="00200D95" w:rsidRDefault="00115399" w:rsidP="00615190">
            <w:pPr>
              <w:spacing w:line="240" w:lineRule="atLeast"/>
              <w:rPr>
                <w:rFonts w:ascii="Tahoma" w:hAnsi="Tahoma"/>
                <w:b/>
                <w:bCs/>
                <w:color w:val="000000" w:themeColor="text1"/>
                <w:sz w:val="16"/>
                <w:lang w:val="en-GB"/>
              </w:rPr>
            </w:pPr>
            <w:r w:rsidRPr="00115399">
              <w:rPr>
                <w:rFonts w:ascii="Tahoma" w:hAnsi="Tahoma"/>
                <w:b/>
                <w:bCs/>
                <w:color w:val="000000" w:themeColor="text1"/>
                <w:sz w:val="16"/>
                <w:lang w:val="en-GB"/>
              </w:rPr>
              <w:t>GOODWILL</w:t>
            </w:r>
          </w:p>
        </w:tc>
      </w:tr>
      <w:tr w:rsidR="00615190" w:rsidRPr="00200D95" w14:paraId="76163399" w14:textId="77777777" w:rsidTr="00484B0F">
        <w:trPr>
          <w:trHeight w:val="60"/>
        </w:trPr>
        <w:tc>
          <w:tcPr>
            <w:tcW w:w="397" w:type="dxa"/>
            <w:shd w:val="clear" w:color="auto" w:fill="auto"/>
            <w:tcMar>
              <w:top w:w="57" w:type="dxa"/>
              <w:left w:w="0" w:type="dxa"/>
              <w:bottom w:w="113" w:type="dxa"/>
              <w:right w:w="0" w:type="dxa"/>
            </w:tcMar>
            <w:vAlign w:val="bottom"/>
          </w:tcPr>
          <w:p w14:paraId="131F23B3" w14:textId="77777777" w:rsidR="00200D95" w:rsidRPr="00200D95" w:rsidRDefault="00200D95" w:rsidP="00615190">
            <w:pPr>
              <w:spacing w:line="240" w:lineRule="atLeast"/>
              <w:rPr>
                <w:rFonts w:ascii="Tahoma" w:hAnsi="Tahoma"/>
                <w:color w:val="000000" w:themeColor="text1"/>
                <w:sz w:val="16"/>
                <w:lang w:val="en-GB"/>
              </w:rPr>
            </w:pPr>
          </w:p>
        </w:tc>
        <w:tc>
          <w:tcPr>
            <w:tcW w:w="9809" w:type="dxa"/>
            <w:gridSpan w:val="4"/>
            <w:shd w:val="clear" w:color="auto" w:fill="auto"/>
            <w:tcMar>
              <w:top w:w="57" w:type="dxa"/>
              <w:left w:w="0" w:type="dxa"/>
              <w:bottom w:w="113" w:type="dxa"/>
              <w:right w:w="0" w:type="dxa"/>
            </w:tcMar>
            <w:vAlign w:val="bottom"/>
          </w:tcPr>
          <w:p w14:paraId="2CA94DB0" w14:textId="77777777" w:rsidR="00200D95" w:rsidRPr="00200D95" w:rsidRDefault="00200D95" w:rsidP="00615190">
            <w:pPr>
              <w:spacing w:line="240" w:lineRule="atLeast"/>
              <w:rPr>
                <w:rFonts w:ascii="Tahoma" w:hAnsi="Tahoma"/>
                <w:color w:val="000000" w:themeColor="text1"/>
                <w:sz w:val="16"/>
                <w:lang w:val="en-GB"/>
              </w:rPr>
            </w:pPr>
            <w:r w:rsidRPr="00200D95">
              <w:rPr>
                <w:rFonts w:ascii="Tahoma" w:hAnsi="Tahoma"/>
                <w:color w:val="000000" w:themeColor="text1"/>
                <w:sz w:val="16"/>
                <w:lang w:val="en-GB"/>
              </w:rPr>
              <w:t>Movements in the group’s goodwill for the period are detailed below:</w:t>
            </w:r>
          </w:p>
        </w:tc>
      </w:tr>
      <w:tr w:rsidR="00615190" w:rsidRPr="00200D95" w14:paraId="341A3B83" w14:textId="77777777" w:rsidTr="00181D51">
        <w:trPr>
          <w:trHeight w:val="60"/>
        </w:trPr>
        <w:tc>
          <w:tcPr>
            <w:tcW w:w="397" w:type="dxa"/>
            <w:shd w:val="clear" w:color="auto" w:fill="auto"/>
            <w:tcMar>
              <w:top w:w="85" w:type="dxa"/>
              <w:left w:w="0" w:type="dxa"/>
              <w:bottom w:w="85" w:type="dxa"/>
              <w:right w:w="0" w:type="dxa"/>
            </w:tcMar>
            <w:vAlign w:val="bottom"/>
          </w:tcPr>
          <w:p w14:paraId="4CC66C8B" w14:textId="77777777" w:rsidR="00200D95" w:rsidRPr="00200D95" w:rsidRDefault="00200D95" w:rsidP="00615190">
            <w:pPr>
              <w:spacing w:line="240" w:lineRule="atLeast"/>
              <w:rPr>
                <w:rFonts w:ascii="Tahoma" w:hAnsi="Tahoma"/>
                <w:color w:val="000000" w:themeColor="text1"/>
                <w:sz w:val="16"/>
                <w:lang w:val="en-GB"/>
              </w:rPr>
            </w:pPr>
          </w:p>
        </w:tc>
        <w:tc>
          <w:tcPr>
            <w:tcW w:w="6407" w:type="dxa"/>
            <w:shd w:val="clear" w:color="auto" w:fill="auto"/>
            <w:tcMar>
              <w:top w:w="85" w:type="dxa"/>
              <w:left w:w="0" w:type="dxa"/>
              <w:bottom w:w="85" w:type="dxa"/>
              <w:right w:w="0" w:type="dxa"/>
            </w:tcMar>
            <w:vAlign w:val="bottom"/>
          </w:tcPr>
          <w:p w14:paraId="733EE2FD" w14:textId="77777777" w:rsidR="00200D95" w:rsidRPr="00200D95" w:rsidRDefault="00200D95" w:rsidP="00615190">
            <w:pPr>
              <w:spacing w:line="240" w:lineRule="atLeast"/>
              <w:rPr>
                <w:rFonts w:ascii="Tahoma" w:hAnsi="Tahoma"/>
                <w:color w:val="000000" w:themeColor="text1"/>
                <w:sz w:val="16"/>
                <w:lang w:val="en-GB"/>
              </w:rPr>
            </w:pPr>
          </w:p>
        </w:tc>
        <w:tc>
          <w:tcPr>
            <w:tcW w:w="2268" w:type="dxa"/>
            <w:gridSpan w:val="2"/>
            <w:shd w:val="clear" w:color="auto" w:fill="auto"/>
            <w:tcMar>
              <w:top w:w="85" w:type="dxa"/>
              <w:left w:w="0" w:type="dxa"/>
              <w:bottom w:w="85" w:type="dxa"/>
              <w:right w:w="0" w:type="dxa"/>
            </w:tcMar>
            <w:vAlign w:val="bottom"/>
          </w:tcPr>
          <w:p w14:paraId="4E970396" w14:textId="77777777" w:rsidR="00200D95" w:rsidRPr="00200D95" w:rsidRDefault="00200D95" w:rsidP="00070628">
            <w:pPr>
              <w:spacing w:line="240" w:lineRule="atLeast"/>
              <w:ind w:left="430"/>
              <w:jc w:val="center"/>
              <w:rPr>
                <w:rFonts w:ascii="Tahoma" w:hAnsi="Tahoma"/>
                <w:b/>
                <w:bCs/>
                <w:color w:val="000000" w:themeColor="text1"/>
                <w:sz w:val="16"/>
                <w:lang w:val="en-GB"/>
              </w:rPr>
            </w:pPr>
            <w:r w:rsidRPr="00200D95">
              <w:rPr>
                <w:rFonts w:ascii="Tahoma" w:hAnsi="Tahoma"/>
                <w:b/>
                <w:bCs/>
                <w:color w:val="000000" w:themeColor="text1"/>
                <w:sz w:val="16"/>
                <w:lang w:val="en-GB"/>
              </w:rPr>
              <w:t>Six months ended</w:t>
            </w:r>
          </w:p>
          <w:p w14:paraId="12717F1E" w14:textId="77777777" w:rsidR="00200D95" w:rsidRPr="00200D95" w:rsidRDefault="00200D95" w:rsidP="00070628">
            <w:pPr>
              <w:spacing w:line="240" w:lineRule="atLeast"/>
              <w:ind w:left="430"/>
              <w:jc w:val="center"/>
              <w:rPr>
                <w:rFonts w:ascii="Tahoma" w:hAnsi="Tahoma"/>
                <w:color w:val="000000" w:themeColor="text1"/>
                <w:sz w:val="16"/>
                <w:lang w:val="en-GB"/>
              </w:rPr>
            </w:pPr>
            <w:r w:rsidRPr="00200D95">
              <w:rPr>
                <w:rFonts w:ascii="Tahoma" w:hAnsi="Tahoma"/>
                <w:b/>
                <w:bCs/>
                <w:color w:val="000000" w:themeColor="text1"/>
                <w:sz w:val="16"/>
                <w:lang w:val="en-GB"/>
              </w:rPr>
              <w:t>30 September</w:t>
            </w:r>
          </w:p>
        </w:tc>
        <w:tc>
          <w:tcPr>
            <w:tcW w:w="1134" w:type="dxa"/>
            <w:shd w:val="clear" w:color="auto" w:fill="auto"/>
            <w:tcMar>
              <w:top w:w="85" w:type="dxa"/>
              <w:left w:w="0" w:type="dxa"/>
              <w:bottom w:w="85" w:type="dxa"/>
              <w:right w:w="0" w:type="dxa"/>
            </w:tcMar>
            <w:vAlign w:val="bottom"/>
          </w:tcPr>
          <w:p w14:paraId="27264B69" w14:textId="77777777" w:rsidR="00200D95" w:rsidRPr="00200D95" w:rsidRDefault="00200D95" w:rsidP="002A09BD">
            <w:pPr>
              <w:spacing w:line="240" w:lineRule="atLeast"/>
              <w:jc w:val="right"/>
              <w:rPr>
                <w:rFonts w:ascii="Tahoma" w:hAnsi="Tahoma"/>
                <w:color w:val="000000" w:themeColor="text1"/>
                <w:sz w:val="16"/>
                <w:lang w:val="en-GB"/>
              </w:rPr>
            </w:pPr>
            <w:r w:rsidRPr="00200D95">
              <w:rPr>
                <w:rFonts w:ascii="Tahoma" w:hAnsi="Tahoma"/>
                <w:color w:val="000000" w:themeColor="text1"/>
                <w:sz w:val="16"/>
                <w:lang w:val="en-GB"/>
              </w:rPr>
              <w:t>Year</w:t>
            </w:r>
          </w:p>
          <w:p w14:paraId="0327C6C0" w14:textId="77777777" w:rsidR="00200D95" w:rsidRPr="00200D95" w:rsidRDefault="00200D95" w:rsidP="002A09BD">
            <w:pPr>
              <w:spacing w:line="240" w:lineRule="atLeast"/>
              <w:jc w:val="right"/>
              <w:rPr>
                <w:rFonts w:ascii="Tahoma" w:hAnsi="Tahoma"/>
                <w:color w:val="000000" w:themeColor="text1"/>
                <w:sz w:val="16"/>
                <w:lang w:val="en-GB"/>
              </w:rPr>
            </w:pPr>
            <w:r w:rsidRPr="00200D95">
              <w:rPr>
                <w:rFonts w:ascii="Tahoma" w:hAnsi="Tahoma"/>
                <w:color w:val="000000" w:themeColor="text1"/>
                <w:sz w:val="16"/>
                <w:lang w:val="en-GB"/>
              </w:rPr>
              <w:t xml:space="preserve"> ended</w:t>
            </w:r>
          </w:p>
          <w:p w14:paraId="280071CB" w14:textId="77777777" w:rsidR="00200D95" w:rsidRPr="00200D95" w:rsidRDefault="00200D95" w:rsidP="002A09BD">
            <w:pPr>
              <w:spacing w:line="240" w:lineRule="atLeast"/>
              <w:jc w:val="right"/>
              <w:rPr>
                <w:rFonts w:ascii="Tahoma" w:hAnsi="Tahoma"/>
                <w:color w:val="000000" w:themeColor="text1"/>
                <w:sz w:val="16"/>
                <w:lang w:val="en-GB"/>
              </w:rPr>
            </w:pPr>
            <w:r w:rsidRPr="00200D95">
              <w:rPr>
                <w:rFonts w:ascii="Tahoma" w:hAnsi="Tahoma"/>
                <w:color w:val="000000" w:themeColor="text1"/>
                <w:sz w:val="16"/>
                <w:lang w:val="en-GB"/>
              </w:rPr>
              <w:t>31 March</w:t>
            </w:r>
          </w:p>
        </w:tc>
      </w:tr>
      <w:tr w:rsidR="00615190" w:rsidRPr="00200D95" w14:paraId="35E9496D" w14:textId="77777777" w:rsidTr="00181D51">
        <w:trPr>
          <w:trHeight w:val="60"/>
        </w:trPr>
        <w:tc>
          <w:tcPr>
            <w:tcW w:w="397" w:type="dxa"/>
            <w:shd w:val="clear" w:color="auto" w:fill="auto"/>
            <w:tcMar>
              <w:top w:w="113" w:type="dxa"/>
              <w:left w:w="0" w:type="dxa"/>
              <w:bottom w:w="113" w:type="dxa"/>
              <w:right w:w="0" w:type="dxa"/>
            </w:tcMar>
            <w:vAlign w:val="bottom"/>
          </w:tcPr>
          <w:p w14:paraId="6D69D4FF" w14:textId="77777777" w:rsidR="00200D95" w:rsidRPr="00200D95" w:rsidRDefault="00200D95" w:rsidP="00615190">
            <w:pPr>
              <w:spacing w:line="240" w:lineRule="atLeast"/>
              <w:rPr>
                <w:rFonts w:ascii="Tahoma" w:hAnsi="Tahoma"/>
                <w:color w:val="000000" w:themeColor="text1"/>
                <w:sz w:val="16"/>
                <w:lang w:val="en-GB"/>
              </w:rPr>
            </w:pPr>
          </w:p>
        </w:tc>
        <w:tc>
          <w:tcPr>
            <w:tcW w:w="6407" w:type="dxa"/>
            <w:tcBorders>
              <w:bottom w:val="single" w:sz="12" w:space="0" w:color="auto"/>
            </w:tcBorders>
            <w:shd w:val="clear" w:color="auto" w:fill="auto"/>
            <w:tcMar>
              <w:top w:w="113" w:type="dxa"/>
              <w:left w:w="0" w:type="dxa"/>
              <w:bottom w:w="113" w:type="dxa"/>
              <w:right w:w="0" w:type="dxa"/>
            </w:tcMar>
            <w:vAlign w:val="bottom"/>
          </w:tcPr>
          <w:p w14:paraId="101D34A0" w14:textId="77777777" w:rsidR="00200D95" w:rsidRPr="00200D95" w:rsidRDefault="00200D95" w:rsidP="00615190">
            <w:pPr>
              <w:spacing w:line="240" w:lineRule="atLeast"/>
              <w:rPr>
                <w:rFonts w:ascii="Tahoma" w:hAnsi="Tahoma"/>
                <w:color w:val="000000" w:themeColor="text1"/>
                <w:sz w:val="16"/>
                <w:lang w:val="en-GB"/>
              </w:rPr>
            </w:pPr>
          </w:p>
        </w:tc>
        <w:tc>
          <w:tcPr>
            <w:tcW w:w="1134" w:type="dxa"/>
            <w:tcBorders>
              <w:bottom w:val="single" w:sz="12" w:space="0" w:color="auto"/>
            </w:tcBorders>
            <w:shd w:val="clear" w:color="auto" w:fill="auto"/>
            <w:tcMar>
              <w:top w:w="113" w:type="dxa"/>
              <w:left w:w="0" w:type="dxa"/>
              <w:bottom w:w="113" w:type="dxa"/>
              <w:right w:w="0" w:type="dxa"/>
            </w:tcMar>
            <w:vAlign w:val="bottom"/>
          </w:tcPr>
          <w:p w14:paraId="4B788683" w14:textId="77777777" w:rsidR="00200D95" w:rsidRPr="00200D95" w:rsidRDefault="00200D95" w:rsidP="002A09BD">
            <w:pPr>
              <w:spacing w:line="240" w:lineRule="atLeast"/>
              <w:jc w:val="right"/>
              <w:rPr>
                <w:rFonts w:ascii="Tahoma" w:hAnsi="Tahoma"/>
                <w:b/>
                <w:bCs/>
                <w:color w:val="000000" w:themeColor="text1"/>
                <w:sz w:val="16"/>
                <w:lang w:val="en-GB"/>
              </w:rPr>
            </w:pPr>
            <w:r w:rsidRPr="00200D95">
              <w:rPr>
                <w:rFonts w:ascii="Tahoma" w:hAnsi="Tahoma"/>
                <w:b/>
                <w:bCs/>
                <w:color w:val="000000" w:themeColor="text1"/>
                <w:sz w:val="16"/>
                <w:lang w:val="en-GB"/>
              </w:rPr>
              <w:t>2022</w:t>
            </w:r>
          </w:p>
          <w:p w14:paraId="69CD25C1" w14:textId="77777777" w:rsidR="00200D95" w:rsidRPr="00200D95" w:rsidRDefault="00200D95" w:rsidP="002A09BD">
            <w:pPr>
              <w:spacing w:line="240" w:lineRule="atLeast"/>
              <w:jc w:val="right"/>
              <w:rPr>
                <w:rFonts w:ascii="Tahoma" w:hAnsi="Tahoma"/>
                <w:b/>
                <w:bCs/>
                <w:color w:val="000000" w:themeColor="text1"/>
                <w:sz w:val="16"/>
                <w:lang w:val="en-GB"/>
              </w:rPr>
            </w:pPr>
            <w:proofErr w:type="spellStart"/>
            <w:r w:rsidRPr="00200D95">
              <w:rPr>
                <w:rFonts w:ascii="Tahoma" w:hAnsi="Tahoma"/>
                <w:b/>
                <w:bCs/>
                <w:color w:val="000000" w:themeColor="text1"/>
                <w:sz w:val="16"/>
                <w:lang w:val="en-GB"/>
              </w:rPr>
              <w:t>US$’m</w:t>
            </w:r>
            <w:proofErr w:type="spellEnd"/>
          </w:p>
        </w:tc>
        <w:tc>
          <w:tcPr>
            <w:tcW w:w="1134" w:type="dxa"/>
            <w:tcBorders>
              <w:bottom w:val="single" w:sz="12" w:space="0" w:color="auto"/>
            </w:tcBorders>
            <w:shd w:val="clear" w:color="auto" w:fill="auto"/>
            <w:tcMar>
              <w:top w:w="113" w:type="dxa"/>
              <w:left w:w="0" w:type="dxa"/>
              <w:bottom w:w="113" w:type="dxa"/>
              <w:right w:w="0" w:type="dxa"/>
            </w:tcMar>
            <w:vAlign w:val="bottom"/>
          </w:tcPr>
          <w:p w14:paraId="7E2E58F7" w14:textId="77777777" w:rsidR="00200D95" w:rsidRPr="00200D95" w:rsidRDefault="00200D95" w:rsidP="002A09BD">
            <w:pPr>
              <w:spacing w:line="240" w:lineRule="atLeast"/>
              <w:jc w:val="right"/>
              <w:rPr>
                <w:rFonts w:ascii="Tahoma" w:hAnsi="Tahoma"/>
                <w:color w:val="000000" w:themeColor="text1"/>
                <w:sz w:val="16"/>
                <w:lang w:val="en-GB"/>
              </w:rPr>
            </w:pPr>
            <w:r w:rsidRPr="00200D95">
              <w:rPr>
                <w:rFonts w:ascii="Tahoma" w:hAnsi="Tahoma"/>
                <w:color w:val="000000" w:themeColor="text1"/>
                <w:sz w:val="16"/>
                <w:lang w:val="en-GB"/>
              </w:rPr>
              <w:t>2021</w:t>
            </w:r>
          </w:p>
          <w:p w14:paraId="53180599" w14:textId="77777777" w:rsidR="00200D95" w:rsidRPr="00200D95" w:rsidRDefault="00200D95" w:rsidP="002A09BD">
            <w:pPr>
              <w:spacing w:line="240" w:lineRule="atLeast"/>
              <w:jc w:val="right"/>
              <w:rPr>
                <w:rFonts w:ascii="Tahoma" w:hAnsi="Tahoma"/>
                <w:color w:val="000000" w:themeColor="text1"/>
                <w:sz w:val="16"/>
                <w:lang w:val="en-GB"/>
              </w:rPr>
            </w:pPr>
            <w:proofErr w:type="spellStart"/>
            <w:r w:rsidRPr="00200D95">
              <w:rPr>
                <w:rFonts w:ascii="Tahoma" w:hAnsi="Tahoma"/>
                <w:color w:val="000000" w:themeColor="text1"/>
                <w:sz w:val="16"/>
                <w:lang w:val="en-GB"/>
              </w:rPr>
              <w:t>US$’m</w:t>
            </w:r>
            <w:proofErr w:type="spellEnd"/>
          </w:p>
        </w:tc>
        <w:tc>
          <w:tcPr>
            <w:tcW w:w="1134" w:type="dxa"/>
            <w:tcBorders>
              <w:bottom w:val="single" w:sz="12" w:space="0" w:color="auto"/>
            </w:tcBorders>
            <w:shd w:val="clear" w:color="auto" w:fill="auto"/>
            <w:tcMar>
              <w:top w:w="113" w:type="dxa"/>
              <w:left w:w="0" w:type="dxa"/>
              <w:bottom w:w="113" w:type="dxa"/>
              <w:right w:w="0" w:type="dxa"/>
            </w:tcMar>
            <w:vAlign w:val="bottom"/>
          </w:tcPr>
          <w:p w14:paraId="5B9BA0D0" w14:textId="77777777" w:rsidR="00200D95" w:rsidRPr="00200D95" w:rsidRDefault="00200D95" w:rsidP="002A09BD">
            <w:pPr>
              <w:spacing w:line="240" w:lineRule="atLeast"/>
              <w:jc w:val="right"/>
              <w:rPr>
                <w:rFonts w:ascii="Tahoma" w:hAnsi="Tahoma"/>
                <w:color w:val="000000" w:themeColor="text1"/>
                <w:sz w:val="16"/>
                <w:lang w:val="en-GB"/>
              </w:rPr>
            </w:pPr>
            <w:r w:rsidRPr="00200D95">
              <w:rPr>
                <w:rFonts w:ascii="Tahoma" w:hAnsi="Tahoma"/>
                <w:color w:val="000000" w:themeColor="text1"/>
                <w:sz w:val="16"/>
                <w:lang w:val="en-GB"/>
              </w:rPr>
              <w:t>2022</w:t>
            </w:r>
          </w:p>
          <w:p w14:paraId="7C752A6B" w14:textId="77777777" w:rsidR="00200D95" w:rsidRPr="00200D95" w:rsidRDefault="00200D95" w:rsidP="002A09BD">
            <w:pPr>
              <w:spacing w:line="240" w:lineRule="atLeast"/>
              <w:jc w:val="right"/>
              <w:rPr>
                <w:rFonts w:ascii="Tahoma" w:hAnsi="Tahoma"/>
                <w:color w:val="000000" w:themeColor="text1"/>
                <w:sz w:val="16"/>
                <w:lang w:val="en-GB"/>
              </w:rPr>
            </w:pPr>
            <w:proofErr w:type="spellStart"/>
            <w:r w:rsidRPr="00200D95">
              <w:rPr>
                <w:rFonts w:ascii="Tahoma" w:hAnsi="Tahoma"/>
                <w:color w:val="000000" w:themeColor="text1"/>
                <w:sz w:val="16"/>
                <w:lang w:val="en-GB"/>
              </w:rPr>
              <w:t>US$’m</w:t>
            </w:r>
            <w:proofErr w:type="spellEnd"/>
          </w:p>
        </w:tc>
      </w:tr>
      <w:tr w:rsidR="00615190" w:rsidRPr="00200D95" w14:paraId="56178C9C" w14:textId="77777777" w:rsidTr="00181D51">
        <w:trPr>
          <w:trHeight w:val="60"/>
        </w:trPr>
        <w:tc>
          <w:tcPr>
            <w:tcW w:w="397" w:type="dxa"/>
            <w:shd w:val="clear" w:color="auto" w:fill="auto"/>
            <w:tcMar>
              <w:top w:w="142" w:type="dxa"/>
              <w:left w:w="0" w:type="dxa"/>
              <w:bottom w:w="57" w:type="dxa"/>
              <w:right w:w="0" w:type="dxa"/>
            </w:tcMar>
            <w:vAlign w:val="bottom"/>
          </w:tcPr>
          <w:p w14:paraId="51B2AC7E" w14:textId="77777777" w:rsidR="00200D95" w:rsidRPr="00200D95" w:rsidRDefault="00200D95" w:rsidP="00615190">
            <w:pPr>
              <w:spacing w:line="240" w:lineRule="atLeast"/>
              <w:rPr>
                <w:rFonts w:ascii="Tahoma" w:hAnsi="Tahoma"/>
                <w:color w:val="000000" w:themeColor="text1"/>
                <w:sz w:val="16"/>
                <w:lang w:val="en-GB"/>
              </w:rPr>
            </w:pPr>
          </w:p>
        </w:tc>
        <w:tc>
          <w:tcPr>
            <w:tcW w:w="6407" w:type="dxa"/>
            <w:tcBorders>
              <w:top w:val="single" w:sz="12" w:space="0" w:color="auto"/>
            </w:tcBorders>
            <w:shd w:val="clear" w:color="auto" w:fill="auto"/>
            <w:tcMar>
              <w:top w:w="142" w:type="dxa"/>
              <w:left w:w="0" w:type="dxa"/>
              <w:bottom w:w="57" w:type="dxa"/>
              <w:right w:w="0" w:type="dxa"/>
            </w:tcMar>
            <w:vAlign w:val="bottom"/>
          </w:tcPr>
          <w:p w14:paraId="4E904C11" w14:textId="77777777" w:rsidR="00200D95" w:rsidRPr="00200D95" w:rsidRDefault="00200D95" w:rsidP="00615190">
            <w:pPr>
              <w:spacing w:line="240" w:lineRule="atLeast"/>
              <w:rPr>
                <w:rFonts w:ascii="Tahoma" w:hAnsi="Tahoma"/>
                <w:b/>
                <w:bCs/>
                <w:color w:val="000000" w:themeColor="text1"/>
                <w:sz w:val="16"/>
                <w:lang w:val="en-GB"/>
              </w:rPr>
            </w:pPr>
            <w:r w:rsidRPr="00200D95">
              <w:rPr>
                <w:rFonts w:ascii="Tahoma" w:hAnsi="Tahoma"/>
                <w:b/>
                <w:bCs/>
                <w:color w:val="000000" w:themeColor="text1"/>
                <w:sz w:val="16"/>
                <w:lang w:val="en-GB"/>
              </w:rPr>
              <w:t xml:space="preserve">Goodwill </w:t>
            </w:r>
          </w:p>
        </w:tc>
        <w:tc>
          <w:tcPr>
            <w:tcW w:w="1134" w:type="dxa"/>
            <w:tcBorders>
              <w:top w:val="single" w:sz="12" w:space="0" w:color="auto"/>
            </w:tcBorders>
            <w:shd w:val="clear" w:color="auto" w:fill="auto"/>
            <w:tcMar>
              <w:top w:w="142" w:type="dxa"/>
              <w:left w:w="0" w:type="dxa"/>
              <w:bottom w:w="57" w:type="dxa"/>
              <w:right w:w="0" w:type="dxa"/>
            </w:tcMar>
            <w:vAlign w:val="bottom"/>
          </w:tcPr>
          <w:p w14:paraId="10C31067" w14:textId="77777777" w:rsidR="00200D95" w:rsidRPr="00200D95" w:rsidRDefault="00200D95" w:rsidP="002A09BD">
            <w:pPr>
              <w:spacing w:line="240" w:lineRule="atLeast"/>
              <w:jc w:val="right"/>
              <w:rPr>
                <w:rFonts w:ascii="Tahoma" w:hAnsi="Tahoma"/>
                <w:b/>
                <w:bCs/>
                <w:color w:val="000000" w:themeColor="text1"/>
                <w:sz w:val="16"/>
                <w:lang w:val="en-GB"/>
              </w:rPr>
            </w:pPr>
          </w:p>
        </w:tc>
        <w:tc>
          <w:tcPr>
            <w:tcW w:w="1134" w:type="dxa"/>
            <w:tcBorders>
              <w:top w:val="single" w:sz="12" w:space="0" w:color="auto"/>
            </w:tcBorders>
            <w:shd w:val="clear" w:color="auto" w:fill="auto"/>
            <w:tcMar>
              <w:top w:w="142" w:type="dxa"/>
              <w:left w:w="0" w:type="dxa"/>
              <w:bottom w:w="57" w:type="dxa"/>
              <w:right w:w="0" w:type="dxa"/>
            </w:tcMar>
            <w:vAlign w:val="bottom"/>
          </w:tcPr>
          <w:p w14:paraId="26590C4C" w14:textId="77777777" w:rsidR="00200D95" w:rsidRPr="00200D95" w:rsidRDefault="00200D95" w:rsidP="002A09BD">
            <w:pPr>
              <w:spacing w:line="240" w:lineRule="atLeast"/>
              <w:jc w:val="right"/>
              <w:rPr>
                <w:rFonts w:ascii="Tahoma" w:hAnsi="Tahoma"/>
                <w:color w:val="000000" w:themeColor="text1"/>
                <w:sz w:val="16"/>
                <w:lang w:val="en-GB"/>
              </w:rPr>
            </w:pPr>
          </w:p>
        </w:tc>
        <w:tc>
          <w:tcPr>
            <w:tcW w:w="1134" w:type="dxa"/>
            <w:tcBorders>
              <w:top w:val="single" w:sz="12" w:space="0" w:color="auto"/>
            </w:tcBorders>
            <w:shd w:val="clear" w:color="auto" w:fill="auto"/>
            <w:tcMar>
              <w:top w:w="142" w:type="dxa"/>
              <w:left w:w="0" w:type="dxa"/>
              <w:bottom w:w="57" w:type="dxa"/>
              <w:right w:w="0" w:type="dxa"/>
            </w:tcMar>
            <w:vAlign w:val="bottom"/>
          </w:tcPr>
          <w:p w14:paraId="41398106" w14:textId="77777777" w:rsidR="00200D95" w:rsidRPr="00200D95" w:rsidRDefault="00200D95" w:rsidP="002A09BD">
            <w:pPr>
              <w:spacing w:line="240" w:lineRule="atLeast"/>
              <w:jc w:val="right"/>
              <w:rPr>
                <w:rFonts w:ascii="Tahoma" w:hAnsi="Tahoma"/>
                <w:color w:val="000000" w:themeColor="text1"/>
                <w:sz w:val="16"/>
                <w:lang w:val="en-GB"/>
              </w:rPr>
            </w:pPr>
          </w:p>
        </w:tc>
      </w:tr>
      <w:tr w:rsidR="00615190" w:rsidRPr="00200D95" w14:paraId="088E0BE9" w14:textId="77777777" w:rsidTr="00484B0F">
        <w:trPr>
          <w:trHeight w:val="60"/>
        </w:trPr>
        <w:tc>
          <w:tcPr>
            <w:tcW w:w="397" w:type="dxa"/>
            <w:shd w:val="clear" w:color="auto" w:fill="auto"/>
            <w:tcMar>
              <w:top w:w="57" w:type="dxa"/>
              <w:left w:w="0" w:type="dxa"/>
              <w:bottom w:w="57" w:type="dxa"/>
              <w:right w:w="0" w:type="dxa"/>
            </w:tcMar>
            <w:vAlign w:val="bottom"/>
          </w:tcPr>
          <w:p w14:paraId="607A16CF" w14:textId="77777777" w:rsidR="00200D95" w:rsidRPr="00200D95" w:rsidRDefault="00200D95" w:rsidP="00615190">
            <w:pPr>
              <w:spacing w:line="240" w:lineRule="atLeast"/>
              <w:rPr>
                <w:rFonts w:ascii="Tahoma" w:hAnsi="Tahoma"/>
                <w:color w:val="000000" w:themeColor="text1"/>
                <w:sz w:val="16"/>
                <w:lang w:val="en-GB"/>
              </w:rPr>
            </w:pPr>
          </w:p>
        </w:tc>
        <w:tc>
          <w:tcPr>
            <w:tcW w:w="6407" w:type="dxa"/>
            <w:shd w:val="clear" w:color="auto" w:fill="auto"/>
            <w:tcMar>
              <w:top w:w="57" w:type="dxa"/>
              <w:left w:w="0" w:type="dxa"/>
              <w:bottom w:w="57" w:type="dxa"/>
              <w:right w:w="0" w:type="dxa"/>
            </w:tcMar>
            <w:vAlign w:val="bottom"/>
          </w:tcPr>
          <w:p w14:paraId="46C9F0BF" w14:textId="77777777" w:rsidR="00200D95" w:rsidRPr="00200D95" w:rsidRDefault="00200D95" w:rsidP="00615190">
            <w:pPr>
              <w:spacing w:line="240" w:lineRule="atLeast"/>
              <w:rPr>
                <w:rFonts w:ascii="Tahoma" w:hAnsi="Tahoma"/>
                <w:color w:val="000000" w:themeColor="text1"/>
                <w:sz w:val="16"/>
                <w:lang w:val="en-GB"/>
              </w:rPr>
            </w:pPr>
            <w:r w:rsidRPr="00200D95">
              <w:rPr>
                <w:rFonts w:ascii="Tahoma" w:hAnsi="Tahoma"/>
                <w:color w:val="000000" w:themeColor="text1"/>
                <w:sz w:val="16"/>
                <w:lang w:val="en-GB"/>
              </w:rPr>
              <w:t>Cost</w:t>
            </w:r>
          </w:p>
        </w:tc>
        <w:tc>
          <w:tcPr>
            <w:tcW w:w="1134" w:type="dxa"/>
            <w:shd w:val="clear" w:color="auto" w:fill="auto"/>
            <w:tcMar>
              <w:top w:w="57" w:type="dxa"/>
              <w:left w:w="0" w:type="dxa"/>
              <w:bottom w:w="57" w:type="dxa"/>
              <w:right w:w="0" w:type="dxa"/>
            </w:tcMar>
            <w:vAlign w:val="bottom"/>
          </w:tcPr>
          <w:p w14:paraId="4C25984B" w14:textId="77777777" w:rsidR="00200D95" w:rsidRPr="00200D95" w:rsidRDefault="00200D95" w:rsidP="002A09BD">
            <w:pPr>
              <w:spacing w:line="240" w:lineRule="atLeast"/>
              <w:jc w:val="right"/>
              <w:rPr>
                <w:rFonts w:ascii="Tahoma" w:hAnsi="Tahoma"/>
                <w:b/>
                <w:bCs/>
                <w:color w:val="000000" w:themeColor="text1"/>
                <w:sz w:val="16"/>
                <w:lang w:val="en-GB"/>
              </w:rPr>
            </w:pPr>
            <w:r w:rsidRPr="00200D95">
              <w:rPr>
                <w:rFonts w:ascii="Tahoma" w:hAnsi="Tahoma"/>
                <w:b/>
                <w:bCs/>
                <w:color w:val="000000" w:themeColor="text1"/>
                <w:sz w:val="16"/>
                <w:lang w:val="en-GB"/>
              </w:rPr>
              <w:t>3 727</w:t>
            </w:r>
          </w:p>
        </w:tc>
        <w:tc>
          <w:tcPr>
            <w:tcW w:w="1134" w:type="dxa"/>
            <w:shd w:val="clear" w:color="auto" w:fill="auto"/>
            <w:tcMar>
              <w:top w:w="57" w:type="dxa"/>
              <w:left w:w="0" w:type="dxa"/>
              <w:bottom w:w="57" w:type="dxa"/>
              <w:right w:w="0" w:type="dxa"/>
            </w:tcMar>
            <w:vAlign w:val="bottom"/>
          </w:tcPr>
          <w:p w14:paraId="595044F8" w14:textId="77777777" w:rsidR="00200D95" w:rsidRPr="00200D95" w:rsidRDefault="00200D95" w:rsidP="002A09BD">
            <w:pPr>
              <w:spacing w:line="240" w:lineRule="atLeast"/>
              <w:jc w:val="right"/>
              <w:rPr>
                <w:rFonts w:ascii="Tahoma" w:hAnsi="Tahoma"/>
                <w:color w:val="000000" w:themeColor="text1"/>
                <w:sz w:val="16"/>
                <w:lang w:val="en-GB"/>
              </w:rPr>
            </w:pPr>
            <w:r w:rsidRPr="00200D95">
              <w:rPr>
                <w:rFonts w:ascii="Tahoma" w:hAnsi="Tahoma"/>
                <w:color w:val="000000" w:themeColor="text1"/>
                <w:sz w:val="16"/>
                <w:lang w:val="en-GB"/>
              </w:rPr>
              <w:t>2 261</w:t>
            </w:r>
          </w:p>
        </w:tc>
        <w:tc>
          <w:tcPr>
            <w:tcW w:w="1134" w:type="dxa"/>
            <w:shd w:val="clear" w:color="auto" w:fill="auto"/>
            <w:tcMar>
              <w:top w:w="57" w:type="dxa"/>
              <w:left w:w="0" w:type="dxa"/>
              <w:bottom w:w="57" w:type="dxa"/>
              <w:right w:w="0" w:type="dxa"/>
            </w:tcMar>
            <w:vAlign w:val="bottom"/>
          </w:tcPr>
          <w:p w14:paraId="7772C21F" w14:textId="77777777" w:rsidR="00200D95" w:rsidRPr="00200D95" w:rsidRDefault="00200D95" w:rsidP="002A09BD">
            <w:pPr>
              <w:spacing w:line="240" w:lineRule="atLeast"/>
              <w:jc w:val="right"/>
              <w:rPr>
                <w:rFonts w:ascii="Tahoma" w:hAnsi="Tahoma"/>
                <w:color w:val="000000" w:themeColor="text1"/>
                <w:sz w:val="16"/>
                <w:lang w:val="en-GB"/>
              </w:rPr>
            </w:pPr>
            <w:r w:rsidRPr="00200D95">
              <w:rPr>
                <w:rFonts w:ascii="Tahoma" w:hAnsi="Tahoma"/>
                <w:color w:val="000000" w:themeColor="text1"/>
                <w:sz w:val="16"/>
                <w:lang w:val="en-GB"/>
              </w:rPr>
              <w:t>2 261</w:t>
            </w:r>
          </w:p>
        </w:tc>
      </w:tr>
      <w:tr w:rsidR="00615190" w:rsidRPr="00200D95" w14:paraId="3CBC685E" w14:textId="77777777" w:rsidTr="00484B0F">
        <w:trPr>
          <w:trHeight w:val="60"/>
        </w:trPr>
        <w:tc>
          <w:tcPr>
            <w:tcW w:w="397" w:type="dxa"/>
            <w:shd w:val="clear" w:color="auto" w:fill="auto"/>
            <w:tcMar>
              <w:top w:w="57" w:type="dxa"/>
              <w:left w:w="0" w:type="dxa"/>
              <w:bottom w:w="85" w:type="dxa"/>
              <w:right w:w="0" w:type="dxa"/>
            </w:tcMar>
            <w:vAlign w:val="bottom"/>
          </w:tcPr>
          <w:p w14:paraId="4C6BABCE" w14:textId="77777777" w:rsidR="00200D95" w:rsidRPr="00200D95" w:rsidRDefault="00200D95" w:rsidP="00615190">
            <w:pPr>
              <w:spacing w:line="240" w:lineRule="atLeast"/>
              <w:rPr>
                <w:rFonts w:ascii="Tahoma" w:hAnsi="Tahoma"/>
                <w:color w:val="000000" w:themeColor="text1"/>
                <w:sz w:val="16"/>
                <w:lang w:val="en-GB"/>
              </w:rPr>
            </w:pPr>
          </w:p>
        </w:tc>
        <w:tc>
          <w:tcPr>
            <w:tcW w:w="6407" w:type="dxa"/>
            <w:tcBorders>
              <w:bottom w:val="single" w:sz="4" w:space="0" w:color="auto"/>
            </w:tcBorders>
            <w:shd w:val="clear" w:color="auto" w:fill="auto"/>
            <w:tcMar>
              <w:top w:w="57" w:type="dxa"/>
              <w:left w:w="0" w:type="dxa"/>
              <w:bottom w:w="85" w:type="dxa"/>
              <w:right w:w="0" w:type="dxa"/>
            </w:tcMar>
            <w:vAlign w:val="bottom"/>
          </w:tcPr>
          <w:p w14:paraId="59AAE696" w14:textId="77777777" w:rsidR="00200D95" w:rsidRPr="00200D95" w:rsidRDefault="00200D95" w:rsidP="00615190">
            <w:pPr>
              <w:spacing w:line="240" w:lineRule="atLeast"/>
              <w:rPr>
                <w:rFonts w:ascii="Tahoma" w:hAnsi="Tahoma"/>
                <w:color w:val="000000" w:themeColor="text1"/>
                <w:sz w:val="16"/>
                <w:lang w:val="en-GB"/>
              </w:rPr>
            </w:pPr>
            <w:r w:rsidRPr="00200D95">
              <w:rPr>
                <w:rFonts w:ascii="Tahoma" w:hAnsi="Tahoma"/>
                <w:color w:val="000000" w:themeColor="text1"/>
                <w:sz w:val="16"/>
                <w:lang w:val="en-GB"/>
              </w:rPr>
              <w:t>Accumulated impairment</w:t>
            </w:r>
          </w:p>
        </w:tc>
        <w:tc>
          <w:tcPr>
            <w:tcW w:w="1134" w:type="dxa"/>
            <w:tcBorders>
              <w:bottom w:val="single" w:sz="4" w:space="0" w:color="auto"/>
            </w:tcBorders>
            <w:shd w:val="clear" w:color="auto" w:fill="auto"/>
            <w:tcMar>
              <w:top w:w="57" w:type="dxa"/>
              <w:left w:w="0" w:type="dxa"/>
              <w:bottom w:w="85" w:type="dxa"/>
              <w:right w:w="0" w:type="dxa"/>
            </w:tcMar>
            <w:vAlign w:val="bottom"/>
          </w:tcPr>
          <w:p w14:paraId="0C5CDFCA" w14:textId="77777777" w:rsidR="00200D95" w:rsidRPr="00200D95" w:rsidRDefault="00200D95" w:rsidP="002A09BD">
            <w:pPr>
              <w:spacing w:line="240" w:lineRule="atLeast"/>
              <w:jc w:val="right"/>
              <w:rPr>
                <w:rFonts w:ascii="Tahoma" w:hAnsi="Tahoma"/>
                <w:b/>
                <w:bCs/>
                <w:color w:val="000000" w:themeColor="text1"/>
                <w:sz w:val="16"/>
                <w:lang w:val="en-GB"/>
              </w:rPr>
            </w:pPr>
            <w:r w:rsidRPr="00200D95">
              <w:rPr>
                <w:rFonts w:ascii="Tahoma" w:hAnsi="Tahoma"/>
                <w:b/>
                <w:bCs/>
                <w:color w:val="000000" w:themeColor="text1"/>
                <w:sz w:val="16"/>
                <w:lang w:val="en-GB"/>
              </w:rPr>
              <w:t>(355)</w:t>
            </w:r>
          </w:p>
        </w:tc>
        <w:tc>
          <w:tcPr>
            <w:tcW w:w="1134" w:type="dxa"/>
            <w:tcBorders>
              <w:bottom w:val="single" w:sz="4" w:space="0" w:color="auto"/>
            </w:tcBorders>
            <w:shd w:val="clear" w:color="auto" w:fill="auto"/>
            <w:tcMar>
              <w:top w:w="57" w:type="dxa"/>
              <w:left w:w="0" w:type="dxa"/>
              <w:bottom w:w="85" w:type="dxa"/>
              <w:right w:w="0" w:type="dxa"/>
            </w:tcMar>
            <w:vAlign w:val="bottom"/>
          </w:tcPr>
          <w:p w14:paraId="6201ECF2" w14:textId="77777777" w:rsidR="00200D95" w:rsidRPr="00200D95" w:rsidRDefault="00200D95" w:rsidP="002A09BD">
            <w:pPr>
              <w:spacing w:line="240" w:lineRule="atLeast"/>
              <w:jc w:val="right"/>
              <w:rPr>
                <w:rFonts w:ascii="Tahoma" w:hAnsi="Tahoma"/>
                <w:color w:val="000000" w:themeColor="text1"/>
                <w:sz w:val="16"/>
                <w:lang w:val="en-GB"/>
              </w:rPr>
            </w:pPr>
            <w:r w:rsidRPr="00200D95">
              <w:rPr>
                <w:rFonts w:ascii="Tahoma" w:hAnsi="Tahoma"/>
                <w:color w:val="000000" w:themeColor="text1"/>
                <w:sz w:val="16"/>
                <w:lang w:val="en-GB"/>
              </w:rPr>
              <w:t>(159)</w:t>
            </w:r>
          </w:p>
        </w:tc>
        <w:tc>
          <w:tcPr>
            <w:tcW w:w="1134" w:type="dxa"/>
            <w:tcBorders>
              <w:bottom w:val="single" w:sz="4" w:space="0" w:color="auto"/>
            </w:tcBorders>
            <w:shd w:val="clear" w:color="auto" w:fill="auto"/>
            <w:tcMar>
              <w:top w:w="57" w:type="dxa"/>
              <w:left w:w="0" w:type="dxa"/>
              <w:bottom w:w="85" w:type="dxa"/>
              <w:right w:w="0" w:type="dxa"/>
            </w:tcMar>
            <w:vAlign w:val="bottom"/>
          </w:tcPr>
          <w:p w14:paraId="7EEBF253" w14:textId="77777777" w:rsidR="00200D95" w:rsidRPr="00200D95" w:rsidRDefault="00200D95" w:rsidP="002A09BD">
            <w:pPr>
              <w:spacing w:line="240" w:lineRule="atLeast"/>
              <w:jc w:val="right"/>
              <w:rPr>
                <w:rFonts w:ascii="Tahoma" w:hAnsi="Tahoma"/>
                <w:color w:val="000000" w:themeColor="text1"/>
                <w:sz w:val="16"/>
                <w:lang w:val="en-GB"/>
              </w:rPr>
            </w:pPr>
            <w:r w:rsidRPr="00200D95">
              <w:rPr>
                <w:rFonts w:ascii="Tahoma" w:hAnsi="Tahoma"/>
                <w:color w:val="000000" w:themeColor="text1"/>
                <w:sz w:val="16"/>
                <w:lang w:val="en-GB"/>
              </w:rPr>
              <w:t>(159)</w:t>
            </w:r>
          </w:p>
        </w:tc>
      </w:tr>
      <w:tr w:rsidR="00615190" w:rsidRPr="00200D95" w14:paraId="11DDADD5" w14:textId="77777777" w:rsidTr="00484B0F">
        <w:trPr>
          <w:trHeight w:val="60"/>
        </w:trPr>
        <w:tc>
          <w:tcPr>
            <w:tcW w:w="397" w:type="dxa"/>
            <w:shd w:val="clear" w:color="auto" w:fill="auto"/>
            <w:tcMar>
              <w:top w:w="85" w:type="dxa"/>
              <w:left w:w="0" w:type="dxa"/>
              <w:bottom w:w="57" w:type="dxa"/>
              <w:right w:w="0" w:type="dxa"/>
            </w:tcMar>
            <w:vAlign w:val="bottom"/>
          </w:tcPr>
          <w:p w14:paraId="22FCAEB3" w14:textId="77777777" w:rsidR="00200D95" w:rsidRPr="00200D95" w:rsidRDefault="00200D95" w:rsidP="00615190">
            <w:pPr>
              <w:spacing w:line="240" w:lineRule="atLeast"/>
              <w:rPr>
                <w:rFonts w:ascii="Tahoma" w:hAnsi="Tahoma"/>
                <w:color w:val="000000" w:themeColor="text1"/>
                <w:sz w:val="16"/>
                <w:lang w:val="en-GB"/>
              </w:rPr>
            </w:pPr>
          </w:p>
        </w:tc>
        <w:tc>
          <w:tcPr>
            <w:tcW w:w="6407" w:type="dxa"/>
            <w:tcBorders>
              <w:top w:val="single" w:sz="4" w:space="0" w:color="auto"/>
            </w:tcBorders>
            <w:shd w:val="clear" w:color="auto" w:fill="auto"/>
            <w:tcMar>
              <w:top w:w="85" w:type="dxa"/>
              <w:left w:w="0" w:type="dxa"/>
              <w:bottom w:w="57" w:type="dxa"/>
              <w:right w:w="0" w:type="dxa"/>
            </w:tcMar>
            <w:vAlign w:val="bottom"/>
          </w:tcPr>
          <w:p w14:paraId="52C6C69E" w14:textId="77777777" w:rsidR="00200D95" w:rsidRPr="00200D95" w:rsidRDefault="00200D95" w:rsidP="00615190">
            <w:pPr>
              <w:spacing w:line="240" w:lineRule="atLeast"/>
              <w:rPr>
                <w:rFonts w:ascii="Tahoma" w:hAnsi="Tahoma"/>
                <w:b/>
                <w:bCs/>
                <w:color w:val="000000" w:themeColor="text1"/>
                <w:sz w:val="16"/>
                <w:lang w:val="en-GB"/>
              </w:rPr>
            </w:pPr>
            <w:r w:rsidRPr="00200D95">
              <w:rPr>
                <w:rFonts w:ascii="Tahoma" w:hAnsi="Tahoma"/>
                <w:b/>
                <w:bCs/>
                <w:color w:val="000000" w:themeColor="text1"/>
                <w:sz w:val="16"/>
                <w:lang w:val="en-GB"/>
              </w:rPr>
              <w:t>Opening balance</w:t>
            </w:r>
          </w:p>
        </w:tc>
        <w:tc>
          <w:tcPr>
            <w:tcW w:w="1134" w:type="dxa"/>
            <w:tcBorders>
              <w:top w:val="single" w:sz="4" w:space="0" w:color="auto"/>
            </w:tcBorders>
            <w:shd w:val="clear" w:color="auto" w:fill="auto"/>
            <w:tcMar>
              <w:top w:w="85" w:type="dxa"/>
              <w:left w:w="0" w:type="dxa"/>
              <w:bottom w:w="57" w:type="dxa"/>
              <w:right w:w="0" w:type="dxa"/>
            </w:tcMar>
            <w:vAlign w:val="bottom"/>
          </w:tcPr>
          <w:p w14:paraId="2EBE8114" w14:textId="77777777" w:rsidR="00200D95" w:rsidRPr="00200D95" w:rsidRDefault="00200D95" w:rsidP="002A09BD">
            <w:pPr>
              <w:spacing w:line="240" w:lineRule="atLeast"/>
              <w:jc w:val="right"/>
              <w:rPr>
                <w:rFonts w:ascii="Tahoma" w:hAnsi="Tahoma"/>
                <w:b/>
                <w:bCs/>
                <w:color w:val="000000" w:themeColor="text1"/>
                <w:sz w:val="16"/>
                <w:lang w:val="en-GB"/>
              </w:rPr>
            </w:pPr>
            <w:r w:rsidRPr="00200D95">
              <w:rPr>
                <w:rFonts w:ascii="Tahoma" w:hAnsi="Tahoma"/>
                <w:b/>
                <w:bCs/>
                <w:color w:val="000000" w:themeColor="text1"/>
                <w:sz w:val="16"/>
                <w:lang w:val="en-GB"/>
              </w:rPr>
              <w:t>3 372</w:t>
            </w:r>
          </w:p>
        </w:tc>
        <w:tc>
          <w:tcPr>
            <w:tcW w:w="1134" w:type="dxa"/>
            <w:tcBorders>
              <w:top w:val="single" w:sz="4" w:space="0" w:color="auto"/>
            </w:tcBorders>
            <w:shd w:val="clear" w:color="auto" w:fill="auto"/>
            <w:tcMar>
              <w:top w:w="85" w:type="dxa"/>
              <w:left w:w="0" w:type="dxa"/>
              <w:bottom w:w="57" w:type="dxa"/>
              <w:right w:w="0" w:type="dxa"/>
            </w:tcMar>
            <w:vAlign w:val="bottom"/>
          </w:tcPr>
          <w:p w14:paraId="5D6AA266" w14:textId="77777777" w:rsidR="00200D95" w:rsidRPr="00200D95" w:rsidRDefault="00200D95" w:rsidP="002A09BD">
            <w:pPr>
              <w:spacing w:line="240" w:lineRule="atLeast"/>
              <w:jc w:val="right"/>
              <w:rPr>
                <w:rFonts w:ascii="Tahoma" w:hAnsi="Tahoma"/>
                <w:color w:val="000000" w:themeColor="text1"/>
                <w:sz w:val="16"/>
                <w:lang w:val="en-GB"/>
              </w:rPr>
            </w:pPr>
            <w:r w:rsidRPr="00200D95">
              <w:rPr>
                <w:rFonts w:ascii="Tahoma" w:hAnsi="Tahoma"/>
                <w:color w:val="000000" w:themeColor="text1"/>
                <w:sz w:val="16"/>
                <w:lang w:val="en-GB"/>
              </w:rPr>
              <w:t>2 102</w:t>
            </w:r>
          </w:p>
        </w:tc>
        <w:tc>
          <w:tcPr>
            <w:tcW w:w="1134" w:type="dxa"/>
            <w:tcBorders>
              <w:top w:val="single" w:sz="4" w:space="0" w:color="auto"/>
            </w:tcBorders>
            <w:shd w:val="clear" w:color="auto" w:fill="auto"/>
            <w:tcMar>
              <w:top w:w="85" w:type="dxa"/>
              <w:left w:w="0" w:type="dxa"/>
              <w:bottom w:w="57" w:type="dxa"/>
              <w:right w:w="0" w:type="dxa"/>
            </w:tcMar>
            <w:vAlign w:val="bottom"/>
          </w:tcPr>
          <w:p w14:paraId="5EE4FD7E" w14:textId="77777777" w:rsidR="00200D95" w:rsidRPr="00200D95" w:rsidRDefault="00200D95" w:rsidP="002A09BD">
            <w:pPr>
              <w:spacing w:line="240" w:lineRule="atLeast"/>
              <w:jc w:val="right"/>
              <w:rPr>
                <w:rFonts w:ascii="Tahoma" w:hAnsi="Tahoma"/>
                <w:color w:val="000000" w:themeColor="text1"/>
                <w:sz w:val="16"/>
                <w:lang w:val="en-GB"/>
              </w:rPr>
            </w:pPr>
            <w:r w:rsidRPr="00200D95">
              <w:rPr>
                <w:rFonts w:ascii="Tahoma" w:hAnsi="Tahoma"/>
                <w:color w:val="000000" w:themeColor="text1"/>
                <w:sz w:val="16"/>
                <w:lang w:val="en-GB"/>
              </w:rPr>
              <w:t>2 102</w:t>
            </w:r>
          </w:p>
        </w:tc>
      </w:tr>
      <w:tr w:rsidR="00615190" w:rsidRPr="00200D95" w14:paraId="79962952" w14:textId="77777777" w:rsidTr="00484B0F">
        <w:trPr>
          <w:trHeight w:val="60"/>
        </w:trPr>
        <w:tc>
          <w:tcPr>
            <w:tcW w:w="397" w:type="dxa"/>
            <w:shd w:val="clear" w:color="auto" w:fill="auto"/>
            <w:tcMar>
              <w:top w:w="57" w:type="dxa"/>
              <w:left w:w="0" w:type="dxa"/>
              <w:bottom w:w="57" w:type="dxa"/>
              <w:right w:w="0" w:type="dxa"/>
            </w:tcMar>
            <w:vAlign w:val="bottom"/>
          </w:tcPr>
          <w:p w14:paraId="00627CCE" w14:textId="77777777" w:rsidR="00200D95" w:rsidRPr="00200D95" w:rsidRDefault="00200D95" w:rsidP="00615190">
            <w:pPr>
              <w:spacing w:line="240" w:lineRule="atLeast"/>
              <w:rPr>
                <w:rFonts w:ascii="Tahoma" w:hAnsi="Tahoma"/>
                <w:color w:val="000000" w:themeColor="text1"/>
                <w:sz w:val="16"/>
                <w:lang w:val="en-GB"/>
              </w:rPr>
            </w:pPr>
          </w:p>
        </w:tc>
        <w:tc>
          <w:tcPr>
            <w:tcW w:w="6407" w:type="dxa"/>
            <w:shd w:val="clear" w:color="auto" w:fill="auto"/>
            <w:tcMar>
              <w:top w:w="57" w:type="dxa"/>
              <w:left w:w="0" w:type="dxa"/>
              <w:bottom w:w="57" w:type="dxa"/>
              <w:right w:w="0" w:type="dxa"/>
            </w:tcMar>
            <w:vAlign w:val="bottom"/>
          </w:tcPr>
          <w:p w14:paraId="5D5A95B2" w14:textId="77777777" w:rsidR="00200D95" w:rsidRPr="00200D95" w:rsidRDefault="00200D95" w:rsidP="00615190">
            <w:pPr>
              <w:spacing w:line="240" w:lineRule="atLeast"/>
              <w:rPr>
                <w:rFonts w:ascii="Tahoma" w:hAnsi="Tahoma"/>
                <w:color w:val="000000" w:themeColor="text1"/>
                <w:sz w:val="16"/>
                <w:lang w:val="en-GB"/>
              </w:rPr>
            </w:pPr>
            <w:r w:rsidRPr="00200D95">
              <w:rPr>
                <w:rFonts w:ascii="Tahoma" w:hAnsi="Tahoma"/>
                <w:color w:val="000000" w:themeColor="text1"/>
                <w:sz w:val="16"/>
                <w:lang w:val="en-GB"/>
              </w:rPr>
              <w:t>Foreign currency translation effects</w:t>
            </w:r>
            <w:r w:rsidRPr="002F078E">
              <w:rPr>
                <w:rFonts w:ascii="Tahoma" w:hAnsi="Tahoma"/>
                <w:color w:val="000000" w:themeColor="text1"/>
                <w:sz w:val="16"/>
                <w:vertAlign w:val="superscript"/>
                <w:lang w:val="en-GB"/>
              </w:rPr>
              <w:t>1</w:t>
            </w:r>
          </w:p>
        </w:tc>
        <w:tc>
          <w:tcPr>
            <w:tcW w:w="1134" w:type="dxa"/>
            <w:shd w:val="clear" w:color="auto" w:fill="auto"/>
            <w:tcMar>
              <w:top w:w="57" w:type="dxa"/>
              <w:left w:w="0" w:type="dxa"/>
              <w:bottom w:w="57" w:type="dxa"/>
              <w:right w:w="0" w:type="dxa"/>
            </w:tcMar>
            <w:vAlign w:val="bottom"/>
          </w:tcPr>
          <w:p w14:paraId="772DA39B" w14:textId="77777777" w:rsidR="00200D95" w:rsidRPr="00200D95" w:rsidRDefault="00200D95" w:rsidP="002A09BD">
            <w:pPr>
              <w:spacing w:line="240" w:lineRule="atLeast"/>
              <w:jc w:val="right"/>
              <w:rPr>
                <w:rFonts w:ascii="Tahoma" w:hAnsi="Tahoma"/>
                <w:b/>
                <w:bCs/>
                <w:color w:val="000000" w:themeColor="text1"/>
                <w:sz w:val="16"/>
                <w:lang w:val="en-GB"/>
              </w:rPr>
            </w:pPr>
            <w:r w:rsidRPr="00200D95">
              <w:rPr>
                <w:rFonts w:ascii="Tahoma" w:hAnsi="Tahoma"/>
                <w:b/>
                <w:bCs/>
                <w:color w:val="000000" w:themeColor="text1"/>
                <w:sz w:val="16"/>
                <w:lang w:val="en-GB"/>
              </w:rPr>
              <w:t>357</w:t>
            </w:r>
          </w:p>
        </w:tc>
        <w:tc>
          <w:tcPr>
            <w:tcW w:w="1134" w:type="dxa"/>
            <w:shd w:val="clear" w:color="auto" w:fill="auto"/>
            <w:tcMar>
              <w:top w:w="57" w:type="dxa"/>
              <w:left w:w="0" w:type="dxa"/>
              <w:bottom w:w="57" w:type="dxa"/>
              <w:right w:w="0" w:type="dxa"/>
            </w:tcMar>
            <w:vAlign w:val="bottom"/>
          </w:tcPr>
          <w:p w14:paraId="2CEA66A6" w14:textId="77777777" w:rsidR="00200D95" w:rsidRPr="00200D95" w:rsidRDefault="00200D95" w:rsidP="002A09BD">
            <w:pPr>
              <w:spacing w:line="240" w:lineRule="atLeast"/>
              <w:jc w:val="right"/>
              <w:rPr>
                <w:rFonts w:ascii="Tahoma" w:hAnsi="Tahoma"/>
                <w:color w:val="000000" w:themeColor="text1"/>
                <w:sz w:val="16"/>
                <w:lang w:val="en-GB"/>
              </w:rPr>
            </w:pPr>
            <w:r w:rsidRPr="00200D95">
              <w:rPr>
                <w:rFonts w:ascii="Tahoma" w:hAnsi="Tahoma"/>
                <w:color w:val="000000" w:themeColor="text1"/>
                <w:sz w:val="16"/>
                <w:lang w:val="en-GB"/>
              </w:rPr>
              <w:t>21</w:t>
            </w:r>
          </w:p>
        </w:tc>
        <w:tc>
          <w:tcPr>
            <w:tcW w:w="1134" w:type="dxa"/>
            <w:shd w:val="clear" w:color="auto" w:fill="auto"/>
            <w:tcMar>
              <w:top w:w="57" w:type="dxa"/>
              <w:left w:w="0" w:type="dxa"/>
              <w:bottom w:w="57" w:type="dxa"/>
              <w:right w:w="0" w:type="dxa"/>
            </w:tcMar>
            <w:vAlign w:val="bottom"/>
          </w:tcPr>
          <w:p w14:paraId="3770B32A" w14:textId="77777777" w:rsidR="00200D95" w:rsidRPr="00200D95" w:rsidRDefault="00200D95" w:rsidP="002A09BD">
            <w:pPr>
              <w:spacing w:line="240" w:lineRule="atLeast"/>
              <w:jc w:val="right"/>
              <w:rPr>
                <w:rFonts w:ascii="Tahoma" w:hAnsi="Tahoma"/>
                <w:color w:val="000000" w:themeColor="text1"/>
                <w:sz w:val="16"/>
                <w:lang w:val="en-GB"/>
              </w:rPr>
            </w:pPr>
            <w:r w:rsidRPr="00200D95">
              <w:rPr>
                <w:rFonts w:ascii="Tahoma" w:hAnsi="Tahoma"/>
                <w:color w:val="000000" w:themeColor="text1"/>
                <w:sz w:val="16"/>
                <w:lang w:val="en-GB"/>
              </w:rPr>
              <w:t>(168)</w:t>
            </w:r>
          </w:p>
        </w:tc>
      </w:tr>
      <w:tr w:rsidR="00615190" w:rsidRPr="00200D95" w14:paraId="20EFB858" w14:textId="77777777" w:rsidTr="00484B0F">
        <w:trPr>
          <w:trHeight w:val="60"/>
        </w:trPr>
        <w:tc>
          <w:tcPr>
            <w:tcW w:w="397" w:type="dxa"/>
            <w:shd w:val="clear" w:color="auto" w:fill="auto"/>
            <w:tcMar>
              <w:top w:w="57" w:type="dxa"/>
              <w:left w:w="0" w:type="dxa"/>
              <w:bottom w:w="57" w:type="dxa"/>
              <w:right w:w="0" w:type="dxa"/>
            </w:tcMar>
            <w:vAlign w:val="bottom"/>
          </w:tcPr>
          <w:p w14:paraId="10BC318B" w14:textId="77777777" w:rsidR="00200D95" w:rsidRPr="00200D95" w:rsidRDefault="00200D95" w:rsidP="00615190">
            <w:pPr>
              <w:spacing w:line="240" w:lineRule="atLeast"/>
              <w:rPr>
                <w:rFonts w:ascii="Tahoma" w:hAnsi="Tahoma"/>
                <w:color w:val="000000" w:themeColor="text1"/>
                <w:sz w:val="16"/>
                <w:lang w:val="en-GB"/>
              </w:rPr>
            </w:pPr>
          </w:p>
        </w:tc>
        <w:tc>
          <w:tcPr>
            <w:tcW w:w="6407" w:type="dxa"/>
            <w:shd w:val="clear" w:color="auto" w:fill="auto"/>
            <w:tcMar>
              <w:top w:w="57" w:type="dxa"/>
              <w:left w:w="0" w:type="dxa"/>
              <w:bottom w:w="57" w:type="dxa"/>
              <w:right w:w="0" w:type="dxa"/>
            </w:tcMar>
            <w:vAlign w:val="bottom"/>
          </w:tcPr>
          <w:p w14:paraId="1EC553A0" w14:textId="77777777" w:rsidR="00200D95" w:rsidRPr="00200D95" w:rsidRDefault="00200D95" w:rsidP="00615190">
            <w:pPr>
              <w:spacing w:line="240" w:lineRule="atLeast"/>
              <w:rPr>
                <w:rFonts w:ascii="Tahoma" w:hAnsi="Tahoma"/>
                <w:color w:val="000000" w:themeColor="text1"/>
                <w:sz w:val="16"/>
                <w:lang w:val="en-GB"/>
              </w:rPr>
            </w:pPr>
            <w:r w:rsidRPr="00200D95">
              <w:rPr>
                <w:rFonts w:ascii="Tahoma" w:hAnsi="Tahoma"/>
                <w:color w:val="000000" w:themeColor="text1"/>
                <w:sz w:val="16"/>
                <w:lang w:val="en-GB"/>
              </w:rPr>
              <w:t>Acquisitions of subsidiaries and businesses</w:t>
            </w:r>
          </w:p>
        </w:tc>
        <w:tc>
          <w:tcPr>
            <w:tcW w:w="1134" w:type="dxa"/>
            <w:shd w:val="clear" w:color="auto" w:fill="auto"/>
            <w:tcMar>
              <w:top w:w="57" w:type="dxa"/>
              <w:left w:w="0" w:type="dxa"/>
              <w:bottom w:w="57" w:type="dxa"/>
              <w:right w:w="0" w:type="dxa"/>
            </w:tcMar>
            <w:vAlign w:val="bottom"/>
          </w:tcPr>
          <w:p w14:paraId="1325E876" w14:textId="77777777" w:rsidR="00200D95" w:rsidRPr="00200D95" w:rsidRDefault="00200D95" w:rsidP="002A09BD">
            <w:pPr>
              <w:spacing w:line="240" w:lineRule="atLeast"/>
              <w:jc w:val="right"/>
              <w:rPr>
                <w:rFonts w:ascii="Tahoma" w:hAnsi="Tahoma"/>
                <w:b/>
                <w:bCs/>
                <w:color w:val="000000" w:themeColor="text1"/>
                <w:sz w:val="16"/>
                <w:lang w:val="en-GB"/>
              </w:rPr>
            </w:pPr>
            <w:r w:rsidRPr="00200D95">
              <w:rPr>
                <w:rFonts w:ascii="Tahoma" w:hAnsi="Tahoma"/>
                <w:b/>
                <w:bCs/>
                <w:color w:val="000000" w:themeColor="text1"/>
                <w:sz w:val="16"/>
                <w:lang w:val="en-GB"/>
              </w:rPr>
              <w:t>11</w:t>
            </w:r>
          </w:p>
        </w:tc>
        <w:tc>
          <w:tcPr>
            <w:tcW w:w="1134" w:type="dxa"/>
            <w:shd w:val="clear" w:color="auto" w:fill="auto"/>
            <w:tcMar>
              <w:top w:w="57" w:type="dxa"/>
              <w:left w:w="0" w:type="dxa"/>
              <w:bottom w:w="57" w:type="dxa"/>
              <w:right w:w="0" w:type="dxa"/>
            </w:tcMar>
            <w:vAlign w:val="bottom"/>
          </w:tcPr>
          <w:p w14:paraId="3053A759" w14:textId="77777777" w:rsidR="00200D95" w:rsidRPr="00200D95" w:rsidRDefault="00200D95" w:rsidP="002A09BD">
            <w:pPr>
              <w:spacing w:line="240" w:lineRule="atLeast"/>
              <w:jc w:val="right"/>
              <w:rPr>
                <w:rFonts w:ascii="Tahoma" w:hAnsi="Tahoma"/>
                <w:color w:val="000000" w:themeColor="text1"/>
                <w:sz w:val="16"/>
                <w:lang w:val="en-GB"/>
              </w:rPr>
            </w:pPr>
            <w:r w:rsidRPr="00200D95">
              <w:rPr>
                <w:rFonts w:ascii="Tahoma" w:hAnsi="Tahoma"/>
                <w:color w:val="000000" w:themeColor="text1"/>
                <w:sz w:val="16"/>
                <w:lang w:val="en-GB"/>
              </w:rPr>
              <w:t>1 707</w:t>
            </w:r>
          </w:p>
        </w:tc>
        <w:tc>
          <w:tcPr>
            <w:tcW w:w="1134" w:type="dxa"/>
            <w:shd w:val="clear" w:color="auto" w:fill="auto"/>
            <w:tcMar>
              <w:top w:w="57" w:type="dxa"/>
              <w:left w:w="0" w:type="dxa"/>
              <w:bottom w:w="57" w:type="dxa"/>
              <w:right w:w="0" w:type="dxa"/>
            </w:tcMar>
            <w:vAlign w:val="bottom"/>
          </w:tcPr>
          <w:p w14:paraId="1447C8D1" w14:textId="77777777" w:rsidR="00200D95" w:rsidRPr="00200D95" w:rsidRDefault="00200D95" w:rsidP="002A09BD">
            <w:pPr>
              <w:spacing w:line="240" w:lineRule="atLeast"/>
              <w:jc w:val="right"/>
              <w:rPr>
                <w:rFonts w:ascii="Tahoma" w:hAnsi="Tahoma"/>
                <w:color w:val="000000" w:themeColor="text1"/>
                <w:sz w:val="16"/>
                <w:lang w:val="en-GB"/>
              </w:rPr>
            </w:pPr>
            <w:r w:rsidRPr="00200D95">
              <w:rPr>
                <w:rFonts w:ascii="Tahoma" w:hAnsi="Tahoma"/>
                <w:color w:val="000000" w:themeColor="text1"/>
                <w:sz w:val="16"/>
                <w:lang w:val="en-GB"/>
              </w:rPr>
              <w:t>1 692</w:t>
            </w:r>
          </w:p>
        </w:tc>
      </w:tr>
      <w:tr w:rsidR="00615190" w:rsidRPr="00200D95" w14:paraId="590411A3" w14:textId="77777777" w:rsidTr="00484B0F">
        <w:trPr>
          <w:trHeight w:val="60"/>
        </w:trPr>
        <w:tc>
          <w:tcPr>
            <w:tcW w:w="397" w:type="dxa"/>
            <w:shd w:val="clear" w:color="auto" w:fill="auto"/>
            <w:tcMar>
              <w:top w:w="57" w:type="dxa"/>
              <w:left w:w="0" w:type="dxa"/>
              <w:bottom w:w="57" w:type="dxa"/>
              <w:right w:w="0" w:type="dxa"/>
            </w:tcMar>
            <w:vAlign w:val="bottom"/>
          </w:tcPr>
          <w:p w14:paraId="277FC736" w14:textId="77777777" w:rsidR="00200D95" w:rsidRPr="00200D95" w:rsidRDefault="00200D95" w:rsidP="00615190">
            <w:pPr>
              <w:spacing w:line="240" w:lineRule="atLeast"/>
              <w:rPr>
                <w:rFonts w:ascii="Tahoma" w:hAnsi="Tahoma"/>
                <w:color w:val="000000" w:themeColor="text1"/>
                <w:sz w:val="16"/>
                <w:lang w:val="en-GB"/>
              </w:rPr>
            </w:pPr>
          </w:p>
        </w:tc>
        <w:tc>
          <w:tcPr>
            <w:tcW w:w="6407" w:type="dxa"/>
            <w:shd w:val="clear" w:color="auto" w:fill="auto"/>
            <w:tcMar>
              <w:top w:w="57" w:type="dxa"/>
              <w:left w:w="0" w:type="dxa"/>
              <w:bottom w:w="57" w:type="dxa"/>
              <w:right w:w="0" w:type="dxa"/>
            </w:tcMar>
            <w:vAlign w:val="bottom"/>
          </w:tcPr>
          <w:p w14:paraId="6C0A21C8" w14:textId="77777777" w:rsidR="00200D95" w:rsidRPr="00200D95" w:rsidRDefault="00200D95" w:rsidP="00615190">
            <w:pPr>
              <w:spacing w:line="240" w:lineRule="atLeast"/>
              <w:rPr>
                <w:rFonts w:ascii="Tahoma" w:hAnsi="Tahoma"/>
                <w:color w:val="000000" w:themeColor="text1"/>
                <w:sz w:val="16"/>
                <w:lang w:val="en-GB"/>
              </w:rPr>
            </w:pPr>
            <w:r w:rsidRPr="00200D95">
              <w:rPr>
                <w:rFonts w:ascii="Tahoma" w:hAnsi="Tahoma"/>
                <w:color w:val="000000" w:themeColor="text1"/>
                <w:sz w:val="16"/>
                <w:lang w:val="en-GB"/>
              </w:rPr>
              <w:t>Disposals of subsidiaries and businesses</w:t>
            </w:r>
          </w:p>
        </w:tc>
        <w:tc>
          <w:tcPr>
            <w:tcW w:w="1134" w:type="dxa"/>
            <w:shd w:val="clear" w:color="auto" w:fill="auto"/>
            <w:tcMar>
              <w:top w:w="57" w:type="dxa"/>
              <w:left w:w="0" w:type="dxa"/>
              <w:bottom w:w="57" w:type="dxa"/>
              <w:right w:w="0" w:type="dxa"/>
            </w:tcMar>
            <w:vAlign w:val="bottom"/>
          </w:tcPr>
          <w:p w14:paraId="5BBED437" w14:textId="77777777" w:rsidR="00200D95" w:rsidRPr="00200D95" w:rsidRDefault="00200D95" w:rsidP="002A09BD">
            <w:pPr>
              <w:spacing w:line="240" w:lineRule="atLeast"/>
              <w:jc w:val="right"/>
              <w:rPr>
                <w:rFonts w:ascii="Tahoma" w:hAnsi="Tahoma"/>
                <w:b/>
                <w:bCs/>
                <w:color w:val="000000" w:themeColor="text1"/>
                <w:sz w:val="16"/>
                <w:lang w:val="en-GB"/>
              </w:rPr>
            </w:pPr>
            <w:r w:rsidRPr="00200D95">
              <w:rPr>
                <w:rFonts w:ascii="Tahoma" w:hAnsi="Tahoma"/>
                <w:b/>
                <w:bCs/>
                <w:color w:val="000000" w:themeColor="text1"/>
                <w:sz w:val="16"/>
                <w:lang w:val="en-GB"/>
              </w:rPr>
              <w:t>(10)</w:t>
            </w:r>
          </w:p>
        </w:tc>
        <w:tc>
          <w:tcPr>
            <w:tcW w:w="1134" w:type="dxa"/>
            <w:shd w:val="clear" w:color="auto" w:fill="auto"/>
            <w:tcMar>
              <w:top w:w="57" w:type="dxa"/>
              <w:left w:w="0" w:type="dxa"/>
              <w:bottom w:w="57" w:type="dxa"/>
              <w:right w:w="0" w:type="dxa"/>
            </w:tcMar>
            <w:vAlign w:val="bottom"/>
          </w:tcPr>
          <w:p w14:paraId="42E024D0" w14:textId="77777777" w:rsidR="00200D95" w:rsidRPr="00200D95" w:rsidRDefault="00200D95" w:rsidP="002A09BD">
            <w:pPr>
              <w:spacing w:line="240" w:lineRule="atLeast"/>
              <w:jc w:val="right"/>
              <w:rPr>
                <w:rFonts w:ascii="Tahoma" w:hAnsi="Tahoma"/>
                <w:color w:val="000000" w:themeColor="text1"/>
                <w:sz w:val="16"/>
                <w:lang w:val="en-GB"/>
              </w:rPr>
            </w:pPr>
            <w:r w:rsidRPr="00200D95">
              <w:rPr>
                <w:rFonts w:ascii="Tahoma" w:hAnsi="Tahoma"/>
                <w:color w:val="000000" w:themeColor="text1"/>
                <w:sz w:val="16"/>
                <w:lang w:val="en-GB"/>
              </w:rPr>
              <w:t>—</w:t>
            </w:r>
          </w:p>
        </w:tc>
        <w:tc>
          <w:tcPr>
            <w:tcW w:w="1134" w:type="dxa"/>
            <w:shd w:val="clear" w:color="auto" w:fill="auto"/>
            <w:tcMar>
              <w:top w:w="57" w:type="dxa"/>
              <w:left w:w="0" w:type="dxa"/>
              <w:bottom w:w="57" w:type="dxa"/>
              <w:right w:w="0" w:type="dxa"/>
            </w:tcMar>
            <w:vAlign w:val="bottom"/>
          </w:tcPr>
          <w:p w14:paraId="2BF10971" w14:textId="77777777" w:rsidR="00200D95" w:rsidRPr="00200D95" w:rsidRDefault="00200D95" w:rsidP="002A09BD">
            <w:pPr>
              <w:spacing w:line="240" w:lineRule="atLeast"/>
              <w:jc w:val="right"/>
              <w:rPr>
                <w:rFonts w:ascii="Tahoma" w:hAnsi="Tahoma"/>
                <w:color w:val="000000" w:themeColor="text1"/>
                <w:sz w:val="16"/>
                <w:lang w:val="en-GB"/>
              </w:rPr>
            </w:pPr>
            <w:r w:rsidRPr="00200D95">
              <w:rPr>
                <w:rFonts w:ascii="Tahoma" w:hAnsi="Tahoma"/>
                <w:color w:val="000000" w:themeColor="text1"/>
                <w:sz w:val="16"/>
                <w:lang w:val="en-GB"/>
              </w:rPr>
              <w:t>(8)</w:t>
            </w:r>
          </w:p>
        </w:tc>
      </w:tr>
      <w:tr w:rsidR="00615190" w:rsidRPr="00200D95" w14:paraId="1A032B3D" w14:textId="77777777" w:rsidTr="002E5137">
        <w:trPr>
          <w:trHeight w:val="60"/>
        </w:trPr>
        <w:tc>
          <w:tcPr>
            <w:tcW w:w="397" w:type="dxa"/>
            <w:shd w:val="clear" w:color="auto" w:fill="auto"/>
            <w:tcMar>
              <w:top w:w="57" w:type="dxa"/>
              <w:left w:w="0" w:type="dxa"/>
              <w:bottom w:w="57" w:type="dxa"/>
              <w:right w:w="0" w:type="dxa"/>
            </w:tcMar>
            <w:vAlign w:val="bottom"/>
          </w:tcPr>
          <w:p w14:paraId="0C256F0A" w14:textId="77777777" w:rsidR="00200D95" w:rsidRPr="00200D95" w:rsidRDefault="00200D95" w:rsidP="00615190">
            <w:pPr>
              <w:spacing w:line="240" w:lineRule="atLeast"/>
              <w:rPr>
                <w:rFonts w:ascii="Tahoma" w:hAnsi="Tahoma"/>
                <w:color w:val="000000" w:themeColor="text1"/>
                <w:sz w:val="16"/>
                <w:lang w:val="en-GB"/>
              </w:rPr>
            </w:pPr>
          </w:p>
        </w:tc>
        <w:tc>
          <w:tcPr>
            <w:tcW w:w="6407" w:type="dxa"/>
            <w:shd w:val="clear" w:color="auto" w:fill="auto"/>
            <w:tcMar>
              <w:top w:w="57" w:type="dxa"/>
              <w:left w:w="0" w:type="dxa"/>
              <w:bottom w:w="57" w:type="dxa"/>
              <w:right w:w="0" w:type="dxa"/>
            </w:tcMar>
            <w:vAlign w:val="bottom"/>
          </w:tcPr>
          <w:p w14:paraId="1321776D" w14:textId="77777777" w:rsidR="00200D95" w:rsidRPr="00200D95" w:rsidRDefault="00200D95" w:rsidP="00615190">
            <w:pPr>
              <w:spacing w:line="240" w:lineRule="atLeast"/>
              <w:rPr>
                <w:rFonts w:ascii="Tahoma" w:hAnsi="Tahoma"/>
                <w:color w:val="000000" w:themeColor="text1"/>
                <w:sz w:val="16"/>
                <w:lang w:val="en-GB"/>
              </w:rPr>
            </w:pPr>
            <w:r w:rsidRPr="00200D95">
              <w:rPr>
                <w:rFonts w:ascii="Tahoma" w:hAnsi="Tahoma"/>
                <w:color w:val="000000" w:themeColor="text1"/>
                <w:sz w:val="16"/>
                <w:lang w:val="en-GB"/>
              </w:rPr>
              <w:t>Transferred to assets classified as held for sale</w:t>
            </w:r>
            <w:r w:rsidRPr="002F078E">
              <w:rPr>
                <w:rFonts w:ascii="Tahoma" w:hAnsi="Tahoma"/>
                <w:color w:val="000000" w:themeColor="text1"/>
                <w:sz w:val="16"/>
                <w:vertAlign w:val="superscript"/>
                <w:lang w:val="en-GB"/>
              </w:rPr>
              <w:t>2</w:t>
            </w:r>
          </w:p>
        </w:tc>
        <w:tc>
          <w:tcPr>
            <w:tcW w:w="1134" w:type="dxa"/>
            <w:shd w:val="clear" w:color="auto" w:fill="auto"/>
            <w:tcMar>
              <w:top w:w="57" w:type="dxa"/>
              <w:left w:w="0" w:type="dxa"/>
              <w:bottom w:w="57" w:type="dxa"/>
              <w:right w:w="0" w:type="dxa"/>
            </w:tcMar>
            <w:vAlign w:val="bottom"/>
          </w:tcPr>
          <w:p w14:paraId="05EF4B32" w14:textId="77777777" w:rsidR="00200D95" w:rsidRPr="00200D95" w:rsidRDefault="00200D95" w:rsidP="002A09BD">
            <w:pPr>
              <w:spacing w:line="240" w:lineRule="atLeast"/>
              <w:jc w:val="right"/>
              <w:rPr>
                <w:rFonts w:ascii="Tahoma" w:hAnsi="Tahoma"/>
                <w:b/>
                <w:bCs/>
                <w:color w:val="000000" w:themeColor="text1"/>
                <w:sz w:val="16"/>
                <w:lang w:val="en-GB"/>
              </w:rPr>
            </w:pPr>
            <w:r w:rsidRPr="00200D95">
              <w:rPr>
                <w:rFonts w:ascii="Tahoma" w:hAnsi="Tahoma"/>
                <w:b/>
                <w:bCs/>
                <w:color w:val="000000" w:themeColor="text1"/>
                <w:sz w:val="16"/>
                <w:lang w:val="en-GB"/>
              </w:rPr>
              <w:t>(1 388)</w:t>
            </w:r>
          </w:p>
        </w:tc>
        <w:tc>
          <w:tcPr>
            <w:tcW w:w="1134" w:type="dxa"/>
            <w:shd w:val="clear" w:color="auto" w:fill="auto"/>
            <w:tcMar>
              <w:top w:w="57" w:type="dxa"/>
              <w:left w:w="0" w:type="dxa"/>
              <w:bottom w:w="57" w:type="dxa"/>
              <w:right w:w="0" w:type="dxa"/>
            </w:tcMar>
            <w:vAlign w:val="bottom"/>
          </w:tcPr>
          <w:p w14:paraId="4824724A" w14:textId="77777777" w:rsidR="00200D95" w:rsidRPr="00200D95" w:rsidRDefault="00200D95" w:rsidP="002A09BD">
            <w:pPr>
              <w:spacing w:line="240" w:lineRule="atLeast"/>
              <w:jc w:val="right"/>
              <w:rPr>
                <w:rFonts w:ascii="Tahoma" w:hAnsi="Tahoma"/>
                <w:color w:val="000000" w:themeColor="text1"/>
                <w:sz w:val="16"/>
                <w:lang w:val="en-GB"/>
              </w:rPr>
            </w:pPr>
            <w:r w:rsidRPr="00200D95">
              <w:rPr>
                <w:rFonts w:ascii="Tahoma" w:hAnsi="Tahoma"/>
                <w:color w:val="000000" w:themeColor="text1"/>
                <w:sz w:val="16"/>
                <w:lang w:val="en-GB"/>
              </w:rPr>
              <w:t>—</w:t>
            </w:r>
          </w:p>
        </w:tc>
        <w:tc>
          <w:tcPr>
            <w:tcW w:w="1134" w:type="dxa"/>
            <w:shd w:val="clear" w:color="auto" w:fill="auto"/>
            <w:tcMar>
              <w:top w:w="57" w:type="dxa"/>
              <w:left w:w="0" w:type="dxa"/>
              <w:bottom w:w="57" w:type="dxa"/>
              <w:right w:w="0" w:type="dxa"/>
            </w:tcMar>
            <w:vAlign w:val="bottom"/>
          </w:tcPr>
          <w:p w14:paraId="39415268" w14:textId="77777777" w:rsidR="00200D95" w:rsidRPr="00200D95" w:rsidRDefault="00200D95" w:rsidP="002A09BD">
            <w:pPr>
              <w:spacing w:line="240" w:lineRule="atLeast"/>
              <w:jc w:val="right"/>
              <w:rPr>
                <w:rFonts w:ascii="Tahoma" w:hAnsi="Tahoma"/>
                <w:color w:val="000000" w:themeColor="text1"/>
                <w:sz w:val="16"/>
                <w:lang w:val="en-GB"/>
              </w:rPr>
            </w:pPr>
            <w:r w:rsidRPr="00200D95">
              <w:rPr>
                <w:rFonts w:ascii="Tahoma" w:hAnsi="Tahoma"/>
                <w:color w:val="000000" w:themeColor="text1"/>
                <w:sz w:val="16"/>
                <w:lang w:val="en-GB"/>
              </w:rPr>
              <w:t>—</w:t>
            </w:r>
          </w:p>
        </w:tc>
      </w:tr>
      <w:tr w:rsidR="00615190" w:rsidRPr="00200D95" w14:paraId="28FFBB1E" w14:textId="77777777" w:rsidTr="00591E16">
        <w:trPr>
          <w:trHeight w:val="60"/>
        </w:trPr>
        <w:tc>
          <w:tcPr>
            <w:tcW w:w="397" w:type="dxa"/>
            <w:shd w:val="clear" w:color="auto" w:fill="auto"/>
            <w:tcMar>
              <w:top w:w="57" w:type="dxa"/>
              <w:left w:w="0" w:type="dxa"/>
              <w:bottom w:w="85" w:type="dxa"/>
              <w:right w:w="0" w:type="dxa"/>
            </w:tcMar>
            <w:vAlign w:val="bottom"/>
          </w:tcPr>
          <w:p w14:paraId="069E7345" w14:textId="77777777" w:rsidR="00200D95" w:rsidRPr="00200D95" w:rsidRDefault="00200D95" w:rsidP="00615190">
            <w:pPr>
              <w:spacing w:line="240" w:lineRule="atLeast"/>
              <w:rPr>
                <w:rFonts w:ascii="Tahoma" w:hAnsi="Tahoma"/>
                <w:color w:val="000000" w:themeColor="text1"/>
                <w:sz w:val="16"/>
                <w:lang w:val="en-GB"/>
              </w:rPr>
            </w:pPr>
          </w:p>
        </w:tc>
        <w:tc>
          <w:tcPr>
            <w:tcW w:w="6407" w:type="dxa"/>
            <w:tcBorders>
              <w:bottom w:val="single" w:sz="4" w:space="0" w:color="auto"/>
            </w:tcBorders>
            <w:shd w:val="clear" w:color="auto" w:fill="auto"/>
            <w:tcMar>
              <w:top w:w="57" w:type="dxa"/>
              <w:left w:w="0" w:type="dxa"/>
              <w:bottom w:w="85" w:type="dxa"/>
              <w:right w:w="0" w:type="dxa"/>
            </w:tcMar>
            <w:vAlign w:val="bottom"/>
          </w:tcPr>
          <w:p w14:paraId="07B8C2B6" w14:textId="77777777" w:rsidR="00200D95" w:rsidRPr="00200D95" w:rsidRDefault="00200D95" w:rsidP="00615190">
            <w:pPr>
              <w:spacing w:line="240" w:lineRule="atLeast"/>
              <w:rPr>
                <w:rFonts w:ascii="Tahoma" w:hAnsi="Tahoma"/>
                <w:color w:val="000000" w:themeColor="text1"/>
                <w:sz w:val="16"/>
                <w:lang w:val="en-GB"/>
              </w:rPr>
            </w:pPr>
            <w:r w:rsidRPr="00200D95">
              <w:rPr>
                <w:rFonts w:ascii="Tahoma" w:hAnsi="Tahoma"/>
                <w:color w:val="000000" w:themeColor="text1"/>
                <w:sz w:val="16"/>
                <w:lang w:val="en-GB"/>
              </w:rPr>
              <w:t>Impairment</w:t>
            </w:r>
          </w:p>
        </w:tc>
        <w:tc>
          <w:tcPr>
            <w:tcW w:w="1134" w:type="dxa"/>
            <w:tcBorders>
              <w:bottom w:val="single" w:sz="4" w:space="0" w:color="auto"/>
            </w:tcBorders>
            <w:shd w:val="clear" w:color="auto" w:fill="auto"/>
            <w:tcMar>
              <w:top w:w="57" w:type="dxa"/>
              <w:left w:w="0" w:type="dxa"/>
              <w:bottom w:w="85" w:type="dxa"/>
              <w:right w:w="0" w:type="dxa"/>
            </w:tcMar>
            <w:vAlign w:val="bottom"/>
          </w:tcPr>
          <w:p w14:paraId="56126CC6" w14:textId="77777777" w:rsidR="00200D95" w:rsidRPr="00200D95" w:rsidRDefault="00200D95" w:rsidP="002A09BD">
            <w:pPr>
              <w:spacing w:line="240" w:lineRule="atLeast"/>
              <w:jc w:val="right"/>
              <w:rPr>
                <w:rFonts w:ascii="Tahoma" w:hAnsi="Tahoma"/>
                <w:b/>
                <w:bCs/>
                <w:color w:val="000000" w:themeColor="text1"/>
                <w:sz w:val="16"/>
                <w:lang w:val="en-GB"/>
              </w:rPr>
            </w:pPr>
            <w:r w:rsidRPr="00200D95">
              <w:rPr>
                <w:rFonts w:ascii="Tahoma" w:hAnsi="Tahoma"/>
                <w:b/>
                <w:bCs/>
                <w:color w:val="000000" w:themeColor="text1"/>
                <w:sz w:val="16"/>
                <w:lang w:val="en-GB"/>
              </w:rPr>
              <w:t>(6)</w:t>
            </w:r>
          </w:p>
        </w:tc>
        <w:tc>
          <w:tcPr>
            <w:tcW w:w="1134" w:type="dxa"/>
            <w:tcBorders>
              <w:bottom w:val="single" w:sz="4" w:space="0" w:color="auto"/>
            </w:tcBorders>
            <w:shd w:val="clear" w:color="auto" w:fill="auto"/>
            <w:tcMar>
              <w:top w:w="57" w:type="dxa"/>
              <w:left w:w="0" w:type="dxa"/>
              <w:bottom w:w="85" w:type="dxa"/>
              <w:right w:w="0" w:type="dxa"/>
            </w:tcMar>
            <w:vAlign w:val="bottom"/>
          </w:tcPr>
          <w:p w14:paraId="1BE3CBA9" w14:textId="77777777" w:rsidR="00200D95" w:rsidRPr="00200D95" w:rsidRDefault="00200D95" w:rsidP="002A09BD">
            <w:pPr>
              <w:spacing w:line="240" w:lineRule="atLeast"/>
              <w:jc w:val="right"/>
              <w:rPr>
                <w:rFonts w:ascii="Tahoma" w:hAnsi="Tahoma"/>
                <w:color w:val="000000" w:themeColor="text1"/>
                <w:sz w:val="16"/>
                <w:lang w:val="en-GB"/>
              </w:rPr>
            </w:pPr>
            <w:r w:rsidRPr="00200D95">
              <w:rPr>
                <w:rFonts w:ascii="Tahoma" w:hAnsi="Tahoma"/>
                <w:color w:val="000000" w:themeColor="text1"/>
                <w:sz w:val="16"/>
                <w:lang w:val="en-GB"/>
              </w:rPr>
              <w:t>—</w:t>
            </w:r>
          </w:p>
        </w:tc>
        <w:tc>
          <w:tcPr>
            <w:tcW w:w="1134" w:type="dxa"/>
            <w:tcBorders>
              <w:bottom w:val="single" w:sz="4" w:space="0" w:color="auto"/>
            </w:tcBorders>
            <w:shd w:val="clear" w:color="auto" w:fill="auto"/>
            <w:tcMar>
              <w:top w:w="57" w:type="dxa"/>
              <w:left w:w="0" w:type="dxa"/>
              <w:bottom w:w="85" w:type="dxa"/>
              <w:right w:w="0" w:type="dxa"/>
            </w:tcMar>
            <w:vAlign w:val="bottom"/>
          </w:tcPr>
          <w:p w14:paraId="0D08E32C" w14:textId="77777777" w:rsidR="00200D95" w:rsidRPr="00200D95" w:rsidRDefault="00200D95" w:rsidP="002A09BD">
            <w:pPr>
              <w:spacing w:line="240" w:lineRule="atLeast"/>
              <w:jc w:val="right"/>
              <w:rPr>
                <w:rFonts w:ascii="Tahoma" w:hAnsi="Tahoma"/>
                <w:color w:val="000000" w:themeColor="text1"/>
                <w:sz w:val="16"/>
                <w:lang w:val="en-GB"/>
              </w:rPr>
            </w:pPr>
            <w:r w:rsidRPr="00200D95">
              <w:rPr>
                <w:rFonts w:ascii="Tahoma" w:hAnsi="Tahoma"/>
                <w:color w:val="000000" w:themeColor="text1"/>
                <w:sz w:val="16"/>
                <w:lang w:val="en-GB"/>
              </w:rPr>
              <w:t>(246)</w:t>
            </w:r>
          </w:p>
        </w:tc>
      </w:tr>
      <w:tr w:rsidR="00615190" w:rsidRPr="00200D95" w14:paraId="6F7B6693" w14:textId="77777777" w:rsidTr="00591E16">
        <w:trPr>
          <w:trHeight w:val="60"/>
        </w:trPr>
        <w:tc>
          <w:tcPr>
            <w:tcW w:w="397" w:type="dxa"/>
            <w:shd w:val="clear" w:color="auto" w:fill="auto"/>
            <w:tcMar>
              <w:top w:w="85" w:type="dxa"/>
              <w:left w:w="0" w:type="dxa"/>
              <w:bottom w:w="85" w:type="dxa"/>
              <w:right w:w="0" w:type="dxa"/>
            </w:tcMar>
            <w:vAlign w:val="bottom"/>
          </w:tcPr>
          <w:p w14:paraId="75BA4736" w14:textId="77777777" w:rsidR="00200D95" w:rsidRPr="00200D95" w:rsidRDefault="00200D95" w:rsidP="00615190">
            <w:pPr>
              <w:spacing w:line="240" w:lineRule="atLeast"/>
              <w:rPr>
                <w:rFonts w:ascii="Tahoma" w:hAnsi="Tahoma"/>
                <w:color w:val="000000" w:themeColor="text1"/>
                <w:sz w:val="16"/>
                <w:lang w:val="en-GB"/>
              </w:rPr>
            </w:pPr>
          </w:p>
        </w:tc>
        <w:tc>
          <w:tcPr>
            <w:tcW w:w="6407"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064AD03E" w14:textId="77777777" w:rsidR="00200D95" w:rsidRPr="00200D95" w:rsidRDefault="00200D95" w:rsidP="00615190">
            <w:pPr>
              <w:spacing w:line="240" w:lineRule="atLeast"/>
              <w:rPr>
                <w:rFonts w:ascii="Tahoma" w:hAnsi="Tahoma"/>
                <w:b/>
                <w:bCs/>
                <w:color w:val="000000" w:themeColor="text1"/>
                <w:sz w:val="16"/>
                <w:lang w:val="en-GB"/>
              </w:rPr>
            </w:pPr>
            <w:r w:rsidRPr="00200D95">
              <w:rPr>
                <w:rFonts w:ascii="Tahoma" w:hAnsi="Tahoma"/>
                <w:b/>
                <w:bCs/>
                <w:color w:val="000000" w:themeColor="text1"/>
                <w:sz w:val="16"/>
                <w:lang w:val="en-GB"/>
              </w:rPr>
              <w:t>Closing balance</w:t>
            </w:r>
          </w:p>
        </w:tc>
        <w:tc>
          <w:tcPr>
            <w:tcW w:w="1134"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7F23841B" w14:textId="77777777" w:rsidR="00200D95" w:rsidRPr="00200D95" w:rsidRDefault="00200D95" w:rsidP="002A09BD">
            <w:pPr>
              <w:spacing w:line="240" w:lineRule="atLeast"/>
              <w:jc w:val="right"/>
              <w:rPr>
                <w:rFonts w:ascii="Tahoma" w:hAnsi="Tahoma"/>
                <w:b/>
                <w:bCs/>
                <w:color w:val="000000" w:themeColor="text1"/>
                <w:sz w:val="16"/>
                <w:lang w:val="en-GB"/>
              </w:rPr>
            </w:pPr>
            <w:r w:rsidRPr="00200D95">
              <w:rPr>
                <w:rFonts w:ascii="Tahoma" w:hAnsi="Tahoma"/>
                <w:b/>
                <w:bCs/>
                <w:color w:val="000000" w:themeColor="text1"/>
                <w:sz w:val="16"/>
                <w:lang w:val="en-GB"/>
              </w:rPr>
              <w:t>2 336</w:t>
            </w:r>
          </w:p>
        </w:tc>
        <w:tc>
          <w:tcPr>
            <w:tcW w:w="1134"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108FF8BF" w14:textId="77777777" w:rsidR="00200D95" w:rsidRPr="00200D95" w:rsidRDefault="00200D95" w:rsidP="002A09BD">
            <w:pPr>
              <w:spacing w:line="240" w:lineRule="atLeast"/>
              <w:jc w:val="right"/>
              <w:rPr>
                <w:rFonts w:ascii="Tahoma" w:hAnsi="Tahoma"/>
                <w:color w:val="000000" w:themeColor="text1"/>
                <w:sz w:val="16"/>
                <w:lang w:val="en-GB"/>
              </w:rPr>
            </w:pPr>
            <w:r w:rsidRPr="00200D95">
              <w:rPr>
                <w:rFonts w:ascii="Tahoma" w:hAnsi="Tahoma"/>
                <w:color w:val="000000" w:themeColor="text1"/>
                <w:sz w:val="16"/>
                <w:lang w:val="en-GB"/>
              </w:rPr>
              <w:t>3 830</w:t>
            </w:r>
          </w:p>
        </w:tc>
        <w:tc>
          <w:tcPr>
            <w:tcW w:w="1134"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7E467174" w14:textId="77777777" w:rsidR="00200D95" w:rsidRPr="00200D95" w:rsidRDefault="00200D95" w:rsidP="002A09BD">
            <w:pPr>
              <w:spacing w:line="240" w:lineRule="atLeast"/>
              <w:jc w:val="right"/>
              <w:rPr>
                <w:rFonts w:ascii="Tahoma" w:hAnsi="Tahoma"/>
                <w:color w:val="000000" w:themeColor="text1"/>
                <w:sz w:val="16"/>
                <w:lang w:val="en-GB"/>
              </w:rPr>
            </w:pPr>
            <w:r w:rsidRPr="00200D95">
              <w:rPr>
                <w:rFonts w:ascii="Tahoma" w:hAnsi="Tahoma"/>
                <w:color w:val="000000" w:themeColor="text1"/>
                <w:sz w:val="16"/>
                <w:lang w:val="en-GB"/>
              </w:rPr>
              <w:t>3 372</w:t>
            </w:r>
          </w:p>
        </w:tc>
      </w:tr>
      <w:tr w:rsidR="00615190" w:rsidRPr="00200D95" w14:paraId="2C4E4327" w14:textId="77777777" w:rsidTr="00591E16">
        <w:trPr>
          <w:trHeight w:val="60"/>
        </w:trPr>
        <w:tc>
          <w:tcPr>
            <w:tcW w:w="397" w:type="dxa"/>
            <w:shd w:val="clear" w:color="auto" w:fill="auto"/>
            <w:tcMar>
              <w:top w:w="85" w:type="dxa"/>
              <w:left w:w="0" w:type="dxa"/>
              <w:bottom w:w="57" w:type="dxa"/>
              <w:right w:w="0" w:type="dxa"/>
            </w:tcMar>
            <w:vAlign w:val="bottom"/>
          </w:tcPr>
          <w:p w14:paraId="6C1B03EB" w14:textId="77777777" w:rsidR="00200D95" w:rsidRPr="00200D95" w:rsidRDefault="00200D95" w:rsidP="00615190">
            <w:pPr>
              <w:spacing w:line="240" w:lineRule="atLeast"/>
              <w:rPr>
                <w:rFonts w:ascii="Tahoma" w:hAnsi="Tahoma"/>
                <w:color w:val="000000" w:themeColor="text1"/>
                <w:sz w:val="16"/>
                <w:lang w:val="en-GB"/>
              </w:rPr>
            </w:pPr>
          </w:p>
        </w:tc>
        <w:tc>
          <w:tcPr>
            <w:tcW w:w="6407" w:type="dxa"/>
            <w:tcBorders>
              <w:top w:val="single" w:sz="12" w:space="0" w:color="auto"/>
            </w:tcBorders>
            <w:shd w:val="clear" w:color="auto" w:fill="auto"/>
            <w:tcMar>
              <w:top w:w="85" w:type="dxa"/>
              <w:left w:w="0" w:type="dxa"/>
              <w:bottom w:w="57" w:type="dxa"/>
              <w:right w:w="0" w:type="dxa"/>
            </w:tcMar>
            <w:vAlign w:val="bottom"/>
          </w:tcPr>
          <w:p w14:paraId="63724B93" w14:textId="77777777" w:rsidR="00200D95" w:rsidRPr="00200D95" w:rsidRDefault="00200D95" w:rsidP="00615190">
            <w:pPr>
              <w:spacing w:line="240" w:lineRule="atLeast"/>
              <w:rPr>
                <w:rFonts w:ascii="Tahoma" w:hAnsi="Tahoma"/>
                <w:color w:val="000000" w:themeColor="text1"/>
                <w:sz w:val="16"/>
                <w:lang w:val="en-GB"/>
              </w:rPr>
            </w:pPr>
            <w:r w:rsidRPr="00200D95">
              <w:rPr>
                <w:rFonts w:ascii="Tahoma" w:hAnsi="Tahoma"/>
                <w:color w:val="000000" w:themeColor="text1"/>
                <w:sz w:val="16"/>
                <w:lang w:val="en-GB"/>
              </w:rPr>
              <w:t>Cost</w:t>
            </w:r>
          </w:p>
        </w:tc>
        <w:tc>
          <w:tcPr>
            <w:tcW w:w="1134" w:type="dxa"/>
            <w:tcBorders>
              <w:top w:val="single" w:sz="12" w:space="0" w:color="auto"/>
            </w:tcBorders>
            <w:shd w:val="clear" w:color="auto" w:fill="auto"/>
            <w:tcMar>
              <w:top w:w="85" w:type="dxa"/>
              <w:left w:w="0" w:type="dxa"/>
              <w:bottom w:w="57" w:type="dxa"/>
              <w:right w:w="0" w:type="dxa"/>
            </w:tcMar>
            <w:vAlign w:val="bottom"/>
          </w:tcPr>
          <w:p w14:paraId="32CA3453" w14:textId="77777777" w:rsidR="00200D95" w:rsidRPr="00200D95" w:rsidRDefault="00200D95" w:rsidP="002A09BD">
            <w:pPr>
              <w:spacing w:line="240" w:lineRule="atLeast"/>
              <w:jc w:val="right"/>
              <w:rPr>
                <w:rFonts w:ascii="Tahoma" w:hAnsi="Tahoma"/>
                <w:b/>
                <w:bCs/>
                <w:color w:val="000000" w:themeColor="text1"/>
                <w:sz w:val="16"/>
                <w:lang w:val="en-GB"/>
              </w:rPr>
            </w:pPr>
            <w:r w:rsidRPr="00200D95">
              <w:rPr>
                <w:rFonts w:ascii="Tahoma" w:hAnsi="Tahoma"/>
                <w:b/>
                <w:bCs/>
                <w:color w:val="000000" w:themeColor="text1"/>
                <w:sz w:val="16"/>
                <w:lang w:val="en-GB"/>
              </w:rPr>
              <w:t>2 683</w:t>
            </w:r>
          </w:p>
        </w:tc>
        <w:tc>
          <w:tcPr>
            <w:tcW w:w="1134" w:type="dxa"/>
            <w:tcBorders>
              <w:top w:val="single" w:sz="12" w:space="0" w:color="auto"/>
            </w:tcBorders>
            <w:shd w:val="clear" w:color="auto" w:fill="auto"/>
            <w:tcMar>
              <w:top w:w="85" w:type="dxa"/>
              <w:left w:w="0" w:type="dxa"/>
              <w:bottom w:w="57" w:type="dxa"/>
              <w:right w:w="0" w:type="dxa"/>
            </w:tcMar>
            <w:vAlign w:val="bottom"/>
          </w:tcPr>
          <w:p w14:paraId="1246198A" w14:textId="77777777" w:rsidR="00200D95" w:rsidRPr="00200D95" w:rsidRDefault="00200D95" w:rsidP="002A09BD">
            <w:pPr>
              <w:spacing w:line="240" w:lineRule="atLeast"/>
              <w:jc w:val="right"/>
              <w:rPr>
                <w:rFonts w:ascii="Tahoma" w:hAnsi="Tahoma"/>
                <w:color w:val="000000" w:themeColor="text1"/>
                <w:sz w:val="16"/>
                <w:lang w:val="en-GB"/>
              </w:rPr>
            </w:pPr>
            <w:r w:rsidRPr="00200D95">
              <w:rPr>
                <w:rFonts w:ascii="Tahoma" w:hAnsi="Tahoma"/>
                <w:color w:val="000000" w:themeColor="text1"/>
                <w:sz w:val="16"/>
                <w:lang w:val="en-GB"/>
              </w:rPr>
              <w:t>3 951</w:t>
            </w:r>
          </w:p>
        </w:tc>
        <w:tc>
          <w:tcPr>
            <w:tcW w:w="1134" w:type="dxa"/>
            <w:tcBorders>
              <w:top w:val="single" w:sz="12" w:space="0" w:color="auto"/>
            </w:tcBorders>
            <w:shd w:val="clear" w:color="auto" w:fill="auto"/>
            <w:tcMar>
              <w:top w:w="85" w:type="dxa"/>
              <w:left w:w="0" w:type="dxa"/>
              <w:bottom w:w="57" w:type="dxa"/>
              <w:right w:w="0" w:type="dxa"/>
            </w:tcMar>
            <w:vAlign w:val="bottom"/>
          </w:tcPr>
          <w:p w14:paraId="264E7E41" w14:textId="77777777" w:rsidR="00200D95" w:rsidRPr="00200D95" w:rsidRDefault="00200D95" w:rsidP="002A09BD">
            <w:pPr>
              <w:spacing w:line="240" w:lineRule="atLeast"/>
              <w:jc w:val="right"/>
              <w:rPr>
                <w:rFonts w:ascii="Tahoma" w:hAnsi="Tahoma"/>
                <w:color w:val="000000" w:themeColor="text1"/>
                <w:sz w:val="16"/>
                <w:lang w:val="en-GB"/>
              </w:rPr>
            </w:pPr>
            <w:r w:rsidRPr="00200D95">
              <w:rPr>
                <w:rFonts w:ascii="Tahoma" w:hAnsi="Tahoma"/>
                <w:color w:val="000000" w:themeColor="text1"/>
                <w:sz w:val="16"/>
                <w:lang w:val="en-GB"/>
              </w:rPr>
              <w:t>3 727</w:t>
            </w:r>
          </w:p>
        </w:tc>
      </w:tr>
      <w:tr w:rsidR="00615190" w:rsidRPr="00200D95" w14:paraId="6738F25B" w14:textId="77777777" w:rsidTr="00875A31">
        <w:trPr>
          <w:trHeight w:val="60"/>
        </w:trPr>
        <w:tc>
          <w:tcPr>
            <w:tcW w:w="397" w:type="dxa"/>
            <w:shd w:val="clear" w:color="auto" w:fill="auto"/>
            <w:tcMar>
              <w:top w:w="57" w:type="dxa"/>
              <w:left w:w="0" w:type="dxa"/>
              <w:bottom w:w="85" w:type="dxa"/>
              <w:right w:w="0" w:type="dxa"/>
            </w:tcMar>
            <w:vAlign w:val="bottom"/>
          </w:tcPr>
          <w:p w14:paraId="51730A35" w14:textId="77777777" w:rsidR="00200D95" w:rsidRPr="00200D95" w:rsidRDefault="00200D95" w:rsidP="00615190">
            <w:pPr>
              <w:spacing w:line="240" w:lineRule="atLeast"/>
              <w:rPr>
                <w:rFonts w:ascii="Tahoma" w:hAnsi="Tahoma"/>
                <w:color w:val="000000" w:themeColor="text1"/>
                <w:sz w:val="16"/>
                <w:lang w:val="en-GB"/>
              </w:rPr>
            </w:pPr>
          </w:p>
        </w:tc>
        <w:tc>
          <w:tcPr>
            <w:tcW w:w="6407" w:type="dxa"/>
            <w:tcBorders>
              <w:bottom w:val="single" w:sz="12" w:space="0" w:color="auto"/>
            </w:tcBorders>
            <w:shd w:val="clear" w:color="auto" w:fill="auto"/>
            <w:tcMar>
              <w:top w:w="57" w:type="dxa"/>
              <w:left w:w="0" w:type="dxa"/>
              <w:bottom w:w="85" w:type="dxa"/>
              <w:right w:w="0" w:type="dxa"/>
            </w:tcMar>
            <w:vAlign w:val="bottom"/>
          </w:tcPr>
          <w:p w14:paraId="455B6154" w14:textId="77777777" w:rsidR="00200D95" w:rsidRPr="00200D95" w:rsidRDefault="00200D95" w:rsidP="00615190">
            <w:pPr>
              <w:spacing w:line="240" w:lineRule="atLeast"/>
              <w:rPr>
                <w:rFonts w:ascii="Tahoma" w:hAnsi="Tahoma"/>
                <w:color w:val="000000" w:themeColor="text1"/>
                <w:sz w:val="16"/>
                <w:lang w:val="en-GB"/>
              </w:rPr>
            </w:pPr>
            <w:r w:rsidRPr="00200D95">
              <w:rPr>
                <w:rFonts w:ascii="Tahoma" w:hAnsi="Tahoma"/>
                <w:color w:val="000000" w:themeColor="text1"/>
                <w:sz w:val="16"/>
                <w:lang w:val="en-GB"/>
              </w:rPr>
              <w:t>Accumulated impairment</w:t>
            </w:r>
          </w:p>
        </w:tc>
        <w:tc>
          <w:tcPr>
            <w:tcW w:w="1134" w:type="dxa"/>
            <w:tcBorders>
              <w:bottom w:val="single" w:sz="12" w:space="0" w:color="auto"/>
            </w:tcBorders>
            <w:shd w:val="clear" w:color="auto" w:fill="auto"/>
            <w:tcMar>
              <w:top w:w="57" w:type="dxa"/>
              <w:left w:w="0" w:type="dxa"/>
              <w:bottom w:w="85" w:type="dxa"/>
              <w:right w:w="0" w:type="dxa"/>
            </w:tcMar>
            <w:vAlign w:val="bottom"/>
          </w:tcPr>
          <w:p w14:paraId="5DB1B7B1" w14:textId="77777777" w:rsidR="00200D95" w:rsidRPr="00200D95" w:rsidRDefault="00200D95" w:rsidP="002A09BD">
            <w:pPr>
              <w:spacing w:line="240" w:lineRule="atLeast"/>
              <w:jc w:val="right"/>
              <w:rPr>
                <w:rFonts w:ascii="Tahoma" w:hAnsi="Tahoma"/>
                <w:b/>
                <w:bCs/>
                <w:color w:val="000000" w:themeColor="text1"/>
                <w:sz w:val="16"/>
                <w:lang w:val="en-GB"/>
              </w:rPr>
            </w:pPr>
            <w:r w:rsidRPr="00200D95">
              <w:rPr>
                <w:rFonts w:ascii="Tahoma" w:hAnsi="Tahoma"/>
                <w:b/>
                <w:bCs/>
                <w:color w:val="000000" w:themeColor="text1"/>
                <w:sz w:val="16"/>
                <w:lang w:val="en-GB"/>
              </w:rPr>
              <w:t>(347)</w:t>
            </w:r>
          </w:p>
        </w:tc>
        <w:tc>
          <w:tcPr>
            <w:tcW w:w="1134" w:type="dxa"/>
            <w:tcBorders>
              <w:bottom w:val="single" w:sz="12" w:space="0" w:color="auto"/>
            </w:tcBorders>
            <w:shd w:val="clear" w:color="auto" w:fill="auto"/>
            <w:tcMar>
              <w:top w:w="57" w:type="dxa"/>
              <w:left w:w="0" w:type="dxa"/>
              <w:bottom w:w="85" w:type="dxa"/>
              <w:right w:w="0" w:type="dxa"/>
            </w:tcMar>
            <w:vAlign w:val="bottom"/>
          </w:tcPr>
          <w:p w14:paraId="05E0FBE3" w14:textId="77777777" w:rsidR="00200D95" w:rsidRPr="00200D95" w:rsidRDefault="00200D95" w:rsidP="002A09BD">
            <w:pPr>
              <w:spacing w:line="240" w:lineRule="atLeast"/>
              <w:jc w:val="right"/>
              <w:rPr>
                <w:rFonts w:ascii="Tahoma" w:hAnsi="Tahoma"/>
                <w:color w:val="000000" w:themeColor="text1"/>
                <w:sz w:val="16"/>
                <w:lang w:val="en-GB"/>
              </w:rPr>
            </w:pPr>
            <w:r w:rsidRPr="00200D95">
              <w:rPr>
                <w:rFonts w:ascii="Tahoma" w:hAnsi="Tahoma"/>
                <w:color w:val="000000" w:themeColor="text1"/>
                <w:sz w:val="16"/>
                <w:lang w:val="en-GB"/>
              </w:rPr>
              <w:t>(121)</w:t>
            </w:r>
          </w:p>
        </w:tc>
        <w:tc>
          <w:tcPr>
            <w:tcW w:w="1134" w:type="dxa"/>
            <w:tcBorders>
              <w:bottom w:val="single" w:sz="12" w:space="0" w:color="auto"/>
            </w:tcBorders>
            <w:shd w:val="clear" w:color="auto" w:fill="auto"/>
            <w:tcMar>
              <w:top w:w="57" w:type="dxa"/>
              <w:left w:w="0" w:type="dxa"/>
              <w:bottom w:w="85" w:type="dxa"/>
              <w:right w:w="0" w:type="dxa"/>
            </w:tcMar>
            <w:vAlign w:val="bottom"/>
          </w:tcPr>
          <w:p w14:paraId="232BED3D" w14:textId="77777777" w:rsidR="00200D95" w:rsidRPr="00200D95" w:rsidRDefault="00200D95" w:rsidP="002A09BD">
            <w:pPr>
              <w:spacing w:line="240" w:lineRule="atLeast"/>
              <w:jc w:val="right"/>
              <w:rPr>
                <w:rFonts w:ascii="Tahoma" w:hAnsi="Tahoma"/>
                <w:color w:val="000000" w:themeColor="text1"/>
                <w:sz w:val="16"/>
                <w:lang w:val="en-GB"/>
              </w:rPr>
            </w:pPr>
            <w:r w:rsidRPr="00200D95">
              <w:rPr>
                <w:rFonts w:ascii="Tahoma" w:hAnsi="Tahoma"/>
                <w:color w:val="000000" w:themeColor="text1"/>
                <w:sz w:val="16"/>
                <w:lang w:val="en-GB"/>
              </w:rPr>
              <w:t>(355)</w:t>
            </w:r>
          </w:p>
        </w:tc>
      </w:tr>
      <w:tr w:rsidR="00615190" w:rsidRPr="00200D95" w14:paraId="14F5B243" w14:textId="77777777" w:rsidTr="00875A31">
        <w:trPr>
          <w:trHeight w:val="60"/>
        </w:trPr>
        <w:tc>
          <w:tcPr>
            <w:tcW w:w="397" w:type="dxa"/>
            <w:shd w:val="clear" w:color="auto" w:fill="auto"/>
            <w:tcMar>
              <w:top w:w="85" w:type="dxa"/>
              <w:left w:w="0" w:type="dxa"/>
              <w:bottom w:w="57" w:type="dxa"/>
              <w:right w:w="0" w:type="dxa"/>
            </w:tcMar>
            <w:vAlign w:val="bottom"/>
          </w:tcPr>
          <w:p w14:paraId="0EB68BEA" w14:textId="77777777" w:rsidR="00200D95" w:rsidRPr="00200D95" w:rsidRDefault="00200D95" w:rsidP="00615190">
            <w:pPr>
              <w:spacing w:line="240" w:lineRule="atLeast"/>
              <w:rPr>
                <w:rFonts w:ascii="Tahoma" w:hAnsi="Tahoma"/>
                <w:color w:val="000000" w:themeColor="text1"/>
                <w:sz w:val="16"/>
                <w:lang w:val="en-GB"/>
              </w:rPr>
            </w:pPr>
          </w:p>
        </w:tc>
        <w:tc>
          <w:tcPr>
            <w:tcW w:w="9809" w:type="dxa"/>
            <w:gridSpan w:val="4"/>
            <w:tcBorders>
              <w:top w:val="single" w:sz="12" w:space="0" w:color="auto"/>
            </w:tcBorders>
            <w:shd w:val="clear" w:color="auto" w:fill="auto"/>
            <w:tcMar>
              <w:top w:w="85" w:type="dxa"/>
              <w:left w:w="0" w:type="dxa"/>
              <w:bottom w:w="57" w:type="dxa"/>
              <w:right w:w="0" w:type="dxa"/>
            </w:tcMar>
            <w:vAlign w:val="bottom"/>
          </w:tcPr>
          <w:p w14:paraId="0C225758" w14:textId="77777777" w:rsidR="00200D95" w:rsidRPr="00200D95" w:rsidRDefault="00200D95" w:rsidP="00BD3BB3">
            <w:pPr>
              <w:pStyle w:val="FootnotesProsus2022FrontStylesProsus2022"/>
            </w:pPr>
            <w:r w:rsidRPr="00200D95">
              <w:t>1</w:t>
            </w:r>
            <w:r w:rsidRPr="00200D95">
              <w:tab/>
              <w:t>The current period includes a net monetary gain of US$70.6m relating to hyperinflation accounting for the group’s subsidiaries in Turkey (refer to note 2).</w:t>
            </w:r>
          </w:p>
          <w:p w14:paraId="1C7D7B73" w14:textId="77777777" w:rsidR="00200D95" w:rsidRPr="00200D95" w:rsidRDefault="00200D95" w:rsidP="00BD3BB3">
            <w:pPr>
              <w:pStyle w:val="FootnotesProsus2022FrontStylesProsus2022"/>
            </w:pPr>
            <w:r w:rsidRPr="00200D95">
              <w:t>2</w:t>
            </w:r>
            <w:r w:rsidRPr="00200D95">
              <w:tab/>
              <w:t xml:space="preserve">Relates primarily to </w:t>
            </w:r>
            <w:proofErr w:type="spellStart"/>
            <w:r w:rsidRPr="00200D95">
              <w:t>Avito</w:t>
            </w:r>
            <w:proofErr w:type="spellEnd"/>
            <w:r w:rsidRPr="00200D95">
              <w:t xml:space="preserve"> which was classified as held for sale in May 2022 (refer to note 14).</w:t>
            </w:r>
          </w:p>
        </w:tc>
      </w:tr>
      <w:tr w:rsidR="00615190" w:rsidRPr="00200D95" w14:paraId="0EC6C103" w14:textId="77777777" w:rsidTr="00484B0F">
        <w:trPr>
          <w:trHeight w:val="60"/>
        </w:trPr>
        <w:tc>
          <w:tcPr>
            <w:tcW w:w="397" w:type="dxa"/>
            <w:shd w:val="clear" w:color="auto" w:fill="auto"/>
            <w:tcMar>
              <w:top w:w="119" w:type="dxa"/>
              <w:left w:w="0" w:type="dxa"/>
              <w:bottom w:w="57" w:type="dxa"/>
              <w:right w:w="0" w:type="dxa"/>
            </w:tcMar>
            <w:vAlign w:val="bottom"/>
          </w:tcPr>
          <w:p w14:paraId="30C472C2" w14:textId="77777777" w:rsidR="00200D95" w:rsidRPr="00200D95" w:rsidRDefault="00200D95" w:rsidP="00615190">
            <w:pPr>
              <w:spacing w:line="240" w:lineRule="atLeast"/>
              <w:rPr>
                <w:rFonts w:ascii="Tahoma" w:hAnsi="Tahoma"/>
                <w:color w:val="000000" w:themeColor="text1"/>
                <w:sz w:val="16"/>
                <w:lang w:val="en-GB"/>
              </w:rPr>
            </w:pPr>
          </w:p>
        </w:tc>
        <w:tc>
          <w:tcPr>
            <w:tcW w:w="9809" w:type="dxa"/>
            <w:gridSpan w:val="4"/>
            <w:shd w:val="clear" w:color="auto" w:fill="auto"/>
            <w:tcMar>
              <w:top w:w="119" w:type="dxa"/>
              <w:left w:w="0" w:type="dxa"/>
              <w:bottom w:w="57" w:type="dxa"/>
              <w:right w:w="0" w:type="dxa"/>
            </w:tcMar>
            <w:vAlign w:val="bottom"/>
          </w:tcPr>
          <w:p w14:paraId="7B733BB6" w14:textId="77777777" w:rsidR="00200D95" w:rsidRPr="00200D95" w:rsidRDefault="00200D95" w:rsidP="00615190">
            <w:pPr>
              <w:spacing w:line="240" w:lineRule="atLeast"/>
              <w:rPr>
                <w:rFonts w:ascii="Tahoma" w:hAnsi="Tahoma"/>
                <w:color w:val="000000" w:themeColor="text1"/>
                <w:sz w:val="16"/>
                <w:lang w:val="en-GB"/>
              </w:rPr>
            </w:pPr>
            <w:r w:rsidRPr="00200D95">
              <w:rPr>
                <w:rFonts w:ascii="Tahoma" w:hAnsi="Tahoma"/>
                <w:color w:val="000000" w:themeColor="text1"/>
                <w:sz w:val="16"/>
                <w:lang w:val="en-GB"/>
              </w:rPr>
              <w:t>Goodwill is tested annually as at 31 December or more frequently if there is a change in circumstance that indicates that it might be impaired. The group has allocated goodwill to various cash-generating units (CGUs). The recoverable amounts of these CGUs have been determined based on the higher of the value-in-use calculations and the fair value less costs of disposal. During the current period and prior financial year, the recoverable amounts for CGUs were determined by predominantly using value-in-use calculations. Value-in-use is based on discounted cash flow calculations. These cash flow calculations are based on 10-year forecast information.</w:t>
            </w:r>
          </w:p>
        </w:tc>
      </w:tr>
      <w:tr w:rsidR="00615190" w:rsidRPr="00200D95" w14:paraId="19141FE0" w14:textId="77777777" w:rsidTr="00484B0F">
        <w:trPr>
          <w:trHeight w:val="60"/>
        </w:trPr>
        <w:tc>
          <w:tcPr>
            <w:tcW w:w="397" w:type="dxa"/>
            <w:shd w:val="clear" w:color="auto" w:fill="auto"/>
            <w:tcMar>
              <w:top w:w="119" w:type="dxa"/>
              <w:left w:w="0" w:type="dxa"/>
              <w:bottom w:w="57" w:type="dxa"/>
              <w:right w:w="0" w:type="dxa"/>
            </w:tcMar>
            <w:vAlign w:val="bottom"/>
          </w:tcPr>
          <w:p w14:paraId="79E7485C" w14:textId="77777777" w:rsidR="00200D95" w:rsidRPr="00200D95" w:rsidRDefault="00200D95" w:rsidP="00615190">
            <w:pPr>
              <w:spacing w:line="240" w:lineRule="atLeast"/>
              <w:rPr>
                <w:rFonts w:ascii="Tahoma" w:hAnsi="Tahoma"/>
                <w:color w:val="000000" w:themeColor="text1"/>
                <w:sz w:val="16"/>
                <w:lang w:val="en-GB"/>
              </w:rPr>
            </w:pPr>
          </w:p>
        </w:tc>
        <w:tc>
          <w:tcPr>
            <w:tcW w:w="9809" w:type="dxa"/>
            <w:gridSpan w:val="4"/>
            <w:shd w:val="clear" w:color="auto" w:fill="auto"/>
            <w:tcMar>
              <w:top w:w="119" w:type="dxa"/>
              <w:left w:w="0" w:type="dxa"/>
              <w:bottom w:w="57" w:type="dxa"/>
              <w:right w:w="0" w:type="dxa"/>
            </w:tcMar>
            <w:vAlign w:val="bottom"/>
          </w:tcPr>
          <w:p w14:paraId="38CFDB12" w14:textId="77777777" w:rsidR="00200D95" w:rsidRPr="00200D95" w:rsidRDefault="00200D95" w:rsidP="00615190">
            <w:pPr>
              <w:spacing w:line="240" w:lineRule="atLeast"/>
              <w:rPr>
                <w:rFonts w:ascii="Tahoma" w:hAnsi="Tahoma"/>
                <w:color w:val="000000" w:themeColor="text1"/>
                <w:sz w:val="16"/>
                <w:lang w:val="en-GB"/>
              </w:rPr>
            </w:pPr>
            <w:r w:rsidRPr="00200D95">
              <w:rPr>
                <w:rFonts w:ascii="Tahoma" w:hAnsi="Tahoma"/>
                <w:color w:val="000000" w:themeColor="text1"/>
                <w:sz w:val="16"/>
                <w:lang w:val="en-GB"/>
              </w:rPr>
              <w:t>For the six months ended 30 September 2022, the group assessed whether there was a change in circumstances that indicates that goodwill allocated to CGUs might be impaired, taking into consideration the increase in market interest rates and country risk premiums, the ongoing war in Ukraine and the overall business performance. The assessment of impairment indicators for goodwill included the actual performance of the CGUs during the period against budgets and forecasts, and movements in parameters used in the cash flow calculations such as discount rates, risk-free rates and country risk premiums. The group’s material CGUs at risk of impairment in the Edtech segment had limited headroom and increased market rates. The group re</w:t>
            </w:r>
            <w:r w:rsidRPr="00200D95">
              <w:rPr>
                <w:rFonts w:ascii="Tahoma" w:hAnsi="Tahoma" w:cs="Cambria Math"/>
                <w:color w:val="000000" w:themeColor="text1"/>
                <w:sz w:val="16"/>
                <w:lang w:val="en-GB"/>
              </w:rPr>
              <w:t>‑</w:t>
            </w:r>
            <w:r w:rsidRPr="00200D95">
              <w:rPr>
                <w:rFonts w:ascii="Tahoma" w:hAnsi="Tahoma"/>
                <w:color w:val="000000" w:themeColor="text1"/>
                <w:sz w:val="16"/>
                <w:lang w:val="en-GB"/>
              </w:rPr>
              <w:t>assessed its 10-year discounted cash flow valuations (value-in-use calculations) for these businesses at risk of impairment due to an increase in discount rates and country risk premiums. The group did not recognise any impairment losses for the material CGUs.</w:t>
            </w:r>
          </w:p>
        </w:tc>
      </w:tr>
      <w:tr w:rsidR="00615190" w:rsidRPr="00200D95" w14:paraId="6BCB58A9" w14:textId="77777777" w:rsidTr="00484B0F">
        <w:trPr>
          <w:trHeight w:val="60"/>
        </w:trPr>
        <w:tc>
          <w:tcPr>
            <w:tcW w:w="397" w:type="dxa"/>
            <w:shd w:val="clear" w:color="auto" w:fill="auto"/>
            <w:tcMar>
              <w:top w:w="119" w:type="dxa"/>
              <w:left w:w="0" w:type="dxa"/>
              <w:bottom w:w="85" w:type="dxa"/>
              <w:right w:w="0" w:type="dxa"/>
            </w:tcMar>
            <w:vAlign w:val="bottom"/>
          </w:tcPr>
          <w:p w14:paraId="3417A227" w14:textId="77777777" w:rsidR="00200D95" w:rsidRPr="00200D95" w:rsidRDefault="00200D95" w:rsidP="00615190">
            <w:pPr>
              <w:spacing w:line="240" w:lineRule="atLeast"/>
              <w:rPr>
                <w:rFonts w:ascii="Tahoma" w:hAnsi="Tahoma"/>
                <w:color w:val="000000" w:themeColor="text1"/>
                <w:sz w:val="16"/>
                <w:lang w:val="en-GB"/>
              </w:rPr>
            </w:pPr>
          </w:p>
        </w:tc>
        <w:tc>
          <w:tcPr>
            <w:tcW w:w="9809" w:type="dxa"/>
            <w:gridSpan w:val="4"/>
            <w:shd w:val="clear" w:color="auto" w:fill="auto"/>
            <w:tcMar>
              <w:top w:w="119" w:type="dxa"/>
              <w:left w:w="0" w:type="dxa"/>
              <w:bottom w:w="85" w:type="dxa"/>
              <w:right w:w="0" w:type="dxa"/>
            </w:tcMar>
            <w:vAlign w:val="bottom"/>
          </w:tcPr>
          <w:p w14:paraId="09B47A7A" w14:textId="77777777" w:rsidR="00200D95" w:rsidRPr="00200D95" w:rsidRDefault="00200D95" w:rsidP="00615190">
            <w:pPr>
              <w:spacing w:line="240" w:lineRule="atLeast"/>
              <w:rPr>
                <w:rFonts w:ascii="Tahoma" w:hAnsi="Tahoma"/>
                <w:color w:val="000000" w:themeColor="text1"/>
                <w:sz w:val="16"/>
                <w:lang w:val="en-GB"/>
              </w:rPr>
            </w:pPr>
            <w:r w:rsidRPr="00200D95">
              <w:rPr>
                <w:rFonts w:ascii="Tahoma" w:hAnsi="Tahoma"/>
                <w:color w:val="000000" w:themeColor="text1"/>
                <w:sz w:val="16"/>
                <w:lang w:val="en-GB"/>
              </w:rPr>
              <w:t>The group recognised goodwill impairment of US$5.8m (31 March 2022: US$246m) for the six months ended 30 September 2022. For the year ended 31 March 2022, the impairment predominantly related to Stack Overflow in the Edtech segment.</w:t>
            </w:r>
          </w:p>
        </w:tc>
      </w:tr>
    </w:tbl>
    <w:p w14:paraId="73152A07" w14:textId="77777777" w:rsidR="00176D31" w:rsidRDefault="00176D31" w:rsidP="00615190">
      <w:pPr>
        <w:spacing w:line="240" w:lineRule="atLeast"/>
        <w:rPr>
          <w:rFonts w:ascii="Tahoma" w:hAnsi="Tahoma"/>
          <w:color w:val="000000" w:themeColor="text1"/>
          <w:sz w:val="16"/>
        </w:rPr>
      </w:pPr>
    </w:p>
    <w:p w14:paraId="0DFA3845" w14:textId="77777777" w:rsidR="00176D31" w:rsidRDefault="00176D31">
      <w:pPr>
        <w:rPr>
          <w:rFonts w:ascii="Tahoma" w:hAnsi="Tahoma"/>
          <w:color w:val="000000" w:themeColor="text1"/>
          <w:sz w:val="16"/>
        </w:rPr>
      </w:pPr>
      <w:r>
        <w:rPr>
          <w:rFonts w:ascii="Tahoma" w:hAnsi="Tahoma"/>
          <w:color w:val="000000" w:themeColor="text1"/>
          <w:sz w:val="16"/>
        </w:rPr>
        <w:br w:type="page"/>
      </w:r>
    </w:p>
    <w:p w14:paraId="534D6DEE" w14:textId="77777777" w:rsidR="0058677E" w:rsidRPr="00615190" w:rsidRDefault="0058677E" w:rsidP="00615190">
      <w:pPr>
        <w:spacing w:line="240" w:lineRule="atLeast"/>
        <w:rPr>
          <w:rFonts w:ascii="Tahoma" w:hAnsi="Tahoma"/>
          <w:color w:val="000000" w:themeColor="text1"/>
          <w:sz w:val="16"/>
        </w:rPr>
      </w:pPr>
    </w:p>
    <w:tbl>
      <w:tblPr>
        <w:tblW w:w="10214" w:type="dxa"/>
        <w:tblInd w:w="-8" w:type="dxa"/>
        <w:tblLayout w:type="fixed"/>
        <w:tblCellMar>
          <w:left w:w="0" w:type="dxa"/>
          <w:right w:w="0" w:type="dxa"/>
        </w:tblCellMar>
        <w:tblLook w:val="0000" w:firstRow="0" w:lastRow="0" w:firstColumn="0" w:lastColumn="0" w:noHBand="0" w:noVBand="0"/>
      </w:tblPr>
      <w:tblGrid>
        <w:gridCol w:w="397"/>
        <w:gridCol w:w="6415"/>
        <w:gridCol w:w="1134"/>
        <w:gridCol w:w="993"/>
        <w:gridCol w:w="1275"/>
      </w:tblGrid>
      <w:tr w:rsidR="00615190" w:rsidRPr="00392E56" w14:paraId="1D8D5F23" w14:textId="77777777" w:rsidTr="00070628">
        <w:trPr>
          <w:trHeight w:val="60"/>
        </w:trPr>
        <w:tc>
          <w:tcPr>
            <w:tcW w:w="397" w:type="dxa"/>
            <w:shd w:val="clear" w:color="auto" w:fill="auto"/>
            <w:tcMar>
              <w:top w:w="0" w:type="dxa"/>
              <w:left w:w="0" w:type="dxa"/>
              <w:bottom w:w="57" w:type="dxa"/>
              <w:right w:w="0" w:type="dxa"/>
            </w:tcMar>
            <w:vAlign w:val="bottom"/>
          </w:tcPr>
          <w:p w14:paraId="5C7F2C82" w14:textId="77777777" w:rsidR="00392E56" w:rsidRPr="00392E56" w:rsidRDefault="008D2C2F" w:rsidP="00615190">
            <w:pPr>
              <w:spacing w:line="240" w:lineRule="atLeast"/>
              <w:rPr>
                <w:rFonts w:ascii="Tahoma" w:hAnsi="Tahoma"/>
                <w:b/>
                <w:bCs/>
                <w:color w:val="000000" w:themeColor="text1"/>
                <w:sz w:val="16"/>
                <w:lang w:val="en-GB"/>
              </w:rPr>
            </w:pPr>
            <w:r w:rsidRPr="00392E56">
              <w:rPr>
                <w:rFonts w:ascii="Tahoma" w:hAnsi="Tahoma"/>
                <w:b/>
                <w:bCs/>
                <w:color w:val="000000" w:themeColor="text1"/>
                <w:sz w:val="16"/>
                <w:lang w:val="en-GB"/>
              </w:rPr>
              <w:t>11.</w:t>
            </w:r>
          </w:p>
        </w:tc>
        <w:tc>
          <w:tcPr>
            <w:tcW w:w="9817" w:type="dxa"/>
            <w:gridSpan w:val="4"/>
            <w:shd w:val="clear" w:color="auto" w:fill="auto"/>
            <w:tcMar>
              <w:top w:w="0" w:type="dxa"/>
              <w:left w:w="0" w:type="dxa"/>
              <w:bottom w:w="57" w:type="dxa"/>
              <w:right w:w="0" w:type="dxa"/>
            </w:tcMar>
            <w:vAlign w:val="bottom"/>
          </w:tcPr>
          <w:p w14:paraId="15DB6A65" w14:textId="77777777" w:rsidR="00392E56" w:rsidRPr="00392E56" w:rsidRDefault="008D2C2F" w:rsidP="00615190">
            <w:pPr>
              <w:spacing w:line="240" w:lineRule="atLeast"/>
              <w:rPr>
                <w:rFonts w:ascii="Tahoma" w:hAnsi="Tahoma"/>
                <w:b/>
                <w:bCs/>
                <w:color w:val="000000" w:themeColor="text1"/>
                <w:sz w:val="16"/>
                <w:lang w:val="en-GB"/>
              </w:rPr>
            </w:pPr>
            <w:r w:rsidRPr="00392E56">
              <w:rPr>
                <w:rFonts w:ascii="Tahoma" w:hAnsi="Tahoma"/>
                <w:b/>
                <w:bCs/>
                <w:color w:val="000000" w:themeColor="text1"/>
                <w:sz w:val="16"/>
                <w:lang w:val="en-GB"/>
              </w:rPr>
              <w:t>INVESTMENTS IN ASSOCIATES</w:t>
            </w:r>
          </w:p>
        </w:tc>
      </w:tr>
      <w:tr w:rsidR="00615190" w:rsidRPr="00392E56" w14:paraId="38FBAF4C" w14:textId="77777777" w:rsidTr="00070628">
        <w:trPr>
          <w:trHeight w:val="60"/>
        </w:trPr>
        <w:tc>
          <w:tcPr>
            <w:tcW w:w="397" w:type="dxa"/>
            <w:shd w:val="clear" w:color="auto" w:fill="auto"/>
            <w:tcMar>
              <w:top w:w="57" w:type="dxa"/>
              <w:left w:w="0" w:type="dxa"/>
              <w:bottom w:w="113" w:type="dxa"/>
              <w:right w:w="0" w:type="dxa"/>
            </w:tcMar>
            <w:vAlign w:val="bottom"/>
          </w:tcPr>
          <w:p w14:paraId="53878F44" w14:textId="77777777" w:rsidR="00392E56" w:rsidRPr="00392E56" w:rsidRDefault="00392E56" w:rsidP="00615190">
            <w:pPr>
              <w:spacing w:line="240" w:lineRule="atLeast"/>
              <w:rPr>
                <w:rFonts w:ascii="Tahoma" w:hAnsi="Tahoma"/>
                <w:color w:val="000000" w:themeColor="text1"/>
                <w:sz w:val="16"/>
                <w:lang w:val="en-GB"/>
              </w:rPr>
            </w:pPr>
          </w:p>
        </w:tc>
        <w:tc>
          <w:tcPr>
            <w:tcW w:w="9817" w:type="dxa"/>
            <w:gridSpan w:val="4"/>
            <w:shd w:val="clear" w:color="auto" w:fill="auto"/>
            <w:tcMar>
              <w:top w:w="57" w:type="dxa"/>
              <w:left w:w="0" w:type="dxa"/>
              <w:bottom w:w="113" w:type="dxa"/>
              <w:right w:w="0" w:type="dxa"/>
            </w:tcMar>
            <w:vAlign w:val="bottom"/>
          </w:tcPr>
          <w:p w14:paraId="128FFD78" w14:textId="77777777" w:rsidR="00392E56" w:rsidRPr="00392E56" w:rsidRDefault="00392E56" w:rsidP="00615190">
            <w:pPr>
              <w:spacing w:line="240" w:lineRule="atLeast"/>
              <w:rPr>
                <w:rFonts w:ascii="Tahoma" w:hAnsi="Tahoma"/>
                <w:color w:val="000000" w:themeColor="text1"/>
                <w:sz w:val="16"/>
                <w:lang w:val="en-GB"/>
              </w:rPr>
            </w:pPr>
            <w:r w:rsidRPr="00392E56">
              <w:rPr>
                <w:rFonts w:ascii="Tahoma" w:hAnsi="Tahoma"/>
                <w:color w:val="000000" w:themeColor="text1"/>
                <w:sz w:val="16"/>
                <w:lang w:val="en-GB"/>
              </w:rPr>
              <w:t>The movements in the carrying value of the group’s investments in associates are detailed in the table below:</w:t>
            </w:r>
          </w:p>
        </w:tc>
      </w:tr>
      <w:tr w:rsidR="00615190" w:rsidRPr="00392E56" w14:paraId="1957BCF2" w14:textId="77777777" w:rsidTr="003D2E67">
        <w:trPr>
          <w:trHeight w:val="60"/>
        </w:trPr>
        <w:tc>
          <w:tcPr>
            <w:tcW w:w="397" w:type="dxa"/>
            <w:shd w:val="clear" w:color="auto" w:fill="auto"/>
            <w:tcMar>
              <w:top w:w="85" w:type="dxa"/>
              <w:left w:w="0" w:type="dxa"/>
              <w:bottom w:w="85" w:type="dxa"/>
              <w:right w:w="0" w:type="dxa"/>
            </w:tcMar>
            <w:vAlign w:val="bottom"/>
          </w:tcPr>
          <w:p w14:paraId="2A80D41F" w14:textId="77777777" w:rsidR="00392E56" w:rsidRPr="00392E56" w:rsidRDefault="00392E56" w:rsidP="00615190">
            <w:pPr>
              <w:spacing w:line="240" w:lineRule="atLeast"/>
              <w:rPr>
                <w:rFonts w:ascii="Tahoma" w:hAnsi="Tahoma"/>
                <w:color w:val="000000" w:themeColor="text1"/>
                <w:sz w:val="16"/>
                <w:lang w:val="en-GB"/>
              </w:rPr>
            </w:pPr>
          </w:p>
        </w:tc>
        <w:tc>
          <w:tcPr>
            <w:tcW w:w="6415" w:type="dxa"/>
            <w:shd w:val="clear" w:color="auto" w:fill="auto"/>
            <w:tcMar>
              <w:top w:w="85" w:type="dxa"/>
              <w:left w:w="0" w:type="dxa"/>
              <w:bottom w:w="85" w:type="dxa"/>
              <w:right w:w="0" w:type="dxa"/>
            </w:tcMar>
            <w:vAlign w:val="bottom"/>
          </w:tcPr>
          <w:p w14:paraId="2B56771D" w14:textId="77777777" w:rsidR="00392E56" w:rsidRPr="00392E56" w:rsidRDefault="00392E56" w:rsidP="00615190">
            <w:pPr>
              <w:spacing w:line="240" w:lineRule="atLeast"/>
              <w:rPr>
                <w:rFonts w:ascii="Tahoma" w:hAnsi="Tahoma"/>
                <w:color w:val="000000" w:themeColor="text1"/>
                <w:sz w:val="16"/>
                <w:lang w:val="en-GB"/>
              </w:rPr>
            </w:pPr>
          </w:p>
        </w:tc>
        <w:tc>
          <w:tcPr>
            <w:tcW w:w="2127" w:type="dxa"/>
            <w:gridSpan w:val="2"/>
            <w:shd w:val="clear" w:color="auto" w:fill="auto"/>
            <w:tcMar>
              <w:top w:w="85" w:type="dxa"/>
              <w:left w:w="0" w:type="dxa"/>
              <w:bottom w:w="85" w:type="dxa"/>
              <w:right w:w="0" w:type="dxa"/>
            </w:tcMar>
            <w:vAlign w:val="bottom"/>
          </w:tcPr>
          <w:p w14:paraId="2F2462D0" w14:textId="77777777" w:rsidR="00392E56" w:rsidRPr="00392E56" w:rsidRDefault="00392E56" w:rsidP="001302BF">
            <w:pPr>
              <w:spacing w:line="240" w:lineRule="atLeast"/>
              <w:ind w:left="430"/>
              <w:jc w:val="center"/>
              <w:rPr>
                <w:rFonts w:ascii="Tahoma" w:hAnsi="Tahoma"/>
                <w:b/>
                <w:bCs/>
                <w:color w:val="000000" w:themeColor="text1"/>
                <w:sz w:val="16"/>
                <w:lang w:val="en-GB"/>
              </w:rPr>
            </w:pPr>
            <w:r w:rsidRPr="00392E56">
              <w:rPr>
                <w:rFonts w:ascii="Tahoma" w:hAnsi="Tahoma"/>
                <w:b/>
                <w:bCs/>
                <w:color w:val="000000" w:themeColor="text1"/>
                <w:sz w:val="16"/>
                <w:lang w:val="en-GB"/>
              </w:rPr>
              <w:t>Six months ended</w:t>
            </w:r>
          </w:p>
          <w:p w14:paraId="21EF7FC9" w14:textId="77777777" w:rsidR="00392E56" w:rsidRPr="00392E56" w:rsidRDefault="00392E56" w:rsidP="001302BF">
            <w:pPr>
              <w:spacing w:line="240" w:lineRule="atLeast"/>
              <w:ind w:left="430"/>
              <w:jc w:val="center"/>
              <w:rPr>
                <w:rFonts w:ascii="Tahoma" w:hAnsi="Tahoma"/>
                <w:color w:val="000000" w:themeColor="text1"/>
                <w:sz w:val="16"/>
                <w:lang w:val="en-GB"/>
              </w:rPr>
            </w:pPr>
            <w:r w:rsidRPr="00392E56">
              <w:rPr>
                <w:rFonts w:ascii="Tahoma" w:hAnsi="Tahoma"/>
                <w:b/>
                <w:bCs/>
                <w:color w:val="000000" w:themeColor="text1"/>
                <w:sz w:val="16"/>
                <w:lang w:val="en-GB"/>
              </w:rPr>
              <w:t>30 September</w:t>
            </w:r>
          </w:p>
        </w:tc>
        <w:tc>
          <w:tcPr>
            <w:tcW w:w="1275" w:type="dxa"/>
            <w:shd w:val="clear" w:color="auto" w:fill="auto"/>
            <w:tcMar>
              <w:top w:w="85" w:type="dxa"/>
              <w:left w:w="0" w:type="dxa"/>
              <w:bottom w:w="85" w:type="dxa"/>
              <w:right w:w="0" w:type="dxa"/>
            </w:tcMar>
            <w:vAlign w:val="bottom"/>
          </w:tcPr>
          <w:p w14:paraId="7C05FAA9" w14:textId="77777777" w:rsidR="00392E56" w:rsidRPr="00392E56" w:rsidRDefault="00392E56" w:rsidP="00CF3680">
            <w:pPr>
              <w:spacing w:line="240" w:lineRule="atLeast"/>
              <w:jc w:val="right"/>
              <w:rPr>
                <w:rFonts w:ascii="Tahoma" w:hAnsi="Tahoma"/>
                <w:color w:val="000000" w:themeColor="text1"/>
                <w:sz w:val="16"/>
                <w:lang w:val="en-GB"/>
              </w:rPr>
            </w:pPr>
            <w:r w:rsidRPr="00392E56">
              <w:rPr>
                <w:rFonts w:ascii="Tahoma" w:hAnsi="Tahoma"/>
                <w:color w:val="000000" w:themeColor="text1"/>
                <w:sz w:val="16"/>
                <w:lang w:val="en-GB"/>
              </w:rPr>
              <w:t xml:space="preserve">Year </w:t>
            </w:r>
          </w:p>
          <w:p w14:paraId="0C6E31E3" w14:textId="77777777" w:rsidR="00392E56" w:rsidRPr="00392E56" w:rsidRDefault="00392E56" w:rsidP="00CF3680">
            <w:pPr>
              <w:spacing w:line="240" w:lineRule="atLeast"/>
              <w:jc w:val="right"/>
              <w:rPr>
                <w:rFonts w:ascii="Tahoma" w:hAnsi="Tahoma"/>
                <w:color w:val="000000" w:themeColor="text1"/>
                <w:sz w:val="16"/>
                <w:lang w:val="en-GB"/>
              </w:rPr>
            </w:pPr>
            <w:r w:rsidRPr="00392E56">
              <w:rPr>
                <w:rFonts w:ascii="Tahoma" w:hAnsi="Tahoma"/>
                <w:color w:val="000000" w:themeColor="text1"/>
                <w:sz w:val="16"/>
                <w:lang w:val="en-GB"/>
              </w:rPr>
              <w:t>ended</w:t>
            </w:r>
          </w:p>
          <w:p w14:paraId="7A7C9B1E" w14:textId="77777777" w:rsidR="00392E56" w:rsidRPr="00392E56" w:rsidRDefault="00392E56" w:rsidP="00CF3680">
            <w:pPr>
              <w:spacing w:line="240" w:lineRule="atLeast"/>
              <w:jc w:val="right"/>
              <w:rPr>
                <w:rFonts w:ascii="Tahoma" w:hAnsi="Tahoma"/>
                <w:color w:val="000000" w:themeColor="text1"/>
                <w:sz w:val="16"/>
                <w:lang w:val="en-GB"/>
              </w:rPr>
            </w:pPr>
            <w:r w:rsidRPr="00392E56">
              <w:rPr>
                <w:rFonts w:ascii="Tahoma" w:hAnsi="Tahoma"/>
                <w:color w:val="000000" w:themeColor="text1"/>
                <w:sz w:val="16"/>
                <w:lang w:val="en-GB"/>
              </w:rPr>
              <w:t>31 March</w:t>
            </w:r>
          </w:p>
        </w:tc>
      </w:tr>
      <w:tr w:rsidR="00615190" w:rsidRPr="00392E56" w14:paraId="09639A4E" w14:textId="77777777" w:rsidTr="003D2E67">
        <w:trPr>
          <w:trHeight w:val="60"/>
        </w:trPr>
        <w:tc>
          <w:tcPr>
            <w:tcW w:w="397" w:type="dxa"/>
            <w:shd w:val="clear" w:color="auto" w:fill="auto"/>
            <w:tcMar>
              <w:top w:w="113" w:type="dxa"/>
              <w:left w:w="0" w:type="dxa"/>
              <w:bottom w:w="113" w:type="dxa"/>
              <w:right w:w="0" w:type="dxa"/>
            </w:tcMar>
            <w:vAlign w:val="bottom"/>
          </w:tcPr>
          <w:p w14:paraId="55F84AE2" w14:textId="77777777" w:rsidR="00392E56" w:rsidRPr="00392E56" w:rsidRDefault="00392E56" w:rsidP="00615190">
            <w:pPr>
              <w:spacing w:line="240" w:lineRule="atLeast"/>
              <w:rPr>
                <w:rFonts w:ascii="Tahoma" w:hAnsi="Tahoma"/>
                <w:color w:val="000000" w:themeColor="text1"/>
                <w:sz w:val="16"/>
                <w:lang w:val="en-GB"/>
              </w:rPr>
            </w:pPr>
          </w:p>
        </w:tc>
        <w:tc>
          <w:tcPr>
            <w:tcW w:w="6415" w:type="dxa"/>
            <w:tcBorders>
              <w:bottom w:val="single" w:sz="12" w:space="0" w:color="auto"/>
            </w:tcBorders>
            <w:shd w:val="clear" w:color="auto" w:fill="auto"/>
            <w:tcMar>
              <w:top w:w="113" w:type="dxa"/>
              <w:left w:w="0" w:type="dxa"/>
              <w:bottom w:w="113" w:type="dxa"/>
              <w:right w:w="0" w:type="dxa"/>
            </w:tcMar>
            <w:vAlign w:val="bottom"/>
          </w:tcPr>
          <w:p w14:paraId="315D9812" w14:textId="77777777" w:rsidR="00392E56" w:rsidRPr="00392E56" w:rsidRDefault="00392E56" w:rsidP="00615190">
            <w:pPr>
              <w:spacing w:line="240" w:lineRule="atLeast"/>
              <w:rPr>
                <w:rFonts w:ascii="Tahoma" w:hAnsi="Tahoma"/>
                <w:color w:val="000000" w:themeColor="text1"/>
                <w:sz w:val="16"/>
                <w:lang w:val="en-GB"/>
              </w:rPr>
            </w:pPr>
          </w:p>
        </w:tc>
        <w:tc>
          <w:tcPr>
            <w:tcW w:w="1134" w:type="dxa"/>
            <w:tcBorders>
              <w:bottom w:val="single" w:sz="12" w:space="0" w:color="auto"/>
            </w:tcBorders>
            <w:shd w:val="clear" w:color="auto" w:fill="auto"/>
            <w:tcMar>
              <w:top w:w="113" w:type="dxa"/>
              <w:left w:w="0" w:type="dxa"/>
              <w:bottom w:w="113" w:type="dxa"/>
              <w:right w:w="0" w:type="dxa"/>
            </w:tcMar>
            <w:vAlign w:val="bottom"/>
          </w:tcPr>
          <w:p w14:paraId="6E9FA774" w14:textId="77777777" w:rsidR="00392E56" w:rsidRPr="00392E56" w:rsidRDefault="00392E56" w:rsidP="001302BF">
            <w:pPr>
              <w:spacing w:line="240" w:lineRule="atLeast"/>
              <w:jc w:val="right"/>
              <w:rPr>
                <w:rFonts w:ascii="Tahoma" w:hAnsi="Tahoma"/>
                <w:b/>
                <w:bCs/>
                <w:color w:val="000000" w:themeColor="text1"/>
                <w:sz w:val="16"/>
                <w:lang w:val="en-GB"/>
              </w:rPr>
            </w:pPr>
            <w:r w:rsidRPr="00392E56">
              <w:rPr>
                <w:rFonts w:ascii="Tahoma" w:hAnsi="Tahoma"/>
                <w:b/>
                <w:bCs/>
                <w:color w:val="000000" w:themeColor="text1"/>
                <w:sz w:val="16"/>
                <w:lang w:val="en-GB"/>
              </w:rPr>
              <w:t>2022</w:t>
            </w:r>
          </w:p>
          <w:p w14:paraId="7DE800D4" w14:textId="77777777" w:rsidR="00392E56" w:rsidRPr="00392E56" w:rsidRDefault="00392E56" w:rsidP="001302BF">
            <w:pPr>
              <w:spacing w:line="240" w:lineRule="atLeast"/>
              <w:jc w:val="right"/>
              <w:rPr>
                <w:rFonts w:ascii="Tahoma" w:hAnsi="Tahoma"/>
                <w:b/>
                <w:bCs/>
                <w:color w:val="000000" w:themeColor="text1"/>
                <w:sz w:val="16"/>
                <w:lang w:val="en-GB"/>
              </w:rPr>
            </w:pPr>
            <w:proofErr w:type="spellStart"/>
            <w:r w:rsidRPr="00392E56">
              <w:rPr>
                <w:rFonts w:ascii="Tahoma" w:hAnsi="Tahoma"/>
                <w:b/>
                <w:bCs/>
                <w:color w:val="000000" w:themeColor="text1"/>
                <w:sz w:val="16"/>
                <w:lang w:val="en-GB"/>
              </w:rPr>
              <w:t>US$’m</w:t>
            </w:r>
            <w:proofErr w:type="spellEnd"/>
          </w:p>
        </w:tc>
        <w:tc>
          <w:tcPr>
            <w:tcW w:w="993" w:type="dxa"/>
            <w:tcBorders>
              <w:bottom w:val="single" w:sz="12" w:space="0" w:color="auto"/>
            </w:tcBorders>
            <w:shd w:val="clear" w:color="auto" w:fill="auto"/>
            <w:tcMar>
              <w:top w:w="113" w:type="dxa"/>
              <w:left w:w="0" w:type="dxa"/>
              <w:bottom w:w="113" w:type="dxa"/>
              <w:right w:w="0" w:type="dxa"/>
            </w:tcMar>
            <w:vAlign w:val="bottom"/>
          </w:tcPr>
          <w:p w14:paraId="4874B03D" w14:textId="77777777" w:rsidR="00392E56" w:rsidRPr="00392E56" w:rsidRDefault="00392E56" w:rsidP="001302BF">
            <w:pPr>
              <w:spacing w:line="240" w:lineRule="atLeast"/>
              <w:jc w:val="right"/>
              <w:rPr>
                <w:rFonts w:ascii="Tahoma" w:hAnsi="Tahoma"/>
                <w:color w:val="000000" w:themeColor="text1"/>
                <w:sz w:val="16"/>
                <w:lang w:val="en-GB"/>
              </w:rPr>
            </w:pPr>
            <w:r w:rsidRPr="00392E56">
              <w:rPr>
                <w:rFonts w:ascii="Tahoma" w:hAnsi="Tahoma"/>
                <w:color w:val="000000" w:themeColor="text1"/>
                <w:sz w:val="16"/>
                <w:lang w:val="en-GB"/>
              </w:rPr>
              <w:t>2021</w:t>
            </w:r>
          </w:p>
          <w:p w14:paraId="3F99EB4D" w14:textId="77777777" w:rsidR="00392E56" w:rsidRPr="00392E56" w:rsidRDefault="00392E56" w:rsidP="001302BF">
            <w:pPr>
              <w:spacing w:line="240" w:lineRule="atLeast"/>
              <w:jc w:val="right"/>
              <w:rPr>
                <w:rFonts w:ascii="Tahoma" w:hAnsi="Tahoma"/>
                <w:color w:val="000000" w:themeColor="text1"/>
                <w:sz w:val="16"/>
                <w:lang w:val="en-GB"/>
              </w:rPr>
            </w:pPr>
            <w:proofErr w:type="spellStart"/>
            <w:r w:rsidRPr="00392E56">
              <w:rPr>
                <w:rFonts w:ascii="Tahoma" w:hAnsi="Tahoma"/>
                <w:color w:val="000000" w:themeColor="text1"/>
                <w:sz w:val="16"/>
                <w:lang w:val="en-GB"/>
              </w:rPr>
              <w:t>US$’m</w:t>
            </w:r>
            <w:proofErr w:type="spellEnd"/>
          </w:p>
        </w:tc>
        <w:tc>
          <w:tcPr>
            <w:tcW w:w="1275" w:type="dxa"/>
            <w:tcBorders>
              <w:bottom w:val="single" w:sz="12" w:space="0" w:color="auto"/>
            </w:tcBorders>
            <w:shd w:val="clear" w:color="auto" w:fill="auto"/>
            <w:tcMar>
              <w:top w:w="113" w:type="dxa"/>
              <w:left w:w="0" w:type="dxa"/>
              <w:bottom w:w="113" w:type="dxa"/>
              <w:right w:w="0" w:type="dxa"/>
            </w:tcMar>
            <w:vAlign w:val="bottom"/>
          </w:tcPr>
          <w:p w14:paraId="0EE4CC55" w14:textId="77777777" w:rsidR="00392E56" w:rsidRPr="00392E56" w:rsidRDefault="00392E56" w:rsidP="001302BF">
            <w:pPr>
              <w:spacing w:line="240" w:lineRule="atLeast"/>
              <w:jc w:val="right"/>
              <w:rPr>
                <w:rFonts w:ascii="Tahoma" w:hAnsi="Tahoma"/>
                <w:color w:val="000000" w:themeColor="text1"/>
                <w:sz w:val="16"/>
                <w:lang w:val="en-GB"/>
              </w:rPr>
            </w:pPr>
            <w:r w:rsidRPr="00392E56">
              <w:rPr>
                <w:rFonts w:ascii="Tahoma" w:hAnsi="Tahoma"/>
                <w:color w:val="000000" w:themeColor="text1"/>
                <w:sz w:val="16"/>
                <w:lang w:val="en-GB"/>
              </w:rPr>
              <w:t>2022</w:t>
            </w:r>
          </w:p>
          <w:p w14:paraId="7A7F86CF" w14:textId="77777777" w:rsidR="00392E56" w:rsidRPr="00392E56" w:rsidRDefault="00392E56" w:rsidP="001302BF">
            <w:pPr>
              <w:spacing w:line="240" w:lineRule="atLeast"/>
              <w:jc w:val="right"/>
              <w:rPr>
                <w:rFonts w:ascii="Tahoma" w:hAnsi="Tahoma"/>
                <w:color w:val="000000" w:themeColor="text1"/>
                <w:sz w:val="16"/>
                <w:lang w:val="en-GB"/>
              </w:rPr>
            </w:pPr>
            <w:proofErr w:type="spellStart"/>
            <w:r w:rsidRPr="00392E56">
              <w:rPr>
                <w:rFonts w:ascii="Tahoma" w:hAnsi="Tahoma"/>
                <w:color w:val="000000" w:themeColor="text1"/>
                <w:sz w:val="16"/>
                <w:lang w:val="en-GB"/>
              </w:rPr>
              <w:t>US$’m</w:t>
            </w:r>
            <w:proofErr w:type="spellEnd"/>
          </w:p>
        </w:tc>
      </w:tr>
      <w:tr w:rsidR="00615190" w:rsidRPr="00392E56" w14:paraId="50AEC98F" w14:textId="77777777" w:rsidTr="003D2E67">
        <w:trPr>
          <w:trHeight w:val="60"/>
        </w:trPr>
        <w:tc>
          <w:tcPr>
            <w:tcW w:w="397" w:type="dxa"/>
            <w:shd w:val="clear" w:color="auto" w:fill="auto"/>
            <w:tcMar>
              <w:top w:w="142" w:type="dxa"/>
              <w:left w:w="0" w:type="dxa"/>
              <w:bottom w:w="57" w:type="dxa"/>
              <w:right w:w="0" w:type="dxa"/>
            </w:tcMar>
            <w:vAlign w:val="bottom"/>
          </w:tcPr>
          <w:p w14:paraId="4D23536A" w14:textId="77777777" w:rsidR="00392E56" w:rsidRPr="00392E56" w:rsidRDefault="00392E56" w:rsidP="00615190">
            <w:pPr>
              <w:spacing w:line="240" w:lineRule="atLeast"/>
              <w:rPr>
                <w:rFonts w:ascii="Tahoma" w:hAnsi="Tahoma"/>
                <w:color w:val="000000" w:themeColor="text1"/>
                <w:sz w:val="16"/>
                <w:lang w:val="en-GB"/>
              </w:rPr>
            </w:pPr>
          </w:p>
        </w:tc>
        <w:tc>
          <w:tcPr>
            <w:tcW w:w="6415" w:type="dxa"/>
            <w:tcBorders>
              <w:top w:val="single" w:sz="12" w:space="0" w:color="auto"/>
            </w:tcBorders>
            <w:shd w:val="clear" w:color="auto" w:fill="auto"/>
            <w:tcMar>
              <w:top w:w="142" w:type="dxa"/>
              <w:left w:w="0" w:type="dxa"/>
              <w:bottom w:w="57" w:type="dxa"/>
              <w:right w:w="0" w:type="dxa"/>
            </w:tcMar>
            <w:vAlign w:val="bottom"/>
          </w:tcPr>
          <w:p w14:paraId="5F43E25F" w14:textId="77777777" w:rsidR="00392E56" w:rsidRPr="00392E56" w:rsidRDefault="00392E56" w:rsidP="00615190">
            <w:pPr>
              <w:spacing w:line="240" w:lineRule="atLeast"/>
              <w:rPr>
                <w:rFonts w:ascii="Tahoma" w:hAnsi="Tahoma"/>
                <w:b/>
                <w:bCs/>
                <w:color w:val="000000" w:themeColor="text1"/>
                <w:sz w:val="16"/>
                <w:lang w:val="en-GB"/>
              </w:rPr>
            </w:pPr>
            <w:r w:rsidRPr="00392E56">
              <w:rPr>
                <w:rFonts w:ascii="Tahoma" w:hAnsi="Tahoma"/>
                <w:b/>
                <w:bCs/>
                <w:color w:val="000000" w:themeColor="text1"/>
                <w:sz w:val="16"/>
                <w:lang w:val="en-GB"/>
              </w:rPr>
              <w:t>Opening balance</w:t>
            </w:r>
          </w:p>
        </w:tc>
        <w:tc>
          <w:tcPr>
            <w:tcW w:w="1134" w:type="dxa"/>
            <w:tcBorders>
              <w:top w:val="single" w:sz="12" w:space="0" w:color="auto"/>
            </w:tcBorders>
            <w:shd w:val="clear" w:color="auto" w:fill="auto"/>
            <w:tcMar>
              <w:top w:w="142" w:type="dxa"/>
              <w:left w:w="0" w:type="dxa"/>
              <w:bottom w:w="57" w:type="dxa"/>
              <w:right w:w="0" w:type="dxa"/>
            </w:tcMar>
            <w:vAlign w:val="bottom"/>
          </w:tcPr>
          <w:p w14:paraId="4A5040AF" w14:textId="77777777" w:rsidR="00392E56" w:rsidRPr="00392E56" w:rsidRDefault="00392E56" w:rsidP="001302BF">
            <w:pPr>
              <w:spacing w:line="240" w:lineRule="atLeast"/>
              <w:jc w:val="right"/>
              <w:rPr>
                <w:rFonts w:ascii="Tahoma" w:hAnsi="Tahoma"/>
                <w:b/>
                <w:bCs/>
                <w:color w:val="000000" w:themeColor="text1"/>
                <w:sz w:val="16"/>
                <w:lang w:val="en-GB"/>
              </w:rPr>
            </w:pPr>
            <w:r w:rsidRPr="00392E56">
              <w:rPr>
                <w:rFonts w:ascii="Tahoma" w:hAnsi="Tahoma"/>
                <w:b/>
                <w:bCs/>
                <w:color w:val="000000" w:themeColor="text1"/>
                <w:sz w:val="16"/>
                <w:lang w:val="en-GB"/>
              </w:rPr>
              <w:t>44 457</w:t>
            </w:r>
          </w:p>
        </w:tc>
        <w:tc>
          <w:tcPr>
            <w:tcW w:w="993" w:type="dxa"/>
            <w:tcBorders>
              <w:top w:val="single" w:sz="12" w:space="0" w:color="auto"/>
            </w:tcBorders>
            <w:shd w:val="clear" w:color="auto" w:fill="auto"/>
            <w:tcMar>
              <w:top w:w="142" w:type="dxa"/>
              <w:left w:w="0" w:type="dxa"/>
              <w:bottom w:w="57" w:type="dxa"/>
              <w:right w:w="0" w:type="dxa"/>
            </w:tcMar>
            <w:vAlign w:val="bottom"/>
          </w:tcPr>
          <w:p w14:paraId="03CE622E" w14:textId="77777777" w:rsidR="00392E56" w:rsidRPr="00392E56" w:rsidRDefault="00392E56" w:rsidP="001302BF">
            <w:pPr>
              <w:spacing w:line="240" w:lineRule="atLeast"/>
              <w:jc w:val="right"/>
              <w:rPr>
                <w:rFonts w:ascii="Tahoma" w:hAnsi="Tahoma"/>
                <w:color w:val="000000" w:themeColor="text1"/>
                <w:sz w:val="16"/>
                <w:lang w:val="en-GB"/>
              </w:rPr>
            </w:pPr>
            <w:r w:rsidRPr="00392E56">
              <w:rPr>
                <w:rFonts w:ascii="Tahoma" w:hAnsi="Tahoma"/>
                <w:color w:val="000000" w:themeColor="text1"/>
                <w:sz w:val="16"/>
                <w:lang w:val="en-GB"/>
              </w:rPr>
              <w:t>40 556</w:t>
            </w:r>
          </w:p>
        </w:tc>
        <w:tc>
          <w:tcPr>
            <w:tcW w:w="1275" w:type="dxa"/>
            <w:tcBorders>
              <w:top w:val="single" w:sz="12" w:space="0" w:color="auto"/>
            </w:tcBorders>
            <w:shd w:val="clear" w:color="auto" w:fill="auto"/>
            <w:tcMar>
              <w:top w:w="142" w:type="dxa"/>
              <w:left w:w="0" w:type="dxa"/>
              <w:bottom w:w="57" w:type="dxa"/>
              <w:right w:w="0" w:type="dxa"/>
            </w:tcMar>
            <w:vAlign w:val="bottom"/>
          </w:tcPr>
          <w:p w14:paraId="1F9921B4" w14:textId="77777777" w:rsidR="00392E56" w:rsidRPr="00392E56" w:rsidRDefault="00392E56" w:rsidP="001302BF">
            <w:pPr>
              <w:spacing w:line="240" w:lineRule="atLeast"/>
              <w:jc w:val="right"/>
              <w:rPr>
                <w:rFonts w:ascii="Tahoma" w:hAnsi="Tahoma"/>
                <w:color w:val="000000" w:themeColor="text1"/>
                <w:sz w:val="16"/>
                <w:lang w:val="en-GB"/>
              </w:rPr>
            </w:pPr>
            <w:r w:rsidRPr="00392E56">
              <w:rPr>
                <w:rFonts w:ascii="Tahoma" w:hAnsi="Tahoma"/>
                <w:color w:val="000000" w:themeColor="text1"/>
                <w:sz w:val="16"/>
                <w:lang w:val="en-GB"/>
              </w:rPr>
              <w:t>40 556</w:t>
            </w:r>
          </w:p>
        </w:tc>
      </w:tr>
      <w:tr w:rsidR="00615190" w:rsidRPr="00392E56" w14:paraId="6CCBEA26" w14:textId="77777777" w:rsidTr="00070628">
        <w:trPr>
          <w:trHeight w:val="60"/>
        </w:trPr>
        <w:tc>
          <w:tcPr>
            <w:tcW w:w="397" w:type="dxa"/>
            <w:shd w:val="clear" w:color="auto" w:fill="auto"/>
            <w:tcMar>
              <w:top w:w="57" w:type="dxa"/>
              <w:left w:w="0" w:type="dxa"/>
              <w:bottom w:w="57" w:type="dxa"/>
              <w:right w:w="0" w:type="dxa"/>
            </w:tcMar>
            <w:vAlign w:val="bottom"/>
          </w:tcPr>
          <w:p w14:paraId="5C77649D" w14:textId="77777777" w:rsidR="00392E56" w:rsidRPr="00392E56" w:rsidRDefault="00392E56" w:rsidP="00615190">
            <w:pPr>
              <w:spacing w:line="240" w:lineRule="atLeast"/>
              <w:rPr>
                <w:rFonts w:ascii="Tahoma" w:hAnsi="Tahoma"/>
                <w:color w:val="000000" w:themeColor="text1"/>
                <w:sz w:val="16"/>
                <w:lang w:val="en-GB"/>
              </w:rPr>
            </w:pPr>
          </w:p>
        </w:tc>
        <w:tc>
          <w:tcPr>
            <w:tcW w:w="6415" w:type="dxa"/>
            <w:shd w:val="clear" w:color="auto" w:fill="auto"/>
            <w:tcMar>
              <w:top w:w="57" w:type="dxa"/>
              <w:left w:w="0" w:type="dxa"/>
              <w:bottom w:w="57" w:type="dxa"/>
              <w:right w:w="0" w:type="dxa"/>
            </w:tcMar>
            <w:vAlign w:val="bottom"/>
          </w:tcPr>
          <w:p w14:paraId="6B5BC9ED" w14:textId="77777777" w:rsidR="00392E56" w:rsidRPr="00392E56" w:rsidRDefault="00392E56" w:rsidP="00615190">
            <w:pPr>
              <w:spacing w:line="240" w:lineRule="atLeast"/>
              <w:rPr>
                <w:rFonts w:ascii="Tahoma" w:hAnsi="Tahoma"/>
                <w:color w:val="000000" w:themeColor="text1"/>
                <w:sz w:val="16"/>
                <w:lang w:val="en-GB"/>
              </w:rPr>
            </w:pPr>
            <w:r w:rsidRPr="00392E56">
              <w:rPr>
                <w:rFonts w:ascii="Tahoma" w:hAnsi="Tahoma"/>
                <w:color w:val="000000" w:themeColor="text1"/>
                <w:sz w:val="16"/>
                <w:lang w:val="en-GB"/>
              </w:rPr>
              <w:t>Associates acquired – gross consideration</w:t>
            </w:r>
          </w:p>
        </w:tc>
        <w:tc>
          <w:tcPr>
            <w:tcW w:w="1134" w:type="dxa"/>
            <w:shd w:val="clear" w:color="auto" w:fill="auto"/>
            <w:tcMar>
              <w:top w:w="57" w:type="dxa"/>
              <w:left w:w="0" w:type="dxa"/>
              <w:bottom w:w="57" w:type="dxa"/>
              <w:right w:w="0" w:type="dxa"/>
            </w:tcMar>
            <w:vAlign w:val="bottom"/>
          </w:tcPr>
          <w:p w14:paraId="3B5E82B5" w14:textId="77777777" w:rsidR="00392E56" w:rsidRPr="00392E56" w:rsidRDefault="00392E56" w:rsidP="001302BF">
            <w:pPr>
              <w:spacing w:line="240" w:lineRule="atLeast"/>
              <w:jc w:val="right"/>
              <w:rPr>
                <w:rFonts w:ascii="Tahoma" w:hAnsi="Tahoma"/>
                <w:b/>
                <w:bCs/>
                <w:color w:val="000000" w:themeColor="text1"/>
                <w:sz w:val="16"/>
                <w:lang w:val="en-GB"/>
              </w:rPr>
            </w:pPr>
            <w:r w:rsidRPr="00392E56">
              <w:rPr>
                <w:rFonts w:ascii="Tahoma" w:hAnsi="Tahoma"/>
                <w:b/>
                <w:bCs/>
                <w:color w:val="000000" w:themeColor="text1"/>
                <w:sz w:val="16"/>
                <w:lang w:val="en-GB"/>
              </w:rPr>
              <w:t>150</w:t>
            </w:r>
          </w:p>
        </w:tc>
        <w:tc>
          <w:tcPr>
            <w:tcW w:w="993" w:type="dxa"/>
            <w:shd w:val="clear" w:color="auto" w:fill="auto"/>
            <w:tcMar>
              <w:top w:w="57" w:type="dxa"/>
              <w:left w:w="0" w:type="dxa"/>
              <w:bottom w:w="57" w:type="dxa"/>
              <w:right w:w="0" w:type="dxa"/>
            </w:tcMar>
            <w:vAlign w:val="bottom"/>
          </w:tcPr>
          <w:p w14:paraId="33C92C1A" w14:textId="77777777" w:rsidR="00392E56" w:rsidRPr="00392E56" w:rsidRDefault="00392E56" w:rsidP="001302BF">
            <w:pPr>
              <w:spacing w:line="240" w:lineRule="atLeast"/>
              <w:jc w:val="right"/>
              <w:rPr>
                <w:rFonts w:ascii="Tahoma" w:hAnsi="Tahoma"/>
                <w:color w:val="000000" w:themeColor="text1"/>
                <w:sz w:val="16"/>
                <w:lang w:val="en-GB"/>
              </w:rPr>
            </w:pPr>
            <w:r w:rsidRPr="00392E56">
              <w:rPr>
                <w:rFonts w:ascii="Tahoma" w:hAnsi="Tahoma"/>
                <w:color w:val="000000" w:themeColor="text1"/>
                <w:sz w:val="16"/>
                <w:lang w:val="en-GB"/>
              </w:rPr>
              <w:t>4 223</w:t>
            </w:r>
          </w:p>
        </w:tc>
        <w:tc>
          <w:tcPr>
            <w:tcW w:w="1275" w:type="dxa"/>
            <w:shd w:val="clear" w:color="auto" w:fill="auto"/>
            <w:tcMar>
              <w:top w:w="57" w:type="dxa"/>
              <w:left w:w="0" w:type="dxa"/>
              <w:bottom w:w="57" w:type="dxa"/>
              <w:right w:w="0" w:type="dxa"/>
            </w:tcMar>
            <w:vAlign w:val="bottom"/>
          </w:tcPr>
          <w:p w14:paraId="47ADACD3" w14:textId="77777777" w:rsidR="00392E56" w:rsidRPr="00392E56" w:rsidRDefault="00392E56" w:rsidP="001302BF">
            <w:pPr>
              <w:spacing w:line="240" w:lineRule="atLeast"/>
              <w:jc w:val="right"/>
              <w:rPr>
                <w:rFonts w:ascii="Tahoma" w:hAnsi="Tahoma"/>
                <w:color w:val="000000" w:themeColor="text1"/>
                <w:sz w:val="16"/>
                <w:lang w:val="en-GB"/>
              </w:rPr>
            </w:pPr>
            <w:r w:rsidRPr="00392E56">
              <w:rPr>
                <w:rFonts w:ascii="Tahoma" w:hAnsi="Tahoma"/>
                <w:color w:val="000000" w:themeColor="text1"/>
                <w:sz w:val="16"/>
                <w:lang w:val="en-GB"/>
              </w:rPr>
              <w:t>4 823</w:t>
            </w:r>
          </w:p>
        </w:tc>
      </w:tr>
      <w:tr w:rsidR="00615190" w:rsidRPr="00392E56" w14:paraId="16AD931C" w14:textId="77777777" w:rsidTr="00070628">
        <w:trPr>
          <w:trHeight w:val="60"/>
        </w:trPr>
        <w:tc>
          <w:tcPr>
            <w:tcW w:w="397" w:type="dxa"/>
            <w:shd w:val="clear" w:color="auto" w:fill="auto"/>
            <w:tcMar>
              <w:top w:w="57" w:type="dxa"/>
              <w:left w:w="0" w:type="dxa"/>
              <w:bottom w:w="57" w:type="dxa"/>
              <w:right w:w="0" w:type="dxa"/>
            </w:tcMar>
            <w:vAlign w:val="bottom"/>
          </w:tcPr>
          <w:p w14:paraId="65E2A94A" w14:textId="77777777" w:rsidR="00392E56" w:rsidRPr="00392E56" w:rsidRDefault="00392E56" w:rsidP="00615190">
            <w:pPr>
              <w:spacing w:line="240" w:lineRule="atLeast"/>
              <w:rPr>
                <w:rFonts w:ascii="Tahoma" w:hAnsi="Tahoma"/>
                <w:color w:val="000000" w:themeColor="text1"/>
                <w:sz w:val="16"/>
                <w:lang w:val="en-GB"/>
              </w:rPr>
            </w:pPr>
          </w:p>
        </w:tc>
        <w:tc>
          <w:tcPr>
            <w:tcW w:w="6415" w:type="dxa"/>
            <w:shd w:val="clear" w:color="auto" w:fill="auto"/>
            <w:tcMar>
              <w:top w:w="57" w:type="dxa"/>
              <w:left w:w="0" w:type="dxa"/>
              <w:bottom w:w="57" w:type="dxa"/>
              <w:right w:w="0" w:type="dxa"/>
            </w:tcMar>
            <w:vAlign w:val="bottom"/>
          </w:tcPr>
          <w:p w14:paraId="438574E4" w14:textId="77777777" w:rsidR="00392E56" w:rsidRPr="00392E56" w:rsidRDefault="00392E56" w:rsidP="00615190">
            <w:pPr>
              <w:spacing w:line="240" w:lineRule="atLeast"/>
              <w:rPr>
                <w:rFonts w:ascii="Tahoma" w:hAnsi="Tahoma"/>
                <w:color w:val="000000" w:themeColor="text1"/>
                <w:sz w:val="16"/>
                <w:lang w:val="en-GB"/>
              </w:rPr>
            </w:pPr>
            <w:r w:rsidRPr="00392E56">
              <w:rPr>
                <w:rFonts w:ascii="Tahoma" w:hAnsi="Tahoma"/>
                <w:color w:val="000000" w:themeColor="text1"/>
                <w:sz w:val="16"/>
                <w:lang w:val="en-GB"/>
              </w:rPr>
              <w:t>Associates disposed of</w:t>
            </w:r>
          </w:p>
        </w:tc>
        <w:tc>
          <w:tcPr>
            <w:tcW w:w="1134" w:type="dxa"/>
            <w:shd w:val="clear" w:color="auto" w:fill="auto"/>
            <w:tcMar>
              <w:top w:w="57" w:type="dxa"/>
              <w:left w:w="0" w:type="dxa"/>
              <w:bottom w:w="57" w:type="dxa"/>
              <w:right w:w="0" w:type="dxa"/>
            </w:tcMar>
            <w:vAlign w:val="bottom"/>
          </w:tcPr>
          <w:p w14:paraId="71E23614" w14:textId="77777777" w:rsidR="00392E56" w:rsidRPr="00392E56" w:rsidRDefault="00392E56" w:rsidP="001302BF">
            <w:pPr>
              <w:spacing w:line="240" w:lineRule="atLeast"/>
              <w:jc w:val="right"/>
              <w:rPr>
                <w:rFonts w:ascii="Tahoma" w:hAnsi="Tahoma"/>
                <w:b/>
                <w:bCs/>
                <w:color w:val="000000" w:themeColor="text1"/>
                <w:sz w:val="16"/>
                <w:lang w:val="en-GB"/>
              </w:rPr>
            </w:pPr>
            <w:r w:rsidRPr="00392E56">
              <w:rPr>
                <w:rFonts w:ascii="Tahoma" w:hAnsi="Tahoma"/>
                <w:b/>
                <w:bCs/>
                <w:color w:val="000000" w:themeColor="text1"/>
                <w:sz w:val="16"/>
                <w:lang w:val="en-GB"/>
              </w:rPr>
              <w:t>—</w:t>
            </w:r>
          </w:p>
        </w:tc>
        <w:tc>
          <w:tcPr>
            <w:tcW w:w="993" w:type="dxa"/>
            <w:shd w:val="clear" w:color="auto" w:fill="auto"/>
            <w:tcMar>
              <w:top w:w="57" w:type="dxa"/>
              <w:left w:w="0" w:type="dxa"/>
              <w:bottom w:w="57" w:type="dxa"/>
              <w:right w:w="0" w:type="dxa"/>
            </w:tcMar>
            <w:vAlign w:val="bottom"/>
          </w:tcPr>
          <w:p w14:paraId="0E4182A6" w14:textId="77777777" w:rsidR="00392E56" w:rsidRPr="00392E56" w:rsidRDefault="00392E56" w:rsidP="001302BF">
            <w:pPr>
              <w:spacing w:line="240" w:lineRule="atLeast"/>
              <w:jc w:val="right"/>
              <w:rPr>
                <w:rFonts w:ascii="Tahoma" w:hAnsi="Tahoma"/>
                <w:color w:val="000000" w:themeColor="text1"/>
                <w:sz w:val="16"/>
                <w:lang w:val="en-GB"/>
              </w:rPr>
            </w:pPr>
            <w:r w:rsidRPr="00392E56">
              <w:rPr>
                <w:rFonts w:ascii="Tahoma" w:hAnsi="Tahoma"/>
                <w:color w:val="000000" w:themeColor="text1"/>
                <w:sz w:val="16"/>
                <w:lang w:val="en-GB"/>
              </w:rPr>
              <w:t>(1)</w:t>
            </w:r>
          </w:p>
        </w:tc>
        <w:tc>
          <w:tcPr>
            <w:tcW w:w="1275" w:type="dxa"/>
            <w:shd w:val="clear" w:color="auto" w:fill="auto"/>
            <w:tcMar>
              <w:top w:w="57" w:type="dxa"/>
              <w:left w:w="0" w:type="dxa"/>
              <w:bottom w:w="57" w:type="dxa"/>
              <w:right w:w="0" w:type="dxa"/>
            </w:tcMar>
            <w:vAlign w:val="bottom"/>
          </w:tcPr>
          <w:p w14:paraId="023DC4A5" w14:textId="77777777" w:rsidR="00392E56" w:rsidRPr="00392E56" w:rsidRDefault="00392E56" w:rsidP="001302BF">
            <w:pPr>
              <w:spacing w:line="240" w:lineRule="atLeast"/>
              <w:jc w:val="right"/>
              <w:rPr>
                <w:rFonts w:ascii="Tahoma" w:hAnsi="Tahoma"/>
                <w:color w:val="000000" w:themeColor="text1"/>
                <w:sz w:val="16"/>
                <w:lang w:val="en-GB"/>
              </w:rPr>
            </w:pPr>
            <w:r w:rsidRPr="00392E56">
              <w:rPr>
                <w:rFonts w:ascii="Tahoma" w:hAnsi="Tahoma"/>
                <w:color w:val="000000" w:themeColor="text1"/>
                <w:sz w:val="16"/>
                <w:lang w:val="en-GB"/>
              </w:rPr>
              <w:t>(10)</w:t>
            </w:r>
          </w:p>
        </w:tc>
      </w:tr>
      <w:tr w:rsidR="00615190" w:rsidRPr="00392E56" w14:paraId="34ECA47A" w14:textId="77777777" w:rsidTr="00070628">
        <w:trPr>
          <w:trHeight w:val="60"/>
        </w:trPr>
        <w:tc>
          <w:tcPr>
            <w:tcW w:w="397" w:type="dxa"/>
            <w:shd w:val="clear" w:color="auto" w:fill="auto"/>
            <w:tcMar>
              <w:top w:w="57" w:type="dxa"/>
              <w:left w:w="0" w:type="dxa"/>
              <w:bottom w:w="57" w:type="dxa"/>
              <w:right w:w="0" w:type="dxa"/>
            </w:tcMar>
            <w:vAlign w:val="bottom"/>
          </w:tcPr>
          <w:p w14:paraId="1BF15040" w14:textId="77777777" w:rsidR="00392E56" w:rsidRPr="00392E56" w:rsidRDefault="00392E56" w:rsidP="00615190">
            <w:pPr>
              <w:spacing w:line="240" w:lineRule="atLeast"/>
              <w:rPr>
                <w:rFonts w:ascii="Tahoma" w:hAnsi="Tahoma"/>
                <w:color w:val="000000" w:themeColor="text1"/>
                <w:sz w:val="16"/>
                <w:lang w:val="en-GB"/>
              </w:rPr>
            </w:pPr>
          </w:p>
        </w:tc>
        <w:tc>
          <w:tcPr>
            <w:tcW w:w="6415" w:type="dxa"/>
            <w:shd w:val="clear" w:color="auto" w:fill="auto"/>
            <w:tcMar>
              <w:top w:w="57" w:type="dxa"/>
              <w:left w:w="0" w:type="dxa"/>
              <w:bottom w:w="57" w:type="dxa"/>
              <w:right w:w="0" w:type="dxa"/>
            </w:tcMar>
            <w:vAlign w:val="bottom"/>
          </w:tcPr>
          <w:p w14:paraId="13A05EC6" w14:textId="77777777" w:rsidR="00392E56" w:rsidRPr="00392E56" w:rsidRDefault="00392E56" w:rsidP="00615190">
            <w:pPr>
              <w:spacing w:line="240" w:lineRule="atLeast"/>
              <w:rPr>
                <w:rFonts w:ascii="Tahoma" w:hAnsi="Tahoma"/>
                <w:color w:val="000000" w:themeColor="text1"/>
                <w:sz w:val="16"/>
                <w:lang w:val="en-GB"/>
              </w:rPr>
            </w:pPr>
            <w:r w:rsidRPr="00392E56">
              <w:rPr>
                <w:rFonts w:ascii="Tahoma" w:hAnsi="Tahoma"/>
                <w:color w:val="000000" w:themeColor="text1"/>
                <w:sz w:val="16"/>
                <w:lang w:val="en-GB"/>
              </w:rPr>
              <w:t>Associates transferred to held for sale</w:t>
            </w:r>
          </w:p>
        </w:tc>
        <w:tc>
          <w:tcPr>
            <w:tcW w:w="1134" w:type="dxa"/>
            <w:shd w:val="clear" w:color="auto" w:fill="auto"/>
            <w:tcMar>
              <w:top w:w="57" w:type="dxa"/>
              <w:left w:w="0" w:type="dxa"/>
              <w:bottom w:w="57" w:type="dxa"/>
              <w:right w:w="0" w:type="dxa"/>
            </w:tcMar>
            <w:vAlign w:val="bottom"/>
          </w:tcPr>
          <w:p w14:paraId="0A609C43" w14:textId="77777777" w:rsidR="00392E56" w:rsidRPr="00392E56" w:rsidRDefault="00392E56" w:rsidP="001302BF">
            <w:pPr>
              <w:spacing w:line="240" w:lineRule="atLeast"/>
              <w:jc w:val="right"/>
              <w:rPr>
                <w:rFonts w:ascii="Tahoma" w:hAnsi="Tahoma"/>
                <w:b/>
                <w:bCs/>
                <w:color w:val="000000" w:themeColor="text1"/>
                <w:sz w:val="16"/>
                <w:lang w:val="en-GB"/>
              </w:rPr>
            </w:pPr>
            <w:r w:rsidRPr="00392E56">
              <w:rPr>
                <w:rFonts w:ascii="Tahoma" w:hAnsi="Tahoma"/>
                <w:b/>
                <w:bCs/>
                <w:color w:val="000000" w:themeColor="text1"/>
                <w:sz w:val="16"/>
                <w:lang w:val="en-GB"/>
              </w:rPr>
              <w:t>(5)</w:t>
            </w:r>
          </w:p>
        </w:tc>
        <w:tc>
          <w:tcPr>
            <w:tcW w:w="993" w:type="dxa"/>
            <w:shd w:val="clear" w:color="auto" w:fill="auto"/>
            <w:tcMar>
              <w:top w:w="57" w:type="dxa"/>
              <w:left w:w="0" w:type="dxa"/>
              <w:bottom w:w="57" w:type="dxa"/>
              <w:right w:w="0" w:type="dxa"/>
            </w:tcMar>
            <w:vAlign w:val="bottom"/>
          </w:tcPr>
          <w:p w14:paraId="37577102" w14:textId="77777777" w:rsidR="00392E56" w:rsidRPr="00392E56" w:rsidRDefault="00392E56" w:rsidP="001302BF">
            <w:pPr>
              <w:spacing w:line="240" w:lineRule="atLeast"/>
              <w:jc w:val="right"/>
              <w:rPr>
                <w:rFonts w:ascii="Tahoma" w:hAnsi="Tahoma"/>
                <w:color w:val="000000" w:themeColor="text1"/>
                <w:sz w:val="16"/>
                <w:lang w:val="en-GB"/>
              </w:rPr>
            </w:pPr>
            <w:r w:rsidRPr="00392E56">
              <w:rPr>
                <w:rFonts w:ascii="Tahoma" w:hAnsi="Tahoma"/>
                <w:color w:val="000000" w:themeColor="text1"/>
                <w:sz w:val="16"/>
                <w:lang w:val="en-GB"/>
              </w:rPr>
              <w:t>—</w:t>
            </w:r>
          </w:p>
        </w:tc>
        <w:tc>
          <w:tcPr>
            <w:tcW w:w="1275" w:type="dxa"/>
            <w:shd w:val="clear" w:color="auto" w:fill="auto"/>
            <w:tcMar>
              <w:top w:w="57" w:type="dxa"/>
              <w:left w:w="0" w:type="dxa"/>
              <w:bottom w:w="57" w:type="dxa"/>
              <w:right w:w="0" w:type="dxa"/>
            </w:tcMar>
            <w:vAlign w:val="bottom"/>
          </w:tcPr>
          <w:p w14:paraId="30973C2F" w14:textId="77777777" w:rsidR="00392E56" w:rsidRPr="00392E56" w:rsidRDefault="00392E56" w:rsidP="001302BF">
            <w:pPr>
              <w:spacing w:line="240" w:lineRule="atLeast"/>
              <w:jc w:val="right"/>
              <w:rPr>
                <w:rFonts w:ascii="Tahoma" w:hAnsi="Tahoma"/>
                <w:color w:val="000000" w:themeColor="text1"/>
                <w:sz w:val="16"/>
                <w:lang w:val="en-GB"/>
              </w:rPr>
            </w:pPr>
            <w:r w:rsidRPr="00392E56">
              <w:rPr>
                <w:rFonts w:ascii="Tahoma" w:hAnsi="Tahoma"/>
                <w:color w:val="000000" w:themeColor="text1"/>
                <w:sz w:val="16"/>
                <w:lang w:val="en-GB"/>
              </w:rPr>
              <w:t>(38)</w:t>
            </w:r>
          </w:p>
        </w:tc>
      </w:tr>
      <w:tr w:rsidR="00615190" w:rsidRPr="00392E56" w14:paraId="3C1DE567" w14:textId="77777777" w:rsidTr="00070628">
        <w:trPr>
          <w:trHeight w:val="60"/>
        </w:trPr>
        <w:tc>
          <w:tcPr>
            <w:tcW w:w="397" w:type="dxa"/>
            <w:shd w:val="clear" w:color="auto" w:fill="auto"/>
            <w:tcMar>
              <w:top w:w="57" w:type="dxa"/>
              <w:left w:w="0" w:type="dxa"/>
              <w:bottom w:w="57" w:type="dxa"/>
              <w:right w:w="0" w:type="dxa"/>
            </w:tcMar>
            <w:vAlign w:val="bottom"/>
          </w:tcPr>
          <w:p w14:paraId="756EA825" w14:textId="77777777" w:rsidR="00392E56" w:rsidRPr="00392E56" w:rsidRDefault="00392E56" w:rsidP="00615190">
            <w:pPr>
              <w:spacing w:line="240" w:lineRule="atLeast"/>
              <w:rPr>
                <w:rFonts w:ascii="Tahoma" w:hAnsi="Tahoma"/>
                <w:color w:val="000000" w:themeColor="text1"/>
                <w:sz w:val="16"/>
                <w:lang w:val="en-GB"/>
              </w:rPr>
            </w:pPr>
          </w:p>
        </w:tc>
        <w:tc>
          <w:tcPr>
            <w:tcW w:w="6415" w:type="dxa"/>
            <w:shd w:val="clear" w:color="auto" w:fill="auto"/>
            <w:tcMar>
              <w:top w:w="57" w:type="dxa"/>
              <w:left w:w="0" w:type="dxa"/>
              <w:bottom w:w="57" w:type="dxa"/>
              <w:right w:w="0" w:type="dxa"/>
            </w:tcMar>
            <w:vAlign w:val="bottom"/>
          </w:tcPr>
          <w:p w14:paraId="31358CC0" w14:textId="77777777" w:rsidR="00392E56" w:rsidRPr="00392E56" w:rsidRDefault="00392E56" w:rsidP="00615190">
            <w:pPr>
              <w:spacing w:line="240" w:lineRule="atLeast"/>
              <w:rPr>
                <w:rFonts w:ascii="Tahoma" w:hAnsi="Tahoma"/>
                <w:color w:val="000000" w:themeColor="text1"/>
                <w:sz w:val="16"/>
                <w:lang w:val="en-GB"/>
              </w:rPr>
            </w:pPr>
            <w:r w:rsidRPr="00392E56">
              <w:rPr>
                <w:rFonts w:ascii="Tahoma" w:hAnsi="Tahoma"/>
                <w:color w:val="000000" w:themeColor="text1"/>
                <w:sz w:val="16"/>
                <w:lang w:val="en-GB"/>
              </w:rPr>
              <w:t>Share of current-year changes in other comprehensive income and net asset value</w:t>
            </w:r>
            <w:r w:rsidRPr="00392E56">
              <w:rPr>
                <w:rFonts w:ascii="Tahoma" w:hAnsi="Tahoma"/>
                <w:color w:val="000000" w:themeColor="text1"/>
                <w:sz w:val="16"/>
                <w:vertAlign w:val="superscript"/>
                <w:lang w:val="en-GB"/>
              </w:rPr>
              <w:t>1</w:t>
            </w:r>
          </w:p>
        </w:tc>
        <w:tc>
          <w:tcPr>
            <w:tcW w:w="1134" w:type="dxa"/>
            <w:shd w:val="clear" w:color="auto" w:fill="auto"/>
            <w:tcMar>
              <w:top w:w="57" w:type="dxa"/>
              <w:left w:w="0" w:type="dxa"/>
              <w:bottom w:w="57" w:type="dxa"/>
              <w:right w:w="0" w:type="dxa"/>
            </w:tcMar>
            <w:vAlign w:val="bottom"/>
          </w:tcPr>
          <w:p w14:paraId="6E657E95" w14:textId="77777777" w:rsidR="00392E56" w:rsidRPr="00392E56" w:rsidRDefault="00392E56" w:rsidP="001302BF">
            <w:pPr>
              <w:spacing w:line="240" w:lineRule="atLeast"/>
              <w:jc w:val="right"/>
              <w:rPr>
                <w:rFonts w:ascii="Tahoma" w:hAnsi="Tahoma"/>
                <w:b/>
                <w:bCs/>
                <w:color w:val="000000" w:themeColor="text1"/>
                <w:sz w:val="16"/>
                <w:lang w:val="en-GB"/>
              </w:rPr>
            </w:pPr>
            <w:r w:rsidRPr="00392E56">
              <w:rPr>
                <w:rFonts w:ascii="Tahoma" w:hAnsi="Tahoma"/>
                <w:b/>
                <w:bCs/>
                <w:color w:val="000000" w:themeColor="text1"/>
                <w:sz w:val="16"/>
                <w:lang w:val="en-GB"/>
              </w:rPr>
              <w:t>(2 788)</w:t>
            </w:r>
          </w:p>
        </w:tc>
        <w:tc>
          <w:tcPr>
            <w:tcW w:w="993" w:type="dxa"/>
            <w:shd w:val="clear" w:color="auto" w:fill="auto"/>
            <w:tcMar>
              <w:top w:w="57" w:type="dxa"/>
              <w:left w:w="0" w:type="dxa"/>
              <w:bottom w:w="57" w:type="dxa"/>
              <w:right w:w="0" w:type="dxa"/>
            </w:tcMar>
            <w:vAlign w:val="bottom"/>
          </w:tcPr>
          <w:p w14:paraId="46B61C5B" w14:textId="77777777" w:rsidR="00392E56" w:rsidRPr="00392E56" w:rsidRDefault="00392E56" w:rsidP="001302BF">
            <w:pPr>
              <w:spacing w:line="240" w:lineRule="atLeast"/>
              <w:jc w:val="right"/>
              <w:rPr>
                <w:rFonts w:ascii="Tahoma" w:hAnsi="Tahoma"/>
                <w:color w:val="000000" w:themeColor="text1"/>
                <w:sz w:val="16"/>
                <w:lang w:val="en-GB"/>
              </w:rPr>
            </w:pPr>
            <w:r w:rsidRPr="00392E56">
              <w:rPr>
                <w:rFonts w:ascii="Tahoma" w:hAnsi="Tahoma"/>
                <w:color w:val="000000" w:themeColor="text1"/>
                <w:sz w:val="16"/>
                <w:lang w:val="en-GB"/>
              </w:rPr>
              <w:t>1 607</w:t>
            </w:r>
          </w:p>
        </w:tc>
        <w:tc>
          <w:tcPr>
            <w:tcW w:w="1275" w:type="dxa"/>
            <w:shd w:val="clear" w:color="auto" w:fill="auto"/>
            <w:tcMar>
              <w:top w:w="57" w:type="dxa"/>
              <w:left w:w="0" w:type="dxa"/>
              <w:bottom w:w="57" w:type="dxa"/>
              <w:right w:w="0" w:type="dxa"/>
            </w:tcMar>
            <w:vAlign w:val="bottom"/>
          </w:tcPr>
          <w:p w14:paraId="536A9D35" w14:textId="77777777" w:rsidR="00392E56" w:rsidRPr="00392E56" w:rsidRDefault="00392E56" w:rsidP="001302BF">
            <w:pPr>
              <w:spacing w:line="240" w:lineRule="atLeast"/>
              <w:jc w:val="right"/>
              <w:rPr>
                <w:rFonts w:ascii="Tahoma" w:hAnsi="Tahoma"/>
                <w:color w:val="000000" w:themeColor="text1"/>
                <w:sz w:val="16"/>
                <w:lang w:val="en-GB"/>
              </w:rPr>
            </w:pPr>
            <w:r w:rsidRPr="00392E56">
              <w:rPr>
                <w:rFonts w:ascii="Tahoma" w:hAnsi="Tahoma"/>
                <w:color w:val="000000" w:themeColor="text1"/>
                <w:sz w:val="16"/>
                <w:lang w:val="en-GB"/>
              </w:rPr>
              <w:t>(2 699)</w:t>
            </w:r>
          </w:p>
        </w:tc>
      </w:tr>
      <w:tr w:rsidR="00615190" w:rsidRPr="00392E56" w14:paraId="2741A258" w14:textId="77777777" w:rsidTr="00070628">
        <w:trPr>
          <w:trHeight w:val="60"/>
        </w:trPr>
        <w:tc>
          <w:tcPr>
            <w:tcW w:w="397" w:type="dxa"/>
            <w:shd w:val="clear" w:color="auto" w:fill="auto"/>
            <w:tcMar>
              <w:top w:w="57" w:type="dxa"/>
              <w:left w:w="0" w:type="dxa"/>
              <w:bottom w:w="57" w:type="dxa"/>
              <w:right w:w="0" w:type="dxa"/>
            </w:tcMar>
            <w:vAlign w:val="bottom"/>
          </w:tcPr>
          <w:p w14:paraId="61F67084" w14:textId="77777777" w:rsidR="00392E56" w:rsidRPr="00392E56" w:rsidRDefault="00392E56" w:rsidP="00615190">
            <w:pPr>
              <w:spacing w:line="240" w:lineRule="atLeast"/>
              <w:rPr>
                <w:rFonts w:ascii="Tahoma" w:hAnsi="Tahoma"/>
                <w:color w:val="000000" w:themeColor="text1"/>
                <w:sz w:val="16"/>
                <w:lang w:val="en-GB"/>
              </w:rPr>
            </w:pPr>
          </w:p>
        </w:tc>
        <w:tc>
          <w:tcPr>
            <w:tcW w:w="6415" w:type="dxa"/>
            <w:shd w:val="clear" w:color="auto" w:fill="auto"/>
            <w:tcMar>
              <w:top w:w="57" w:type="dxa"/>
              <w:left w:w="0" w:type="dxa"/>
              <w:bottom w:w="57" w:type="dxa"/>
              <w:right w:w="0" w:type="dxa"/>
            </w:tcMar>
            <w:vAlign w:val="bottom"/>
          </w:tcPr>
          <w:p w14:paraId="46475876" w14:textId="77777777" w:rsidR="00392E56" w:rsidRPr="00392E56" w:rsidRDefault="00392E56" w:rsidP="00615190">
            <w:pPr>
              <w:spacing w:line="240" w:lineRule="atLeast"/>
              <w:rPr>
                <w:rFonts w:ascii="Tahoma" w:hAnsi="Tahoma"/>
                <w:color w:val="000000" w:themeColor="text1"/>
                <w:sz w:val="16"/>
                <w:lang w:val="en-GB"/>
              </w:rPr>
            </w:pPr>
            <w:r w:rsidRPr="00392E56">
              <w:rPr>
                <w:rFonts w:ascii="Tahoma" w:hAnsi="Tahoma"/>
                <w:color w:val="000000" w:themeColor="text1"/>
                <w:sz w:val="16"/>
                <w:lang w:val="en-GB"/>
              </w:rPr>
              <w:t>Share of equity-accounted results</w:t>
            </w:r>
            <w:r w:rsidRPr="00392E56">
              <w:rPr>
                <w:rFonts w:ascii="Tahoma" w:hAnsi="Tahoma"/>
                <w:color w:val="000000" w:themeColor="text1"/>
                <w:sz w:val="16"/>
                <w:vertAlign w:val="superscript"/>
                <w:lang w:val="en-GB"/>
              </w:rPr>
              <w:t>1</w:t>
            </w:r>
          </w:p>
        </w:tc>
        <w:tc>
          <w:tcPr>
            <w:tcW w:w="1134" w:type="dxa"/>
            <w:shd w:val="clear" w:color="auto" w:fill="auto"/>
            <w:tcMar>
              <w:top w:w="57" w:type="dxa"/>
              <w:left w:w="0" w:type="dxa"/>
              <w:bottom w:w="57" w:type="dxa"/>
              <w:right w:w="0" w:type="dxa"/>
            </w:tcMar>
            <w:vAlign w:val="bottom"/>
          </w:tcPr>
          <w:p w14:paraId="3A197EE9" w14:textId="77777777" w:rsidR="00392E56" w:rsidRPr="00392E56" w:rsidRDefault="00392E56" w:rsidP="001302BF">
            <w:pPr>
              <w:spacing w:line="240" w:lineRule="atLeast"/>
              <w:jc w:val="right"/>
              <w:rPr>
                <w:rFonts w:ascii="Tahoma" w:hAnsi="Tahoma"/>
                <w:b/>
                <w:bCs/>
                <w:color w:val="000000" w:themeColor="text1"/>
                <w:sz w:val="16"/>
                <w:lang w:val="en-GB"/>
              </w:rPr>
            </w:pPr>
            <w:r w:rsidRPr="00392E56">
              <w:rPr>
                <w:rFonts w:ascii="Tahoma" w:hAnsi="Tahoma"/>
                <w:b/>
                <w:bCs/>
                <w:color w:val="000000" w:themeColor="text1"/>
                <w:sz w:val="16"/>
                <w:lang w:val="en-GB"/>
              </w:rPr>
              <w:t>1 081</w:t>
            </w:r>
          </w:p>
        </w:tc>
        <w:tc>
          <w:tcPr>
            <w:tcW w:w="993" w:type="dxa"/>
            <w:shd w:val="clear" w:color="auto" w:fill="auto"/>
            <w:tcMar>
              <w:top w:w="57" w:type="dxa"/>
              <w:left w:w="0" w:type="dxa"/>
              <w:bottom w:w="57" w:type="dxa"/>
              <w:right w:w="0" w:type="dxa"/>
            </w:tcMar>
            <w:vAlign w:val="bottom"/>
          </w:tcPr>
          <w:p w14:paraId="7F267487" w14:textId="77777777" w:rsidR="00392E56" w:rsidRPr="00392E56" w:rsidRDefault="00392E56" w:rsidP="001302BF">
            <w:pPr>
              <w:spacing w:line="240" w:lineRule="atLeast"/>
              <w:jc w:val="right"/>
              <w:rPr>
                <w:rFonts w:ascii="Tahoma" w:hAnsi="Tahoma"/>
                <w:color w:val="000000" w:themeColor="text1"/>
                <w:sz w:val="16"/>
                <w:lang w:val="en-GB"/>
              </w:rPr>
            </w:pPr>
            <w:r w:rsidRPr="00392E56">
              <w:rPr>
                <w:rFonts w:ascii="Tahoma" w:hAnsi="Tahoma"/>
                <w:color w:val="000000" w:themeColor="text1"/>
                <w:sz w:val="16"/>
                <w:lang w:val="en-GB"/>
              </w:rPr>
              <w:t>4 087</w:t>
            </w:r>
          </w:p>
        </w:tc>
        <w:tc>
          <w:tcPr>
            <w:tcW w:w="1275" w:type="dxa"/>
            <w:shd w:val="clear" w:color="auto" w:fill="auto"/>
            <w:tcMar>
              <w:top w:w="57" w:type="dxa"/>
              <w:left w:w="0" w:type="dxa"/>
              <w:bottom w:w="57" w:type="dxa"/>
              <w:right w:w="0" w:type="dxa"/>
            </w:tcMar>
            <w:vAlign w:val="bottom"/>
          </w:tcPr>
          <w:p w14:paraId="01514E9E" w14:textId="77777777" w:rsidR="00392E56" w:rsidRPr="00392E56" w:rsidRDefault="00392E56" w:rsidP="001302BF">
            <w:pPr>
              <w:spacing w:line="240" w:lineRule="atLeast"/>
              <w:jc w:val="right"/>
              <w:rPr>
                <w:rFonts w:ascii="Tahoma" w:hAnsi="Tahoma"/>
                <w:color w:val="000000" w:themeColor="text1"/>
                <w:sz w:val="16"/>
                <w:lang w:val="en-GB"/>
              </w:rPr>
            </w:pPr>
            <w:r w:rsidRPr="00392E56">
              <w:rPr>
                <w:rFonts w:ascii="Tahoma" w:hAnsi="Tahoma"/>
                <w:color w:val="000000" w:themeColor="text1"/>
                <w:sz w:val="16"/>
                <w:lang w:val="en-GB"/>
              </w:rPr>
              <w:t>9 306</w:t>
            </w:r>
          </w:p>
        </w:tc>
      </w:tr>
      <w:tr w:rsidR="00615190" w:rsidRPr="00392E56" w14:paraId="5C929209" w14:textId="77777777" w:rsidTr="00070628">
        <w:trPr>
          <w:trHeight w:val="60"/>
        </w:trPr>
        <w:tc>
          <w:tcPr>
            <w:tcW w:w="397" w:type="dxa"/>
            <w:shd w:val="clear" w:color="auto" w:fill="auto"/>
            <w:tcMar>
              <w:top w:w="57" w:type="dxa"/>
              <w:left w:w="0" w:type="dxa"/>
              <w:bottom w:w="57" w:type="dxa"/>
              <w:right w:w="0" w:type="dxa"/>
            </w:tcMar>
            <w:vAlign w:val="bottom"/>
          </w:tcPr>
          <w:p w14:paraId="1BFDE47C" w14:textId="77777777" w:rsidR="00392E56" w:rsidRPr="00392E56" w:rsidRDefault="00392E56" w:rsidP="00615190">
            <w:pPr>
              <w:spacing w:line="240" w:lineRule="atLeast"/>
              <w:rPr>
                <w:rFonts w:ascii="Tahoma" w:hAnsi="Tahoma"/>
                <w:color w:val="000000" w:themeColor="text1"/>
                <w:sz w:val="16"/>
                <w:lang w:val="en-GB"/>
              </w:rPr>
            </w:pPr>
          </w:p>
        </w:tc>
        <w:tc>
          <w:tcPr>
            <w:tcW w:w="6415" w:type="dxa"/>
            <w:shd w:val="clear" w:color="auto" w:fill="auto"/>
            <w:tcMar>
              <w:top w:w="57" w:type="dxa"/>
              <w:left w:w="0" w:type="dxa"/>
              <w:bottom w:w="57" w:type="dxa"/>
              <w:right w:w="0" w:type="dxa"/>
            </w:tcMar>
            <w:vAlign w:val="bottom"/>
          </w:tcPr>
          <w:p w14:paraId="76333835" w14:textId="77777777" w:rsidR="00392E56" w:rsidRPr="00392E56" w:rsidRDefault="00392E56" w:rsidP="00615190">
            <w:pPr>
              <w:spacing w:line="240" w:lineRule="atLeast"/>
              <w:rPr>
                <w:rFonts w:ascii="Tahoma" w:hAnsi="Tahoma"/>
                <w:color w:val="000000" w:themeColor="text1"/>
                <w:sz w:val="16"/>
                <w:lang w:val="en-GB"/>
              </w:rPr>
            </w:pPr>
            <w:r w:rsidRPr="00392E56">
              <w:rPr>
                <w:rFonts w:ascii="Tahoma" w:hAnsi="Tahoma"/>
                <w:color w:val="000000" w:themeColor="text1"/>
                <w:sz w:val="16"/>
                <w:lang w:val="en-GB"/>
              </w:rPr>
              <w:t>Impairment</w:t>
            </w:r>
          </w:p>
        </w:tc>
        <w:tc>
          <w:tcPr>
            <w:tcW w:w="1134" w:type="dxa"/>
            <w:shd w:val="clear" w:color="auto" w:fill="auto"/>
            <w:tcMar>
              <w:top w:w="57" w:type="dxa"/>
              <w:left w:w="0" w:type="dxa"/>
              <w:bottom w:w="57" w:type="dxa"/>
              <w:right w:w="0" w:type="dxa"/>
            </w:tcMar>
            <w:vAlign w:val="bottom"/>
          </w:tcPr>
          <w:p w14:paraId="26003291" w14:textId="77777777" w:rsidR="00392E56" w:rsidRPr="00392E56" w:rsidRDefault="00392E56" w:rsidP="001302BF">
            <w:pPr>
              <w:spacing w:line="240" w:lineRule="atLeast"/>
              <w:jc w:val="right"/>
              <w:rPr>
                <w:rFonts w:ascii="Tahoma" w:hAnsi="Tahoma"/>
                <w:b/>
                <w:bCs/>
                <w:color w:val="000000" w:themeColor="text1"/>
                <w:sz w:val="16"/>
                <w:lang w:val="en-GB"/>
              </w:rPr>
            </w:pPr>
            <w:r w:rsidRPr="00392E56">
              <w:rPr>
                <w:rFonts w:ascii="Tahoma" w:hAnsi="Tahoma"/>
                <w:b/>
                <w:bCs/>
                <w:color w:val="000000" w:themeColor="text1"/>
                <w:sz w:val="16"/>
                <w:lang w:val="en-GB"/>
              </w:rPr>
              <w:t>(1 458)</w:t>
            </w:r>
          </w:p>
        </w:tc>
        <w:tc>
          <w:tcPr>
            <w:tcW w:w="993" w:type="dxa"/>
            <w:shd w:val="clear" w:color="auto" w:fill="auto"/>
            <w:tcMar>
              <w:top w:w="57" w:type="dxa"/>
              <w:left w:w="0" w:type="dxa"/>
              <w:bottom w:w="57" w:type="dxa"/>
              <w:right w:w="0" w:type="dxa"/>
            </w:tcMar>
            <w:vAlign w:val="bottom"/>
          </w:tcPr>
          <w:p w14:paraId="70A0B6B8" w14:textId="77777777" w:rsidR="00392E56" w:rsidRPr="00392E56" w:rsidRDefault="00392E56" w:rsidP="001302BF">
            <w:pPr>
              <w:spacing w:line="240" w:lineRule="atLeast"/>
              <w:jc w:val="right"/>
              <w:rPr>
                <w:rFonts w:ascii="Tahoma" w:hAnsi="Tahoma"/>
                <w:color w:val="000000" w:themeColor="text1"/>
                <w:sz w:val="16"/>
                <w:lang w:val="en-GB"/>
              </w:rPr>
            </w:pPr>
            <w:r w:rsidRPr="00392E56">
              <w:rPr>
                <w:rFonts w:ascii="Tahoma" w:hAnsi="Tahoma"/>
                <w:color w:val="000000" w:themeColor="text1"/>
                <w:sz w:val="16"/>
                <w:lang w:val="en-GB"/>
              </w:rPr>
              <w:t>(1)</w:t>
            </w:r>
          </w:p>
        </w:tc>
        <w:tc>
          <w:tcPr>
            <w:tcW w:w="1275" w:type="dxa"/>
            <w:shd w:val="clear" w:color="auto" w:fill="auto"/>
            <w:tcMar>
              <w:top w:w="57" w:type="dxa"/>
              <w:left w:w="0" w:type="dxa"/>
              <w:bottom w:w="57" w:type="dxa"/>
              <w:right w:w="0" w:type="dxa"/>
            </w:tcMar>
            <w:vAlign w:val="bottom"/>
          </w:tcPr>
          <w:p w14:paraId="608EAD13" w14:textId="77777777" w:rsidR="00392E56" w:rsidRPr="00392E56" w:rsidRDefault="00392E56" w:rsidP="001302BF">
            <w:pPr>
              <w:spacing w:line="240" w:lineRule="atLeast"/>
              <w:jc w:val="right"/>
              <w:rPr>
                <w:rFonts w:ascii="Tahoma" w:hAnsi="Tahoma"/>
                <w:color w:val="000000" w:themeColor="text1"/>
                <w:sz w:val="16"/>
                <w:lang w:val="en-GB"/>
              </w:rPr>
            </w:pPr>
            <w:r w:rsidRPr="00392E56">
              <w:rPr>
                <w:rFonts w:ascii="Tahoma" w:hAnsi="Tahoma"/>
                <w:color w:val="000000" w:themeColor="text1"/>
                <w:sz w:val="16"/>
                <w:lang w:val="en-GB"/>
              </w:rPr>
              <w:t>(581)</w:t>
            </w:r>
          </w:p>
        </w:tc>
      </w:tr>
      <w:tr w:rsidR="00615190" w:rsidRPr="00392E56" w14:paraId="2F7E6B0E" w14:textId="77777777" w:rsidTr="00070628">
        <w:trPr>
          <w:trHeight w:val="60"/>
        </w:trPr>
        <w:tc>
          <w:tcPr>
            <w:tcW w:w="397" w:type="dxa"/>
            <w:shd w:val="clear" w:color="auto" w:fill="auto"/>
            <w:tcMar>
              <w:top w:w="57" w:type="dxa"/>
              <w:left w:w="0" w:type="dxa"/>
              <w:bottom w:w="57" w:type="dxa"/>
              <w:right w:w="0" w:type="dxa"/>
            </w:tcMar>
            <w:vAlign w:val="bottom"/>
          </w:tcPr>
          <w:p w14:paraId="7DF93ED4" w14:textId="77777777" w:rsidR="00392E56" w:rsidRPr="00392E56" w:rsidRDefault="00392E56" w:rsidP="00615190">
            <w:pPr>
              <w:spacing w:line="240" w:lineRule="atLeast"/>
              <w:rPr>
                <w:rFonts w:ascii="Tahoma" w:hAnsi="Tahoma"/>
                <w:color w:val="000000" w:themeColor="text1"/>
                <w:sz w:val="16"/>
                <w:lang w:val="en-GB"/>
              </w:rPr>
            </w:pPr>
          </w:p>
        </w:tc>
        <w:tc>
          <w:tcPr>
            <w:tcW w:w="6415" w:type="dxa"/>
            <w:shd w:val="clear" w:color="auto" w:fill="auto"/>
            <w:tcMar>
              <w:top w:w="57" w:type="dxa"/>
              <w:left w:w="0" w:type="dxa"/>
              <w:bottom w:w="57" w:type="dxa"/>
              <w:right w:w="0" w:type="dxa"/>
            </w:tcMar>
            <w:vAlign w:val="bottom"/>
          </w:tcPr>
          <w:p w14:paraId="5DEC49DE" w14:textId="77777777" w:rsidR="00392E56" w:rsidRPr="00392E56" w:rsidRDefault="00392E56" w:rsidP="00615190">
            <w:pPr>
              <w:spacing w:line="240" w:lineRule="atLeast"/>
              <w:rPr>
                <w:rFonts w:ascii="Tahoma" w:hAnsi="Tahoma"/>
                <w:color w:val="000000" w:themeColor="text1"/>
                <w:sz w:val="16"/>
                <w:lang w:val="en-GB"/>
              </w:rPr>
            </w:pPr>
            <w:r w:rsidRPr="00392E56">
              <w:rPr>
                <w:rFonts w:ascii="Tahoma" w:hAnsi="Tahoma"/>
                <w:color w:val="000000" w:themeColor="text1"/>
                <w:sz w:val="16"/>
                <w:lang w:val="en-GB"/>
              </w:rPr>
              <w:t>Dividends received</w:t>
            </w:r>
            <w:r w:rsidRPr="00392E56">
              <w:rPr>
                <w:rFonts w:ascii="Tahoma" w:hAnsi="Tahoma"/>
                <w:color w:val="000000" w:themeColor="text1"/>
                <w:sz w:val="16"/>
                <w:vertAlign w:val="superscript"/>
                <w:lang w:val="en-GB"/>
              </w:rPr>
              <w:t>2</w:t>
            </w:r>
          </w:p>
        </w:tc>
        <w:tc>
          <w:tcPr>
            <w:tcW w:w="1134" w:type="dxa"/>
            <w:shd w:val="clear" w:color="auto" w:fill="auto"/>
            <w:tcMar>
              <w:top w:w="57" w:type="dxa"/>
              <w:left w:w="0" w:type="dxa"/>
              <w:bottom w:w="57" w:type="dxa"/>
              <w:right w:w="0" w:type="dxa"/>
            </w:tcMar>
            <w:vAlign w:val="bottom"/>
          </w:tcPr>
          <w:p w14:paraId="4CDAB76B" w14:textId="77777777" w:rsidR="00392E56" w:rsidRPr="00392E56" w:rsidRDefault="00392E56" w:rsidP="001302BF">
            <w:pPr>
              <w:spacing w:line="240" w:lineRule="atLeast"/>
              <w:jc w:val="right"/>
              <w:rPr>
                <w:rFonts w:ascii="Tahoma" w:hAnsi="Tahoma"/>
                <w:b/>
                <w:bCs/>
                <w:color w:val="000000" w:themeColor="text1"/>
                <w:sz w:val="16"/>
                <w:lang w:val="en-GB"/>
              </w:rPr>
            </w:pPr>
            <w:r w:rsidRPr="00392E56">
              <w:rPr>
                <w:rFonts w:ascii="Tahoma" w:hAnsi="Tahoma"/>
                <w:b/>
                <w:bCs/>
                <w:color w:val="000000" w:themeColor="text1"/>
                <w:sz w:val="16"/>
                <w:lang w:val="en-GB"/>
              </w:rPr>
              <w:t>(565)</w:t>
            </w:r>
          </w:p>
        </w:tc>
        <w:tc>
          <w:tcPr>
            <w:tcW w:w="993" w:type="dxa"/>
            <w:shd w:val="clear" w:color="auto" w:fill="auto"/>
            <w:tcMar>
              <w:top w:w="57" w:type="dxa"/>
              <w:left w:w="0" w:type="dxa"/>
              <w:bottom w:w="57" w:type="dxa"/>
              <w:right w:w="0" w:type="dxa"/>
            </w:tcMar>
            <w:vAlign w:val="bottom"/>
          </w:tcPr>
          <w:p w14:paraId="7DBB61AE" w14:textId="77777777" w:rsidR="00392E56" w:rsidRPr="00392E56" w:rsidRDefault="00392E56" w:rsidP="001302BF">
            <w:pPr>
              <w:spacing w:line="240" w:lineRule="atLeast"/>
              <w:jc w:val="right"/>
              <w:rPr>
                <w:rFonts w:ascii="Tahoma" w:hAnsi="Tahoma"/>
                <w:color w:val="000000" w:themeColor="text1"/>
                <w:sz w:val="16"/>
                <w:lang w:val="en-GB"/>
              </w:rPr>
            </w:pPr>
            <w:r w:rsidRPr="00392E56">
              <w:rPr>
                <w:rFonts w:ascii="Tahoma" w:hAnsi="Tahoma"/>
                <w:color w:val="000000" w:themeColor="text1"/>
                <w:sz w:val="16"/>
                <w:lang w:val="en-GB"/>
              </w:rPr>
              <w:t>(571)</w:t>
            </w:r>
          </w:p>
        </w:tc>
        <w:tc>
          <w:tcPr>
            <w:tcW w:w="1275" w:type="dxa"/>
            <w:shd w:val="clear" w:color="auto" w:fill="auto"/>
            <w:tcMar>
              <w:top w:w="57" w:type="dxa"/>
              <w:left w:w="0" w:type="dxa"/>
              <w:bottom w:w="57" w:type="dxa"/>
              <w:right w:w="0" w:type="dxa"/>
            </w:tcMar>
            <w:vAlign w:val="bottom"/>
          </w:tcPr>
          <w:p w14:paraId="189F39F0" w14:textId="77777777" w:rsidR="00392E56" w:rsidRPr="00392E56" w:rsidRDefault="00392E56" w:rsidP="001302BF">
            <w:pPr>
              <w:spacing w:line="240" w:lineRule="atLeast"/>
              <w:jc w:val="right"/>
              <w:rPr>
                <w:rFonts w:ascii="Tahoma" w:hAnsi="Tahoma"/>
                <w:color w:val="000000" w:themeColor="text1"/>
                <w:sz w:val="16"/>
                <w:lang w:val="en-GB"/>
              </w:rPr>
            </w:pPr>
            <w:r w:rsidRPr="00392E56">
              <w:rPr>
                <w:rFonts w:ascii="Tahoma" w:hAnsi="Tahoma"/>
                <w:color w:val="000000" w:themeColor="text1"/>
                <w:sz w:val="16"/>
                <w:lang w:val="en-GB"/>
              </w:rPr>
              <w:t>(4 426)</w:t>
            </w:r>
          </w:p>
        </w:tc>
      </w:tr>
      <w:tr w:rsidR="00615190" w:rsidRPr="00392E56" w14:paraId="3C889753" w14:textId="77777777" w:rsidTr="00070628">
        <w:trPr>
          <w:trHeight w:val="60"/>
        </w:trPr>
        <w:tc>
          <w:tcPr>
            <w:tcW w:w="397" w:type="dxa"/>
            <w:shd w:val="clear" w:color="auto" w:fill="auto"/>
            <w:tcMar>
              <w:top w:w="57" w:type="dxa"/>
              <w:left w:w="0" w:type="dxa"/>
              <w:bottom w:w="57" w:type="dxa"/>
              <w:right w:w="0" w:type="dxa"/>
            </w:tcMar>
            <w:vAlign w:val="bottom"/>
          </w:tcPr>
          <w:p w14:paraId="1FDDBAC6" w14:textId="77777777" w:rsidR="00392E56" w:rsidRPr="00392E56" w:rsidRDefault="00392E56" w:rsidP="00615190">
            <w:pPr>
              <w:spacing w:line="240" w:lineRule="atLeast"/>
              <w:rPr>
                <w:rFonts w:ascii="Tahoma" w:hAnsi="Tahoma"/>
                <w:color w:val="000000" w:themeColor="text1"/>
                <w:sz w:val="16"/>
                <w:lang w:val="en-GB"/>
              </w:rPr>
            </w:pPr>
          </w:p>
        </w:tc>
        <w:tc>
          <w:tcPr>
            <w:tcW w:w="6415" w:type="dxa"/>
            <w:shd w:val="clear" w:color="auto" w:fill="auto"/>
            <w:tcMar>
              <w:top w:w="57" w:type="dxa"/>
              <w:left w:w="0" w:type="dxa"/>
              <w:bottom w:w="57" w:type="dxa"/>
              <w:right w:w="0" w:type="dxa"/>
            </w:tcMar>
            <w:vAlign w:val="bottom"/>
          </w:tcPr>
          <w:p w14:paraId="18530ABC" w14:textId="77777777" w:rsidR="00392E56" w:rsidRPr="00392E56" w:rsidRDefault="00392E56" w:rsidP="00615190">
            <w:pPr>
              <w:spacing w:line="240" w:lineRule="atLeast"/>
              <w:rPr>
                <w:rFonts w:ascii="Tahoma" w:hAnsi="Tahoma"/>
                <w:color w:val="000000" w:themeColor="text1"/>
                <w:sz w:val="16"/>
                <w:lang w:val="en-GB"/>
              </w:rPr>
            </w:pPr>
            <w:r w:rsidRPr="00392E56">
              <w:rPr>
                <w:rFonts w:ascii="Tahoma" w:hAnsi="Tahoma"/>
                <w:color w:val="000000" w:themeColor="text1"/>
                <w:sz w:val="16"/>
                <w:lang w:val="en-GB"/>
              </w:rPr>
              <w:t xml:space="preserve">Foreign currency translation effects </w:t>
            </w:r>
          </w:p>
        </w:tc>
        <w:tc>
          <w:tcPr>
            <w:tcW w:w="1134" w:type="dxa"/>
            <w:shd w:val="clear" w:color="auto" w:fill="auto"/>
            <w:tcMar>
              <w:top w:w="57" w:type="dxa"/>
              <w:left w:w="0" w:type="dxa"/>
              <w:bottom w:w="57" w:type="dxa"/>
              <w:right w:w="0" w:type="dxa"/>
            </w:tcMar>
            <w:vAlign w:val="bottom"/>
          </w:tcPr>
          <w:p w14:paraId="44CF88BE" w14:textId="77777777" w:rsidR="00392E56" w:rsidRPr="00392E56" w:rsidRDefault="00392E56" w:rsidP="001302BF">
            <w:pPr>
              <w:spacing w:line="240" w:lineRule="atLeast"/>
              <w:jc w:val="right"/>
              <w:rPr>
                <w:rFonts w:ascii="Tahoma" w:hAnsi="Tahoma"/>
                <w:b/>
                <w:bCs/>
                <w:color w:val="000000" w:themeColor="text1"/>
                <w:sz w:val="16"/>
                <w:lang w:val="en-GB"/>
              </w:rPr>
            </w:pPr>
            <w:r w:rsidRPr="00392E56">
              <w:rPr>
                <w:rFonts w:ascii="Tahoma" w:hAnsi="Tahoma"/>
                <w:b/>
                <w:bCs/>
                <w:color w:val="000000" w:themeColor="text1"/>
                <w:sz w:val="16"/>
                <w:lang w:val="en-GB"/>
              </w:rPr>
              <w:t>(3 959)</w:t>
            </w:r>
          </w:p>
        </w:tc>
        <w:tc>
          <w:tcPr>
            <w:tcW w:w="993" w:type="dxa"/>
            <w:shd w:val="clear" w:color="auto" w:fill="auto"/>
            <w:tcMar>
              <w:top w:w="57" w:type="dxa"/>
              <w:left w:w="0" w:type="dxa"/>
              <w:bottom w:w="57" w:type="dxa"/>
              <w:right w:w="0" w:type="dxa"/>
            </w:tcMar>
            <w:vAlign w:val="bottom"/>
          </w:tcPr>
          <w:p w14:paraId="68BDAE92" w14:textId="77777777" w:rsidR="00392E56" w:rsidRPr="00392E56" w:rsidRDefault="00392E56" w:rsidP="001302BF">
            <w:pPr>
              <w:spacing w:line="240" w:lineRule="atLeast"/>
              <w:jc w:val="right"/>
              <w:rPr>
                <w:rFonts w:ascii="Tahoma" w:hAnsi="Tahoma"/>
                <w:color w:val="000000" w:themeColor="text1"/>
                <w:sz w:val="16"/>
                <w:lang w:val="en-GB"/>
              </w:rPr>
            </w:pPr>
            <w:r w:rsidRPr="00392E56">
              <w:rPr>
                <w:rFonts w:ascii="Tahoma" w:hAnsi="Tahoma"/>
                <w:color w:val="000000" w:themeColor="text1"/>
                <w:sz w:val="16"/>
                <w:lang w:val="en-GB"/>
              </w:rPr>
              <w:t>211</w:t>
            </w:r>
          </w:p>
        </w:tc>
        <w:tc>
          <w:tcPr>
            <w:tcW w:w="1275" w:type="dxa"/>
            <w:shd w:val="clear" w:color="auto" w:fill="auto"/>
            <w:tcMar>
              <w:top w:w="57" w:type="dxa"/>
              <w:left w:w="0" w:type="dxa"/>
              <w:bottom w:w="57" w:type="dxa"/>
              <w:right w:w="0" w:type="dxa"/>
            </w:tcMar>
            <w:vAlign w:val="bottom"/>
          </w:tcPr>
          <w:p w14:paraId="4FDF172A" w14:textId="77777777" w:rsidR="00392E56" w:rsidRPr="00392E56" w:rsidRDefault="00392E56" w:rsidP="001302BF">
            <w:pPr>
              <w:spacing w:line="240" w:lineRule="atLeast"/>
              <w:jc w:val="right"/>
              <w:rPr>
                <w:rFonts w:ascii="Tahoma" w:hAnsi="Tahoma"/>
                <w:color w:val="000000" w:themeColor="text1"/>
                <w:sz w:val="16"/>
                <w:lang w:val="en-GB"/>
              </w:rPr>
            </w:pPr>
            <w:r w:rsidRPr="00392E56">
              <w:rPr>
                <w:rFonts w:ascii="Tahoma" w:hAnsi="Tahoma"/>
                <w:color w:val="000000" w:themeColor="text1"/>
                <w:sz w:val="16"/>
                <w:lang w:val="en-GB"/>
              </w:rPr>
              <w:t>(251)</w:t>
            </w:r>
          </w:p>
        </w:tc>
      </w:tr>
      <w:tr w:rsidR="00615190" w:rsidRPr="00392E56" w14:paraId="01598A93" w14:textId="77777777" w:rsidTr="00070628">
        <w:trPr>
          <w:trHeight w:val="60"/>
        </w:trPr>
        <w:tc>
          <w:tcPr>
            <w:tcW w:w="397" w:type="dxa"/>
            <w:shd w:val="clear" w:color="auto" w:fill="auto"/>
            <w:tcMar>
              <w:top w:w="57" w:type="dxa"/>
              <w:left w:w="0" w:type="dxa"/>
              <w:bottom w:w="57" w:type="dxa"/>
              <w:right w:w="0" w:type="dxa"/>
            </w:tcMar>
            <w:vAlign w:val="bottom"/>
          </w:tcPr>
          <w:p w14:paraId="5F2228A9" w14:textId="77777777" w:rsidR="00392E56" w:rsidRPr="00392E56" w:rsidRDefault="00392E56" w:rsidP="00615190">
            <w:pPr>
              <w:spacing w:line="240" w:lineRule="atLeast"/>
              <w:rPr>
                <w:rFonts w:ascii="Tahoma" w:hAnsi="Tahoma"/>
                <w:color w:val="000000" w:themeColor="text1"/>
                <w:sz w:val="16"/>
                <w:lang w:val="en-GB"/>
              </w:rPr>
            </w:pPr>
          </w:p>
        </w:tc>
        <w:tc>
          <w:tcPr>
            <w:tcW w:w="6415" w:type="dxa"/>
            <w:shd w:val="clear" w:color="auto" w:fill="auto"/>
            <w:tcMar>
              <w:top w:w="57" w:type="dxa"/>
              <w:left w:w="0" w:type="dxa"/>
              <w:bottom w:w="57" w:type="dxa"/>
              <w:right w:w="0" w:type="dxa"/>
            </w:tcMar>
            <w:vAlign w:val="bottom"/>
          </w:tcPr>
          <w:p w14:paraId="3C7ECF9C" w14:textId="77777777" w:rsidR="00392E56" w:rsidRPr="00392E56" w:rsidRDefault="00392E56" w:rsidP="00615190">
            <w:pPr>
              <w:spacing w:line="240" w:lineRule="atLeast"/>
              <w:rPr>
                <w:rFonts w:ascii="Tahoma" w:hAnsi="Tahoma"/>
                <w:color w:val="000000" w:themeColor="text1"/>
                <w:sz w:val="16"/>
                <w:lang w:val="en-GB"/>
              </w:rPr>
            </w:pPr>
            <w:r w:rsidRPr="00392E56">
              <w:rPr>
                <w:rFonts w:ascii="Tahoma" w:hAnsi="Tahoma"/>
                <w:color w:val="000000" w:themeColor="text1"/>
                <w:sz w:val="16"/>
                <w:lang w:val="en-GB"/>
              </w:rPr>
              <w:t>Loss of significant influence</w:t>
            </w:r>
            <w:r w:rsidRPr="00392E56">
              <w:rPr>
                <w:rFonts w:ascii="Tahoma" w:hAnsi="Tahoma"/>
                <w:color w:val="000000" w:themeColor="text1"/>
                <w:sz w:val="16"/>
                <w:vertAlign w:val="superscript"/>
                <w:lang w:val="en-GB"/>
              </w:rPr>
              <w:t>3</w:t>
            </w:r>
          </w:p>
        </w:tc>
        <w:tc>
          <w:tcPr>
            <w:tcW w:w="1134" w:type="dxa"/>
            <w:shd w:val="clear" w:color="auto" w:fill="auto"/>
            <w:tcMar>
              <w:top w:w="57" w:type="dxa"/>
              <w:left w:w="0" w:type="dxa"/>
              <w:bottom w:w="57" w:type="dxa"/>
              <w:right w:w="0" w:type="dxa"/>
            </w:tcMar>
            <w:vAlign w:val="bottom"/>
          </w:tcPr>
          <w:p w14:paraId="67EF62F2" w14:textId="77777777" w:rsidR="00392E56" w:rsidRPr="00392E56" w:rsidRDefault="00392E56" w:rsidP="001302BF">
            <w:pPr>
              <w:spacing w:line="240" w:lineRule="atLeast"/>
              <w:jc w:val="right"/>
              <w:rPr>
                <w:rFonts w:ascii="Tahoma" w:hAnsi="Tahoma"/>
                <w:b/>
                <w:bCs/>
                <w:color w:val="000000" w:themeColor="text1"/>
                <w:sz w:val="16"/>
                <w:lang w:val="en-GB"/>
              </w:rPr>
            </w:pPr>
            <w:r w:rsidRPr="00392E56">
              <w:rPr>
                <w:rFonts w:ascii="Tahoma" w:hAnsi="Tahoma"/>
                <w:b/>
                <w:bCs/>
                <w:color w:val="000000" w:themeColor="text1"/>
                <w:sz w:val="16"/>
                <w:lang w:val="en-GB"/>
              </w:rPr>
              <w:t>(630)</w:t>
            </w:r>
          </w:p>
        </w:tc>
        <w:tc>
          <w:tcPr>
            <w:tcW w:w="993" w:type="dxa"/>
            <w:shd w:val="clear" w:color="auto" w:fill="auto"/>
            <w:tcMar>
              <w:top w:w="57" w:type="dxa"/>
              <w:left w:w="0" w:type="dxa"/>
              <w:bottom w:w="57" w:type="dxa"/>
              <w:right w:w="0" w:type="dxa"/>
            </w:tcMar>
            <w:vAlign w:val="bottom"/>
          </w:tcPr>
          <w:p w14:paraId="65B3BE7F" w14:textId="77777777" w:rsidR="00392E56" w:rsidRPr="00392E56" w:rsidRDefault="00392E56" w:rsidP="001302BF">
            <w:pPr>
              <w:spacing w:line="240" w:lineRule="atLeast"/>
              <w:jc w:val="right"/>
              <w:rPr>
                <w:rFonts w:ascii="Tahoma" w:hAnsi="Tahoma"/>
                <w:color w:val="000000" w:themeColor="text1"/>
                <w:sz w:val="16"/>
                <w:lang w:val="en-GB"/>
              </w:rPr>
            </w:pPr>
            <w:r w:rsidRPr="00392E56">
              <w:rPr>
                <w:rFonts w:ascii="Tahoma" w:hAnsi="Tahoma"/>
                <w:color w:val="000000" w:themeColor="text1"/>
                <w:sz w:val="16"/>
                <w:lang w:val="en-GB"/>
              </w:rPr>
              <w:t>—</w:t>
            </w:r>
          </w:p>
        </w:tc>
        <w:tc>
          <w:tcPr>
            <w:tcW w:w="1275" w:type="dxa"/>
            <w:shd w:val="clear" w:color="auto" w:fill="auto"/>
            <w:tcMar>
              <w:top w:w="57" w:type="dxa"/>
              <w:left w:w="0" w:type="dxa"/>
              <w:bottom w:w="57" w:type="dxa"/>
              <w:right w:w="0" w:type="dxa"/>
            </w:tcMar>
            <w:vAlign w:val="bottom"/>
          </w:tcPr>
          <w:p w14:paraId="3B9FED25" w14:textId="77777777" w:rsidR="00392E56" w:rsidRPr="00392E56" w:rsidRDefault="00392E56" w:rsidP="001302BF">
            <w:pPr>
              <w:spacing w:line="240" w:lineRule="atLeast"/>
              <w:jc w:val="right"/>
              <w:rPr>
                <w:rFonts w:ascii="Tahoma" w:hAnsi="Tahoma"/>
                <w:color w:val="000000" w:themeColor="text1"/>
                <w:sz w:val="16"/>
                <w:lang w:val="en-GB"/>
              </w:rPr>
            </w:pPr>
            <w:r w:rsidRPr="00392E56">
              <w:rPr>
                <w:rFonts w:ascii="Tahoma" w:hAnsi="Tahoma"/>
                <w:color w:val="000000" w:themeColor="text1"/>
                <w:sz w:val="16"/>
                <w:lang w:val="en-GB"/>
              </w:rPr>
              <w:t>—</w:t>
            </w:r>
          </w:p>
        </w:tc>
      </w:tr>
      <w:tr w:rsidR="00615190" w:rsidRPr="00392E56" w14:paraId="5179E5A1" w14:textId="77777777" w:rsidTr="004F4406">
        <w:trPr>
          <w:trHeight w:val="60"/>
        </w:trPr>
        <w:tc>
          <w:tcPr>
            <w:tcW w:w="397" w:type="dxa"/>
            <w:shd w:val="clear" w:color="auto" w:fill="auto"/>
            <w:tcMar>
              <w:top w:w="57" w:type="dxa"/>
              <w:left w:w="0" w:type="dxa"/>
              <w:bottom w:w="57" w:type="dxa"/>
              <w:right w:w="0" w:type="dxa"/>
            </w:tcMar>
            <w:vAlign w:val="bottom"/>
          </w:tcPr>
          <w:p w14:paraId="6325CC9E" w14:textId="77777777" w:rsidR="00392E56" w:rsidRPr="00392E56" w:rsidRDefault="00392E56" w:rsidP="00615190">
            <w:pPr>
              <w:spacing w:line="240" w:lineRule="atLeast"/>
              <w:rPr>
                <w:rFonts w:ascii="Tahoma" w:hAnsi="Tahoma"/>
                <w:color w:val="000000" w:themeColor="text1"/>
                <w:sz w:val="16"/>
                <w:lang w:val="en-GB"/>
              </w:rPr>
            </w:pPr>
          </w:p>
        </w:tc>
        <w:tc>
          <w:tcPr>
            <w:tcW w:w="6415" w:type="dxa"/>
            <w:shd w:val="clear" w:color="auto" w:fill="auto"/>
            <w:tcMar>
              <w:top w:w="57" w:type="dxa"/>
              <w:left w:w="0" w:type="dxa"/>
              <w:bottom w:w="57" w:type="dxa"/>
              <w:right w:w="0" w:type="dxa"/>
            </w:tcMar>
            <w:vAlign w:val="bottom"/>
          </w:tcPr>
          <w:p w14:paraId="3C27B17A" w14:textId="77777777" w:rsidR="00392E56" w:rsidRPr="00392E56" w:rsidRDefault="00392E56" w:rsidP="00615190">
            <w:pPr>
              <w:spacing w:line="240" w:lineRule="atLeast"/>
              <w:rPr>
                <w:rFonts w:ascii="Tahoma" w:hAnsi="Tahoma"/>
                <w:color w:val="000000" w:themeColor="text1"/>
                <w:sz w:val="16"/>
                <w:lang w:val="en-GB"/>
              </w:rPr>
            </w:pPr>
            <w:r w:rsidRPr="00392E56">
              <w:rPr>
                <w:rFonts w:ascii="Tahoma" w:hAnsi="Tahoma"/>
                <w:color w:val="000000" w:themeColor="text1"/>
                <w:sz w:val="16"/>
                <w:lang w:val="en-GB"/>
              </w:rPr>
              <w:t>Partial disposal of interest in associate</w:t>
            </w:r>
            <w:r w:rsidRPr="00392E56">
              <w:rPr>
                <w:rFonts w:ascii="Tahoma" w:hAnsi="Tahoma"/>
                <w:color w:val="000000" w:themeColor="text1"/>
                <w:sz w:val="16"/>
                <w:vertAlign w:val="superscript"/>
                <w:lang w:val="en-GB"/>
              </w:rPr>
              <w:t>4</w:t>
            </w:r>
          </w:p>
        </w:tc>
        <w:tc>
          <w:tcPr>
            <w:tcW w:w="1134" w:type="dxa"/>
            <w:shd w:val="clear" w:color="auto" w:fill="auto"/>
            <w:tcMar>
              <w:top w:w="57" w:type="dxa"/>
              <w:left w:w="0" w:type="dxa"/>
              <w:bottom w:w="57" w:type="dxa"/>
              <w:right w:w="0" w:type="dxa"/>
            </w:tcMar>
            <w:vAlign w:val="bottom"/>
          </w:tcPr>
          <w:p w14:paraId="59D05FB9" w14:textId="77777777" w:rsidR="00392E56" w:rsidRPr="00392E56" w:rsidRDefault="00392E56" w:rsidP="001302BF">
            <w:pPr>
              <w:spacing w:line="240" w:lineRule="atLeast"/>
              <w:jc w:val="right"/>
              <w:rPr>
                <w:rFonts w:ascii="Tahoma" w:hAnsi="Tahoma"/>
                <w:b/>
                <w:bCs/>
                <w:color w:val="000000" w:themeColor="text1"/>
                <w:sz w:val="16"/>
                <w:lang w:val="en-GB"/>
              </w:rPr>
            </w:pPr>
            <w:r w:rsidRPr="00392E56">
              <w:rPr>
                <w:rFonts w:ascii="Tahoma" w:hAnsi="Tahoma"/>
                <w:b/>
                <w:bCs/>
                <w:color w:val="000000" w:themeColor="text1"/>
                <w:sz w:val="16"/>
                <w:lang w:val="en-GB"/>
              </w:rPr>
              <w:t>(1 009)</w:t>
            </w:r>
          </w:p>
        </w:tc>
        <w:tc>
          <w:tcPr>
            <w:tcW w:w="993" w:type="dxa"/>
            <w:shd w:val="clear" w:color="auto" w:fill="auto"/>
            <w:tcMar>
              <w:top w:w="57" w:type="dxa"/>
              <w:left w:w="0" w:type="dxa"/>
              <w:bottom w:w="57" w:type="dxa"/>
              <w:right w:w="0" w:type="dxa"/>
            </w:tcMar>
            <w:vAlign w:val="bottom"/>
          </w:tcPr>
          <w:p w14:paraId="29F52436" w14:textId="77777777" w:rsidR="00392E56" w:rsidRPr="00392E56" w:rsidRDefault="00392E56" w:rsidP="001302BF">
            <w:pPr>
              <w:spacing w:line="240" w:lineRule="atLeast"/>
              <w:jc w:val="right"/>
              <w:rPr>
                <w:rFonts w:ascii="Tahoma" w:hAnsi="Tahoma"/>
                <w:color w:val="000000" w:themeColor="text1"/>
                <w:sz w:val="16"/>
                <w:lang w:val="en-GB"/>
              </w:rPr>
            </w:pPr>
            <w:r w:rsidRPr="00392E56">
              <w:rPr>
                <w:rFonts w:ascii="Tahoma" w:hAnsi="Tahoma"/>
                <w:color w:val="000000" w:themeColor="text1"/>
                <w:sz w:val="16"/>
                <w:lang w:val="en-GB"/>
              </w:rPr>
              <w:t>(2 315)</w:t>
            </w:r>
          </w:p>
        </w:tc>
        <w:tc>
          <w:tcPr>
            <w:tcW w:w="1275" w:type="dxa"/>
            <w:shd w:val="clear" w:color="auto" w:fill="auto"/>
            <w:tcMar>
              <w:top w:w="57" w:type="dxa"/>
              <w:left w:w="0" w:type="dxa"/>
              <w:bottom w:w="57" w:type="dxa"/>
              <w:right w:w="0" w:type="dxa"/>
            </w:tcMar>
            <w:vAlign w:val="bottom"/>
          </w:tcPr>
          <w:p w14:paraId="3C7AE397" w14:textId="77777777" w:rsidR="00392E56" w:rsidRPr="00392E56" w:rsidRDefault="00392E56" w:rsidP="001302BF">
            <w:pPr>
              <w:spacing w:line="240" w:lineRule="atLeast"/>
              <w:jc w:val="right"/>
              <w:rPr>
                <w:rFonts w:ascii="Tahoma" w:hAnsi="Tahoma"/>
                <w:color w:val="000000" w:themeColor="text1"/>
                <w:sz w:val="16"/>
                <w:lang w:val="en-GB"/>
              </w:rPr>
            </w:pPr>
            <w:r w:rsidRPr="00392E56">
              <w:rPr>
                <w:rFonts w:ascii="Tahoma" w:hAnsi="Tahoma"/>
                <w:color w:val="000000" w:themeColor="text1"/>
                <w:sz w:val="16"/>
                <w:lang w:val="en-GB"/>
              </w:rPr>
              <w:t>(2 316)</w:t>
            </w:r>
          </w:p>
        </w:tc>
      </w:tr>
      <w:tr w:rsidR="00615190" w:rsidRPr="00392E56" w14:paraId="368969C3" w14:textId="77777777" w:rsidTr="004F4406">
        <w:trPr>
          <w:trHeight w:val="60"/>
        </w:trPr>
        <w:tc>
          <w:tcPr>
            <w:tcW w:w="397" w:type="dxa"/>
            <w:shd w:val="clear" w:color="auto" w:fill="auto"/>
            <w:tcMar>
              <w:top w:w="57" w:type="dxa"/>
              <w:left w:w="0" w:type="dxa"/>
              <w:bottom w:w="85" w:type="dxa"/>
              <w:right w:w="0" w:type="dxa"/>
            </w:tcMar>
            <w:vAlign w:val="bottom"/>
          </w:tcPr>
          <w:p w14:paraId="4C6B4028" w14:textId="77777777" w:rsidR="00392E56" w:rsidRPr="00392E56" w:rsidRDefault="00392E56" w:rsidP="00615190">
            <w:pPr>
              <w:spacing w:line="240" w:lineRule="atLeast"/>
              <w:rPr>
                <w:rFonts w:ascii="Tahoma" w:hAnsi="Tahoma"/>
                <w:color w:val="000000" w:themeColor="text1"/>
                <w:sz w:val="16"/>
                <w:lang w:val="en-GB"/>
              </w:rPr>
            </w:pPr>
          </w:p>
        </w:tc>
        <w:tc>
          <w:tcPr>
            <w:tcW w:w="6415" w:type="dxa"/>
            <w:tcBorders>
              <w:bottom w:val="single" w:sz="4" w:space="0" w:color="auto"/>
            </w:tcBorders>
            <w:shd w:val="clear" w:color="auto" w:fill="auto"/>
            <w:tcMar>
              <w:top w:w="57" w:type="dxa"/>
              <w:left w:w="0" w:type="dxa"/>
              <w:bottom w:w="85" w:type="dxa"/>
              <w:right w:w="0" w:type="dxa"/>
            </w:tcMar>
            <w:vAlign w:val="bottom"/>
          </w:tcPr>
          <w:p w14:paraId="4989233C" w14:textId="77777777" w:rsidR="00392E56" w:rsidRPr="00392E56" w:rsidRDefault="00392E56" w:rsidP="00615190">
            <w:pPr>
              <w:spacing w:line="240" w:lineRule="atLeast"/>
              <w:rPr>
                <w:rFonts w:ascii="Tahoma" w:hAnsi="Tahoma"/>
                <w:color w:val="000000" w:themeColor="text1"/>
                <w:sz w:val="16"/>
                <w:lang w:val="en-GB"/>
              </w:rPr>
            </w:pPr>
            <w:r w:rsidRPr="00392E56">
              <w:rPr>
                <w:rFonts w:ascii="Tahoma" w:hAnsi="Tahoma"/>
                <w:color w:val="000000" w:themeColor="text1"/>
                <w:sz w:val="16"/>
                <w:lang w:val="en-GB"/>
              </w:rPr>
              <w:t>Dilution (losses)/gains</w:t>
            </w:r>
            <w:r w:rsidRPr="00392E56">
              <w:rPr>
                <w:rFonts w:ascii="Tahoma" w:hAnsi="Tahoma"/>
                <w:color w:val="000000" w:themeColor="text1"/>
                <w:sz w:val="16"/>
                <w:vertAlign w:val="superscript"/>
                <w:lang w:val="en-GB"/>
              </w:rPr>
              <w:t>5</w:t>
            </w:r>
          </w:p>
        </w:tc>
        <w:tc>
          <w:tcPr>
            <w:tcW w:w="1134" w:type="dxa"/>
            <w:tcBorders>
              <w:bottom w:val="single" w:sz="4" w:space="0" w:color="auto"/>
            </w:tcBorders>
            <w:shd w:val="clear" w:color="auto" w:fill="auto"/>
            <w:tcMar>
              <w:top w:w="57" w:type="dxa"/>
              <w:left w:w="0" w:type="dxa"/>
              <w:bottom w:w="85" w:type="dxa"/>
              <w:right w:w="0" w:type="dxa"/>
            </w:tcMar>
            <w:vAlign w:val="bottom"/>
          </w:tcPr>
          <w:p w14:paraId="2D19936F" w14:textId="77777777" w:rsidR="00392E56" w:rsidRPr="00392E56" w:rsidRDefault="00392E56" w:rsidP="001302BF">
            <w:pPr>
              <w:spacing w:line="240" w:lineRule="atLeast"/>
              <w:jc w:val="right"/>
              <w:rPr>
                <w:rFonts w:ascii="Tahoma" w:hAnsi="Tahoma"/>
                <w:b/>
                <w:bCs/>
                <w:color w:val="000000" w:themeColor="text1"/>
                <w:sz w:val="16"/>
                <w:lang w:val="en-GB"/>
              </w:rPr>
            </w:pPr>
            <w:r w:rsidRPr="00392E56">
              <w:rPr>
                <w:rFonts w:ascii="Tahoma" w:hAnsi="Tahoma"/>
                <w:b/>
                <w:bCs/>
                <w:color w:val="000000" w:themeColor="text1"/>
                <w:sz w:val="16"/>
                <w:lang w:val="en-GB"/>
              </w:rPr>
              <w:t>(98)</w:t>
            </w:r>
          </w:p>
        </w:tc>
        <w:tc>
          <w:tcPr>
            <w:tcW w:w="993" w:type="dxa"/>
            <w:tcBorders>
              <w:bottom w:val="single" w:sz="4" w:space="0" w:color="auto"/>
            </w:tcBorders>
            <w:shd w:val="clear" w:color="auto" w:fill="auto"/>
            <w:tcMar>
              <w:top w:w="57" w:type="dxa"/>
              <w:left w:w="0" w:type="dxa"/>
              <w:bottom w:w="85" w:type="dxa"/>
              <w:right w:w="0" w:type="dxa"/>
            </w:tcMar>
            <w:vAlign w:val="bottom"/>
          </w:tcPr>
          <w:p w14:paraId="4939CC9C" w14:textId="77777777" w:rsidR="00392E56" w:rsidRPr="00392E56" w:rsidRDefault="00392E56" w:rsidP="001302BF">
            <w:pPr>
              <w:spacing w:line="240" w:lineRule="atLeast"/>
              <w:jc w:val="right"/>
              <w:rPr>
                <w:rFonts w:ascii="Tahoma" w:hAnsi="Tahoma"/>
                <w:color w:val="000000" w:themeColor="text1"/>
                <w:sz w:val="16"/>
                <w:lang w:val="en-GB"/>
              </w:rPr>
            </w:pPr>
            <w:r w:rsidRPr="00392E56">
              <w:rPr>
                <w:rFonts w:ascii="Tahoma" w:hAnsi="Tahoma"/>
                <w:color w:val="000000" w:themeColor="text1"/>
                <w:sz w:val="16"/>
                <w:lang w:val="en-GB"/>
              </w:rPr>
              <w:t>120</w:t>
            </w:r>
          </w:p>
        </w:tc>
        <w:tc>
          <w:tcPr>
            <w:tcW w:w="1275" w:type="dxa"/>
            <w:tcBorders>
              <w:bottom w:val="single" w:sz="4" w:space="0" w:color="auto"/>
            </w:tcBorders>
            <w:shd w:val="clear" w:color="auto" w:fill="auto"/>
            <w:tcMar>
              <w:top w:w="57" w:type="dxa"/>
              <w:left w:w="0" w:type="dxa"/>
              <w:bottom w:w="85" w:type="dxa"/>
              <w:right w:w="0" w:type="dxa"/>
            </w:tcMar>
            <w:vAlign w:val="bottom"/>
          </w:tcPr>
          <w:p w14:paraId="496B5ADB" w14:textId="77777777" w:rsidR="00392E56" w:rsidRPr="00392E56" w:rsidRDefault="00392E56" w:rsidP="001302BF">
            <w:pPr>
              <w:spacing w:line="240" w:lineRule="atLeast"/>
              <w:jc w:val="right"/>
              <w:rPr>
                <w:rFonts w:ascii="Tahoma" w:hAnsi="Tahoma"/>
                <w:color w:val="000000" w:themeColor="text1"/>
                <w:sz w:val="16"/>
                <w:lang w:val="en-GB"/>
              </w:rPr>
            </w:pPr>
            <w:r w:rsidRPr="00392E56">
              <w:rPr>
                <w:rFonts w:ascii="Tahoma" w:hAnsi="Tahoma"/>
                <w:color w:val="000000" w:themeColor="text1"/>
                <w:sz w:val="16"/>
                <w:lang w:val="en-GB"/>
              </w:rPr>
              <w:t>93</w:t>
            </w:r>
          </w:p>
        </w:tc>
      </w:tr>
      <w:tr w:rsidR="00615190" w:rsidRPr="00392E56" w14:paraId="3D7DE0B1" w14:textId="77777777" w:rsidTr="004F4406">
        <w:trPr>
          <w:trHeight w:val="60"/>
        </w:trPr>
        <w:tc>
          <w:tcPr>
            <w:tcW w:w="397" w:type="dxa"/>
            <w:shd w:val="clear" w:color="auto" w:fill="auto"/>
            <w:tcMar>
              <w:top w:w="85" w:type="dxa"/>
              <w:left w:w="0" w:type="dxa"/>
              <w:bottom w:w="85" w:type="dxa"/>
              <w:right w:w="0" w:type="dxa"/>
            </w:tcMar>
            <w:vAlign w:val="bottom"/>
          </w:tcPr>
          <w:p w14:paraId="50AB2E63" w14:textId="77777777" w:rsidR="00392E56" w:rsidRPr="00392E56" w:rsidRDefault="00392E56" w:rsidP="00615190">
            <w:pPr>
              <w:spacing w:line="240" w:lineRule="atLeast"/>
              <w:rPr>
                <w:rFonts w:ascii="Tahoma" w:hAnsi="Tahoma"/>
                <w:color w:val="000000" w:themeColor="text1"/>
                <w:sz w:val="16"/>
                <w:lang w:val="en-GB"/>
              </w:rPr>
            </w:pPr>
          </w:p>
        </w:tc>
        <w:tc>
          <w:tcPr>
            <w:tcW w:w="6415"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521F6FEB" w14:textId="77777777" w:rsidR="00392E56" w:rsidRPr="00392E56" w:rsidRDefault="00392E56" w:rsidP="00615190">
            <w:pPr>
              <w:spacing w:line="240" w:lineRule="atLeast"/>
              <w:rPr>
                <w:rFonts w:ascii="Tahoma" w:hAnsi="Tahoma"/>
                <w:b/>
                <w:bCs/>
                <w:color w:val="000000" w:themeColor="text1"/>
                <w:sz w:val="16"/>
                <w:lang w:val="en-GB"/>
              </w:rPr>
            </w:pPr>
            <w:r w:rsidRPr="00392E56">
              <w:rPr>
                <w:rFonts w:ascii="Tahoma" w:hAnsi="Tahoma"/>
                <w:b/>
                <w:bCs/>
                <w:color w:val="000000" w:themeColor="text1"/>
                <w:sz w:val="16"/>
                <w:lang w:val="en-GB"/>
              </w:rPr>
              <w:t>Closing balance</w:t>
            </w:r>
          </w:p>
        </w:tc>
        <w:tc>
          <w:tcPr>
            <w:tcW w:w="1134"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1B15700D" w14:textId="77777777" w:rsidR="00392E56" w:rsidRPr="00392E56" w:rsidRDefault="00392E56" w:rsidP="001302BF">
            <w:pPr>
              <w:spacing w:line="240" w:lineRule="atLeast"/>
              <w:jc w:val="right"/>
              <w:rPr>
                <w:rFonts w:ascii="Tahoma" w:hAnsi="Tahoma"/>
                <w:b/>
                <w:bCs/>
                <w:color w:val="000000" w:themeColor="text1"/>
                <w:sz w:val="16"/>
                <w:lang w:val="en-GB"/>
              </w:rPr>
            </w:pPr>
            <w:r w:rsidRPr="00392E56">
              <w:rPr>
                <w:rFonts w:ascii="Tahoma" w:hAnsi="Tahoma"/>
                <w:b/>
                <w:bCs/>
                <w:color w:val="000000" w:themeColor="text1"/>
                <w:sz w:val="16"/>
                <w:lang w:val="en-GB"/>
              </w:rPr>
              <w:t>35 176</w:t>
            </w:r>
          </w:p>
        </w:tc>
        <w:tc>
          <w:tcPr>
            <w:tcW w:w="993"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207868DC" w14:textId="77777777" w:rsidR="00392E56" w:rsidRPr="00392E56" w:rsidRDefault="00392E56" w:rsidP="001302BF">
            <w:pPr>
              <w:spacing w:line="240" w:lineRule="atLeast"/>
              <w:jc w:val="right"/>
              <w:rPr>
                <w:rFonts w:ascii="Tahoma" w:hAnsi="Tahoma"/>
                <w:color w:val="000000" w:themeColor="text1"/>
                <w:sz w:val="16"/>
                <w:lang w:val="en-GB"/>
              </w:rPr>
            </w:pPr>
            <w:r w:rsidRPr="00392E56">
              <w:rPr>
                <w:rFonts w:ascii="Tahoma" w:hAnsi="Tahoma"/>
                <w:color w:val="000000" w:themeColor="text1"/>
                <w:sz w:val="16"/>
                <w:lang w:val="en-GB"/>
              </w:rPr>
              <w:t>47 916</w:t>
            </w:r>
          </w:p>
        </w:tc>
        <w:tc>
          <w:tcPr>
            <w:tcW w:w="1275"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465B73FF" w14:textId="77777777" w:rsidR="00392E56" w:rsidRPr="00392E56" w:rsidRDefault="00392E56" w:rsidP="001302BF">
            <w:pPr>
              <w:spacing w:line="240" w:lineRule="atLeast"/>
              <w:jc w:val="right"/>
              <w:rPr>
                <w:rFonts w:ascii="Tahoma" w:hAnsi="Tahoma"/>
                <w:color w:val="000000" w:themeColor="text1"/>
                <w:sz w:val="16"/>
                <w:lang w:val="en-GB"/>
              </w:rPr>
            </w:pPr>
            <w:r w:rsidRPr="00392E56">
              <w:rPr>
                <w:rFonts w:ascii="Tahoma" w:hAnsi="Tahoma"/>
                <w:color w:val="000000" w:themeColor="text1"/>
                <w:sz w:val="16"/>
                <w:lang w:val="en-GB"/>
              </w:rPr>
              <w:t>44 457</w:t>
            </w:r>
          </w:p>
        </w:tc>
      </w:tr>
      <w:tr w:rsidR="00615190" w:rsidRPr="00392E56" w14:paraId="124995F5" w14:textId="77777777" w:rsidTr="006D42E1">
        <w:trPr>
          <w:trHeight w:val="60"/>
        </w:trPr>
        <w:tc>
          <w:tcPr>
            <w:tcW w:w="397" w:type="dxa"/>
            <w:shd w:val="clear" w:color="auto" w:fill="auto"/>
            <w:tcMar>
              <w:top w:w="85" w:type="dxa"/>
              <w:left w:w="0" w:type="dxa"/>
              <w:bottom w:w="57" w:type="dxa"/>
              <w:right w:w="0" w:type="dxa"/>
            </w:tcMar>
            <w:vAlign w:val="bottom"/>
          </w:tcPr>
          <w:p w14:paraId="2121C516" w14:textId="77777777" w:rsidR="00392E56" w:rsidRPr="00392E56" w:rsidRDefault="00392E56" w:rsidP="00615190">
            <w:pPr>
              <w:spacing w:line="240" w:lineRule="atLeast"/>
              <w:rPr>
                <w:rFonts w:ascii="Tahoma" w:hAnsi="Tahoma"/>
                <w:color w:val="000000" w:themeColor="text1"/>
                <w:sz w:val="16"/>
                <w:lang w:val="en-GB"/>
              </w:rPr>
            </w:pPr>
          </w:p>
        </w:tc>
        <w:tc>
          <w:tcPr>
            <w:tcW w:w="9817" w:type="dxa"/>
            <w:gridSpan w:val="4"/>
            <w:tcBorders>
              <w:top w:val="single" w:sz="12" w:space="0" w:color="auto"/>
            </w:tcBorders>
            <w:shd w:val="clear" w:color="auto" w:fill="auto"/>
            <w:tcMar>
              <w:top w:w="85" w:type="dxa"/>
              <w:left w:w="0" w:type="dxa"/>
              <w:bottom w:w="57" w:type="dxa"/>
              <w:right w:w="0" w:type="dxa"/>
            </w:tcMar>
            <w:vAlign w:val="bottom"/>
          </w:tcPr>
          <w:p w14:paraId="2792AE37" w14:textId="77777777" w:rsidR="00392E56" w:rsidRPr="00392E56" w:rsidRDefault="00392E56" w:rsidP="002779FF">
            <w:pPr>
              <w:pStyle w:val="FootnotesProsus2022FrontStylesProsus2022"/>
            </w:pPr>
            <w:r w:rsidRPr="00392E56">
              <w:t>1</w:t>
            </w:r>
            <w:r w:rsidRPr="00392E56">
              <w:tab/>
              <w:t xml:space="preserve">The significant decrease is driven primarily by lower fair-value gains on financial instruments, lower gains on disposals and reduced profitability from equity-accounted associates. </w:t>
            </w:r>
          </w:p>
          <w:p w14:paraId="413249EC" w14:textId="77777777" w:rsidR="00392E56" w:rsidRPr="00392E56" w:rsidRDefault="00392E56" w:rsidP="002779FF">
            <w:pPr>
              <w:pStyle w:val="FootnotesProsus2022FrontStylesProsus2022"/>
            </w:pPr>
            <w:r w:rsidRPr="00392E56">
              <w:t>2</w:t>
            </w:r>
            <w:r w:rsidRPr="00392E56">
              <w:tab/>
              <w:t>At 31 March 2022, the dividend received from Tencent amounted to US$570.7m cash and dividend in specie of US$3.9bn in shares of JD.com.</w:t>
            </w:r>
          </w:p>
          <w:p w14:paraId="414AC9B0" w14:textId="77777777" w:rsidR="00392E56" w:rsidRPr="00392E56" w:rsidRDefault="00392E56" w:rsidP="002779FF">
            <w:pPr>
              <w:pStyle w:val="FootnotesProsus2022FrontStylesProsus2022"/>
            </w:pPr>
            <w:r w:rsidRPr="00392E56">
              <w:t>3</w:t>
            </w:r>
            <w:r w:rsidRPr="00392E56">
              <w:tab/>
              <w:t>Relates to deemed disposals of associates (refer to note 16).</w:t>
            </w:r>
          </w:p>
          <w:p w14:paraId="6D282E71" w14:textId="77777777" w:rsidR="00392E56" w:rsidRPr="00392E56" w:rsidRDefault="00392E56" w:rsidP="002779FF">
            <w:pPr>
              <w:pStyle w:val="FootnotesProsus2022FrontStylesProsus2022"/>
            </w:pPr>
            <w:r w:rsidRPr="00392E56">
              <w:t>4</w:t>
            </w:r>
            <w:r w:rsidRPr="00392E56">
              <w:tab/>
              <w:t>The gains on partial disposal recognised in the condensed consolidated income statement relate to the partial disposal of Tencent. The group recognised a gain on partial disposal of US$2.77bn (2021: US$12.34bn and 31 March 2022: US$12.34bn).</w:t>
            </w:r>
          </w:p>
          <w:p w14:paraId="398A8629" w14:textId="77777777" w:rsidR="00392E56" w:rsidRPr="00392E56" w:rsidRDefault="00392E56" w:rsidP="002779FF">
            <w:pPr>
              <w:pStyle w:val="FootnotesProsus2022FrontStylesProsus2022"/>
            </w:pPr>
            <w:r w:rsidRPr="00392E56">
              <w:t>5</w:t>
            </w:r>
            <w:r w:rsidRPr="00392E56">
              <w:tab/>
              <w:t>The total dilution (losses)/gains presented in the condensed consolidated income statement relate to the group’s diluted effective interest in associates and the reclassification of a portion of the group’s foreign currency translation reserves from other comprehensive income to the income statement following the shareholding dilutions.</w:t>
            </w:r>
          </w:p>
        </w:tc>
      </w:tr>
    </w:tbl>
    <w:p w14:paraId="2C0AA149" w14:textId="77777777" w:rsidR="00392E56" w:rsidRPr="00615190" w:rsidRDefault="00392E56" w:rsidP="00615190">
      <w:pPr>
        <w:spacing w:line="240" w:lineRule="atLeast"/>
        <w:rPr>
          <w:rFonts w:ascii="Tahoma" w:hAnsi="Tahoma"/>
          <w:color w:val="000000" w:themeColor="text1"/>
          <w:sz w:val="16"/>
        </w:rPr>
      </w:pPr>
    </w:p>
    <w:p w14:paraId="2EDA39B9" w14:textId="77777777" w:rsidR="002862F7" w:rsidRPr="00CD6D55" w:rsidRDefault="002862F7" w:rsidP="00615190">
      <w:pPr>
        <w:spacing w:line="240" w:lineRule="atLeast"/>
        <w:rPr>
          <w:rFonts w:ascii="Tahoma" w:hAnsi="Tahoma"/>
          <w:b/>
          <w:bCs/>
          <w:color w:val="000000" w:themeColor="text1"/>
          <w:sz w:val="16"/>
          <w:lang w:val="en-GB"/>
        </w:rPr>
      </w:pPr>
    </w:p>
    <w:p w14:paraId="04E53DA3" w14:textId="77777777" w:rsidR="002862F7" w:rsidRPr="002862F7" w:rsidRDefault="002862F7" w:rsidP="002862F7">
      <w:pPr>
        <w:spacing w:line="240" w:lineRule="atLeast"/>
        <w:ind w:left="426"/>
        <w:rPr>
          <w:rFonts w:ascii="Tahoma" w:hAnsi="Tahoma"/>
          <w:b/>
          <w:bCs/>
          <w:color w:val="000000" w:themeColor="text1"/>
          <w:sz w:val="16"/>
          <w:lang w:val="en-GB"/>
        </w:rPr>
      </w:pPr>
      <w:r w:rsidRPr="00CD6D55">
        <w:rPr>
          <w:rFonts w:ascii="Tahoma" w:hAnsi="Tahoma"/>
          <w:b/>
          <w:bCs/>
          <w:color w:val="000000" w:themeColor="text1"/>
          <w:sz w:val="16"/>
          <w:lang w:val="en-GB"/>
        </w:rPr>
        <w:t>Impairment of equity-accounted investments</w:t>
      </w:r>
    </w:p>
    <w:p w14:paraId="697A3801" w14:textId="4C284DFB" w:rsidR="002862F7" w:rsidRPr="00CD6D55" w:rsidRDefault="002862F7" w:rsidP="002862F7">
      <w:pPr>
        <w:spacing w:line="240" w:lineRule="atLeast"/>
        <w:ind w:left="426"/>
        <w:rPr>
          <w:rFonts w:ascii="Tahoma" w:hAnsi="Tahoma"/>
          <w:color w:val="000000" w:themeColor="text1"/>
          <w:sz w:val="16"/>
          <w:lang w:val="en-GB"/>
        </w:rPr>
      </w:pPr>
      <w:r w:rsidRPr="00CD6D55">
        <w:rPr>
          <w:rFonts w:ascii="Tahoma" w:hAnsi="Tahoma"/>
          <w:color w:val="000000" w:themeColor="text1"/>
          <w:sz w:val="16"/>
          <w:lang w:val="en-GB"/>
        </w:rPr>
        <w:t xml:space="preserve">The group assesses whether there is an indication that its equity-accounted investments are impaired. For the six months ended </w:t>
      </w:r>
      <w:r w:rsidR="002F078E">
        <w:rPr>
          <w:rFonts w:ascii="Tahoma" w:hAnsi="Tahoma"/>
          <w:color w:val="000000" w:themeColor="text1"/>
          <w:sz w:val="16"/>
          <w:lang w:val="en-GB"/>
        </w:rPr>
        <w:br/>
      </w:r>
      <w:r w:rsidRPr="00CD6D55">
        <w:rPr>
          <w:rFonts w:ascii="Tahoma" w:hAnsi="Tahoma"/>
          <w:color w:val="000000" w:themeColor="text1"/>
          <w:sz w:val="16"/>
          <w:lang w:val="en-GB"/>
        </w:rPr>
        <w:t>30 September 2022, the group assessment took into consideration the market capitalisation of the listed equity-accounted investments, the increase in market interest rates and country risk premiums, the ongoing war in Ukraine and the overall business performance.</w:t>
      </w:r>
    </w:p>
    <w:p w14:paraId="10C37B7F" w14:textId="77777777" w:rsidR="002862F7" w:rsidRPr="00CD6D55" w:rsidRDefault="002862F7" w:rsidP="002862F7">
      <w:pPr>
        <w:spacing w:line="240" w:lineRule="atLeast"/>
        <w:ind w:left="426" w:hanging="426"/>
        <w:rPr>
          <w:rFonts w:ascii="Tahoma" w:hAnsi="Tahoma"/>
          <w:color w:val="000000" w:themeColor="text1"/>
          <w:sz w:val="16"/>
          <w:lang w:val="en-GB"/>
        </w:rPr>
      </w:pPr>
    </w:p>
    <w:p w14:paraId="366577A7" w14:textId="77777777" w:rsidR="002862F7" w:rsidRPr="00CD6D55" w:rsidRDefault="002862F7" w:rsidP="002862F7">
      <w:pPr>
        <w:spacing w:line="240" w:lineRule="atLeast"/>
        <w:ind w:left="426"/>
        <w:rPr>
          <w:rFonts w:ascii="Tahoma" w:hAnsi="Tahoma"/>
          <w:color w:val="000000" w:themeColor="text1"/>
          <w:sz w:val="16"/>
          <w:lang w:val="en-GB"/>
        </w:rPr>
      </w:pPr>
      <w:r w:rsidRPr="00CD6D55">
        <w:rPr>
          <w:rFonts w:ascii="Tahoma" w:hAnsi="Tahoma"/>
          <w:color w:val="000000" w:themeColor="text1"/>
          <w:sz w:val="16"/>
          <w:lang w:val="en-GB"/>
        </w:rPr>
        <w:t>Impairment assessments for the group’s listed equity-accounted investments related to Delivery Hero and Skillsoft as a result of a decline in the market capitalisation and the increase in country risk premiums for these investments. Impairment assessments for the group’s unlisted equity-accounted investments related primarily to investments in the Classifieds and Food Delivery segments as a result of the increase in market interest rates and the overall business performance.</w:t>
      </w:r>
    </w:p>
    <w:p w14:paraId="6DAC0434" w14:textId="77777777" w:rsidR="002862F7" w:rsidRPr="00CD6D55" w:rsidRDefault="002862F7" w:rsidP="002862F7">
      <w:pPr>
        <w:spacing w:line="240" w:lineRule="atLeast"/>
        <w:ind w:left="426" w:hanging="426"/>
        <w:rPr>
          <w:rFonts w:ascii="Tahoma" w:hAnsi="Tahoma"/>
          <w:color w:val="000000" w:themeColor="text1"/>
          <w:sz w:val="16"/>
          <w:lang w:val="en-GB"/>
        </w:rPr>
      </w:pPr>
    </w:p>
    <w:p w14:paraId="7B2A241E" w14:textId="41447ABD" w:rsidR="002862F7" w:rsidRPr="00CD6D55" w:rsidRDefault="002862F7" w:rsidP="002862F7">
      <w:pPr>
        <w:spacing w:line="240" w:lineRule="atLeast"/>
        <w:ind w:left="426"/>
        <w:rPr>
          <w:rFonts w:ascii="Tahoma" w:hAnsi="Tahoma"/>
          <w:color w:val="000000" w:themeColor="text1"/>
          <w:sz w:val="16"/>
          <w:lang w:val="en-GB"/>
        </w:rPr>
      </w:pPr>
      <w:r w:rsidRPr="00CD6D55">
        <w:rPr>
          <w:rFonts w:ascii="Tahoma" w:hAnsi="Tahoma"/>
          <w:color w:val="000000" w:themeColor="text1"/>
          <w:sz w:val="16"/>
          <w:lang w:val="en-GB"/>
        </w:rPr>
        <w:t xml:space="preserve">The recoverable amounts of equity-accounted investments have been determined based on the higher of the value-in-use calculations and the fair value less costs of disposal. During the current period and prior financial year, the recoverable amounts were determined using value-in-use calculations. The value-in-use calculation was determined using the discounted cash flow method. The group used </w:t>
      </w:r>
      <w:r w:rsidR="002F078E">
        <w:rPr>
          <w:rFonts w:ascii="Tahoma" w:hAnsi="Tahoma"/>
          <w:color w:val="000000" w:themeColor="text1"/>
          <w:sz w:val="16"/>
          <w:lang w:val="en-GB"/>
        </w:rPr>
        <w:br/>
      </w:r>
      <w:r w:rsidRPr="00CD6D55">
        <w:rPr>
          <w:rFonts w:ascii="Tahoma" w:hAnsi="Tahoma"/>
          <w:color w:val="000000" w:themeColor="text1"/>
          <w:sz w:val="16"/>
          <w:lang w:val="en-GB"/>
        </w:rPr>
        <w:t>10-year projected cash flow models as many businesses have monetisation timelines of longer than five years.</w:t>
      </w:r>
    </w:p>
    <w:p w14:paraId="1AB87C07" w14:textId="77777777" w:rsidR="002862F7" w:rsidRPr="00CD6D55" w:rsidRDefault="002862F7" w:rsidP="002862F7">
      <w:pPr>
        <w:spacing w:line="240" w:lineRule="atLeast"/>
        <w:ind w:left="426" w:hanging="426"/>
        <w:rPr>
          <w:rFonts w:ascii="Tahoma" w:hAnsi="Tahoma"/>
          <w:color w:val="000000" w:themeColor="text1"/>
          <w:sz w:val="16"/>
          <w:lang w:val="en-GB"/>
        </w:rPr>
      </w:pPr>
    </w:p>
    <w:p w14:paraId="327AC607" w14:textId="77777777" w:rsidR="002862F7" w:rsidRPr="00CD6D55" w:rsidRDefault="002862F7" w:rsidP="002862F7">
      <w:pPr>
        <w:spacing w:line="240" w:lineRule="atLeast"/>
        <w:ind w:left="426"/>
        <w:rPr>
          <w:rFonts w:ascii="Tahoma" w:hAnsi="Tahoma"/>
          <w:color w:val="000000" w:themeColor="text1"/>
          <w:sz w:val="16"/>
          <w:lang w:val="en-GB"/>
        </w:rPr>
      </w:pPr>
      <w:r w:rsidRPr="00CD6D55">
        <w:rPr>
          <w:rFonts w:ascii="Tahoma" w:hAnsi="Tahoma"/>
          <w:color w:val="000000" w:themeColor="text1"/>
          <w:sz w:val="16"/>
          <w:lang w:val="en-GB"/>
        </w:rPr>
        <w:t>For Delivery Hero and Skillsoft, the value-in-use calculations were higher than the market prices for these investments because market prices reflect current market sentiment, while value-in-use calculations consider a longer-term horizon. These equity-accounted investments were valued using the sum-of-the-parts approach. Delivery Hero’s 10-year projected cash flow models incorporated market views and publicly available analyst projections. Skillsoft’s 10-year projected cash flow models incorporated forecast cash flow information based on the company’s latest guidance.</w:t>
      </w:r>
    </w:p>
    <w:p w14:paraId="2B0BB7D6" w14:textId="77777777" w:rsidR="002862F7" w:rsidRPr="00CD6D55" w:rsidRDefault="002862F7" w:rsidP="002862F7">
      <w:pPr>
        <w:spacing w:line="240" w:lineRule="atLeast"/>
        <w:ind w:left="426" w:hanging="426"/>
        <w:rPr>
          <w:rFonts w:ascii="Tahoma" w:hAnsi="Tahoma"/>
          <w:color w:val="000000" w:themeColor="text1"/>
          <w:sz w:val="16"/>
          <w:lang w:val="en-GB"/>
        </w:rPr>
      </w:pPr>
    </w:p>
    <w:p w14:paraId="7B98568B" w14:textId="77777777" w:rsidR="002862F7" w:rsidRDefault="002862F7" w:rsidP="002862F7">
      <w:pPr>
        <w:spacing w:line="240" w:lineRule="atLeast"/>
        <w:ind w:left="426"/>
        <w:rPr>
          <w:rFonts w:ascii="Tahoma" w:hAnsi="Tahoma"/>
          <w:color w:val="000000" w:themeColor="text1"/>
          <w:sz w:val="16"/>
          <w:lang w:val="en-GB"/>
        </w:rPr>
      </w:pPr>
      <w:r w:rsidRPr="00CD6D55">
        <w:rPr>
          <w:rFonts w:ascii="Tahoma" w:hAnsi="Tahoma"/>
          <w:color w:val="000000" w:themeColor="text1"/>
          <w:sz w:val="16"/>
          <w:lang w:val="en-GB"/>
        </w:rPr>
        <w:t xml:space="preserve">For the unlisted equity-accounted investments, the 10-year projected cash flow models incorporated forecast cash flow information based on the latest management guidance provided. </w:t>
      </w:r>
    </w:p>
    <w:p w14:paraId="1E3D0F7B" w14:textId="77777777" w:rsidR="002862F7" w:rsidRPr="00CD6D55" w:rsidRDefault="002862F7" w:rsidP="002862F7">
      <w:pPr>
        <w:spacing w:line="240" w:lineRule="atLeast"/>
        <w:ind w:left="426"/>
        <w:rPr>
          <w:rFonts w:ascii="Tahoma" w:hAnsi="Tahoma"/>
          <w:color w:val="000000" w:themeColor="text1"/>
          <w:sz w:val="16"/>
          <w:lang w:val="en-GB"/>
        </w:rPr>
      </w:pPr>
    </w:p>
    <w:p w14:paraId="27879443" w14:textId="77777777" w:rsidR="002862F7" w:rsidRDefault="002862F7">
      <w:pPr>
        <w:rPr>
          <w:rFonts w:ascii="Tahoma" w:hAnsi="Tahoma"/>
          <w:b/>
          <w:bCs/>
          <w:color w:val="000000" w:themeColor="text1"/>
          <w:sz w:val="16"/>
          <w:lang w:val="en-GB"/>
        </w:rPr>
      </w:pPr>
      <w:r>
        <w:rPr>
          <w:rFonts w:ascii="Tahoma" w:hAnsi="Tahoma"/>
          <w:b/>
          <w:bCs/>
          <w:color w:val="000000" w:themeColor="text1"/>
          <w:sz w:val="16"/>
          <w:lang w:val="en-GB"/>
        </w:rPr>
        <w:br w:type="page"/>
      </w:r>
    </w:p>
    <w:p w14:paraId="174F991F" w14:textId="77777777" w:rsidR="002862F7" w:rsidRPr="00CD6D55" w:rsidRDefault="002862F7" w:rsidP="002862F7">
      <w:pPr>
        <w:spacing w:line="240" w:lineRule="atLeast"/>
        <w:ind w:left="426" w:hanging="426"/>
        <w:rPr>
          <w:rFonts w:ascii="Tahoma" w:hAnsi="Tahoma"/>
          <w:b/>
          <w:bCs/>
          <w:color w:val="000000" w:themeColor="text1"/>
          <w:sz w:val="16"/>
          <w:lang w:val="en-GB"/>
        </w:rPr>
      </w:pPr>
      <w:r w:rsidRPr="00CD6D55">
        <w:rPr>
          <w:rFonts w:ascii="Tahoma" w:hAnsi="Tahoma"/>
          <w:b/>
          <w:bCs/>
          <w:color w:val="000000" w:themeColor="text1"/>
          <w:sz w:val="16"/>
          <w:lang w:val="en-GB"/>
        </w:rPr>
        <w:lastRenderedPageBreak/>
        <w:t>11.</w:t>
      </w:r>
      <w:r>
        <w:rPr>
          <w:rFonts w:ascii="Tahoma" w:hAnsi="Tahoma"/>
          <w:b/>
          <w:bCs/>
          <w:color w:val="000000" w:themeColor="text1"/>
          <w:sz w:val="16"/>
          <w:lang w:val="en-GB"/>
        </w:rPr>
        <w:tab/>
      </w:r>
      <w:r w:rsidRPr="00CD6D55">
        <w:rPr>
          <w:rFonts w:ascii="Tahoma" w:hAnsi="Tahoma"/>
          <w:b/>
          <w:bCs/>
          <w:color w:val="000000" w:themeColor="text1"/>
          <w:sz w:val="16"/>
          <w:lang w:val="en-GB"/>
        </w:rPr>
        <w:t>INVESTMENTS IN ASSOCIATES (continued)</w:t>
      </w:r>
    </w:p>
    <w:p w14:paraId="63B1F860" w14:textId="77777777" w:rsidR="002862F7" w:rsidRPr="002862F7" w:rsidRDefault="002862F7" w:rsidP="002862F7">
      <w:pPr>
        <w:spacing w:line="240" w:lineRule="atLeast"/>
        <w:ind w:left="426"/>
        <w:rPr>
          <w:rFonts w:ascii="Tahoma" w:hAnsi="Tahoma"/>
          <w:b/>
          <w:bCs/>
          <w:color w:val="000000" w:themeColor="text1"/>
          <w:sz w:val="16"/>
          <w:lang w:val="en-GB"/>
        </w:rPr>
      </w:pPr>
      <w:r w:rsidRPr="00CD6D55">
        <w:rPr>
          <w:rFonts w:ascii="Tahoma" w:hAnsi="Tahoma"/>
          <w:b/>
          <w:bCs/>
          <w:color w:val="000000" w:themeColor="text1"/>
          <w:sz w:val="16"/>
          <w:lang w:val="en-GB"/>
        </w:rPr>
        <w:t>Impairment of equity-accounted investments</w:t>
      </w:r>
      <w:r>
        <w:rPr>
          <w:rFonts w:ascii="Tahoma" w:hAnsi="Tahoma"/>
          <w:b/>
          <w:bCs/>
          <w:color w:val="000000" w:themeColor="text1"/>
          <w:sz w:val="16"/>
          <w:lang w:val="en-GB"/>
        </w:rPr>
        <w:t xml:space="preserve"> </w:t>
      </w:r>
      <w:r w:rsidRPr="00CD6D55">
        <w:rPr>
          <w:rFonts w:ascii="Tahoma" w:hAnsi="Tahoma"/>
          <w:b/>
          <w:bCs/>
          <w:color w:val="000000" w:themeColor="text1"/>
          <w:sz w:val="16"/>
          <w:lang w:val="en-GB"/>
        </w:rPr>
        <w:t>(continued)</w:t>
      </w:r>
    </w:p>
    <w:p w14:paraId="3D926AF8" w14:textId="77777777" w:rsidR="002862F7" w:rsidRPr="00CD6D55" w:rsidRDefault="002862F7" w:rsidP="002862F7">
      <w:pPr>
        <w:spacing w:line="240" w:lineRule="atLeast"/>
        <w:ind w:left="426"/>
        <w:rPr>
          <w:rFonts w:ascii="Tahoma" w:hAnsi="Tahoma"/>
          <w:color w:val="000000" w:themeColor="text1"/>
          <w:sz w:val="16"/>
          <w:lang w:val="en-GB"/>
        </w:rPr>
      </w:pPr>
      <w:r w:rsidRPr="00CD6D55">
        <w:rPr>
          <w:rFonts w:ascii="Tahoma" w:hAnsi="Tahoma"/>
          <w:color w:val="000000" w:themeColor="text1"/>
          <w:sz w:val="16"/>
          <w:lang w:val="en-GB"/>
        </w:rPr>
        <w:t>The value-in-use calculations determined the equity values for the investments which took into consideration the following key assumptions:</w:t>
      </w:r>
    </w:p>
    <w:p w14:paraId="351E7BBE" w14:textId="77777777" w:rsidR="002862F7" w:rsidRPr="00CD6D55" w:rsidRDefault="002862F7" w:rsidP="002862F7">
      <w:pPr>
        <w:spacing w:line="240" w:lineRule="atLeast"/>
        <w:ind w:left="426" w:hanging="426"/>
        <w:rPr>
          <w:rFonts w:ascii="Tahoma" w:hAnsi="Tahoma"/>
          <w:color w:val="000000" w:themeColor="text1"/>
          <w:sz w:val="16"/>
          <w:lang w:val="en-GB"/>
        </w:rPr>
      </w:pPr>
    </w:p>
    <w:p w14:paraId="6D7E0515" w14:textId="77777777" w:rsidR="002862F7" w:rsidRPr="002862F7" w:rsidRDefault="002862F7" w:rsidP="002862F7">
      <w:pPr>
        <w:spacing w:line="240" w:lineRule="atLeast"/>
        <w:ind w:left="426"/>
        <w:rPr>
          <w:rFonts w:ascii="Tahoma" w:hAnsi="Tahoma"/>
          <w:b/>
          <w:bCs/>
          <w:color w:val="7F7F7F" w:themeColor="text1" w:themeTint="80"/>
          <w:sz w:val="16"/>
          <w:lang w:val="en-GB"/>
        </w:rPr>
      </w:pPr>
      <w:r w:rsidRPr="00CD6D55">
        <w:rPr>
          <w:rFonts w:ascii="Tahoma" w:hAnsi="Tahoma"/>
          <w:b/>
          <w:bCs/>
          <w:color w:val="7F7F7F" w:themeColor="text1" w:themeTint="80"/>
          <w:sz w:val="16"/>
          <w:lang w:val="en-GB"/>
        </w:rPr>
        <w:t>Revenue and expenses</w:t>
      </w:r>
    </w:p>
    <w:p w14:paraId="1695E766" w14:textId="77777777" w:rsidR="002862F7" w:rsidRPr="00CD6D55" w:rsidRDefault="002862F7" w:rsidP="002862F7">
      <w:pPr>
        <w:spacing w:line="240" w:lineRule="atLeast"/>
        <w:ind w:left="426"/>
        <w:rPr>
          <w:rFonts w:ascii="Tahoma" w:hAnsi="Tahoma"/>
          <w:color w:val="000000" w:themeColor="text1"/>
          <w:sz w:val="16"/>
          <w:lang w:val="en-GB"/>
        </w:rPr>
      </w:pPr>
      <w:r w:rsidRPr="00CD6D55">
        <w:rPr>
          <w:rFonts w:ascii="Tahoma" w:hAnsi="Tahoma"/>
          <w:color w:val="000000" w:themeColor="text1"/>
          <w:sz w:val="16"/>
          <w:lang w:val="en-GB"/>
        </w:rPr>
        <w:t xml:space="preserve">Revenue and expenses in the cash flow models were based on past experience, management’s future expectations of business performance and the latest guidance announced by Delivery Hero and Skillsoft. </w:t>
      </w:r>
    </w:p>
    <w:p w14:paraId="0FDAF5C5" w14:textId="77777777" w:rsidR="002862F7" w:rsidRPr="00CD6D55" w:rsidRDefault="002862F7" w:rsidP="002862F7">
      <w:pPr>
        <w:spacing w:line="240" w:lineRule="atLeast"/>
        <w:ind w:left="426" w:hanging="426"/>
        <w:rPr>
          <w:rFonts w:ascii="Tahoma" w:hAnsi="Tahoma"/>
          <w:color w:val="000000" w:themeColor="text1"/>
          <w:sz w:val="16"/>
          <w:lang w:val="en-GB"/>
        </w:rPr>
      </w:pPr>
    </w:p>
    <w:p w14:paraId="5E134581" w14:textId="77777777" w:rsidR="002862F7" w:rsidRPr="002862F7" w:rsidRDefault="002862F7" w:rsidP="002862F7">
      <w:pPr>
        <w:spacing w:line="240" w:lineRule="atLeast"/>
        <w:ind w:left="426"/>
        <w:rPr>
          <w:rFonts w:ascii="Tahoma" w:hAnsi="Tahoma"/>
          <w:b/>
          <w:bCs/>
          <w:color w:val="7F7F7F" w:themeColor="text1" w:themeTint="80"/>
          <w:sz w:val="16"/>
          <w:lang w:val="en-GB"/>
        </w:rPr>
      </w:pPr>
      <w:r w:rsidRPr="00CD6D55">
        <w:rPr>
          <w:rFonts w:ascii="Tahoma" w:hAnsi="Tahoma"/>
          <w:b/>
          <w:bCs/>
          <w:color w:val="7F7F7F" w:themeColor="text1" w:themeTint="80"/>
          <w:sz w:val="16"/>
          <w:lang w:val="en-GB"/>
        </w:rPr>
        <w:t>Growth rates</w:t>
      </w:r>
    </w:p>
    <w:p w14:paraId="245E55E2" w14:textId="77777777" w:rsidR="002862F7" w:rsidRPr="00CD6D55" w:rsidRDefault="002862F7" w:rsidP="002862F7">
      <w:pPr>
        <w:spacing w:line="240" w:lineRule="atLeast"/>
        <w:ind w:left="426"/>
        <w:rPr>
          <w:rFonts w:ascii="Tahoma" w:hAnsi="Tahoma"/>
          <w:color w:val="000000" w:themeColor="text1"/>
          <w:sz w:val="16"/>
          <w:lang w:val="en-GB"/>
        </w:rPr>
      </w:pPr>
      <w:r w:rsidRPr="00CD6D55">
        <w:rPr>
          <w:rFonts w:ascii="Tahoma" w:hAnsi="Tahoma"/>
          <w:color w:val="000000" w:themeColor="text1"/>
          <w:sz w:val="16"/>
          <w:lang w:val="en-GB"/>
        </w:rPr>
        <w:t>The growth rates were consistent with publicly available information relating to long-term average growth rates for the markets in which the equity-accounted investments operate. The annual growth rate used for revenue and expenses over the 10-year forecast period ranged between 5% to 25% (31 March 2022: 5% to 47%) for Delivery Hero, 5% to 15% (31 March 2022: 2% to 11%) for Skillsoft and 6% to 30% (31 March 2022: nil) for unlisted equity-accounted investments.</w:t>
      </w:r>
    </w:p>
    <w:p w14:paraId="521187C8" w14:textId="77777777" w:rsidR="002862F7" w:rsidRPr="00CD6D55" w:rsidRDefault="002862F7" w:rsidP="002862F7">
      <w:pPr>
        <w:spacing w:line="240" w:lineRule="atLeast"/>
        <w:ind w:left="426" w:hanging="426"/>
        <w:rPr>
          <w:rFonts w:ascii="Tahoma" w:hAnsi="Tahoma"/>
          <w:color w:val="000000" w:themeColor="text1"/>
          <w:sz w:val="16"/>
          <w:lang w:val="en-GB"/>
        </w:rPr>
      </w:pPr>
    </w:p>
    <w:p w14:paraId="0592E4D8" w14:textId="77777777" w:rsidR="002862F7" w:rsidRPr="002862F7" w:rsidRDefault="002862F7" w:rsidP="002862F7">
      <w:pPr>
        <w:spacing w:line="240" w:lineRule="atLeast"/>
        <w:ind w:left="426"/>
        <w:rPr>
          <w:rFonts w:ascii="Tahoma" w:hAnsi="Tahoma"/>
          <w:b/>
          <w:bCs/>
          <w:color w:val="7F7F7F" w:themeColor="text1" w:themeTint="80"/>
          <w:sz w:val="16"/>
          <w:lang w:val="en-GB"/>
        </w:rPr>
      </w:pPr>
      <w:r w:rsidRPr="00CD6D55">
        <w:rPr>
          <w:rFonts w:ascii="Tahoma" w:hAnsi="Tahoma"/>
          <w:b/>
          <w:bCs/>
          <w:color w:val="7F7F7F" w:themeColor="text1" w:themeTint="80"/>
          <w:sz w:val="16"/>
          <w:lang w:val="en-GB"/>
        </w:rPr>
        <w:t>Discount rates</w:t>
      </w:r>
    </w:p>
    <w:p w14:paraId="6F61D622" w14:textId="77777777" w:rsidR="002862F7" w:rsidRPr="00CD6D55" w:rsidRDefault="002862F7" w:rsidP="002862F7">
      <w:pPr>
        <w:spacing w:line="240" w:lineRule="atLeast"/>
        <w:ind w:left="426"/>
        <w:rPr>
          <w:rFonts w:ascii="Tahoma" w:hAnsi="Tahoma"/>
          <w:color w:val="000000" w:themeColor="text1"/>
          <w:sz w:val="16"/>
          <w:lang w:val="en-GB"/>
        </w:rPr>
      </w:pPr>
      <w:r w:rsidRPr="00CD6D55">
        <w:rPr>
          <w:rFonts w:ascii="Tahoma" w:hAnsi="Tahoma"/>
          <w:color w:val="000000" w:themeColor="text1"/>
          <w:sz w:val="16"/>
          <w:lang w:val="en-GB"/>
        </w:rPr>
        <w:t>The discount rates used reflect specific risks relating to the relevant operations and the regions in which they operate, while for certain operations, risk adjustments are made to discount rates used when calculating the value in use. Discount rates take into account country risk premiums and inflation differentials, as appropriate. Post-tax discount rates used ranged between 11.5% to 18.5% (31 March 2022: 10% to 15%) for Delivery Hero, 14% to 22% (31 March 2022: 10% to 20%) for Skillsoft and 13% to 15% (31 March 2022: nil) for unlisted equity-accounted investments. Pre-tax discount rates used ranged between 13% to 21% (31 March 2022: 11.6% to 16.9%) for Delivery Hero, 17% to 25% (31 March 2022: 11% to 25%) for Skillsoft and 14% to 16% (31 March 2022: nil) for unlisted equity-accounted investments.</w:t>
      </w:r>
    </w:p>
    <w:p w14:paraId="1760C1E0" w14:textId="77777777" w:rsidR="002862F7" w:rsidRPr="00CD6D55" w:rsidRDefault="002862F7" w:rsidP="002862F7">
      <w:pPr>
        <w:spacing w:line="240" w:lineRule="atLeast"/>
        <w:ind w:left="426" w:hanging="426"/>
        <w:rPr>
          <w:rFonts w:ascii="Tahoma" w:hAnsi="Tahoma"/>
          <w:color w:val="000000" w:themeColor="text1"/>
          <w:sz w:val="16"/>
          <w:lang w:val="en-GB"/>
        </w:rPr>
      </w:pPr>
    </w:p>
    <w:p w14:paraId="75FA7B06" w14:textId="77777777" w:rsidR="002862F7" w:rsidRPr="00C920A4" w:rsidRDefault="002862F7" w:rsidP="00C920A4">
      <w:pPr>
        <w:spacing w:line="240" w:lineRule="atLeast"/>
        <w:ind w:left="426"/>
        <w:rPr>
          <w:rFonts w:ascii="Tahoma" w:hAnsi="Tahoma"/>
          <w:b/>
          <w:bCs/>
          <w:color w:val="7F7F7F" w:themeColor="text1" w:themeTint="80"/>
          <w:sz w:val="16"/>
          <w:lang w:val="en-GB"/>
        </w:rPr>
      </w:pPr>
      <w:r w:rsidRPr="00CD6D55">
        <w:rPr>
          <w:rFonts w:ascii="Tahoma" w:hAnsi="Tahoma"/>
          <w:b/>
          <w:bCs/>
          <w:color w:val="7F7F7F" w:themeColor="text1" w:themeTint="80"/>
          <w:sz w:val="16"/>
          <w:lang w:val="en-GB"/>
        </w:rPr>
        <w:t>Terminal growth rates</w:t>
      </w:r>
    </w:p>
    <w:p w14:paraId="254E8E6A" w14:textId="62077D27" w:rsidR="002862F7" w:rsidRPr="00CD6D55" w:rsidRDefault="002862F7" w:rsidP="00C920A4">
      <w:pPr>
        <w:spacing w:line="240" w:lineRule="atLeast"/>
        <w:ind w:left="426"/>
        <w:rPr>
          <w:rFonts w:ascii="Tahoma" w:hAnsi="Tahoma"/>
          <w:color w:val="000000" w:themeColor="text1"/>
          <w:sz w:val="16"/>
          <w:lang w:val="en-GB"/>
        </w:rPr>
      </w:pPr>
      <w:r w:rsidRPr="00CD6D55">
        <w:rPr>
          <w:rFonts w:ascii="Tahoma" w:hAnsi="Tahoma"/>
          <w:color w:val="000000" w:themeColor="text1"/>
          <w:sz w:val="16"/>
          <w:lang w:val="en-GB"/>
        </w:rPr>
        <w:t xml:space="preserve">The terminal growth rates considered the steady growth rates that would appropriately extrapolate cash flows beyond the forecast periods once the business segment is assumed to have reached maturity. The terminal growth rates ranged between 2% to 4% </w:t>
      </w:r>
      <w:r w:rsidR="002F078E">
        <w:rPr>
          <w:rFonts w:ascii="Tahoma" w:hAnsi="Tahoma"/>
          <w:color w:val="000000" w:themeColor="text1"/>
          <w:sz w:val="16"/>
          <w:lang w:val="en-GB"/>
        </w:rPr>
        <w:br/>
      </w:r>
      <w:r w:rsidRPr="00CD6D55">
        <w:rPr>
          <w:rFonts w:ascii="Tahoma" w:hAnsi="Tahoma"/>
          <w:color w:val="000000" w:themeColor="text1"/>
          <w:sz w:val="16"/>
          <w:lang w:val="en-GB"/>
        </w:rPr>
        <w:t xml:space="preserve">(31 March 2022: 2% to 5%) for Delivery Hero, 2% to 4% (31 March 2022: 2% to 4%) for Skillsoft and 2% to 6% (31 March 2022: nil) for unlisted equity-accounted investments. The terminal growth rate was based on the expected growth in perpetuity in the markets </w:t>
      </w:r>
      <w:r w:rsidR="00CD7166">
        <w:rPr>
          <w:rFonts w:ascii="Tahoma" w:hAnsi="Tahoma"/>
          <w:color w:val="000000" w:themeColor="text1"/>
          <w:sz w:val="16"/>
          <w:lang w:val="en-GB"/>
        </w:rPr>
        <w:t>where</w:t>
      </w:r>
      <w:r w:rsidRPr="00CD6D55">
        <w:rPr>
          <w:rFonts w:ascii="Tahoma" w:hAnsi="Tahoma"/>
          <w:color w:val="000000" w:themeColor="text1"/>
          <w:sz w:val="16"/>
          <w:lang w:val="en-GB"/>
        </w:rPr>
        <w:t xml:space="preserve"> these businesses operate.</w:t>
      </w:r>
    </w:p>
    <w:p w14:paraId="51BA4E73" w14:textId="77777777" w:rsidR="002862F7" w:rsidRPr="00CD6D55" w:rsidRDefault="002862F7" w:rsidP="002862F7">
      <w:pPr>
        <w:spacing w:line="240" w:lineRule="atLeast"/>
        <w:ind w:left="426" w:hanging="426"/>
        <w:rPr>
          <w:rFonts w:ascii="Tahoma" w:hAnsi="Tahoma"/>
          <w:color w:val="000000" w:themeColor="text1"/>
          <w:sz w:val="16"/>
          <w:lang w:val="en-GB"/>
        </w:rPr>
      </w:pPr>
    </w:p>
    <w:p w14:paraId="736078BA" w14:textId="77777777" w:rsidR="002862F7" w:rsidRPr="00CD6D55" w:rsidRDefault="002862F7" w:rsidP="00C920A4">
      <w:pPr>
        <w:spacing w:line="240" w:lineRule="atLeast"/>
        <w:ind w:left="426"/>
        <w:rPr>
          <w:rFonts w:ascii="Tahoma" w:hAnsi="Tahoma"/>
          <w:color w:val="000000" w:themeColor="text1"/>
          <w:sz w:val="16"/>
          <w:lang w:val="en-GB"/>
        </w:rPr>
      </w:pPr>
      <w:r w:rsidRPr="00CD6D55">
        <w:rPr>
          <w:rFonts w:ascii="Tahoma" w:hAnsi="Tahoma"/>
          <w:color w:val="000000" w:themeColor="text1"/>
          <w:sz w:val="16"/>
          <w:lang w:val="en-GB"/>
        </w:rPr>
        <w:t xml:space="preserve">The recoverable amounts for the above investments were lower than the respective carrying amounts. Accordingly, for the six months ended 30 September 2022, an impairment loss of US$1.46bn (31 March 2022: US$584.1m) was recognised for equity-accounted investments of which US$996.8m related to Delivery Hero (31 March 2022: </w:t>
      </w:r>
      <w:proofErr w:type="spellStart"/>
      <w:r w:rsidRPr="00CD6D55">
        <w:rPr>
          <w:rFonts w:ascii="Tahoma" w:hAnsi="Tahoma"/>
          <w:color w:val="000000" w:themeColor="text1"/>
          <w:sz w:val="16"/>
          <w:lang w:val="en-GB"/>
        </w:rPr>
        <w:t>US$nil</w:t>
      </w:r>
      <w:proofErr w:type="spellEnd"/>
      <w:r w:rsidRPr="00CD6D55">
        <w:rPr>
          <w:rFonts w:ascii="Tahoma" w:hAnsi="Tahoma"/>
          <w:color w:val="000000" w:themeColor="text1"/>
          <w:sz w:val="16"/>
          <w:lang w:val="en-GB"/>
        </w:rPr>
        <w:t xml:space="preserve">), US$204m related to Skillsoft (31 March 2022: US$110.5m) and US$256.9m related primarily to unlisted equity-accounted investments (31 March 2022: </w:t>
      </w:r>
      <w:proofErr w:type="spellStart"/>
      <w:r w:rsidRPr="00CD6D55">
        <w:rPr>
          <w:rFonts w:ascii="Tahoma" w:hAnsi="Tahoma"/>
          <w:color w:val="000000" w:themeColor="text1"/>
          <w:sz w:val="16"/>
          <w:lang w:val="en-GB"/>
        </w:rPr>
        <w:t>US$nil</w:t>
      </w:r>
      <w:proofErr w:type="spellEnd"/>
      <w:r w:rsidRPr="00CD6D55">
        <w:rPr>
          <w:rFonts w:ascii="Tahoma" w:hAnsi="Tahoma"/>
          <w:color w:val="000000" w:themeColor="text1"/>
          <w:sz w:val="16"/>
          <w:lang w:val="en-GB"/>
        </w:rPr>
        <w:t>) in the Classifieds and Food Delivery segments. Classifieds and Food Delivery segments’ impairment losses recognised for unlisted equity-accounted investments amounted to US$190m and US$46.9m respectively.</w:t>
      </w:r>
    </w:p>
    <w:p w14:paraId="57046770" w14:textId="77777777" w:rsidR="002862F7" w:rsidRPr="00CD6D55" w:rsidRDefault="002862F7" w:rsidP="002862F7">
      <w:pPr>
        <w:spacing w:line="240" w:lineRule="atLeast"/>
        <w:ind w:left="426" w:hanging="426"/>
        <w:rPr>
          <w:rFonts w:ascii="Tahoma" w:hAnsi="Tahoma"/>
          <w:color w:val="000000" w:themeColor="text1"/>
          <w:sz w:val="16"/>
          <w:lang w:val="en-GB"/>
        </w:rPr>
      </w:pPr>
    </w:p>
    <w:p w14:paraId="5F0114DE" w14:textId="77777777" w:rsidR="002862F7" w:rsidRPr="00CD6D55" w:rsidRDefault="002862F7" w:rsidP="00C920A4">
      <w:pPr>
        <w:spacing w:line="240" w:lineRule="atLeast"/>
        <w:ind w:left="426"/>
        <w:rPr>
          <w:rFonts w:ascii="Tahoma" w:hAnsi="Tahoma"/>
          <w:color w:val="000000" w:themeColor="text1"/>
          <w:sz w:val="16"/>
          <w:lang w:val="en-GB"/>
        </w:rPr>
      </w:pPr>
      <w:r w:rsidRPr="00CD6D55">
        <w:rPr>
          <w:rFonts w:ascii="Tahoma" w:hAnsi="Tahoma"/>
          <w:color w:val="000000" w:themeColor="text1"/>
          <w:sz w:val="16"/>
          <w:lang w:val="en-GB"/>
        </w:rPr>
        <w:t>At 30 September 2022, the carrying value for Delivery Hero and Skillsoft was US$3.09bn and US$196.2m respectively, while the group share in the market capitalisation of these investments was US$2.56bn and US$112.1m respectively.</w:t>
      </w:r>
    </w:p>
    <w:p w14:paraId="478A790A" w14:textId="77777777" w:rsidR="002862F7" w:rsidRPr="00CD6D55" w:rsidRDefault="002862F7" w:rsidP="002862F7">
      <w:pPr>
        <w:spacing w:line="240" w:lineRule="atLeast"/>
        <w:ind w:left="426" w:hanging="426"/>
        <w:rPr>
          <w:rFonts w:ascii="Tahoma" w:hAnsi="Tahoma"/>
          <w:color w:val="000000" w:themeColor="text1"/>
          <w:sz w:val="16"/>
          <w:lang w:val="en-GB"/>
        </w:rPr>
      </w:pPr>
    </w:p>
    <w:p w14:paraId="26526028" w14:textId="77777777" w:rsidR="002862F7" w:rsidRPr="00CD6D55" w:rsidRDefault="002862F7" w:rsidP="00C920A4">
      <w:pPr>
        <w:spacing w:line="240" w:lineRule="atLeast"/>
        <w:ind w:left="426"/>
        <w:rPr>
          <w:rFonts w:ascii="Tahoma" w:hAnsi="Tahoma"/>
          <w:color w:val="000000" w:themeColor="text1"/>
          <w:sz w:val="16"/>
          <w:lang w:val="en-GB"/>
        </w:rPr>
      </w:pPr>
      <w:r w:rsidRPr="00CD6D55">
        <w:rPr>
          <w:rFonts w:ascii="Tahoma" w:hAnsi="Tahoma"/>
          <w:color w:val="000000" w:themeColor="text1"/>
          <w:sz w:val="16"/>
          <w:lang w:val="en-GB"/>
        </w:rPr>
        <w:t>An adverse adjustment to any of the above key assumptions used in the value-in-use calculations would result in additional impairment losses being recognised.</w:t>
      </w:r>
    </w:p>
    <w:p w14:paraId="413FAB1C" w14:textId="77777777" w:rsidR="00E54456" w:rsidRDefault="00E54456">
      <w:pPr>
        <w:rPr>
          <w:rFonts w:ascii="Tahoma" w:hAnsi="Tahoma"/>
          <w:color w:val="000000" w:themeColor="text1"/>
          <w:sz w:val="16"/>
        </w:rPr>
      </w:pPr>
      <w:r>
        <w:rPr>
          <w:rFonts w:ascii="Tahoma" w:hAnsi="Tahoma"/>
          <w:color w:val="000000" w:themeColor="text1"/>
          <w:sz w:val="16"/>
        </w:rPr>
        <w:br w:type="page"/>
      </w:r>
    </w:p>
    <w:p w14:paraId="42941D13" w14:textId="77777777" w:rsidR="00CD6D55" w:rsidRPr="00615190" w:rsidRDefault="00CD6D55" w:rsidP="00615190">
      <w:pPr>
        <w:spacing w:line="240" w:lineRule="atLeast"/>
        <w:rPr>
          <w:rFonts w:ascii="Tahoma" w:hAnsi="Tahoma"/>
          <w:color w:val="000000" w:themeColor="text1"/>
          <w:sz w:val="16"/>
        </w:rPr>
      </w:pPr>
    </w:p>
    <w:tbl>
      <w:tblPr>
        <w:tblW w:w="10206" w:type="dxa"/>
        <w:tblInd w:w="-8" w:type="dxa"/>
        <w:tblLayout w:type="fixed"/>
        <w:tblCellMar>
          <w:left w:w="0" w:type="dxa"/>
          <w:right w:w="0" w:type="dxa"/>
        </w:tblCellMar>
        <w:tblLook w:val="0000" w:firstRow="0" w:lastRow="0" w:firstColumn="0" w:lastColumn="0" w:noHBand="0" w:noVBand="0"/>
      </w:tblPr>
      <w:tblGrid>
        <w:gridCol w:w="397"/>
        <w:gridCol w:w="6407"/>
        <w:gridCol w:w="1134"/>
        <w:gridCol w:w="1134"/>
        <w:gridCol w:w="1134"/>
      </w:tblGrid>
      <w:tr w:rsidR="00615190" w:rsidRPr="003F6CC4" w14:paraId="16B324F2" w14:textId="77777777" w:rsidTr="00182978">
        <w:trPr>
          <w:trHeight w:val="60"/>
        </w:trPr>
        <w:tc>
          <w:tcPr>
            <w:tcW w:w="397" w:type="dxa"/>
            <w:shd w:val="clear" w:color="auto" w:fill="auto"/>
            <w:tcMar>
              <w:top w:w="0" w:type="dxa"/>
              <w:left w:w="0" w:type="dxa"/>
              <w:bottom w:w="113" w:type="dxa"/>
              <w:right w:w="0" w:type="dxa"/>
            </w:tcMar>
            <w:vAlign w:val="bottom"/>
          </w:tcPr>
          <w:p w14:paraId="472C3BD1" w14:textId="77777777" w:rsidR="003F6CC4" w:rsidRPr="003F6CC4" w:rsidRDefault="00AB56A8" w:rsidP="00615190">
            <w:pPr>
              <w:spacing w:line="240" w:lineRule="atLeast"/>
              <w:rPr>
                <w:rFonts w:ascii="Tahoma" w:hAnsi="Tahoma"/>
                <w:b/>
                <w:bCs/>
                <w:color w:val="000000" w:themeColor="text1"/>
                <w:sz w:val="16"/>
                <w:lang w:val="en-GB"/>
              </w:rPr>
            </w:pPr>
            <w:r w:rsidRPr="003F6CC4">
              <w:rPr>
                <w:rFonts w:ascii="Tahoma" w:hAnsi="Tahoma"/>
                <w:b/>
                <w:bCs/>
                <w:color w:val="000000" w:themeColor="text1"/>
                <w:sz w:val="16"/>
                <w:lang w:val="en-GB"/>
              </w:rPr>
              <w:t>12.</w:t>
            </w:r>
          </w:p>
        </w:tc>
        <w:tc>
          <w:tcPr>
            <w:tcW w:w="9809" w:type="dxa"/>
            <w:gridSpan w:val="4"/>
            <w:shd w:val="clear" w:color="auto" w:fill="auto"/>
            <w:tcMar>
              <w:top w:w="0" w:type="dxa"/>
              <w:left w:w="0" w:type="dxa"/>
              <w:bottom w:w="113" w:type="dxa"/>
              <w:right w:w="0" w:type="dxa"/>
            </w:tcMar>
            <w:vAlign w:val="bottom"/>
          </w:tcPr>
          <w:p w14:paraId="06FF9992" w14:textId="77777777" w:rsidR="003F6CC4" w:rsidRPr="003F6CC4" w:rsidRDefault="00AB56A8" w:rsidP="00615190">
            <w:pPr>
              <w:spacing w:line="240" w:lineRule="atLeast"/>
              <w:rPr>
                <w:rFonts w:ascii="Tahoma" w:hAnsi="Tahoma"/>
                <w:b/>
                <w:bCs/>
                <w:color w:val="000000" w:themeColor="text1"/>
                <w:sz w:val="16"/>
                <w:lang w:val="en-GB"/>
              </w:rPr>
            </w:pPr>
            <w:r w:rsidRPr="003F6CC4">
              <w:rPr>
                <w:rFonts w:ascii="Tahoma" w:hAnsi="Tahoma"/>
                <w:b/>
                <w:bCs/>
                <w:color w:val="000000" w:themeColor="text1"/>
                <w:sz w:val="16"/>
                <w:lang w:val="en-GB"/>
              </w:rPr>
              <w:t>OTHER INVESTMENTS AND LOANS</w:t>
            </w:r>
          </w:p>
        </w:tc>
      </w:tr>
      <w:tr w:rsidR="00615190" w:rsidRPr="003F6CC4" w14:paraId="6AC9C888" w14:textId="77777777" w:rsidTr="00815414">
        <w:trPr>
          <w:trHeight w:val="138"/>
        </w:trPr>
        <w:tc>
          <w:tcPr>
            <w:tcW w:w="397" w:type="dxa"/>
            <w:shd w:val="clear" w:color="auto" w:fill="auto"/>
            <w:tcMar>
              <w:top w:w="85" w:type="dxa"/>
              <w:left w:w="0" w:type="dxa"/>
              <w:bottom w:w="85" w:type="dxa"/>
              <w:right w:w="0" w:type="dxa"/>
            </w:tcMar>
            <w:vAlign w:val="bottom"/>
          </w:tcPr>
          <w:p w14:paraId="719D2683" w14:textId="77777777" w:rsidR="003F6CC4" w:rsidRPr="003F6CC4" w:rsidRDefault="003F6CC4" w:rsidP="00615190">
            <w:pPr>
              <w:spacing w:line="240" w:lineRule="atLeast"/>
              <w:rPr>
                <w:rFonts w:ascii="Tahoma" w:hAnsi="Tahoma"/>
                <w:color w:val="000000" w:themeColor="text1"/>
                <w:sz w:val="16"/>
                <w:lang w:val="en-GB"/>
              </w:rPr>
            </w:pPr>
          </w:p>
        </w:tc>
        <w:tc>
          <w:tcPr>
            <w:tcW w:w="6407" w:type="dxa"/>
            <w:shd w:val="clear" w:color="auto" w:fill="auto"/>
            <w:tcMar>
              <w:top w:w="85" w:type="dxa"/>
              <w:left w:w="0" w:type="dxa"/>
              <w:bottom w:w="85" w:type="dxa"/>
              <w:right w:w="0" w:type="dxa"/>
            </w:tcMar>
            <w:vAlign w:val="bottom"/>
          </w:tcPr>
          <w:p w14:paraId="34DB5E2F" w14:textId="77777777" w:rsidR="003F6CC4" w:rsidRPr="003F6CC4" w:rsidRDefault="003F6CC4" w:rsidP="00615190">
            <w:pPr>
              <w:spacing w:line="240" w:lineRule="atLeast"/>
              <w:rPr>
                <w:rFonts w:ascii="Tahoma" w:hAnsi="Tahoma"/>
                <w:color w:val="000000" w:themeColor="text1"/>
                <w:sz w:val="16"/>
                <w:lang w:val="en-GB"/>
              </w:rPr>
            </w:pPr>
          </w:p>
        </w:tc>
        <w:tc>
          <w:tcPr>
            <w:tcW w:w="2268" w:type="dxa"/>
            <w:gridSpan w:val="2"/>
            <w:shd w:val="clear" w:color="auto" w:fill="auto"/>
            <w:tcMar>
              <w:top w:w="85" w:type="dxa"/>
              <w:left w:w="0" w:type="dxa"/>
              <w:bottom w:w="85" w:type="dxa"/>
              <w:right w:w="0" w:type="dxa"/>
            </w:tcMar>
            <w:vAlign w:val="bottom"/>
          </w:tcPr>
          <w:p w14:paraId="5EB90ECF" w14:textId="77777777" w:rsidR="003F6CC4" w:rsidRPr="003F6CC4" w:rsidRDefault="003F6CC4" w:rsidP="0041420C">
            <w:pPr>
              <w:spacing w:line="240" w:lineRule="atLeast"/>
              <w:ind w:left="571"/>
              <w:jc w:val="center"/>
              <w:rPr>
                <w:rFonts w:ascii="Tahoma" w:hAnsi="Tahoma"/>
                <w:b/>
                <w:bCs/>
                <w:color w:val="000000" w:themeColor="text1"/>
                <w:sz w:val="16"/>
                <w:lang w:val="en-GB"/>
              </w:rPr>
            </w:pPr>
            <w:r w:rsidRPr="003F6CC4">
              <w:rPr>
                <w:rFonts w:ascii="Tahoma" w:hAnsi="Tahoma"/>
                <w:b/>
                <w:bCs/>
                <w:color w:val="000000" w:themeColor="text1"/>
                <w:sz w:val="16"/>
                <w:lang w:val="en-GB"/>
              </w:rPr>
              <w:t>Six months ended</w:t>
            </w:r>
          </w:p>
          <w:p w14:paraId="7C79FDF4" w14:textId="77777777" w:rsidR="003F6CC4" w:rsidRPr="003F6CC4" w:rsidRDefault="003F6CC4" w:rsidP="0041420C">
            <w:pPr>
              <w:spacing w:line="240" w:lineRule="atLeast"/>
              <w:ind w:left="571"/>
              <w:jc w:val="center"/>
              <w:rPr>
                <w:rFonts w:ascii="Tahoma" w:hAnsi="Tahoma"/>
                <w:color w:val="000000" w:themeColor="text1"/>
                <w:sz w:val="16"/>
                <w:lang w:val="en-GB"/>
              </w:rPr>
            </w:pPr>
            <w:r w:rsidRPr="003F6CC4">
              <w:rPr>
                <w:rFonts w:ascii="Tahoma" w:hAnsi="Tahoma"/>
                <w:b/>
                <w:bCs/>
                <w:color w:val="000000" w:themeColor="text1"/>
                <w:sz w:val="16"/>
                <w:lang w:val="en-GB"/>
              </w:rPr>
              <w:t>30 September</w:t>
            </w:r>
          </w:p>
        </w:tc>
        <w:tc>
          <w:tcPr>
            <w:tcW w:w="1134" w:type="dxa"/>
            <w:shd w:val="clear" w:color="auto" w:fill="auto"/>
            <w:tcMar>
              <w:top w:w="85" w:type="dxa"/>
              <w:left w:w="0" w:type="dxa"/>
              <w:bottom w:w="85" w:type="dxa"/>
              <w:right w:w="0" w:type="dxa"/>
            </w:tcMar>
            <w:vAlign w:val="bottom"/>
          </w:tcPr>
          <w:p w14:paraId="6F1062EA" w14:textId="77777777" w:rsidR="003F6CC4" w:rsidRPr="003F6CC4" w:rsidRDefault="003F6CC4" w:rsidP="004B18E8">
            <w:pPr>
              <w:spacing w:line="240" w:lineRule="atLeast"/>
              <w:ind w:right="113"/>
              <w:jc w:val="right"/>
              <w:rPr>
                <w:rFonts w:ascii="Tahoma" w:hAnsi="Tahoma"/>
                <w:color w:val="000000" w:themeColor="text1"/>
                <w:sz w:val="16"/>
                <w:lang w:val="en-GB"/>
              </w:rPr>
            </w:pPr>
            <w:r w:rsidRPr="003F6CC4">
              <w:rPr>
                <w:rFonts w:ascii="Tahoma" w:hAnsi="Tahoma"/>
                <w:color w:val="000000" w:themeColor="text1"/>
                <w:sz w:val="16"/>
                <w:lang w:val="en-GB"/>
              </w:rPr>
              <w:t>Year</w:t>
            </w:r>
          </w:p>
          <w:p w14:paraId="62AF8CCA" w14:textId="77777777" w:rsidR="003F6CC4" w:rsidRPr="003F6CC4" w:rsidRDefault="003F6CC4" w:rsidP="004B18E8">
            <w:pPr>
              <w:spacing w:line="240" w:lineRule="atLeast"/>
              <w:ind w:right="113"/>
              <w:jc w:val="right"/>
              <w:rPr>
                <w:rFonts w:ascii="Tahoma" w:hAnsi="Tahoma"/>
                <w:color w:val="000000" w:themeColor="text1"/>
                <w:sz w:val="16"/>
                <w:lang w:val="en-GB"/>
              </w:rPr>
            </w:pPr>
            <w:r w:rsidRPr="003F6CC4">
              <w:rPr>
                <w:rFonts w:ascii="Tahoma" w:hAnsi="Tahoma"/>
                <w:color w:val="000000" w:themeColor="text1"/>
                <w:sz w:val="16"/>
                <w:lang w:val="en-GB"/>
              </w:rPr>
              <w:t>ended</w:t>
            </w:r>
          </w:p>
          <w:p w14:paraId="03B8FCE0" w14:textId="77777777" w:rsidR="003F6CC4" w:rsidRPr="003F6CC4" w:rsidRDefault="003F6CC4" w:rsidP="004B18E8">
            <w:pPr>
              <w:spacing w:line="240" w:lineRule="atLeast"/>
              <w:ind w:right="113"/>
              <w:jc w:val="right"/>
              <w:rPr>
                <w:rFonts w:ascii="Tahoma" w:hAnsi="Tahoma"/>
                <w:color w:val="000000" w:themeColor="text1"/>
                <w:sz w:val="16"/>
                <w:lang w:val="en-GB"/>
              </w:rPr>
            </w:pPr>
            <w:r w:rsidRPr="003F6CC4">
              <w:rPr>
                <w:rFonts w:ascii="Tahoma" w:hAnsi="Tahoma"/>
                <w:color w:val="000000" w:themeColor="text1"/>
                <w:sz w:val="16"/>
                <w:lang w:val="en-GB"/>
              </w:rPr>
              <w:t>31 March</w:t>
            </w:r>
          </w:p>
        </w:tc>
      </w:tr>
      <w:tr w:rsidR="00615190" w:rsidRPr="003F6CC4" w14:paraId="1D17492A" w14:textId="77777777" w:rsidTr="00815414">
        <w:trPr>
          <w:trHeight w:val="60"/>
        </w:trPr>
        <w:tc>
          <w:tcPr>
            <w:tcW w:w="397" w:type="dxa"/>
            <w:shd w:val="clear" w:color="auto" w:fill="auto"/>
            <w:tcMar>
              <w:top w:w="113" w:type="dxa"/>
              <w:left w:w="0" w:type="dxa"/>
              <w:bottom w:w="113" w:type="dxa"/>
              <w:right w:w="0" w:type="dxa"/>
            </w:tcMar>
            <w:vAlign w:val="bottom"/>
          </w:tcPr>
          <w:p w14:paraId="5A1EFB39" w14:textId="77777777" w:rsidR="003F6CC4" w:rsidRPr="003F6CC4" w:rsidRDefault="003F6CC4" w:rsidP="00615190">
            <w:pPr>
              <w:spacing w:line="240" w:lineRule="atLeast"/>
              <w:rPr>
                <w:rFonts w:ascii="Tahoma" w:hAnsi="Tahoma"/>
                <w:color w:val="000000" w:themeColor="text1"/>
                <w:sz w:val="16"/>
                <w:lang w:val="en-GB"/>
              </w:rPr>
            </w:pPr>
          </w:p>
        </w:tc>
        <w:tc>
          <w:tcPr>
            <w:tcW w:w="6407" w:type="dxa"/>
            <w:tcBorders>
              <w:bottom w:val="single" w:sz="12" w:space="0" w:color="auto"/>
            </w:tcBorders>
            <w:shd w:val="clear" w:color="auto" w:fill="auto"/>
            <w:tcMar>
              <w:top w:w="113" w:type="dxa"/>
              <w:left w:w="0" w:type="dxa"/>
              <w:bottom w:w="113" w:type="dxa"/>
              <w:right w:w="0" w:type="dxa"/>
            </w:tcMar>
            <w:vAlign w:val="bottom"/>
          </w:tcPr>
          <w:p w14:paraId="7198903F" w14:textId="77777777" w:rsidR="003F6CC4" w:rsidRPr="003F6CC4" w:rsidRDefault="003F6CC4" w:rsidP="00615190">
            <w:pPr>
              <w:spacing w:line="240" w:lineRule="atLeast"/>
              <w:rPr>
                <w:rFonts w:ascii="Tahoma" w:hAnsi="Tahoma"/>
                <w:color w:val="000000" w:themeColor="text1"/>
                <w:sz w:val="16"/>
                <w:lang w:val="en-GB"/>
              </w:rPr>
            </w:pPr>
          </w:p>
        </w:tc>
        <w:tc>
          <w:tcPr>
            <w:tcW w:w="1134" w:type="dxa"/>
            <w:tcBorders>
              <w:bottom w:val="single" w:sz="12" w:space="0" w:color="auto"/>
            </w:tcBorders>
            <w:shd w:val="clear" w:color="auto" w:fill="auto"/>
            <w:tcMar>
              <w:top w:w="113" w:type="dxa"/>
              <w:left w:w="0" w:type="dxa"/>
              <w:bottom w:w="113" w:type="dxa"/>
              <w:right w:w="0" w:type="dxa"/>
            </w:tcMar>
            <w:vAlign w:val="bottom"/>
          </w:tcPr>
          <w:p w14:paraId="04E2B93A" w14:textId="77777777" w:rsidR="003F6CC4" w:rsidRPr="003F6CC4" w:rsidRDefault="003F6CC4" w:rsidP="004B18E8">
            <w:pPr>
              <w:spacing w:line="240" w:lineRule="atLeast"/>
              <w:jc w:val="right"/>
              <w:rPr>
                <w:rFonts w:ascii="Tahoma" w:hAnsi="Tahoma"/>
                <w:b/>
                <w:bCs/>
                <w:color w:val="000000" w:themeColor="text1"/>
                <w:sz w:val="16"/>
                <w:lang w:val="en-GB"/>
              </w:rPr>
            </w:pPr>
            <w:r w:rsidRPr="003F6CC4">
              <w:rPr>
                <w:rFonts w:ascii="Tahoma" w:hAnsi="Tahoma"/>
                <w:b/>
                <w:bCs/>
                <w:color w:val="000000" w:themeColor="text1"/>
                <w:sz w:val="16"/>
                <w:lang w:val="en-GB"/>
              </w:rPr>
              <w:t>2022</w:t>
            </w:r>
          </w:p>
          <w:p w14:paraId="08E88EC3" w14:textId="77777777" w:rsidR="003F6CC4" w:rsidRPr="003F6CC4" w:rsidRDefault="003F6CC4" w:rsidP="004B18E8">
            <w:pPr>
              <w:spacing w:line="240" w:lineRule="atLeast"/>
              <w:jc w:val="right"/>
              <w:rPr>
                <w:rFonts w:ascii="Tahoma" w:hAnsi="Tahoma"/>
                <w:b/>
                <w:bCs/>
                <w:color w:val="000000" w:themeColor="text1"/>
                <w:sz w:val="16"/>
                <w:lang w:val="en-GB"/>
              </w:rPr>
            </w:pPr>
            <w:proofErr w:type="spellStart"/>
            <w:r w:rsidRPr="003F6CC4">
              <w:rPr>
                <w:rFonts w:ascii="Tahoma" w:hAnsi="Tahoma"/>
                <w:b/>
                <w:bCs/>
                <w:color w:val="000000" w:themeColor="text1"/>
                <w:sz w:val="16"/>
                <w:lang w:val="en-GB"/>
              </w:rPr>
              <w:t>US$’m</w:t>
            </w:r>
            <w:proofErr w:type="spellEnd"/>
          </w:p>
        </w:tc>
        <w:tc>
          <w:tcPr>
            <w:tcW w:w="1134" w:type="dxa"/>
            <w:tcBorders>
              <w:bottom w:val="single" w:sz="12" w:space="0" w:color="auto"/>
            </w:tcBorders>
            <w:shd w:val="clear" w:color="auto" w:fill="auto"/>
            <w:tcMar>
              <w:top w:w="113" w:type="dxa"/>
              <w:left w:w="0" w:type="dxa"/>
              <w:bottom w:w="113" w:type="dxa"/>
              <w:right w:w="0" w:type="dxa"/>
            </w:tcMar>
            <w:vAlign w:val="bottom"/>
          </w:tcPr>
          <w:p w14:paraId="5CB97427" w14:textId="77777777" w:rsidR="003F6CC4" w:rsidRPr="003F6CC4" w:rsidRDefault="003F6CC4" w:rsidP="004B18E8">
            <w:pPr>
              <w:spacing w:line="240" w:lineRule="atLeast"/>
              <w:jc w:val="right"/>
              <w:rPr>
                <w:rFonts w:ascii="Tahoma" w:hAnsi="Tahoma"/>
                <w:color w:val="000000" w:themeColor="text1"/>
                <w:sz w:val="16"/>
                <w:lang w:val="en-GB"/>
              </w:rPr>
            </w:pPr>
            <w:r w:rsidRPr="003F6CC4">
              <w:rPr>
                <w:rFonts w:ascii="Tahoma" w:hAnsi="Tahoma"/>
                <w:color w:val="000000" w:themeColor="text1"/>
                <w:sz w:val="16"/>
                <w:lang w:val="en-GB"/>
              </w:rPr>
              <w:t>2021</w:t>
            </w:r>
          </w:p>
          <w:p w14:paraId="51A9E78A" w14:textId="77777777" w:rsidR="003F6CC4" w:rsidRPr="003F6CC4" w:rsidRDefault="003F6CC4" w:rsidP="004B18E8">
            <w:pPr>
              <w:spacing w:line="240" w:lineRule="atLeast"/>
              <w:jc w:val="right"/>
              <w:rPr>
                <w:rFonts w:ascii="Tahoma" w:hAnsi="Tahoma"/>
                <w:color w:val="000000" w:themeColor="text1"/>
                <w:sz w:val="16"/>
                <w:lang w:val="en-GB"/>
              </w:rPr>
            </w:pPr>
            <w:proofErr w:type="spellStart"/>
            <w:r w:rsidRPr="003F6CC4">
              <w:rPr>
                <w:rFonts w:ascii="Tahoma" w:hAnsi="Tahoma"/>
                <w:color w:val="000000" w:themeColor="text1"/>
                <w:sz w:val="16"/>
                <w:lang w:val="en-GB"/>
              </w:rPr>
              <w:t>US$’m</w:t>
            </w:r>
            <w:proofErr w:type="spellEnd"/>
          </w:p>
        </w:tc>
        <w:tc>
          <w:tcPr>
            <w:tcW w:w="1134" w:type="dxa"/>
            <w:tcBorders>
              <w:bottom w:val="single" w:sz="12" w:space="0" w:color="auto"/>
            </w:tcBorders>
            <w:shd w:val="clear" w:color="auto" w:fill="auto"/>
            <w:tcMar>
              <w:top w:w="113" w:type="dxa"/>
              <w:left w:w="0" w:type="dxa"/>
              <w:bottom w:w="113" w:type="dxa"/>
              <w:right w:w="0" w:type="dxa"/>
            </w:tcMar>
            <w:vAlign w:val="bottom"/>
          </w:tcPr>
          <w:p w14:paraId="7E247E22" w14:textId="77777777" w:rsidR="003F6CC4" w:rsidRPr="003F6CC4" w:rsidRDefault="003F6CC4" w:rsidP="004B18E8">
            <w:pPr>
              <w:spacing w:line="240" w:lineRule="atLeast"/>
              <w:ind w:right="113"/>
              <w:jc w:val="right"/>
              <w:rPr>
                <w:rFonts w:ascii="Tahoma" w:hAnsi="Tahoma"/>
                <w:color w:val="000000" w:themeColor="text1"/>
                <w:sz w:val="16"/>
                <w:lang w:val="en-GB"/>
              </w:rPr>
            </w:pPr>
            <w:r w:rsidRPr="003F6CC4">
              <w:rPr>
                <w:rFonts w:ascii="Tahoma" w:hAnsi="Tahoma"/>
                <w:color w:val="000000" w:themeColor="text1"/>
                <w:sz w:val="16"/>
                <w:lang w:val="en-GB"/>
              </w:rPr>
              <w:t>2022</w:t>
            </w:r>
          </w:p>
          <w:p w14:paraId="5907D8DC" w14:textId="77777777" w:rsidR="003F6CC4" w:rsidRPr="003F6CC4" w:rsidRDefault="003F6CC4" w:rsidP="004B18E8">
            <w:pPr>
              <w:spacing w:line="240" w:lineRule="atLeast"/>
              <w:ind w:right="113"/>
              <w:jc w:val="right"/>
              <w:rPr>
                <w:rFonts w:ascii="Tahoma" w:hAnsi="Tahoma"/>
                <w:color w:val="000000" w:themeColor="text1"/>
                <w:sz w:val="16"/>
                <w:lang w:val="en-GB"/>
              </w:rPr>
            </w:pPr>
            <w:proofErr w:type="spellStart"/>
            <w:r w:rsidRPr="003F6CC4">
              <w:rPr>
                <w:rFonts w:ascii="Tahoma" w:hAnsi="Tahoma"/>
                <w:color w:val="000000" w:themeColor="text1"/>
                <w:sz w:val="16"/>
                <w:lang w:val="en-GB"/>
              </w:rPr>
              <w:t>US$’m</w:t>
            </w:r>
            <w:proofErr w:type="spellEnd"/>
          </w:p>
        </w:tc>
      </w:tr>
      <w:tr w:rsidR="00615190" w:rsidRPr="003F6CC4" w14:paraId="4CB38AFF" w14:textId="77777777" w:rsidTr="00815414">
        <w:trPr>
          <w:trHeight w:val="60"/>
        </w:trPr>
        <w:tc>
          <w:tcPr>
            <w:tcW w:w="397" w:type="dxa"/>
            <w:shd w:val="clear" w:color="auto" w:fill="auto"/>
            <w:tcMar>
              <w:top w:w="142" w:type="dxa"/>
              <w:left w:w="0" w:type="dxa"/>
              <w:bottom w:w="57" w:type="dxa"/>
              <w:right w:w="0" w:type="dxa"/>
            </w:tcMar>
            <w:vAlign w:val="bottom"/>
          </w:tcPr>
          <w:p w14:paraId="215E908C" w14:textId="77777777" w:rsidR="003F6CC4" w:rsidRPr="003F6CC4" w:rsidRDefault="003F6CC4" w:rsidP="00615190">
            <w:pPr>
              <w:spacing w:line="240" w:lineRule="atLeast"/>
              <w:rPr>
                <w:rFonts w:ascii="Tahoma" w:hAnsi="Tahoma"/>
                <w:color w:val="000000" w:themeColor="text1"/>
                <w:sz w:val="16"/>
                <w:lang w:val="en-GB"/>
              </w:rPr>
            </w:pPr>
          </w:p>
        </w:tc>
        <w:tc>
          <w:tcPr>
            <w:tcW w:w="6407" w:type="dxa"/>
            <w:tcBorders>
              <w:top w:val="single" w:sz="12" w:space="0" w:color="auto"/>
            </w:tcBorders>
            <w:shd w:val="clear" w:color="auto" w:fill="auto"/>
            <w:tcMar>
              <w:top w:w="142" w:type="dxa"/>
              <w:left w:w="0" w:type="dxa"/>
              <w:bottom w:w="57" w:type="dxa"/>
              <w:right w:w="0" w:type="dxa"/>
            </w:tcMar>
            <w:vAlign w:val="bottom"/>
          </w:tcPr>
          <w:p w14:paraId="43DC1EDB" w14:textId="77777777" w:rsidR="003F6CC4" w:rsidRPr="003F6CC4" w:rsidRDefault="003F6CC4" w:rsidP="00615190">
            <w:pPr>
              <w:spacing w:line="240" w:lineRule="atLeast"/>
              <w:rPr>
                <w:rFonts w:ascii="Tahoma" w:hAnsi="Tahoma"/>
                <w:color w:val="000000" w:themeColor="text1"/>
                <w:sz w:val="16"/>
                <w:lang w:val="en-GB"/>
              </w:rPr>
            </w:pPr>
            <w:r w:rsidRPr="003F6CC4">
              <w:rPr>
                <w:rFonts w:ascii="Tahoma" w:hAnsi="Tahoma"/>
                <w:color w:val="000000" w:themeColor="text1"/>
                <w:sz w:val="16"/>
                <w:lang w:val="en-GB"/>
              </w:rPr>
              <w:t>Investments at fair value through other comprehensive income</w:t>
            </w:r>
          </w:p>
        </w:tc>
        <w:tc>
          <w:tcPr>
            <w:tcW w:w="1134" w:type="dxa"/>
            <w:tcBorders>
              <w:top w:val="single" w:sz="12" w:space="0" w:color="auto"/>
            </w:tcBorders>
            <w:shd w:val="clear" w:color="auto" w:fill="auto"/>
            <w:tcMar>
              <w:top w:w="142" w:type="dxa"/>
              <w:left w:w="0" w:type="dxa"/>
              <w:bottom w:w="57" w:type="dxa"/>
              <w:right w:w="0" w:type="dxa"/>
            </w:tcMar>
            <w:vAlign w:val="bottom"/>
          </w:tcPr>
          <w:p w14:paraId="6E9882C9" w14:textId="77777777" w:rsidR="003F6CC4" w:rsidRPr="003F6CC4" w:rsidRDefault="003F6CC4" w:rsidP="004B18E8">
            <w:pPr>
              <w:spacing w:line="240" w:lineRule="atLeast"/>
              <w:jc w:val="right"/>
              <w:rPr>
                <w:rFonts w:ascii="Tahoma" w:hAnsi="Tahoma"/>
                <w:b/>
                <w:bCs/>
                <w:color w:val="000000" w:themeColor="text1"/>
                <w:sz w:val="16"/>
                <w:lang w:val="en-GB"/>
              </w:rPr>
            </w:pPr>
            <w:r w:rsidRPr="003F6CC4">
              <w:rPr>
                <w:rFonts w:ascii="Tahoma" w:hAnsi="Tahoma"/>
                <w:b/>
                <w:bCs/>
                <w:color w:val="000000" w:themeColor="text1"/>
                <w:sz w:val="16"/>
                <w:lang w:val="en-GB"/>
              </w:rPr>
              <w:t>2 771</w:t>
            </w:r>
          </w:p>
        </w:tc>
        <w:tc>
          <w:tcPr>
            <w:tcW w:w="1134" w:type="dxa"/>
            <w:tcBorders>
              <w:top w:val="single" w:sz="12" w:space="0" w:color="auto"/>
            </w:tcBorders>
            <w:shd w:val="clear" w:color="auto" w:fill="auto"/>
            <w:tcMar>
              <w:top w:w="142" w:type="dxa"/>
              <w:left w:w="0" w:type="dxa"/>
              <w:bottom w:w="57" w:type="dxa"/>
              <w:right w:w="0" w:type="dxa"/>
            </w:tcMar>
            <w:vAlign w:val="bottom"/>
          </w:tcPr>
          <w:p w14:paraId="6BDE40F1" w14:textId="77777777" w:rsidR="003F6CC4" w:rsidRPr="003F6CC4" w:rsidRDefault="003F6CC4" w:rsidP="004B18E8">
            <w:pPr>
              <w:spacing w:line="240" w:lineRule="atLeast"/>
              <w:jc w:val="right"/>
              <w:rPr>
                <w:rFonts w:ascii="Tahoma" w:hAnsi="Tahoma"/>
                <w:color w:val="000000" w:themeColor="text1"/>
                <w:sz w:val="16"/>
                <w:lang w:val="en-GB"/>
              </w:rPr>
            </w:pPr>
            <w:r w:rsidRPr="003F6CC4">
              <w:rPr>
                <w:rFonts w:ascii="Tahoma" w:hAnsi="Tahoma"/>
                <w:color w:val="000000" w:themeColor="text1"/>
                <w:sz w:val="16"/>
                <w:lang w:val="en-GB"/>
              </w:rPr>
              <w:t>1 929</w:t>
            </w:r>
          </w:p>
        </w:tc>
        <w:tc>
          <w:tcPr>
            <w:tcW w:w="1134" w:type="dxa"/>
            <w:tcBorders>
              <w:top w:val="single" w:sz="12" w:space="0" w:color="auto"/>
            </w:tcBorders>
            <w:shd w:val="clear" w:color="auto" w:fill="auto"/>
            <w:tcMar>
              <w:top w:w="142" w:type="dxa"/>
              <w:left w:w="0" w:type="dxa"/>
              <w:bottom w:w="57" w:type="dxa"/>
              <w:right w:w="0" w:type="dxa"/>
            </w:tcMar>
            <w:vAlign w:val="bottom"/>
          </w:tcPr>
          <w:p w14:paraId="486E5B5B" w14:textId="77777777" w:rsidR="003F6CC4" w:rsidRPr="003F6CC4" w:rsidRDefault="003F6CC4" w:rsidP="004B18E8">
            <w:pPr>
              <w:spacing w:line="240" w:lineRule="atLeast"/>
              <w:ind w:right="113"/>
              <w:jc w:val="right"/>
              <w:rPr>
                <w:rFonts w:ascii="Tahoma" w:hAnsi="Tahoma"/>
                <w:color w:val="000000" w:themeColor="text1"/>
                <w:sz w:val="16"/>
                <w:lang w:val="en-GB"/>
              </w:rPr>
            </w:pPr>
            <w:r w:rsidRPr="003F6CC4">
              <w:rPr>
                <w:rFonts w:ascii="Tahoma" w:hAnsi="Tahoma"/>
                <w:color w:val="000000" w:themeColor="text1"/>
                <w:sz w:val="16"/>
                <w:lang w:val="en-GB"/>
              </w:rPr>
              <w:t>5 918</w:t>
            </w:r>
          </w:p>
        </w:tc>
      </w:tr>
      <w:tr w:rsidR="00615190" w:rsidRPr="003F6CC4" w14:paraId="3C8B8FDB" w14:textId="77777777" w:rsidTr="00182978">
        <w:trPr>
          <w:trHeight w:val="60"/>
        </w:trPr>
        <w:tc>
          <w:tcPr>
            <w:tcW w:w="397" w:type="dxa"/>
            <w:shd w:val="clear" w:color="auto" w:fill="auto"/>
            <w:tcMar>
              <w:top w:w="57" w:type="dxa"/>
              <w:left w:w="0" w:type="dxa"/>
              <w:bottom w:w="57" w:type="dxa"/>
              <w:right w:w="0" w:type="dxa"/>
            </w:tcMar>
            <w:vAlign w:val="bottom"/>
          </w:tcPr>
          <w:p w14:paraId="1EE849C8" w14:textId="77777777" w:rsidR="003F6CC4" w:rsidRPr="003F6CC4" w:rsidRDefault="003F6CC4" w:rsidP="00615190">
            <w:pPr>
              <w:spacing w:line="240" w:lineRule="atLeast"/>
              <w:rPr>
                <w:rFonts w:ascii="Tahoma" w:hAnsi="Tahoma"/>
                <w:color w:val="000000" w:themeColor="text1"/>
                <w:sz w:val="16"/>
                <w:lang w:val="en-GB"/>
              </w:rPr>
            </w:pPr>
          </w:p>
        </w:tc>
        <w:tc>
          <w:tcPr>
            <w:tcW w:w="6407" w:type="dxa"/>
            <w:shd w:val="clear" w:color="auto" w:fill="auto"/>
            <w:tcMar>
              <w:top w:w="57" w:type="dxa"/>
              <w:left w:w="0" w:type="dxa"/>
              <w:bottom w:w="57" w:type="dxa"/>
              <w:right w:w="0" w:type="dxa"/>
            </w:tcMar>
            <w:vAlign w:val="bottom"/>
          </w:tcPr>
          <w:p w14:paraId="50633BC5" w14:textId="77777777" w:rsidR="003F6CC4" w:rsidRPr="003F6CC4" w:rsidRDefault="003F6CC4" w:rsidP="00615190">
            <w:pPr>
              <w:spacing w:line="240" w:lineRule="atLeast"/>
              <w:rPr>
                <w:rFonts w:ascii="Tahoma" w:hAnsi="Tahoma"/>
                <w:color w:val="000000" w:themeColor="text1"/>
                <w:sz w:val="16"/>
                <w:lang w:val="en-GB"/>
              </w:rPr>
            </w:pPr>
            <w:r w:rsidRPr="003F6CC4">
              <w:rPr>
                <w:rFonts w:ascii="Tahoma" w:hAnsi="Tahoma"/>
                <w:color w:val="000000" w:themeColor="text1"/>
                <w:sz w:val="16"/>
                <w:lang w:val="en-GB"/>
              </w:rPr>
              <w:t>Investments at fair value through profit or loss</w:t>
            </w:r>
          </w:p>
        </w:tc>
        <w:tc>
          <w:tcPr>
            <w:tcW w:w="1134" w:type="dxa"/>
            <w:shd w:val="clear" w:color="auto" w:fill="auto"/>
            <w:tcMar>
              <w:top w:w="57" w:type="dxa"/>
              <w:left w:w="0" w:type="dxa"/>
              <w:bottom w:w="57" w:type="dxa"/>
              <w:right w:w="0" w:type="dxa"/>
            </w:tcMar>
            <w:vAlign w:val="bottom"/>
          </w:tcPr>
          <w:p w14:paraId="09F8E4AA" w14:textId="77777777" w:rsidR="003F6CC4" w:rsidRPr="003F6CC4" w:rsidRDefault="003F6CC4" w:rsidP="004B18E8">
            <w:pPr>
              <w:spacing w:line="240" w:lineRule="atLeast"/>
              <w:jc w:val="right"/>
              <w:rPr>
                <w:rFonts w:ascii="Tahoma" w:hAnsi="Tahoma"/>
                <w:b/>
                <w:bCs/>
                <w:color w:val="000000" w:themeColor="text1"/>
                <w:sz w:val="16"/>
                <w:lang w:val="en-GB"/>
              </w:rPr>
            </w:pPr>
            <w:r w:rsidRPr="003F6CC4">
              <w:rPr>
                <w:rFonts w:ascii="Tahoma" w:hAnsi="Tahoma"/>
                <w:b/>
                <w:bCs/>
                <w:color w:val="000000" w:themeColor="text1"/>
                <w:sz w:val="16"/>
                <w:lang w:val="en-GB"/>
              </w:rPr>
              <w:t>82</w:t>
            </w:r>
          </w:p>
        </w:tc>
        <w:tc>
          <w:tcPr>
            <w:tcW w:w="1134" w:type="dxa"/>
            <w:shd w:val="clear" w:color="auto" w:fill="auto"/>
            <w:tcMar>
              <w:top w:w="57" w:type="dxa"/>
              <w:left w:w="0" w:type="dxa"/>
              <w:bottom w:w="57" w:type="dxa"/>
              <w:right w:w="0" w:type="dxa"/>
            </w:tcMar>
            <w:vAlign w:val="bottom"/>
          </w:tcPr>
          <w:p w14:paraId="2C68F70B" w14:textId="77777777" w:rsidR="003F6CC4" w:rsidRPr="003F6CC4" w:rsidRDefault="003F6CC4" w:rsidP="004B18E8">
            <w:pPr>
              <w:spacing w:line="240" w:lineRule="atLeast"/>
              <w:jc w:val="right"/>
              <w:rPr>
                <w:rFonts w:ascii="Tahoma" w:hAnsi="Tahoma"/>
                <w:color w:val="000000" w:themeColor="text1"/>
                <w:sz w:val="16"/>
                <w:lang w:val="en-GB"/>
              </w:rPr>
            </w:pPr>
            <w:r w:rsidRPr="003F6CC4">
              <w:rPr>
                <w:rFonts w:ascii="Tahoma" w:hAnsi="Tahoma"/>
                <w:color w:val="000000" w:themeColor="text1"/>
                <w:sz w:val="16"/>
                <w:lang w:val="en-GB"/>
              </w:rPr>
              <w:t>77</w:t>
            </w:r>
          </w:p>
        </w:tc>
        <w:tc>
          <w:tcPr>
            <w:tcW w:w="1134" w:type="dxa"/>
            <w:shd w:val="clear" w:color="auto" w:fill="auto"/>
            <w:tcMar>
              <w:top w:w="57" w:type="dxa"/>
              <w:left w:w="0" w:type="dxa"/>
              <w:bottom w:w="57" w:type="dxa"/>
              <w:right w:w="0" w:type="dxa"/>
            </w:tcMar>
            <w:vAlign w:val="bottom"/>
          </w:tcPr>
          <w:p w14:paraId="51DA3E0E" w14:textId="77777777" w:rsidR="003F6CC4" w:rsidRPr="003F6CC4" w:rsidRDefault="003F6CC4" w:rsidP="004B18E8">
            <w:pPr>
              <w:spacing w:line="240" w:lineRule="atLeast"/>
              <w:ind w:right="113"/>
              <w:jc w:val="right"/>
              <w:rPr>
                <w:rFonts w:ascii="Tahoma" w:hAnsi="Tahoma"/>
                <w:color w:val="000000" w:themeColor="text1"/>
                <w:sz w:val="16"/>
                <w:lang w:val="en-GB"/>
              </w:rPr>
            </w:pPr>
            <w:r w:rsidRPr="003F6CC4">
              <w:rPr>
                <w:rFonts w:ascii="Tahoma" w:hAnsi="Tahoma"/>
                <w:color w:val="000000" w:themeColor="text1"/>
                <w:sz w:val="16"/>
                <w:lang w:val="en-GB"/>
              </w:rPr>
              <w:t>63</w:t>
            </w:r>
          </w:p>
        </w:tc>
      </w:tr>
      <w:tr w:rsidR="00615190" w:rsidRPr="003F6CC4" w14:paraId="375A52C4" w14:textId="77777777" w:rsidTr="00CB07E1">
        <w:trPr>
          <w:trHeight w:val="60"/>
        </w:trPr>
        <w:tc>
          <w:tcPr>
            <w:tcW w:w="397" w:type="dxa"/>
            <w:shd w:val="clear" w:color="auto" w:fill="auto"/>
            <w:tcMar>
              <w:top w:w="57" w:type="dxa"/>
              <w:left w:w="0" w:type="dxa"/>
              <w:bottom w:w="57" w:type="dxa"/>
              <w:right w:w="0" w:type="dxa"/>
            </w:tcMar>
            <w:vAlign w:val="bottom"/>
          </w:tcPr>
          <w:p w14:paraId="511A8632" w14:textId="77777777" w:rsidR="003F6CC4" w:rsidRPr="003F6CC4" w:rsidRDefault="003F6CC4" w:rsidP="00615190">
            <w:pPr>
              <w:spacing w:line="240" w:lineRule="atLeast"/>
              <w:rPr>
                <w:rFonts w:ascii="Tahoma" w:hAnsi="Tahoma"/>
                <w:color w:val="000000" w:themeColor="text1"/>
                <w:sz w:val="16"/>
                <w:lang w:val="en-GB"/>
              </w:rPr>
            </w:pPr>
          </w:p>
        </w:tc>
        <w:tc>
          <w:tcPr>
            <w:tcW w:w="6407" w:type="dxa"/>
            <w:shd w:val="clear" w:color="auto" w:fill="auto"/>
            <w:tcMar>
              <w:top w:w="57" w:type="dxa"/>
              <w:left w:w="0" w:type="dxa"/>
              <w:bottom w:w="57" w:type="dxa"/>
              <w:right w:w="0" w:type="dxa"/>
            </w:tcMar>
            <w:vAlign w:val="bottom"/>
          </w:tcPr>
          <w:p w14:paraId="019B0A81" w14:textId="77777777" w:rsidR="003F6CC4" w:rsidRPr="003F6CC4" w:rsidRDefault="003F6CC4" w:rsidP="00615190">
            <w:pPr>
              <w:spacing w:line="240" w:lineRule="atLeast"/>
              <w:rPr>
                <w:rFonts w:ascii="Tahoma" w:hAnsi="Tahoma"/>
                <w:color w:val="000000" w:themeColor="text1"/>
                <w:sz w:val="16"/>
                <w:lang w:val="en-GB"/>
              </w:rPr>
            </w:pPr>
            <w:r w:rsidRPr="003F6CC4">
              <w:rPr>
                <w:rFonts w:ascii="Tahoma" w:hAnsi="Tahoma"/>
                <w:color w:val="000000" w:themeColor="text1"/>
                <w:sz w:val="16"/>
                <w:lang w:val="en-GB"/>
              </w:rPr>
              <w:t>Investments at amortised cost</w:t>
            </w:r>
          </w:p>
        </w:tc>
        <w:tc>
          <w:tcPr>
            <w:tcW w:w="1134" w:type="dxa"/>
            <w:shd w:val="clear" w:color="auto" w:fill="auto"/>
            <w:tcMar>
              <w:top w:w="57" w:type="dxa"/>
              <w:left w:w="0" w:type="dxa"/>
              <w:bottom w:w="57" w:type="dxa"/>
              <w:right w:w="0" w:type="dxa"/>
            </w:tcMar>
            <w:vAlign w:val="bottom"/>
          </w:tcPr>
          <w:p w14:paraId="33EE9E47" w14:textId="77777777" w:rsidR="003F6CC4" w:rsidRPr="003F6CC4" w:rsidRDefault="003F6CC4" w:rsidP="004B18E8">
            <w:pPr>
              <w:spacing w:line="240" w:lineRule="atLeast"/>
              <w:jc w:val="right"/>
              <w:rPr>
                <w:rFonts w:ascii="Tahoma" w:hAnsi="Tahoma"/>
                <w:b/>
                <w:bCs/>
                <w:color w:val="000000" w:themeColor="text1"/>
                <w:sz w:val="16"/>
                <w:lang w:val="en-GB"/>
              </w:rPr>
            </w:pPr>
            <w:r w:rsidRPr="003F6CC4">
              <w:rPr>
                <w:rFonts w:ascii="Tahoma" w:hAnsi="Tahoma"/>
                <w:b/>
                <w:bCs/>
                <w:color w:val="000000" w:themeColor="text1"/>
                <w:sz w:val="16"/>
                <w:lang w:val="en-GB"/>
              </w:rPr>
              <w:t>—</w:t>
            </w:r>
          </w:p>
        </w:tc>
        <w:tc>
          <w:tcPr>
            <w:tcW w:w="1134" w:type="dxa"/>
            <w:shd w:val="clear" w:color="auto" w:fill="auto"/>
            <w:tcMar>
              <w:top w:w="57" w:type="dxa"/>
              <w:left w:w="0" w:type="dxa"/>
              <w:bottom w:w="57" w:type="dxa"/>
              <w:right w:w="0" w:type="dxa"/>
            </w:tcMar>
            <w:vAlign w:val="bottom"/>
          </w:tcPr>
          <w:p w14:paraId="643AD219" w14:textId="77777777" w:rsidR="003F6CC4" w:rsidRPr="003F6CC4" w:rsidRDefault="003F6CC4" w:rsidP="004B18E8">
            <w:pPr>
              <w:spacing w:line="240" w:lineRule="atLeast"/>
              <w:jc w:val="right"/>
              <w:rPr>
                <w:rFonts w:ascii="Tahoma" w:hAnsi="Tahoma"/>
                <w:color w:val="000000" w:themeColor="text1"/>
                <w:sz w:val="16"/>
                <w:lang w:val="en-GB"/>
              </w:rPr>
            </w:pPr>
            <w:r w:rsidRPr="003F6CC4">
              <w:rPr>
                <w:rFonts w:ascii="Tahoma" w:hAnsi="Tahoma"/>
                <w:color w:val="000000" w:themeColor="text1"/>
                <w:sz w:val="16"/>
                <w:lang w:val="en-GB"/>
              </w:rPr>
              <w:t>12</w:t>
            </w:r>
          </w:p>
        </w:tc>
        <w:tc>
          <w:tcPr>
            <w:tcW w:w="1134" w:type="dxa"/>
            <w:shd w:val="clear" w:color="auto" w:fill="auto"/>
            <w:tcMar>
              <w:top w:w="57" w:type="dxa"/>
              <w:left w:w="0" w:type="dxa"/>
              <w:bottom w:w="57" w:type="dxa"/>
              <w:right w:w="0" w:type="dxa"/>
            </w:tcMar>
            <w:vAlign w:val="bottom"/>
          </w:tcPr>
          <w:p w14:paraId="3F9AF94A" w14:textId="77777777" w:rsidR="003F6CC4" w:rsidRPr="003F6CC4" w:rsidRDefault="003F6CC4" w:rsidP="004B18E8">
            <w:pPr>
              <w:spacing w:line="240" w:lineRule="atLeast"/>
              <w:ind w:right="113"/>
              <w:jc w:val="right"/>
              <w:rPr>
                <w:rFonts w:ascii="Tahoma" w:hAnsi="Tahoma"/>
                <w:color w:val="000000" w:themeColor="text1"/>
                <w:sz w:val="16"/>
                <w:lang w:val="en-GB"/>
              </w:rPr>
            </w:pPr>
            <w:r w:rsidRPr="003F6CC4">
              <w:rPr>
                <w:rFonts w:ascii="Tahoma" w:hAnsi="Tahoma"/>
                <w:color w:val="000000" w:themeColor="text1"/>
                <w:sz w:val="16"/>
                <w:lang w:val="en-GB"/>
              </w:rPr>
              <w:t>—</w:t>
            </w:r>
          </w:p>
        </w:tc>
      </w:tr>
      <w:tr w:rsidR="00615190" w:rsidRPr="003F6CC4" w14:paraId="27E8603C" w14:textId="77777777" w:rsidTr="00CB07E1">
        <w:trPr>
          <w:trHeight w:val="60"/>
        </w:trPr>
        <w:tc>
          <w:tcPr>
            <w:tcW w:w="397" w:type="dxa"/>
            <w:shd w:val="clear" w:color="auto" w:fill="auto"/>
            <w:tcMar>
              <w:top w:w="57" w:type="dxa"/>
              <w:left w:w="0" w:type="dxa"/>
              <w:bottom w:w="85" w:type="dxa"/>
              <w:right w:w="0" w:type="dxa"/>
            </w:tcMar>
            <w:vAlign w:val="bottom"/>
          </w:tcPr>
          <w:p w14:paraId="1F25FC9A" w14:textId="77777777" w:rsidR="003F6CC4" w:rsidRPr="003F6CC4" w:rsidRDefault="003F6CC4" w:rsidP="00615190">
            <w:pPr>
              <w:spacing w:line="240" w:lineRule="atLeast"/>
              <w:rPr>
                <w:rFonts w:ascii="Tahoma" w:hAnsi="Tahoma"/>
                <w:color w:val="000000" w:themeColor="text1"/>
                <w:sz w:val="16"/>
                <w:lang w:val="en-GB"/>
              </w:rPr>
            </w:pPr>
          </w:p>
        </w:tc>
        <w:tc>
          <w:tcPr>
            <w:tcW w:w="6407" w:type="dxa"/>
            <w:tcBorders>
              <w:bottom w:val="single" w:sz="4" w:space="0" w:color="auto"/>
            </w:tcBorders>
            <w:shd w:val="clear" w:color="auto" w:fill="auto"/>
            <w:tcMar>
              <w:top w:w="57" w:type="dxa"/>
              <w:left w:w="0" w:type="dxa"/>
              <w:bottom w:w="85" w:type="dxa"/>
              <w:right w:w="0" w:type="dxa"/>
            </w:tcMar>
            <w:vAlign w:val="bottom"/>
          </w:tcPr>
          <w:p w14:paraId="0F5859CB" w14:textId="77777777" w:rsidR="003F6CC4" w:rsidRPr="003F6CC4" w:rsidRDefault="003F6CC4" w:rsidP="00615190">
            <w:pPr>
              <w:spacing w:line="240" w:lineRule="atLeast"/>
              <w:rPr>
                <w:rFonts w:ascii="Tahoma" w:hAnsi="Tahoma"/>
                <w:color w:val="000000" w:themeColor="text1"/>
                <w:sz w:val="16"/>
                <w:lang w:val="en-GB"/>
              </w:rPr>
            </w:pPr>
            <w:r w:rsidRPr="003F6CC4">
              <w:rPr>
                <w:rFonts w:ascii="Tahoma" w:hAnsi="Tahoma"/>
                <w:color w:val="000000" w:themeColor="text1"/>
                <w:sz w:val="16"/>
                <w:lang w:val="en-GB"/>
              </w:rPr>
              <w:t>Other investments and loans</w:t>
            </w:r>
          </w:p>
        </w:tc>
        <w:tc>
          <w:tcPr>
            <w:tcW w:w="1134" w:type="dxa"/>
            <w:tcBorders>
              <w:bottom w:val="single" w:sz="4" w:space="0" w:color="auto"/>
            </w:tcBorders>
            <w:shd w:val="clear" w:color="auto" w:fill="auto"/>
            <w:tcMar>
              <w:top w:w="57" w:type="dxa"/>
              <w:left w:w="0" w:type="dxa"/>
              <w:bottom w:w="85" w:type="dxa"/>
              <w:right w:w="0" w:type="dxa"/>
            </w:tcMar>
            <w:vAlign w:val="bottom"/>
          </w:tcPr>
          <w:p w14:paraId="4B797CEA" w14:textId="77777777" w:rsidR="003F6CC4" w:rsidRPr="003F6CC4" w:rsidRDefault="003F6CC4" w:rsidP="004B18E8">
            <w:pPr>
              <w:spacing w:line="240" w:lineRule="atLeast"/>
              <w:jc w:val="right"/>
              <w:rPr>
                <w:rFonts w:ascii="Tahoma" w:hAnsi="Tahoma"/>
                <w:b/>
                <w:bCs/>
                <w:color w:val="000000" w:themeColor="text1"/>
                <w:sz w:val="16"/>
                <w:lang w:val="en-GB"/>
              </w:rPr>
            </w:pPr>
            <w:r w:rsidRPr="003F6CC4">
              <w:rPr>
                <w:rFonts w:ascii="Tahoma" w:hAnsi="Tahoma"/>
                <w:b/>
                <w:bCs/>
                <w:color w:val="000000" w:themeColor="text1"/>
                <w:sz w:val="16"/>
                <w:lang w:val="en-GB"/>
              </w:rPr>
              <w:t>433</w:t>
            </w:r>
          </w:p>
        </w:tc>
        <w:tc>
          <w:tcPr>
            <w:tcW w:w="1134" w:type="dxa"/>
            <w:tcBorders>
              <w:bottom w:val="single" w:sz="4" w:space="0" w:color="auto"/>
            </w:tcBorders>
            <w:shd w:val="clear" w:color="auto" w:fill="auto"/>
            <w:tcMar>
              <w:top w:w="57" w:type="dxa"/>
              <w:left w:w="0" w:type="dxa"/>
              <w:bottom w:w="85" w:type="dxa"/>
              <w:right w:w="0" w:type="dxa"/>
            </w:tcMar>
            <w:vAlign w:val="bottom"/>
          </w:tcPr>
          <w:p w14:paraId="0EB9F161" w14:textId="77777777" w:rsidR="003F6CC4" w:rsidRPr="003F6CC4" w:rsidRDefault="003F6CC4" w:rsidP="004B18E8">
            <w:pPr>
              <w:spacing w:line="240" w:lineRule="atLeast"/>
              <w:jc w:val="right"/>
              <w:rPr>
                <w:rFonts w:ascii="Tahoma" w:hAnsi="Tahoma"/>
                <w:color w:val="000000" w:themeColor="text1"/>
                <w:sz w:val="16"/>
                <w:lang w:val="en-GB"/>
              </w:rPr>
            </w:pPr>
            <w:r w:rsidRPr="003F6CC4">
              <w:rPr>
                <w:rFonts w:ascii="Tahoma" w:hAnsi="Tahoma"/>
                <w:color w:val="000000" w:themeColor="text1"/>
                <w:sz w:val="16"/>
                <w:lang w:val="en-GB"/>
              </w:rPr>
              <w:t>376</w:t>
            </w:r>
          </w:p>
        </w:tc>
        <w:tc>
          <w:tcPr>
            <w:tcW w:w="1134" w:type="dxa"/>
            <w:tcBorders>
              <w:bottom w:val="single" w:sz="4" w:space="0" w:color="auto"/>
            </w:tcBorders>
            <w:shd w:val="clear" w:color="auto" w:fill="auto"/>
            <w:tcMar>
              <w:top w:w="57" w:type="dxa"/>
              <w:left w:w="0" w:type="dxa"/>
              <w:bottom w:w="85" w:type="dxa"/>
              <w:right w:w="0" w:type="dxa"/>
            </w:tcMar>
            <w:vAlign w:val="bottom"/>
          </w:tcPr>
          <w:p w14:paraId="0E6DDDF3" w14:textId="77777777" w:rsidR="003F6CC4" w:rsidRPr="003F6CC4" w:rsidRDefault="003F6CC4" w:rsidP="004B18E8">
            <w:pPr>
              <w:spacing w:line="240" w:lineRule="atLeast"/>
              <w:ind w:right="113"/>
              <w:jc w:val="right"/>
              <w:rPr>
                <w:rFonts w:ascii="Tahoma" w:hAnsi="Tahoma"/>
                <w:color w:val="000000" w:themeColor="text1"/>
                <w:sz w:val="16"/>
                <w:lang w:val="en-GB"/>
              </w:rPr>
            </w:pPr>
            <w:r w:rsidRPr="003F6CC4">
              <w:rPr>
                <w:rFonts w:ascii="Tahoma" w:hAnsi="Tahoma"/>
                <w:color w:val="000000" w:themeColor="text1"/>
                <w:sz w:val="16"/>
                <w:lang w:val="en-GB"/>
              </w:rPr>
              <w:t>429</w:t>
            </w:r>
          </w:p>
        </w:tc>
      </w:tr>
      <w:tr w:rsidR="00615190" w:rsidRPr="003F6CC4" w14:paraId="3F3993A8" w14:textId="77777777" w:rsidTr="00CB07E1">
        <w:trPr>
          <w:trHeight w:val="60"/>
        </w:trPr>
        <w:tc>
          <w:tcPr>
            <w:tcW w:w="397" w:type="dxa"/>
            <w:shd w:val="clear" w:color="auto" w:fill="auto"/>
            <w:tcMar>
              <w:top w:w="85" w:type="dxa"/>
              <w:left w:w="0" w:type="dxa"/>
              <w:bottom w:w="57" w:type="dxa"/>
              <w:right w:w="0" w:type="dxa"/>
            </w:tcMar>
            <w:vAlign w:val="bottom"/>
          </w:tcPr>
          <w:p w14:paraId="18C0B70A" w14:textId="77777777" w:rsidR="003F6CC4" w:rsidRPr="003F6CC4" w:rsidRDefault="003F6CC4" w:rsidP="00615190">
            <w:pPr>
              <w:spacing w:line="240" w:lineRule="atLeast"/>
              <w:rPr>
                <w:rFonts w:ascii="Tahoma" w:hAnsi="Tahoma"/>
                <w:color w:val="000000" w:themeColor="text1"/>
                <w:sz w:val="16"/>
                <w:lang w:val="en-GB"/>
              </w:rPr>
            </w:pPr>
          </w:p>
        </w:tc>
        <w:tc>
          <w:tcPr>
            <w:tcW w:w="6407" w:type="dxa"/>
            <w:tcBorders>
              <w:top w:val="single" w:sz="4" w:space="0" w:color="auto"/>
            </w:tcBorders>
            <w:shd w:val="clear" w:color="auto" w:fill="auto"/>
            <w:tcMar>
              <w:top w:w="85" w:type="dxa"/>
              <w:left w:w="0" w:type="dxa"/>
              <w:bottom w:w="57" w:type="dxa"/>
              <w:right w:w="0" w:type="dxa"/>
            </w:tcMar>
            <w:vAlign w:val="bottom"/>
          </w:tcPr>
          <w:p w14:paraId="343ABAEC" w14:textId="77777777" w:rsidR="003F6CC4" w:rsidRPr="003F6CC4" w:rsidRDefault="003F6CC4" w:rsidP="00615190">
            <w:pPr>
              <w:spacing w:line="240" w:lineRule="atLeast"/>
              <w:rPr>
                <w:rFonts w:ascii="Tahoma" w:hAnsi="Tahoma"/>
                <w:b/>
                <w:bCs/>
                <w:color w:val="000000" w:themeColor="text1"/>
                <w:sz w:val="16"/>
                <w:lang w:val="en-GB"/>
              </w:rPr>
            </w:pPr>
            <w:r w:rsidRPr="003F6CC4">
              <w:rPr>
                <w:rFonts w:ascii="Tahoma" w:hAnsi="Tahoma"/>
                <w:b/>
                <w:bCs/>
                <w:color w:val="000000" w:themeColor="text1"/>
                <w:sz w:val="16"/>
                <w:lang w:val="en-GB"/>
              </w:rPr>
              <w:t>Total investments and loans</w:t>
            </w:r>
          </w:p>
        </w:tc>
        <w:tc>
          <w:tcPr>
            <w:tcW w:w="1134" w:type="dxa"/>
            <w:tcBorders>
              <w:top w:val="single" w:sz="4" w:space="0" w:color="auto"/>
            </w:tcBorders>
            <w:shd w:val="clear" w:color="auto" w:fill="auto"/>
            <w:tcMar>
              <w:top w:w="85" w:type="dxa"/>
              <w:left w:w="0" w:type="dxa"/>
              <w:bottom w:w="57" w:type="dxa"/>
              <w:right w:w="0" w:type="dxa"/>
            </w:tcMar>
            <w:vAlign w:val="bottom"/>
          </w:tcPr>
          <w:p w14:paraId="4C21C3BB" w14:textId="77777777" w:rsidR="003F6CC4" w:rsidRPr="003F6CC4" w:rsidRDefault="003F6CC4" w:rsidP="004B18E8">
            <w:pPr>
              <w:spacing w:line="240" w:lineRule="atLeast"/>
              <w:jc w:val="right"/>
              <w:rPr>
                <w:rFonts w:ascii="Tahoma" w:hAnsi="Tahoma"/>
                <w:b/>
                <w:bCs/>
                <w:color w:val="000000" w:themeColor="text1"/>
                <w:sz w:val="16"/>
                <w:lang w:val="en-GB"/>
              </w:rPr>
            </w:pPr>
            <w:r w:rsidRPr="003F6CC4">
              <w:rPr>
                <w:rFonts w:ascii="Tahoma" w:hAnsi="Tahoma"/>
                <w:b/>
                <w:bCs/>
                <w:color w:val="000000" w:themeColor="text1"/>
                <w:sz w:val="16"/>
                <w:lang w:val="en-GB"/>
              </w:rPr>
              <w:t>3 286</w:t>
            </w:r>
          </w:p>
        </w:tc>
        <w:tc>
          <w:tcPr>
            <w:tcW w:w="1134" w:type="dxa"/>
            <w:tcBorders>
              <w:top w:val="single" w:sz="4" w:space="0" w:color="auto"/>
            </w:tcBorders>
            <w:shd w:val="clear" w:color="auto" w:fill="auto"/>
            <w:tcMar>
              <w:top w:w="85" w:type="dxa"/>
              <w:left w:w="0" w:type="dxa"/>
              <w:bottom w:w="57" w:type="dxa"/>
              <w:right w:w="0" w:type="dxa"/>
            </w:tcMar>
            <w:vAlign w:val="bottom"/>
          </w:tcPr>
          <w:p w14:paraId="465EA829" w14:textId="77777777" w:rsidR="003F6CC4" w:rsidRPr="003F6CC4" w:rsidRDefault="003F6CC4" w:rsidP="004B18E8">
            <w:pPr>
              <w:spacing w:line="240" w:lineRule="atLeast"/>
              <w:jc w:val="right"/>
              <w:rPr>
                <w:rFonts w:ascii="Tahoma" w:hAnsi="Tahoma"/>
                <w:color w:val="000000" w:themeColor="text1"/>
                <w:sz w:val="16"/>
                <w:lang w:val="en-GB"/>
              </w:rPr>
            </w:pPr>
            <w:r w:rsidRPr="003F6CC4">
              <w:rPr>
                <w:rFonts w:ascii="Tahoma" w:hAnsi="Tahoma"/>
                <w:color w:val="000000" w:themeColor="text1"/>
                <w:sz w:val="16"/>
                <w:lang w:val="en-GB"/>
              </w:rPr>
              <w:t>2 394</w:t>
            </w:r>
          </w:p>
        </w:tc>
        <w:tc>
          <w:tcPr>
            <w:tcW w:w="1134" w:type="dxa"/>
            <w:tcBorders>
              <w:top w:val="single" w:sz="4" w:space="0" w:color="auto"/>
            </w:tcBorders>
            <w:shd w:val="clear" w:color="auto" w:fill="auto"/>
            <w:tcMar>
              <w:top w:w="85" w:type="dxa"/>
              <w:left w:w="0" w:type="dxa"/>
              <w:bottom w:w="57" w:type="dxa"/>
              <w:right w:w="0" w:type="dxa"/>
            </w:tcMar>
            <w:vAlign w:val="bottom"/>
          </w:tcPr>
          <w:p w14:paraId="386614D2" w14:textId="77777777" w:rsidR="003F6CC4" w:rsidRPr="003F6CC4" w:rsidRDefault="003F6CC4" w:rsidP="004B18E8">
            <w:pPr>
              <w:spacing w:line="240" w:lineRule="atLeast"/>
              <w:ind w:right="113"/>
              <w:jc w:val="right"/>
              <w:rPr>
                <w:rFonts w:ascii="Tahoma" w:hAnsi="Tahoma"/>
                <w:color w:val="000000" w:themeColor="text1"/>
                <w:sz w:val="16"/>
                <w:lang w:val="en-GB"/>
              </w:rPr>
            </w:pPr>
            <w:r w:rsidRPr="003F6CC4">
              <w:rPr>
                <w:rFonts w:ascii="Tahoma" w:hAnsi="Tahoma"/>
                <w:color w:val="000000" w:themeColor="text1"/>
                <w:sz w:val="16"/>
                <w:lang w:val="en-GB"/>
              </w:rPr>
              <w:t>6 410</w:t>
            </w:r>
          </w:p>
        </w:tc>
      </w:tr>
      <w:tr w:rsidR="00615190" w:rsidRPr="003F6CC4" w14:paraId="7E2F0634" w14:textId="77777777" w:rsidTr="0094625A">
        <w:trPr>
          <w:trHeight w:val="60"/>
        </w:trPr>
        <w:tc>
          <w:tcPr>
            <w:tcW w:w="397" w:type="dxa"/>
            <w:shd w:val="clear" w:color="auto" w:fill="auto"/>
            <w:tcMar>
              <w:top w:w="57" w:type="dxa"/>
              <w:left w:w="0" w:type="dxa"/>
              <w:bottom w:w="57" w:type="dxa"/>
              <w:right w:w="0" w:type="dxa"/>
            </w:tcMar>
            <w:vAlign w:val="bottom"/>
          </w:tcPr>
          <w:p w14:paraId="1EE265EE" w14:textId="77777777" w:rsidR="003F6CC4" w:rsidRPr="003F6CC4" w:rsidRDefault="003F6CC4" w:rsidP="00615190">
            <w:pPr>
              <w:spacing w:line="240" w:lineRule="atLeast"/>
              <w:rPr>
                <w:rFonts w:ascii="Tahoma" w:hAnsi="Tahoma"/>
                <w:color w:val="000000" w:themeColor="text1"/>
                <w:sz w:val="16"/>
                <w:lang w:val="en-GB"/>
              </w:rPr>
            </w:pPr>
          </w:p>
        </w:tc>
        <w:tc>
          <w:tcPr>
            <w:tcW w:w="6407" w:type="dxa"/>
            <w:shd w:val="clear" w:color="auto" w:fill="auto"/>
            <w:tcMar>
              <w:top w:w="57" w:type="dxa"/>
              <w:left w:w="0" w:type="dxa"/>
              <w:bottom w:w="57" w:type="dxa"/>
              <w:right w:w="0" w:type="dxa"/>
            </w:tcMar>
            <w:vAlign w:val="bottom"/>
          </w:tcPr>
          <w:p w14:paraId="6E6D2364" w14:textId="77777777" w:rsidR="003F6CC4" w:rsidRPr="003F6CC4" w:rsidRDefault="003F6CC4" w:rsidP="00615190">
            <w:pPr>
              <w:spacing w:line="240" w:lineRule="atLeast"/>
              <w:rPr>
                <w:rFonts w:ascii="Tahoma" w:hAnsi="Tahoma"/>
                <w:b/>
                <w:bCs/>
                <w:color w:val="000000" w:themeColor="text1"/>
                <w:sz w:val="16"/>
                <w:lang w:val="en-GB"/>
              </w:rPr>
            </w:pPr>
            <w:r w:rsidRPr="003F6CC4">
              <w:rPr>
                <w:rFonts w:ascii="Tahoma" w:hAnsi="Tahoma"/>
                <w:b/>
                <w:bCs/>
                <w:color w:val="000000" w:themeColor="text1"/>
                <w:sz w:val="16"/>
                <w:lang w:val="en-GB"/>
              </w:rPr>
              <w:t>Current portion of other investments</w:t>
            </w:r>
          </w:p>
        </w:tc>
        <w:tc>
          <w:tcPr>
            <w:tcW w:w="1134" w:type="dxa"/>
            <w:tcBorders>
              <w:bottom w:val="single" w:sz="4" w:space="0" w:color="auto"/>
            </w:tcBorders>
            <w:shd w:val="clear" w:color="auto" w:fill="auto"/>
            <w:tcMar>
              <w:top w:w="57" w:type="dxa"/>
              <w:left w:w="0" w:type="dxa"/>
              <w:bottom w:w="57" w:type="dxa"/>
              <w:right w:w="0" w:type="dxa"/>
            </w:tcMar>
            <w:vAlign w:val="bottom"/>
          </w:tcPr>
          <w:p w14:paraId="6BF39B8D" w14:textId="77777777" w:rsidR="003F6CC4" w:rsidRPr="003F6CC4" w:rsidRDefault="003F6CC4" w:rsidP="004B18E8">
            <w:pPr>
              <w:spacing w:line="240" w:lineRule="atLeast"/>
              <w:jc w:val="right"/>
              <w:rPr>
                <w:rFonts w:ascii="Tahoma" w:hAnsi="Tahoma"/>
                <w:b/>
                <w:bCs/>
                <w:color w:val="000000" w:themeColor="text1"/>
                <w:sz w:val="16"/>
                <w:lang w:val="en-GB"/>
              </w:rPr>
            </w:pPr>
            <w:r w:rsidRPr="003F6CC4">
              <w:rPr>
                <w:rFonts w:ascii="Tahoma" w:hAnsi="Tahoma"/>
                <w:b/>
                <w:bCs/>
                <w:color w:val="000000" w:themeColor="text1"/>
                <w:sz w:val="16"/>
                <w:lang w:val="en-GB"/>
              </w:rPr>
              <w:t>—</w:t>
            </w:r>
          </w:p>
        </w:tc>
        <w:tc>
          <w:tcPr>
            <w:tcW w:w="1134" w:type="dxa"/>
            <w:tcBorders>
              <w:bottom w:val="single" w:sz="4" w:space="0" w:color="auto"/>
            </w:tcBorders>
            <w:shd w:val="clear" w:color="auto" w:fill="auto"/>
            <w:tcMar>
              <w:top w:w="57" w:type="dxa"/>
              <w:left w:w="0" w:type="dxa"/>
              <w:bottom w:w="57" w:type="dxa"/>
              <w:right w:w="0" w:type="dxa"/>
            </w:tcMar>
            <w:vAlign w:val="bottom"/>
          </w:tcPr>
          <w:p w14:paraId="7BA36389" w14:textId="77777777" w:rsidR="003F6CC4" w:rsidRPr="003F6CC4" w:rsidRDefault="003F6CC4" w:rsidP="004B18E8">
            <w:pPr>
              <w:spacing w:line="240" w:lineRule="atLeast"/>
              <w:jc w:val="right"/>
              <w:rPr>
                <w:rFonts w:ascii="Tahoma" w:hAnsi="Tahoma"/>
                <w:color w:val="000000" w:themeColor="text1"/>
                <w:sz w:val="16"/>
                <w:lang w:val="en-GB"/>
              </w:rPr>
            </w:pPr>
            <w:r w:rsidRPr="003F6CC4">
              <w:rPr>
                <w:rFonts w:ascii="Tahoma" w:hAnsi="Tahoma"/>
                <w:color w:val="000000" w:themeColor="text1"/>
                <w:sz w:val="16"/>
                <w:lang w:val="en-GB"/>
              </w:rPr>
              <w:t>27</w:t>
            </w:r>
          </w:p>
        </w:tc>
        <w:tc>
          <w:tcPr>
            <w:tcW w:w="1134" w:type="dxa"/>
            <w:tcBorders>
              <w:bottom w:val="single" w:sz="4" w:space="0" w:color="auto"/>
            </w:tcBorders>
            <w:shd w:val="clear" w:color="auto" w:fill="auto"/>
            <w:tcMar>
              <w:top w:w="57" w:type="dxa"/>
              <w:left w:w="0" w:type="dxa"/>
              <w:bottom w:w="57" w:type="dxa"/>
              <w:right w:w="0" w:type="dxa"/>
            </w:tcMar>
            <w:vAlign w:val="bottom"/>
          </w:tcPr>
          <w:p w14:paraId="462E6D97" w14:textId="77777777" w:rsidR="003F6CC4" w:rsidRPr="003F6CC4" w:rsidRDefault="003F6CC4" w:rsidP="004B18E8">
            <w:pPr>
              <w:spacing w:line="240" w:lineRule="atLeast"/>
              <w:ind w:right="113"/>
              <w:jc w:val="right"/>
              <w:rPr>
                <w:rFonts w:ascii="Tahoma" w:hAnsi="Tahoma"/>
                <w:color w:val="000000" w:themeColor="text1"/>
                <w:sz w:val="16"/>
                <w:lang w:val="en-GB"/>
              </w:rPr>
            </w:pPr>
            <w:r w:rsidRPr="003F6CC4">
              <w:rPr>
                <w:rFonts w:ascii="Tahoma" w:hAnsi="Tahoma"/>
                <w:color w:val="000000" w:themeColor="text1"/>
                <w:sz w:val="16"/>
                <w:lang w:val="en-GB"/>
              </w:rPr>
              <w:t>—</w:t>
            </w:r>
          </w:p>
        </w:tc>
      </w:tr>
      <w:tr w:rsidR="00615190" w:rsidRPr="003F6CC4" w14:paraId="57DD77C4" w14:textId="77777777" w:rsidTr="0094625A">
        <w:trPr>
          <w:trHeight w:val="60"/>
        </w:trPr>
        <w:tc>
          <w:tcPr>
            <w:tcW w:w="397" w:type="dxa"/>
            <w:shd w:val="clear" w:color="auto" w:fill="auto"/>
            <w:tcMar>
              <w:top w:w="57" w:type="dxa"/>
              <w:left w:w="0" w:type="dxa"/>
              <w:bottom w:w="57" w:type="dxa"/>
              <w:right w:w="0" w:type="dxa"/>
            </w:tcMar>
            <w:vAlign w:val="bottom"/>
          </w:tcPr>
          <w:p w14:paraId="6D0DFC9D" w14:textId="77777777" w:rsidR="003F6CC4" w:rsidRPr="003F6CC4" w:rsidRDefault="003F6CC4" w:rsidP="00615190">
            <w:pPr>
              <w:spacing w:line="240" w:lineRule="atLeast"/>
              <w:rPr>
                <w:rFonts w:ascii="Tahoma" w:hAnsi="Tahoma"/>
                <w:color w:val="000000" w:themeColor="text1"/>
                <w:sz w:val="16"/>
                <w:lang w:val="en-GB"/>
              </w:rPr>
            </w:pPr>
          </w:p>
        </w:tc>
        <w:tc>
          <w:tcPr>
            <w:tcW w:w="6407" w:type="dxa"/>
            <w:tcBorders>
              <w:right w:val="single" w:sz="4" w:space="0" w:color="auto"/>
            </w:tcBorders>
            <w:shd w:val="clear" w:color="auto" w:fill="auto"/>
            <w:tcMar>
              <w:top w:w="57" w:type="dxa"/>
              <w:left w:w="113" w:type="dxa"/>
              <w:bottom w:w="57" w:type="dxa"/>
              <w:right w:w="0" w:type="dxa"/>
            </w:tcMar>
            <w:vAlign w:val="bottom"/>
          </w:tcPr>
          <w:p w14:paraId="4CA0F976" w14:textId="77777777" w:rsidR="003F6CC4" w:rsidRPr="003F6CC4" w:rsidRDefault="003F6CC4" w:rsidP="00615190">
            <w:pPr>
              <w:spacing w:line="240" w:lineRule="atLeast"/>
              <w:rPr>
                <w:rFonts w:ascii="Tahoma" w:hAnsi="Tahoma"/>
                <w:color w:val="000000" w:themeColor="text1"/>
                <w:sz w:val="16"/>
                <w:lang w:val="en-GB"/>
              </w:rPr>
            </w:pPr>
            <w:r w:rsidRPr="003F6CC4">
              <w:rPr>
                <w:rFonts w:ascii="Tahoma" w:hAnsi="Tahoma"/>
                <w:color w:val="000000" w:themeColor="text1"/>
                <w:sz w:val="16"/>
                <w:lang w:val="en-GB"/>
              </w:rPr>
              <w:t>Investments at fair value through profit or loss</w:t>
            </w:r>
          </w:p>
        </w:tc>
        <w:tc>
          <w:tcPr>
            <w:tcW w:w="1134" w:type="dxa"/>
            <w:tcBorders>
              <w:top w:val="single" w:sz="4" w:space="0" w:color="auto"/>
              <w:left w:val="single" w:sz="4" w:space="0" w:color="auto"/>
            </w:tcBorders>
            <w:shd w:val="clear" w:color="auto" w:fill="auto"/>
            <w:tcMar>
              <w:top w:w="57" w:type="dxa"/>
              <w:left w:w="0" w:type="dxa"/>
              <w:bottom w:w="57" w:type="dxa"/>
              <w:right w:w="0" w:type="dxa"/>
            </w:tcMar>
            <w:vAlign w:val="bottom"/>
          </w:tcPr>
          <w:p w14:paraId="568F0965" w14:textId="77777777" w:rsidR="003F6CC4" w:rsidRPr="003F6CC4" w:rsidRDefault="003F6CC4" w:rsidP="004B18E8">
            <w:pPr>
              <w:spacing w:line="240" w:lineRule="atLeast"/>
              <w:jc w:val="right"/>
              <w:rPr>
                <w:rFonts w:ascii="Tahoma" w:hAnsi="Tahoma"/>
                <w:b/>
                <w:bCs/>
                <w:color w:val="000000" w:themeColor="text1"/>
                <w:sz w:val="16"/>
                <w:lang w:val="en-GB"/>
              </w:rPr>
            </w:pPr>
            <w:r w:rsidRPr="003F6CC4">
              <w:rPr>
                <w:rFonts w:ascii="Tahoma" w:hAnsi="Tahoma"/>
                <w:b/>
                <w:bCs/>
                <w:color w:val="000000" w:themeColor="text1"/>
                <w:sz w:val="16"/>
                <w:lang w:val="en-GB"/>
              </w:rPr>
              <w:t>—</w:t>
            </w:r>
          </w:p>
        </w:tc>
        <w:tc>
          <w:tcPr>
            <w:tcW w:w="1134" w:type="dxa"/>
            <w:tcBorders>
              <w:top w:val="single" w:sz="4" w:space="0" w:color="auto"/>
            </w:tcBorders>
            <w:shd w:val="clear" w:color="auto" w:fill="auto"/>
            <w:tcMar>
              <w:top w:w="57" w:type="dxa"/>
              <w:left w:w="0" w:type="dxa"/>
              <w:bottom w:w="57" w:type="dxa"/>
              <w:right w:w="0" w:type="dxa"/>
            </w:tcMar>
            <w:vAlign w:val="bottom"/>
          </w:tcPr>
          <w:p w14:paraId="48684640" w14:textId="77777777" w:rsidR="003F6CC4" w:rsidRPr="003F6CC4" w:rsidRDefault="003F6CC4" w:rsidP="004B18E8">
            <w:pPr>
              <w:spacing w:line="240" w:lineRule="atLeast"/>
              <w:jc w:val="right"/>
              <w:rPr>
                <w:rFonts w:ascii="Tahoma" w:hAnsi="Tahoma"/>
                <w:color w:val="000000" w:themeColor="text1"/>
                <w:sz w:val="16"/>
                <w:lang w:val="en-GB"/>
              </w:rPr>
            </w:pPr>
            <w:r w:rsidRPr="003F6CC4">
              <w:rPr>
                <w:rFonts w:ascii="Tahoma" w:hAnsi="Tahoma"/>
                <w:color w:val="000000" w:themeColor="text1"/>
                <w:sz w:val="16"/>
                <w:lang w:val="en-GB"/>
              </w:rPr>
              <w:t>16</w:t>
            </w:r>
          </w:p>
        </w:tc>
        <w:tc>
          <w:tcPr>
            <w:tcW w:w="1134" w:type="dxa"/>
            <w:tcBorders>
              <w:top w:val="single" w:sz="4" w:space="0" w:color="auto"/>
              <w:right w:val="single" w:sz="4" w:space="0" w:color="auto"/>
            </w:tcBorders>
            <w:shd w:val="clear" w:color="auto" w:fill="auto"/>
            <w:tcMar>
              <w:top w:w="57" w:type="dxa"/>
              <w:left w:w="0" w:type="dxa"/>
              <w:bottom w:w="57" w:type="dxa"/>
              <w:right w:w="0" w:type="dxa"/>
            </w:tcMar>
            <w:vAlign w:val="bottom"/>
          </w:tcPr>
          <w:p w14:paraId="635BE7EE" w14:textId="77777777" w:rsidR="003F6CC4" w:rsidRPr="003F6CC4" w:rsidRDefault="003F6CC4" w:rsidP="004B18E8">
            <w:pPr>
              <w:spacing w:line="240" w:lineRule="atLeast"/>
              <w:ind w:right="113"/>
              <w:jc w:val="right"/>
              <w:rPr>
                <w:rFonts w:ascii="Tahoma" w:hAnsi="Tahoma"/>
                <w:color w:val="000000" w:themeColor="text1"/>
                <w:sz w:val="16"/>
                <w:lang w:val="en-GB"/>
              </w:rPr>
            </w:pPr>
            <w:r w:rsidRPr="003F6CC4">
              <w:rPr>
                <w:rFonts w:ascii="Tahoma" w:hAnsi="Tahoma"/>
                <w:color w:val="000000" w:themeColor="text1"/>
                <w:sz w:val="16"/>
                <w:lang w:val="en-GB"/>
              </w:rPr>
              <w:t>—</w:t>
            </w:r>
          </w:p>
        </w:tc>
      </w:tr>
      <w:tr w:rsidR="00615190" w:rsidRPr="003F6CC4" w14:paraId="2E0B4838" w14:textId="77777777" w:rsidTr="0094625A">
        <w:trPr>
          <w:trHeight w:val="60"/>
        </w:trPr>
        <w:tc>
          <w:tcPr>
            <w:tcW w:w="397" w:type="dxa"/>
            <w:shd w:val="clear" w:color="auto" w:fill="auto"/>
            <w:tcMar>
              <w:top w:w="57" w:type="dxa"/>
              <w:left w:w="0" w:type="dxa"/>
              <w:bottom w:w="57" w:type="dxa"/>
              <w:right w:w="0" w:type="dxa"/>
            </w:tcMar>
            <w:vAlign w:val="bottom"/>
          </w:tcPr>
          <w:p w14:paraId="66488007" w14:textId="77777777" w:rsidR="003F6CC4" w:rsidRPr="003F6CC4" w:rsidRDefault="003F6CC4" w:rsidP="00615190">
            <w:pPr>
              <w:spacing w:line="240" w:lineRule="atLeast"/>
              <w:rPr>
                <w:rFonts w:ascii="Tahoma" w:hAnsi="Tahoma"/>
                <w:color w:val="000000" w:themeColor="text1"/>
                <w:sz w:val="16"/>
                <w:lang w:val="en-GB"/>
              </w:rPr>
            </w:pPr>
          </w:p>
        </w:tc>
        <w:tc>
          <w:tcPr>
            <w:tcW w:w="6407" w:type="dxa"/>
            <w:tcBorders>
              <w:right w:val="single" w:sz="4" w:space="0" w:color="auto"/>
            </w:tcBorders>
            <w:shd w:val="clear" w:color="auto" w:fill="auto"/>
            <w:tcMar>
              <w:top w:w="57" w:type="dxa"/>
              <w:left w:w="113" w:type="dxa"/>
              <w:bottom w:w="57" w:type="dxa"/>
              <w:right w:w="0" w:type="dxa"/>
            </w:tcMar>
            <w:vAlign w:val="bottom"/>
          </w:tcPr>
          <w:p w14:paraId="066486FB" w14:textId="77777777" w:rsidR="003F6CC4" w:rsidRPr="003F6CC4" w:rsidRDefault="003F6CC4" w:rsidP="00615190">
            <w:pPr>
              <w:spacing w:line="240" w:lineRule="atLeast"/>
              <w:rPr>
                <w:rFonts w:ascii="Tahoma" w:hAnsi="Tahoma"/>
                <w:color w:val="000000" w:themeColor="text1"/>
                <w:sz w:val="16"/>
                <w:lang w:val="en-GB"/>
              </w:rPr>
            </w:pPr>
            <w:r w:rsidRPr="003F6CC4">
              <w:rPr>
                <w:rFonts w:ascii="Tahoma" w:hAnsi="Tahoma"/>
                <w:color w:val="000000" w:themeColor="text1"/>
                <w:sz w:val="16"/>
                <w:lang w:val="en-GB"/>
              </w:rPr>
              <w:t>Investments at amortised cost</w:t>
            </w:r>
          </w:p>
        </w:tc>
        <w:tc>
          <w:tcPr>
            <w:tcW w:w="1134" w:type="dxa"/>
            <w:tcBorders>
              <w:left w:val="single" w:sz="4" w:space="0" w:color="auto"/>
              <w:bottom w:val="single" w:sz="4" w:space="0" w:color="auto"/>
            </w:tcBorders>
            <w:shd w:val="clear" w:color="auto" w:fill="auto"/>
            <w:tcMar>
              <w:top w:w="57" w:type="dxa"/>
              <w:left w:w="0" w:type="dxa"/>
              <w:bottom w:w="57" w:type="dxa"/>
              <w:right w:w="0" w:type="dxa"/>
            </w:tcMar>
            <w:vAlign w:val="bottom"/>
          </w:tcPr>
          <w:p w14:paraId="599AF704" w14:textId="77777777" w:rsidR="003F6CC4" w:rsidRPr="003F6CC4" w:rsidRDefault="003F6CC4" w:rsidP="004B18E8">
            <w:pPr>
              <w:spacing w:line="240" w:lineRule="atLeast"/>
              <w:jc w:val="right"/>
              <w:rPr>
                <w:rFonts w:ascii="Tahoma" w:hAnsi="Tahoma"/>
                <w:b/>
                <w:bCs/>
                <w:color w:val="000000" w:themeColor="text1"/>
                <w:sz w:val="16"/>
                <w:lang w:val="en-GB"/>
              </w:rPr>
            </w:pPr>
            <w:r w:rsidRPr="003F6CC4">
              <w:rPr>
                <w:rFonts w:ascii="Tahoma" w:hAnsi="Tahoma"/>
                <w:b/>
                <w:bCs/>
                <w:color w:val="000000" w:themeColor="text1"/>
                <w:sz w:val="16"/>
                <w:lang w:val="en-GB"/>
              </w:rPr>
              <w:t>—</w:t>
            </w:r>
          </w:p>
        </w:tc>
        <w:tc>
          <w:tcPr>
            <w:tcW w:w="1134" w:type="dxa"/>
            <w:tcBorders>
              <w:bottom w:val="single" w:sz="4" w:space="0" w:color="auto"/>
            </w:tcBorders>
            <w:shd w:val="clear" w:color="auto" w:fill="auto"/>
            <w:tcMar>
              <w:top w:w="57" w:type="dxa"/>
              <w:left w:w="0" w:type="dxa"/>
              <w:bottom w:w="57" w:type="dxa"/>
              <w:right w:w="0" w:type="dxa"/>
            </w:tcMar>
            <w:vAlign w:val="bottom"/>
          </w:tcPr>
          <w:p w14:paraId="29033842" w14:textId="77777777" w:rsidR="003F6CC4" w:rsidRPr="003F6CC4" w:rsidRDefault="003F6CC4" w:rsidP="004B18E8">
            <w:pPr>
              <w:spacing w:line="240" w:lineRule="atLeast"/>
              <w:jc w:val="right"/>
              <w:rPr>
                <w:rFonts w:ascii="Tahoma" w:hAnsi="Tahoma"/>
                <w:color w:val="000000" w:themeColor="text1"/>
                <w:sz w:val="16"/>
                <w:lang w:val="en-GB"/>
              </w:rPr>
            </w:pPr>
            <w:r w:rsidRPr="003F6CC4">
              <w:rPr>
                <w:rFonts w:ascii="Tahoma" w:hAnsi="Tahoma"/>
                <w:color w:val="000000" w:themeColor="text1"/>
                <w:sz w:val="16"/>
                <w:lang w:val="en-GB"/>
              </w:rPr>
              <w:t>11</w:t>
            </w:r>
          </w:p>
        </w:tc>
        <w:tc>
          <w:tcPr>
            <w:tcW w:w="1134" w:type="dxa"/>
            <w:tcBorders>
              <w:bottom w:val="single" w:sz="4" w:space="0" w:color="auto"/>
              <w:right w:val="single" w:sz="4" w:space="0" w:color="auto"/>
            </w:tcBorders>
            <w:shd w:val="clear" w:color="auto" w:fill="auto"/>
            <w:tcMar>
              <w:top w:w="57" w:type="dxa"/>
              <w:left w:w="0" w:type="dxa"/>
              <w:bottom w:w="57" w:type="dxa"/>
              <w:right w:w="0" w:type="dxa"/>
            </w:tcMar>
            <w:vAlign w:val="bottom"/>
          </w:tcPr>
          <w:p w14:paraId="7B9213B7" w14:textId="77777777" w:rsidR="003F6CC4" w:rsidRPr="003F6CC4" w:rsidRDefault="003F6CC4" w:rsidP="004B18E8">
            <w:pPr>
              <w:spacing w:line="240" w:lineRule="atLeast"/>
              <w:ind w:right="113"/>
              <w:jc w:val="right"/>
              <w:rPr>
                <w:rFonts w:ascii="Tahoma" w:hAnsi="Tahoma"/>
                <w:color w:val="000000" w:themeColor="text1"/>
                <w:sz w:val="16"/>
                <w:lang w:val="en-GB"/>
              </w:rPr>
            </w:pPr>
            <w:r w:rsidRPr="003F6CC4">
              <w:rPr>
                <w:rFonts w:ascii="Tahoma" w:hAnsi="Tahoma"/>
                <w:color w:val="000000" w:themeColor="text1"/>
                <w:sz w:val="16"/>
                <w:lang w:val="en-GB"/>
              </w:rPr>
              <w:t>—</w:t>
            </w:r>
          </w:p>
        </w:tc>
      </w:tr>
      <w:tr w:rsidR="00615190" w:rsidRPr="003F6CC4" w14:paraId="0CAE0EF4" w14:textId="77777777" w:rsidTr="008B6132">
        <w:trPr>
          <w:trHeight w:hRule="exact" w:val="85"/>
        </w:trPr>
        <w:tc>
          <w:tcPr>
            <w:tcW w:w="397" w:type="dxa"/>
            <w:shd w:val="clear" w:color="auto" w:fill="auto"/>
            <w:tcMar>
              <w:top w:w="57" w:type="dxa"/>
              <w:left w:w="0" w:type="dxa"/>
              <w:bottom w:w="85" w:type="dxa"/>
              <w:right w:w="0" w:type="dxa"/>
            </w:tcMar>
            <w:vAlign w:val="bottom"/>
          </w:tcPr>
          <w:p w14:paraId="01DE6630" w14:textId="77777777" w:rsidR="003F6CC4" w:rsidRPr="003F6CC4" w:rsidRDefault="003F6CC4" w:rsidP="00615190">
            <w:pPr>
              <w:spacing w:line="240" w:lineRule="atLeast"/>
              <w:rPr>
                <w:rFonts w:ascii="Tahoma" w:hAnsi="Tahoma"/>
                <w:color w:val="000000" w:themeColor="text1"/>
                <w:sz w:val="16"/>
                <w:lang w:val="en-GB"/>
              </w:rPr>
            </w:pPr>
          </w:p>
        </w:tc>
        <w:tc>
          <w:tcPr>
            <w:tcW w:w="6407" w:type="dxa"/>
            <w:tcBorders>
              <w:bottom w:val="single" w:sz="4" w:space="0" w:color="auto"/>
            </w:tcBorders>
            <w:shd w:val="clear" w:color="auto" w:fill="auto"/>
            <w:tcMar>
              <w:top w:w="57" w:type="dxa"/>
              <w:left w:w="0" w:type="dxa"/>
              <w:bottom w:w="85" w:type="dxa"/>
              <w:right w:w="0" w:type="dxa"/>
            </w:tcMar>
            <w:vAlign w:val="bottom"/>
          </w:tcPr>
          <w:p w14:paraId="4C02EABF" w14:textId="77777777" w:rsidR="003F6CC4" w:rsidRPr="003F6CC4" w:rsidRDefault="003F6CC4" w:rsidP="00615190">
            <w:pPr>
              <w:spacing w:line="240" w:lineRule="atLeast"/>
              <w:rPr>
                <w:rFonts w:ascii="Tahoma" w:hAnsi="Tahoma"/>
                <w:color w:val="000000" w:themeColor="text1"/>
                <w:sz w:val="16"/>
                <w:lang w:val="en-GB"/>
              </w:rPr>
            </w:pPr>
          </w:p>
        </w:tc>
        <w:tc>
          <w:tcPr>
            <w:tcW w:w="1134" w:type="dxa"/>
            <w:tcBorders>
              <w:top w:val="single" w:sz="4" w:space="0" w:color="auto"/>
              <w:bottom w:val="single" w:sz="4" w:space="0" w:color="auto"/>
            </w:tcBorders>
            <w:shd w:val="clear" w:color="auto" w:fill="auto"/>
            <w:tcMar>
              <w:top w:w="57" w:type="dxa"/>
              <w:left w:w="0" w:type="dxa"/>
              <w:bottom w:w="85" w:type="dxa"/>
              <w:right w:w="0" w:type="dxa"/>
            </w:tcMar>
            <w:vAlign w:val="bottom"/>
          </w:tcPr>
          <w:p w14:paraId="26F47AC8" w14:textId="77777777" w:rsidR="003F6CC4" w:rsidRPr="003F6CC4" w:rsidRDefault="003F6CC4" w:rsidP="004B18E8">
            <w:pPr>
              <w:spacing w:line="240" w:lineRule="atLeast"/>
              <w:jc w:val="right"/>
              <w:rPr>
                <w:rFonts w:ascii="Tahoma" w:hAnsi="Tahoma"/>
                <w:b/>
                <w:bCs/>
                <w:color w:val="000000" w:themeColor="text1"/>
                <w:sz w:val="16"/>
                <w:lang w:val="en-GB"/>
              </w:rPr>
            </w:pPr>
          </w:p>
        </w:tc>
        <w:tc>
          <w:tcPr>
            <w:tcW w:w="1134" w:type="dxa"/>
            <w:tcBorders>
              <w:top w:val="single" w:sz="4" w:space="0" w:color="auto"/>
              <w:bottom w:val="single" w:sz="4" w:space="0" w:color="auto"/>
            </w:tcBorders>
            <w:shd w:val="clear" w:color="auto" w:fill="auto"/>
            <w:tcMar>
              <w:top w:w="57" w:type="dxa"/>
              <w:left w:w="0" w:type="dxa"/>
              <w:bottom w:w="85" w:type="dxa"/>
              <w:right w:w="0" w:type="dxa"/>
            </w:tcMar>
            <w:vAlign w:val="bottom"/>
          </w:tcPr>
          <w:p w14:paraId="0C170986" w14:textId="77777777" w:rsidR="003F6CC4" w:rsidRPr="003F6CC4" w:rsidRDefault="003F6CC4" w:rsidP="004B18E8">
            <w:pPr>
              <w:spacing w:line="240" w:lineRule="atLeast"/>
              <w:jc w:val="right"/>
              <w:rPr>
                <w:rFonts w:ascii="Tahoma" w:hAnsi="Tahoma"/>
                <w:color w:val="000000" w:themeColor="text1"/>
                <w:sz w:val="16"/>
                <w:lang w:val="en-GB"/>
              </w:rPr>
            </w:pPr>
          </w:p>
        </w:tc>
        <w:tc>
          <w:tcPr>
            <w:tcW w:w="1134" w:type="dxa"/>
            <w:tcBorders>
              <w:top w:val="single" w:sz="4" w:space="0" w:color="auto"/>
              <w:bottom w:val="single" w:sz="4" w:space="0" w:color="auto"/>
            </w:tcBorders>
            <w:shd w:val="clear" w:color="auto" w:fill="auto"/>
            <w:tcMar>
              <w:top w:w="57" w:type="dxa"/>
              <w:left w:w="0" w:type="dxa"/>
              <w:bottom w:w="85" w:type="dxa"/>
              <w:right w:w="0" w:type="dxa"/>
            </w:tcMar>
            <w:vAlign w:val="bottom"/>
          </w:tcPr>
          <w:p w14:paraId="6AD51C5D" w14:textId="77777777" w:rsidR="003F6CC4" w:rsidRPr="003F6CC4" w:rsidRDefault="003F6CC4" w:rsidP="004B18E8">
            <w:pPr>
              <w:spacing w:line="240" w:lineRule="atLeast"/>
              <w:ind w:right="113"/>
              <w:jc w:val="right"/>
              <w:rPr>
                <w:rFonts w:ascii="Tahoma" w:hAnsi="Tahoma"/>
                <w:color w:val="000000" w:themeColor="text1"/>
                <w:sz w:val="16"/>
                <w:lang w:val="en-GB"/>
              </w:rPr>
            </w:pPr>
          </w:p>
        </w:tc>
      </w:tr>
      <w:tr w:rsidR="00615190" w:rsidRPr="003F6CC4" w14:paraId="264DFBFC" w14:textId="77777777" w:rsidTr="008B6132">
        <w:trPr>
          <w:trHeight w:val="60"/>
        </w:trPr>
        <w:tc>
          <w:tcPr>
            <w:tcW w:w="397" w:type="dxa"/>
            <w:shd w:val="clear" w:color="auto" w:fill="auto"/>
            <w:tcMar>
              <w:top w:w="85" w:type="dxa"/>
              <w:left w:w="0" w:type="dxa"/>
              <w:bottom w:w="85" w:type="dxa"/>
              <w:right w:w="0" w:type="dxa"/>
            </w:tcMar>
            <w:vAlign w:val="bottom"/>
          </w:tcPr>
          <w:p w14:paraId="0C80612A" w14:textId="77777777" w:rsidR="003F6CC4" w:rsidRPr="003F6CC4" w:rsidRDefault="003F6CC4" w:rsidP="00615190">
            <w:pPr>
              <w:spacing w:line="240" w:lineRule="atLeast"/>
              <w:rPr>
                <w:rFonts w:ascii="Tahoma" w:hAnsi="Tahoma"/>
                <w:color w:val="000000" w:themeColor="text1"/>
                <w:sz w:val="16"/>
                <w:lang w:val="en-GB"/>
              </w:rPr>
            </w:pPr>
          </w:p>
        </w:tc>
        <w:tc>
          <w:tcPr>
            <w:tcW w:w="6407"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341C366A" w14:textId="77777777" w:rsidR="003F6CC4" w:rsidRPr="003F6CC4" w:rsidRDefault="003F6CC4" w:rsidP="00615190">
            <w:pPr>
              <w:spacing w:line="240" w:lineRule="atLeast"/>
              <w:rPr>
                <w:rFonts w:ascii="Tahoma" w:hAnsi="Tahoma"/>
                <w:b/>
                <w:bCs/>
                <w:color w:val="000000" w:themeColor="text1"/>
                <w:sz w:val="16"/>
                <w:lang w:val="en-GB"/>
              </w:rPr>
            </w:pPr>
            <w:r w:rsidRPr="003F6CC4">
              <w:rPr>
                <w:rFonts w:ascii="Tahoma" w:hAnsi="Tahoma"/>
                <w:b/>
                <w:bCs/>
                <w:color w:val="000000" w:themeColor="text1"/>
                <w:sz w:val="16"/>
                <w:lang w:val="en-GB"/>
              </w:rPr>
              <w:t>Non-current portion of other investments</w:t>
            </w:r>
          </w:p>
        </w:tc>
        <w:tc>
          <w:tcPr>
            <w:tcW w:w="1134"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39605627" w14:textId="77777777" w:rsidR="003F6CC4" w:rsidRPr="003F6CC4" w:rsidRDefault="003F6CC4" w:rsidP="004B18E8">
            <w:pPr>
              <w:spacing w:line="240" w:lineRule="atLeast"/>
              <w:jc w:val="right"/>
              <w:rPr>
                <w:rFonts w:ascii="Tahoma" w:hAnsi="Tahoma"/>
                <w:b/>
                <w:bCs/>
                <w:color w:val="000000" w:themeColor="text1"/>
                <w:sz w:val="16"/>
                <w:lang w:val="en-GB"/>
              </w:rPr>
            </w:pPr>
            <w:r w:rsidRPr="003F6CC4">
              <w:rPr>
                <w:rFonts w:ascii="Tahoma" w:hAnsi="Tahoma"/>
                <w:b/>
                <w:bCs/>
                <w:color w:val="000000" w:themeColor="text1"/>
                <w:sz w:val="16"/>
                <w:lang w:val="en-GB"/>
              </w:rPr>
              <w:t>3 286</w:t>
            </w:r>
          </w:p>
        </w:tc>
        <w:tc>
          <w:tcPr>
            <w:tcW w:w="1134"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3FD5E13F" w14:textId="77777777" w:rsidR="003F6CC4" w:rsidRPr="003F6CC4" w:rsidRDefault="003F6CC4" w:rsidP="004B18E8">
            <w:pPr>
              <w:spacing w:line="240" w:lineRule="atLeast"/>
              <w:jc w:val="right"/>
              <w:rPr>
                <w:rFonts w:ascii="Tahoma" w:hAnsi="Tahoma"/>
                <w:color w:val="000000" w:themeColor="text1"/>
                <w:sz w:val="16"/>
                <w:lang w:val="en-GB"/>
              </w:rPr>
            </w:pPr>
            <w:r w:rsidRPr="003F6CC4">
              <w:rPr>
                <w:rFonts w:ascii="Tahoma" w:hAnsi="Tahoma"/>
                <w:color w:val="000000" w:themeColor="text1"/>
                <w:sz w:val="16"/>
                <w:lang w:val="en-GB"/>
              </w:rPr>
              <w:t>2 367</w:t>
            </w:r>
          </w:p>
        </w:tc>
        <w:tc>
          <w:tcPr>
            <w:tcW w:w="1134"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0B2F07E1" w14:textId="77777777" w:rsidR="003F6CC4" w:rsidRPr="003F6CC4" w:rsidRDefault="003F6CC4" w:rsidP="004B18E8">
            <w:pPr>
              <w:spacing w:line="240" w:lineRule="atLeast"/>
              <w:ind w:right="113"/>
              <w:jc w:val="right"/>
              <w:rPr>
                <w:rFonts w:ascii="Tahoma" w:hAnsi="Tahoma"/>
                <w:color w:val="000000" w:themeColor="text1"/>
                <w:sz w:val="16"/>
                <w:lang w:val="en-GB"/>
              </w:rPr>
            </w:pPr>
            <w:r w:rsidRPr="003F6CC4">
              <w:rPr>
                <w:rFonts w:ascii="Tahoma" w:hAnsi="Tahoma"/>
                <w:color w:val="000000" w:themeColor="text1"/>
                <w:sz w:val="16"/>
                <w:lang w:val="en-GB"/>
              </w:rPr>
              <w:t>6 410</w:t>
            </w:r>
          </w:p>
        </w:tc>
      </w:tr>
      <w:tr w:rsidR="00615190" w:rsidRPr="003F6CC4" w14:paraId="7F572249" w14:textId="77777777" w:rsidTr="008B6132">
        <w:trPr>
          <w:trHeight w:val="60"/>
        </w:trPr>
        <w:tc>
          <w:tcPr>
            <w:tcW w:w="397" w:type="dxa"/>
            <w:shd w:val="clear" w:color="auto" w:fill="auto"/>
            <w:tcMar>
              <w:top w:w="142" w:type="dxa"/>
              <w:left w:w="0" w:type="dxa"/>
              <w:bottom w:w="113" w:type="dxa"/>
              <w:right w:w="0" w:type="dxa"/>
            </w:tcMar>
            <w:vAlign w:val="bottom"/>
          </w:tcPr>
          <w:p w14:paraId="18C8C3B2" w14:textId="77777777" w:rsidR="003F6CC4" w:rsidRPr="003F6CC4" w:rsidRDefault="003F6CC4" w:rsidP="00615190">
            <w:pPr>
              <w:spacing w:line="240" w:lineRule="atLeast"/>
              <w:rPr>
                <w:rFonts w:ascii="Tahoma" w:hAnsi="Tahoma"/>
                <w:color w:val="000000" w:themeColor="text1"/>
                <w:sz w:val="16"/>
                <w:lang w:val="en-GB"/>
              </w:rPr>
            </w:pPr>
          </w:p>
        </w:tc>
        <w:tc>
          <w:tcPr>
            <w:tcW w:w="9809" w:type="dxa"/>
            <w:gridSpan w:val="4"/>
            <w:tcBorders>
              <w:top w:val="single" w:sz="12" w:space="0" w:color="auto"/>
            </w:tcBorders>
            <w:shd w:val="clear" w:color="auto" w:fill="auto"/>
            <w:tcMar>
              <w:top w:w="142" w:type="dxa"/>
              <w:left w:w="0" w:type="dxa"/>
              <w:bottom w:w="113" w:type="dxa"/>
              <w:right w:w="0" w:type="dxa"/>
            </w:tcMar>
            <w:vAlign w:val="bottom"/>
          </w:tcPr>
          <w:p w14:paraId="690852A3" w14:textId="77777777" w:rsidR="003F6CC4" w:rsidRPr="003F6CC4" w:rsidRDefault="003F6CC4" w:rsidP="00615190">
            <w:pPr>
              <w:spacing w:line="240" w:lineRule="atLeast"/>
              <w:rPr>
                <w:rFonts w:ascii="Tahoma" w:hAnsi="Tahoma"/>
                <w:b/>
                <w:bCs/>
                <w:color w:val="000000" w:themeColor="text1"/>
                <w:sz w:val="16"/>
                <w:lang w:val="en-GB"/>
              </w:rPr>
            </w:pPr>
            <w:r w:rsidRPr="003F6CC4">
              <w:rPr>
                <w:rFonts w:ascii="Tahoma" w:hAnsi="Tahoma"/>
                <w:b/>
                <w:bCs/>
                <w:color w:val="000000" w:themeColor="text1"/>
                <w:sz w:val="16"/>
                <w:lang w:val="en-GB"/>
              </w:rPr>
              <w:t>Reconciliation of investments at fair value through other comprehensive income</w:t>
            </w:r>
          </w:p>
        </w:tc>
      </w:tr>
      <w:tr w:rsidR="00615190" w:rsidRPr="003F6CC4" w14:paraId="7D84C3E0" w14:textId="77777777" w:rsidTr="00126683">
        <w:trPr>
          <w:trHeight w:val="60"/>
        </w:trPr>
        <w:tc>
          <w:tcPr>
            <w:tcW w:w="397" w:type="dxa"/>
            <w:shd w:val="clear" w:color="auto" w:fill="auto"/>
            <w:tcMar>
              <w:top w:w="85" w:type="dxa"/>
              <w:left w:w="0" w:type="dxa"/>
              <w:bottom w:w="85" w:type="dxa"/>
              <w:right w:w="0" w:type="dxa"/>
            </w:tcMar>
            <w:vAlign w:val="bottom"/>
          </w:tcPr>
          <w:p w14:paraId="4CCB3A03" w14:textId="77777777" w:rsidR="003F6CC4" w:rsidRPr="003F6CC4" w:rsidRDefault="003F6CC4" w:rsidP="00615190">
            <w:pPr>
              <w:spacing w:line="240" w:lineRule="atLeast"/>
              <w:rPr>
                <w:rFonts w:ascii="Tahoma" w:hAnsi="Tahoma"/>
                <w:color w:val="000000" w:themeColor="text1"/>
                <w:sz w:val="16"/>
                <w:lang w:val="en-GB"/>
              </w:rPr>
            </w:pPr>
          </w:p>
        </w:tc>
        <w:tc>
          <w:tcPr>
            <w:tcW w:w="6407" w:type="dxa"/>
            <w:shd w:val="clear" w:color="auto" w:fill="auto"/>
            <w:tcMar>
              <w:top w:w="85" w:type="dxa"/>
              <w:left w:w="0" w:type="dxa"/>
              <w:bottom w:w="85" w:type="dxa"/>
              <w:right w:w="0" w:type="dxa"/>
            </w:tcMar>
            <w:vAlign w:val="bottom"/>
          </w:tcPr>
          <w:p w14:paraId="2B7D69B8" w14:textId="77777777" w:rsidR="003F6CC4" w:rsidRPr="003F6CC4" w:rsidRDefault="003F6CC4" w:rsidP="00615190">
            <w:pPr>
              <w:spacing w:line="240" w:lineRule="atLeast"/>
              <w:rPr>
                <w:rFonts w:ascii="Tahoma" w:hAnsi="Tahoma"/>
                <w:color w:val="000000" w:themeColor="text1"/>
                <w:sz w:val="16"/>
                <w:lang w:val="en-GB"/>
              </w:rPr>
            </w:pPr>
          </w:p>
        </w:tc>
        <w:tc>
          <w:tcPr>
            <w:tcW w:w="2268" w:type="dxa"/>
            <w:gridSpan w:val="2"/>
            <w:shd w:val="clear" w:color="auto" w:fill="auto"/>
            <w:tcMar>
              <w:top w:w="85" w:type="dxa"/>
              <w:left w:w="0" w:type="dxa"/>
              <w:bottom w:w="85" w:type="dxa"/>
              <w:right w:w="0" w:type="dxa"/>
            </w:tcMar>
            <w:vAlign w:val="bottom"/>
          </w:tcPr>
          <w:p w14:paraId="054D8F84" w14:textId="77777777" w:rsidR="003F6CC4" w:rsidRPr="003F6CC4" w:rsidRDefault="003F6CC4" w:rsidP="0041420C">
            <w:pPr>
              <w:spacing w:line="240" w:lineRule="atLeast"/>
              <w:ind w:left="571"/>
              <w:jc w:val="center"/>
              <w:rPr>
                <w:rFonts w:ascii="Tahoma" w:hAnsi="Tahoma"/>
                <w:b/>
                <w:bCs/>
                <w:color w:val="000000" w:themeColor="text1"/>
                <w:sz w:val="16"/>
                <w:lang w:val="en-GB"/>
              </w:rPr>
            </w:pPr>
            <w:r w:rsidRPr="003F6CC4">
              <w:rPr>
                <w:rFonts w:ascii="Tahoma" w:hAnsi="Tahoma"/>
                <w:b/>
                <w:bCs/>
                <w:color w:val="000000" w:themeColor="text1"/>
                <w:sz w:val="16"/>
                <w:lang w:val="en-GB"/>
              </w:rPr>
              <w:t>Six months ended</w:t>
            </w:r>
          </w:p>
          <w:p w14:paraId="0B875C00" w14:textId="77777777" w:rsidR="003F6CC4" w:rsidRPr="003F6CC4" w:rsidRDefault="003F6CC4" w:rsidP="0041420C">
            <w:pPr>
              <w:spacing w:line="240" w:lineRule="atLeast"/>
              <w:ind w:left="571"/>
              <w:jc w:val="center"/>
              <w:rPr>
                <w:rFonts w:ascii="Tahoma" w:hAnsi="Tahoma"/>
                <w:color w:val="000000" w:themeColor="text1"/>
                <w:sz w:val="16"/>
                <w:lang w:val="en-GB"/>
              </w:rPr>
            </w:pPr>
            <w:r w:rsidRPr="003F6CC4">
              <w:rPr>
                <w:rFonts w:ascii="Tahoma" w:hAnsi="Tahoma"/>
                <w:b/>
                <w:bCs/>
                <w:color w:val="000000" w:themeColor="text1"/>
                <w:sz w:val="16"/>
                <w:lang w:val="en-GB"/>
              </w:rPr>
              <w:t>30 September</w:t>
            </w:r>
          </w:p>
        </w:tc>
        <w:tc>
          <w:tcPr>
            <w:tcW w:w="1134" w:type="dxa"/>
            <w:shd w:val="clear" w:color="auto" w:fill="auto"/>
            <w:tcMar>
              <w:top w:w="85" w:type="dxa"/>
              <w:left w:w="0" w:type="dxa"/>
              <w:bottom w:w="85" w:type="dxa"/>
              <w:right w:w="0" w:type="dxa"/>
            </w:tcMar>
            <w:vAlign w:val="bottom"/>
          </w:tcPr>
          <w:p w14:paraId="62E12372" w14:textId="77777777" w:rsidR="003F6CC4" w:rsidRPr="003F6CC4" w:rsidRDefault="003F6CC4" w:rsidP="003D2409">
            <w:pPr>
              <w:spacing w:line="240" w:lineRule="atLeast"/>
              <w:ind w:right="113"/>
              <w:jc w:val="right"/>
              <w:rPr>
                <w:rFonts w:ascii="Tahoma" w:hAnsi="Tahoma"/>
                <w:color w:val="000000" w:themeColor="text1"/>
                <w:sz w:val="16"/>
                <w:lang w:val="en-GB"/>
              </w:rPr>
            </w:pPr>
            <w:r w:rsidRPr="003F6CC4">
              <w:rPr>
                <w:rFonts w:ascii="Tahoma" w:hAnsi="Tahoma"/>
                <w:color w:val="000000" w:themeColor="text1"/>
                <w:sz w:val="16"/>
                <w:lang w:val="en-GB"/>
              </w:rPr>
              <w:t>Year</w:t>
            </w:r>
          </w:p>
          <w:p w14:paraId="7219B623" w14:textId="77777777" w:rsidR="003F6CC4" w:rsidRPr="003F6CC4" w:rsidRDefault="003F6CC4" w:rsidP="003D2409">
            <w:pPr>
              <w:spacing w:line="240" w:lineRule="atLeast"/>
              <w:ind w:right="113"/>
              <w:jc w:val="right"/>
              <w:rPr>
                <w:rFonts w:ascii="Tahoma" w:hAnsi="Tahoma"/>
                <w:color w:val="000000" w:themeColor="text1"/>
                <w:sz w:val="16"/>
                <w:lang w:val="en-GB"/>
              </w:rPr>
            </w:pPr>
            <w:r w:rsidRPr="003F6CC4">
              <w:rPr>
                <w:rFonts w:ascii="Tahoma" w:hAnsi="Tahoma"/>
                <w:color w:val="000000" w:themeColor="text1"/>
                <w:sz w:val="16"/>
                <w:lang w:val="en-GB"/>
              </w:rPr>
              <w:t>ended</w:t>
            </w:r>
          </w:p>
          <w:p w14:paraId="5F6D41DE" w14:textId="77777777" w:rsidR="003F6CC4" w:rsidRPr="003F6CC4" w:rsidRDefault="003F6CC4" w:rsidP="003D2409">
            <w:pPr>
              <w:spacing w:line="240" w:lineRule="atLeast"/>
              <w:ind w:right="113"/>
              <w:jc w:val="right"/>
              <w:rPr>
                <w:rFonts w:ascii="Tahoma" w:hAnsi="Tahoma"/>
                <w:color w:val="000000" w:themeColor="text1"/>
                <w:sz w:val="16"/>
                <w:lang w:val="en-GB"/>
              </w:rPr>
            </w:pPr>
            <w:r w:rsidRPr="003F6CC4">
              <w:rPr>
                <w:rFonts w:ascii="Tahoma" w:hAnsi="Tahoma"/>
                <w:color w:val="000000" w:themeColor="text1"/>
                <w:sz w:val="16"/>
                <w:lang w:val="en-GB"/>
              </w:rPr>
              <w:t>31 March</w:t>
            </w:r>
          </w:p>
        </w:tc>
      </w:tr>
      <w:tr w:rsidR="00615190" w:rsidRPr="003F6CC4" w14:paraId="1F746D9E" w14:textId="77777777" w:rsidTr="00126683">
        <w:trPr>
          <w:trHeight w:val="60"/>
        </w:trPr>
        <w:tc>
          <w:tcPr>
            <w:tcW w:w="397" w:type="dxa"/>
            <w:shd w:val="clear" w:color="auto" w:fill="auto"/>
            <w:tcMar>
              <w:top w:w="113" w:type="dxa"/>
              <w:left w:w="0" w:type="dxa"/>
              <w:bottom w:w="113" w:type="dxa"/>
              <w:right w:w="0" w:type="dxa"/>
            </w:tcMar>
            <w:vAlign w:val="bottom"/>
          </w:tcPr>
          <w:p w14:paraId="695B6D98" w14:textId="77777777" w:rsidR="003F6CC4" w:rsidRPr="003F6CC4" w:rsidRDefault="003F6CC4" w:rsidP="00615190">
            <w:pPr>
              <w:spacing w:line="240" w:lineRule="atLeast"/>
              <w:rPr>
                <w:rFonts w:ascii="Tahoma" w:hAnsi="Tahoma"/>
                <w:color w:val="000000" w:themeColor="text1"/>
                <w:sz w:val="16"/>
                <w:lang w:val="en-GB"/>
              </w:rPr>
            </w:pPr>
          </w:p>
        </w:tc>
        <w:tc>
          <w:tcPr>
            <w:tcW w:w="6407" w:type="dxa"/>
            <w:tcBorders>
              <w:bottom w:val="single" w:sz="12" w:space="0" w:color="auto"/>
            </w:tcBorders>
            <w:shd w:val="clear" w:color="auto" w:fill="auto"/>
            <w:tcMar>
              <w:top w:w="113" w:type="dxa"/>
              <w:left w:w="0" w:type="dxa"/>
              <w:bottom w:w="113" w:type="dxa"/>
              <w:right w:w="0" w:type="dxa"/>
            </w:tcMar>
            <w:vAlign w:val="bottom"/>
          </w:tcPr>
          <w:p w14:paraId="73885EEB" w14:textId="77777777" w:rsidR="003F6CC4" w:rsidRPr="003F6CC4" w:rsidRDefault="003F6CC4" w:rsidP="00615190">
            <w:pPr>
              <w:spacing w:line="240" w:lineRule="atLeast"/>
              <w:rPr>
                <w:rFonts w:ascii="Tahoma" w:hAnsi="Tahoma"/>
                <w:color w:val="000000" w:themeColor="text1"/>
                <w:sz w:val="16"/>
                <w:lang w:val="en-GB"/>
              </w:rPr>
            </w:pPr>
          </w:p>
        </w:tc>
        <w:tc>
          <w:tcPr>
            <w:tcW w:w="1134" w:type="dxa"/>
            <w:tcBorders>
              <w:bottom w:val="single" w:sz="12" w:space="0" w:color="auto"/>
            </w:tcBorders>
            <w:shd w:val="clear" w:color="auto" w:fill="auto"/>
            <w:tcMar>
              <w:top w:w="113" w:type="dxa"/>
              <w:left w:w="0" w:type="dxa"/>
              <w:bottom w:w="113" w:type="dxa"/>
              <w:right w:w="0" w:type="dxa"/>
            </w:tcMar>
            <w:vAlign w:val="bottom"/>
          </w:tcPr>
          <w:p w14:paraId="51AE637E" w14:textId="77777777" w:rsidR="003F6CC4" w:rsidRPr="003F6CC4" w:rsidRDefault="003F6CC4" w:rsidP="003D2409">
            <w:pPr>
              <w:spacing w:line="240" w:lineRule="atLeast"/>
              <w:jc w:val="right"/>
              <w:rPr>
                <w:rFonts w:ascii="Tahoma" w:hAnsi="Tahoma"/>
                <w:b/>
                <w:bCs/>
                <w:color w:val="000000" w:themeColor="text1"/>
                <w:sz w:val="16"/>
                <w:lang w:val="en-GB"/>
              </w:rPr>
            </w:pPr>
            <w:r w:rsidRPr="003F6CC4">
              <w:rPr>
                <w:rFonts w:ascii="Tahoma" w:hAnsi="Tahoma"/>
                <w:b/>
                <w:bCs/>
                <w:color w:val="000000" w:themeColor="text1"/>
                <w:sz w:val="16"/>
                <w:lang w:val="en-GB"/>
              </w:rPr>
              <w:t>2022</w:t>
            </w:r>
          </w:p>
          <w:p w14:paraId="2A2BB802" w14:textId="77777777" w:rsidR="003F6CC4" w:rsidRPr="003F6CC4" w:rsidRDefault="003F6CC4" w:rsidP="003D2409">
            <w:pPr>
              <w:spacing w:line="240" w:lineRule="atLeast"/>
              <w:jc w:val="right"/>
              <w:rPr>
                <w:rFonts w:ascii="Tahoma" w:hAnsi="Tahoma"/>
                <w:b/>
                <w:bCs/>
                <w:color w:val="000000" w:themeColor="text1"/>
                <w:sz w:val="16"/>
                <w:lang w:val="en-GB"/>
              </w:rPr>
            </w:pPr>
            <w:proofErr w:type="spellStart"/>
            <w:r w:rsidRPr="003F6CC4">
              <w:rPr>
                <w:rFonts w:ascii="Tahoma" w:hAnsi="Tahoma"/>
                <w:b/>
                <w:bCs/>
                <w:color w:val="000000" w:themeColor="text1"/>
                <w:sz w:val="16"/>
                <w:lang w:val="en-GB"/>
              </w:rPr>
              <w:t>US$’m</w:t>
            </w:r>
            <w:proofErr w:type="spellEnd"/>
          </w:p>
        </w:tc>
        <w:tc>
          <w:tcPr>
            <w:tcW w:w="1134" w:type="dxa"/>
            <w:tcBorders>
              <w:bottom w:val="single" w:sz="12" w:space="0" w:color="auto"/>
            </w:tcBorders>
            <w:shd w:val="clear" w:color="auto" w:fill="auto"/>
            <w:tcMar>
              <w:top w:w="113" w:type="dxa"/>
              <w:left w:w="0" w:type="dxa"/>
              <w:bottom w:w="113" w:type="dxa"/>
              <w:right w:w="0" w:type="dxa"/>
            </w:tcMar>
            <w:vAlign w:val="bottom"/>
          </w:tcPr>
          <w:p w14:paraId="6A3EF965" w14:textId="77777777" w:rsidR="003F6CC4" w:rsidRPr="003F6CC4" w:rsidRDefault="003F6CC4" w:rsidP="003D2409">
            <w:pPr>
              <w:spacing w:line="240" w:lineRule="atLeast"/>
              <w:jc w:val="right"/>
              <w:rPr>
                <w:rFonts w:ascii="Tahoma" w:hAnsi="Tahoma"/>
                <w:color w:val="000000" w:themeColor="text1"/>
                <w:sz w:val="16"/>
                <w:lang w:val="en-GB"/>
              </w:rPr>
            </w:pPr>
            <w:r w:rsidRPr="003F6CC4">
              <w:rPr>
                <w:rFonts w:ascii="Tahoma" w:hAnsi="Tahoma"/>
                <w:color w:val="000000" w:themeColor="text1"/>
                <w:sz w:val="16"/>
                <w:lang w:val="en-GB"/>
              </w:rPr>
              <w:t>2021</w:t>
            </w:r>
          </w:p>
          <w:p w14:paraId="0CF27B46" w14:textId="77777777" w:rsidR="003F6CC4" w:rsidRPr="003F6CC4" w:rsidRDefault="003F6CC4" w:rsidP="003D2409">
            <w:pPr>
              <w:spacing w:line="240" w:lineRule="atLeast"/>
              <w:jc w:val="right"/>
              <w:rPr>
                <w:rFonts w:ascii="Tahoma" w:hAnsi="Tahoma"/>
                <w:color w:val="000000" w:themeColor="text1"/>
                <w:sz w:val="16"/>
                <w:lang w:val="en-GB"/>
              </w:rPr>
            </w:pPr>
            <w:proofErr w:type="spellStart"/>
            <w:r w:rsidRPr="003F6CC4">
              <w:rPr>
                <w:rFonts w:ascii="Tahoma" w:hAnsi="Tahoma"/>
                <w:color w:val="000000" w:themeColor="text1"/>
                <w:sz w:val="16"/>
                <w:lang w:val="en-GB"/>
              </w:rPr>
              <w:t>US$’m</w:t>
            </w:r>
            <w:proofErr w:type="spellEnd"/>
          </w:p>
        </w:tc>
        <w:tc>
          <w:tcPr>
            <w:tcW w:w="1134" w:type="dxa"/>
            <w:tcBorders>
              <w:bottom w:val="single" w:sz="12" w:space="0" w:color="auto"/>
            </w:tcBorders>
            <w:shd w:val="clear" w:color="auto" w:fill="auto"/>
            <w:tcMar>
              <w:top w:w="113" w:type="dxa"/>
              <w:left w:w="0" w:type="dxa"/>
              <w:bottom w:w="113" w:type="dxa"/>
              <w:right w:w="0" w:type="dxa"/>
            </w:tcMar>
            <w:vAlign w:val="bottom"/>
          </w:tcPr>
          <w:p w14:paraId="4D6FEF44" w14:textId="77777777" w:rsidR="003F6CC4" w:rsidRPr="003F6CC4" w:rsidRDefault="003F6CC4" w:rsidP="003D2409">
            <w:pPr>
              <w:spacing w:line="240" w:lineRule="atLeast"/>
              <w:ind w:right="113"/>
              <w:jc w:val="right"/>
              <w:rPr>
                <w:rFonts w:ascii="Tahoma" w:hAnsi="Tahoma"/>
                <w:color w:val="000000" w:themeColor="text1"/>
                <w:sz w:val="16"/>
                <w:lang w:val="en-GB"/>
              </w:rPr>
            </w:pPr>
            <w:r w:rsidRPr="003F6CC4">
              <w:rPr>
                <w:rFonts w:ascii="Tahoma" w:hAnsi="Tahoma"/>
                <w:color w:val="000000" w:themeColor="text1"/>
                <w:sz w:val="16"/>
                <w:lang w:val="en-GB"/>
              </w:rPr>
              <w:t>2022</w:t>
            </w:r>
          </w:p>
          <w:p w14:paraId="5A3ADE71" w14:textId="77777777" w:rsidR="003F6CC4" w:rsidRPr="003F6CC4" w:rsidRDefault="003F6CC4" w:rsidP="003D2409">
            <w:pPr>
              <w:spacing w:line="240" w:lineRule="atLeast"/>
              <w:ind w:right="113"/>
              <w:jc w:val="right"/>
              <w:rPr>
                <w:rFonts w:ascii="Tahoma" w:hAnsi="Tahoma"/>
                <w:color w:val="000000" w:themeColor="text1"/>
                <w:sz w:val="16"/>
                <w:lang w:val="en-GB"/>
              </w:rPr>
            </w:pPr>
            <w:proofErr w:type="spellStart"/>
            <w:r w:rsidRPr="003F6CC4">
              <w:rPr>
                <w:rFonts w:ascii="Tahoma" w:hAnsi="Tahoma"/>
                <w:color w:val="000000" w:themeColor="text1"/>
                <w:sz w:val="16"/>
                <w:lang w:val="en-GB"/>
              </w:rPr>
              <w:t>US$’m</w:t>
            </w:r>
            <w:proofErr w:type="spellEnd"/>
          </w:p>
        </w:tc>
      </w:tr>
      <w:tr w:rsidR="00615190" w:rsidRPr="003F6CC4" w14:paraId="785E59E2" w14:textId="77777777" w:rsidTr="00126683">
        <w:trPr>
          <w:trHeight w:val="60"/>
        </w:trPr>
        <w:tc>
          <w:tcPr>
            <w:tcW w:w="397" w:type="dxa"/>
            <w:shd w:val="clear" w:color="auto" w:fill="auto"/>
            <w:tcMar>
              <w:top w:w="142" w:type="dxa"/>
              <w:left w:w="0" w:type="dxa"/>
              <w:bottom w:w="57" w:type="dxa"/>
              <w:right w:w="0" w:type="dxa"/>
            </w:tcMar>
            <w:vAlign w:val="bottom"/>
          </w:tcPr>
          <w:p w14:paraId="509E14B3" w14:textId="77777777" w:rsidR="003F6CC4" w:rsidRPr="003F6CC4" w:rsidRDefault="003F6CC4" w:rsidP="00615190">
            <w:pPr>
              <w:spacing w:line="240" w:lineRule="atLeast"/>
              <w:rPr>
                <w:rFonts w:ascii="Tahoma" w:hAnsi="Tahoma"/>
                <w:color w:val="000000" w:themeColor="text1"/>
                <w:sz w:val="16"/>
                <w:lang w:val="en-GB"/>
              </w:rPr>
            </w:pPr>
          </w:p>
        </w:tc>
        <w:tc>
          <w:tcPr>
            <w:tcW w:w="6407" w:type="dxa"/>
            <w:tcBorders>
              <w:top w:val="single" w:sz="12" w:space="0" w:color="auto"/>
            </w:tcBorders>
            <w:shd w:val="clear" w:color="auto" w:fill="auto"/>
            <w:tcMar>
              <w:top w:w="142" w:type="dxa"/>
              <w:left w:w="0" w:type="dxa"/>
              <w:bottom w:w="57" w:type="dxa"/>
              <w:right w:w="0" w:type="dxa"/>
            </w:tcMar>
            <w:vAlign w:val="bottom"/>
          </w:tcPr>
          <w:p w14:paraId="5B8CE9BF" w14:textId="77777777" w:rsidR="003F6CC4" w:rsidRPr="003F6CC4" w:rsidRDefault="003F6CC4" w:rsidP="00615190">
            <w:pPr>
              <w:spacing w:line="240" w:lineRule="atLeast"/>
              <w:rPr>
                <w:rFonts w:ascii="Tahoma" w:hAnsi="Tahoma"/>
                <w:b/>
                <w:bCs/>
                <w:color w:val="000000" w:themeColor="text1"/>
                <w:sz w:val="16"/>
                <w:lang w:val="en-GB"/>
              </w:rPr>
            </w:pPr>
            <w:r w:rsidRPr="003F6CC4">
              <w:rPr>
                <w:rFonts w:ascii="Tahoma" w:hAnsi="Tahoma"/>
                <w:b/>
                <w:bCs/>
                <w:color w:val="000000" w:themeColor="text1"/>
                <w:sz w:val="16"/>
                <w:lang w:val="en-GB"/>
              </w:rPr>
              <w:t>Opening balance</w:t>
            </w:r>
          </w:p>
        </w:tc>
        <w:tc>
          <w:tcPr>
            <w:tcW w:w="1134" w:type="dxa"/>
            <w:tcBorders>
              <w:top w:val="single" w:sz="12" w:space="0" w:color="auto"/>
            </w:tcBorders>
            <w:shd w:val="clear" w:color="auto" w:fill="auto"/>
            <w:tcMar>
              <w:top w:w="142" w:type="dxa"/>
              <w:left w:w="0" w:type="dxa"/>
              <w:bottom w:w="57" w:type="dxa"/>
              <w:right w:w="0" w:type="dxa"/>
            </w:tcMar>
            <w:vAlign w:val="bottom"/>
          </w:tcPr>
          <w:p w14:paraId="47F0329B" w14:textId="77777777" w:rsidR="003F6CC4" w:rsidRPr="003F6CC4" w:rsidRDefault="003F6CC4" w:rsidP="003D2409">
            <w:pPr>
              <w:spacing w:line="240" w:lineRule="atLeast"/>
              <w:jc w:val="right"/>
              <w:rPr>
                <w:rFonts w:ascii="Tahoma" w:hAnsi="Tahoma"/>
                <w:b/>
                <w:bCs/>
                <w:color w:val="000000" w:themeColor="text1"/>
                <w:sz w:val="16"/>
                <w:lang w:val="en-GB"/>
              </w:rPr>
            </w:pPr>
            <w:r w:rsidRPr="003F6CC4">
              <w:rPr>
                <w:rFonts w:ascii="Tahoma" w:hAnsi="Tahoma"/>
                <w:b/>
                <w:bCs/>
                <w:color w:val="000000" w:themeColor="text1"/>
                <w:sz w:val="16"/>
                <w:lang w:val="en-GB"/>
              </w:rPr>
              <w:t>5 918</w:t>
            </w:r>
          </w:p>
        </w:tc>
        <w:tc>
          <w:tcPr>
            <w:tcW w:w="1134" w:type="dxa"/>
            <w:tcBorders>
              <w:top w:val="single" w:sz="12" w:space="0" w:color="auto"/>
            </w:tcBorders>
            <w:shd w:val="clear" w:color="auto" w:fill="auto"/>
            <w:tcMar>
              <w:top w:w="142" w:type="dxa"/>
              <w:left w:w="0" w:type="dxa"/>
              <w:bottom w:w="57" w:type="dxa"/>
              <w:right w:w="0" w:type="dxa"/>
            </w:tcMar>
            <w:vAlign w:val="bottom"/>
          </w:tcPr>
          <w:p w14:paraId="64D24590" w14:textId="77777777" w:rsidR="003F6CC4" w:rsidRPr="003F6CC4" w:rsidRDefault="003F6CC4" w:rsidP="003D2409">
            <w:pPr>
              <w:spacing w:line="240" w:lineRule="atLeast"/>
              <w:jc w:val="right"/>
              <w:rPr>
                <w:rFonts w:ascii="Tahoma" w:hAnsi="Tahoma"/>
                <w:color w:val="000000" w:themeColor="text1"/>
                <w:sz w:val="16"/>
                <w:lang w:val="en-GB"/>
              </w:rPr>
            </w:pPr>
            <w:r w:rsidRPr="003F6CC4">
              <w:rPr>
                <w:rFonts w:ascii="Tahoma" w:hAnsi="Tahoma"/>
                <w:color w:val="000000" w:themeColor="text1"/>
                <w:sz w:val="16"/>
                <w:lang w:val="en-GB"/>
              </w:rPr>
              <w:t>4 122</w:t>
            </w:r>
          </w:p>
        </w:tc>
        <w:tc>
          <w:tcPr>
            <w:tcW w:w="1134" w:type="dxa"/>
            <w:tcBorders>
              <w:top w:val="single" w:sz="12" w:space="0" w:color="auto"/>
            </w:tcBorders>
            <w:shd w:val="clear" w:color="auto" w:fill="auto"/>
            <w:tcMar>
              <w:top w:w="142" w:type="dxa"/>
              <w:left w:w="0" w:type="dxa"/>
              <w:bottom w:w="57" w:type="dxa"/>
              <w:right w:w="0" w:type="dxa"/>
            </w:tcMar>
            <w:vAlign w:val="bottom"/>
          </w:tcPr>
          <w:p w14:paraId="71C39CAC" w14:textId="77777777" w:rsidR="003F6CC4" w:rsidRPr="003F6CC4" w:rsidRDefault="003F6CC4" w:rsidP="003D2409">
            <w:pPr>
              <w:spacing w:line="240" w:lineRule="atLeast"/>
              <w:ind w:right="113"/>
              <w:jc w:val="right"/>
              <w:rPr>
                <w:rFonts w:ascii="Tahoma" w:hAnsi="Tahoma"/>
                <w:color w:val="000000" w:themeColor="text1"/>
                <w:sz w:val="16"/>
                <w:lang w:val="en-GB"/>
              </w:rPr>
            </w:pPr>
            <w:r w:rsidRPr="003F6CC4">
              <w:rPr>
                <w:rFonts w:ascii="Tahoma" w:hAnsi="Tahoma"/>
                <w:color w:val="000000" w:themeColor="text1"/>
                <w:sz w:val="16"/>
                <w:lang w:val="en-GB"/>
              </w:rPr>
              <w:t>4 122</w:t>
            </w:r>
          </w:p>
        </w:tc>
      </w:tr>
      <w:tr w:rsidR="00615190" w:rsidRPr="003F6CC4" w14:paraId="3F075367" w14:textId="77777777" w:rsidTr="00182978">
        <w:trPr>
          <w:trHeight w:val="60"/>
        </w:trPr>
        <w:tc>
          <w:tcPr>
            <w:tcW w:w="397" w:type="dxa"/>
            <w:shd w:val="clear" w:color="auto" w:fill="auto"/>
            <w:tcMar>
              <w:top w:w="57" w:type="dxa"/>
              <w:left w:w="0" w:type="dxa"/>
              <w:bottom w:w="57" w:type="dxa"/>
              <w:right w:w="0" w:type="dxa"/>
            </w:tcMar>
            <w:vAlign w:val="bottom"/>
          </w:tcPr>
          <w:p w14:paraId="56AB266A" w14:textId="77777777" w:rsidR="003F6CC4" w:rsidRPr="003F6CC4" w:rsidRDefault="003F6CC4" w:rsidP="00615190">
            <w:pPr>
              <w:spacing w:line="240" w:lineRule="atLeast"/>
              <w:rPr>
                <w:rFonts w:ascii="Tahoma" w:hAnsi="Tahoma"/>
                <w:color w:val="000000" w:themeColor="text1"/>
                <w:sz w:val="16"/>
                <w:lang w:val="en-GB"/>
              </w:rPr>
            </w:pPr>
          </w:p>
        </w:tc>
        <w:tc>
          <w:tcPr>
            <w:tcW w:w="6407" w:type="dxa"/>
            <w:shd w:val="clear" w:color="auto" w:fill="auto"/>
            <w:tcMar>
              <w:top w:w="57" w:type="dxa"/>
              <w:left w:w="0" w:type="dxa"/>
              <w:bottom w:w="57" w:type="dxa"/>
              <w:right w:w="0" w:type="dxa"/>
            </w:tcMar>
            <w:vAlign w:val="bottom"/>
          </w:tcPr>
          <w:p w14:paraId="7EED9F53" w14:textId="77777777" w:rsidR="003F6CC4" w:rsidRPr="003F6CC4" w:rsidRDefault="003F6CC4" w:rsidP="00615190">
            <w:pPr>
              <w:spacing w:line="240" w:lineRule="atLeast"/>
              <w:rPr>
                <w:rFonts w:ascii="Tahoma" w:hAnsi="Tahoma"/>
                <w:color w:val="000000" w:themeColor="text1"/>
                <w:sz w:val="16"/>
                <w:lang w:val="en-GB"/>
              </w:rPr>
            </w:pPr>
            <w:r w:rsidRPr="003F6CC4">
              <w:rPr>
                <w:rFonts w:ascii="Tahoma" w:hAnsi="Tahoma"/>
                <w:color w:val="000000" w:themeColor="text1"/>
                <w:sz w:val="16"/>
                <w:lang w:val="en-GB"/>
              </w:rPr>
              <w:t>Fair-value adjustments recognised in other comprehensive income</w:t>
            </w:r>
          </w:p>
        </w:tc>
        <w:tc>
          <w:tcPr>
            <w:tcW w:w="1134" w:type="dxa"/>
            <w:shd w:val="clear" w:color="auto" w:fill="auto"/>
            <w:tcMar>
              <w:top w:w="57" w:type="dxa"/>
              <w:left w:w="0" w:type="dxa"/>
              <w:bottom w:w="57" w:type="dxa"/>
              <w:right w:w="0" w:type="dxa"/>
            </w:tcMar>
            <w:vAlign w:val="bottom"/>
          </w:tcPr>
          <w:p w14:paraId="7D0625CA" w14:textId="7BEC10AF" w:rsidR="003F6CC4" w:rsidRPr="003F6CC4" w:rsidRDefault="003F6CC4" w:rsidP="003D2409">
            <w:pPr>
              <w:spacing w:line="240" w:lineRule="atLeast"/>
              <w:jc w:val="right"/>
              <w:rPr>
                <w:rFonts w:ascii="Tahoma" w:hAnsi="Tahoma"/>
                <w:b/>
                <w:bCs/>
                <w:color w:val="000000" w:themeColor="text1"/>
                <w:sz w:val="16"/>
                <w:lang w:val="en-GB"/>
              </w:rPr>
            </w:pPr>
            <w:r w:rsidRPr="003F6CC4">
              <w:rPr>
                <w:rFonts w:ascii="Tahoma" w:hAnsi="Tahoma"/>
                <w:b/>
                <w:bCs/>
                <w:color w:val="000000" w:themeColor="text1"/>
                <w:sz w:val="16"/>
                <w:lang w:val="en-GB"/>
              </w:rPr>
              <w:t>(32</w:t>
            </w:r>
            <w:r w:rsidR="00CD7166">
              <w:rPr>
                <w:rFonts w:ascii="Tahoma" w:hAnsi="Tahoma"/>
                <w:b/>
                <w:bCs/>
                <w:color w:val="000000" w:themeColor="text1"/>
                <w:sz w:val="16"/>
                <w:lang w:val="en-GB"/>
              </w:rPr>
              <w:t>4</w:t>
            </w:r>
            <w:r w:rsidRPr="003F6CC4">
              <w:rPr>
                <w:rFonts w:ascii="Tahoma" w:hAnsi="Tahoma"/>
                <w:b/>
                <w:bCs/>
                <w:color w:val="000000" w:themeColor="text1"/>
                <w:sz w:val="16"/>
                <w:lang w:val="en-GB"/>
              </w:rPr>
              <w:t>)</w:t>
            </w:r>
          </w:p>
        </w:tc>
        <w:tc>
          <w:tcPr>
            <w:tcW w:w="1134" w:type="dxa"/>
            <w:shd w:val="clear" w:color="auto" w:fill="auto"/>
            <w:tcMar>
              <w:top w:w="57" w:type="dxa"/>
              <w:left w:w="0" w:type="dxa"/>
              <w:bottom w:w="57" w:type="dxa"/>
              <w:right w:w="0" w:type="dxa"/>
            </w:tcMar>
            <w:vAlign w:val="bottom"/>
          </w:tcPr>
          <w:p w14:paraId="6FE4B349" w14:textId="77777777" w:rsidR="003F6CC4" w:rsidRPr="003F6CC4" w:rsidRDefault="003F6CC4" w:rsidP="003D2409">
            <w:pPr>
              <w:spacing w:line="240" w:lineRule="atLeast"/>
              <w:jc w:val="right"/>
              <w:rPr>
                <w:rFonts w:ascii="Tahoma" w:hAnsi="Tahoma"/>
                <w:color w:val="000000" w:themeColor="text1"/>
                <w:sz w:val="16"/>
                <w:lang w:val="en-GB"/>
              </w:rPr>
            </w:pPr>
            <w:r w:rsidRPr="003F6CC4">
              <w:rPr>
                <w:rFonts w:ascii="Tahoma" w:hAnsi="Tahoma"/>
                <w:color w:val="000000" w:themeColor="text1"/>
                <w:sz w:val="16"/>
                <w:lang w:val="en-GB"/>
              </w:rPr>
              <w:t>(958)</w:t>
            </w:r>
          </w:p>
        </w:tc>
        <w:tc>
          <w:tcPr>
            <w:tcW w:w="1134" w:type="dxa"/>
            <w:shd w:val="clear" w:color="auto" w:fill="auto"/>
            <w:tcMar>
              <w:top w:w="57" w:type="dxa"/>
              <w:left w:w="0" w:type="dxa"/>
              <w:bottom w:w="57" w:type="dxa"/>
              <w:right w:w="0" w:type="dxa"/>
            </w:tcMar>
            <w:vAlign w:val="bottom"/>
          </w:tcPr>
          <w:p w14:paraId="33BEEFEE" w14:textId="77777777" w:rsidR="003F6CC4" w:rsidRPr="003F6CC4" w:rsidRDefault="003F6CC4" w:rsidP="003D2409">
            <w:pPr>
              <w:spacing w:line="240" w:lineRule="atLeast"/>
              <w:ind w:right="113"/>
              <w:jc w:val="right"/>
              <w:rPr>
                <w:rFonts w:ascii="Tahoma" w:hAnsi="Tahoma"/>
                <w:color w:val="000000" w:themeColor="text1"/>
                <w:sz w:val="16"/>
                <w:lang w:val="en-GB"/>
              </w:rPr>
            </w:pPr>
            <w:r w:rsidRPr="003F6CC4">
              <w:rPr>
                <w:rFonts w:ascii="Tahoma" w:hAnsi="Tahoma"/>
                <w:color w:val="000000" w:themeColor="text1"/>
                <w:sz w:val="16"/>
                <w:lang w:val="en-GB"/>
              </w:rPr>
              <w:t>(1 210)</w:t>
            </w:r>
          </w:p>
        </w:tc>
      </w:tr>
      <w:tr w:rsidR="00615190" w:rsidRPr="003F6CC4" w14:paraId="014316E3" w14:textId="77777777" w:rsidTr="00182978">
        <w:trPr>
          <w:trHeight w:val="60"/>
        </w:trPr>
        <w:tc>
          <w:tcPr>
            <w:tcW w:w="397" w:type="dxa"/>
            <w:shd w:val="clear" w:color="auto" w:fill="auto"/>
            <w:tcMar>
              <w:top w:w="57" w:type="dxa"/>
              <w:left w:w="0" w:type="dxa"/>
              <w:bottom w:w="57" w:type="dxa"/>
              <w:right w:w="0" w:type="dxa"/>
            </w:tcMar>
            <w:vAlign w:val="bottom"/>
          </w:tcPr>
          <w:p w14:paraId="17177D5F" w14:textId="77777777" w:rsidR="003F6CC4" w:rsidRPr="003F6CC4" w:rsidRDefault="003F6CC4" w:rsidP="00615190">
            <w:pPr>
              <w:spacing w:line="240" w:lineRule="atLeast"/>
              <w:rPr>
                <w:rFonts w:ascii="Tahoma" w:hAnsi="Tahoma"/>
                <w:color w:val="000000" w:themeColor="text1"/>
                <w:sz w:val="16"/>
                <w:lang w:val="en-GB"/>
              </w:rPr>
            </w:pPr>
          </w:p>
        </w:tc>
        <w:tc>
          <w:tcPr>
            <w:tcW w:w="6407" w:type="dxa"/>
            <w:shd w:val="clear" w:color="auto" w:fill="auto"/>
            <w:tcMar>
              <w:top w:w="57" w:type="dxa"/>
              <w:left w:w="0" w:type="dxa"/>
              <w:bottom w:w="57" w:type="dxa"/>
              <w:right w:w="0" w:type="dxa"/>
            </w:tcMar>
            <w:vAlign w:val="bottom"/>
          </w:tcPr>
          <w:p w14:paraId="7B316F03" w14:textId="77777777" w:rsidR="003F6CC4" w:rsidRPr="003F6CC4" w:rsidRDefault="003F6CC4" w:rsidP="00615190">
            <w:pPr>
              <w:spacing w:line="240" w:lineRule="atLeast"/>
              <w:rPr>
                <w:rFonts w:ascii="Tahoma" w:hAnsi="Tahoma"/>
                <w:color w:val="000000" w:themeColor="text1"/>
                <w:sz w:val="16"/>
                <w:lang w:val="en-GB"/>
              </w:rPr>
            </w:pPr>
            <w:r w:rsidRPr="003F6CC4">
              <w:rPr>
                <w:rFonts w:ascii="Tahoma" w:hAnsi="Tahoma"/>
                <w:color w:val="000000" w:themeColor="text1"/>
                <w:sz w:val="16"/>
                <w:lang w:val="en-GB"/>
              </w:rPr>
              <w:t>Purchases/additional contributions</w:t>
            </w:r>
            <w:r w:rsidRPr="003F6CC4">
              <w:rPr>
                <w:rFonts w:ascii="Tahoma" w:hAnsi="Tahoma"/>
                <w:color w:val="000000" w:themeColor="text1"/>
                <w:sz w:val="16"/>
                <w:vertAlign w:val="superscript"/>
                <w:lang w:val="en-GB"/>
              </w:rPr>
              <w:t>1</w:t>
            </w:r>
          </w:p>
        </w:tc>
        <w:tc>
          <w:tcPr>
            <w:tcW w:w="1134" w:type="dxa"/>
            <w:shd w:val="clear" w:color="auto" w:fill="auto"/>
            <w:tcMar>
              <w:top w:w="57" w:type="dxa"/>
              <w:left w:w="0" w:type="dxa"/>
              <w:bottom w:w="57" w:type="dxa"/>
              <w:right w:w="0" w:type="dxa"/>
            </w:tcMar>
            <w:vAlign w:val="bottom"/>
          </w:tcPr>
          <w:p w14:paraId="327CCD90" w14:textId="77777777" w:rsidR="003F6CC4" w:rsidRPr="003F6CC4" w:rsidRDefault="003F6CC4" w:rsidP="003D2409">
            <w:pPr>
              <w:spacing w:line="240" w:lineRule="atLeast"/>
              <w:jc w:val="right"/>
              <w:rPr>
                <w:rFonts w:ascii="Tahoma" w:hAnsi="Tahoma"/>
                <w:b/>
                <w:bCs/>
                <w:color w:val="000000" w:themeColor="text1"/>
                <w:sz w:val="16"/>
                <w:lang w:val="en-GB"/>
              </w:rPr>
            </w:pPr>
            <w:r w:rsidRPr="003F6CC4">
              <w:rPr>
                <w:rFonts w:ascii="Tahoma" w:hAnsi="Tahoma"/>
                <w:b/>
                <w:bCs/>
                <w:color w:val="000000" w:themeColor="text1"/>
                <w:sz w:val="16"/>
                <w:lang w:val="en-GB"/>
              </w:rPr>
              <w:t>160</w:t>
            </w:r>
          </w:p>
        </w:tc>
        <w:tc>
          <w:tcPr>
            <w:tcW w:w="1134" w:type="dxa"/>
            <w:shd w:val="clear" w:color="auto" w:fill="auto"/>
            <w:tcMar>
              <w:top w:w="57" w:type="dxa"/>
              <w:left w:w="0" w:type="dxa"/>
              <w:bottom w:w="57" w:type="dxa"/>
              <w:right w:w="0" w:type="dxa"/>
            </w:tcMar>
            <w:vAlign w:val="bottom"/>
          </w:tcPr>
          <w:p w14:paraId="78E6D05F" w14:textId="77777777" w:rsidR="003F6CC4" w:rsidRPr="003F6CC4" w:rsidRDefault="003F6CC4" w:rsidP="003D2409">
            <w:pPr>
              <w:spacing w:line="240" w:lineRule="atLeast"/>
              <w:jc w:val="right"/>
              <w:rPr>
                <w:rFonts w:ascii="Tahoma" w:hAnsi="Tahoma"/>
                <w:color w:val="000000" w:themeColor="text1"/>
                <w:sz w:val="16"/>
                <w:lang w:val="en-GB"/>
              </w:rPr>
            </w:pPr>
            <w:r w:rsidRPr="003F6CC4">
              <w:rPr>
                <w:rFonts w:ascii="Tahoma" w:hAnsi="Tahoma"/>
                <w:color w:val="000000" w:themeColor="text1"/>
                <w:sz w:val="16"/>
                <w:lang w:val="en-GB"/>
              </w:rPr>
              <w:t>1 372</w:t>
            </w:r>
          </w:p>
        </w:tc>
        <w:tc>
          <w:tcPr>
            <w:tcW w:w="1134" w:type="dxa"/>
            <w:shd w:val="clear" w:color="auto" w:fill="auto"/>
            <w:tcMar>
              <w:top w:w="57" w:type="dxa"/>
              <w:left w:w="0" w:type="dxa"/>
              <w:bottom w:w="57" w:type="dxa"/>
              <w:right w:w="0" w:type="dxa"/>
            </w:tcMar>
            <w:vAlign w:val="bottom"/>
          </w:tcPr>
          <w:p w14:paraId="49D4BC28" w14:textId="77777777" w:rsidR="003F6CC4" w:rsidRPr="003F6CC4" w:rsidRDefault="003F6CC4" w:rsidP="003D2409">
            <w:pPr>
              <w:spacing w:line="240" w:lineRule="atLeast"/>
              <w:ind w:right="113"/>
              <w:jc w:val="right"/>
              <w:rPr>
                <w:rFonts w:ascii="Tahoma" w:hAnsi="Tahoma"/>
                <w:color w:val="000000" w:themeColor="text1"/>
                <w:sz w:val="16"/>
                <w:lang w:val="en-GB"/>
              </w:rPr>
            </w:pPr>
            <w:r w:rsidRPr="003F6CC4">
              <w:rPr>
                <w:rFonts w:ascii="Tahoma" w:hAnsi="Tahoma"/>
                <w:color w:val="000000" w:themeColor="text1"/>
                <w:sz w:val="16"/>
                <w:lang w:val="en-GB"/>
              </w:rPr>
              <w:t>5 646</w:t>
            </w:r>
          </w:p>
        </w:tc>
      </w:tr>
      <w:tr w:rsidR="00615190" w:rsidRPr="003F6CC4" w14:paraId="5C38DCCB" w14:textId="77777777" w:rsidTr="00182978">
        <w:trPr>
          <w:trHeight w:val="60"/>
        </w:trPr>
        <w:tc>
          <w:tcPr>
            <w:tcW w:w="397" w:type="dxa"/>
            <w:shd w:val="clear" w:color="auto" w:fill="auto"/>
            <w:tcMar>
              <w:top w:w="57" w:type="dxa"/>
              <w:left w:w="0" w:type="dxa"/>
              <w:bottom w:w="57" w:type="dxa"/>
              <w:right w:w="0" w:type="dxa"/>
            </w:tcMar>
            <w:vAlign w:val="bottom"/>
          </w:tcPr>
          <w:p w14:paraId="05D1B977" w14:textId="77777777" w:rsidR="003F6CC4" w:rsidRPr="003F6CC4" w:rsidRDefault="003F6CC4" w:rsidP="00615190">
            <w:pPr>
              <w:spacing w:line="240" w:lineRule="atLeast"/>
              <w:rPr>
                <w:rFonts w:ascii="Tahoma" w:hAnsi="Tahoma"/>
                <w:color w:val="000000" w:themeColor="text1"/>
                <w:sz w:val="16"/>
                <w:lang w:val="en-GB"/>
              </w:rPr>
            </w:pPr>
          </w:p>
        </w:tc>
        <w:tc>
          <w:tcPr>
            <w:tcW w:w="6407" w:type="dxa"/>
            <w:shd w:val="clear" w:color="auto" w:fill="auto"/>
            <w:tcMar>
              <w:top w:w="57" w:type="dxa"/>
              <w:left w:w="0" w:type="dxa"/>
              <w:bottom w:w="57" w:type="dxa"/>
              <w:right w:w="0" w:type="dxa"/>
            </w:tcMar>
            <w:vAlign w:val="bottom"/>
          </w:tcPr>
          <w:p w14:paraId="59C4CA25" w14:textId="77777777" w:rsidR="003F6CC4" w:rsidRPr="003F6CC4" w:rsidRDefault="003F6CC4" w:rsidP="00615190">
            <w:pPr>
              <w:spacing w:line="240" w:lineRule="atLeast"/>
              <w:rPr>
                <w:rFonts w:ascii="Tahoma" w:hAnsi="Tahoma"/>
                <w:color w:val="000000" w:themeColor="text1"/>
                <w:sz w:val="16"/>
                <w:lang w:val="en-GB"/>
              </w:rPr>
            </w:pPr>
            <w:r w:rsidRPr="003F6CC4">
              <w:rPr>
                <w:rFonts w:ascii="Tahoma" w:hAnsi="Tahoma"/>
                <w:color w:val="000000" w:themeColor="text1"/>
                <w:sz w:val="16"/>
                <w:lang w:val="en-GB"/>
              </w:rPr>
              <w:t>Loss of significant influence of an investment in associate</w:t>
            </w:r>
            <w:r w:rsidRPr="003F6CC4">
              <w:rPr>
                <w:rFonts w:ascii="Tahoma" w:hAnsi="Tahoma"/>
                <w:color w:val="000000" w:themeColor="text1"/>
                <w:sz w:val="16"/>
                <w:vertAlign w:val="superscript"/>
                <w:lang w:val="en-GB"/>
              </w:rPr>
              <w:t>2</w:t>
            </w:r>
          </w:p>
        </w:tc>
        <w:tc>
          <w:tcPr>
            <w:tcW w:w="1134" w:type="dxa"/>
            <w:shd w:val="clear" w:color="auto" w:fill="auto"/>
            <w:tcMar>
              <w:top w:w="57" w:type="dxa"/>
              <w:left w:w="0" w:type="dxa"/>
              <w:bottom w:w="57" w:type="dxa"/>
              <w:right w:w="0" w:type="dxa"/>
            </w:tcMar>
            <w:vAlign w:val="bottom"/>
          </w:tcPr>
          <w:p w14:paraId="6D8BD074" w14:textId="77777777" w:rsidR="003F6CC4" w:rsidRPr="003F6CC4" w:rsidRDefault="003F6CC4" w:rsidP="003D2409">
            <w:pPr>
              <w:spacing w:line="240" w:lineRule="atLeast"/>
              <w:jc w:val="right"/>
              <w:rPr>
                <w:rFonts w:ascii="Tahoma" w:hAnsi="Tahoma"/>
                <w:b/>
                <w:bCs/>
                <w:color w:val="000000" w:themeColor="text1"/>
                <w:sz w:val="16"/>
                <w:lang w:val="en-GB"/>
              </w:rPr>
            </w:pPr>
            <w:r w:rsidRPr="003F6CC4">
              <w:rPr>
                <w:rFonts w:ascii="Tahoma" w:hAnsi="Tahoma"/>
                <w:b/>
                <w:bCs/>
                <w:color w:val="000000" w:themeColor="text1"/>
                <w:sz w:val="16"/>
                <w:lang w:val="en-GB"/>
              </w:rPr>
              <w:t>785</w:t>
            </w:r>
          </w:p>
        </w:tc>
        <w:tc>
          <w:tcPr>
            <w:tcW w:w="1134" w:type="dxa"/>
            <w:shd w:val="clear" w:color="auto" w:fill="auto"/>
            <w:tcMar>
              <w:top w:w="57" w:type="dxa"/>
              <w:left w:w="0" w:type="dxa"/>
              <w:bottom w:w="57" w:type="dxa"/>
              <w:right w:w="0" w:type="dxa"/>
            </w:tcMar>
            <w:vAlign w:val="bottom"/>
          </w:tcPr>
          <w:p w14:paraId="27C8D905" w14:textId="77777777" w:rsidR="003F6CC4" w:rsidRPr="003F6CC4" w:rsidRDefault="003F6CC4" w:rsidP="003D2409">
            <w:pPr>
              <w:spacing w:line="240" w:lineRule="atLeast"/>
              <w:jc w:val="right"/>
              <w:rPr>
                <w:rFonts w:ascii="Tahoma" w:hAnsi="Tahoma"/>
                <w:color w:val="000000" w:themeColor="text1"/>
                <w:sz w:val="16"/>
                <w:lang w:val="en-GB"/>
              </w:rPr>
            </w:pPr>
            <w:r w:rsidRPr="003F6CC4">
              <w:rPr>
                <w:rFonts w:ascii="Tahoma" w:hAnsi="Tahoma"/>
                <w:color w:val="000000" w:themeColor="text1"/>
                <w:sz w:val="16"/>
                <w:lang w:val="en-GB"/>
              </w:rPr>
              <w:t>26</w:t>
            </w:r>
          </w:p>
        </w:tc>
        <w:tc>
          <w:tcPr>
            <w:tcW w:w="1134" w:type="dxa"/>
            <w:shd w:val="clear" w:color="auto" w:fill="auto"/>
            <w:tcMar>
              <w:top w:w="57" w:type="dxa"/>
              <w:left w:w="0" w:type="dxa"/>
              <w:bottom w:w="57" w:type="dxa"/>
              <w:right w:w="0" w:type="dxa"/>
            </w:tcMar>
            <w:vAlign w:val="bottom"/>
          </w:tcPr>
          <w:p w14:paraId="5F3A576D" w14:textId="77777777" w:rsidR="003F6CC4" w:rsidRPr="003F6CC4" w:rsidRDefault="003F6CC4" w:rsidP="003D2409">
            <w:pPr>
              <w:spacing w:line="240" w:lineRule="atLeast"/>
              <w:ind w:right="113"/>
              <w:jc w:val="right"/>
              <w:rPr>
                <w:rFonts w:ascii="Tahoma" w:hAnsi="Tahoma"/>
                <w:color w:val="000000" w:themeColor="text1"/>
                <w:sz w:val="16"/>
                <w:lang w:val="en-GB"/>
              </w:rPr>
            </w:pPr>
            <w:r w:rsidRPr="003F6CC4">
              <w:rPr>
                <w:rFonts w:ascii="Tahoma" w:hAnsi="Tahoma"/>
                <w:color w:val="000000" w:themeColor="text1"/>
                <w:sz w:val="16"/>
                <w:lang w:val="en-GB"/>
              </w:rPr>
              <w:t>26</w:t>
            </w:r>
          </w:p>
        </w:tc>
      </w:tr>
      <w:tr w:rsidR="00615190" w:rsidRPr="003F6CC4" w14:paraId="772C1CEA" w14:textId="77777777" w:rsidTr="00182978">
        <w:trPr>
          <w:trHeight w:val="60"/>
        </w:trPr>
        <w:tc>
          <w:tcPr>
            <w:tcW w:w="397" w:type="dxa"/>
            <w:shd w:val="clear" w:color="auto" w:fill="auto"/>
            <w:tcMar>
              <w:top w:w="57" w:type="dxa"/>
              <w:left w:w="0" w:type="dxa"/>
              <w:bottom w:w="57" w:type="dxa"/>
              <w:right w:w="0" w:type="dxa"/>
            </w:tcMar>
            <w:vAlign w:val="bottom"/>
          </w:tcPr>
          <w:p w14:paraId="0C7B3CAE" w14:textId="77777777" w:rsidR="003F6CC4" w:rsidRPr="003F6CC4" w:rsidRDefault="003F6CC4" w:rsidP="00615190">
            <w:pPr>
              <w:spacing w:line="240" w:lineRule="atLeast"/>
              <w:rPr>
                <w:rFonts w:ascii="Tahoma" w:hAnsi="Tahoma"/>
                <w:color w:val="000000" w:themeColor="text1"/>
                <w:sz w:val="16"/>
                <w:lang w:val="en-GB"/>
              </w:rPr>
            </w:pPr>
          </w:p>
        </w:tc>
        <w:tc>
          <w:tcPr>
            <w:tcW w:w="6407" w:type="dxa"/>
            <w:shd w:val="clear" w:color="auto" w:fill="auto"/>
            <w:tcMar>
              <w:top w:w="57" w:type="dxa"/>
              <w:left w:w="0" w:type="dxa"/>
              <w:bottom w:w="57" w:type="dxa"/>
              <w:right w:w="0" w:type="dxa"/>
            </w:tcMar>
            <w:vAlign w:val="bottom"/>
          </w:tcPr>
          <w:p w14:paraId="6ED38605" w14:textId="77777777" w:rsidR="003F6CC4" w:rsidRPr="003F6CC4" w:rsidRDefault="003F6CC4" w:rsidP="00615190">
            <w:pPr>
              <w:spacing w:line="240" w:lineRule="atLeast"/>
              <w:rPr>
                <w:rFonts w:ascii="Tahoma" w:hAnsi="Tahoma"/>
                <w:color w:val="000000" w:themeColor="text1"/>
                <w:sz w:val="16"/>
                <w:lang w:val="en-GB"/>
              </w:rPr>
            </w:pPr>
            <w:r w:rsidRPr="003F6CC4">
              <w:rPr>
                <w:rFonts w:ascii="Tahoma" w:hAnsi="Tahoma"/>
                <w:color w:val="000000" w:themeColor="text1"/>
                <w:sz w:val="16"/>
                <w:lang w:val="en-GB"/>
              </w:rPr>
              <w:t>Disposals</w:t>
            </w:r>
            <w:r w:rsidRPr="002F078E">
              <w:rPr>
                <w:rFonts w:ascii="Tahoma" w:hAnsi="Tahoma"/>
                <w:color w:val="000000" w:themeColor="text1"/>
                <w:sz w:val="16"/>
                <w:vertAlign w:val="superscript"/>
                <w:lang w:val="en-GB"/>
              </w:rPr>
              <w:t>3</w:t>
            </w:r>
          </w:p>
        </w:tc>
        <w:tc>
          <w:tcPr>
            <w:tcW w:w="1134" w:type="dxa"/>
            <w:shd w:val="clear" w:color="auto" w:fill="auto"/>
            <w:tcMar>
              <w:top w:w="57" w:type="dxa"/>
              <w:left w:w="0" w:type="dxa"/>
              <w:bottom w:w="57" w:type="dxa"/>
              <w:right w:w="0" w:type="dxa"/>
            </w:tcMar>
            <w:vAlign w:val="bottom"/>
          </w:tcPr>
          <w:p w14:paraId="43C97177" w14:textId="77777777" w:rsidR="003F6CC4" w:rsidRPr="003F6CC4" w:rsidRDefault="003F6CC4" w:rsidP="003D2409">
            <w:pPr>
              <w:spacing w:line="240" w:lineRule="atLeast"/>
              <w:jc w:val="right"/>
              <w:rPr>
                <w:rFonts w:ascii="Tahoma" w:hAnsi="Tahoma"/>
                <w:b/>
                <w:bCs/>
                <w:color w:val="000000" w:themeColor="text1"/>
                <w:sz w:val="16"/>
                <w:lang w:val="en-GB"/>
              </w:rPr>
            </w:pPr>
            <w:r w:rsidRPr="003F6CC4">
              <w:rPr>
                <w:rFonts w:ascii="Tahoma" w:hAnsi="Tahoma"/>
                <w:b/>
                <w:bCs/>
                <w:color w:val="000000" w:themeColor="text1"/>
                <w:sz w:val="16"/>
                <w:lang w:val="en-GB"/>
              </w:rPr>
              <w:t>(3 733)</w:t>
            </w:r>
          </w:p>
        </w:tc>
        <w:tc>
          <w:tcPr>
            <w:tcW w:w="1134" w:type="dxa"/>
            <w:shd w:val="clear" w:color="auto" w:fill="auto"/>
            <w:tcMar>
              <w:top w:w="57" w:type="dxa"/>
              <w:left w:w="0" w:type="dxa"/>
              <w:bottom w:w="57" w:type="dxa"/>
              <w:right w:w="0" w:type="dxa"/>
            </w:tcMar>
            <w:vAlign w:val="bottom"/>
          </w:tcPr>
          <w:p w14:paraId="2212C19E" w14:textId="77777777" w:rsidR="003F6CC4" w:rsidRPr="003F6CC4" w:rsidRDefault="003F6CC4" w:rsidP="003D2409">
            <w:pPr>
              <w:spacing w:line="240" w:lineRule="atLeast"/>
              <w:jc w:val="right"/>
              <w:rPr>
                <w:rFonts w:ascii="Tahoma" w:hAnsi="Tahoma"/>
                <w:color w:val="000000" w:themeColor="text1"/>
                <w:sz w:val="16"/>
                <w:lang w:val="en-GB"/>
              </w:rPr>
            </w:pPr>
            <w:r w:rsidRPr="003F6CC4">
              <w:rPr>
                <w:rFonts w:ascii="Tahoma" w:hAnsi="Tahoma"/>
                <w:color w:val="000000" w:themeColor="text1"/>
                <w:sz w:val="16"/>
                <w:lang w:val="en-GB"/>
              </w:rPr>
              <w:t>—</w:t>
            </w:r>
          </w:p>
        </w:tc>
        <w:tc>
          <w:tcPr>
            <w:tcW w:w="1134" w:type="dxa"/>
            <w:shd w:val="clear" w:color="auto" w:fill="auto"/>
            <w:tcMar>
              <w:top w:w="57" w:type="dxa"/>
              <w:left w:w="0" w:type="dxa"/>
              <w:bottom w:w="57" w:type="dxa"/>
              <w:right w:w="0" w:type="dxa"/>
            </w:tcMar>
            <w:vAlign w:val="bottom"/>
          </w:tcPr>
          <w:p w14:paraId="449A86A4" w14:textId="77777777" w:rsidR="003F6CC4" w:rsidRPr="003F6CC4" w:rsidRDefault="003F6CC4" w:rsidP="003D2409">
            <w:pPr>
              <w:spacing w:line="240" w:lineRule="atLeast"/>
              <w:ind w:right="113"/>
              <w:jc w:val="right"/>
              <w:rPr>
                <w:rFonts w:ascii="Tahoma" w:hAnsi="Tahoma"/>
                <w:color w:val="000000" w:themeColor="text1"/>
                <w:sz w:val="16"/>
                <w:lang w:val="en-GB"/>
              </w:rPr>
            </w:pPr>
            <w:r w:rsidRPr="003F6CC4">
              <w:rPr>
                <w:rFonts w:ascii="Tahoma" w:hAnsi="Tahoma"/>
                <w:color w:val="000000" w:themeColor="text1"/>
                <w:sz w:val="16"/>
                <w:lang w:val="en-GB"/>
              </w:rPr>
              <w:t>(45)</w:t>
            </w:r>
          </w:p>
        </w:tc>
      </w:tr>
      <w:tr w:rsidR="00615190" w:rsidRPr="003F6CC4" w14:paraId="56326777" w14:textId="77777777" w:rsidTr="0038468E">
        <w:trPr>
          <w:trHeight w:val="60"/>
        </w:trPr>
        <w:tc>
          <w:tcPr>
            <w:tcW w:w="397" w:type="dxa"/>
            <w:shd w:val="clear" w:color="auto" w:fill="auto"/>
            <w:tcMar>
              <w:top w:w="57" w:type="dxa"/>
              <w:left w:w="0" w:type="dxa"/>
              <w:bottom w:w="57" w:type="dxa"/>
              <w:right w:w="0" w:type="dxa"/>
            </w:tcMar>
            <w:vAlign w:val="bottom"/>
          </w:tcPr>
          <w:p w14:paraId="725E26F4" w14:textId="77777777" w:rsidR="003F6CC4" w:rsidRPr="003F6CC4" w:rsidRDefault="003F6CC4" w:rsidP="00615190">
            <w:pPr>
              <w:spacing w:line="240" w:lineRule="atLeast"/>
              <w:rPr>
                <w:rFonts w:ascii="Tahoma" w:hAnsi="Tahoma"/>
                <w:color w:val="000000" w:themeColor="text1"/>
                <w:sz w:val="16"/>
                <w:lang w:val="en-GB"/>
              </w:rPr>
            </w:pPr>
          </w:p>
        </w:tc>
        <w:tc>
          <w:tcPr>
            <w:tcW w:w="6407" w:type="dxa"/>
            <w:shd w:val="clear" w:color="auto" w:fill="auto"/>
            <w:tcMar>
              <w:top w:w="57" w:type="dxa"/>
              <w:left w:w="0" w:type="dxa"/>
              <w:bottom w:w="57" w:type="dxa"/>
              <w:right w:w="0" w:type="dxa"/>
            </w:tcMar>
            <w:vAlign w:val="bottom"/>
          </w:tcPr>
          <w:p w14:paraId="210958DA" w14:textId="77777777" w:rsidR="003F6CC4" w:rsidRPr="003F6CC4" w:rsidRDefault="003F6CC4" w:rsidP="00615190">
            <w:pPr>
              <w:spacing w:line="240" w:lineRule="atLeast"/>
              <w:rPr>
                <w:rFonts w:ascii="Tahoma" w:hAnsi="Tahoma"/>
                <w:color w:val="000000" w:themeColor="text1"/>
                <w:sz w:val="16"/>
                <w:lang w:val="en-GB"/>
              </w:rPr>
            </w:pPr>
            <w:r w:rsidRPr="003F6CC4">
              <w:rPr>
                <w:rFonts w:ascii="Tahoma" w:hAnsi="Tahoma"/>
                <w:color w:val="000000" w:themeColor="text1"/>
                <w:sz w:val="16"/>
                <w:lang w:val="en-GB"/>
              </w:rPr>
              <w:t>Impact of the share repurchase programme and share exchange transaction</w:t>
            </w:r>
            <w:r w:rsidRPr="003F6CC4">
              <w:rPr>
                <w:rFonts w:ascii="Tahoma" w:hAnsi="Tahoma"/>
                <w:color w:val="000000" w:themeColor="text1"/>
                <w:sz w:val="16"/>
                <w:vertAlign w:val="superscript"/>
                <w:lang w:val="en-GB"/>
              </w:rPr>
              <w:t>4, 5</w:t>
            </w:r>
          </w:p>
        </w:tc>
        <w:tc>
          <w:tcPr>
            <w:tcW w:w="1134" w:type="dxa"/>
            <w:shd w:val="clear" w:color="auto" w:fill="auto"/>
            <w:tcMar>
              <w:top w:w="57" w:type="dxa"/>
              <w:left w:w="0" w:type="dxa"/>
              <w:bottom w:w="57" w:type="dxa"/>
              <w:right w:w="0" w:type="dxa"/>
            </w:tcMar>
            <w:vAlign w:val="bottom"/>
          </w:tcPr>
          <w:p w14:paraId="7EA2608F" w14:textId="77777777" w:rsidR="003F6CC4" w:rsidRPr="003F6CC4" w:rsidRDefault="003F6CC4" w:rsidP="003D2409">
            <w:pPr>
              <w:spacing w:line="240" w:lineRule="atLeast"/>
              <w:jc w:val="right"/>
              <w:rPr>
                <w:rFonts w:ascii="Tahoma" w:hAnsi="Tahoma"/>
                <w:b/>
                <w:bCs/>
                <w:color w:val="000000" w:themeColor="text1"/>
                <w:sz w:val="16"/>
                <w:lang w:val="en-GB"/>
              </w:rPr>
            </w:pPr>
            <w:r w:rsidRPr="003F6CC4">
              <w:rPr>
                <w:rFonts w:ascii="Tahoma" w:hAnsi="Tahoma"/>
                <w:b/>
                <w:bCs/>
                <w:color w:val="000000" w:themeColor="text1"/>
                <w:sz w:val="16"/>
                <w:lang w:val="en-GB"/>
              </w:rPr>
              <w:t>10</w:t>
            </w:r>
          </w:p>
        </w:tc>
        <w:tc>
          <w:tcPr>
            <w:tcW w:w="1134" w:type="dxa"/>
            <w:shd w:val="clear" w:color="auto" w:fill="auto"/>
            <w:tcMar>
              <w:top w:w="57" w:type="dxa"/>
              <w:left w:w="0" w:type="dxa"/>
              <w:bottom w:w="57" w:type="dxa"/>
              <w:right w:w="0" w:type="dxa"/>
            </w:tcMar>
            <w:vAlign w:val="bottom"/>
          </w:tcPr>
          <w:p w14:paraId="365F4516" w14:textId="77777777" w:rsidR="003F6CC4" w:rsidRPr="003F6CC4" w:rsidRDefault="003F6CC4" w:rsidP="003D2409">
            <w:pPr>
              <w:spacing w:line="240" w:lineRule="atLeast"/>
              <w:jc w:val="right"/>
              <w:rPr>
                <w:rFonts w:ascii="Tahoma" w:hAnsi="Tahoma"/>
                <w:color w:val="000000" w:themeColor="text1"/>
                <w:sz w:val="16"/>
                <w:lang w:val="en-GB"/>
              </w:rPr>
            </w:pPr>
            <w:r w:rsidRPr="003F6CC4">
              <w:rPr>
                <w:rFonts w:ascii="Tahoma" w:hAnsi="Tahoma"/>
                <w:color w:val="000000" w:themeColor="text1"/>
                <w:sz w:val="16"/>
                <w:lang w:val="en-GB"/>
              </w:rPr>
              <w:t>(2 640)</w:t>
            </w:r>
          </w:p>
        </w:tc>
        <w:tc>
          <w:tcPr>
            <w:tcW w:w="1134" w:type="dxa"/>
            <w:shd w:val="clear" w:color="auto" w:fill="auto"/>
            <w:tcMar>
              <w:top w:w="57" w:type="dxa"/>
              <w:left w:w="0" w:type="dxa"/>
              <w:bottom w:w="57" w:type="dxa"/>
              <w:right w:w="0" w:type="dxa"/>
            </w:tcMar>
            <w:vAlign w:val="bottom"/>
          </w:tcPr>
          <w:p w14:paraId="7FEA2FA2" w14:textId="77777777" w:rsidR="003F6CC4" w:rsidRPr="003F6CC4" w:rsidRDefault="003F6CC4" w:rsidP="003D2409">
            <w:pPr>
              <w:spacing w:line="240" w:lineRule="atLeast"/>
              <w:ind w:right="113"/>
              <w:jc w:val="right"/>
              <w:rPr>
                <w:rFonts w:ascii="Tahoma" w:hAnsi="Tahoma"/>
                <w:color w:val="000000" w:themeColor="text1"/>
                <w:sz w:val="16"/>
                <w:lang w:val="en-GB"/>
              </w:rPr>
            </w:pPr>
            <w:r w:rsidRPr="003F6CC4">
              <w:rPr>
                <w:rFonts w:ascii="Tahoma" w:hAnsi="Tahoma"/>
                <w:color w:val="000000" w:themeColor="text1"/>
                <w:sz w:val="16"/>
                <w:lang w:val="en-GB"/>
              </w:rPr>
              <w:t>(2 665)</w:t>
            </w:r>
          </w:p>
        </w:tc>
      </w:tr>
      <w:tr w:rsidR="00615190" w:rsidRPr="003F6CC4" w14:paraId="117E1514" w14:textId="77777777" w:rsidTr="00E07849">
        <w:trPr>
          <w:trHeight w:val="60"/>
        </w:trPr>
        <w:tc>
          <w:tcPr>
            <w:tcW w:w="397" w:type="dxa"/>
            <w:shd w:val="clear" w:color="auto" w:fill="auto"/>
            <w:tcMar>
              <w:top w:w="57" w:type="dxa"/>
              <w:left w:w="0" w:type="dxa"/>
              <w:bottom w:w="85" w:type="dxa"/>
              <w:right w:w="0" w:type="dxa"/>
            </w:tcMar>
            <w:vAlign w:val="bottom"/>
          </w:tcPr>
          <w:p w14:paraId="66B825C2" w14:textId="77777777" w:rsidR="003F6CC4" w:rsidRPr="003F6CC4" w:rsidRDefault="003F6CC4" w:rsidP="00615190">
            <w:pPr>
              <w:spacing w:line="240" w:lineRule="atLeast"/>
              <w:rPr>
                <w:rFonts w:ascii="Tahoma" w:hAnsi="Tahoma"/>
                <w:color w:val="000000" w:themeColor="text1"/>
                <w:sz w:val="16"/>
                <w:lang w:val="en-GB"/>
              </w:rPr>
            </w:pPr>
          </w:p>
        </w:tc>
        <w:tc>
          <w:tcPr>
            <w:tcW w:w="6407" w:type="dxa"/>
            <w:tcBorders>
              <w:bottom w:val="single" w:sz="4" w:space="0" w:color="auto"/>
            </w:tcBorders>
            <w:shd w:val="clear" w:color="auto" w:fill="auto"/>
            <w:tcMar>
              <w:top w:w="57" w:type="dxa"/>
              <w:left w:w="0" w:type="dxa"/>
              <w:bottom w:w="85" w:type="dxa"/>
              <w:right w:w="0" w:type="dxa"/>
            </w:tcMar>
            <w:vAlign w:val="bottom"/>
          </w:tcPr>
          <w:p w14:paraId="418D6209" w14:textId="77777777" w:rsidR="003F6CC4" w:rsidRPr="003F6CC4" w:rsidRDefault="003F6CC4" w:rsidP="00615190">
            <w:pPr>
              <w:spacing w:line="240" w:lineRule="atLeast"/>
              <w:rPr>
                <w:rFonts w:ascii="Tahoma" w:hAnsi="Tahoma"/>
                <w:color w:val="000000" w:themeColor="text1"/>
                <w:sz w:val="16"/>
                <w:lang w:val="en-GB"/>
              </w:rPr>
            </w:pPr>
            <w:r w:rsidRPr="003F6CC4">
              <w:rPr>
                <w:rFonts w:ascii="Tahoma" w:hAnsi="Tahoma"/>
                <w:color w:val="000000" w:themeColor="text1"/>
                <w:sz w:val="16"/>
                <w:lang w:val="en-GB"/>
              </w:rPr>
              <w:t>Foreign currency translation effects</w:t>
            </w:r>
          </w:p>
        </w:tc>
        <w:tc>
          <w:tcPr>
            <w:tcW w:w="1134" w:type="dxa"/>
            <w:tcBorders>
              <w:bottom w:val="single" w:sz="4" w:space="0" w:color="auto"/>
            </w:tcBorders>
            <w:shd w:val="clear" w:color="auto" w:fill="auto"/>
            <w:tcMar>
              <w:top w:w="57" w:type="dxa"/>
              <w:left w:w="0" w:type="dxa"/>
              <w:bottom w:w="85" w:type="dxa"/>
              <w:right w:w="0" w:type="dxa"/>
            </w:tcMar>
            <w:vAlign w:val="bottom"/>
          </w:tcPr>
          <w:p w14:paraId="67F6D5F3" w14:textId="4FD7DFBA" w:rsidR="003F6CC4" w:rsidRPr="003F6CC4" w:rsidRDefault="003F6CC4" w:rsidP="003D2409">
            <w:pPr>
              <w:spacing w:line="240" w:lineRule="atLeast"/>
              <w:jc w:val="right"/>
              <w:rPr>
                <w:rFonts w:ascii="Tahoma" w:hAnsi="Tahoma"/>
                <w:b/>
                <w:bCs/>
                <w:color w:val="000000" w:themeColor="text1"/>
                <w:sz w:val="16"/>
                <w:lang w:val="en-GB"/>
              </w:rPr>
            </w:pPr>
            <w:r w:rsidRPr="003F6CC4">
              <w:rPr>
                <w:rFonts w:ascii="Tahoma" w:hAnsi="Tahoma"/>
                <w:b/>
                <w:bCs/>
                <w:color w:val="000000" w:themeColor="text1"/>
                <w:sz w:val="16"/>
                <w:lang w:val="en-GB"/>
              </w:rPr>
              <w:t>(4</w:t>
            </w:r>
            <w:r w:rsidR="00CD7166">
              <w:rPr>
                <w:rFonts w:ascii="Tahoma" w:hAnsi="Tahoma"/>
                <w:b/>
                <w:bCs/>
                <w:color w:val="000000" w:themeColor="text1"/>
                <w:sz w:val="16"/>
                <w:lang w:val="en-GB"/>
              </w:rPr>
              <w:t>5</w:t>
            </w:r>
            <w:r w:rsidRPr="003F6CC4">
              <w:rPr>
                <w:rFonts w:ascii="Tahoma" w:hAnsi="Tahoma"/>
                <w:b/>
                <w:bCs/>
                <w:color w:val="000000" w:themeColor="text1"/>
                <w:sz w:val="16"/>
                <w:lang w:val="en-GB"/>
              </w:rPr>
              <w:t>)</w:t>
            </w:r>
          </w:p>
        </w:tc>
        <w:tc>
          <w:tcPr>
            <w:tcW w:w="1134" w:type="dxa"/>
            <w:tcBorders>
              <w:bottom w:val="single" w:sz="4" w:space="0" w:color="auto"/>
            </w:tcBorders>
            <w:shd w:val="clear" w:color="auto" w:fill="auto"/>
            <w:tcMar>
              <w:top w:w="57" w:type="dxa"/>
              <w:left w:w="0" w:type="dxa"/>
              <w:bottom w:w="85" w:type="dxa"/>
              <w:right w:w="0" w:type="dxa"/>
            </w:tcMar>
            <w:vAlign w:val="bottom"/>
          </w:tcPr>
          <w:p w14:paraId="037AAD96" w14:textId="77777777" w:rsidR="003F6CC4" w:rsidRPr="003F6CC4" w:rsidRDefault="003F6CC4" w:rsidP="003D2409">
            <w:pPr>
              <w:spacing w:line="240" w:lineRule="atLeast"/>
              <w:jc w:val="right"/>
              <w:rPr>
                <w:rFonts w:ascii="Tahoma" w:hAnsi="Tahoma"/>
                <w:color w:val="000000" w:themeColor="text1"/>
                <w:sz w:val="16"/>
                <w:lang w:val="en-GB"/>
              </w:rPr>
            </w:pPr>
            <w:r w:rsidRPr="003F6CC4">
              <w:rPr>
                <w:rFonts w:ascii="Tahoma" w:hAnsi="Tahoma"/>
                <w:color w:val="000000" w:themeColor="text1"/>
                <w:sz w:val="16"/>
                <w:lang w:val="en-GB"/>
              </w:rPr>
              <w:t>7</w:t>
            </w:r>
          </w:p>
        </w:tc>
        <w:tc>
          <w:tcPr>
            <w:tcW w:w="1134" w:type="dxa"/>
            <w:tcBorders>
              <w:bottom w:val="single" w:sz="4" w:space="0" w:color="auto"/>
            </w:tcBorders>
            <w:shd w:val="clear" w:color="auto" w:fill="auto"/>
            <w:tcMar>
              <w:top w:w="57" w:type="dxa"/>
              <w:left w:w="0" w:type="dxa"/>
              <w:bottom w:w="85" w:type="dxa"/>
              <w:right w:w="0" w:type="dxa"/>
            </w:tcMar>
            <w:vAlign w:val="bottom"/>
          </w:tcPr>
          <w:p w14:paraId="146212F6" w14:textId="77777777" w:rsidR="003F6CC4" w:rsidRPr="003F6CC4" w:rsidRDefault="003F6CC4" w:rsidP="003D2409">
            <w:pPr>
              <w:spacing w:line="240" w:lineRule="atLeast"/>
              <w:ind w:right="113"/>
              <w:jc w:val="right"/>
              <w:rPr>
                <w:rFonts w:ascii="Tahoma" w:hAnsi="Tahoma"/>
                <w:color w:val="000000" w:themeColor="text1"/>
                <w:sz w:val="16"/>
                <w:lang w:val="en-GB"/>
              </w:rPr>
            </w:pPr>
            <w:r w:rsidRPr="003F6CC4">
              <w:rPr>
                <w:rFonts w:ascii="Tahoma" w:hAnsi="Tahoma"/>
                <w:color w:val="000000" w:themeColor="text1"/>
                <w:sz w:val="16"/>
                <w:lang w:val="en-GB"/>
              </w:rPr>
              <w:t>44</w:t>
            </w:r>
          </w:p>
        </w:tc>
      </w:tr>
      <w:tr w:rsidR="00615190" w:rsidRPr="003F6CC4" w14:paraId="63F31B30" w14:textId="77777777" w:rsidTr="00E07849">
        <w:trPr>
          <w:trHeight w:val="60"/>
        </w:trPr>
        <w:tc>
          <w:tcPr>
            <w:tcW w:w="397" w:type="dxa"/>
            <w:shd w:val="clear" w:color="auto" w:fill="auto"/>
            <w:tcMar>
              <w:top w:w="85" w:type="dxa"/>
              <w:left w:w="0" w:type="dxa"/>
              <w:bottom w:w="85" w:type="dxa"/>
              <w:right w:w="0" w:type="dxa"/>
            </w:tcMar>
            <w:vAlign w:val="bottom"/>
          </w:tcPr>
          <w:p w14:paraId="2CFB4C1A" w14:textId="77777777" w:rsidR="003F6CC4" w:rsidRPr="003F6CC4" w:rsidRDefault="003F6CC4" w:rsidP="00615190">
            <w:pPr>
              <w:spacing w:line="240" w:lineRule="atLeast"/>
              <w:rPr>
                <w:rFonts w:ascii="Tahoma" w:hAnsi="Tahoma"/>
                <w:color w:val="000000" w:themeColor="text1"/>
                <w:sz w:val="16"/>
                <w:lang w:val="en-GB"/>
              </w:rPr>
            </w:pPr>
          </w:p>
        </w:tc>
        <w:tc>
          <w:tcPr>
            <w:tcW w:w="6407"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3FA33EE3" w14:textId="77777777" w:rsidR="003F6CC4" w:rsidRPr="003F6CC4" w:rsidRDefault="003F6CC4" w:rsidP="00615190">
            <w:pPr>
              <w:spacing w:line="240" w:lineRule="atLeast"/>
              <w:rPr>
                <w:rFonts w:ascii="Tahoma" w:hAnsi="Tahoma"/>
                <w:b/>
                <w:bCs/>
                <w:color w:val="000000" w:themeColor="text1"/>
                <w:sz w:val="16"/>
                <w:lang w:val="en-GB"/>
              </w:rPr>
            </w:pPr>
            <w:r w:rsidRPr="003F6CC4">
              <w:rPr>
                <w:rFonts w:ascii="Tahoma" w:hAnsi="Tahoma"/>
                <w:b/>
                <w:bCs/>
                <w:color w:val="000000" w:themeColor="text1"/>
                <w:sz w:val="16"/>
                <w:lang w:val="en-GB"/>
              </w:rPr>
              <w:t xml:space="preserve">Closing balance </w:t>
            </w:r>
          </w:p>
        </w:tc>
        <w:tc>
          <w:tcPr>
            <w:tcW w:w="1134"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74B06234" w14:textId="77777777" w:rsidR="003F6CC4" w:rsidRPr="003F6CC4" w:rsidRDefault="003F6CC4" w:rsidP="003D2409">
            <w:pPr>
              <w:spacing w:line="240" w:lineRule="atLeast"/>
              <w:jc w:val="right"/>
              <w:rPr>
                <w:rFonts w:ascii="Tahoma" w:hAnsi="Tahoma"/>
                <w:b/>
                <w:bCs/>
                <w:color w:val="000000" w:themeColor="text1"/>
                <w:sz w:val="16"/>
                <w:lang w:val="en-GB"/>
              </w:rPr>
            </w:pPr>
            <w:r w:rsidRPr="003F6CC4">
              <w:rPr>
                <w:rFonts w:ascii="Tahoma" w:hAnsi="Tahoma"/>
                <w:b/>
                <w:bCs/>
                <w:color w:val="000000" w:themeColor="text1"/>
                <w:sz w:val="16"/>
                <w:lang w:val="en-GB"/>
              </w:rPr>
              <w:t>2 771</w:t>
            </w:r>
          </w:p>
        </w:tc>
        <w:tc>
          <w:tcPr>
            <w:tcW w:w="1134"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2DB459A1" w14:textId="77777777" w:rsidR="003F6CC4" w:rsidRPr="003F6CC4" w:rsidRDefault="003F6CC4" w:rsidP="003D2409">
            <w:pPr>
              <w:spacing w:line="240" w:lineRule="atLeast"/>
              <w:jc w:val="right"/>
              <w:rPr>
                <w:rFonts w:ascii="Tahoma" w:hAnsi="Tahoma"/>
                <w:color w:val="000000" w:themeColor="text1"/>
                <w:sz w:val="16"/>
                <w:lang w:val="en-GB"/>
              </w:rPr>
            </w:pPr>
            <w:r w:rsidRPr="003F6CC4">
              <w:rPr>
                <w:rFonts w:ascii="Tahoma" w:hAnsi="Tahoma"/>
                <w:color w:val="000000" w:themeColor="text1"/>
                <w:sz w:val="16"/>
                <w:lang w:val="en-GB"/>
              </w:rPr>
              <w:t>1 929</w:t>
            </w:r>
          </w:p>
        </w:tc>
        <w:tc>
          <w:tcPr>
            <w:tcW w:w="1134"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7ADF4F53" w14:textId="77777777" w:rsidR="003F6CC4" w:rsidRPr="003F6CC4" w:rsidRDefault="003F6CC4" w:rsidP="003D2409">
            <w:pPr>
              <w:spacing w:line="240" w:lineRule="atLeast"/>
              <w:ind w:right="113"/>
              <w:jc w:val="right"/>
              <w:rPr>
                <w:rFonts w:ascii="Tahoma" w:hAnsi="Tahoma"/>
                <w:color w:val="000000" w:themeColor="text1"/>
                <w:sz w:val="16"/>
                <w:lang w:val="en-GB"/>
              </w:rPr>
            </w:pPr>
            <w:r w:rsidRPr="003F6CC4">
              <w:rPr>
                <w:rFonts w:ascii="Tahoma" w:hAnsi="Tahoma"/>
                <w:color w:val="000000" w:themeColor="text1"/>
                <w:sz w:val="16"/>
                <w:lang w:val="en-GB"/>
              </w:rPr>
              <w:t>5 918</w:t>
            </w:r>
          </w:p>
        </w:tc>
      </w:tr>
      <w:tr w:rsidR="00615190" w:rsidRPr="003F6CC4" w14:paraId="0F8009E7" w14:textId="77777777" w:rsidTr="00E07849">
        <w:trPr>
          <w:trHeight w:val="60"/>
        </w:trPr>
        <w:tc>
          <w:tcPr>
            <w:tcW w:w="397" w:type="dxa"/>
            <w:shd w:val="clear" w:color="auto" w:fill="auto"/>
            <w:tcMar>
              <w:top w:w="85" w:type="dxa"/>
              <w:left w:w="0" w:type="dxa"/>
              <w:bottom w:w="85" w:type="dxa"/>
              <w:right w:w="0" w:type="dxa"/>
            </w:tcMar>
            <w:vAlign w:val="bottom"/>
          </w:tcPr>
          <w:p w14:paraId="0066D9FB" w14:textId="77777777" w:rsidR="003F6CC4" w:rsidRPr="003F6CC4" w:rsidRDefault="003F6CC4" w:rsidP="00615190">
            <w:pPr>
              <w:spacing w:line="240" w:lineRule="atLeast"/>
              <w:rPr>
                <w:rFonts w:ascii="Tahoma" w:hAnsi="Tahoma"/>
                <w:color w:val="000000" w:themeColor="text1"/>
                <w:sz w:val="16"/>
                <w:lang w:val="en-GB"/>
              </w:rPr>
            </w:pPr>
          </w:p>
        </w:tc>
        <w:tc>
          <w:tcPr>
            <w:tcW w:w="9809" w:type="dxa"/>
            <w:gridSpan w:val="4"/>
            <w:tcBorders>
              <w:top w:val="single" w:sz="12" w:space="0" w:color="auto"/>
            </w:tcBorders>
            <w:shd w:val="clear" w:color="auto" w:fill="auto"/>
            <w:tcMar>
              <w:top w:w="85" w:type="dxa"/>
              <w:left w:w="0" w:type="dxa"/>
              <w:bottom w:w="85" w:type="dxa"/>
              <w:right w:w="0" w:type="dxa"/>
            </w:tcMar>
            <w:vAlign w:val="bottom"/>
          </w:tcPr>
          <w:p w14:paraId="04C527FC" w14:textId="77777777" w:rsidR="003F6CC4" w:rsidRPr="00BD0E73" w:rsidRDefault="003F6CC4" w:rsidP="00BD0E73">
            <w:pPr>
              <w:pStyle w:val="FootnotesProsus2022FrontStylesProsus2022"/>
            </w:pPr>
            <w:r w:rsidRPr="00BD0E73">
              <w:t>1</w:t>
            </w:r>
            <w:r w:rsidRPr="00BD0E73">
              <w:tab/>
              <w:t>The significant movement in the prior year relates to the acquisition of Naspers shares prior to the share exchange transaction and the dividend in specie received from Tencent in the form of JD.com shares.</w:t>
            </w:r>
          </w:p>
          <w:p w14:paraId="1A9BB210" w14:textId="77777777" w:rsidR="003F6CC4" w:rsidRPr="00BD0E73" w:rsidRDefault="003F6CC4" w:rsidP="00BD0E73">
            <w:pPr>
              <w:pStyle w:val="FootnotesProsus2022FrontStylesProsus2022"/>
            </w:pPr>
            <w:r w:rsidRPr="00BD0E73">
              <w:t>2</w:t>
            </w:r>
            <w:r w:rsidRPr="00BD0E73">
              <w:tab/>
              <w:t>The significant movement in the current year relates to the investments in BYJU'S and Udemy upon loss of significant influence (refer to note 16).</w:t>
            </w:r>
          </w:p>
          <w:p w14:paraId="620AC48C" w14:textId="77777777" w:rsidR="003F6CC4" w:rsidRPr="00BD0E73" w:rsidRDefault="003F6CC4" w:rsidP="00BD0E73">
            <w:pPr>
              <w:pStyle w:val="FootnotesProsus2022FrontStylesProsus2022"/>
            </w:pPr>
            <w:r w:rsidRPr="00BD0E73">
              <w:t>3</w:t>
            </w:r>
            <w:r w:rsidRPr="00BD0E73">
              <w:tab/>
              <w:t>The significant movement in the current year relates to the disposal of the JD.com investment (refer to note 16).</w:t>
            </w:r>
          </w:p>
          <w:p w14:paraId="52231360" w14:textId="77777777" w:rsidR="003F6CC4" w:rsidRPr="00BD0E73" w:rsidRDefault="003F6CC4" w:rsidP="00BD0E73">
            <w:pPr>
              <w:pStyle w:val="FootnotesProsus2022FrontStylesProsus2022"/>
            </w:pPr>
            <w:r w:rsidRPr="00BD0E73">
              <w:t>4</w:t>
            </w:r>
            <w:r w:rsidRPr="00BD0E73">
              <w:tab/>
              <w:t>The current period includes the movement in the residual interest in Naspers group as a result of the share repurchase programme (refer to note 3).</w:t>
            </w:r>
          </w:p>
          <w:p w14:paraId="26AB2A3C" w14:textId="77777777" w:rsidR="003F6CC4" w:rsidRPr="00BD0E73" w:rsidRDefault="003F6CC4" w:rsidP="00BD0E73">
            <w:pPr>
              <w:pStyle w:val="FootnotesProsus2022FrontStylesProsus2022"/>
            </w:pPr>
            <w:r w:rsidRPr="00BD0E73">
              <w:t>5</w:t>
            </w:r>
            <w:r w:rsidRPr="00BD0E73">
              <w:tab/>
              <w:t>The significant movement in the prior year relates to the share exchange transaction.</w:t>
            </w:r>
          </w:p>
        </w:tc>
      </w:tr>
    </w:tbl>
    <w:p w14:paraId="3E08AF0C" w14:textId="77777777" w:rsidR="002A41CB" w:rsidRDefault="002A41CB" w:rsidP="00615190">
      <w:pPr>
        <w:spacing w:line="240" w:lineRule="atLeast"/>
        <w:rPr>
          <w:rFonts w:ascii="Tahoma" w:hAnsi="Tahoma"/>
          <w:color w:val="000000" w:themeColor="text1"/>
          <w:sz w:val="16"/>
        </w:rPr>
      </w:pPr>
    </w:p>
    <w:p w14:paraId="6E3027D0" w14:textId="77777777" w:rsidR="002A41CB" w:rsidRDefault="002A41CB">
      <w:pPr>
        <w:rPr>
          <w:rFonts w:ascii="Tahoma" w:hAnsi="Tahoma"/>
          <w:color w:val="000000" w:themeColor="text1"/>
          <w:sz w:val="16"/>
        </w:rPr>
      </w:pPr>
      <w:r>
        <w:rPr>
          <w:rFonts w:ascii="Tahoma" w:hAnsi="Tahoma"/>
          <w:color w:val="000000" w:themeColor="text1"/>
          <w:sz w:val="16"/>
        </w:rPr>
        <w:br w:type="page"/>
      </w:r>
    </w:p>
    <w:p w14:paraId="48744934" w14:textId="77777777" w:rsidR="003F6CC4" w:rsidRPr="00615190" w:rsidRDefault="003F6CC4" w:rsidP="00615190">
      <w:pPr>
        <w:spacing w:line="240" w:lineRule="atLeast"/>
        <w:rPr>
          <w:rFonts w:ascii="Tahoma" w:hAnsi="Tahoma"/>
          <w:color w:val="000000" w:themeColor="text1"/>
          <w:sz w:val="16"/>
        </w:rPr>
      </w:pPr>
    </w:p>
    <w:tbl>
      <w:tblPr>
        <w:tblW w:w="10206" w:type="dxa"/>
        <w:tblInd w:w="-8" w:type="dxa"/>
        <w:tblLayout w:type="fixed"/>
        <w:tblCellMar>
          <w:left w:w="0" w:type="dxa"/>
          <w:right w:w="0" w:type="dxa"/>
        </w:tblCellMar>
        <w:tblLook w:val="0000" w:firstRow="0" w:lastRow="0" w:firstColumn="0" w:lastColumn="0" w:noHBand="0" w:noVBand="0"/>
      </w:tblPr>
      <w:tblGrid>
        <w:gridCol w:w="397"/>
        <w:gridCol w:w="6407"/>
        <w:gridCol w:w="1134"/>
        <w:gridCol w:w="1134"/>
        <w:gridCol w:w="1134"/>
      </w:tblGrid>
      <w:tr w:rsidR="00615190" w:rsidRPr="00EC294A" w14:paraId="5F602C82" w14:textId="77777777" w:rsidTr="00B679E7">
        <w:trPr>
          <w:trHeight w:val="60"/>
        </w:trPr>
        <w:tc>
          <w:tcPr>
            <w:tcW w:w="397" w:type="dxa"/>
            <w:shd w:val="clear" w:color="auto" w:fill="auto"/>
            <w:tcMar>
              <w:top w:w="0" w:type="dxa"/>
              <w:left w:w="0" w:type="dxa"/>
              <w:bottom w:w="57" w:type="dxa"/>
              <w:right w:w="0" w:type="dxa"/>
            </w:tcMar>
            <w:vAlign w:val="bottom"/>
          </w:tcPr>
          <w:p w14:paraId="3029266F" w14:textId="77777777" w:rsidR="00EC294A" w:rsidRPr="00EC294A" w:rsidRDefault="00DF6D22" w:rsidP="009D777D">
            <w:pPr>
              <w:spacing w:line="200" w:lineRule="exact"/>
              <w:contextualSpacing/>
              <w:rPr>
                <w:rFonts w:ascii="Tahoma" w:hAnsi="Tahoma"/>
                <w:b/>
                <w:bCs/>
                <w:color w:val="000000" w:themeColor="text1"/>
                <w:sz w:val="16"/>
                <w:lang w:val="en-GB"/>
              </w:rPr>
            </w:pPr>
            <w:r w:rsidRPr="00EC294A">
              <w:rPr>
                <w:rFonts w:ascii="Tahoma" w:hAnsi="Tahoma"/>
                <w:b/>
                <w:bCs/>
                <w:color w:val="000000" w:themeColor="text1"/>
                <w:sz w:val="16"/>
                <w:lang w:val="en-GB"/>
              </w:rPr>
              <w:t>13.</w:t>
            </w:r>
          </w:p>
        </w:tc>
        <w:tc>
          <w:tcPr>
            <w:tcW w:w="9809" w:type="dxa"/>
            <w:gridSpan w:val="4"/>
            <w:shd w:val="clear" w:color="auto" w:fill="auto"/>
            <w:tcMar>
              <w:top w:w="0" w:type="dxa"/>
              <w:left w:w="0" w:type="dxa"/>
              <w:bottom w:w="57" w:type="dxa"/>
              <w:right w:w="0" w:type="dxa"/>
            </w:tcMar>
            <w:vAlign w:val="bottom"/>
          </w:tcPr>
          <w:p w14:paraId="35B4424C" w14:textId="77777777" w:rsidR="00EC294A" w:rsidRPr="00EC294A" w:rsidRDefault="00DF6D22" w:rsidP="009D777D">
            <w:pPr>
              <w:spacing w:line="200" w:lineRule="exact"/>
              <w:contextualSpacing/>
              <w:rPr>
                <w:rFonts w:ascii="Tahoma" w:hAnsi="Tahoma"/>
                <w:b/>
                <w:bCs/>
                <w:color w:val="000000" w:themeColor="text1"/>
                <w:sz w:val="16"/>
                <w:lang w:val="en-GB"/>
              </w:rPr>
            </w:pPr>
            <w:r w:rsidRPr="00EC294A">
              <w:rPr>
                <w:rFonts w:ascii="Tahoma" w:hAnsi="Tahoma"/>
                <w:b/>
                <w:bCs/>
                <w:color w:val="000000" w:themeColor="text1"/>
                <w:sz w:val="16"/>
                <w:lang w:val="en-GB"/>
              </w:rPr>
              <w:t>COMMITMENTS AND CONTINGENT LIABILITIES</w:t>
            </w:r>
          </w:p>
        </w:tc>
      </w:tr>
      <w:tr w:rsidR="00615190" w:rsidRPr="00EC294A" w14:paraId="14A36B3F" w14:textId="77777777" w:rsidTr="00B679E7">
        <w:trPr>
          <w:trHeight w:val="60"/>
        </w:trPr>
        <w:tc>
          <w:tcPr>
            <w:tcW w:w="397" w:type="dxa"/>
            <w:shd w:val="clear" w:color="auto" w:fill="auto"/>
            <w:tcMar>
              <w:top w:w="57" w:type="dxa"/>
              <w:left w:w="0" w:type="dxa"/>
              <w:bottom w:w="113" w:type="dxa"/>
              <w:right w:w="0" w:type="dxa"/>
            </w:tcMar>
            <w:vAlign w:val="bottom"/>
          </w:tcPr>
          <w:p w14:paraId="07985B56" w14:textId="77777777" w:rsidR="00EC294A" w:rsidRPr="00EC294A" w:rsidRDefault="00EC294A" w:rsidP="009D777D">
            <w:pPr>
              <w:spacing w:line="200" w:lineRule="exact"/>
              <w:contextualSpacing/>
              <w:rPr>
                <w:rFonts w:ascii="Tahoma" w:hAnsi="Tahoma"/>
                <w:color w:val="000000" w:themeColor="text1"/>
                <w:sz w:val="16"/>
                <w:lang w:val="en-GB"/>
              </w:rPr>
            </w:pPr>
          </w:p>
        </w:tc>
        <w:tc>
          <w:tcPr>
            <w:tcW w:w="9809" w:type="dxa"/>
            <w:gridSpan w:val="4"/>
            <w:shd w:val="clear" w:color="auto" w:fill="auto"/>
            <w:tcMar>
              <w:top w:w="57" w:type="dxa"/>
              <w:left w:w="0" w:type="dxa"/>
              <w:bottom w:w="113" w:type="dxa"/>
              <w:right w:w="0" w:type="dxa"/>
            </w:tcMar>
            <w:vAlign w:val="bottom"/>
          </w:tcPr>
          <w:p w14:paraId="7AF49920" w14:textId="77777777" w:rsidR="00EC294A" w:rsidRPr="00EC294A" w:rsidRDefault="00EC294A" w:rsidP="009D777D">
            <w:pPr>
              <w:spacing w:line="200" w:lineRule="exact"/>
              <w:contextualSpacing/>
              <w:rPr>
                <w:rFonts w:ascii="Tahoma" w:hAnsi="Tahoma"/>
                <w:color w:val="000000" w:themeColor="text1"/>
                <w:sz w:val="16"/>
                <w:lang w:val="en-GB"/>
              </w:rPr>
            </w:pPr>
            <w:r w:rsidRPr="00EC294A">
              <w:rPr>
                <w:rFonts w:ascii="Tahoma" w:hAnsi="Tahoma"/>
                <w:color w:val="000000" w:themeColor="text1"/>
                <w:sz w:val="16"/>
                <w:lang w:val="en-GB"/>
              </w:rPr>
              <w:t xml:space="preserve">Commitments relate to amounts for which the group has contracted, but that have not yet been recognised as obligations in the statement of financial position. </w:t>
            </w:r>
          </w:p>
        </w:tc>
      </w:tr>
      <w:tr w:rsidR="00615190" w:rsidRPr="00EC294A" w14:paraId="6F6560CF" w14:textId="77777777" w:rsidTr="007A5827">
        <w:trPr>
          <w:trHeight w:val="60"/>
        </w:trPr>
        <w:tc>
          <w:tcPr>
            <w:tcW w:w="397" w:type="dxa"/>
            <w:shd w:val="clear" w:color="auto" w:fill="auto"/>
            <w:tcMar>
              <w:top w:w="85" w:type="dxa"/>
              <w:left w:w="0" w:type="dxa"/>
              <w:bottom w:w="85" w:type="dxa"/>
              <w:right w:w="0" w:type="dxa"/>
            </w:tcMar>
            <w:vAlign w:val="bottom"/>
          </w:tcPr>
          <w:p w14:paraId="5C5604DC" w14:textId="77777777" w:rsidR="00EC294A" w:rsidRPr="00EC294A" w:rsidRDefault="00EC294A" w:rsidP="009D777D">
            <w:pPr>
              <w:spacing w:line="200" w:lineRule="exact"/>
              <w:contextualSpacing/>
              <w:rPr>
                <w:rFonts w:ascii="Tahoma" w:hAnsi="Tahoma"/>
                <w:color w:val="000000" w:themeColor="text1"/>
                <w:sz w:val="16"/>
                <w:lang w:val="en-GB"/>
              </w:rPr>
            </w:pPr>
          </w:p>
        </w:tc>
        <w:tc>
          <w:tcPr>
            <w:tcW w:w="6407" w:type="dxa"/>
            <w:shd w:val="clear" w:color="auto" w:fill="auto"/>
            <w:tcMar>
              <w:top w:w="85" w:type="dxa"/>
              <w:left w:w="0" w:type="dxa"/>
              <w:bottom w:w="85" w:type="dxa"/>
              <w:right w:w="0" w:type="dxa"/>
            </w:tcMar>
            <w:vAlign w:val="bottom"/>
          </w:tcPr>
          <w:p w14:paraId="6B0555DE" w14:textId="77777777" w:rsidR="00EC294A" w:rsidRPr="00EC294A" w:rsidRDefault="00EC294A" w:rsidP="009D777D">
            <w:pPr>
              <w:spacing w:line="200" w:lineRule="exact"/>
              <w:contextualSpacing/>
              <w:rPr>
                <w:rFonts w:ascii="Tahoma" w:hAnsi="Tahoma"/>
                <w:color w:val="000000" w:themeColor="text1"/>
                <w:sz w:val="16"/>
                <w:lang w:val="en-GB"/>
              </w:rPr>
            </w:pPr>
          </w:p>
        </w:tc>
        <w:tc>
          <w:tcPr>
            <w:tcW w:w="2268" w:type="dxa"/>
            <w:gridSpan w:val="2"/>
            <w:shd w:val="clear" w:color="auto" w:fill="auto"/>
            <w:tcMar>
              <w:top w:w="85" w:type="dxa"/>
              <w:left w:w="0" w:type="dxa"/>
              <w:bottom w:w="85" w:type="dxa"/>
              <w:right w:w="0" w:type="dxa"/>
            </w:tcMar>
            <w:vAlign w:val="bottom"/>
          </w:tcPr>
          <w:p w14:paraId="46BC1FB5" w14:textId="77777777" w:rsidR="00EC294A" w:rsidRPr="00EC294A" w:rsidRDefault="00EC294A" w:rsidP="007A5827">
            <w:pPr>
              <w:spacing w:line="200" w:lineRule="exact"/>
              <w:ind w:left="430"/>
              <w:contextualSpacing/>
              <w:jc w:val="center"/>
              <w:rPr>
                <w:rFonts w:ascii="Tahoma" w:hAnsi="Tahoma"/>
                <w:b/>
                <w:bCs/>
                <w:color w:val="000000" w:themeColor="text1"/>
                <w:sz w:val="16"/>
                <w:lang w:val="en-GB"/>
              </w:rPr>
            </w:pPr>
            <w:r w:rsidRPr="00EC294A">
              <w:rPr>
                <w:rFonts w:ascii="Tahoma" w:hAnsi="Tahoma"/>
                <w:b/>
                <w:bCs/>
                <w:color w:val="000000" w:themeColor="text1"/>
                <w:sz w:val="16"/>
                <w:lang w:val="en-GB"/>
              </w:rPr>
              <w:t>Six months ended</w:t>
            </w:r>
          </w:p>
          <w:p w14:paraId="3A19388C" w14:textId="77777777" w:rsidR="00EC294A" w:rsidRPr="00EC294A" w:rsidRDefault="00EC294A" w:rsidP="007A5827">
            <w:pPr>
              <w:spacing w:line="200" w:lineRule="exact"/>
              <w:ind w:left="430"/>
              <w:contextualSpacing/>
              <w:jc w:val="center"/>
              <w:rPr>
                <w:rFonts w:ascii="Tahoma" w:hAnsi="Tahoma"/>
                <w:color w:val="000000" w:themeColor="text1"/>
                <w:sz w:val="16"/>
                <w:lang w:val="en-GB"/>
              </w:rPr>
            </w:pPr>
            <w:r w:rsidRPr="00EC294A">
              <w:rPr>
                <w:rFonts w:ascii="Tahoma" w:hAnsi="Tahoma"/>
                <w:b/>
                <w:bCs/>
                <w:color w:val="000000" w:themeColor="text1"/>
                <w:sz w:val="16"/>
                <w:lang w:val="en-GB"/>
              </w:rPr>
              <w:t>30 September</w:t>
            </w:r>
          </w:p>
        </w:tc>
        <w:tc>
          <w:tcPr>
            <w:tcW w:w="1134" w:type="dxa"/>
            <w:shd w:val="clear" w:color="auto" w:fill="auto"/>
            <w:tcMar>
              <w:top w:w="85" w:type="dxa"/>
              <w:left w:w="0" w:type="dxa"/>
              <w:bottom w:w="85" w:type="dxa"/>
              <w:right w:w="0" w:type="dxa"/>
            </w:tcMar>
            <w:vAlign w:val="bottom"/>
          </w:tcPr>
          <w:p w14:paraId="749B2BDF" w14:textId="77777777" w:rsidR="00EC294A" w:rsidRPr="00EC294A" w:rsidRDefault="00EC294A" w:rsidP="009D777D">
            <w:pPr>
              <w:spacing w:line="200" w:lineRule="exact"/>
              <w:ind w:right="113"/>
              <w:contextualSpacing/>
              <w:jc w:val="right"/>
              <w:rPr>
                <w:rFonts w:ascii="Tahoma" w:hAnsi="Tahoma"/>
                <w:color w:val="000000" w:themeColor="text1"/>
                <w:sz w:val="16"/>
                <w:lang w:val="en-GB"/>
              </w:rPr>
            </w:pPr>
            <w:r w:rsidRPr="00EC294A">
              <w:rPr>
                <w:rFonts w:ascii="Tahoma" w:hAnsi="Tahoma"/>
                <w:color w:val="000000" w:themeColor="text1"/>
                <w:sz w:val="16"/>
                <w:lang w:val="en-GB"/>
              </w:rPr>
              <w:t>Year</w:t>
            </w:r>
          </w:p>
          <w:p w14:paraId="7FEF021E" w14:textId="77777777" w:rsidR="00EC294A" w:rsidRPr="00EC294A" w:rsidRDefault="00EC294A" w:rsidP="009D777D">
            <w:pPr>
              <w:spacing w:line="200" w:lineRule="exact"/>
              <w:ind w:right="113"/>
              <w:contextualSpacing/>
              <w:jc w:val="right"/>
              <w:rPr>
                <w:rFonts w:ascii="Tahoma" w:hAnsi="Tahoma"/>
                <w:color w:val="000000" w:themeColor="text1"/>
                <w:sz w:val="16"/>
                <w:lang w:val="en-GB"/>
              </w:rPr>
            </w:pPr>
            <w:r w:rsidRPr="00EC294A">
              <w:rPr>
                <w:rFonts w:ascii="Tahoma" w:hAnsi="Tahoma"/>
                <w:color w:val="000000" w:themeColor="text1"/>
                <w:sz w:val="16"/>
                <w:lang w:val="en-GB"/>
              </w:rPr>
              <w:t>ended</w:t>
            </w:r>
          </w:p>
          <w:p w14:paraId="0F313FB3" w14:textId="77777777" w:rsidR="00EC294A" w:rsidRPr="00EC294A" w:rsidRDefault="00EC294A" w:rsidP="009D777D">
            <w:pPr>
              <w:spacing w:line="200" w:lineRule="exact"/>
              <w:ind w:right="113"/>
              <w:contextualSpacing/>
              <w:jc w:val="right"/>
              <w:rPr>
                <w:rFonts w:ascii="Tahoma" w:hAnsi="Tahoma"/>
                <w:color w:val="000000" w:themeColor="text1"/>
                <w:sz w:val="16"/>
                <w:lang w:val="en-GB"/>
              </w:rPr>
            </w:pPr>
            <w:r w:rsidRPr="00EC294A">
              <w:rPr>
                <w:rFonts w:ascii="Tahoma" w:hAnsi="Tahoma"/>
                <w:color w:val="000000" w:themeColor="text1"/>
                <w:sz w:val="16"/>
                <w:lang w:val="en-GB"/>
              </w:rPr>
              <w:t>31 March</w:t>
            </w:r>
          </w:p>
        </w:tc>
      </w:tr>
      <w:tr w:rsidR="00615190" w:rsidRPr="00EC294A" w14:paraId="12E5A92E" w14:textId="77777777" w:rsidTr="007A5827">
        <w:trPr>
          <w:trHeight w:val="60"/>
        </w:trPr>
        <w:tc>
          <w:tcPr>
            <w:tcW w:w="397" w:type="dxa"/>
            <w:shd w:val="clear" w:color="auto" w:fill="auto"/>
            <w:tcMar>
              <w:top w:w="113" w:type="dxa"/>
              <w:left w:w="0" w:type="dxa"/>
              <w:bottom w:w="113" w:type="dxa"/>
              <w:right w:w="0" w:type="dxa"/>
            </w:tcMar>
            <w:vAlign w:val="bottom"/>
          </w:tcPr>
          <w:p w14:paraId="1F3FDA8A" w14:textId="77777777" w:rsidR="00EC294A" w:rsidRPr="00EC294A" w:rsidRDefault="00EC294A" w:rsidP="009D777D">
            <w:pPr>
              <w:spacing w:line="200" w:lineRule="exact"/>
              <w:contextualSpacing/>
              <w:rPr>
                <w:rFonts w:ascii="Tahoma" w:hAnsi="Tahoma"/>
                <w:color w:val="000000" w:themeColor="text1"/>
                <w:sz w:val="16"/>
                <w:lang w:val="en-GB"/>
              </w:rPr>
            </w:pPr>
          </w:p>
        </w:tc>
        <w:tc>
          <w:tcPr>
            <w:tcW w:w="6407" w:type="dxa"/>
            <w:tcBorders>
              <w:bottom w:val="single" w:sz="12" w:space="0" w:color="auto"/>
            </w:tcBorders>
            <w:shd w:val="clear" w:color="auto" w:fill="auto"/>
            <w:tcMar>
              <w:top w:w="113" w:type="dxa"/>
              <w:left w:w="0" w:type="dxa"/>
              <w:bottom w:w="113" w:type="dxa"/>
              <w:right w:w="0" w:type="dxa"/>
            </w:tcMar>
            <w:vAlign w:val="bottom"/>
          </w:tcPr>
          <w:p w14:paraId="6FAFA4FD" w14:textId="77777777" w:rsidR="00EC294A" w:rsidRPr="00EC294A" w:rsidRDefault="00EC294A" w:rsidP="009D777D">
            <w:pPr>
              <w:spacing w:line="200" w:lineRule="exact"/>
              <w:contextualSpacing/>
              <w:rPr>
                <w:rFonts w:ascii="Tahoma" w:hAnsi="Tahoma"/>
                <w:color w:val="000000" w:themeColor="text1"/>
                <w:sz w:val="16"/>
                <w:lang w:val="en-GB"/>
              </w:rPr>
            </w:pPr>
          </w:p>
        </w:tc>
        <w:tc>
          <w:tcPr>
            <w:tcW w:w="1134" w:type="dxa"/>
            <w:tcBorders>
              <w:bottom w:val="single" w:sz="12" w:space="0" w:color="auto"/>
            </w:tcBorders>
            <w:shd w:val="clear" w:color="auto" w:fill="auto"/>
            <w:tcMar>
              <w:top w:w="113" w:type="dxa"/>
              <w:left w:w="0" w:type="dxa"/>
              <w:bottom w:w="113" w:type="dxa"/>
              <w:right w:w="0" w:type="dxa"/>
            </w:tcMar>
            <w:vAlign w:val="bottom"/>
          </w:tcPr>
          <w:p w14:paraId="40597B57" w14:textId="77777777" w:rsidR="00EC294A" w:rsidRPr="00EC294A" w:rsidRDefault="00EC294A" w:rsidP="009D777D">
            <w:pPr>
              <w:spacing w:line="200" w:lineRule="exact"/>
              <w:contextualSpacing/>
              <w:jc w:val="right"/>
              <w:rPr>
                <w:rFonts w:ascii="Tahoma" w:hAnsi="Tahoma"/>
                <w:b/>
                <w:bCs/>
                <w:color w:val="000000" w:themeColor="text1"/>
                <w:sz w:val="16"/>
                <w:lang w:val="en-GB"/>
              </w:rPr>
            </w:pPr>
            <w:r w:rsidRPr="00EC294A">
              <w:rPr>
                <w:rFonts w:ascii="Tahoma" w:hAnsi="Tahoma"/>
                <w:b/>
                <w:bCs/>
                <w:color w:val="000000" w:themeColor="text1"/>
                <w:sz w:val="16"/>
                <w:lang w:val="en-GB"/>
              </w:rPr>
              <w:t>2022</w:t>
            </w:r>
          </w:p>
          <w:p w14:paraId="43DD9524" w14:textId="77777777" w:rsidR="00EC294A" w:rsidRPr="00EC294A" w:rsidRDefault="00EC294A" w:rsidP="009D777D">
            <w:pPr>
              <w:spacing w:line="200" w:lineRule="exact"/>
              <w:contextualSpacing/>
              <w:jc w:val="right"/>
              <w:rPr>
                <w:rFonts w:ascii="Tahoma" w:hAnsi="Tahoma"/>
                <w:b/>
                <w:bCs/>
                <w:color w:val="000000" w:themeColor="text1"/>
                <w:sz w:val="16"/>
                <w:lang w:val="en-GB"/>
              </w:rPr>
            </w:pPr>
            <w:proofErr w:type="spellStart"/>
            <w:r w:rsidRPr="00EC294A">
              <w:rPr>
                <w:rFonts w:ascii="Tahoma" w:hAnsi="Tahoma"/>
                <w:b/>
                <w:bCs/>
                <w:color w:val="000000" w:themeColor="text1"/>
                <w:sz w:val="16"/>
                <w:lang w:val="en-GB"/>
              </w:rPr>
              <w:t>US$’m</w:t>
            </w:r>
            <w:proofErr w:type="spellEnd"/>
          </w:p>
        </w:tc>
        <w:tc>
          <w:tcPr>
            <w:tcW w:w="1134" w:type="dxa"/>
            <w:tcBorders>
              <w:bottom w:val="single" w:sz="12" w:space="0" w:color="auto"/>
            </w:tcBorders>
            <w:shd w:val="clear" w:color="auto" w:fill="auto"/>
            <w:tcMar>
              <w:top w:w="113" w:type="dxa"/>
              <w:left w:w="0" w:type="dxa"/>
              <w:bottom w:w="113" w:type="dxa"/>
              <w:right w:w="0" w:type="dxa"/>
            </w:tcMar>
            <w:vAlign w:val="bottom"/>
          </w:tcPr>
          <w:p w14:paraId="26AF6C6F" w14:textId="77777777" w:rsidR="00EC294A" w:rsidRPr="00EC294A" w:rsidRDefault="00EC294A" w:rsidP="009D777D">
            <w:pPr>
              <w:spacing w:line="200" w:lineRule="exact"/>
              <w:contextualSpacing/>
              <w:jc w:val="right"/>
              <w:rPr>
                <w:rFonts w:ascii="Tahoma" w:hAnsi="Tahoma"/>
                <w:color w:val="000000" w:themeColor="text1"/>
                <w:sz w:val="16"/>
                <w:lang w:val="en-GB"/>
              </w:rPr>
            </w:pPr>
            <w:r w:rsidRPr="00EC294A">
              <w:rPr>
                <w:rFonts w:ascii="Tahoma" w:hAnsi="Tahoma"/>
                <w:color w:val="000000" w:themeColor="text1"/>
                <w:sz w:val="16"/>
                <w:lang w:val="en-GB"/>
              </w:rPr>
              <w:t>2021</w:t>
            </w:r>
          </w:p>
          <w:p w14:paraId="32DF9672" w14:textId="77777777" w:rsidR="00EC294A" w:rsidRPr="00EC294A" w:rsidRDefault="00EC294A" w:rsidP="009D777D">
            <w:pPr>
              <w:spacing w:line="200" w:lineRule="exact"/>
              <w:contextualSpacing/>
              <w:jc w:val="right"/>
              <w:rPr>
                <w:rFonts w:ascii="Tahoma" w:hAnsi="Tahoma"/>
                <w:color w:val="000000" w:themeColor="text1"/>
                <w:sz w:val="16"/>
                <w:lang w:val="en-GB"/>
              </w:rPr>
            </w:pPr>
            <w:proofErr w:type="spellStart"/>
            <w:r w:rsidRPr="00EC294A">
              <w:rPr>
                <w:rFonts w:ascii="Tahoma" w:hAnsi="Tahoma"/>
                <w:color w:val="000000" w:themeColor="text1"/>
                <w:sz w:val="16"/>
                <w:lang w:val="en-GB"/>
              </w:rPr>
              <w:t>US$’m</w:t>
            </w:r>
            <w:proofErr w:type="spellEnd"/>
          </w:p>
        </w:tc>
        <w:tc>
          <w:tcPr>
            <w:tcW w:w="1134" w:type="dxa"/>
            <w:tcBorders>
              <w:bottom w:val="single" w:sz="12" w:space="0" w:color="auto"/>
            </w:tcBorders>
            <w:shd w:val="clear" w:color="auto" w:fill="auto"/>
            <w:tcMar>
              <w:top w:w="113" w:type="dxa"/>
              <w:left w:w="0" w:type="dxa"/>
              <w:bottom w:w="113" w:type="dxa"/>
              <w:right w:w="0" w:type="dxa"/>
            </w:tcMar>
            <w:vAlign w:val="bottom"/>
          </w:tcPr>
          <w:p w14:paraId="469B6F20" w14:textId="77777777" w:rsidR="00EC294A" w:rsidRPr="00EC294A" w:rsidRDefault="00EC294A" w:rsidP="009D777D">
            <w:pPr>
              <w:spacing w:line="200" w:lineRule="exact"/>
              <w:ind w:right="113"/>
              <w:contextualSpacing/>
              <w:jc w:val="right"/>
              <w:rPr>
                <w:rFonts w:ascii="Tahoma" w:hAnsi="Tahoma"/>
                <w:color w:val="000000" w:themeColor="text1"/>
                <w:sz w:val="16"/>
                <w:lang w:val="en-GB"/>
              </w:rPr>
            </w:pPr>
            <w:r w:rsidRPr="00EC294A">
              <w:rPr>
                <w:rFonts w:ascii="Tahoma" w:hAnsi="Tahoma"/>
                <w:color w:val="000000" w:themeColor="text1"/>
                <w:sz w:val="16"/>
                <w:lang w:val="en-GB"/>
              </w:rPr>
              <w:t>2022</w:t>
            </w:r>
          </w:p>
          <w:p w14:paraId="5403050D" w14:textId="77777777" w:rsidR="00EC294A" w:rsidRPr="00EC294A" w:rsidRDefault="00EC294A" w:rsidP="009D777D">
            <w:pPr>
              <w:spacing w:line="200" w:lineRule="exact"/>
              <w:ind w:right="113"/>
              <w:contextualSpacing/>
              <w:jc w:val="right"/>
              <w:rPr>
                <w:rFonts w:ascii="Tahoma" w:hAnsi="Tahoma"/>
                <w:color w:val="000000" w:themeColor="text1"/>
                <w:sz w:val="16"/>
                <w:lang w:val="en-GB"/>
              </w:rPr>
            </w:pPr>
            <w:proofErr w:type="spellStart"/>
            <w:r w:rsidRPr="00EC294A">
              <w:rPr>
                <w:rFonts w:ascii="Tahoma" w:hAnsi="Tahoma"/>
                <w:color w:val="000000" w:themeColor="text1"/>
                <w:sz w:val="16"/>
                <w:lang w:val="en-GB"/>
              </w:rPr>
              <w:t>US$’m</w:t>
            </w:r>
            <w:proofErr w:type="spellEnd"/>
          </w:p>
        </w:tc>
      </w:tr>
      <w:tr w:rsidR="00615190" w:rsidRPr="00EC294A" w14:paraId="35A4C353" w14:textId="77777777" w:rsidTr="00DE2928">
        <w:trPr>
          <w:trHeight w:val="60"/>
        </w:trPr>
        <w:tc>
          <w:tcPr>
            <w:tcW w:w="397" w:type="dxa"/>
            <w:shd w:val="clear" w:color="auto" w:fill="auto"/>
            <w:tcMar>
              <w:top w:w="142" w:type="dxa"/>
              <w:left w:w="0" w:type="dxa"/>
              <w:bottom w:w="57" w:type="dxa"/>
              <w:right w:w="0" w:type="dxa"/>
            </w:tcMar>
            <w:vAlign w:val="bottom"/>
          </w:tcPr>
          <w:p w14:paraId="0F97FAF1" w14:textId="77777777" w:rsidR="00EC294A" w:rsidRPr="00EC294A" w:rsidRDefault="00EC294A" w:rsidP="009D777D">
            <w:pPr>
              <w:spacing w:line="200" w:lineRule="exact"/>
              <w:contextualSpacing/>
              <w:rPr>
                <w:rFonts w:ascii="Tahoma" w:hAnsi="Tahoma"/>
                <w:color w:val="000000" w:themeColor="text1"/>
                <w:sz w:val="16"/>
                <w:lang w:val="en-GB"/>
              </w:rPr>
            </w:pPr>
          </w:p>
        </w:tc>
        <w:tc>
          <w:tcPr>
            <w:tcW w:w="6407" w:type="dxa"/>
            <w:tcBorders>
              <w:top w:val="single" w:sz="12" w:space="0" w:color="auto"/>
            </w:tcBorders>
            <w:shd w:val="clear" w:color="auto" w:fill="auto"/>
            <w:tcMar>
              <w:top w:w="142" w:type="dxa"/>
              <w:left w:w="0" w:type="dxa"/>
              <w:bottom w:w="57" w:type="dxa"/>
              <w:right w:w="0" w:type="dxa"/>
            </w:tcMar>
            <w:vAlign w:val="bottom"/>
          </w:tcPr>
          <w:p w14:paraId="5482AFFD" w14:textId="77777777" w:rsidR="00EC294A" w:rsidRPr="00EC294A" w:rsidRDefault="00EC294A" w:rsidP="009D777D">
            <w:pPr>
              <w:spacing w:line="200" w:lineRule="exact"/>
              <w:contextualSpacing/>
              <w:rPr>
                <w:rFonts w:ascii="Tahoma" w:hAnsi="Tahoma"/>
                <w:b/>
                <w:bCs/>
                <w:color w:val="000000" w:themeColor="text1"/>
                <w:sz w:val="16"/>
                <w:lang w:val="en-GB"/>
              </w:rPr>
            </w:pPr>
            <w:r w:rsidRPr="00EC294A">
              <w:rPr>
                <w:rFonts w:ascii="Tahoma" w:hAnsi="Tahoma"/>
                <w:b/>
                <w:bCs/>
                <w:color w:val="000000" w:themeColor="text1"/>
                <w:sz w:val="16"/>
                <w:lang w:val="en-GB"/>
              </w:rPr>
              <w:t>Commitments</w:t>
            </w:r>
          </w:p>
        </w:tc>
        <w:tc>
          <w:tcPr>
            <w:tcW w:w="1134" w:type="dxa"/>
            <w:tcBorders>
              <w:top w:val="single" w:sz="12" w:space="0" w:color="auto"/>
              <w:bottom w:val="single" w:sz="4" w:space="0" w:color="auto"/>
            </w:tcBorders>
            <w:shd w:val="clear" w:color="auto" w:fill="auto"/>
            <w:tcMar>
              <w:top w:w="142" w:type="dxa"/>
              <w:left w:w="0" w:type="dxa"/>
              <w:bottom w:w="57" w:type="dxa"/>
              <w:right w:w="0" w:type="dxa"/>
            </w:tcMar>
            <w:vAlign w:val="bottom"/>
          </w:tcPr>
          <w:p w14:paraId="34A65ED8" w14:textId="77777777" w:rsidR="00EC294A" w:rsidRPr="00EC294A" w:rsidRDefault="00EC294A" w:rsidP="009D777D">
            <w:pPr>
              <w:spacing w:line="200" w:lineRule="exact"/>
              <w:contextualSpacing/>
              <w:jc w:val="right"/>
              <w:rPr>
                <w:rFonts w:ascii="Tahoma" w:hAnsi="Tahoma"/>
                <w:b/>
                <w:bCs/>
                <w:color w:val="000000" w:themeColor="text1"/>
                <w:sz w:val="16"/>
                <w:lang w:val="en-GB"/>
              </w:rPr>
            </w:pPr>
            <w:r w:rsidRPr="00EC294A">
              <w:rPr>
                <w:rFonts w:ascii="Tahoma" w:hAnsi="Tahoma"/>
                <w:b/>
                <w:bCs/>
                <w:color w:val="000000" w:themeColor="text1"/>
                <w:sz w:val="16"/>
                <w:lang w:val="en-GB"/>
              </w:rPr>
              <w:t>135</w:t>
            </w:r>
          </w:p>
        </w:tc>
        <w:tc>
          <w:tcPr>
            <w:tcW w:w="1134" w:type="dxa"/>
            <w:tcBorders>
              <w:top w:val="single" w:sz="12" w:space="0" w:color="auto"/>
              <w:bottom w:val="single" w:sz="4" w:space="0" w:color="auto"/>
            </w:tcBorders>
            <w:shd w:val="clear" w:color="auto" w:fill="auto"/>
            <w:tcMar>
              <w:top w:w="142" w:type="dxa"/>
              <w:left w:w="0" w:type="dxa"/>
              <w:bottom w:w="57" w:type="dxa"/>
              <w:right w:w="0" w:type="dxa"/>
            </w:tcMar>
            <w:vAlign w:val="bottom"/>
          </w:tcPr>
          <w:p w14:paraId="6D914774" w14:textId="77777777" w:rsidR="00EC294A" w:rsidRPr="00EC294A" w:rsidRDefault="00EC294A" w:rsidP="009D777D">
            <w:pPr>
              <w:spacing w:line="200" w:lineRule="exact"/>
              <w:contextualSpacing/>
              <w:jc w:val="right"/>
              <w:rPr>
                <w:rFonts w:ascii="Tahoma" w:hAnsi="Tahoma"/>
                <w:color w:val="000000" w:themeColor="text1"/>
                <w:sz w:val="16"/>
                <w:lang w:val="en-GB"/>
              </w:rPr>
            </w:pPr>
            <w:r w:rsidRPr="00EC294A">
              <w:rPr>
                <w:rFonts w:ascii="Tahoma" w:hAnsi="Tahoma"/>
                <w:color w:val="000000" w:themeColor="text1"/>
                <w:sz w:val="16"/>
                <w:lang w:val="en-GB"/>
              </w:rPr>
              <w:t>137</w:t>
            </w:r>
          </w:p>
        </w:tc>
        <w:tc>
          <w:tcPr>
            <w:tcW w:w="1134" w:type="dxa"/>
            <w:tcBorders>
              <w:top w:val="single" w:sz="12" w:space="0" w:color="auto"/>
              <w:bottom w:val="single" w:sz="4" w:space="0" w:color="auto"/>
            </w:tcBorders>
            <w:shd w:val="clear" w:color="auto" w:fill="auto"/>
            <w:tcMar>
              <w:top w:w="142" w:type="dxa"/>
              <w:left w:w="0" w:type="dxa"/>
              <w:bottom w:w="57" w:type="dxa"/>
              <w:right w:w="0" w:type="dxa"/>
            </w:tcMar>
            <w:vAlign w:val="bottom"/>
          </w:tcPr>
          <w:p w14:paraId="796F15D0" w14:textId="77777777" w:rsidR="00EC294A" w:rsidRPr="00EC294A" w:rsidRDefault="00EC294A" w:rsidP="009D777D">
            <w:pPr>
              <w:spacing w:line="200" w:lineRule="exact"/>
              <w:ind w:right="113"/>
              <w:contextualSpacing/>
              <w:jc w:val="right"/>
              <w:rPr>
                <w:rFonts w:ascii="Tahoma" w:hAnsi="Tahoma"/>
                <w:color w:val="000000" w:themeColor="text1"/>
                <w:sz w:val="16"/>
                <w:lang w:val="en-GB"/>
              </w:rPr>
            </w:pPr>
            <w:r w:rsidRPr="00EC294A">
              <w:rPr>
                <w:rFonts w:ascii="Tahoma" w:hAnsi="Tahoma"/>
                <w:color w:val="000000" w:themeColor="text1"/>
                <w:sz w:val="16"/>
                <w:lang w:val="en-GB"/>
              </w:rPr>
              <w:t>149</w:t>
            </w:r>
          </w:p>
        </w:tc>
      </w:tr>
      <w:tr w:rsidR="00615190" w:rsidRPr="00EC294A" w14:paraId="039460BA" w14:textId="77777777" w:rsidTr="00DE2928">
        <w:trPr>
          <w:trHeight w:val="60"/>
        </w:trPr>
        <w:tc>
          <w:tcPr>
            <w:tcW w:w="397" w:type="dxa"/>
            <w:shd w:val="clear" w:color="auto" w:fill="auto"/>
            <w:tcMar>
              <w:top w:w="57" w:type="dxa"/>
              <w:left w:w="0" w:type="dxa"/>
              <w:bottom w:w="57" w:type="dxa"/>
              <w:right w:w="0" w:type="dxa"/>
            </w:tcMar>
            <w:vAlign w:val="bottom"/>
          </w:tcPr>
          <w:p w14:paraId="0CE61D40" w14:textId="77777777" w:rsidR="00EC294A" w:rsidRPr="00EC294A" w:rsidRDefault="00EC294A" w:rsidP="009D777D">
            <w:pPr>
              <w:spacing w:line="200" w:lineRule="exact"/>
              <w:contextualSpacing/>
              <w:rPr>
                <w:rFonts w:ascii="Tahoma" w:hAnsi="Tahoma"/>
                <w:color w:val="000000" w:themeColor="text1"/>
                <w:sz w:val="16"/>
                <w:lang w:val="en-GB"/>
              </w:rPr>
            </w:pPr>
          </w:p>
        </w:tc>
        <w:tc>
          <w:tcPr>
            <w:tcW w:w="6407" w:type="dxa"/>
            <w:tcBorders>
              <w:right w:val="single" w:sz="4" w:space="0" w:color="auto"/>
            </w:tcBorders>
            <w:shd w:val="clear" w:color="auto" w:fill="auto"/>
            <w:tcMar>
              <w:top w:w="57" w:type="dxa"/>
              <w:left w:w="113" w:type="dxa"/>
              <w:bottom w:w="57" w:type="dxa"/>
              <w:right w:w="0" w:type="dxa"/>
            </w:tcMar>
            <w:vAlign w:val="bottom"/>
          </w:tcPr>
          <w:p w14:paraId="72FCC869" w14:textId="77777777" w:rsidR="00EC294A" w:rsidRPr="00EC294A" w:rsidRDefault="00EC294A" w:rsidP="009D777D">
            <w:pPr>
              <w:spacing w:line="200" w:lineRule="exact"/>
              <w:contextualSpacing/>
              <w:rPr>
                <w:rFonts w:ascii="Tahoma" w:hAnsi="Tahoma"/>
                <w:color w:val="000000" w:themeColor="text1"/>
                <w:sz w:val="16"/>
                <w:lang w:val="en-GB"/>
              </w:rPr>
            </w:pPr>
            <w:r w:rsidRPr="00EC294A">
              <w:rPr>
                <w:rFonts w:ascii="Tahoma" w:hAnsi="Tahoma"/>
                <w:color w:val="000000" w:themeColor="text1"/>
                <w:sz w:val="16"/>
                <w:lang w:val="en-GB"/>
              </w:rPr>
              <w:t>Capital expenditure</w:t>
            </w:r>
          </w:p>
        </w:tc>
        <w:tc>
          <w:tcPr>
            <w:tcW w:w="1134" w:type="dxa"/>
            <w:tcBorders>
              <w:top w:val="single" w:sz="4" w:space="0" w:color="auto"/>
              <w:left w:val="single" w:sz="4" w:space="0" w:color="auto"/>
            </w:tcBorders>
            <w:shd w:val="clear" w:color="auto" w:fill="auto"/>
            <w:tcMar>
              <w:top w:w="57" w:type="dxa"/>
              <w:left w:w="0" w:type="dxa"/>
              <w:bottom w:w="57" w:type="dxa"/>
              <w:right w:w="0" w:type="dxa"/>
            </w:tcMar>
            <w:vAlign w:val="bottom"/>
          </w:tcPr>
          <w:p w14:paraId="66A14BC5" w14:textId="77777777" w:rsidR="00EC294A" w:rsidRPr="00EC294A" w:rsidRDefault="00EC294A" w:rsidP="009D777D">
            <w:pPr>
              <w:spacing w:line="200" w:lineRule="exact"/>
              <w:contextualSpacing/>
              <w:jc w:val="right"/>
              <w:rPr>
                <w:rFonts w:ascii="Tahoma" w:hAnsi="Tahoma"/>
                <w:b/>
                <w:bCs/>
                <w:color w:val="000000" w:themeColor="text1"/>
                <w:sz w:val="16"/>
                <w:lang w:val="en-GB"/>
              </w:rPr>
            </w:pPr>
            <w:r w:rsidRPr="00EC294A">
              <w:rPr>
                <w:rFonts w:ascii="Tahoma" w:hAnsi="Tahoma"/>
                <w:b/>
                <w:bCs/>
                <w:color w:val="000000" w:themeColor="text1"/>
                <w:sz w:val="16"/>
                <w:lang w:val="en-GB"/>
              </w:rPr>
              <w:t>—</w:t>
            </w:r>
          </w:p>
        </w:tc>
        <w:tc>
          <w:tcPr>
            <w:tcW w:w="1134" w:type="dxa"/>
            <w:tcBorders>
              <w:top w:val="single" w:sz="4" w:space="0" w:color="auto"/>
            </w:tcBorders>
            <w:shd w:val="clear" w:color="auto" w:fill="auto"/>
            <w:tcMar>
              <w:top w:w="57" w:type="dxa"/>
              <w:left w:w="0" w:type="dxa"/>
              <w:bottom w:w="57" w:type="dxa"/>
              <w:right w:w="0" w:type="dxa"/>
            </w:tcMar>
            <w:vAlign w:val="bottom"/>
          </w:tcPr>
          <w:p w14:paraId="54E4A67F" w14:textId="77777777" w:rsidR="00EC294A" w:rsidRPr="00EC294A" w:rsidRDefault="00EC294A" w:rsidP="009D777D">
            <w:pPr>
              <w:spacing w:line="200" w:lineRule="exact"/>
              <w:contextualSpacing/>
              <w:jc w:val="right"/>
              <w:rPr>
                <w:rFonts w:ascii="Tahoma" w:hAnsi="Tahoma"/>
                <w:color w:val="000000" w:themeColor="text1"/>
                <w:sz w:val="16"/>
                <w:lang w:val="en-GB"/>
              </w:rPr>
            </w:pPr>
            <w:r w:rsidRPr="00EC294A">
              <w:rPr>
                <w:rFonts w:ascii="Tahoma" w:hAnsi="Tahoma"/>
                <w:color w:val="000000" w:themeColor="text1"/>
                <w:sz w:val="16"/>
                <w:lang w:val="en-GB"/>
              </w:rPr>
              <w:t>2</w:t>
            </w:r>
          </w:p>
        </w:tc>
        <w:tc>
          <w:tcPr>
            <w:tcW w:w="1134" w:type="dxa"/>
            <w:tcBorders>
              <w:top w:val="single" w:sz="4" w:space="0" w:color="auto"/>
              <w:right w:val="single" w:sz="4" w:space="0" w:color="auto"/>
            </w:tcBorders>
            <w:shd w:val="clear" w:color="auto" w:fill="auto"/>
            <w:tcMar>
              <w:top w:w="57" w:type="dxa"/>
              <w:left w:w="0" w:type="dxa"/>
              <w:bottom w:w="57" w:type="dxa"/>
              <w:right w:w="0" w:type="dxa"/>
            </w:tcMar>
            <w:vAlign w:val="bottom"/>
          </w:tcPr>
          <w:p w14:paraId="62D43F7C" w14:textId="77777777" w:rsidR="00EC294A" w:rsidRPr="00EC294A" w:rsidRDefault="00EC294A" w:rsidP="009D777D">
            <w:pPr>
              <w:spacing w:line="200" w:lineRule="exact"/>
              <w:ind w:right="113"/>
              <w:contextualSpacing/>
              <w:jc w:val="right"/>
              <w:rPr>
                <w:rFonts w:ascii="Tahoma" w:hAnsi="Tahoma"/>
                <w:color w:val="000000" w:themeColor="text1"/>
                <w:sz w:val="16"/>
                <w:lang w:val="en-GB"/>
              </w:rPr>
            </w:pPr>
            <w:r w:rsidRPr="00EC294A">
              <w:rPr>
                <w:rFonts w:ascii="Tahoma" w:hAnsi="Tahoma"/>
                <w:color w:val="000000" w:themeColor="text1"/>
                <w:sz w:val="16"/>
                <w:lang w:val="en-GB"/>
              </w:rPr>
              <w:t>—</w:t>
            </w:r>
          </w:p>
        </w:tc>
      </w:tr>
      <w:tr w:rsidR="00615190" w:rsidRPr="00EC294A" w14:paraId="1A68AFF6" w14:textId="77777777" w:rsidTr="00DE2928">
        <w:trPr>
          <w:trHeight w:val="60"/>
        </w:trPr>
        <w:tc>
          <w:tcPr>
            <w:tcW w:w="397" w:type="dxa"/>
            <w:shd w:val="clear" w:color="auto" w:fill="auto"/>
            <w:tcMar>
              <w:top w:w="57" w:type="dxa"/>
              <w:left w:w="0" w:type="dxa"/>
              <w:bottom w:w="57" w:type="dxa"/>
              <w:right w:w="0" w:type="dxa"/>
            </w:tcMar>
            <w:vAlign w:val="bottom"/>
          </w:tcPr>
          <w:p w14:paraId="6E4F6987" w14:textId="77777777" w:rsidR="00EC294A" w:rsidRPr="00EC294A" w:rsidRDefault="00EC294A" w:rsidP="009D777D">
            <w:pPr>
              <w:spacing w:line="200" w:lineRule="exact"/>
              <w:contextualSpacing/>
              <w:rPr>
                <w:rFonts w:ascii="Tahoma" w:hAnsi="Tahoma"/>
                <w:color w:val="000000" w:themeColor="text1"/>
                <w:sz w:val="16"/>
                <w:lang w:val="en-GB"/>
              </w:rPr>
            </w:pPr>
          </w:p>
        </w:tc>
        <w:tc>
          <w:tcPr>
            <w:tcW w:w="6407" w:type="dxa"/>
            <w:tcBorders>
              <w:right w:val="single" w:sz="4" w:space="0" w:color="auto"/>
            </w:tcBorders>
            <w:shd w:val="clear" w:color="auto" w:fill="auto"/>
            <w:tcMar>
              <w:top w:w="57" w:type="dxa"/>
              <w:left w:w="113" w:type="dxa"/>
              <w:bottom w:w="57" w:type="dxa"/>
              <w:right w:w="0" w:type="dxa"/>
            </w:tcMar>
            <w:vAlign w:val="bottom"/>
          </w:tcPr>
          <w:p w14:paraId="77905574" w14:textId="77777777" w:rsidR="00EC294A" w:rsidRPr="00EC294A" w:rsidRDefault="00EC294A" w:rsidP="009D777D">
            <w:pPr>
              <w:spacing w:line="200" w:lineRule="exact"/>
              <w:contextualSpacing/>
              <w:rPr>
                <w:rFonts w:ascii="Tahoma" w:hAnsi="Tahoma"/>
                <w:color w:val="000000" w:themeColor="text1"/>
                <w:sz w:val="16"/>
                <w:lang w:val="en-GB"/>
              </w:rPr>
            </w:pPr>
            <w:r w:rsidRPr="00EC294A">
              <w:rPr>
                <w:rFonts w:ascii="Tahoma" w:hAnsi="Tahoma"/>
                <w:color w:val="000000" w:themeColor="text1"/>
                <w:sz w:val="16"/>
                <w:lang w:val="en-GB"/>
              </w:rPr>
              <w:t>Other service commitments</w:t>
            </w:r>
          </w:p>
        </w:tc>
        <w:tc>
          <w:tcPr>
            <w:tcW w:w="1134" w:type="dxa"/>
            <w:tcBorders>
              <w:left w:val="single" w:sz="4" w:space="0" w:color="auto"/>
            </w:tcBorders>
            <w:shd w:val="clear" w:color="auto" w:fill="auto"/>
            <w:tcMar>
              <w:top w:w="57" w:type="dxa"/>
              <w:left w:w="0" w:type="dxa"/>
              <w:bottom w:w="57" w:type="dxa"/>
              <w:right w:w="0" w:type="dxa"/>
            </w:tcMar>
            <w:vAlign w:val="bottom"/>
          </w:tcPr>
          <w:p w14:paraId="772B3541" w14:textId="77777777" w:rsidR="00EC294A" w:rsidRPr="00EC294A" w:rsidRDefault="00EC294A" w:rsidP="009D777D">
            <w:pPr>
              <w:spacing w:line="200" w:lineRule="exact"/>
              <w:contextualSpacing/>
              <w:jc w:val="right"/>
              <w:rPr>
                <w:rFonts w:ascii="Tahoma" w:hAnsi="Tahoma"/>
                <w:b/>
                <w:bCs/>
                <w:color w:val="000000" w:themeColor="text1"/>
                <w:sz w:val="16"/>
                <w:lang w:val="en-GB"/>
              </w:rPr>
            </w:pPr>
            <w:r w:rsidRPr="00EC294A">
              <w:rPr>
                <w:rFonts w:ascii="Tahoma" w:hAnsi="Tahoma"/>
                <w:b/>
                <w:bCs/>
                <w:color w:val="000000" w:themeColor="text1"/>
                <w:sz w:val="16"/>
                <w:lang w:val="en-GB"/>
              </w:rPr>
              <w:t>130</w:t>
            </w:r>
          </w:p>
        </w:tc>
        <w:tc>
          <w:tcPr>
            <w:tcW w:w="1134" w:type="dxa"/>
            <w:shd w:val="clear" w:color="auto" w:fill="auto"/>
            <w:tcMar>
              <w:top w:w="57" w:type="dxa"/>
              <w:left w:w="0" w:type="dxa"/>
              <w:bottom w:w="57" w:type="dxa"/>
              <w:right w:w="0" w:type="dxa"/>
            </w:tcMar>
            <w:vAlign w:val="bottom"/>
          </w:tcPr>
          <w:p w14:paraId="4FA6F107" w14:textId="77777777" w:rsidR="00EC294A" w:rsidRPr="00EC294A" w:rsidRDefault="00EC294A" w:rsidP="009D777D">
            <w:pPr>
              <w:spacing w:line="200" w:lineRule="exact"/>
              <w:contextualSpacing/>
              <w:jc w:val="right"/>
              <w:rPr>
                <w:rFonts w:ascii="Tahoma" w:hAnsi="Tahoma"/>
                <w:color w:val="000000" w:themeColor="text1"/>
                <w:sz w:val="16"/>
                <w:lang w:val="en-GB"/>
              </w:rPr>
            </w:pPr>
            <w:r w:rsidRPr="00EC294A">
              <w:rPr>
                <w:rFonts w:ascii="Tahoma" w:hAnsi="Tahoma"/>
                <w:color w:val="000000" w:themeColor="text1"/>
                <w:sz w:val="16"/>
                <w:lang w:val="en-GB"/>
              </w:rPr>
              <w:t>115</w:t>
            </w:r>
          </w:p>
        </w:tc>
        <w:tc>
          <w:tcPr>
            <w:tcW w:w="1134" w:type="dxa"/>
            <w:tcBorders>
              <w:right w:val="single" w:sz="4" w:space="0" w:color="auto"/>
            </w:tcBorders>
            <w:shd w:val="clear" w:color="auto" w:fill="auto"/>
            <w:tcMar>
              <w:top w:w="57" w:type="dxa"/>
              <w:left w:w="0" w:type="dxa"/>
              <w:bottom w:w="57" w:type="dxa"/>
              <w:right w:w="0" w:type="dxa"/>
            </w:tcMar>
            <w:vAlign w:val="bottom"/>
          </w:tcPr>
          <w:p w14:paraId="52798178" w14:textId="77777777" w:rsidR="00EC294A" w:rsidRPr="00EC294A" w:rsidRDefault="00EC294A" w:rsidP="009D777D">
            <w:pPr>
              <w:spacing w:line="200" w:lineRule="exact"/>
              <w:ind w:right="113"/>
              <w:contextualSpacing/>
              <w:jc w:val="right"/>
              <w:rPr>
                <w:rFonts w:ascii="Tahoma" w:hAnsi="Tahoma"/>
                <w:color w:val="000000" w:themeColor="text1"/>
                <w:sz w:val="16"/>
                <w:lang w:val="en-GB"/>
              </w:rPr>
            </w:pPr>
            <w:r w:rsidRPr="00EC294A">
              <w:rPr>
                <w:rFonts w:ascii="Tahoma" w:hAnsi="Tahoma"/>
                <w:color w:val="000000" w:themeColor="text1"/>
                <w:sz w:val="16"/>
                <w:lang w:val="en-GB"/>
              </w:rPr>
              <w:t>132</w:t>
            </w:r>
          </w:p>
        </w:tc>
      </w:tr>
      <w:tr w:rsidR="00615190" w:rsidRPr="00EC294A" w14:paraId="094E29C1" w14:textId="77777777" w:rsidTr="00DE2928">
        <w:trPr>
          <w:trHeight w:val="60"/>
        </w:trPr>
        <w:tc>
          <w:tcPr>
            <w:tcW w:w="397" w:type="dxa"/>
            <w:shd w:val="clear" w:color="auto" w:fill="auto"/>
            <w:tcMar>
              <w:top w:w="57" w:type="dxa"/>
              <w:left w:w="0" w:type="dxa"/>
              <w:bottom w:w="57" w:type="dxa"/>
              <w:right w:w="0" w:type="dxa"/>
            </w:tcMar>
            <w:vAlign w:val="bottom"/>
          </w:tcPr>
          <w:p w14:paraId="3D334244" w14:textId="77777777" w:rsidR="00EC294A" w:rsidRPr="00EC294A" w:rsidRDefault="00EC294A" w:rsidP="009D777D">
            <w:pPr>
              <w:spacing w:line="200" w:lineRule="exact"/>
              <w:contextualSpacing/>
              <w:rPr>
                <w:rFonts w:ascii="Tahoma" w:hAnsi="Tahoma"/>
                <w:color w:val="000000" w:themeColor="text1"/>
                <w:sz w:val="16"/>
                <w:lang w:val="en-GB"/>
              </w:rPr>
            </w:pPr>
          </w:p>
        </w:tc>
        <w:tc>
          <w:tcPr>
            <w:tcW w:w="6407" w:type="dxa"/>
            <w:tcBorders>
              <w:right w:val="single" w:sz="4" w:space="0" w:color="auto"/>
            </w:tcBorders>
            <w:shd w:val="clear" w:color="auto" w:fill="auto"/>
            <w:tcMar>
              <w:top w:w="57" w:type="dxa"/>
              <w:left w:w="113" w:type="dxa"/>
              <w:bottom w:w="57" w:type="dxa"/>
              <w:right w:w="0" w:type="dxa"/>
            </w:tcMar>
            <w:vAlign w:val="bottom"/>
          </w:tcPr>
          <w:p w14:paraId="7281F2A2" w14:textId="77777777" w:rsidR="00EC294A" w:rsidRPr="00EC294A" w:rsidRDefault="00EC294A" w:rsidP="009D777D">
            <w:pPr>
              <w:spacing w:line="200" w:lineRule="exact"/>
              <w:contextualSpacing/>
              <w:rPr>
                <w:rFonts w:ascii="Tahoma" w:hAnsi="Tahoma"/>
                <w:color w:val="000000" w:themeColor="text1"/>
                <w:sz w:val="16"/>
                <w:lang w:val="en-GB"/>
              </w:rPr>
            </w:pPr>
            <w:r w:rsidRPr="00EC294A">
              <w:rPr>
                <w:rFonts w:ascii="Tahoma" w:hAnsi="Tahoma"/>
                <w:color w:val="000000" w:themeColor="text1"/>
                <w:sz w:val="16"/>
                <w:lang w:val="en-GB"/>
              </w:rPr>
              <w:t>Lease commitments</w:t>
            </w:r>
            <w:r w:rsidRPr="00EC294A">
              <w:rPr>
                <w:rFonts w:ascii="Tahoma" w:hAnsi="Tahoma"/>
                <w:color w:val="000000" w:themeColor="text1"/>
                <w:sz w:val="16"/>
                <w:vertAlign w:val="superscript"/>
                <w:lang w:val="en-GB"/>
              </w:rPr>
              <w:t>1</w:t>
            </w:r>
          </w:p>
        </w:tc>
        <w:tc>
          <w:tcPr>
            <w:tcW w:w="1134" w:type="dxa"/>
            <w:tcBorders>
              <w:left w:val="single" w:sz="4" w:space="0" w:color="auto"/>
              <w:bottom w:val="single" w:sz="4" w:space="0" w:color="auto"/>
            </w:tcBorders>
            <w:shd w:val="clear" w:color="auto" w:fill="auto"/>
            <w:tcMar>
              <w:top w:w="57" w:type="dxa"/>
              <w:left w:w="0" w:type="dxa"/>
              <w:bottom w:w="57" w:type="dxa"/>
              <w:right w:w="0" w:type="dxa"/>
            </w:tcMar>
            <w:vAlign w:val="bottom"/>
          </w:tcPr>
          <w:p w14:paraId="7E461913" w14:textId="77777777" w:rsidR="00EC294A" w:rsidRPr="00EC294A" w:rsidRDefault="00EC294A" w:rsidP="009D777D">
            <w:pPr>
              <w:spacing w:line="200" w:lineRule="exact"/>
              <w:contextualSpacing/>
              <w:jc w:val="right"/>
              <w:rPr>
                <w:rFonts w:ascii="Tahoma" w:hAnsi="Tahoma"/>
                <w:b/>
                <w:bCs/>
                <w:color w:val="000000" w:themeColor="text1"/>
                <w:sz w:val="16"/>
                <w:lang w:val="en-GB"/>
              </w:rPr>
            </w:pPr>
            <w:r w:rsidRPr="00EC294A">
              <w:rPr>
                <w:rFonts w:ascii="Tahoma" w:hAnsi="Tahoma"/>
                <w:b/>
                <w:bCs/>
                <w:color w:val="000000" w:themeColor="text1"/>
                <w:sz w:val="16"/>
                <w:lang w:val="en-GB"/>
              </w:rPr>
              <w:t>5</w:t>
            </w:r>
          </w:p>
        </w:tc>
        <w:tc>
          <w:tcPr>
            <w:tcW w:w="1134" w:type="dxa"/>
            <w:tcBorders>
              <w:bottom w:val="single" w:sz="4" w:space="0" w:color="auto"/>
            </w:tcBorders>
            <w:shd w:val="clear" w:color="auto" w:fill="auto"/>
            <w:tcMar>
              <w:top w:w="57" w:type="dxa"/>
              <w:left w:w="0" w:type="dxa"/>
              <w:bottom w:w="57" w:type="dxa"/>
              <w:right w:w="0" w:type="dxa"/>
            </w:tcMar>
            <w:vAlign w:val="bottom"/>
          </w:tcPr>
          <w:p w14:paraId="623CE137" w14:textId="77777777" w:rsidR="00EC294A" w:rsidRPr="00EC294A" w:rsidRDefault="00EC294A" w:rsidP="009D777D">
            <w:pPr>
              <w:spacing w:line="200" w:lineRule="exact"/>
              <w:contextualSpacing/>
              <w:jc w:val="right"/>
              <w:rPr>
                <w:rFonts w:ascii="Tahoma" w:hAnsi="Tahoma"/>
                <w:color w:val="000000" w:themeColor="text1"/>
                <w:sz w:val="16"/>
                <w:lang w:val="en-GB"/>
              </w:rPr>
            </w:pPr>
            <w:r w:rsidRPr="00EC294A">
              <w:rPr>
                <w:rFonts w:ascii="Tahoma" w:hAnsi="Tahoma"/>
                <w:color w:val="000000" w:themeColor="text1"/>
                <w:sz w:val="16"/>
                <w:lang w:val="en-GB"/>
              </w:rPr>
              <w:t>20</w:t>
            </w:r>
          </w:p>
        </w:tc>
        <w:tc>
          <w:tcPr>
            <w:tcW w:w="1134" w:type="dxa"/>
            <w:tcBorders>
              <w:bottom w:val="single" w:sz="4" w:space="0" w:color="auto"/>
              <w:right w:val="single" w:sz="4" w:space="0" w:color="auto"/>
            </w:tcBorders>
            <w:shd w:val="clear" w:color="auto" w:fill="auto"/>
            <w:tcMar>
              <w:top w:w="57" w:type="dxa"/>
              <w:left w:w="0" w:type="dxa"/>
              <w:bottom w:w="57" w:type="dxa"/>
              <w:right w:w="0" w:type="dxa"/>
            </w:tcMar>
            <w:vAlign w:val="bottom"/>
          </w:tcPr>
          <w:p w14:paraId="5498E9CC" w14:textId="77777777" w:rsidR="00EC294A" w:rsidRPr="00EC294A" w:rsidRDefault="00EC294A" w:rsidP="009D777D">
            <w:pPr>
              <w:spacing w:line="200" w:lineRule="exact"/>
              <w:ind w:right="113"/>
              <w:contextualSpacing/>
              <w:jc w:val="right"/>
              <w:rPr>
                <w:rFonts w:ascii="Tahoma" w:hAnsi="Tahoma"/>
                <w:color w:val="000000" w:themeColor="text1"/>
                <w:sz w:val="16"/>
                <w:lang w:val="en-GB"/>
              </w:rPr>
            </w:pPr>
            <w:r w:rsidRPr="00EC294A">
              <w:rPr>
                <w:rFonts w:ascii="Tahoma" w:hAnsi="Tahoma"/>
                <w:color w:val="000000" w:themeColor="text1"/>
                <w:sz w:val="16"/>
                <w:lang w:val="en-GB"/>
              </w:rPr>
              <w:t>17</w:t>
            </w:r>
          </w:p>
        </w:tc>
      </w:tr>
      <w:tr w:rsidR="00615190" w:rsidRPr="00EC294A" w14:paraId="184B931B" w14:textId="77777777" w:rsidTr="00DE2928">
        <w:trPr>
          <w:trHeight w:hRule="exact" w:val="85"/>
        </w:trPr>
        <w:tc>
          <w:tcPr>
            <w:tcW w:w="397" w:type="dxa"/>
            <w:shd w:val="clear" w:color="auto" w:fill="auto"/>
            <w:tcMar>
              <w:top w:w="85" w:type="dxa"/>
              <w:left w:w="0" w:type="dxa"/>
              <w:bottom w:w="85" w:type="dxa"/>
              <w:right w:w="0" w:type="dxa"/>
            </w:tcMar>
            <w:vAlign w:val="bottom"/>
          </w:tcPr>
          <w:p w14:paraId="16A48125" w14:textId="77777777" w:rsidR="00EC294A" w:rsidRPr="00EC294A" w:rsidRDefault="00EC294A" w:rsidP="009D777D">
            <w:pPr>
              <w:spacing w:line="200" w:lineRule="exact"/>
              <w:contextualSpacing/>
              <w:rPr>
                <w:rFonts w:ascii="Tahoma" w:hAnsi="Tahoma"/>
                <w:color w:val="000000" w:themeColor="text1"/>
                <w:sz w:val="16"/>
                <w:lang w:val="en-GB"/>
              </w:rPr>
            </w:pPr>
          </w:p>
        </w:tc>
        <w:tc>
          <w:tcPr>
            <w:tcW w:w="6407" w:type="dxa"/>
            <w:tcBorders>
              <w:bottom w:val="single" w:sz="12" w:space="0" w:color="auto"/>
            </w:tcBorders>
            <w:shd w:val="clear" w:color="auto" w:fill="auto"/>
            <w:tcMar>
              <w:top w:w="85" w:type="dxa"/>
              <w:left w:w="0" w:type="dxa"/>
              <w:bottom w:w="85" w:type="dxa"/>
              <w:right w:w="0" w:type="dxa"/>
            </w:tcMar>
            <w:vAlign w:val="bottom"/>
          </w:tcPr>
          <w:p w14:paraId="3FFB2C7A" w14:textId="77777777" w:rsidR="00EC294A" w:rsidRPr="00EC294A" w:rsidRDefault="00EC294A" w:rsidP="009D777D">
            <w:pPr>
              <w:spacing w:line="200" w:lineRule="exact"/>
              <w:contextualSpacing/>
              <w:rPr>
                <w:rFonts w:ascii="Tahoma" w:hAnsi="Tahoma"/>
                <w:color w:val="000000" w:themeColor="text1"/>
                <w:sz w:val="16"/>
                <w:lang w:val="en-GB"/>
              </w:rPr>
            </w:pPr>
          </w:p>
        </w:tc>
        <w:tc>
          <w:tcPr>
            <w:tcW w:w="1134"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21E61B77" w14:textId="77777777" w:rsidR="00EC294A" w:rsidRPr="00EC294A" w:rsidRDefault="00EC294A" w:rsidP="009D777D">
            <w:pPr>
              <w:spacing w:line="200" w:lineRule="exact"/>
              <w:contextualSpacing/>
              <w:rPr>
                <w:rFonts w:ascii="Tahoma" w:hAnsi="Tahoma"/>
                <w:color w:val="000000" w:themeColor="text1"/>
                <w:sz w:val="16"/>
                <w:lang w:val="en-GB"/>
              </w:rPr>
            </w:pPr>
          </w:p>
        </w:tc>
        <w:tc>
          <w:tcPr>
            <w:tcW w:w="1134"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13B8613A" w14:textId="77777777" w:rsidR="00EC294A" w:rsidRPr="00EC294A" w:rsidRDefault="00EC294A" w:rsidP="009D777D">
            <w:pPr>
              <w:spacing w:line="200" w:lineRule="exact"/>
              <w:contextualSpacing/>
              <w:rPr>
                <w:rFonts w:ascii="Tahoma" w:hAnsi="Tahoma"/>
                <w:color w:val="000000" w:themeColor="text1"/>
                <w:sz w:val="16"/>
                <w:lang w:val="en-GB"/>
              </w:rPr>
            </w:pPr>
          </w:p>
        </w:tc>
        <w:tc>
          <w:tcPr>
            <w:tcW w:w="1134"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23769C01" w14:textId="77777777" w:rsidR="00EC294A" w:rsidRPr="00EC294A" w:rsidRDefault="00EC294A" w:rsidP="009D777D">
            <w:pPr>
              <w:spacing w:line="200" w:lineRule="exact"/>
              <w:contextualSpacing/>
              <w:rPr>
                <w:rFonts w:ascii="Tahoma" w:hAnsi="Tahoma"/>
                <w:color w:val="000000" w:themeColor="text1"/>
                <w:sz w:val="16"/>
                <w:lang w:val="en-GB"/>
              </w:rPr>
            </w:pPr>
          </w:p>
        </w:tc>
      </w:tr>
      <w:tr w:rsidR="00615190" w:rsidRPr="00EC294A" w14:paraId="7C2F44B0" w14:textId="77777777" w:rsidTr="007A5827">
        <w:trPr>
          <w:trHeight w:val="60"/>
        </w:trPr>
        <w:tc>
          <w:tcPr>
            <w:tcW w:w="397" w:type="dxa"/>
            <w:shd w:val="clear" w:color="auto" w:fill="auto"/>
            <w:tcMar>
              <w:top w:w="85" w:type="dxa"/>
              <w:left w:w="0" w:type="dxa"/>
              <w:bottom w:w="57" w:type="dxa"/>
              <w:right w:w="0" w:type="dxa"/>
            </w:tcMar>
            <w:vAlign w:val="bottom"/>
          </w:tcPr>
          <w:p w14:paraId="265723E3" w14:textId="77777777" w:rsidR="00EC294A" w:rsidRPr="00EC294A" w:rsidRDefault="00EC294A" w:rsidP="009D777D">
            <w:pPr>
              <w:spacing w:line="200" w:lineRule="exact"/>
              <w:contextualSpacing/>
              <w:rPr>
                <w:rFonts w:ascii="Tahoma" w:hAnsi="Tahoma"/>
                <w:color w:val="000000" w:themeColor="text1"/>
                <w:sz w:val="16"/>
                <w:lang w:val="en-GB"/>
              </w:rPr>
            </w:pPr>
          </w:p>
        </w:tc>
        <w:tc>
          <w:tcPr>
            <w:tcW w:w="9809" w:type="dxa"/>
            <w:gridSpan w:val="4"/>
            <w:tcBorders>
              <w:top w:val="single" w:sz="12" w:space="0" w:color="auto"/>
            </w:tcBorders>
            <w:shd w:val="clear" w:color="auto" w:fill="auto"/>
            <w:tcMar>
              <w:top w:w="85" w:type="dxa"/>
              <w:left w:w="0" w:type="dxa"/>
              <w:bottom w:w="57" w:type="dxa"/>
              <w:right w:w="0" w:type="dxa"/>
            </w:tcMar>
            <w:vAlign w:val="bottom"/>
          </w:tcPr>
          <w:p w14:paraId="78089454" w14:textId="77777777" w:rsidR="00EC294A" w:rsidRPr="00EC294A" w:rsidRDefault="00EC294A" w:rsidP="007C3435">
            <w:pPr>
              <w:pStyle w:val="FootnotesProsus2022FrontStylesProsus2022"/>
              <w:spacing w:line="140" w:lineRule="exact"/>
              <w:contextualSpacing/>
            </w:pPr>
            <w:r w:rsidRPr="00EC294A">
              <w:t>1</w:t>
            </w:r>
            <w:r w:rsidRPr="00EC294A">
              <w:tab/>
              <w:t>In the current period, lease commitments include the group’s short-term lease arrangements as well as other contractual lease agreements whose commencement date is after 30 September 2022. Short-term lease commitments relate to leasing arrangements with lease terms of 12 months or less that are not recognised in the statement of financial position.</w:t>
            </w:r>
          </w:p>
        </w:tc>
      </w:tr>
      <w:tr w:rsidR="00615190" w:rsidRPr="00EC294A" w14:paraId="4C46EF57" w14:textId="77777777" w:rsidTr="00B679E7">
        <w:trPr>
          <w:trHeight w:val="60"/>
        </w:trPr>
        <w:tc>
          <w:tcPr>
            <w:tcW w:w="397" w:type="dxa"/>
            <w:shd w:val="clear" w:color="auto" w:fill="auto"/>
            <w:tcMar>
              <w:top w:w="142" w:type="dxa"/>
              <w:left w:w="0" w:type="dxa"/>
              <w:bottom w:w="85" w:type="dxa"/>
              <w:right w:w="0" w:type="dxa"/>
            </w:tcMar>
            <w:vAlign w:val="bottom"/>
          </w:tcPr>
          <w:p w14:paraId="3C6AFC9D" w14:textId="77777777" w:rsidR="00EC294A" w:rsidRPr="00EC294A" w:rsidRDefault="00EC294A" w:rsidP="001D43F5">
            <w:pPr>
              <w:spacing w:line="240" w:lineRule="exact"/>
              <w:contextualSpacing/>
              <w:rPr>
                <w:rFonts w:ascii="Tahoma" w:hAnsi="Tahoma"/>
                <w:color w:val="000000" w:themeColor="text1"/>
                <w:sz w:val="16"/>
                <w:lang w:val="en-GB"/>
              </w:rPr>
            </w:pPr>
          </w:p>
        </w:tc>
        <w:tc>
          <w:tcPr>
            <w:tcW w:w="9809" w:type="dxa"/>
            <w:gridSpan w:val="4"/>
            <w:shd w:val="clear" w:color="auto" w:fill="auto"/>
            <w:tcMar>
              <w:top w:w="142" w:type="dxa"/>
              <w:left w:w="0" w:type="dxa"/>
              <w:bottom w:w="85" w:type="dxa"/>
              <w:right w:w="0" w:type="dxa"/>
            </w:tcMar>
            <w:vAlign w:val="bottom"/>
          </w:tcPr>
          <w:p w14:paraId="6F69E36E" w14:textId="77777777" w:rsidR="00EC294A" w:rsidRPr="00EC294A" w:rsidRDefault="00EC294A" w:rsidP="001D43F5">
            <w:pPr>
              <w:spacing w:line="240" w:lineRule="exact"/>
              <w:contextualSpacing/>
              <w:rPr>
                <w:rFonts w:ascii="Tahoma" w:hAnsi="Tahoma"/>
                <w:color w:val="000000" w:themeColor="text1"/>
                <w:sz w:val="16"/>
                <w:lang w:val="en-GB"/>
              </w:rPr>
            </w:pPr>
            <w:r w:rsidRPr="00EC294A">
              <w:rPr>
                <w:rFonts w:ascii="Tahoma" w:hAnsi="Tahoma"/>
                <w:color w:val="000000" w:themeColor="text1"/>
                <w:sz w:val="16"/>
                <w:lang w:val="en-GB"/>
              </w:rPr>
              <w:t>The group operates a number of businesses in jurisdictions where taxes are payable on certain transactions or payments. The group continues to seek relevant advice and works with its advisers to identify and quantify such tax exposures. The group has no significant uncertain tax positions for the six months ended 30 September 2022.</w:t>
            </w:r>
          </w:p>
        </w:tc>
      </w:tr>
    </w:tbl>
    <w:p w14:paraId="5858CA86" w14:textId="77777777" w:rsidR="00EC294A" w:rsidRPr="00615190" w:rsidRDefault="00EC294A" w:rsidP="00615190">
      <w:pPr>
        <w:spacing w:line="240" w:lineRule="atLeast"/>
        <w:rPr>
          <w:rFonts w:ascii="Tahoma" w:hAnsi="Tahoma"/>
          <w:color w:val="000000" w:themeColor="text1"/>
          <w:sz w:val="16"/>
        </w:rPr>
      </w:pPr>
    </w:p>
    <w:tbl>
      <w:tblPr>
        <w:tblW w:w="10206" w:type="dxa"/>
        <w:tblInd w:w="-8" w:type="dxa"/>
        <w:tblLayout w:type="fixed"/>
        <w:tblCellMar>
          <w:left w:w="0" w:type="dxa"/>
          <w:right w:w="0" w:type="dxa"/>
        </w:tblCellMar>
        <w:tblLook w:val="0000" w:firstRow="0" w:lastRow="0" w:firstColumn="0" w:lastColumn="0" w:noHBand="0" w:noVBand="0"/>
      </w:tblPr>
      <w:tblGrid>
        <w:gridCol w:w="397"/>
        <w:gridCol w:w="6407"/>
        <w:gridCol w:w="1134"/>
        <w:gridCol w:w="1134"/>
        <w:gridCol w:w="1134"/>
      </w:tblGrid>
      <w:tr w:rsidR="00615190" w:rsidRPr="00D6167B" w14:paraId="0A4BD22C" w14:textId="77777777" w:rsidTr="00B679E7">
        <w:trPr>
          <w:trHeight w:val="60"/>
        </w:trPr>
        <w:tc>
          <w:tcPr>
            <w:tcW w:w="397" w:type="dxa"/>
            <w:shd w:val="clear" w:color="auto" w:fill="auto"/>
            <w:tcMar>
              <w:top w:w="0" w:type="dxa"/>
              <w:left w:w="0" w:type="dxa"/>
              <w:bottom w:w="57" w:type="dxa"/>
              <w:right w:w="0" w:type="dxa"/>
            </w:tcMar>
            <w:vAlign w:val="bottom"/>
          </w:tcPr>
          <w:p w14:paraId="615E626D" w14:textId="77777777" w:rsidR="00D6167B" w:rsidRPr="00D6167B" w:rsidRDefault="005D3A30" w:rsidP="009D777D">
            <w:pPr>
              <w:spacing w:line="200" w:lineRule="exact"/>
              <w:contextualSpacing/>
              <w:rPr>
                <w:rFonts w:ascii="Tahoma" w:hAnsi="Tahoma"/>
                <w:b/>
                <w:bCs/>
                <w:color w:val="000000" w:themeColor="text1"/>
                <w:sz w:val="16"/>
                <w:lang w:val="en-GB"/>
              </w:rPr>
            </w:pPr>
            <w:r w:rsidRPr="00D6167B">
              <w:rPr>
                <w:rFonts w:ascii="Tahoma" w:hAnsi="Tahoma"/>
                <w:b/>
                <w:bCs/>
                <w:color w:val="000000" w:themeColor="text1"/>
                <w:sz w:val="16"/>
                <w:lang w:val="en-GB"/>
              </w:rPr>
              <w:t>14.</w:t>
            </w:r>
          </w:p>
        </w:tc>
        <w:tc>
          <w:tcPr>
            <w:tcW w:w="9809" w:type="dxa"/>
            <w:gridSpan w:val="4"/>
            <w:shd w:val="clear" w:color="auto" w:fill="auto"/>
            <w:tcMar>
              <w:top w:w="0" w:type="dxa"/>
              <w:left w:w="0" w:type="dxa"/>
              <w:bottom w:w="57" w:type="dxa"/>
              <w:right w:w="0" w:type="dxa"/>
            </w:tcMar>
            <w:vAlign w:val="bottom"/>
          </w:tcPr>
          <w:p w14:paraId="7CF2D113" w14:textId="77777777" w:rsidR="00D6167B" w:rsidRPr="00D6167B" w:rsidRDefault="005D3A30" w:rsidP="009D777D">
            <w:pPr>
              <w:spacing w:line="200" w:lineRule="exact"/>
              <w:contextualSpacing/>
              <w:rPr>
                <w:rFonts w:ascii="Tahoma" w:hAnsi="Tahoma"/>
                <w:b/>
                <w:bCs/>
                <w:color w:val="000000" w:themeColor="text1"/>
                <w:sz w:val="16"/>
                <w:lang w:val="en-GB"/>
              </w:rPr>
            </w:pPr>
            <w:r w:rsidRPr="00D6167B">
              <w:rPr>
                <w:rFonts w:ascii="Tahoma" w:hAnsi="Tahoma"/>
                <w:b/>
                <w:bCs/>
                <w:color w:val="000000" w:themeColor="text1"/>
                <w:sz w:val="16"/>
                <w:lang w:val="en-GB"/>
              </w:rPr>
              <w:t>DISPOSAL GROUPS CLASSIFIED AS HELD FOR SALE</w:t>
            </w:r>
          </w:p>
        </w:tc>
      </w:tr>
      <w:tr w:rsidR="00615190" w:rsidRPr="00D6167B" w14:paraId="5BACA2C6" w14:textId="77777777" w:rsidTr="00B679E7">
        <w:trPr>
          <w:trHeight w:val="60"/>
        </w:trPr>
        <w:tc>
          <w:tcPr>
            <w:tcW w:w="397" w:type="dxa"/>
            <w:shd w:val="clear" w:color="auto" w:fill="auto"/>
            <w:tcMar>
              <w:top w:w="57" w:type="dxa"/>
              <w:left w:w="0" w:type="dxa"/>
              <w:bottom w:w="57" w:type="dxa"/>
              <w:right w:w="0" w:type="dxa"/>
            </w:tcMar>
            <w:vAlign w:val="bottom"/>
          </w:tcPr>
          <w:p w14:paraId="19CA96A9" w14:textId="77777777" w:rsidR="00D6167B" w:rsidRPr="00D6167B" w:rsidRDefault="00D6167B" w:rsidP="009D777D">
            <w:pPr>
              <w:spacing w:line="200" w:lineRule="exact"/>
              <w:contextualSpacing/>
              <w:rPr>
                <w:rFonts w:ascii="Tahoma" w:hAnsi="Tahoma"/>
                <w:color w:val="000000" w:themeColor="text1"/>
                <w:sz w:val="16"/>
                <w:lang w:val="en-GB"/>
              </w:rPr>
            </w:pPr>
          </w:p>
        </w:tc>
        <w:tc>
          <w:tcPr>
            <w:tcW w:w="9809" w:type="dxa"/>
            <w:gridSpan w:val="4"/>
            <w:shd w:val="clear" w:color="auto" w:fill="auto"/>
            <w:tcMar>
              <w:top w:w="57" w:type="dxa"/>
              <w:left w:w="0" w:type="dxa"/>
              <w:bottom w:w="57" w:type="dxa"/>
              <w:right w:w="0" w:type="dxa"/>
            </w:tcMar>
            <w:vAlign w:val="bottom"/>
          </w:tcPr>
          <w:p w14:paraId="0C029F79" w14:textId="77777777" w:rsidR="00D6167B" w:rsidRPr="00D6167B" w:rsidRDefault="00D6167B" w:rsidP="007C3435">
            <w:pPr>
              <w:spacing w:line="240" w:lineRule="exact"/>
              <w:contextualSpacing/>
              <w:rPr>
                <w:rFonts w:ascii="Tahoma" w:hAnsi="Tahoma"/>
                <w:color w:val="000000" w:themeColor="text1"/>
                <w:sz w:val="16"/>
                <w:lang w:val="en-GB"/>
              </w:rPr>
            </w:pPr>
            <w:r w:rsidRPr="00D6167B">
              <w:rPr>
                <w:rFonts w:ascii="Tahoma" w:hAnsi="Tahoma"/>
                <w:color w:val="000000" w:themeColor="text1"/>
                <w:sz w:val="16"/>
                <w:lang w:val="en-GB"/>
              </w:rPr>
              <w:t xml:space="preserve">In May 2022, following the group’s announcement to exit its Russian business, </w:t>
            </w:r>
            <w:proofErr w:type="spellStart"/>
            <w:r w:rsidRPr="00D6167B">
              <w:rPr>
                <w:rFonts w:ascii="Tahoma" w:hAnsi="Tahoma"/>
                <w:color w:val="000000" w:themeColor="text1"/>
                <w:sz w:val="16"/>
                <w:lang w:val="en-GB"/>
              </w:rPr>
              <w:t>Avito’s</w:t>
            </w:r>
            <w:proofErr w:type="spellEnd"/>
            <w:r w:rsidRPr="00D6167B">
              <w:rPr>
                <w:rFonts w:ascii="Tahoma" w:hAnsi="Tahoma"/>
                <w:color w:val="000000" w:themeColor="text1"/>
                <w:sz w:val="16"/>
                <w:lang w:val="en-GB"/>
              </w:rPr>
              <w:t xml:space="preserve"> assets and liabilities were classified as held for sale. The sale of </w:t>
            </w:r>
            <w:proofErr w:type="spellStart"/>
            <w:r w:rsidRPr="00D6167B">
              <w:rPr>
                <w:rFonts w:ascii="Tahoma" w:hAnsi="Tahoma"/>
                <w:color w:val="000000" w:themeColor="text1"/>
                <w:sz w:val="16"/>
                <w:lang w:val="en-GB"/>
              </w:rPr>
              <w:t>Avito</w:t>
            </w:r>
            <w:proofErr w:type="spellEnd"/>
            <w:r w:rsidRPr="00D6167B">
              <w:rPr>
                <w:rFonts w:ascii="Tahoma" w:hAnsi="Tahoma"/>
                <w:color w:val="000000" w:themeColor="text1"/>
                <w:sz w:val="16"/>
                <w:lang w:val="en-GB"/>
              </w:rPr>
              <w:t xml:space="preserve"> was completed in October 2022. There were no impairment losses recognised upon the classification of </w:t>
            </w:r>
            <w:proofErr w:type="spellStart"/>
            <w:r w:rsidRPr="00D6167B">
              <w:rPr>
                <w:rFonts w:ascii="Tahoma" w:hAnsi="Tahoma"/>
                <w:color w:val="000000" w:themeColor="text1"/>
                <w:sz w:val="16"/>
                <w:lang w:val="en-GB"/>
              </w:rPr>
              <w:t>Avito</w:t>
            </w:r>
            <w:proofErr w:type="spellEnd"/>
            <w:r w:rsidRPr="00D6167B">
              <w:rPr>
                <w:rFonts w:ascii="Tahoma" w:hAnsi="Tahoma"/>
                <w:color w:val="000000" w:themeColor="text1"/>
                <w:sz w:val="16"/>
                <w:lang w:val="en-GB"/>
              </w:rPr>
              <w:t xml:space="preserve"> as non-current assets held for sale.</w:t>
            </w:r>
          </w:p>
        </w:tc>
      </w:tr>
      <w:tr w:rsidR="00615190" w:rsidRPr="00D6167B" w14:paraId="164329C1" w14:textId="77777777" w:rsidTr="00B679E7">
        <w:trPr>
          <w:trHeight w:val="60"/>
        </w:trPr>
        <w:tc>
          <w:tcPr>
            <w:tcW w:w="397" w:type="dxa"/>
            <w:shd w:val="clear" w:color="auto" w:fill="auto"/>
            <w:tcMar>
              <w:top w:w="142" w:type="dxa"/>
              <w:left w:w="0" w:type="dxa"/>
              <w:bottom w:w="57" w:type="dxa"/>
              <w:right w:w="0" w:type="dxa"/>
            </w:tcMar>
            <w:vAlign w:val="bottom"/>
          </w:tcPr>
          <w:p w14:paraId="08ED5A27" w14:textId="77777777" w:rsidR="00D6167B" w:rsidRPr="00D6167B" w:rsidRDefault="00D6167B" w:rsidP="009D777D">
            <w:pPr>
              <w:spacing w:line="200" w:lineRule="exact"/>
              <w:contextualSpacing/>
              <w:rPr>
                <w:rFonts w:ascii="Tahoma" w:hAnsi="Tahoma"/>
                <w:color w:val="000000" w:themeColor="text1"/>
                <w:sz w:val="16"/>
                <w:lang w:val="en-GB"/>
              </w:rPr>
            </w:pPr>
          </w:p>
        </w:tc>
        <w:tc>
          <w:tcPr>
            <w:tcW w:w="9809" w:type="dxa"/>
            <w:gridSpan w:val="4"/>
            <w:shd w:val="clear" w:color="auto" w:fill="auto"/>
            <w:tcMar>
              <w:top w:w="142" w:type="dxa"/>
              <w:left w:w="0" w:type="dxa"/>
              <w:bottom w:w="57" w:type="dxa"/>
              <w:right w:w="0" w:type="dxa"/>
            </w:tcMar>
            <w:vAlign w:val="bottom"/>
          </w:tcPr>
          <w:p w14:paraId="14A843F1" w14:textId="77777777" w:rsidR="00D6167B" w:rsidRPr="00D6167B" w:rsidRDefault="00D6167B" w:rsidP="007C3435">
            <w:pPr>
              <w:spacing w:line="240" w:lineRule="exact"/>
              <w:contextualSpacing/>
              <w:rPr>
                <w:rFonts w:ascii="Tahoma" w:hAnsi="Tahoma"/>
                <w:color w:val="000000" w:themeColor="text1"/>
                <w:sz w:val="16"/>
                <w:lang w:val="en-GB"/>
              </w:rPr>
            </w:pPr>
            <w:r w:rsidRPr="00D6167B">
              <w:rPr>
                <w:rFonts w:ascii="Tahoma" w:hAnsi="Tahoma"/>
                <w:color w:val="000000" w:themeColor="text1"/>
                <w:sz w:val="16"/>
                <w:lang w:val="en-GB"/>
              </w:rPr>
              <w:t xml:space="preserve">In September 2022, the assets and liabilities of the group’s subsidiary </w:t>
            </w:r>
            <w:proofErr w:type="spellStart"/>
            <w:r w:rsidRPr="00D6167B">
              <w:rPr>
                <w:rFonts w:ascii="Tahoma" w:hAnsi="Tahoma"/>
                <w:color w:val="000000" w:themeColor="text1"/>
                <w:sz w:val="16"/>
                <w:lang w:val="en-GB"/>
              </w:rPr>
              <w:t>Zoop</w:t>
            </w:r>
            <w:proofErr w:type="spellEnd"/>
            <w:r w:rsidRPr="00D6167B">
              <w:rPr>
                <w:rFonts w:ascii="Tahoma" w:hAnsi="Tahoma"/>
                <w:color w:val="000000" w:themeColor="text1"/>
                <w:sz w:val="16"/>
                <w:lang w:val="en-GB"/>
              </w:rPr>
              <w:t xml:space="preserve"> </w:t>
            </w:r>
            <w:proofErr w:type="spellStart"/>
            <w:r w:rsidRPr="00D6167B">
              <w:rPr>
                <w:rFonts w:ascii="Tahoma" w:hAnsi="Tahoma"/>
                <w:color w:val="000000" w:themeColor="text1"/>
                <w:sz w:val="16"/>
                <w:lang w:val="en-GB"/>
              </w:rPr>
              <w:t>Tecnologia</w:t>
            </w:r>
            <w:proofErr w:type="spellEnd"/>
            <w:r w:rsidRPr="00D6167B">
              <w:rPr>
                <w:rFonts w:ascii="Tahoma" w:hAnsi="Tahoma"/>
                <w:color w:val="000000" w:themeColor="text1"/>
                <w:sz w:val="16"/>
                <w:lang w:val="en-GB"/>
              </w:rPr>
              <w:t xml:space="preserve"> e </w:t>
            </w:r>
            <w:proofErr w:type="spellStart"/>
            <w:r w:rsidRPr="00D6167B">
              <w:rPr>
                <w:rFonts w:ascii="Tahoma" w:hAnsi="Tahoma"/>
                <w:color w:val="000000" w:themeColor="text1"/>
                <w:sz w:val="16"/>
                <w:lang w:val="en-GB"/>
              </w:rPr>
              <w:t>Meios</w:t>
            </w:r>
            <w:proofErr w:type="spellEnd"/>
            <w:r w:rsidRPr="00D6167B">
              <w:rPr>
                <w:rFonts w:ascii="Tahoma" w:hAnsi="Tahoma"/>
                <w:color w:val="000000" w:themeColor="text1"/>
                <w:sz w:val="16"/>
                <w:lang w:val="en-GB"/>
              </w:rPr>
              <w:t xml:space="preserve"> de </w:t>
            </w:r>
            <w:proofErr w:type="spellStart"/>
            <w:r w:rsidRPr="00D6167B">
              <w:rPr>
                <w:rFonts w:ascii="Tahoma" w:hAnsi="Tahoma"/>
                <w:color w:val="000000" w:themeColor="text1"/>
                <w:sz w:val="16"/>
                <w:lang w:val="en-GB"/>
              </w:rPr>
              <w:t>Pagamento</w:t>
            </w:r>
            <w:proofErr w:type="spellEnd"/>
            <w:r w:rsidRPr="00D6167B">
              <w:rPr>
                <w:rFonts w:ascii="Tahoma" w:hAnsi="Tahoma"/>
                <w:color w:val="000000" w:themeColor="text1"/>
                <w:sz w:val="16"/>
                <w:lang w:val="en-GB"/>
              </w:rPr>
              <w:t xml:space="preserve"> S.A. (</w:t>
            </w:r>
            <w:proofErr w:type="spellStart"/>
            <w:r w:rsidRPr="00D6167B">
              <w:rPr>
                <w:rFonts w:ascii="Tahoma" w:hAnsi="Tahoma"/>
                <w:color w:val="000000" w:themeColor="text1"/>
                <w:sz w:val="16"/>
                <w:lang w:val="en-GB"/>
              </w:rPr>
              <w:t>Zoop</w:t>
            </w:r>
            <w:proofErr w:type="spellEnd"/>
            <w:r w:rsidRPr="00D6167B">
              <w:rPr>
                <w:rFonts w:ascii="Tahoma" w:hAnsi="Tahoma"/>
                <w:color w:val="000000" w:themeColor="text1"/>
                <w:sz w:val="16"/>
                <w:lang w:val="en-GB"/>
              </w:rPr>
              <w:t>) were classified as held for sale following the decision to sell the investment. The group is in negotiations with potential buyers. The transaction is expected to close in the second half of the 2023 financial year.</w:t>
            </w:r>
          </w:p>
        </w:tc>
      </w:tr>
      <w:tr w:rsidR="00615190" w:rsidRPr="00D6167B" w14:paraId="5A62B066" w14:textId="77777777" w:rsidTr="00B679E7">
        <w:trPr>
          <w:trHeight w:val="60"/>
        </w:trPr>
        <w:tc>
          <w:tcPr>
            <w:tcW w:w="397" w:type="dxa"/>
            <w:shd w:val="clear" w:color="auto" w:fill="auto"/>
            <w:tcMar>
              <w:top w:w="142" w:type="dxa"/>
              <w:left w:w="0" w:type="dxa"/>
              <w:bottom w:w="113" w:type="dxa"/>
              <w:right w:w="0" w:type="dxa"/>
            </w:tcMar>
            <w:vAlign w:val="bottom"/>
          </w:tcPr>
          <w:p w14:paraId="29A5833E" w14:textId="77777777" w:rsidR="00D6167B" w:rsidRPr="00D6167B" w:rsidRDefault="00D6167B" w:rsidP="009D777D">
            <w:pPr>
              <w:spacing w:line="200" w:lineRule="exact"/>
              <w:contextualSpacing/>
              <w:rPr>
                <w:rFonts w:ascii="Tahoma" w:hAnsi="Tahoma"/>
                <w:color w:val="000000" w:themeColor="text1"/>
                <w:sz w:val="16"/>
                <w:lang w:val="en-GB"/>
              </w:rPr>
            </w:pPr>
          </w:p>
        </w:tc>
        <w:tc>
          <w:tcPr>
            <w:tcW w:w="9809" w:type="dxa"/>
            <w:gridSpan w:val="4"/>
            <w:shd w:val="clear" w:color="auto" w:fill="auto"/>
            <w:tcMar>
              <w:top w:w="142" w:type="dxa"/>
              <w:left w:w="0" w:type="dxa"/>
              <w:bottom w:w="113" w:type="dxa"/>
              <w:right w:w="0" w:type="dxa"/>
            </w:tcMar>
            <w:vAlign w:val="bottom"/>
          </w:tcPr>
          <w:p w14:paraId="4DA8A8DB" w14:textId="77777777" w:rsidR="00D6167B" w:rsidRPr="00D6167B" w:rsidRDefault="00D6167B" w:rsidP="007C3435">
            <w:pPr>
              <w:spacing w:line="240" w:lineRule="exact"/>
              <w:contextualSpacing/>
              <w:rPr>
                <w:rFonts w:ascii="Tahoma" w:hAnsi="Tahoma"/>
                <w:color w:val="000000" w:themeColor="text1"/>
                <w:sz w:val="16"/>
                <w:lang w:val="en-GB"/>
              </w:rPr>
            </w:pPr>
            <w:r w:rsidRPr="00D6167B">
              <w:rPr>
                <w:rFonts w:ascii="Tahoma" w:hAnsi="Tahoma"/>
                <w:color w:val="000000" w:themeColor="text1"/>
                <w:sz w:val="16"/>
                <w:lang w:val="en-GB"/>
              </w:rPr>
              <w:t>The assets and liabilities classified as held for sale are detailed in the table below:</w:t>
            </w:r>
          </w:p>
        </w:tc>
      </w:tr>
      <w:tr w:rsidR="00615190" w:rsidRPr="00D6167B" w14:paraId="776DBFA8" w14:textId="77777777" w:rsidTr="00E127D5">
        <w:trPr>
          <w:trHeight w:val="60"/>
        </w:trPr>
        <w:tc>
          <w:tcPr>
            <w:tcW w:w="397" w:type="dxa"/>
            <w:shd w:val="clear" w:color="auto" w:fill="auto"/>
            <w:tcMar>
              <w:top w:w="85" w:type="dxa"/>
              <w:left w:w="0" w:type="dxa"/>
              <w:bottom w:w="85" w:type="dxa"/>
              <w:right w:w="0" w:type="dxa"/>
            </w:tcMar>
            <w:vAlign w:val="bottom"/>
          </w:tcPr>
          <w:p w14:paraId="171626E7" w14:textId="77777777" w:rsidR="00D6167B" w:rsidRPr="00D6167B" w:rsidRDefault="00D6167B" w:rsidP="009D777D">
            <w:pPr>
              <w:spacing w:line="200" w:lineRule="exact"/>
              <w:contextualSpacing/>
              <w:rPr>
                <w:rFonts w:ascii="Tahoma" w:hAnsi="Tahoma"/>
                <w:color w:val="000000" w:themeColor="text1"/>
                <w:sz w:val="16"/>
                <w:lang w:val="en-GB"/>
              </w:rPr>
            </w:pPr>
          </w:p>
        </w:tc>
        <w:tc>
          <w:tcPr>
            <w:tcW w:w="6407" w:type="dxa"/>
            <w:shd w:val="clear" w:color="auto" w:fill="auto"/>
            <w:tcMar>
              <w:top w:w="85" w:type="dxa"/>
              <w:left w:w="0" w:type="dxa"/>
              <w:bottom w:w="85" w:type="dxa"/>
              <w:right w:w="0" w:type="dxa"/>
            </w:tcMar>
            <w:vAlign w:val="bottom"/>
          </w:tcPr>
          <w:p w14:paraId="47DF2A55" w14:textId="77777777" w:rsidR="00D6167B" w:rsidRPr="00D6167B" w:rsidRDefault="00D6167B" w:rsidP="009D777D">
            <w:pPr>
              <w:spacing w:line="200" w:lineRule="exact"/>
              <w:contextualSpacing/>
              <w:rPr>
                <w:rFonts w:ascii="Tahoma" w:hAnsi="Tahoma"/>
                <w:color w:val="000000" w:themeColor="text1"/>
                <w:sz w:val="16"/>
                <w:lang w:val="en-GB"/>
              </w:rPr>
            </w:pPr>
          </w:p>
        </w:tc>
        <w:tc>
          <w:tcPr>
            <w:tcW w:w="2268" w:type="dxa"/>
            <w:gridSpan w:val="2"/>
            <w:shd w:val="clear" w:color="auto" w:fill="auto"/>
            <w:tcMar>
              <w:top w:w="85" w:type="dxa"/>
              <w:left w:w="0" w:type="dxa"/>
              <w:bottom w:w="85" w:type="dxa"/>
              <w:right w:w="0" w:type="dxa"/>
            </w:tcMar>
            <w:vAlign w:val="bottom"/>
          </w:tcPr>
          <w:p w14:paraId="5767E47B" w14:textId="77777777" w:rsidR="00D6167B" w:rsidRPr="00D6167B" w:rsidRDefault="00D6167B" w:rsidP="007A5827">
            <w:pPr>
              <w:spacing w:line="200" w:lineRule="exact"/>
              <w:ind w:left="430"/>
              <w:contextualSpacing/>
              <w:jc w:val="center"/>
              <w:rPr>
                <w:rFonts w:ascii="Tahoma" w:hAnsi="Tahoma"/>
                <w:b/>
                <w:bCs/>
                <w:color w:val="000000" w:themeColor="text1"/>
                <w:sz w:val="16"/>
                <w:lang w:val="en-GB"/>
              </w:rPr>
            </w:pPr>
            <w:r w:rsidRPr="00D6167B">
              <w:rPr>
                <w:rFonts w:ascii="Tahoma" w:hAnsi="Tahoma"/>
                <w:b/>
                <w:bCs/>
                <w:color w:val="000000" w:themeColor="text1"/>
                <w:sz w:val="16"/>
                <w:lang w:val="en-GB"/>
              </w:rPr>
              <w:t>Six months ended</w:t>
            </w:r>
          </w:p>
          <w:p w14:paraId="47B52836" w14:textId="77777777" w:rsidR="00D6167B" w:rsidRPr="00D6167B" w:rsidRDefault="00D6167B" w:rsidP="007A5827">
            <w:pPr>
              <w:spacing w:line="200" w:lineRule="exact"/>
              <w:ind w:left="430"/>
              <w:contextualSpacing/>
              <w:jc w:val="center"/>
              <w:rPr>
                <w:rFonts w:ascii="Tahoma" w:hAnsi="Tahoma"/>
                <w:color w:val="000000" w:themeColor="text1"/>
                <w:sz w:val="16"/>
                <w:lang w:val="en-GB"/>
              </w:rPr>
            </w:pPr>
            <w:r w:rsidRPr="00D6167B">
              <w:rPr>
                <w:rFonts w:ascii="Tahoma" w:hAnsi="Tahoma"/>
                <w:b/>
                <w:bCs/>
                <w:color w:val="000000" w:themeColor="text1"/>
                <w:sz w:val="16"/>
                <w:lang w:val="en-GB"/>
              </w:rPr>
              <w:t>30 September</w:t>
            </w:r>
          </w:p>
        </w:tc>
        <w:tc>
          <w:tcPr>
            <w:tcW w:w="1134" w:type="dxa"/>
            <w:shd w:val="clear" w:color="auto" w:fill="auto"/>
            <w:tcMar>
              <w:top w:w="85" w:type="dxa"/>
              <w:left w:w="0" w:type="dxa"/>
              <w:bottom w:w="85" w:type="dxa"/>
              <w:right w:w="0" w:type="dxa"/>
            </w:tcMar>
            <w:vAlign w:val="bottom"/>
          </w:tcPr>
          <w:p w14:paraId="0BD47E2E" w14:textId="77777777" w:rsidR="00D6167B" w:rsidRPr="00D6167B" w:rsidRDefault="00D6167B" w:rsidP="009D777D">
            <w:pPr>
              <w:spacing w:line="200" w:lineRule="exact"/>
              <w:ind w:right="113"/>
              <w:contextualSpacing/>
              <w:jc w:val="right"/>
              <w:rPr>
                <w:rFonts w:ascii="Tahoma" w:hAnsi="Tahoma"/>
                <w:color w:val="000000" w:themeColor="text1"/>
                <w:sz w:val="16"/>
                <w:lang w:val="en-GB"/>
              </w:rPr>
            </w:pPr>
            <w:r w:rsidRPr="00D6167B">
              <w:rPr>
                <w:rFonts w:ascii="Tahoma" w:hAnsi="Tahoma"/>
                <w:color w:val="000000" w:themeColor="text1"/>
                <w:sz w:val="16"/>
                <w:lang w:val="en-GB"/>
              </w:rPr>
              <w:t>Year</w:t>
            </w:r>
          </w:p>
          <w:p w14:paraId="71F96707" w14:textId="77777777" w:rsidR="00D6167B" w:rsidRPr="00D6167B" w:rsidRDefault="00D6167B" w:rsidP="009D777D">
            <w:pPr>
              <w:spacing w:line="200" w:lineRule="exact"/>
              <w:ind w:right="113"/>
              <w:contextualSpacing/>
              <w:jc w:val="right"/>
              <w:rPr>
                <w:rFonts w:ascii="Tahoma" w:hAnsi="Tahoma"/>
                <w:color w:val="000000" w:themeColor="text1"/>
                <w:sz w:val="16"/>
                <w:lang w:val="en-GB"/>
              </w:rPr>
            </w:pPr>
            <w:r w:rsidRPr="00D6167B">
              <w:rPr>
                <w:rFonts w:ascii="Tahoma" w:hAnsi="Tahoma"/>
                <w:color w:val="000000" w:themeColor="text1"/>
                <w:sz w:val="16"/>
                <w:lang w:val="en-GB"/>
              </w:rPr>
              <w:t xml:space="preserve"> ended</w:t>
            </w:r>
          </w:p>
          <w:p w14:paraId="07F259DA" w14:textId="77777777" w:rsidR="00D6167B" w:rsidRPr="00D6167B" w:rsidRDefault="00D6167B" w:rsidP="009D777D">
            <w:pPr>
              <w:spacing w:line="200" w:lineRule="exact"/>
              <w:ind w:right="113"/>
              <w:contextualSpacing/>
              <w:jc w:val="right"/>
              <w:rPr>
                <w:rFonts w:ascii="Tahoma" w:hAnsi="Tahoma"/>
                <w:color w:val="000000" w:themeColor="text1"/>
                <w:sz w:val="16"/>
                <w:lang w:val="en-GB"/>
              </w:rPr>
            </w:pPr>
            <w:r w:rsidRPr="00D6167B">
              <w:rPr>
                <w:rFonts w:ascii="Tahoma" w:hAnsi="Tahoma"/>
                <w:color w:val="000000" w:themeColor="text1"/>
                <w:sz w:val="16"/>
                <w:lang w:val="en-GB"/>
              </w:rPr>
              <w:t>31 March</w:t>
            </w:r>
          </w:p>
        </w:tc>
      </w:tr>
      <w:tr w:rsidR="00615190" w:rsidRPr="00D6167B" w14:paraId="770CDB62" w14:textId="77777777" w:rsidTr="00E127D5">
        <w:trPr>
          <w:trHeight w:val="60"/>
        </w:trPr>
        <w:tc>
          <w:tcPr>
            <w:tcW w:w="397" w:type="dxa"/>
            <w:shd w:val="clear" w:color="auto" w:fill="auto"/>
            <w:tcMar>
              <w:top w:w="113" w:type="dxa"/>
              <w:left w:w="0" w:type="dxa"/>
              <w:bottom w:w="113" w:type="dxa"/>
              <w:right w:w="0" w:type="dxa"/>
            </w:tcMar>
            <w:vAlign w:val="bottom"/>
          </w:tcPr>
          <w:p w14:paraId="485E8A77" w14:textId="77777777" w:rsidR="00D6167B" w:rsidRPr="00D6167B" w:rsidRDefault="00D6167B" w:rsidP="009D777D">
            <w:pPr>
              <w:spacing w:line="200" w:lineRule="exact"/>
              <w:contextualSpacing/>
              <w:rPr>
                <w:rFonts w:ascii="Tahoma" w:hAnsi="Tahoma"/>
                <w:color w:val="000000" w:themeColor="text1"/>
                <w:sz w:val="16"/>
                <w:lang w:val="en-GB"/>
              </w:rPr>
            </w:pPr>
          </w:p>
        </w:tc>
        <w:tc>
          <w:tcPr>
            <w:tcW w:w="6407" w:type="dxa"/>
            <w:tcBorders>
              <w:bottom w:val="single" w:sz="12" w:space="0" w:color="auto"/>
            </w:tcBorders>
            <w:shd w:val="clear" w:color="auto" w:fill="auto"/>
            <w:tcMar>
              <w:top w:w="113" w:type="dxa"/>
              <w:left w:w="0" w:type="dxa"/>
              <w:bottom w:w="113" w:type="dxa"/>
              <w:right w:w="0" w:type="dxa"/>
            </w:tcMar>
            <w:vAlign w:val="bottom"/>
          </w:tcPr>
          <w:p w14:paraId="6DF2C993" w14:textId="77777777" w:rsidR="00D6167B" w:rsidRPr="00D6167B" w:rsidRDefault="00D6167B" w:rsidP="009D777D">
            <w:pPr>
              <w:spacing w:line="200" w:lineRule="exact"/>
              <w:contextualSpacing/>
              <w:rPr>
                <w:rFonts w:ascii="Tahoma" w:hAnsi="Tahoma"/>
                <w:color w:val="000000" w:themeColor="text1"/>
                <w:sz w:val="16"/>
                <w:lang w:val="en-GB"/>
              </w:rPr>
            </w:pPr>
          </w:p>
        </w:tc>
        <w:tc>
          <w:tcPr>
            <w:tcW w:w="1134" w:type="dxa"/>
            <w:tcBorders>
              <w:bottom w:val="single" w:sz="12" w:space="0" w:color="auto"/>
            </w:tcBorders>
            <w:shd w:val="clear" w:color="auto" w:fill="auto"/>
            <w:tcMar>
              <w:top w:w="113" w:type="dxa"/>
              <w:left w:w="0" w:type="dxa"/>
              <w:bottom w:w="113" w:type="dxa"/>
              <w:right w:w="0" w:type="dxa"/>
            </w:tcMar>
            <w:vAlign w:val="bottom"/>
          </w:tcPr>
          <w:p w14:paraId="162BFE25" w14:textId="77777777" w:rsidR="00D6167B" w:rsidRPr="00D6167B" w:rsidRDefault="00D6167B" w:rsidP="009D777D">
            <w:pPr>
              <w:spacing w:line="200" w:lineRule="exact"/>
              <w:contextualSpacing/>
              <w:jc w:val="right"/>
              <w:rPr>
                <w:rFonts w:ascii="Tahoma" w:hAnsi="Tahoma"/>
                <w:b/>
                <w:bCs/>
                <w:color w:val="000000" w:themeColor="text1"/>
                <w:sz w:val="16"/>
                <w:lang w:val="en-GB"/>
              </w:rPr>
            </w:pPr>
            <w:r w:rsidRPr="00D6167B">
              <w:rPr>
                <w:rFonts w:ascii="Tahoma" w:hAnsi="Tahoma"/>
                <w:b/>
                <w:bCs/>
                <w:color w:val="000000" w:themeColor="text1"/>
                <w:sz w:val="16"/>
                <w:lang w:val="en-GB"/>
              </w:rPr>
              <w:t>2022</w:t>
            </w:r>
          </w:p>
          <w:p w14:paraId="30C1A117" w14:textId="77777777" w:rsidR="00D6167B" w:rsidRPr="00D6167B" w:rsidRDefault="00D6167B" w:rsidP="009D777D">
            <w:pPr>
              <w:spacing w:line="200" w:lineRule="exact"/>
              <w:contextualSpacing/>
              <w:jc w:val="right"/>
              <w:rPr>
                <w:rFonts w:ascii="Tahoma" w:hAnsi="Tahoma"/>
                <w:b/>
                <w:bCs/>
                <w:color w:val="000000" w:themeColor="text1"/>
                <w:sz w:val="16"/>
                <w:lang w:val="en-GB"/>
              </w:rPr>
            </w:pPr>
            <w:proofErr w:type="spellStart"/>
            <w:r w:rsidRPr="00D6167B">
              <w:rPr>
                <w:rFonts w:ascii="Tahoma" w:hAnsi="Tahoma"/>
                <w:b/>
                <w:bCs/>
                <w:color w:val="000000" w:themeColor="text1"/>
                <w:sz w:val="16"/>
                <w:lang w:val="en-GB"/>
              </w:rPr>
              <w:t>US$’m</w:t>
            </w:r>
            <w:proofErr w:type="spellEnd"/>
          </w:p>
        </w:tc>
        <w:tc>
          <w:tcPr>
            <w:tcW w:w="1134" w:type="dxa"/>
            <w:tcBorders>
              <w:bottom w:val="single" w:sz="12" w:space="0" w:color="auto"/>
            </w:tcBorders>
            <w:shd w:val="clear" w:color="auto" w:fill="auto"/>
            <w:tcMar>
              <w:top w:w="113" w:type="dxa"/>
              <w:left w:w="0" w:type="dxa"/>
              <w:bottom w:w="113" w:type="dxa"/>
              <w:right w:w="0" w:type="dxa"/>
            </w:tcMar>
            <w:vAlign w:val="bottom"/>
          </w:tcPr>
          <w:p w14:paraId="0F4DCC6B" w14:textId="77777777" w:rsidR="00D6167B" w:rsidRPr="00D6167B" w:rsidRDefault="00D6167B" w:rsidP="009D777D">
            <w:pPr>
              <w:spacing w:line="200" w:lineRule="exact"/>
              <w:contextualSpacing/>
              <w:jc w:val="right"/>
              <w:rPr>
                <w:rFonts w:ascii="Tahoma" w:hAnsi="Tahoma"/>
                <w:color w:val="000000" w:themeColor="text1"/>
                <w:sz w:val="16"/>
                <w:lang w:val="en-GB"/>
              </w:rPr>
            </w:pPr>
            <w:r w:rsidRPr="00D6167B">
              <w:rPr>
                <w:rFonts w:ascii="Tahoma" w:hAnsi="Tahoma"/>
                <w:color w:val="000000" w:themeColor="text1"/>
                <w:sz w:val="16"/>
                <w:lang w:val="en-GB"/>
              </w:rPr>
              <w:t>2021</w:t>
            </w:r>
          </w:p>
          <w:p w14:paraId="36A7EF47" w14:textId="77777777" w:rsidR="00D6167B" w:rsidRPr="00D6167B" w:rsidRDefault="00D6167B" w:rsidP="009D777D">
            <w:pPr>
              <w:spacing w:line="200" w:lineRule="exact"/>
              <w:contextualSpacing/>
              <w:jc w:val="right"/>
              <w:rPr>
                <w:rFonts w:ascii="Tahoma" w:hAnsi="Tahoma"/>
                <w:color w:val="000000" w:themeColor="text1"/>
                <w:sz w:val="16"/>
                <w:lang w:val="en-GB"/>
              </w:rPr>
            </w:pPr>
            <w:proofErr w:type="spellStart"/>
            <w:r w:rsidRPr="00D6167B">
              <w:rPr>
                <w:rFonts w:ascii="Tahoma" w:hAnsi="Tahoma"/>
                <w:color w:val="000000" w:themeColor="text1"/>
                <w:sz w:val="16"/>
                <w:lang w:val="en-GB"/>
              </w:rPr>
              <w:t>US$’m</w:t>
            </w:r>
            <w:proofErr w:type="spellEnd"/>
          </w:p>
        </w:tc>
        <w:tc>
          <w:tcPr>
            <w:tcW w:w="1134" w:type="dxa"/>
            <w:tcBorders>
              <w:bottom w:val="single" w:sz="12" w:space="0" w:color="auto"/>
            </w:tcBorders>
            <w:shd w:val="clear" w:color="auto" w:fill="auto"/>
            <w:tcMar>
              <w:top w:w="113" w:type="dxa"/>
              <w:left w:w="0" w:type="dxa"/>
              <w:bottom w:w="113" w:type="dxa"/>
              <w:right w:w="0" w:type="dxa"/>
            </w:tcMar>
            <w:vAlign w:val="bottom"/>
          </w:tcPr>
          <w:p w14:paraId="6393386E" w14:textId="77777777" w:rsidR="00D6167B" w:rsidRPr="00D6167B" w:rsidRDefault="00D6167B" w:rsidP="009D777D">
            <w:pPr>
              <w:spacing w:line="200" w:lineRule="exact"/>
              <w:ind w:right="113"/>
              <w:contextualSpacing/>
              <w:jc w:val="right"/>
              <w:rPr>
                <w:rFonts w:ascii="Tahoma" w:hAnsi="Tahoma"/>
                <w:color w:val="000000" w:themeColor="text1"/>
                <w:sz w:val="16"/>
                <w:lang w:val="en-GB"/>
              </w:rPr>
            </w:pPr>
            <w:r w:rsidRPr="00D6167B">
              <w:rPr>
                <w:rFonts w:ascii="Tahoma" w:hAnsi="Tahoma"/>
                <w:color w:val="000000" w:themeColor="text1"/>
                <w:sz w:val="16"/>
                <w:lang w:val="en-GB"/>
              </w:rPr>
              <w:t>2022</w:t>
            </w:r>
          </w:p>
          <w:p w14:paraId="21E8B24C" w14:textId="77777777" w:rsidR="00D6167B" w:rsidRPr="00D6167B" w:rsidRDefault="00D6167B" w:rsidP="009D777D">
            <w:pPr>
              <w:spacing w:line="200" w:lineRule="exact"/>
              <w:ind w:right="113"/>
              <w:contextualSpacing/>
              <w:jc w:val="right"/>
              <w:rPr>
                <w:rFonts w:ascii="Tahoma" w:hAnsi="Tahoma"/>
                <w:color w:val="000000" w:themeColor="text1"/>
                <w:sz w:val="16"/>
                <w:lang w:val="en-GB"/>
              </w:rPr>
            </w:pPr>
            <w:proofErr w:type="spellStart"/>
            <w:r w:rsidRPr="00D6167B">
              <w:rPr>
                <w:rFonts w:ascii="Tahoma" w:hAnsi="Tahoma"/>
                <w:color w:val="000000" w:themeColor="text1"/>
                <w:sz w:val="16"/>
                <w:lang w:val="en-GB"/>
              </w:rPr>
              <w:t>US$’m</w:t>
            </w:r>
            <w:proofErr w:type="spellEnd"/>
          </w:p>
        </w:tc>
      </w:tr>
      <w:tr w:rsidR="00615190" w:rsidRPr="00D6167B" w14:paraId="497610FA" w14:textId="77777777" w:rsidTr="00E127D5">
        <w:trPr>
          <w:trHeight w:val="60"/>
        </w:trPr>
        <w:tc>
          <w:tcPr>
            <w:tcW w:w="397" w:type="dxa"/>
            <w:shd w:val="clear" w:color="auto" w:fill="auto"/>
            <w:tcMar>
              <w:top w:w="142" w:type="dxa"/>
              <w:left w:w="0" w:type="dxa"/>
              <w:bottom w:w="57" w:type="dxa"/>
              <w:right w:w="0" w:type="dxa"/>
            </w:tcMar>
            <w:vAlign w:val="bottom"/>
          </w:tcPr>
          <w:p w14:paraId="43492D45" w14:textId="77777777" w:rsidR="00D6167B" w:rsidRPr="00D6167B" w:rsidRDefault="00D6167B" w:rsidP="009D777D">
            <w:pPr>
              <w:spacing w:line="200" w:lineRule="exact"/>
              <w:contextualSpacing/>
              <w:rPr>
                <w:rFonts w:ascii="Tahoma" w:hAnsi="Tahoma"/>
                <w:color w:val="000000" w:themeColor="text1"/>
                <w:sz w:val="16"/>
                <w:lang w:val="en-GB"/>
              </w:rPr>
            </w:pPr>
          </w:p>
        </w:tc>
        <w:tc>
          <w:tcPr>
            <w:tcW w:w="6407" w:type="dxa"/>
            <w:tcBorders>
              <w:top w:val="single" w:sz="12" w:space="0" w:color="auto"/>
            </w:tcBorders>
            <w:shd w:val="clear" w:color="auto" w:fill="auto"/>
            <w:tcMar>
              <w:top w:w="142" w:type="dxa"/>
              <w:left w:w="0" w:type="dxa"/>
              <w:bottom w:w="57" w:type="dxa"/>
              <w:right w:w="0" w:type="dxa"/>
            </w:tcMar>
            <w:vAlign w:val="bottom"/>
          </w:tcPr>
          <w:p w14:paraId="695A94D8" w14:textId="77777777" w:rsidR="00D6167B" w:rsidRPr="00D6167B" w:rsidRDefault="00D6167B" w:rsidP="009D777D">
            <w:pPr>
              <w:spacing w:line="200" w:lineRule="exact"/>
              <w:contextualSpacing/>
              <w:rPr>
                <w:rFonts w:ascii="Tahoma" w:hAnsi="Tahoma"/>
                <w:b/>
                <w:bCs/>
                <w:color w:val="000000" w:themeColor="text1"/>
                <w:sz w:val="16"/>
                <w:lang w:val="en-GB"/>
              </w:rPr>
            </w:pPr>
            <w:r w:rsidRPr="00D6167B">
              <w:rPr>
                <w:rFonts w:ascii="Tahoma" w:hAnsi="Tahoma"/>
                <w:b/>
                <w:bCs/>
                <w:color w:val="000000" w:themeColor="text1"/>
                <w:sz w:val="16"/>
                <w:lang w:val="en-GB"/>
              </w:rPr>
              <w:t>Assets</w:t>
            </w:r>
          </w:p>
        </w:tc>
        <w:tc>
          <w:tcPr>
            <w:tcW w:w="1134" w:type="dxa"/>
            <w:tcBorders>
              <w:top w:val="single" w:sz="12" w:space="0" w:color="auto"/>
              <w:bottom w:val="single" w:sz="4" w:space="0" w:color="auto"/>
            </w:tcBorders>
            <w:shd w:val="clear" w:color="auto" w:fill="auto"/>
            <w:tcMar>
              <w:top w:w="142" w:type="dxa"/>
              <w:left w:w="0" w:type="dxa"/>
              <w:bottom w:w="57" w:type="dxa"/>
              <w:right w:w="0" w:type="dxa"/>
            </w:tcMar>
            <w:vAlign w:val="bottom"/>
          </w:tcPr>
          <w:p w14:paraId="530D0812" w14:textId="77777777" w:rsidR="00D6167B" w:rsidRPr="00D6167B" w:rsidRDefault="00D6167B" w:rsidP="009D777D">
            <w:pPr>
              <w:spacing w:line="200" w:lineRule="exact"/>
              <w:contextualSpacing/>
              <w:jc w:val="right"/>
              <w:rPr>
                <w:rFonts w:ascii="Tahoma" w:hAnsi="Tahoma"/>
                <w:b/>
                <w:bCs/>
                <w:color w:val="000000" w:themeColor="text1"/>
                <w:sz w:val="16"/>
                <w:lang w:val="en-GB"/>
              </w:rPr>
            </w:pPr>
            <w:r w:rsidRPr="00D6167B">
              <w:rPr>
                <w:rFonts w:ascii="Tahoma" w:hAnsi="Tahoma"/>
                <w:b/>
                <w:bCs/>
                <w:color w:val="000000" w:themeColor="text1"/>
                <w:sz w:val="16"/>
                <w:lang w:val="en-GB"/>
              </w:rPr>
              <w:t>2 643</w:t>
            </w:r>
          </w:p>
        </w:tc>
        <w:tc>
          <w:tcPr>
            <w:tcW w:w="1134" w:type="dxa"/>
            <w:tcBorders>
              <w:top w:val="single" w:sz="12" w:space="0" w:color="auto"/>
              <w:bottom w:val="single" w:sz="4" w:space="0" w:color="auto"/>
            </w:tcBorders>
            <w:shd w:val="clear" w:color="auto" w:fill="auto"/>
            <w:tcMar>
              <w:top w:w="142" w:type="dxa"/>
              <w:left w:w="0" w:type="dxa"/>
              <w:bottom w:w="57" w:type="dxa"/>
              <w:right w:w="0" w:type="dxa"/>
            </w:tcMar>
            <w:vAlign w:val="bottom"/>
          </w:tcPr>
          <w:p w14:paraId="35FB8011" w14:textId="77777777" w:rsidR="00D6167B" w:rsidRPr="00D6167B" w:rsidRDefault="00D6167B" w:rsidP="009D777D">
            <w:pPr>
              <w:spacing w:line="200" w:lineRule="exact"/>
              <w:contextualSpacing/>
              <w:jc w:val="right"/>
              <w:rPr>
                <w:rFonts w:ascii="Tahoma" w:hAnsi="Tahoma"/>
                <w:color w:val="000000" w:themeColor="text1"/>
                <w:sz w:val="16"/>
                <w:lang w:val="en-GB"/>
              </w:rPr>
            </w:pPr>
            <w:r w:rsidRPr="00D6167B">
              <w:rPr>
                <w:rFonts w:ascii="Tahoma" w:hAnsi="Tahoma"/>
                <w:color w:val="000000" w:themeColor="text1"/>
                <w:sz w:val="16"/>
                <w:lang w:val="en-GB"/>
              </w:rPr>
              <w:t>—</w:t>
            </w:r>
          </w:p>
        </w:tc>
        <w:tc>
          <w:tcPr>
            <w:tcW w:w="1134" w:type="dxa"/>
            <w:tcBorders>
              <w:top w:val="single" w:sz="12" w:space="0" w:color="auto"/>
              <w:bottom w:val="single" w:sz="4" w:space="0" w:color="auto"/>
            </w:tcBorders>
            <w:shd w:val="clear" w:color="auto" w:fill="auto"/>
            <w:tcMar>
              <w:top w:w="142" w:type="dxa"/>
              <w:left w:w="0" w:type="dxa"/>
              <w:bottom w:w="57" w:type="dxa"/>
              <w:right w:w="0" w:type="dxa"/>
            </w:tcMar>
            <w:vAlign w:val="bottom"/>
          </w:tcPr>
          <w:p w14:paraId="0C6CEABD" w14:textId="77777777" w:rsidR="00D6167B" w:rsidRPr="00D6167B" w:rsidRDefault="00D6167B" w:rsidP="009D777D">
            <w:pPr>
              <w:spacing w:line="200" w:lineRule="exact"/>
              <w:ind w:right="113"/>
              <w:contextualSpacing/>
              <w:jc w:val="right"/>
              <w:rPr>
                <w:rFonts w:ascii="Tahoma" w:hAnsi="Tahoma"/>
                <w:color w:val="000000" w:themeColor="text1"/>
                <w:sz w:val="16"/>
                <w:lang w:val="en-GB"/>
              </w:rPr>
            </w:pPr>
            <w:r w:rsidRPr="00D6167B">
              <w:rPr>
                <w:rFonts w:ascii="Tahoma" w:hAnsi="Tahoma"/>
                <w:color w:val="000000" w:themeColor="text1"/>
                <w:sz w:val="16"/>
                <w:lang w:val="en-GB"/>
              </w:rPr>
              <w:t>38</w:t>
            </w:r>
          </w:p>
        </w:tc>
      </w:tr>
      <w:tr w:rsidR="00615190" w:rsidRPr="00D6167B" w14:paraId="18B5D5E5" w14:textId="77777777" w:rsidTr="00E07578">
        <w:trPr>
          <w:trHeight w:val="60"/>
        </w:trPr>
        <w:tc>
          <w:tcPr>
            <w:tcW w:w="397" w:type="dxa"/>
            <w:shd w:val="clear" w:color="auto" w:fill="auto"/>
            <w:tcMar>
              <w:top w:w="57" w:type="dxa"/>
              <w:left w:w="0" w:type="dxa"/>
              <w:bottom w:w="57" w:type="dxa"/>
              <w:right w:w="0" w:type="dxa"/>
            </w:tcMar>
            <w:vAlign w:val="bottom"/>
          </w:tcPr>
          <w:p w14:paraId="51762920" w14:textId="77777777" w:rsidR="00D6167B" w:rsidRPr="00D6167B" w:rsidRDefault="00D6167B" w:rsidP="009D777D">
            <w:pPr>
              <w:spacing w:line="200" w:lineRule="exact"/>
              <w:contextualSpacing/>
              <w:rPr>
                <w:rFonts w:ascii="Tahoma" w:hAnsi="Tahoma"/>
                <w:color w:val="000000" w:themeColor="text1"/>
                <w:sz w:val="16"/>
                <w:lang w:val="en-GB"/>
              </w:rPr>
            </w:pPr>
          </w:p>
        </w:tc>
        <w:tc>
          <w:tcPr>
            <w:tcW w:w="6407" w:type="dxa"/>
            <w:tcBorders>
              <w:right w:val="single" w:sz="4" w:space="0" w:color="auto"/>
            </w:tcBorders>
            <w:shd w:val="clear" w:color="auto" w:fill="auto"/>
            <w:tcMar>
              <w:top w:w="57" w:type="dxa"/>
              <w:left w:w="113" w:type="dxa"/>
              <w:bottom w:w="57" w:type="dxa"/>
              <w:right w:w="0" w:type="dxa"/>
            </w:tcMar>
            <w:vAlign w:val="bottom"/>
          </w:tcPr>
          <w:p w14:paraId="3D149674" w14:textId="77777777" w:rsidR="00D6167B" w:rsidRPr="00D6167B" w:rsidRDefault="00D6167B" w:rsidP="009D777D">
            <w:pPr>
              <w:spacing w:line="200" w:lineRule="exact"/>
              <w:contextualSpacing/>
              <w:rPr>
                <w:rFonts w:ascii="Tahoma" w:hAnsi="Tahoma"/>
                <w:color w:val="000000" w:themeColor="text1"/>
                <w:sz w:val="16"/>
                <w:lang w:val="en-GB"/>
              </w:rPr>
            </w:pPr>
            <w:r w:rsidRPr="00D6167B">
              <w:rPr>
                <w:rFonts w:ascii="Tahoma" w:hAnsi="Tahoma"/>
                <w:color w:val="000000" w:themeColor="text1"/>
                <w:sz w:val="16"/>
                <w:lang w:val="en-GB"/>
              </w:rPr>
              <w:t>Property, plant and equipment</w:t>
            </w:r>
          </w:p>
        </w:tc>
        <w:tc>
          <w:tcPr>
            <w:tcW w:w="1134" w:type="dxa"/>
            <w:tcBorders>
              <w:top w:val="single" w:sz="4" w:space="0" w:color="auto"/>
              <w:left w:val="single" w:sz="4" w:space="0" w:color="auto"/>
            </w:tcBorders>
            <w:shd w:val="clear" w:color="auto" w:fill="auto"/>
            <w:tcMar>
              <w:top w:w="57" w:type="dxa"/>
              <w:left w:w="0" w:type="dxa"/>
              <w:bottom w:w="57" w:type="dxa"/>
              <w:right w:w="0" w:type="dxa"/>
            </w:tcMar>
            <w:vAlign w:val="bottom"/>
          </w:tcPr>
          <w:p w14:paraId="59DCB435" w14:textId="77777777" w:rsidR="00D6167B" w:rsidRPr="00D6167B" w:rsidRDefault="00D6167B" w:rsidP="009D777D">
            <w:pPr>
              <w:spacing w:line="200" w:lineRule="exact"/>
              <w:contextualSpacing/>
              <w:jc w:val="right"/>
              <w:rPr>
                <w:rFonts w:ascii="Tahoma" w:hAnsi="Tahoma"/>
                <w:b/>
                <w:bCs/>
                <w:color w:val="000000" w:themeColor="text1"/>
                <w:sz w:val="16"/>
                <w:lang w:val="en-GB"/>
              </w:rPr>
            </w:pPr>
            <w:r w:rsidRPr="00D6167B">
              <w:rPr>
                <w:rFonts w:ascii="Tahoma" w:hAnsi="Tahoma"/>
                <w:b/>
                <w:bCs/>
                <w:color w:val="000000" w:themeColor="text1"/>
                <w:sz w:val="16"/>
                <w:lang w:val="en-GB"/>
              </w:rPr>
              <w:t>160</w:t>
            </w:r>
          </w:p>
        </w:tc>
        <w:tc>
          <w:tcPr>
            <w:tcW w:w="1134" w:type="dxa"/>
            <w:tcBorders>
              <w:top w:val="single" w:sz="4" w:space="0" w:color="auto"/>
            </w:tcBorders>
            <w:shd w:val="clear" w:color="auto" w:fill="auto"/>
            <w:tcMar>
              <w:top w:w="57" w:type="dxa"/>
              <w:left w:w="0" w:type="dxa"/>
              <w:bottom w:w="57" w:type="dxa"/>
              <w:right w:w="0" w:type="dxa"/>
            </w:tcMar>
            <w:vAlign w:val="bottom"/>
          </w:tcPr>
          <w:p w14:paraId="02FA4DD1" w14:textId="77777777" w:rsidR="00D6167B" w:rsidRPr="00D6167B" w:rsidRDefault="00D6167B" w:rsidP="009D777D">
            <w:pPr>
              <w:spacing w:line="200" w:lineRule="exact"/>
              <w:contextualSpacing/>
              <w:jc w:val="right"/>
              <w:rPr>
                <w:rFonts w:ascii="Tahoma" w:hAnsi="Tahoma"/>
                <w:color w:val="000000" w:themeColor="text1"/>
                <w:sz w:val="16"/>
                <w:lang w:val="en-GB"/>
              </w:rPr>
            </w:pPr>
            <w:r w:rsidRPr="00D6167B">
              <w:rPr>
                <w:rFonts w:ascii="Tahoma" w:hAnsi="Tahoma"/>
                <w:color w:val="000000" w:themeColor="text1"/>
                <w:sz w:val="16"/>
                <w:lang w:val="en-GB"/>
              </w:rPr>
              <w:t>—</w:t>
            </w:r>
          </w:p>
        </w:tc>
        <w:tc>
          <w:tcPr>
            <w:tcW w:w="1134" w:type="dxa"/>
            <w:tcBorders>
              <w:top w:val="single" w:sz="4" w:space="0" w:color="auto"/>
              <w:right w:val="single" w:sz="4" w:space="0" w:color="auto"/>
            </w:tcBorders>
            <w:shd w:val="clear" w:color="auto" w:fill="auto"/>
            <w:tcMar>
              <w:top w:w="57" w:type="dxa"/>
              <w:left w:w="0" w:type="dxa"/>
              <w:bottom w:w="57" w:type="dxa"/>
              <w:right w:w="0" w:type="dxa"/>
            </w:tcMar>
            <w:vAlign w:val="bottom"/>
          </w:tcPr>
          <w:p w14:paraId="5788085E" w14:textId="77777777" w:rsidR="00D6167B" w:rsidRPr="00D6167B" w:rsidRDefault="00D6167B" w:rsidP="009D777D">
            <w:pPr>
              <w:spacing w:line="200" w:lineRule="exact"/>
              <w:ind w:right="113"/>
              <w:contextualSpacing/>
              <w:jc w:val="right"/>
              <w:rPr>
                <w:rFonts w:ascii="Tahoma" w:hAnsi="Tahoma"/>
                <w:color w:val="000000" w:themeColor="text1"/>
                <w:sz w:val="16"/>
                <w:lang w:val="en-GB"/>
              </w:rPr>
            </w:pPr>
            <w:r w:rsidRPr="00D6167B">
              <w:rPr>
                <w:rFonts w:ascii="Tahoma" w:hAnsi="Tahoma"/>
                <w:color w:val="000000" w:themeColor="text1"/>
                <w:sz w:val="16"/>
                <w:lang w:val="en-GB"/>
              </w:rPr>
              <w:t>—</w:t>
            </w:r>
          </w:p>
        </w:tc>
      </w:tr>
      <w:tr w:rsidR="00615190" w:rsidRPr="00D6167B" w14:paraId="03E0E7E9" w14:textId="77777777" w:rsidTr="00E07578">
        <w:trPr>
          <w:trHeight w:val="60"/>
        </w:trPr>
        <w:tc>
          <w:tcPr>
            <w:tcW w:w="397" w:type="dxa"/>
            <w:shd w:val="clear" w:color="auto" w:fill="auto"/>
            <w:tcMar>
              <w:top w:w="57" w:type="dxa"/>
              <w:left w:w="0" w:type="dxa"/>
              <w:bottom w:w="57" w:type="dxa"/>
              <w:right w:w="0" w:type="dxa"/>
            </w:tcMar>
            <w:vAlign w:val="bottom"/>
          </w:tcPr>
          <w:p w14:paraId="12DB7136" w14:textId="77777777" w:rsidR="00D6167B" w:rsidRPr="00D6167B" w:rsidRDefault="00D6167B" w:rsidP="009D777D">
            <w:pPr>
              <w:spacing w:line="200" w:lineRule="exact"/>
              <w:contextualSpacing/>
              <w:rPr>
                <w:rFonts w:ascii="Tahoma" w:hAnsi="Tahoma"/>
                <w:color w:val="000000" w:themeColor="text1"/>
                <w:sz w:val="16"/>
                <w:lang w:val="en-GB"/>
              </w:rPr>
            </w:pPr>
          </w:p>
        </w:tc>
        <w:tc>
          <w:tcPr>
            <w:tcW w:w="6407" w:type="dxa"/>
            <w:tcBorders>
              <w:right w:val="single" w:sz="4" w:space="0" w:color="auto"/>
            </w:tcBorders>
            <w:shd w:val="clear" w:color="auto" w:fill="auto"/>
            <w:tcMar>
              <w:top w:w="57" w:type="dxa"/>
              <w:left w:w="113" w:type="dxa"/>
              <w:bottom w:w="57" w:type="dxa"/>
              <w:right w:w="0" w:type="dxa"/>
            </w:tcMar>
            <w:vAlign w:val="bottom"/>
          </w:tcPr>
          <w:p w14:paraId="0792CEE1" w14:textId="77777777" w:rsidR="00D6167B" w:rsidRPr="00D6167B" w:rsidRDefault="00D6167B" w:rsidP="009D777D">
            <w:pPr>
              <w:spacing w:line="200" w:lineRule="exact"/>
              <w:contextualSpacing/>
              <w:rPr>
                <w:rFonts w:ascii="Tahoma" w:hAnsi="Tahoma"/>
                <w:color w:val="000000" w:themeColor="text1"/>
                <w:sz w:val="16"/>
                <w:lang w:val="en-GB"/>
              </w:rPr>
            </w:pPr>
            <w:r w:rsidRPr="00D6167B">
              <w:rPr>
                <w:rFonts w:ascii="Tahoma" w:hAnsi="Tahoma"/>
                <w:color w:val="000000" w:themeColor="text1"/>
                <w:sz w:val="16"/>
                <w:lang w:val="en-GB"/>
              </w:rPr>
              <w:t>Goodwill</w:t>
            </w:r>
          </w:p>
        </w:tc>
        <w:tc>
          <w:tcPr>
            <w:tcW w:w="1134" w:type="dxa"/>
            <w:tcBorders>
              <w:left w:val="single" w:sz="4" w:space="0" w:color="auto"/>
            </w:tcBorders>
            <w:shd w:val="clear" w:color="auto" w:fill="auto"/>
            <w:tcMar>
              <w:top w:w="57" w:type="dxa"/>
              <w:left w:w="0" w:type="dxa"/>
              <w:bottom w:w="57" w:type="dxa"/>
              <w:right w:w="0" w:type="dxa"/>
            </w:tcMar>
            <w:vAlign w:val="bottom"/>
          </w:tcPr>
          <w:p w14:paraId="2617524D" w14:textId="77777777" w:rsidR="00D6167B" w:rsidRPr="00D6167B" w:rsidRDefault="00D6167B" w:rsidP="009D777D">
            <w:pPr>
              <w:spacing w:line="200" w:lineRule="exact"/>
              <w:contextualSpacing/>
              <w:jc w:val="right"/>
              <w:rPr>
                <w:rFonts w:ascii="Tahoma" w:hAnsi="Tahoma"/>
                <w:b/>
                <w:bCs/>
                <w:color w:val="000000" w:themeColor="text1"/>
                <w:sz w:val="16"/>
                <w:lang w:val="en-GB"/>
              </w:rPr>
            </w:pPr>
            <w:r w:rsidRPr="00D6167B">
              <w:rPr>
                <w:rFonts w:ascii="Tahoma" w:hAnsi="Tahoma"/>
                <w:b/>
                <w:bCs/>
                <w:color w:val="000000" w:themeColor="text1"/>
                <w:sz w:val="16"/>
                <w:lang w:val="en-GB"/>
              </w:rPr>
              <w:t>1 388</w:t>
            </w:r>
          </w:p>
        </w:tc>
        <w:tc>
          <w:tcPr>
            <w:tcW w:w="1134" w:type="dxa"/>
            <w:shd w:val="clear" w:color="auto" w:fill="auto"/>
            <w:tcMar>
              <w:top w:w="57" w:type="dxa"/>
              <w:left w:w="0" w:type="dxa"/>
              <w:bottom w:w="57" w:type="dxa"/>
              <w:right w:w="0" w:type="dxa"/>
            </w:tcMar>
            <w:vAlign w:val="bottom"/>
          </w:tcPr>
          <w:p w14:paraId="67BD0F2A" w14:textId="77777777" w:rsidR="00D6167B" w:rsidRPr="00D6167B" w:rsidRDefault="00D6167B" w:rsidP="009D777D">
            <w:pPr>
              <w:spacing w:line="200" w:lineRule="exact"/>
              <w:contextualSpacing/>
              <w:jc w:val="right"/>
              <w:rPr>
                <w:rFonts w:ascii="Tahoma" w:hAnsi="Tahoma"/>
                <w:color w:val="000000" w:themeColor="text1"/>
                <w:sz w:val="16"/>
                <w:lang w:val="en-GB"/>
              </w:rPr>
            </w:pPr>
            <w:r w:rsidRPr="00D6167B">
              <w:rPr>
                <w:rFonts w:ascii="Tahoma" w:hAnsi="Tahoma"/>
                <w:color w:val="000000" w:themeColor="text1"/>
                <w:sz w:val="16"/>
                <w:lang w:val="en-GB"/>
              </w:rPr>
              <w:t>—</w:t>
            </w:r>
          </w:p>
        </w:tc>
        <w:tc>
          <w:tcPr>
            <w:tcW w:w="1134" w:type="dxa"/>
            <w:tcBorders>
              <w:right w:val="single" w:sz="4" w:space="0" w:color="auto"/>
            </w:tcBorders>
            <w:shd w:val="clear" w:color="auto" w:fill="auto"/>
            <w:tcMar>
              <w:top w:w="57" w:type="dxa"/>
              <w:left w:w="0" w:type="dxa"/>
              <w:bottom w:w="57" w:type="dxa"/>
              <w:right w:w="0" w:type="dxa"/>
            </w:tcMar>
            <w:vAlign w:val="bottom"/>
          </w:tcPr>
          <w:p w14:paraId="5AFBAB21" w14:textId="77777777" w:rsidR="00D6167B" w:rsidRPr="00D6167B" w:rsidRDefault="00D6167B" w:rsidP="009D777D">
            <w:pPr>
              <w:spacing w:line="200" w:lineRule="exact"/>
              <w:ind w:right="113"/>
              <w:contextualSpacing/>
              <w:jc w:val="right"/>
              <w:rPr>
                <w:rFonts w:ascii="Tahoma" w:hAnsi="Tahoma"/>
                <w:color w:val="000000" w:themeColor="text1"/>
                <w:sz w:val="16"/>
                <w:lang w:val="en-GB"/>
              </w:rPr>
            </w:pPr>
            <w:r w:rsidRPr="00D6167B">
              <w:rPr>
                <w:rFonts w:ascii="Tahoma" w:hAnsi="Tahoma"/>
                <w:color w:val="000000" w:themeColor="text1"/>
                <w:sz w:val="16"/>
                <w:lang w:val="en-GB"/>
              </w:rPr>
              <w:t>—</w:t>
            </w:r>
          </w:p>
        </w:tc>
      </w:tr>
      <w:tr w:rsidR="00615190" w:rsidRPr="00D6167B" w14:paraId="69D75AD0" w14:textId="77777777" w:rsidTr="00E07578">
        <w:trPr>
          <w:trHeight w:val="60"/>
        </w:trPr>
        <w:tc>
          <w:tcPr>
            <w:tcW w:w="397" w:type="dxa"/>
            <w:shd w:val="clear" w:color="auto" w:fill="auto"/>
            <w:tcMar>
              <w:top w:w="57" w:type="dxa"/>
              <w:left w:w="0" w:type="dxa"/>
              <w:bottom w:w="57" w:type="dxa"/>
              <w:right w:w="0" w:type="dxa"/>
            </w:tcMar>
            <w:vAlign w:val="bottom"/>
          </w:tcPr>
          <w:p w14:paraId="662D7DBB" w14:textId="77777777" w:rsidR="00D6167B" w:rsidRPr="00D6167B" w:rsidRDefault="00D6167B" w:rsidP="009D777D">
            <w:pPr>
              <w:spacing w:line="200" w:lineRule="exact"/>
              <w:contextualSpacing/>
              <w:rPr>
                <w:rFonts w:ascii="Tahoma" w:hAnsi="Tahoma"/>
                <w:color w:val="000000" w:themeColor="text1"/>
                <w:sz w:val="16"/>
                <w:lang w:val="en-GB"/>
              </w:rPr>
            </w:pPr>
          </w:p>
        </w:tc>
        <w:tc>
          <w:tcPr>
            <w:tcW w:w="6407" w:type="dxa"/>
            <w:tcBorders>
              <w:right w:val="single" w:sz="4" w:space="0" w:color="auto"/>
            </w:tcBorders>
            <w:shd w:val="clear" w:color="auto" w:fill="auto"/>
            <w:tcMar>
              <w:top w:w="57" w:type="dxa"/>
              <w:left w:w="113" w:type="dxa"/>
              <w:bottom w:w="57" w:type="dxa"/>
              <w:right w:w="0" w:type="dxa"/>
            </w:tcMar>
            <w:vAlign w:val="bottom"/>
          </w:tcPr>
          <w:p w14:paraId="7A3D4F96" w14:textId="77777777" w:rsidR="00D6167B" w:rsidRPr="00D6167B" w:rsidRDefault="00D6167B" w:rsidP="009D777D">
            <w:pPr>
              <w:spacing w:line="200" w:lineRule="exact"/>
              <w:contextualSpacing/>
              <w:rPr>
                <w:rFonts w:ascii="Tahoma" w:hAnsi="Tahoma"/>
                <w:color w:val="000000" w:themeColor="text1"/>
                <w:sz w:val="16"/>
                <w:lang w:val="en-GB"/>
              </w:rPr>
            </w:pPr>
            <w:r w:rsidRPr="00D6167B">
              <w:rPr>
                <w:rFonts w:ascii="Tahoma" w:hAnsi="Tahoma"/>
                <w:color w:val="000000" w:themeColor="text1"/>
                <w:sz w:val="16"/>
                <w:lang w:val="en-GB"/>
              </w:rPr>
              <w:t>Other intangible assets</w:t>
            </w:r>
          </w:p>
        </w:tc>
        <w:tc>
          <w:tcPr>
            <w:tcW w:w="1134" w:type="dxa"/>
            <w:tcBorders>
              <w:left w:val="single" w:sz="4" w:space="0" w:color="auto"/>
            </w:tcBorders>
            <w:shd w:val="clear" w:color="auto" w:fill="auto"/>
            <w:tcMar>
              <w:top w:w="57" w:type="dxa"/>
              <w:left w:w="0" w:type="dxa"/>
              <w:bottom w:w="57" w:type="dxa"/>
              <w:right w:w="0" w:type="dxa"/>
            </w:tcMar>
            <w:vAlign w:val="bottom"/>
          </w:tcPr>
          <w:p w14:paraId="1D2339D6" w14:textId="77777777" w:rsidR="00D6167B" w:rsidRPr="00D6167B" w:rsidRDefault="00D6167B" w:rsidP="009D777D">
            <w:pPr>
              <w:spacing w:line="200" w:lineRule="exact"/>
              <w:contextualSpacing/>
              <w:jc w:val="right"/>
              <w:rPr>
                <w:rFonts w:ascii="Tahoma" w:hAnsi="Tahoma"/>
                <w:b/>
                <w:bCs/>
                <w:color w:val="000000" w:themeColor="text1"/>
                <w:sz w:val="16"/>
                <w:lang w:val="en-GB"/>
              </w:rPr>
            </w:pPr>
            <w:r w:rsidRPr="00D6167B">
              <w:rPr>
                <w:rFonts w:ascii="Tahoma" w:hAnsi="Tahoma"/>
                <w:b/>
                <w:bCs/>
                <w:color w:val="000000" w:themeColor="text1"/>
                <w:sz w:val="16"/>
                <w:lang w:val="en-GB"/>
              </w:rPr>
              <w:t>580</w:t>
            </w:r>
          </w:p>
        </w:tc>
        <w:tc>
          <w:tcPr>
            <w:tcW w:w="1134" w:type="dxa"/>
            <w:shd w:val="clear" w:color="auto" w:fill="auto"/>
            <w:tcMar>
              <w:top w:w="57" w:type="dxa"/>
              <w:left w:w="0" w:type="dxa"/>
              <w:bottom w:w="57" w:type="dxa"/>
              <w:right w:w="0" w:type="dxa"/>
            </w:tcMar>
            <w:vAlign w:val="bottom"/>
          </w:tcPr>
          <w:p w14:paraId="6B6E8275" w14:textId="77777777" w:rsidR="00D6167B" w:rsidRPr="00D6167B" w:rsidRDefault="00D6167B" w:rsidP="009D777D">
            <w:pPr>
              <w:spacing w:line="200" w:lineRule="exact"/>
              <w:contextualSpacing/>
              <w:jc w:val="right"/>
              <w:rPr>
                <w:rFonts w:ascii="Tahoma" w:hAnsi="Tahoma"/>
                <w:color w:val="000000" w:themeColor="text1"/>
                <w:sz w:val="16"/>
                <w:lang w:val="en-GB"/>
              </w:rPr>
            </w:pPr>
            <w:r w:rsidRPr="00D6167B">
              <w:rPr>
                <w:rFonts w:ascii="Tahoma" w:hAnsi="Tahoma"/>
                <w:color w:val="000000" w:themeColor="text1"/>
                <w:sz w:val="16"/>
                <w:lang w:val="en-GB"/>
              </w:rPr>
              <w:t>—</w:t>
            </w:r>
          </w:p>
        </w:tc>
        <w:tc>
          <w:tcPr>
            <w:tcW w:w="1134" w:type="dxa"/>
            <w:tcBorders>
              <w:right w:val="single" w:sz="4" w:space="0" w:color="auto"/>
            </w:tcBorders>
            <w:shd w:val="clear" w:color="auto" w:fill="auto"/>
            <w:tcMar>
              <w:top w:w="57" w:type="dxa"/>
              <w:left w:w="0" w:type="dxa"/>
              <w:bottom w:w="57" w:type="dxa"/>
              <w:right w:w="0" w:type="dxa"/>
            </w:tcMar>
            <w:vAlign w:val="bottom"/>
          </w:tcPr>
          <w:p w14:paraId="098FB9CB" w14:textId="77777777" w:rsidR="00D6167B" w:rsidRPr="00D6167B" w:rsidRDefault="00D6167B" w:rsidP="009D777D">
            <w:pPr>
              <w:spacing w:line="200" w:lineRule="exact"/>
              <w:ind w:right="113"/>
              <w:contextualSpacing/>
              <w:jc w:val="right"/>
              <w:rPr>
                <w:rFonts w:ascii="Tahoma" w:hAnsi="Tahoma"/>
                <w:color w:val="000000" w:themeColor="text1"/>
                <w:sz w:val="16"/>
                <w:lang w:val="en-GB"/>
              </w:rPr>
            </w:pPr>
            <w:r w:rsidRPr="00D6167B">
              <w:rPr>
                <w:rFonts w:ascii="Tahoma" w:hAnsi="Tahoma"/>
                <w:color w:val="000000" w:themeColor="text1"/>
                <w:sz w:val="16"/>
                <w:lang w:val="en-GB"/>
              </w:rPr>
              <w:t>—</w:t>
            </w:r>
          </w:p>
        </w:tc>
      </w:tr>
      <w:tr w:rsidR="00615190" w:rsidRPr="00D6167B" w14:paraId="73079F8D" w14:textId="77777777" w:rsidTr="00E07578">
        <w:trPr>
          <w:trHeight w:val="60"/>
        </w:trPr>
        <w:tc>
          <w:tcPr>
            <w:tcW w:w="397" w:type="dxa"/>
            <w:shd w:val="clear" w:color="auto" w:fill="auto"/>
            <w:tcMar>
              <w:top w:w="57" w:type="dxa"/>
              <w:left w:w="0" w:type="dxa"/>
              <w:bottom w:w="57" w:type="dxa"/>
              <w:right w:w="0" w:type="dxa"/>
            </w:tcMar>
            <w:vAlign w:val="bottom"/>
          </w:tcPr>
          <w:p w14:paraId="05C3D501" w14:textId="77777777" w:rsidR="00D6167B" w:rsidRPr="00D6167B" w:rsidRDefault="00D6167B" w:rsidP="009D777D">
            <w:pPr>
              <w:spacing w:line="200" w:lineRule="exact"/>
              <w:contextualSpacing/>
              <w:rPr>
                <w:rFonts w:ascii="Tahoma" w:hAnsi="Tahoma"/>
                <w:color w:val="000000" w:themeColor="text1"/>
                <w:sz w:val="16"/>
                <w:lang w:val="en-GB"/>
              </w:rPr>
            </w:pPr>
          </w:p>
        </w:tc>
        <w:tc>
          <w:tcPr>
            <w:tcW w:w="6407" w:type="dxa"/>
            <w:tcBorders>
              <w:right w:val="single" w:sz="4" w:space="0" w:color="auto"/>
            </w:tcBorders>
            <w:shd w:val="clear" w:color="auto" w:fill="auto"/>
            <w:tcMar>
              <w:top w:w="57" w:type="dxa"/>
              <w:left w:w="113" w:type="dxa"/>
              <w:bottom w:w="57" w:type="dxa"/>
              <w:right w:w="0" w:type="dxa"/>
            </w:tcMar>
            <w:vAlign w:val="bottom"/>
          </w:tcPr>
          <w:p w14:paraId="44CF2902" w14:textId="77777777" w:rsidR="00D6167B" w:rsidRPr="00D6167B" w:rsidRDefault="00D6167B" w:rsidP="009D777D">
            <w:pPr>
              <w:spacing w:line="200" w:lineRule="exact"/>
              <w:contextualSpacing/>
              <w:rPr>
                <w:rFonts w:ascii="Tahoma" w:hAnsi="Tahoma"/>
                <w:color w:val="000000" w:themeColor="text1"/>
                <w:sz w:val="16"/>
                <w:lang w:val="en-GB"/>
              </w:rPr>
            </w:pPr>
            <w:r w:rsidRPr="00D6167B">
              <w:rPr>
                <w:rFonts w:ascii="Tahoma" w:hAnsi="Tahoma"/>
                <w:color w:val="000000" w:themeColor="text1"/>
                <w:sz w:val="16"/>
                <w:lang w:val="en-GB"/>
              </w:rPr>
              <w:t>Investments in associates</w:t>
            </w:r>
          </w:p>
        </w:tc>
        <w:tc>
          <w:tcPr>
            <w:tcW w:w="1134" w:type="dxa"/>
            <w:tcBorders>
              <w:left w:val="single" w:sz="4" w:space="0" w:color="auto"/>
            </w:tcBorders>
            <w:shd w:val="clear" w:color="auto" w:fill="auto"/>
            <w:tcMar>
              <w:top w:w="57" w:type="dxa"/>
              <w:left w:w="0" w:type="dxa"/>
              <w:bottom w:w="57" w:type="dxa"/>
              <w:right w:w="0" w:type="dxa"/>
            </w:tcMar>
            <w:vAlign w:val="bottom"/>
          </w:tcPr>
          <w:p w14:paraId="5A64FA8E" w14:textId="77777777" w:rsidR="00D6167B" w:rsidRPr="00D6167B" w:rsidRDefault="00D6167B" w:rsidP="009D777D">
            <w:pPr>
              <w:spacing w:line="200" w:lineRule="exact"/>
              <w:contextualSpacing/>
              <w:jc w:val="right"/>
              <w:rPr>
                <w:rFonts w:ascii="Tahoma" w:hAnsi="Tahoma"/>
                <w:b/>
                <w:bCs/>
                <w:color w:val="000000" w:themeColor="text1"/>
                <w:sz w:val="16"/>
                <w:lang w:val="en-GB"/>
              </w:rPr>
            </w:pPr>
            <w:r w:rsidRPr="00D6167B">
              <w:rPr>
                <w:rFonts w:ascii="Tahoma" w:hAnsi="Tahoma"/>
                <w:b/>
                <w:bCs/>
                <w:color w:val="000000" w:themeColor="text1"/>
                <w:sz w:val="16"/>
                <w:lang w:val="en-GB"/>
              </w:rPr>
              <w:t>5</w:t>
            </w:r>
          </w:p>
        </w:tc>
        <w:tc>
          <w:tcPr>
            <w:tcW w:w="1134" w:type="dxa"/>
            <w:shd w:val="clear" w:color="auto" w:fill="auto"/>
            <w:tcMar>
              <w:top w:w="57" w:type="dxa"/>
              <w:left w:w="0" w:type="dxa"/>
              <w:bottom w:w="57" w:type="dxa"/>
              <w:right w:w="0" w:type="dxa"/>
            </w:tcMar>
            <w:vAlign w:val="bottom"/>
          </w:tcPr>
          <w:p w14:paraId="6EED08B4" w14:textId="77777777" w:rsidR="00D6167B" w:rsidRPr="00D6167B" w:rsidRDefault="00D6167B" w:rsidP="009D777D">
            <w:pPr>
              <w:spacing w:line="200" w:lineRule="exact"/>
              <w:contextualSpacing/>
              <w:jc w:val="right"/>
              <w:rPr>
                <w:rFonts w:ascii="Tahoma" w:hAnsi="Tahoma"/>
                <w:color w:val="000000" w:themeColor="text1"/>
                <w:sz w:val="16"/>
                <w:lang w:val="en-GB"/>
              </w:rPr>
            </w:pPr>
            <w:r w:rsidRPr="00D6167B">
              <w:rPr>
                <w:rFonts w:ascii="Tahoma" w:hAnsi="Tahoma"/>
                <w:color w:val="000000" w:themeColor="text1"/>
                <w:sz w:val="16"/>
                <w:lang w:val="en-GB"/>
              </w:rPr>
              <w:t>—</w:t>
            </w:r>
          </w:p>
        </w:tc>
        <w:tc>
          <w:tcPr>
            <w:tcW w:w="1134" w:type="dxa"/>
            <w:tcBorders>
              <w:right w:val="single" w:sz="4" w:space="0" w:color="auto"/>
            </w:tcBorders>
            <w:shd w:val="clear" w:color="auto" w:fill="auto"/>
            <w:tcMar>
              <w:top w:w="57" w:type="dxa"/>
              <w:left w:w="0" w:type="dxa"/>
              <w:bottom w:w="57" w:type="dxa"/>
              <w:right w:w="0" w:type="dxa"/>
            </w:tcMar>
            <w:vAlign w:val="bottom"/>
          </w:tcPr>
          <w:p w14:paraId="1673C98B" w14:textId="77777777" w:rsidR="00D6167B" w:rsidRPr="00D6167B" w:rsidRDefault="00D6167B" w:rsidP="009D777D">
            <w:pPr>
              <w:spacing w:line="200" w:lineRule="exact"/>
              <w:ind w:right="113"/>
              <w:contextualSpacing/>
              <w:jc w:val="right"/>
              <w:rPr>
                <w:rFonts w:ascii="Tahoma" w:hAnsi="Tahoma"/>
                <w:color w:val="000000" w:themeColor="text1"/>
                <w:sz w:val="16"/>
                <w:lang w:val="en-GB"/>
              </w:rPr>
            </w:pPr>
            <w:r w:rsidRPr="00D6167B">
              <w:rPr>
                <w:rFonts w:ascii="Tahoma" w:hAnsi="Tahoma"/>
                <w:color w:val="000000" w:themeColor="text1"/>
                <w:sz w:val="16"/>
                <w:lang w:val="en-GB"/>
              </w:rPr>
              <w:t>38</w:t>
            </w:r>
          </w:p>
        </w:tc>
      </w:tr>
      <w:tr w:rsidR="00615190" w:rsidRPr="00D6167B" w14:paraId="7CD2F19A" w14:textId="77777777" w:rsidTr="00E07578">
        <w:trPr>
          <w:trHeight w:val="60"/>
        </w:trPr>
        <w:tc>
          <w:tcPr>
            <w:tcW w:w="397" w:type="dxa"/>
            <w:shd w:val="clear" w:color="auto" w:fill="auto"/>
            <w:tcMar>
              <w:top w:w="57" w:type="dxa"/>
              <w:left w:w="0" w:type="dxa"/>
              <w:bottom w:w="57" w:type="dxa"/>
              <w:right w:w="0" w:type="dxa"/>
            </w:tcMar>
            <w:vAlign w:val="bottom"/>
          </w:tcPr>
          <w:p w14:paraId="0680DE0F" w14:textId="77777777" w:rsidR="00D6167B" w:rsidRPr="00D6167B" w:rsidRDefault="00D6167B" w:rsidP="009D777D">
            <w:pPr>
              <w:spacing w:line="200" w:lineRule="exact"/>
              <w:contextualSpacing/>
              <w:rPr>
                <w:rFonts w:ascii="Tahoma" w:hAnsi="Tahoma"/>
                <w:color w:val="000000" w:themeColor="text1"/>
                <w:sz w:val="16"/>
                <w:lang w:val="en-GB"/>
              </w:rPr>
            </w:pPr>
          </w:p>
        </w:tc>
        <w:tc>
          <w:tcPr>
            <w:tcW w:w="6407" w:type="dxa"/>
            <w:tcBorders>
              <w:right w:val="single" w:sz="4" w:space="0" w:color="auto"/>
            </w:tcBorders>
            <w:shd w:val="clear" w:color="auto" w:fill="auto"/>
            <w:tcMar>
              <w:top w:w="57" w:type="dxa"/>
              <w:left w:w="113" w:type="dxa"/>
              <w:bottom w:w="57" w:type="dxa"/>
              <w:right w:w="0" w:type="dxa"/>
            </w:tcMar>
            <w:vAlign w:val="bottom"/>
          </w:tcPr>
          <w:p w14:paraId="18D3A66A" w14:textId="77777777" w:rsidR="00D6167B" w:rsidRPr="00D6167B" w:rsidRDefault="00D6167B" w:rsidP="009D777D">
            <w:pPr>
              <w:spacing w:line="200" w:lineRule="exact"/>
              <w:contextualSpacing/>
              <w:rPr>
                <w:rFonts w:ascii="Tahoma" w:hAnsi="Tahoma"/>
                <w:color w:val="000000" w:themeColor="text1"/>
                <w:sz w:val="16"/>
                <w:lang w:val="en-GB"/>
              </w:rPr>
            </w:pPr>
            <w:r w:rsidRPr="00D6167B">
              <w:rPr>
                <w:rFonts w:ascii="Tahoma" w:hAnsi="Tahoma"/>
                <w:color w:val="000000" w:themeColor="text1"/>
                <w:sz w:val="16"/>
                <w:lang w:val="en-GB"/>
              </w:rPr>
              <w:t>Investments and loans</w:t>
            </w:r>
          </w:p>
        </w:tc>
        <w:tc>
          <w:tcPr>
            <w:tcW w:w="1134" w:type="dxa"/>
            <w:tcBorders>
              <w:left w:val="single" w:sz="4" w:space="0" w:color="auto"/>
            </w:tcBorders>
            <w:shd w:val="clear" w:color="auto" w:fill="auto"/>
            <w:tcMar>
              <w:top w:w="57" w:type="dxa"/>
              <w:left w:w="0" w:type="dxa"/>
              <w:bottom w:w="57" w:type="dxa"/>
              <w:right w:w="0" w:type="dxa"/>
            </w:tcMar>
            <w:vAlign w:val="bottom"/>
          </w:tcPr>
          <w:p w14:paraId="0AA3F67F" w14:textId="77777777" w:rsidR="00D6167B" w:rsidRPr="00D6167B" w:rsidRDefault="00D6167B" w:rsidP="009D777D">
            <w:pPr>
              <w:spacing w:line="200" w:lineRule="exact"/>
              <w:contextualSpacing/>
              <w:jc w:val="right"/>
              <w:rPr>
                <w:rFonts w:ascii="Tahoma" w:hAnsi="Tahoma"/>
                <w:b/>
                <w:bCs/>
                <w:color w:val="000000" w:themeColor="text1"/>
                <w:sz w:val="16"/>
                <w:lang w:val="en-GB"/>
              </w:rPr>
            </w:pPr>
            <w:r w:rsidRPr="00D6167B">
              <w:rPr>
                <w:rFonts w:ascii="Tahoma" w:hAnsi="Tahoma"/>
                <w:b/>
                <w:bCs/>
                <w:color w:val="000000" w:themeColor="text1"/>
                <w:sz w:val="16"/>
                <w:lang w:val="en-GB"/>
              </w:rPr>
              <w:t>—</w:t>
            </w:r>
          </w:p>
        </w:tc>
        <w:tc>
          <w:tcPr>
            <w:tcW w:w="1134" w:type="dxa"/>
            <w:shd w:val="clear" w:color="auto" w:fill="auto"/>
            <w:tcMar>
              <w:top w:w="57" w:type="dxa"/>
              <w:left w:w="0" w:type="dxa"/>
              <w:bottom w:w="57" w:type="dxa"/>
              <w:right w:w="0" w:type="dxa"/>
            </w:tcMar>
            <w:vAlign w:val="bottom"/>
          </w:tcPr>
          <w:p w14:paraId="4F340C46" w14:textId="77777777" w:rsidR="00D6167B" w:rsidRPr="00D6167B" w:rsidRDefault="00D6167B" w:rsidP="009D777D">
            <w:pPr>
              <w:spacing w:line="200" w:lineRule="exact"/>
              <w:contextualSpacing/>
              <w:jc w:val="right"/>
              <w:rPr>
                <w:rFonts w:ascii="Tahoma" w:hAnsi="Tahoma"/>
                <w:color w:val="000000" w:themeColor="text1"/>
                <w:sz w:val="16"/>
                <w:lang w:val="en-GB"/>
              </w:rPr>
            </w:pPr>
            <w:r w:rsidRPr="00D6167B">
              <w:rPr>
                <w:rFonts w:ascii="Tahoma" w:hAnsi="Tahoma"/>
                <w:color w:val="000000" w:themeColor="text1"/>
                <w:sz w:val="16"/>
                <w:lang w:val="en-GB"/>
              </w:rPr>
              <w:t>—</w:t>
            </w:r>
          </w:p>
        </w:tc>
        <w:tc>
          <w:tcPr>
            <w:tcW w:w="1134" w:type="dxa"/>
            <w:tcBorders>
              <w:right w:val="single" w:sz="4" w:space="0" w:color="auto"/>
            </w:tcBorders>
            <w:shd w:val="clear" w:color="auto" w:fill="auto"/>
            <w:tcMar>
              <w:top w:w="57" w:type="dxa"/>
              <w:left w:w="0" w:type="dxa"/>
              <w:bottom w:w="57" w:type="dxa"/>
              <w:right w:w="0" w:type="dxa"/>
            </w:tcMar>
            <w:vAlign w:val="bottom"/>
          </w:tcPr>
          <w:p w14:paraId="1AC7C4BB" w14:textId="77777777" w:rsidR="00D6167B" w:rsidRPr="00D6167B" w:rsidRDefault="00D6167B" w:rsidP="009D777D">
            <w:pPr>
              <w:spacing w:line="200" w:lineRule="exact"/>
              <w:ind w:right="113"/>
              <w:contextualSpacing/>
              <w:jc w:val="right"/>
              <w:rPr>
                <w:rFonts w:ascii="Tahoma" w:hAnsi="Tahoma"/>
                <w:color w:val="000000" w:themeColor="text1"/>
                <w:sz w:val="16"/>
                <w:lang w:val="en-GB"/>
              </w:rPr>
            </w:pPr>
            <w:r w:rsidRPr="00D6167B">
              <w:rPr>
                <w:rFonts w:ascii="Tahoma" w:hAnsi="Tahoma"/>
                <w:color w:val="000000" w:themeColor="text1"/>
                <w:sz w:val="16"/>
                <w:lang w:val="en-GB"/>
              </w:rPr>
              <w:t>—</w:t>
            </w:r>
          </w:p>
        </w:tc>
      </w:tr>
      <w:tr w:rsidR="00615190" w:rsidRPr="00D6167B" w14:paraId="3AAA3EE3" w14:textId="77777777" w:rsidTr="00E07578">
        <w:trPr>
          <w:trHeight w:val="60"/>
        </w:trPr>
        <w:tc>
          <w:tcPr>
            <w:tcW w:w="397" w:type="dxa"/>
            <w:shd w:val="clear" w:color="auto" w:fill="auto"/>
            <w:tcMar>
              <w:top w:w="57" w:type="dxa"/>
              <w:left w:w="0" w:type="dxa"/>
              <w:bottom w:w="57" w:type="dxa"/>
              <w:right w:w="0" w:type="dxa"/>
            </w:tcMar>
            <w:vAlign w:val="bottom"/>
          </w:tcPr>
          <w:p w14:paraId="438B9F93" w14:textId="77777777" w:rsidR="00D6167B" w:rsidRPr="00D6167B" w:rsidRDefault="00D6167B" w:rsidP="009D777D">
            <w:pPr>
              <w:spacing w:line="200" w:lineRule="exact"/>
              <w:contextualSpacing/>
              <w:rPr>
                <w:rFonts w:ascii="Tahoma" w:hAnsi="Tahoma"/>
                <w:color w:val="000000" w:themeColor="text1"/>
                <w:sz w:val="16"/>
                <w:lang w:val="en-GB"/>
              </w:rPr>
            </w:pPr>
          </w:p>
        </w:tc>
        <w:tc>
          <w:tcPr>
            <w:tcW w:w="6407" w:type="dxa"/>
            <w:tcBorders>
              <w:right w:val="single" w:sz="4" w:space="0" w:color="auto"/>
            </w:tcBorders>
            <w:shd w:val="clear" w:color="auto" w:fill="auto"/>
            <w:tcMar>
              <w:top w:w="57" w:type="dxa"/>
              <w:left w:w="113" w:type="dxa"/>
              <w:bottom w:w="57" w:type="dxa"/>
              <w:right w:w="0" w:type="dxa"/>
            </w:tcMar>
            <w:vAlign w:val="bottom"/>
          </w:tcPr>
          <w:p w14:paraId="5E75A357" w14:textId="77777777" w:rsidR="00D6167B" w:rsidRPr="00D6167B" w:rsidRDefault="00D6167B" w:rsidP="009D777D">
            <w:pPr>
              <w:spacing w:line="200" w:lineRule="exact"/>
              <w:contextualSpacing/>
              <w:rPr>
                <w:rFonts w:ascii="Tahoma" w:hAnsi="Tahoma"/>
                <w:color w:val="000000" w:themeColor="text1"/>
                <w:sz w:val="16"/>
                <w:lang w:val="en-GB"/>
              </w:rPr>
            </w:pPr>
            <w:r w:rsidRPr="00D6167B">
              <w:rPr>
                <w:rFonts w:ascii="Tahoma" w:hAnsi="Tahoma"/>
                <w:color w:val="000000" w:themeColor="text1"/>
                <w:sz w:val="16"/>
                <w:lang w:val="en-GB"/>
              </w:rPr>
              <w:t>Deferred taxation assets</w:t>
            </w:r>
          </w:p>
        </w:tc>
        <w:tc>
          <w:tcPr>
            <w:tcW w:w="1134" w:type="dxa"/>
            <w:tcBorders>
              <w:left w:val="single" w:sz="4" w:space="0" w:color="auto"/>
            </w:tcBorders>
            <w:shd w:val="clear" w:color="auto" w:fill="auto"/>
            <w:tcMar>
              <w:top w:w="57" w:type="dxa"/>
              <w:left w:w="0" w:type="dxa"/>
              <w:bottom w:w="57" w:type="dxa"/>
              <w:right w:w="0" w:type="dxa"/>
            </w:tcMar>
            <w:vAlign w:val="bottom"/>
          </w:tcPr>
          <w:p w14:paraId="620831BF" w14:textId="77777777" w:rsidR="00D6167B" w:rsidRPr="00D6167B" w:rsidRDefault="00D6167B" w:rsidP="009D777D">
            <w:pPr>
              <w:spacing w:line="200" w:lineRule="exact"/>
              <w:contextualSpacing/>
              <w:jc w:val="right"/>
              <w:rPr>
                <w:rFonts w:ascii="Tahoma" w:hAnsi="Tahoma"/>
                <w:b/>
                <w:bCs/>
                <w:color w:val="000000" w:themeColor="text1"/>
                <w:sz w:val="16"/>
                <w:lang w:val="en-GB"/>
              </w:rPr>
            </w:pPr>
            <w:r w:rsidRPr="00D6167B">
              <w:rPr>
                <w:rFonts w:ascii="Tahoma" w:hAnsi="Tahoma"/>
                <w:b/>
                <w:bCs/>
                <w:color w:val="000000" w:themeColor="text1"/>
                <w:sz w:val="16"/>
                <w:lang w:val="en-GB"/>
              </w:rPr>
              <w:t>4</w:t>
            </w:r>
          </w:p>
        </w:tc>
        <w:tc>
          <w:tcPr>
            <w:tcW w:w="1134" w:type="dxa"/>
            <w:shd w:val="clear" w:color="auto" w:fill="auto"/>
            <w:tcMar>
              <w:top w:w="57" w:type="dxa"/>
              <w:left w:w="0" w:type="dxa"/>
              <w:bottom w:w="57" w:type="dxa"/>
              <w:right w:w="0" w:type="dxa"/>
            </w:tcMar>
            <w:vAlign w:val="bottom"/>
          </w:tcPr>
          <w:p w14:paraId="6F6950DD" w14:textId="77777777" w:rsidR="00D6167B" w:rsidRPr="00D6167B" w:rsidRDefault="00D6167B" w:rsidP="009D777D">
            <w:pPr>
              <w:spacing w:line="200" w:lineRule="exact"/>
              <w:contextualSpacing/>
              <w:jc w:val="right"/>
              <w:rPr>
                <w:rFonts w:ascii="Tahoma" w:hAnsi="Tahoma"/>
                <w:color w:val="000000" w:themeColor="text1"/>
                <w:sz w:val="16"/>
                <w:lang w:val="en-GB"/>
              </w:rPr>
            </w:pPr>
            <w:r w:rsidRPr="00D6167B">
              <w:rPr>
                <w:rFonts w:ascii="Tahoma" w:hAnsi="Tahoma"/>
                <w:color w:val="000000" w:themeColor="text1"/>
                <w:sz w:val="16"/>
                <w:lang w:val="en-GB"/>
              </w:rPr>
              <w:t>—</w:t>
            </w:r>
          </w:p>
        </w:tc>
        <w:tc>
          <w:tcPr>
            <w:tcW w:w="1134" w:type="dxa"/>
            <w:tcBorders>
              <w:right w:val="single" w:sz="4" w:space="0" w:color="auto"/>
            </w:tcBorders>
            <w:shd w:val="clear" w:color="auto" w:fill="auto"/>
            <w:tcMar>
              <w:top w:w="57" w:type="dxa"/>
              <w:left w:w="0" w:type="dxa"/>
              <w:bottom w:w="57" w:type="dxa"/>
              <w:right w:w="0" w:type="dxa"/>
            </w:tcMar>
            <w:vAlign w:val="bottom"/>
          </w:tcPr>
          <w:p w14:paraId="36501E61" w14:textId="77777777" w:rsidR="00D6167B" w:rsidRPr="00D6167B" w:rsidRDefault="00D6167B" w:rsidP="009D777D">
            <w:pPr>
              <w:spacing w:line="200" w:lineRule="exact"/>
              <w:ind w:right="113"/>
              <w:contextualSpacing/>
              <w:jc w:val="right"/>
              <w:rPr>
                <w:rFonts w:ascii="Tahoma" w:hAnsi="Tahoma"/>
                <w:color w:val="000000" w:themeColor="text1"/>
                <w:sz w:val="16"/>
                <w:lang w:val="en-GB"/>
              </w:rPr>
            </w:pPr>
            <w:r w:rsidRPr="00D6167B">
              <w:rPr>
                <w:rFonts w:ascii="Tahoma" w:hAnsi="Tahoma"/>
                <w:color w:val="000000" w:themeColor="text1"/>
                <w:sz w:val="16"/>
                <w:lang w:val="en-GB"/>
              </w:rPr>
              <w:t>—</w:t>
            </w:r>
          </w:p>
        </w:tc>
      </w:tr>
      <w:tr w:rsidR="00615190" w:rsidRPr="00D6167B" w14:paraId="46353610" w14:textId="77777777" w:rsidTr="00E07578">
        <w:trPr>
          <w:trHeight w:val="60"/>
        </w:trPr>
        <w:tc>
          <w:tcPr>
            <w:tcW w:w="397" w:type="dxa"/>
            <w:shd w:val="clear" w:color="auto" w:fill="auto"/>
            <w:tcMar>
              <w:top w:w="57" w:type="dxa"/>
              <w:left w:w="0" w:type="dxa"/>
              <w:bottom w:w="57" w:type="dxa"/>
              <w:right w:w="0" w:type="dxa"/>
            </w:tcMar>
            <w:vAlign w:val="bottom"/>
          </w:tcPr>
          <w:p w14:paraId="303B6787" w14:textId="77777777" w:rsidR="00D6167B" w:rsidRPr="00D6167B" w:rsidRDefault="00D6167B" w:rsidP="009D777D">
            <w:pPr>
              <w:spacing w:line="200" w:lineRule="exact"/>
              <w:contextualSpacing/>
              <w:rPr>
                <w:rFonts w:ascii="Tahoma" w:hAnsi="Tahoma"/>
                <w:color w:val="000000" w:themeColor="text1"/>
                <w:sz w:val="16"/>
                <w:lang w:val="en-GB"/>
              </w:rPr>
            </w:pPr>
          </w:p>
        </w:tc>
        <w:tc>
          <w:tcPr>
            <w:tcW w:w="6407" w:type="dxa"/>
            <w:tcBorders>
              <w:right w:val="single" w:sz="4" w:space="0" w:color="auto"/>
            </w:tcBorders>
            <w:shd w:val="clear" w:color="auto" w:fill="auto"/>
            <w:tcMar>
              <w:top w:w="57" w:type="dxa"/>
              <w:left w:w="113" w:type="dxa"/>
              <w:bottom w:w="57" w:type="dxa"/>
              <w:right w:w="0" w:type="dxa"/>
            </w:tcMar>
            <w:vAlign w:val="bottom"/>
          </w:tcPr>
          <w:p w14:paraId="71FF7072" w14:textId="77777777" w:rsidR="00D6167B" w:rsidRPr="00D6167B" w:rsidRDefault="00D6167B" w:rsidP="009D777D">
            <w:pPr>
              <w:spacing w:line="200" w:lineRule="exact"/>
              <w:contextualSpacing/>
              <w:rPr>
                <w:rFonts w:ascii="Tahoma" w:hAnsi="Tahoma"/>
                <w:color w:val="000000" w:themeColor="text1"/>
                <w:sz w:val="16"/>
                <w:lang w:val="en-GB"/>
              </w:rPr>
            </w:pPr>
            <w:r w:rsidRPr="00D6167B">
              <w:rPr>
                <w:rFonts w:ascii="Tahoma" w:hAnsi="Tahoma"/>
                <w:color w:val="000000" w:themeColor="text1"/>
                <w:sz w:val="16"/>
                <w:lang w:val="en-GB"/>
              </w:rPr>
              <w:t>Trade and other receivables</w:t>
            </w:r>
          </w:p>
        </w:tc>
        <w:tc>
          <w:tcPr>
            <w:tcW w:w="1134" w:type="dxa"/>
            <w:tcBorders>
              <w:left w:val="single" w:sz="4" w:space="0" w:color="auto"/>
            </w:tcBorders>
            <w:shd w:val="clear" w:color="auto" w:fill="auto"/>
            <w:tcMar>
              <w:top w:w="57" w:type="dxa"/>
              <w:left w:w="0" w:type="dxa"/>
              <w:bottom w:w="57" w:type="dxa"/>
              <w:right w:w="0" w:type="dxa"/>
            </w:tcMar>
            <w:vAlign w:val="bottom"/>
          </w:tcPr>
          <w:p w14:paraId="6F89AD69" w14:textId="77777777" w:rsidR="00D6167B" w:rsidRPr="00D6167B" w:rsidRDefault="00D6167B" w:rsidP="009D777D">
            <w:pPr>
              <w:spacing w:line="200" w:lineRule="exact"/>
              <w:contextualSpacing/>
              <w:jc w:val="right"/>
              <w:rPr>
                <w:rFonts w:ascii="Tahoma" w:hAnsi="Tahoma"/>
                <w:b/>
                <w:bCs/>
                <w:color w:val="000000" w:themeColor="text1"/>
                <w:sz w:val="16"/>
                <w:lang w:val="en-GB"/>
              </w:rPr>
            </w:pPr>
            <w:r w:rsidRPr="00D6167B">
              <w:rPr>
                <w:rFonts w:ascii="Tahoma" w:hAnsi="Tahoma"/>
                <w:b/>
                <w:bCs/>
                <w:color w:val="000000" w:themeColor="text1"/>
                <w:sz w:val="16"/>
                <w:lang w:val="en-GB"/>
              </w:rPr>
              <w:t>139</w:t>
            </w:r>
          </w:p>
        </w:tc>
        <w:tc>
          <w:tcPr>
            <w:tcW w:w="1134" w:type="dxa"/>
            <w:shd w:val="clear" w:color="auto" w:fill="auto"/>
            <w:tcMar>
              <w:top w:w="57" w:type="dxa"/>
              <w:left w:w="0" w:type="dxa"/>
              <w:bottom w:w="57" w:type="dxa"/>
              <w:right w:w="0" w:type="dxa"/>
            </w:tcMar>
            <w:vAlign w:val="bottom"/>
          </w:tcPr>
          <w:p w14:paraId="0FCE99D9" w14:textId="77777777" w:rsidR="00D6167B" w:rsidRPr="00D6167B" w:rsidRDefault="00D6167B" w:rsidP="009D777D">
            <w:pPr>
              <w:spacing w:line="200" w:lineRule="exact"/>
              <w:contextualSpacing/>
              <w:jc w:val="right"/>
              <w:rPr>
                <w:rFonts w:ascii="Tahoma" w:hAnsi="Tahoma"/>
                <w:color w:val="000000" w:themeColor="text1"/>
                <w:sz w:val="16"/>
                <w:lang w:val="en-GB"/>
              </w:rPr>
            </w:pPr>
            <w:r w:rsidRPr="00D6167B">
              <w:rPr>
                <w:rFonts w:ascii="Tahoma" w:hAnsi="Tahoma"/>
                <w:color w:val="000000" w:themeColor="text1"/>
                <w:sz w:val="16"/>
                <w:lang w:val="en-GB"/>
              </w:rPr>
              <w:t>—</w:t>
            </w:r>
          </w:p>
        </w:tc>
        <w:tc>
          <w:tcPr>
            <w:tcW w:w="1134" w:type="dxa"/>
            <w:tcBorders>
              <w:right w:val="single" w:sz="4" w:space="0" w:color="auto"/>
            </w:tcBorders>
            <w:shd w:val="clear" w:color="auto" w:fill="auto"/>
            <w:tcMar>
              <w:top w:w="57" w:type="dxa"/>
              <w:left w:w="0" w:type="dxa"/>
              <w:bottom w:w="57" w:type="dxa"/>
              <w:right w:w="0" w:type="dxa"/>
            </w:tcMar>
            <w:vAlign w:val="bottom"/>
          </w:tcPr>
          <w:p w14:paraId="03F0C153" w14:textId="77777777" w:rsidR="00D6167B" w:rsidRPr="00D6167B" w:rsidRDefault="00D6167B" w:rsidP="009D777D">
            <w:pPr>
              <w:spacing w:line="200" w:lineRule="exact"/>
              <w:ind w:right="113"/>
              <w:contextualSpacing/>
              <w:jc w:val="right"/>
              <w:rPr>
                <w:rFonts w:ascii="Tahoma" w:hAnsi="Tahoma"/>
                <w:color w:val="000000" w:themeColor="text1"/>
                <w:sz w:val="16"/>
                <w:lang w:val="en-GB"/>
              </w:rPr>
            </w:pPr>
            <w:r w:rsidRPr="00D6167B">
              <w:rPr>
                <w:rFonts w:ascii="Tahoma" w:hAnsi="Tahoma"/>
                <w:color w:val="000000" w:themeColor="text1"/>
                <w:sz w:val="16"/>
                <w:lang w:val="en-GB"/>
              </w:rPr>
              <w:t>—</w:t>
            </w:r>
          </w:p>
        </w:tc>
      </w:tr>
      <w:tr w:rsidR="00615190" w:rsidRPr="00D6167B" w14:paraId="1F314EA0" w14:textId="77777777" w:rsidTr="00E07578">
        <w:trPr>
          <w:trHeight w:val="60"/>
        </w:trPr>
        <w:tc>
          <w:tcPr>
            <w:tcW w:w="397" w:type="dxa"/>
            <w:shd w:val="clear" w:color="auto" w:fill="auto"/>
            <w:tcMar>
              <w:top w:w="57" w:type="dxa"/>
              <w:left w:w="0" w:type="dxa"/>
              <w:bottom w:w="57" w:type="dxa"/>
              <w:right w:w="0" w:type="dxa"/>
            </w:tcMar>
            <w:vAlign w:val="bottom"/>
          </w:tcPr>
          <w:p w14:paraId="0267E466" w14:textId="77777777" w:rsidR="00D6167B" w:rsidRPr="00D6167B" w:rsidRDefault="00D6167B" w:rsidP="009D777D">
            <w:pPr>
              <w:spacing w:line="200" w:lineRule="exact"/>
              <w:contextualSpacing/>
              <w:rPr>
                <w:rFonts w:ascii="Tahoma" w:hAnsi="Tahoma"/>
                <w:color w:val="000000" w:themeColor="text1"/>
                <w:sz w:val="16"/>
                <w:lang w:val="en-GB"/>
              </w:rPr>
            </w:pPr>
          </w:p>
        </w:tc>
        <w:tc>
          <w:tcPr>
            <w:tcW w:w="6407" w:type="dxa"/>
            <w:tcBorders>
              <w:right w:val="single" w:sz="4" w:space="0" w:color="auto"/>
            </w:tcBorders>
            <w:shd w:val="clear" w:color="auto" w:fill="auto"/>
            <w:tcMar>
              <w:top w:w="57" w:type="dxa"/>
              <w:left w:w="113" w:type="dxa"/>
              <w:bottom w:w="57" w:type="dxa"/>
              <w:right w:w="0" w:type="dxa"/>
            </w:tcMar>
            <w:vAlign w:val="bottom"/>
          </w:tcPr>
          <w:p w14:paraId="66B1D5B3" w14:textId="77777777" w:rsidR="00D6167B" w:rsidRPr="00D6167B" w:rsidRDefault="00D6167B" w:rsidP="009D777D">
            <w:pPr>
              <w:spacing w:line="200" w:lineRule="exact"/>
              <w:contextualSpacing/>
              <w:rPr>
                <w:rFonts w:ascii="Tahoma" w:hAnsi="Tahoma"/>
                <w:color w:val="000000" w:themeColor="text1"/>
                <w:sz w:val="16"/>
                <w:lang w:val="en-GB"/>
              </w:rPr>
            </w:pPr>
            <w:r w:rsidRPr="00D6167B">
              <w:rPr>
                <w:rFonts w:ascii="Tahoma" w:hAnsi="Tahoma"/>
                <w:color w:val="000000" w:themeColor="text1"/>
                <w:sz w:val="16"/>
                <w:lang w:val="en-GB"/>
              </w:rPr>
              <w:t>Cash and cash equivalents</w:t>
            </w:r>
          </w:p>
        </w:tc>
        <w:tc>
          <w:tcPr>
            <w:tcW w:w="1134" w:type="dxa"/>
            <w:tcBorders>
              <w:left w:val="single" w:sz="4" w:space="0" w:color="auto"/>
              <w:bottom w:val="single" w:sz="4" w:space="0" w:color="auto"/>
            </w:tcBorders>
            <w:shd w:val="clear" w:color="auto" w:fill="auto"/>
            <w:tcMar>
              <w:top w:w="57" w:type="dxa"/>
              <w:left w:w="0" w:type="dxa"/>
              <w:bottom w:w="57" w:type="dxa"/>
              <w:right w:w="0" w:type="dxa"/>
            </w:tcMar>
            <w:vAlign w:val="bottom"/>
          </w:tcPr>
          <w:p w14:paraId="4F601A28" w14:textId="77777777" w:rsidR="00D6167B" w:rsidRPr="00D6167B" w:rsidRDefault="00D6167B" w:rsidP="009D777D">
            <w:pPr>
              <w:spacing w:line="200" w:lineRule="exact"/>
              <w:contextualSpacing/>
              <w:jc w:val="right"/>
              <w:rPr>
                <w:rFonts w:ascii="Tahoma" w:hAnsi="Tahoma"/>
                <w:b/>
                <w:bCs/>
                <w:color w:val="000000" w:themeColor="text1"/>
                <w:sz w:val="16"/>
                <w:lang w:val="en-GB"/>
              </w:rPr>
            </w:pPr>
            <w:r w:rsidRPr="00D6167B">
              <w:rPr>
                <w:rFonts w:ascii="Tahoma" w:hAnsi="Tahoma"/>
                <w:b/>
                <w:bCs/>
                <w:color w:val="000000" w:themeColor="text1"/>
                <w:sz w:val="16"/>
                <w:lang w:val="en-GB"/>
              </w:rPr>
              <w:t>367</w:t>
            </w:r>
          </w:p>
        </w:tc>
        <w:tc>
          <w:tcPr>
            <w:tcW w:w="1134" w:type="dxa"/>
            <w:tcBorders>
              <w:bottom w:val="single" w:sz="4" w:space="0" w:color="auto"/>
            </w:tcBorders>
            <w:shd w:val="clear" w:color="auto" w:fill="auto"/>
            <w:tcMar>
              <w:top w:w="57" w:type="dxa"/>
              <w:left w:w="0" w:type="dxa"/>
              <w:bottom w:w="57" w:type="dxa"/>
              <w:right w:w="0" w:type="dxa"/>
            </w:tcMar>
            <w:vAlign w:val="bottom"/>
          </w:tcPr>
          <w:p w14:paraId="34D8511D" w14:textId="77777777" w:rsidR="00D6167B" w:rsidRPr="00D6167B" w:rsidRDefault="00D6167B" w:rsidP="009D777D">
            <w:pPr>
              <w:spacing w:line="200" w:lineRule="exact"/>
              <w:contextualSpacing/>
              <w:jc w:val="right"/>
              <w:rPr>
                <w:rFonts w:ascii="Tahoma" w:hAnsi="Tahoma"/>
                <w:color w:val="000000" w:themeColor="text1"/>
                <w:sz w:val="16"/>
                <w:lang w:val="en-GB"/>
              </w:rPr>
            </w:pPr>
            <w:r w:rsidRPr="00D6167B">
              <w:rPr>
                <w:rFonts w:ascii="Tahoma" w:hAnsi="Tahoma"/>
                <w:color w:val="000000" w:themeColor="text1"/>
                <w:sz w:val="16"/>
                <w:lang w:val="en-GB"/>
              </w:rPr>
              <w:t>—</w:t>
            </w:r>
          </w:p>
        </w:tc>
        <w:tc>
          <w:tcPr>
            <w:tcW w:w="1134" w:type="dxa"/>
            <w:tcBorders>
              <w:bottom w:val="single" w:sz="4" w:space="0" w:color="auto"/>
              <w:right w:val="single" w:sz="4" w:space="0" w:color="auto"/>
            </w:tcBorders>
            <w:shd w:val="clear" w:color="auto" w:fill="auto"/>
            <w:tcMar>
              <w:top w:w="57" w:type="dxa"/>
              <w:left w:w="0" w:type="dxa"/>
              <w:bottom w:w="57" w:type="dxa"/>
              <w:right w:w="0" w:type="dxa"/>
            </w:tcMar>
            <w:vAlign w:val="bottom"/>
          </w:tcPr>
          <w:p w14:paraId="69ACA48B" w14:textId="77777777" w:rsidR="00D6167B" w:rsidRPr="00D6167B" w:rsidRDefault="00D6167B" w:rsidP="009D777D">
            <w:pPr>
              <w:spacing w:line="200" w:lineRule="exact"/>
              <w:ind w:right="113"/>
              <w:contextualSpacing/>
              <w:jc w:val="right"/>
              <w:rPr>
                <w:rFonts w:ascii="Tahoma" w:hAnsi="Tahoma"/>
                <w:color w:val="000000" w:themeColor="text1"/>
                <w:sz w:val="16"/>
                <w:lang w:val="en-GB"/>
              </w:rPr>
            </w:pPr>
            <w:r w:rsidRPr="00D6167B">
              <w:rPr>
                <w:rFonts w:ascii="Tahoma" w:hAnsi="Tahoma"/>
                <w:color w:val="000000" w:themeColor="text1"/>
                <w:sz w:val="16"/>
                <w:lang w:val="en-GB"/>
              </w:rPr>
              <w:t>—</w:t>
            </w:r>
          </w:p>
        </w:tc>
      </w:tr>
      <w:tr w:rsidR="00615190" w:rsidRPr="00D6167B" w14:paraId="18F3F446" w14:textId="77777777" w:rsidTr="00E07578">
        <w:trPr>
          <w:trHeight w:val="60"/>
        </w:trPr>
        <w:tc>
          <w:tcPr>
            <w:tcW w:w="397" w:type="dxa"/>
            <w:shd w:val="clear" w:color="auto" w:fill="auto"/>
            <w:tcMar>
              <w:top w:w="57" w:type="dxa"/>
              <w:left w:w="0" w:type="dxa"/>
              <w:bottom w:w="57" w:type="dxa"/>
              <w:right w:w="0" w:type="dxa"/>
            </w:tcMar>
            <w:vAlign w:val="bottom"/>
          </w:tcPr>
          <w:p w14:paraId="41A219B4" w14:textId="77777777" w:rsidR="00D6167B" w:rsidRPr="00D6167B" w:rsidRDefault="00D6167B" w:rsidP="009D777D">
            <w:pPr>
              <w:spacing w:line="200" w:lineRule="exact"/>
              <w:contextualSpacing/>
              <w:rPr>
                <w:rFonts w:ascii="Tahoma" w:hAnsi="Tahoma"/>
                <w:color w:val="000000" w:themeColor="text1"/>
                <w:sz w:val="16"/>
                <w:lang w:val="en-GB"/>
              </w:rPr>
            </w:pPr>
          </w:p>
        </w:tc>
        <w:tc>
          <w:tcPr>
            <w:tcW w:w="6407" w:type="dxa"/>
            <w:shd w:val="clear" w:color="auto" w:fill="auto"/>
            <w:tcMar>
              <w:top w:w="57" w:type="dxa"/>
              <w:left w:w="0" w:type="dxa"/>
              <w:bottom w:w="57" w:type="dxa"/>
              <w:right w:w="0" w:type="dxa"/>
            </w:tcMar>
            <w:vAlign w:val="bottom"/>
          </w:tcPr>
          <w:p w14:paraId="02C0F678" w14:textId="77777777" w:rsidR="00D6167B" w:rsidRPr="00D6167B" w:rsidRDefault="00D6167B" w:rsidP="009D777D">
            <w:pPr>
              <w:spacing w:line="200" w:lineRule="exact"/>
              <w:contextualSpacing/>
              <w:rPr>
                <w:rFonts w:ascii="Tahoma" w:hAnsi="Tahoma"/>
                <w:b/>
                <w:bCs/>
                <w:color w:val="000000" w:themeColor="text1"/>
                <w:sz w:val="16"/>
                <w:lang w:val="en-GB"/>
              </w:rPr>
            </w:pPr>
            <w:r w:rsidRPr="00D6167B">
              <w:rPr>
                <w:rFonts w:ascii="Tahoma" w:hAnsi="Tahoma"/>
                <w:b/>
                <w:bCs/>
                <w:color w:val="000000" w:themeColor="text1"/>
                <w:sz w:val="16"/>
                <w:lang w:val="en-GB"/>
              </w:rPr>
              <w:t>Liabilities</w:t>
            </w:r>
          </w:p>
        </w:tc>
        <w:tc>
          <w:tcPr>
            <w:tcW w:w="1134" w:type="dxa"/>
            <w:tcBorders>
              <w:top w:val="single" w:sz="4" w:space="0" w:color="auto"/>
              <w:bottom w:val="single" w:sz="4" w:space="0" w:color="auto"/>
            </w:tcBorders>
            <w:shd w:val="clear" w:color="auto" w:fill="auto"/>
            <w:tcMar>
              <w:top w:w="57" w:type="dxa"/>
              <w:left w:w="0" w:type="dxa"/>
              <w:bottom w:w="57" w:type="dxa"/>
              <w:right w:w="0" w:type="dxa"/>
            </w:tcMar>
            <w:vAlign w:val="bottom"/>
          </w:tcPr>
          <w:p w14:paraId="3FBC1889" w14:textId="77777777" w:rsidR="00D6167B" w:rsidRPr="00D6167B" w:rsidRDefault="00D6167B" w:rsidP="009D777D">
            <w:pPr>
              <w:spacing w:line="200" w:lineRule="exact"/>
              <w:contextualSpacing/>
              <w:jc w:val="right"/>
              <w:rPr>
                <w:rFonts w:ascii="Tahoma" w:hAnsi="Tahoma"/>
                <w:b/>
                <w:bCs/>
                <w:color w:val="000000" w:themeColor="text1"/>
                <w:sz w:val="16"/>
                <w:lang w:val="en-GB"/>
              </w:rPr>
            </w:pPr>
            <w:r w:rsidRPr="00D6167B">
              <w:rPr>
                <w:rFonts w:ascii="Tahoma" w:hAnsi="Tahoma"/>
                <w:b/>
                <w:bCs/>
                <w:color w:val="000000" w:themeColor="text1"/>
                <w:sz w:val="16"/>
                <w:lang w:val="en-GB"/>
              </w:rPr>
              <w:t>525</w:t>
            </w:r>
          </w:p>
        </w:tc>
        <w:tc>
          <w:tcPr>
            <w:tcW w:w="1134" w:type="dxa"/>
            <w:tcBorders>
              <w:top w:val="single" w:sz="4" w:space="0" w:color="auto"/>
              <w:bottom w:val="single" w:sz="4" w:space="0" w:color="auto"/>
            </w:tcBorders>
            <w:shd w:val="clear" w:color="auto" w:fill="auto"/>
            <w:tcMar>
              <w:top w:w="57" w:type="dxa"/>
              <w:left w:w="0" w:type="dxa"/>
              <w:bottom w:w="57" w:type="dxa"/>
              <w:right w:w="0" w:type="dxa"/>
            </w:tcMar>
            <w:vAlign w:val="bottom"/>
          </w:tcPr>
          <w:p w14:paraId="2E06096E" w14:textId="77777777" w:rsidR="00D6167B" w:rsidRPr="00D6167B" w:rsidRDefault="00D6167B" w:rsidP="009D777D">
            <w:pPr>
              <w:spacing w:line="200" w:lineRule="exact"/>
              <w:contextualSpacing/>
              <w:jc w:val="right"/>
              <w:rPr>
                <w:rFonts w:ascii="Tahoma" w:hAnsi="Tahoma"/>
                <w:color w:val="000000" w:themeColor="text1"/>
                <w:sz w:val="16"/>
                <w:lang w:val="en-GB"/>
              </w:rPr>
            </w:pPr>
            <w:r w:rsidRPr="00D6167B">
              <w:rPr>
                <w:rFonts w:ascii="Tahoma" w:hAnsi="Tahoma"/>
                <w:color w:val="000000" w:themeColor="text1"/>
                <w:sz w:val="16"/>
                <w:lang w:val="en-GB"/>
              </w:rPr>
              <w:t>—</w:t>
            </w:r>
          </w:p>
        </w:tc>
        <w:tc>
          <w:tcPr>
            <w:tcW w:w="1134" w:type="dxa"/>
            <w:tcBorders>
              <w:top w:val="single" w:sz="4" w:space="0" w:color="auto"/>
              <w:bottom w:val="single" w:sz="4" w:space="0" w:color="auto"/>
            </w:tcBorders>
            <w:shd w:val="clear" w:color="auto" w:fill="auto"/>
            <w:tcMar>
              <w:top w:w="57" w:type="dxa"/>
              <w:left w:w="0" w:type="dxa"/>
              <w:bottom w:w="57" w:type="dxa"/>
              <w:right w:w="0" w:type="dxa"/>
            </w:tcMar>
            <w:vAlign w:val="bottom"/>
          </w:tcPr>
          <w:p w14:paraId="38A47A48" w14:textId="77777777" w:rsidR="00D6167B" w:rsidRPr="00D6167B" w:rsidRDefault="00D6167B" w:rsidP="009D777D">
            <w:pPr>
              <w:spacing w:line="200" w:lineRule="exact"/>
              <w:ind w:right="113"/>
              <w:contextualSpacing/>
              <w:jc w:val="right"/>
              <w:rPr>
                <w:rFonts w:ascii="Tahoma" w:hAnsi="Tahoma"/>
                <w:color w:val="000000" w:themeColor="text1"/>
                <w:sz w:val="16"/>
                <w:lang w:val="en-GB"/>
              </w:rPr>
            </w:pPr>
            <w:r w:rsidRPr="00D6167B">
              <w:rPr>
                <w:rFonts w:ascii="Tahoma" w:hAnsi="Tahoma"/>
                <w:color w:val="000000" w:themeColor="text1"/>
                <w:sz w:val="16"/>
                <w:lang w:val="en-GB"/>
              </w:rPr>
              <w:t>—</w:t>
            </w:r>
          </w:p>
        </w:tc>
      </w:tr>
      <w:tr w:rsidR="00615190" w:rsidRPr="00D6167B" w14:paraId="4622FA98" w14:textId="77777777" w:rsidTr="00E07578">
        <w:trPr>
          <w:trHeight w:val="60"/>
        </w:trPr>
        <w:tc>
          <w:tcPr>
            <w:tcW w:w="397" w:type="dxa"/>
            <w:shd w:val="clear" w:color="auto" w:fill="auto"/>
            <w:tcMar>
              <w:top w:w="57" w:type="dxa"/>
              <w:left w:w="0" w:type="dxa"/>
              <w:bottom w:w="57" w:type="dxa"/>
              <w:right w:w="0" w:type="dxa"/>
            </w:tcMar>
            <w:vAlign w:val="bottom"/>
          </w:tcPr>
          <w:p w14:paraId="61EEEC48" w14:textId="77777777" w:rsidR="00D6167B" w:rsidRPr="00D6167B" w:rsidRDefault="00D6167B" w:rsidP="009D777D">
            <w:pPr>
              <w:spacing w:line="200" w:lineRule="exact"/>
              <w:contextualSpacing/>
              <w:rPr>
                <w:rFonts w:ascii="Tahoma" w:hAnsi="Tahoma"/>
                <w:color w:val="000000" w:themeColor="text1"/>
                <w:sz w:val="16"/>
                <w:lang w:val="en-GB"/>
              </w:rPr>
            </w:pPr>
          </w:p>
        </w:tc>
        <w:tc>
          <w:tcPr>
            <w:tcW w:w="6407" w:type="dxa"/>
            <w:tcBorders>
              <w:right w:val="single" w:sz="4" w:space="0" w:color="auto"/>
            </w:tcBorders>
            <w:shd w:val="clear" w:color="auto" w:fill="auto"/>
            <w:tcMar>
              <w:top w:w="57" w:type="dxa"/>
              <w:left w:w="113" w:type="dxa"/>
              <w:bottom w:w="57" w:type="dxa"/>
              <w:right w:w="0" w:type="dxa"/>
            </w:tcMar>
            <w:vAlign w:val="bottom"/>
          </w:tcPr>
          <w:p w14:paraId="25EB719B" w14:textId="77777777" w:rsidR="00D6167B" w:rsidRPr="00D6167B" w:rsidRDefault="00D6167B" w:rsidP="009D777D">
            <w:pPr>
              <w:spacing w:line="200" w:lineRule="exact"/>
              <w:contextualSpacing/>
              <w:rPr>
                <w:rFonts w:ascii="Tahoma" w:hAnsi="Tahoma"/>
                <w:color w:val="000000" w:themeColor="text1"/>
                <w:sz w:val="16"/>
                <w:lang w:val="en-GB"/>
              </w:rPr>
            </w:pPr>
            <w:r w:rsidRPr="00D6167B">
              <w:rPr>
                <w:rFonts w:ascii="Tahoma" w:hAnsi="Tahoma"/>
                <w:color w:val="000000" w:themeColor="text1"/>
                <w:sz w:val="16"/>
                <w:lang w:val="en-GB"/>
              </w:rPr>
              <w:t>Derivative financial instruments</w:t>
            </w:r>
          </w:p>
        </w:tc>
        <w:tc>
          <w:tcPr>
            <w:tcW w:w="1134" w:type="dxa"/>
            <w:tcBorders>
              <w:top w:val="single" w:sz="4" w:space="0" w:color="auto"/>
              <w:left w:val="single" w:sz="4" w:space="0" w:color="auto"/>
            </w:tcBorders>
            <w:shd w:val="clear" w:color="auto" w:fill="auto"/>
            <w:tcMar>
              <w:top w:w="57" w:type="dxa"/>
              <w:left w:w="0" w:type="dxa"/>
              <w:bottom w:w="57" w:type="dxa"/>
              <w:right w:w="0" w:type="dxa"/>
            </w:tcMar>
            <w:vAlign w:val="bottom"/>
          </w:tcPr>
          <w:p w14:paraId="54720CEB" w14:textId="77777777" w:rsidR="00D6167B" w:rsidRPr="00D6167B" w:rsidRDefault="00D6167B" w:rsidP="009D777D">
            <w:pPr>
              <w:spacing w:line="200" w:lineRule="exact"/>
              <w:contextualSpacing/>
              <w:jc w:val="right"/>
              <w:rPr>
                <w:rFonts w:ascii="Tahoma" w:hAnsi="Tahoma"/>
                <w:b/>
                <w:bCs/>
                <w:color w:val="000000" w:themeColor="text1"/>
                <w:sz w:val="16"/>
                <w:lang w:val="en-GB"/>
              </w:rPr>
            </w:pPr>
            <w:r w:rsidRPr="00D6167B">
              <w:rPr>
                <w:rFonts w:ascii="Tahoma" w:hAnsi="Tahoma"/>
                <w:b/>
                <w:bCs/>
                <w:color w:val="000000" w:themeColor="text1"/>
                <w:sz w:val="16"/>
                <w:lang w:val="en-GB"/>
              </w:rPr>
              <w:t>3</w:t>
            </w:r>
          </w:p>
        </w:tc>
        <w:tc>
          <w:tcPr>
            <w:tcW w:w="1134" w:type="dxa"/>
            <w:tcBorders>
              <w:top w:val="single" w:sz="4" w:space="0" w:color="auto"/>
            </w:tcBorders>
            <w:shd w:val="clear" w:color="auto" w:fill="auto"/>
            <w:tcMar>
              <w:top w:w="57" w:type="dxa"/>
              <w:left w:w="0" w:type="dxa"/>
              <w:bottom w:w="57" w:type="dxa"/>
              <w:right w:w="0" w:type="dxa"/>
            </w:tcMar>
            <w:vAlign w:val="bottom"/>
          </w:tcPr>
          <w:p w14:paraId="36666365" w14:textId="77777777" w:rsidR="00D6167B" w:rsidRPr="00D6167B" w:rsidRDefault="00D6167B" w:rsidP="009D777D">
            <w:pPr>
              <w:spacing w:line="200" w:lineRule="exact"/>
              <w:contextualSpacing/>
              <w:jc w:val="right"/>
              <w:rPr>
                <w:rFonts w:ascii="Tahoma" w:hAnsi="Tahoma"/>
                <w:color w:val="000000" w:themeColor="text1"/>
                <w:sz w:val="16"/>
                <w:lang w:val="en-GB"/>
              </w:rPr>
            </w:pPr>
            <w:r w:rsidRPr="00D6167B">
              <w:rPr>
                <w:rFonts w:ascii="Tahoma" w:hAnsi="Tahoma"/>
                <w:color w:val="000000" w:themeColor="text1"/>
                <w:sz w:val="16"/>
                <w:lang w:val="en-GB"/>
              </w:rPr>
              <w:t>—</w:t>
            </w:r>
          </w:p>
        </w:tc>
        <w:tc>
          <w:tcPr>
            <w:tcW w:w="1134" w:type="dxa"/>
            <w:tcBorders>
              <w:top w:val="single" w:sz="4" w:space="0" w:color="auto"/>
              <w:right w:val="single" w:sz="4" w:space="0" w:color="auto"/>
            </w:tcBorders>
            <w:shd w:val="clear" w:color="auto" w:fill="auto"/>
            <w:tcMar>
              <w:top w:w="57" w:type="dxa"/>
              <w:left w:w="0" w:type="dxa"/>
              <w:bottom w:w="57" w:type="dxa"/>
              <w:right w:w="0" w:type="dxa"/>
            </w:tcMar>
            <w:vAlign w:val="bottom"/>
          </w:tcPr>
          <w:p w14:paraId="10FFF33C" w14:textId="77777777" w:rsidR="00D6167B" w:rsidRPr="00D6167B" w:rsidRDefault="00D6167B" w:rsidP="009D777D">
            <w:pPr>
              <w:spacing w:line="200" w:lineRule="exact"/>
              <w:ind w:right="113"/>
              <w:contextualSpacing/>
              <w:jc w:val="right"/>
              <w:rPr>
                <w:rFonts w:ascii="Tahoma" w:hAnsi="Tahoma"/>
                <w:color w:val="000000" w:themeColor="text1"/>
                <w:sz w:val="16"/>
                <w:lang w:val="en-GB"/>
              </w:rPr>
            </w:pPr>
            <w:r w:rsidRPr="00D6167B">
              <w:rPr>
                <w:rFonts w:ascii="Tahoma" w:hAnsi="Tahoma"/>
                <w:color w:val="000000" w:themeColor="text1"/>
                <w:sz w:val="16"/>
                <w:lang w:val="en-GB"/>
              </w:rPr>
              <w:t>—</w:t>
            </w:r>
          </w:p>
        </w:tc>
      </w:tr>
      <w:tr w:rsidR="00615190" w:rsidRPr="00D6167B" w14:paraId="1AD76BF2" w14:textId="77777777" w:rsidTr="00E07578">
        <w:trPr>
          <w:trHeight w:val="60"/>
        </w:trPr>
        <w:tc>
          <w:tcPr>
            <w:tcW w:w="397" w:type="dxa"/>
            <w:shd w:val="clear" w:color="auto" w:fill="auto"/>
            <w:tcMar>
              <w:top w:w="57" w:type="dxa"/>
              <w:left w:w="0" w:type="dxa"/>
              <w:bottom w:w="57" w:type="dxa"/>
              <w:right w:w="0" w:type="dxa"/>
            </w:tcMar>
            <w:vAlign w:val="bottom"/>
          </w:tcPr>
          <w:p w14:paraId="46F48318" w14:textId="77777777" w:rsidR="00D6167B" w:rsidRPr="00D6167B" w:rsidRDefault="00D6167B" w:rsidP="009D777D">
            <w:pPr>
              <w:spacing w:line="200" w:lineRule="exact"/>
              <w:contextualSpacing/>
              <w:rPr>
                <w:rFonts w:ascii="Tahoma" w:hAnsi="Tahoma"/>
                <w:color w:val="000000" w:themeColor="text1"/>
                <w:sz w:val="16"/>
                <w:lang w:val="en-GB"/>
              </w:rPr>
            </w:pPr>
          </w:p>
        </w:tc>
        <w:tc>
          <w:tcPr>
            <w:tcW w:w="6407" w:type="dxa"/>
            <w:tcBorders>
              <w:right w:val="single" w:sz="4" w:space="0" w:color="auto"/>
            </w:tcBorders>
            <w:shd w:val="clear" w:color="auto" w:fill="auto"/>
            <w:tcMar>
              <w:top w:w="57" w:type="dxa"/>
              <w:left w:w="113" w:type="dxa"/>
              <w:bottom w:w="57" w:type="dxa"/>
              <w:right w:w="0" w:type="dxa"/>
            </w:tcMar>
            <w:vAlign w:val="bottom"/>
          </w:tcPr>
          <w:p w14:paraId="2D55FC72" w14:textId="77777777" w:rsidR="00D6167B" w:rsidRPr="00D6167B" w:rsidRDefault="00D6167B" w:rsidP="009D777D">
            <w:pPr>
              <w:spacing w:line="200" w:lineRule="exact"/>
              <w:contextualSpacing/>
              <w:rPr>
                <w:rFonts w:ascii="Tahoma" w:hAnsi="Tahoma"/>
                <w:color w:val="000000" w:themeColor="text1"/>
                <w:sz w:val="16"/>
                <w:lang w:val="en-GB"/>
              </w:rPr>
            </w:pPr>
            <w:r w:rsidRPr="00D6167B">
              <w:rPr>
                <w:rFonts w:ascii="Tahoma" w:hAnsi="Tahoma"/>
                <w:color w:val="000000" w:themeColor="text1"/>
                <w:sz w:val="16"/>
                <w:lang w:val="en-GB"/>
              </w:rPr>
              <w:t>Deferred taxation liabilities</w:t>
            </w:r>
          </w:p>
        </w:tc>
        <w:tc>
          <w:tcPr>
            <w:tcW w:w="1134" w:type="dxa"/>
            <w:tcBorders>
              <w:left w:val="single" w:sz="4" w:space="0" w:color="auto"/>
            </w:tcBorders>
            <w:shd w:val="clear" w:color="auto" w:fill="auto"/>
            <w:tcMar>
              <w:top w:w="57" w:type="dxa"/>
              <w:left w:w="0" w:type="dxa"/>
              <w:bottom w:w="57" w:type="dxa"/>
              <w:right w:w="0" w:type="dxa"/>
            </w:tcMar>
            <w:vAlign w:val="bottom"/>
          </w:tcPr>
          <w:p w14:paraId="56C27B41" w14:textId="77777777" w:rsidR="00D6167B" w:rsidRPr="00D6167B" w:rsidRDefault="00D6167B" w:rsidP="009D777D">
            <w:pPr>
              <w:spacing w:line="200" w:lineRule="exact"/>
              <w:contextualSpacing/>
              <w:jc w:val="right"/>
              <w:rPr>
                <w:rFonts w:ascii="Tahoma" w:hAnsi="Tahoma"/>
                <w:b/>
                <w:bCs/>
                <w:color w:val="000000" w:themeColor="text1"/>
                <w:sz w:val="16"/>
                <w:lang w:val="en-GB"/>
              </w:rPr>
            </w:pPr>
            <w:r w:rsidRPr="00D6167B">
              <w:rPr>
                <w:rFonts w:ascii="Tahoma" w:hAnsi="Tahoma"/>
                <w:b/>
                <w:bCs/>
                <w:color w:val="000000" w:themeColor="text1"/>
                <w:sz w:val="16"/>
                <w:lang w:val="en-GB"/>
              </w:rPr>
              <w:t>113</w:t>
            </w:r>
          </w:p>
        </w:tc>
        <w:tc>
          <w:tcPr>
            <w:tcW w:w="1134" w:type="dxa"/>
            <w:shd w:val="clear" w:color="auto" w:fill="auto"/>
            <w:tcMar>
              <w:top w:w="57" w:type="dxa"/>
              <w:left w:w="0" w:type="dxa"/>
              <w:bottom w:w="57" w:type="dxa"/>
              <w:right w:w="0" w:type="dxa"/>
            </w:tcMar>
            <w:vAlign w:val="bottom"/>
          </w:tcPr>
          <w:p w14:paraId="7DFF3E48" w14:textId="77777777" w:rsidR="00D6167B" w:rsidRPr="00D6167B" w:rsidRDefault="00D6167B" w:rsidP="009D777D">
            <w:pPr>
              <w:spacing w:line="200" w:lineRule="exact"/>
              <w:contextualSpacing/>
              <w:jc w:val="right"/>
              <w:rPr>
                <w:rFonts w:ascii="Tahoma" w:hAnsi="Tahoma"/>
                <w:color w:val="000000" w:themeColor="text1"/>
                <w:sz w:val="16"/>
                <w:lang w:val="en-GB"/>
              </w:rPr>
            </w:pPr>
            <w:r w:rsidRPr="00D6167B">
              <w:rPr>
                <w:rFonts w:ascii="Tahoma" w:hAnsi="Tahoma"/>
                <w:color w:val="000000" w:themeColor="text1"/>
                <w:sz w:val="16"/>
                <w:lang w:val="en-GB"/>
              </w:rPr>
              <w:t>—</w:t>
            </w:r>
          </w:p>
        </w:tc>
        <w:tc>
          <w:tcPr>
            <w:tcW w:w="1134" w:type="dxa"/>
            <w:tcBorders>
              <w:right w:val="single" w:sz="4" w:space="0" w:color="auto"/>
            </w:tcBorders>
            <w:shd w:val="clear" w:color="auto" w:fill="auto"/>
            <w:tcMar>
              <w:top w:w="57" w:type="dxa"/>
              <w:left w:w="0" w:type="dxa"/>
              <w:bottom w:w="57" w:type="dxa"/>
              <w:right w:w="0" w:type="dxa"/>
            </w:tcMar>
            <w:vAlign w:val="bottom"/>
          </w:tcPr>
          <w:p w14:paraId="44054FE9" w14:textId="77777777" w:rsidR="00D6167B" w:rsidRPr="00D6167B" w:rsidRDefault="00D6167B" w:rsidP="009D777D">
            <w:pPr>
              <w:spacing w:line="200" w:lineRule="exact"/>
              <w:ind w:right="113"/>
              <w:contextualSpacing/>
              <w:jc w:val="right"/>
              <w:rPr>
                <w:rFonts w:ascii="Tahoma" w:hAnsi="Tahoma"/>
                <w:color w:val="000000" w:themeColor="text1"/>
                <w:sz w:val="16"/>
                <w:lang w:val="en-GB"/>
              </w:rPr>
            </w:pPr>
            <w:r w:rsidRPr="00D6167B">
              <w:rPr>
                <w:rFonts w:ascii="Tahoma" w:hAnsi="Tahoma"/>
                <w:color w:val="000000" w:themeColor="text1"/>
                <w:sz w:val="16"/>
                <w:lang w:val="en-GB"/>
              </w:rPr>
              <w:t>—</w:t>
            </w:r>
          </w:p>
        </w:tc>
      </w:tr>
      <w:tr w:rsidR="00615190" w:rsidRPr="00D6167B" w14:paraId="34E2E712" w14:textId="77777777" w:rsidTr="00E07578">
        <w:trPr>
          <w:trHeight w:val="60"/>
        </w:trPr>
        <w:tc>
          <w:tcPr>
            <w:tcW w:w="397" w:type="dxa"/>
            <w:shd w:val="clear" w:color="auto" w:fill="auto"/>
            <w:tcMar>
              <w:top w:w="57" w:type="dxa"/>
              <w:left w:w="0" w:type="dxa"/>
              <w:bottom w:w="57" w:type="dxa"/>
              <w:right w:w="0" w:type="dxa"/>
            </w:tcMar>
            <w:vAlign w:val="bottom"/>
          </w:tcPr>
          <w:p w14:paraId="5554F5A2" w14:textId="77777777" w:rsidR="00D6167B" w:rsidRPr="00D6167B" w:rsidRDefault="00D6167B" w:rsidP="009D777D">
            <w:pPr>
              <w:spacing w:line="200" w:lineRule="exact"/>
              <w:contextualSpacing/>
              <w:rPr>
                <w:rFonts w:ascii="Tahoma" w:hAnsi="Tahoma"/>
                <w:color w:val="000000" w:themeColor="text1"/>
                <w:sz w:val="16"/>
                <w:lang w:val="en-GB"/>
              </w:rPr>
            </w:pPr>
          </w:p>
        </w:tc>
        <w:tc>
          <w:tcPr>
            <w:tcW w:w="6407" w:type="dxa"/>
            <w:tcBorders>
              <w:right w:val="single" w:sz="4" w:space="0" w:color="auto"/>
            </w:tcBorders>
            <w:shd w:val="clear" w:color="auto" w:fill="auto"/>
            <w:tcMar>
              <w:top w:w="57" w:type="dxa"/>
              <w:left w:w="113" w:type="dxa"/>
              <w:bottom w:w="57" w:type="dxa"/>
              <w:right w:w="0" w:type="dxa"/>
            </w:tcMar>
            <w:vAlign w:val="bottom"/>
          </w:tcPr>
          <w:p w14:paraId="37603612" w14:textId="77777777" w:rsidR="00D6167B" w:rsidRPr="00D6167B" w:rsidRDefault="00D6167B" w:rsidP="009D777D">
            <w:pPr>
              <w:spacing w:line="200" w:lineRule="exact"/>
              <w:contextualSpacing/>
              <w:rPr>
                <w:rFonts w:ascii="Tahoma" w:hAnsi="Tahoma"/>
                <w:color w:val="000000" w:themeColor="text1"/>
                <w:sz w:val="16"/>
                <w:lang w:val="en-GB"/>
              </w:rPr>
            </w:pPr>
            <w:r w:rsidRPr="00D6167B">
              <w:rPr>
                <w:rFonts w:ascii="Tahoma" w:hAnsi="Tahoma"/>
                <w:color w:val="000000" w:themeColor="text1"/>
                <w:sz w:val="16"/>
                <w:lang w:val="en-GB"/>
              </w:rPr>
              <w:t>Long-term liabilities</w:t>
            </w:r>
          </w:p>
        </w:tc>
        <w:tc>
          <w:tcPr>
            <w:tcW w:w="1134" w:type="dxa"/>
            <w:tcBorders>
              <w:left w:val="single" w:sz="4" w:space="0" w:color="auto"/>
            </w:tcBorders>
            <w:shd w:val="clear" w:color="auto" w:fill="auto"/>
            <w:tcMar>
              <w:top w:w="57" w:type="dxa"/>
              <w:left w:w="0" w:type="dxa"/>
              <w:bottom w:w="57" w:type="dxa"/>
              <w:right w:w="0" w:type="dxa"/>
            </w:tcMar>
            <w:vAlign w:val="bottom"/>
          </w:tcPr>
          <w:p w14:paraId="010731CD" w14:textId="77777777" w:rsidR="00D6167B" w:rsidRPr="00D6167B" w:rsidRDefault="00D6167B" w:rsidP="009D777D">
            <w:pPr>
              <w:spacing w:line="200" w:lineRule="exact"/>
              <w:contextualSpacing/>
              <w:jc w:val="right"/>
              <w:rPr>
                <w:rFonts w:ascii="Tahoma" w:hAnsi="Tahoma"/>
                <w:b/>
                <w:bCs/>
                <w:color w:val="000000" w:themeColor="text1"/>
                <w:sz w:val="16"/>
                <w:lang w:val="en-GB"/>
              </w:rPr>
            </w:pPr>
            <w:r w:rsidRPr="00D6167B">
              <w:rPr>
                <w:rFonts w:ascii="Tahoma" w:hAnsi="Tahoma"/>
                <w:b/>
                <w:bCs/>
                <w:color w:val="000000" w:themeColor="text1"/>
                <w:sz w:val="16"/>
                <w:lang w:val="en-GB"/>
              </w:rPr>
              <w:t>68</w:t>
            </w:r>
          </w:p>
        </w:tc>
        <w:tc>
          <w:tcPr>
            <w:tcW w:w="1134" w:type="dxa"/>
            <w:shd w:val="clear" w:color="auto" w:fill="auto"/>
            <w:tcMar>
              <w:top w:w="57" w:type="dxa"/>
              <w:left w:w="0" w:type="dxa"/>
              <w:bottom w:w="57" w:type="dxa"/>
              <w:right w:w="0" w:type="dxa"/>
            </w:tcMar>
            <w:vAlign w:val="bottom"/>
          </w:tcPr>
          <w:p w14:paraId="0C0E301C" w14:textId="77777777" w:rsidR="00D6167B" w:rsidRPr="00D6167B" w:rsidRDefault="00D6167B" w:rsidP="009D777D">
            <w:pPr>
              <w:spacing w:line="200" w:lineRule="exact"/>
              <w:contextualSpacing/>
              <w:jc w:val="right"/>
              <w:rPr>
                <w:rFonts w:ascii="Tahoma" w:hAnsi="Tahoma"/>
                <w:color w:val="000000" w:themeColor="text1"/>
                <w:sz w:val="16"/>
                <w:lang w:val="en-GB"/>
              </w:rPr>
            </w:pPr>
            <w:r w:rsidRPr="00D6167B">
              <w:rPr>
                <w:rFonts w:ascii="Tahoma" w:hAnsi="Tahoma"/>
                <w:color w:val="000000" w:themeColor="text1"/>
                <w:sz w:val="16"/>
                <w:lang w:val="en-GB"/>
              </w:rPr>
              <w:t>—</w:t>
            </w:r>
          </w:p>
        </w:tc>
        <w:tc>
          <w:tcPr>
            <w:tcW w:w="1134" w:type="dxa"/>
            <w:tcBorders>
              <w:right w:val="single" w:sz="4" w:space="0" w:color="auto"/>
            </w:tcBorders>
            <w:shd w:val="clear" w:color="auto" w:fill="auto"/>
            <w:tcMar>
              <w:top w:w="57" w:type="dxa"/>
              <w:left w:w="0" w:type="dxa"/>
              <w:bottom w:w="57" w:type="dxa"/>
              <w:right w:w="0" w:type="dxa"/>
            </w:tcMar>
            <w:vAlign w:val="bottom"/>
          </w:tcPr>
          <w:p w14:paraId="17586337" w14:textId="77777777" w:rsidR="00D6167B" w:rsidRPr="00D6167B" w:rsidRDefault="00D6167B" w:rsidP="009D777D">
            <w:pPr>
              <w:spacing w:line="200" w:lineRule="exact"/>
              <w:ind w:right="113"/>
              <w:contextualSpacing/>
              <w:jc w:val="right"/>
              <w:rPr>
                <w:rFonts w:ascii="Tahoma" w:hAnsi="Tahoma"/>
                <w:color w:val="000000" w:themeColor="text1"/>
                <w:sz w:val="16"/>
                <w:lang w:val="en-GB"/>
              </w:rPr>
            </w:pPr>
            <w:r w:rsidRPr="00D6167B">
              <w:rPr>
                <w:rFonts w:ascii="Tahoma" w:hAnsi="Tahoma"/>
                <w:color w:val="000000" w:themeColor="text1"/>
                <w:sz w:val="16"/>
                <w:lang w:val="en-GB"/>
              </w:rPr>
              <w:t>—</w:t>
            </w:r>
          </w:p>
        </w:tc>
      </w:tr>
      <w:tr w:rsidR="00615190" w:rsidRPr="00D6167B" w14:paraId="1396611F" w14:textId="77777777" w:rsidTr="00E07578">
        <w:trPr>
          <w:trHeight w:val="60"/>
        </w:trPr>
        <w:tc>
          <w:tcPr>
            <w:tcW w:w="397" w:type="dxa"/>
            <w:shd w:val="clear" w:color="auto" w:fill="auto"/>
            <w:tcMar>
              <w:top w:w="57" w:type="dxa"/>
              <w:left w:w="0" w:type="dxa"/>
              <w:bottom w:w="57" w:type="dxa"/>
              <w:right w:w="0" w:type="dxa"/>
            </w:tcMar>
            <w:vAlign w:val="bottom"/>
          </w:tcPr>
          <w:p w14:paraId="7FC77491" w14:textId="77777777" w:rsidR="00D6167B" w:rsidRPr="00D6167B" w:rsidRDefault="00D6167B" w:rsidP="009D777D">
            <w:pPr>
              <w:spacing w:line="200" w:lineRule="exact"/>
              <w:contextualSpacing/>
              <w:rPr>
                <w:rFonts w:ascii="Tahoma" w:hAnsi="Tahoma"/>
                <w:color w:val="000000" w:themeColor="text1"/>
                <w:sz w:val="16"/>
                <w:lang w:val="en-GB"/>
              </w:rPr>
            </w:pPr>
          </w:p>
        </w:tc>
        <w:tc>
          <w:tcPr>
            <w:tcW w:w="6407" w:type="dxa"/>
            <w:tcBorders>
              <w:right w:val="single" w:sz="4" w:space="0" w:color="auto"/>
            </w:tcBorders>
            <w:shd w:val="clear" w:color="auto" w:fill="auto"/>
            <w:tcMar>
              <w:top w:w="57" w:type="dxa"/>
              <w:left w:w="113" w:type="dxa"/>
              <w:bottom w:w="57" w:type="dxa"/>
              <w:right w:w="0" w:type="dxa"/>
            </w:tcMar>
            <w:vAlign w:val="bottom"/>
          </w:tcPr>
          <w:p w14:paraId="21CFCAC3" w14:textId="77777777" w:rsidR="00D6167B" w:rsidRPr="00D6167B" w:rsidRDefault="00D6167B" w:rsidP="009D777D">
            <w:pPr>
              <w:spacing w:line="200" w:lineRule="exact"/>
              <w:contextualSpacing/>
              <w:rPr>
                <w:rFonts w:ascii="Tahoma" w:hAnsi="Tahoma"/>
                <w:color w:val="000000" w:themeColor="text1"/>
                <w:sz w:val="16"/>
                <w:lang w:val="en-GB"/>
              </w:rPr>
            </w:pPr>
            <w:r w:rsidRPr="00D6167B">
              <w:rPr>
                <w:rFonts w:ascii="Tahoma" w:hAnsi="Tahoma"/>
                <w:color w:val="000000" w:themeColor="text1"/>
                <w:sz w:val="16"/>
                <w:lang w:val="en-GB"/>
              </w:rPr>
              <w:t>Provisions</w:t>
            </w:r>
          </w:p>
        </w:tc>
        <w:tc>
          <w:tcPr>
            <w:tcW w:w="1134" w:type="dxa"/>
            <w:tcBorders>
              <w:left w:val="single" w:sz="4" w:space="0" w:color="auto"/>
            </w:tcBorders>
            <w:shd w:val="clear" w:color="auto" w:fill="auto"/>
            <w:tcMar>
              <w:top w:w="57" w:type="dxa"/>
              <w:left w:w="0" w:type="dxa"/>
              <w:bottom w:w="57" w:type="dxa"/>
              <w:right w:w="0" w:type="dxa"/>
            </w:tcMar>
            <w:vAlign w:val="bottom"/>
          </w:tcPr>
          <w:p w14:paraId="3BA2623F" w14:textId="77777777" w:rsidR="00D6167B" w:rsidRPr="00D6167B" w:rsidRDefault="00D6167B" w:rsidP="009D777D">
            <w:pPr>
              <w:spacing w:line="200" w:lineRule="exact"/>
              <w:contextualSpacing/>
              <w:jc w:val="right"/>
              <w:rPr>
                <w:rFonts w:ascii="Tahoma" w:hAnsi="Tahoma"/>
                <w:b/>
                <w:bCs/>
                <w:color w:val="000000" w:themeColor="text1"/>
                <w:sz w:val="16"/>
                <w:lang w:val="en-GB"/>
              </w:rPr>
            </w:pPr>
            <w:r w:rsidRPr="00D6167B">
              <w:rPr>
                <w:rFonts w:ascii="Tahoma" w:hAnsi="Tahoma"/>
                <w:b/>
                <w:bCs/>
                <w:color w:val="000000" w:themeColor="text1"/>
                <w:sz w:val="16"/>
                <w:lang w:val="en-GB"/>
              </w:rPr>
              <w:t>1</w:t>
            </w:r>
          </w:p>
        </w:tc>
        <w:tc>
          <w:tcPr>
            <w:tcW w:w="1134" w:type="dxa"/>
            <w:shd w:val="clear" w:color="auto" w:fill="auto"/>
            <w:tcMar>
              <w:top w:w="57" w:type="dxa"/>
              <w:left w:w="0" w:type="dxa"/>
              <w:bottom w:w="57" w:type="dxa"/>
              <w:right w:w="0" w:type="dxa"/>
            </w:tcMar>
            <w:vAlign w:val="bottom"/>
          </w:tcPr>
          <w:p w14:paraId="5F9FE8B2" w14:textId="77777777" w:rsidR="00D6167B" w:rsidRPr="00D6167B" w:rsidRDefault="00D6167B" w:rsidP="009D777D">
            <w:pPr>
              <w:spacing w:line="200" w:lineRule="exact"/>
              <w:contextualSpacing/>
              <w:jc w:val="right"/>
              <w:rPr>
                <w:rFonts w:ascii="Tahoma" w:hAnsi="Tahoma"/>
                <w:color w:val="000000" w:themeColor="text1"/>
                <w:sz w:val="16"/>
                <w:lang w:val="en-GB"/>
              </w:rPr>
            </w:pPr>
            <w:r w:rsidRPr="00D6167B">
              <w:rPr>
                <w:rFonts w:ascii="Tahoma" w:hAnsi="Tahoma"/>
                <w:color w:val="000000" w:themeColor="text1"/>
                <w:sz w:val="16"/>
                <w:lang w:val="en-GB"/>
              </w:rPr>
              <w:t>—</w:t>
            </w:r>
          </w:p>
        </w:tc>
        <w:tc>
          <w:tcPr>
            <w:tcW w:w="1134" w:type="dxa"/>
            <w:tcBorders>
              <w:right w:val="single" w:sz="4" w:space="0" w:color="auto"/>
            </w:tcBorders>
            <w:shd w:val="clear" w:color="auto" w:fill="auto"/>
            <w:tcMar>
              <w:top w:w="57" w:type="dxa"/>
              <w:left w:w="0" w:type="dxa"/>
              <w:bottom w:w="57" w:type="dxa"/>
              <w:right w:w="0" w:type="dxa"/>
            </w:tcMar>
            <w:vAlign w:val="bottom"/>
          </w:tcPr>
          <w:p w14:paraId="14AEDE64" w14:textId="77777777" w:rsidR="00D6167B" w:rsidRPr="00D6167B" w:rsidRDefault="00D6167B" w:rsidP="009D777D">
            <w:pPr>
              <w:spacing w:line="200" w:lineRule="exact"/>
              <w:ind w:right="113"/>
              <w:contextualSpacing/>
              <w:jc w:val="right"/>
              <w:rPr>
                <w:rFonts w:ascii="Tahoma" w:hAnsi="Tahoma"/>
                <w:color w:val="000000" w:themeColor="text1"/>
                <w:sz w:val="16"/>
                <w:lang w:val="en-GB"/>
              </w:rPr>
            </w:pPr>
            <w:r w:rsidRPr="00D6167B">
              <w:rPr>
                <w:rFonts w:ascii="Tahoma" w:hAnsi="Tahoma"/>
                <w:color w:val="000000" w:themeColor="text1"/>
                <w:sz w:val="16"/>
                <w:lang w:val="en-GB"/>
              </w:rPr>
              <w:t>—</w:t>
            </w:r>
          </w:p>
        </w:tc>
      </w:tr>
      <w:tr w:rsidR="00615190" w:rsidRPr="00D6167B" w14:paraId="1081E081" w14:textId="77777777" w:rsidTr="00E07578">
        <w:trPr>
          <w:trHeight w:val="60"/>
        </w:trPr>
        <w:tc>
          <w:tcPr>
            <w:tcW w:w="397" w:type="dxa"/>
            <w:shd w:val="clear" w:color="auto" w:fill="auto"/>
            <w:tcMar>
              <w:top w:w="57" w:type="dxa"/>
              <w:left w:w="0" w:type="dxa"/>
              <w:bottom w:w="57" w:type="dxa"/>
              <w:right w:w="0" w:type="dxa"/>
            </w:tcMar>
            <w:vAlign w:val="bottom"/>
          </w:tcPr>
          <w:p w14:paraId="0B189DFC" w14:textId="77777777" w:rsidR="00D6167B" w:rsidRPr="00D6167B" w:rsidRDefault="00D6167B" w:rsidP="009D777D">
            <w:pPr>
              <w:spacing w:line="200" w:lineRule="exact"/>
              <w:contextualSpacing/>
              <w:rPr>
                <w:rFonts w:ascii="Tahoma" w:hAnsi="Tahoma"/>
                <w:color w:val="000000" w:themeColor="text1"/>
                <w:sz w:val="16"/>
                <w:lang w:val="en-GB"/>
              </w:rPr>
            </w:pPr>
          </w:p>
        </w:tc>
        <w:tc>
          <w:tcPr>
            <w:tcW w:w="6407" w:type="dxa"/>
            <w:tcBorders>
              <w:right w:val="single" w:sz="4" w:space="0" w:color="auto"/>
            </w:tcBorders>
            <w:shd w:val="clear" w:color="auto" w:fill="auto"/>
            <w:tcMar>
              <w:top w:w="57" w:type="dxa"/>
              <w:left w:w="113" w:type="dxa"/>
              <w:bottom w:w="57" w:type="dxa"/>
              <w:right w:w="0" w:type="dxa"/>
            </w:tcMar>
            <w:vAlign w:val="bottom"/>
          </w:tcPr>
          <w:p w14:paraId="4A71771B" w14:textId="77777777" w:rsidR="00D6167B" w:rsidRPr="00D6167B" w:rsidRDefault="00D6167B" w:rsidP="009D777D">
            <w:pPr>
              <w:spacing w:line="200" w:lineRule="exact"/>
              <w:contextualSpacing/>
              <w:rPr>
                <w:rFonts w:ascii="Tahoma" w:hAnsi="Tahoma"/>
                <w:color w:val="000000" w:themeColor="text1"/>
                <w:sz w:val="16"/>
                <w:lang w:val="en-GB"/>
              </w:rPr>
            </w:pPr>
            <w:r w:rsidRPr="00D6167B">
              <w:rPr>
                <w:rFonts w:ascii="Tahoma" w:hAnsi="Tahoma"/>
                <w:color w:val="000000" w:themeColor="text1"/>
                <w:sz w:val="16"/>
                <w:lang w:val="en-GB"/>
              </w:rPr>
              <w:t>Trade payables</w:t>
            </w:r>
          </w:p>
        </w:tc>
        <w:tc>
          <w:tcPr>
            <w:tcW w:w="1134" w:type="dxa"/>
            <w:tcBorders>
              <w:left w:val="single" w:sz="4" w:space="0" w:color="auto"/>
            </w:tcBorders>
            <w:shd w:val="clear" w:color="auto" w:fill="auto"/>
            <w:tcMar>
              <w:top w:w="57" w:type="dxa"/>
              <w:left w:w="0" w:type="dxa"/>
              <w:bottom w:w="57" w:type="dxa"/>
              <w:right w:w="0" w:type="dxa"/>
            </w:tcMar>
            <w:vAlign w:val="bottom"/>
          </w:tcPr>
          <w:p w14:paraId="7DF3273D" w14:textId="77777777" w:rsidR="00D6167B" w:rsidRPr="00D6167B" w:rsidRDefault="00D6167B" w:rsidP="009D777D">
            <w:pPr>
              <w:spacing w:line="200" w:lineRule="exact"/>
              <w:contextualSpacing/>
              <w:jc w:val="right"/>
              <w:rPr>
                <w:rFonts w:ascii="Tahoma" w:hAnsi="Tahoma"/>
                <w:b/>
                <w:bCs/>
                <w:color w:val="000000" w:themeColor="text1"/>
                <w:sz w:val="16"/>
                <w:lang w:val="en-GB"/>
              </w:rPr>
            </w:pPr>
            <w:r w:rsidRPr="00D6167B">
              <w:rPr>
                <w:rFonts w:ascii="Tahoma" w:hAnsi="Tahoma"/>
                <w:b/>
                <w:bCs/>
                <w:color w:val="000000" w:themeColor="text1"/>
                <w:sz w:val="16"/>
                <w:lang w:val="en-GB"/>
              </w:rPr>
              <w:t>150</w:t>
            </w:r>
          </w:p>
        </w:tc>
        <w:tc>
          <w:tcPr>
            <w:tcW w:w="1134" w:type="dxa"/>
            <w:shd w:val="clear" w:color="auto" w:fill="auto"/>
            <w:tcMar>
              <w:top w:w="57" w:type="dxa"/>
              <w:left w:w="0" w:type="dxa"/>
              <w:bottom w:w="57" w:type="dxa"/>
              <w:right w:w="0" w:type="dxa"/>
            </w:tcMar>
            <w:vAlign w:val="bottom"/>
          </w:tcPr>
          <w:p w14:paraId="74354698" w14:textId="77777777" w:rsidR="00D6167B" w:rsidRPr="00D6167B" w:rsidRDefault="00D6167B" w:rsidP="009D777D">
            <w:pPr>
              <w:spacing w:line="200" w:lineRule="exact"/>
              <w:contextualSpacing/>
              <w:jc w:val="right"/>
              <w:rPr>
                <w:rFonts w:ascii="Tahoma" w:hAnsi="Tahoma"/>
                <w:color w:val="000000" w:themeColor="text1"/>
                <w:sz w:val="16"/>
                <w:lang w:val="en-GB"/>
              </w:rPr>
            </w:pPr>
            <w:r w:rsidRPr="00D6167B">
              <w:rPr>
                <w:rFonts w:ascii="Tahoma" w:hAnsi="Tahoma"/>
                <w:color w:val="000000" w:themeColor="text1"/>
                <w:sz w:val="16"/>
                <w:lang w:val="en-GB"/>
              </w:rPr>
              <w:t>—</w:t>
            </w:r>
          </w:p>
        </w:tc>
        <w:tc>
          <w:tcPr>
            <w:tcW w:w="1134" w:type="dxa"/>
            <w:tcBorders>
              <w:right w:val="single" w:sz="4" w:space="0" w:color="auto"/>
            </w:tcBorders>
            <w:shd w:val="clear" w:color="auto" w:fill="auto"/>
            <w:tcMar>
              <w:top w:w="57" w:type="dxa"/>
              <w:left w:w="0" w:type="dxa"/>
              <w:bottom w:w="57" w:type="dxa"/>
              <w:right w:w="0" w:type="dxa"/>
            </w:tcMar>
            <w:vAlign w:val="bottom"/>
          </w:tcPr>
          <w:p w14:paraId="3AE223BD" w14:textId="77777777" w:rsidR="00D6167B" w:rsidRPr="00D6167B" w:rsidRDefault="00D6167B" w:rsidP="009D777D">
            <w:pPr>
              <w:spacing w:line="200" w:lineRule="exact"/>
              <w:ind w:right="113"/>
              <w:contextualSpacing/>
              <w:jc w:val="right"/>
              <w:rPr>
                <w:rFonts w:ascii="Tahoma" w:hAnsi="Tahoma"/>
                <w:color w:val="000000" w:themeColor="text1"/>
                <w:sz w:val="16"/>
                <w:lang w:val="en-GB"/>
              </w:rPr>
            </w:pPr>
            <w:r w:rsidRPr="00D6167B">
              <w:rPr>
                <w:rFonts w:ascii="Tahoma" w:hAnsi="Tahoma"/>
                <w:color w:val="000000" w:themeColor="text1"/>
                <w:sz w:val="16"/>
                <w:lang w:val="en-GB"/>
              </w:rPr>
              <w:t>—</w:t>
            </w:r>
          </w:p>
        </w:tc>
      </w:tr>
      <w:tr w:rsidR="00615190" w:rsidRPr="00D6167B" w14:paraId="479C3991" w14:textId="77777777" w:rsidTr="00E07578">
        <w:trPr>
          <w:trHeight w:val="60"/>
        </w:trPr>
        <w:tc>
          <w:tcPr>
            <w:tcW w:w="397" w:type="dxa"/>
            <w:shd w:val="clear" w:color="auto" w:fill="auto"/>
            <w:tcMar>
              <w:top w:w="57" w:type="dxa"/>
              <w:left w:w="0" w:type="dxa"/>
              <w:bottom w:w="57" w:type="dxa"/>
              <w:right w:w="0" w:type="dxa"/>
            </w:tcMar>
            <w:vAlign w:val="bottom"/>
          </w:tcPr>
          <w:p w14:paraId="618E7C58" w14:textId="77777777" w:rsidR="00D6167B" w:rsidRPr="00D6167B" w:rsidRDefault="00D6167B" w:rsidP="009D777D">
            <w:pPr>
              <w:spacing w:line="200" w:lineRule="exact"/>
              <w:contextualSpacing/>
              <w:rPr>
                <w:rFonts w:ascii="Tahoma" w:hAnsi="Tahoma"/>
                <w:color w:val="000000" w:themeColor="text1"/>
                <w:sz w:val="16"/>
                <w:lang w:val="en-GB"/>
              </w:rPr>
            </w:pPr>
          </w:p>
        </w:tc>
        <w:tc>
          <w:tcPr>
            <w:tcW w:w="6407" w:type="dxa"/>
            <w:tcBorders>
              <w:right w:val="single" w:sz="4" w:space="0" w:color="auto"/>
            </w:tcBorders>
            <w:shd w:val="clear" w:color="auto" w:fill="auto"/>
            <w:tcMar>
              <w:top w:w="57" w:type="dxa"/>
              <w:left w:w="113" w:type="dxa"/>
              <w:bottom w:w="57" w:type="dxa"/>
              <w:right w:w="0" w:type="dxa"/>
            </w:tcMar>
            <w:vAlign w:val="bottom"/>
          </w:tcPr>
          <w:p w14:paraId="324520C0" w14:textId="77777777" w:rsidR="00D6167B" w:rsidRPr="00D6167B" w:rsidRDefault="00D6167B" w:rsidP="009D777D">
            <w:pPr>
              <w:spacing w:line="200" w:lineRule="exact"/>
              <w:contextualSpacing/>
              <w:rPr>
                <w:rFonts w:ascii="Tahoma" w:hAnsi="Tahoma"/>
                <w:color w:val="000000" w:themeColor="text1"/>
                <w:sz w:val="16"/>
                <w:lang w:val="en-GB"/>
              </w:rPr>
            </w:pPr>
            <w:r w:rsidRPr="00D6167B">
              <w:rPr>
                <w:rFonts w:ascii="Tahoma" w:hAnsi="Tahoma"/>
                <w:color w:val="000000" w:themeColor="text1"/>
                <w:sz w:val="16"/>
                <w:lang w:val="en-GB"/>
              </w:rPr>
              <w:t>Accrued expenses and other current liabilities</w:t>
            </w:r>
          </w:p>
        </w:tc>
        <w:tc>
          <w:tcPr>
            <w:tcW w:w="1134" w:type="dxa"/>
            <w:tcBorders>
              <w:left w:val="single" w:sz="4" w:space="0" w:color="auto"/>
              <w:bottom w:val="single" w:sz="4" w:space="0" w:color="auto"/>
            </w:tcBorders>
            <w:shd w:val="clear" w:color="auto" w:fill="auto"/>
            <w:tcMar>
              <w:top w:w="57" w:type="dxa"/>
              <w:left w:w="0" w:type="dxa"/>
              <w:bottom w:w="57" w:type="dxa"/>
              <w:right w:w="0" w:type="dxa"/>
            </w:tcMar>
            <w:vAlign w:val="bottom"/>
          </w:tcPr>
          <w:p w14:paraId="210624FE" w14:textId="77777777" w:rsidR="00D6167B" w:rsidRPr="00D6167B" w:rsidRDefault="00D6167B" w:rsidP="009D777D">
            <w:pPr>
              <w:spacing w:line="200" w:lineRule="exact"/>
              <w:contextualSpacing/>
              <w:jc w:val="right"/>
              <w:rPr>
                <w:rFonts w:ascii="Tahoma" w:hAnsi="Tahoma"/>
                <w:b/>
                <w:bCs/>
                <w:color w:val="000000" w:themeColor="text1"/>
                <w:sz w:val="16"/>
                <w:lang w:val="en-GB"/>
              </w:rPr>
            </w:pPr>
            <w:r w:rsidRPr="00D6167B">
              <w:rPr>
                <w:rFonts w:ascii="Tahoma" w:hAnsi="Tahoma"/>
                <w:b/>
                <w:bCs/>
                <w:color w:val="000000" w:themeColor="text1"/>
                <w:sz w:val="16"/>
                <w:lang w:val="en-GB"/>
              </w:rPr>
              <w:t>190</w:t>
            </w:r>
          </w:p>
        </w:tc>
        <w:tc>
          <w:tcPr>
            <w:tcW w:w="1134" w:type="dxa"/>
            <w:tcBorders>
              <w:bottom w:val="single" w:sz="4" w:space="0" w:color="auto"/>
            </w:tcBorders>
            <w:shd w:val="clear" w:color="auto" w:fill="auto"/>
            <w:tcMar>
              <w:top w:w="57" w:type="dxa"/>
              <w:left w:w="0" w:type="dxa"/>
              <w:bottom w:w="57" w:type="dxa"/>
              <w:right w:w="0" w:type="dxa"/>
            </w:tcMar>
            <w:vAlign w:val="bottom"/>
          </w:tcPr>
          <w:p w14:paraId="03C5E371" w14:textId="77777777" w:rsidR="00D6167B" w:rsidRPr="00D6167B" w:rsidRDefault="00D6167B" w:rsidP="009D777D">
            <w:pPr>
              <w:spacing w:line="200" w:lineRule="exact"/>
              <w:contextualSpacing/>
              <w:jc w:val="right"/>
              <w:rPr>
                <w:rFonts w:ascii="Tahoma" w:hAnsi="Tahoma"/>
                <w:color w:val="000000" w:themeColor="text1"/>
                <w:sz w:val="16"/>
                <w:lang w:val="en-GB"/>
              </w:rPr>
            </w:pPr>
            <w:r w:rsidRPr="00D6167B">
              <w:rPr>
                <w:rFonts w:ascii="Tahoma" w:hAnsi="Tahoma"/>
                <w:color w:val="000000" w:themeColor="text1"/>
                <w:sz w:val="16"/>
                <w:lang w:val="en-GB"/>
              </w:rPr>
              <w:t>—</w:t>
            </w:r>
          </w:p>
        </w:tc>
        <w:tc>
          <w:tcPr>
            <w:tcW w:w="1134" w:type="dxa"/>
            <w:tcBorders>
              <w:bottom w:val="single" w:sz="4" w:space="0" w:color="auto"/>
              <w:right w:val="single" w:sz="4" w:space="0" w:color="auto"/>
            </w:tcBorders>
            <w:shd w:val="clear" w:color="auto" w:fill="auto"/>
            <w:tcMar>
              <w:top w:w="57" w:type="dxa"/>
              <w:left w:w="0" w:type="dxa"/>
              <w:bottom w:w="57" w:type="dxa"/>
              <w:right w:w="0" w:type="dxa"/>
            </w:tcMar>
            <w:vAlign w:val="bottom"/>
          </w:tcPr>
          <w:p w14:paraId="59B31E3F" w14:textId="77777777" w:rsidR="00D6167B" w:rsidRPr="00D6167B" w:rsidRDefault="00D6167B" w:rsidP="009D777D">
            <w:pPr>
              <w:spacing w:line="200" w:lineRule="exact"/>
              <w:ind w:right="113"/>
              <w:contextualSpacing/>
              <w:jc w:val="right"/>
              <w:rPr>
                <w:rFonts w:ascii="Tahoma" w:hAnsi="Tahoma"/>
                <w:color w:val="000000" w:themeColor="text1"/>
                <w:sz w:val="16"/>
                <w:lang w:val="en-GB"/>
              </w:rPr>
            </w:pPr>
            <w:r w:rsidRPr="00D6167B">
              <w:rPr>
                <w:rFonts w:ascii="Tahoma" w:hAnsi="Tahoma"/>
                <w:color w:val="000000" w:themeColor="text1"/>
                <w:sz w:val="16"/>
                <w:lang w:val="en-GB"/>
              </w:rPr>
              <w:t>—</w:t>
            </w:r>
          </w:p>
        </w:tc>
      </w:tr>
      <w:tr w:rsidR="00615190" w:rsidRPr="00D6167B" w14:paraId="55DD7CA2" w14:textId="77777777" w:rsidTr="00E127D5">
        <w:trPr>
          <w:trHeight w:hRule="exact" w:val="85"/>
        </w:trPr>
        <w:tc>
          <w:tcPr>
            <w:tcW w:w="397" w:type="dxa"/>
            <w:shd w:val="clear" w:color="auto" w:fill="auto"/>
            <w:tcMar>
              <w:top w:w="85" w:type="dxa"/>
              <w:left w:w="0" w:type="dxa"/>
              <w:bottom w:w="85" w:type="dxa"/>
              <w:right w:w="0" w:type="dxa"/>
            </w:tcMar>
            <w:vAlign w:val="bottom"/>
          </w:tcPr>
          <w:p w14:paraId="4F5951FB" w14:textId="77777777" w:rsidR="00D6167B" w:rsidRPr="00D6167B" w:rsidRDefault="00D6167B" w:rsidP="00615190">
            <w:pPr>
              <w:spacing w:line="240" w:lineRule="atLeast"/>
              <w:rPr>
                <w:rFonts w:ascii="Tahoma" w:hAnsi="Tahoma"/>
                <w:color w:val="000000" w:themeColor="text1"/>
                <w:sz w:val="16"/>
                <w:lang w:val="en-GB"/>
              </w:rPr>
            </w:pPr>
          </w:p>
        </w:tc>
        <w:tc>
          <w:tcPr>
            <w:tcW w:w="6407" w:type="dxa"/>
            <w:tcBorders>
              <w:bottom w:val="single" w:sz="12" w:space="0" w:color="auto"/>
            </w:tcBorders>
            <w:shd w:val="clear" w:color="auto" w:fill="auto"/>
            <w:tcMar>
              <w:top w:w="85" w:type="dxa"/>
              <w:left w:w="0" w:type="dxa"/>
              <w:bottom w:w="85" w:type="dxa"/>
              <w:right w:w="0" w:type="dxa"/>
            </w:tcMar>
            <w:vAlign w:val="bottom"/>
          </w:tcPr>
          <w:p w14:paraId="30AAF003" w14:textId="77777777" w:rsidR="00D6167B" w:rsidRPr="00D6167B" w:rsidRDefault="00D6167B" w:rsidP="00615190">
            <w:pPr>
              <w:spacing w:line="240" w:lineRule="atLeast"/>
              <w:rPr>
                <w:rFonts w:ascii="Tahoma" w:hAnsi="Tahoma"/>
                <w:color w:val="000000" w:themeColor="text1"/>
                <w:sz w:val="16"/>
                <w:lang w:val="en-GB"/>
              </w:rPr>
            </w:pPr>
          </w:p>
        </w:tc>
        <w:tc>
          <w:tcPr>
            <w:tcW w:w="1134"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28C67729" w14:textId="77777777" w:rsidR="00D6167B" w:rsidRPr="00D6167B" w:rsidRDefault="00D6167B" w:rsidP="00615190">
            <w:pPr>
              <w:spacing w:line="240" w:lineRule="atLeast"/>
              <w:rPr>
                <w:rFonts w:ascii="Tahoma" w:hAnsi="Tahoma"/>
                <w:color w:val="000000" w:themeColor="text1"/>
                <w:sz w:val="16"/>
                <w:lang w:val="en-GB"/>
              </w:rPr>
            </w:pPr>
          </w:p>
        </w:tc>
        <w:tc>
          <w:tcPr>
            <w:tcW w:w="1134"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60D63217" w14:textId="77777777" w:rsidR="00D6167B" w:rsidRPr="00D6167B" w:rsidRDefault="00D6167B" w:rsidP="00615190">
            <w:pPr>
              <w:spacing w:line="240" w:lineRule="atLeast"/>
              <w:rPr>
                <w:rFonts w:ascii="Tahoma" w:hAnsi="Tahoma"/>
                <w:color w:val="000000" w:themeColor="text1"/>
                <w:sz w:val="16"/>
                <w:lang w:val="en-GB"/>
              </w:rPr>
            </w:pPr>
          </w:p>
        </w:tc>
        <w:tc>
          <w:tcPr>
            <w:tcW w:w="1134"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144C802A" w14:textId="77777777" w:rsidR="00D6167B" w:rsidRPr="00D6167B" w:rsidRDefault="00D6167B" w:rsidP="00615190">
            <w:pPr>
              <w:spacing w:line="240" w:lineRule="atLeast"/>
              <w:rPr>
                <w:rFonts w:ascii="Tahoma" w:hAnsi="Tahoma"/>
                <w:color w:val="000000" w:themeColor="text1"/>
                <w:sz w:val="16"/>
                <w:lang w:val="en-GB"/>
              </w:rPr>
            </w:pPr>
          </w:p>
        </w:tc>
      </w:tr>
    </w:tbl>
    <w:p w14:paraId="2D034797" w14:textId="77777777" w:rsidR="00D6167B" w:rsidRPr="00615190" w:rsidRDefault="00D6167B" w:rsidP="00615190">
      <w:pPr>
        <w:spacing w:line="240" w:lineRule="atLeast"/>
        <w:rPr>
          <w:rFonts w:ascii="Tahoma" w:hAnsi="Tahoma"/>
          <w:color w:val="000000" w:themeColor="text1"/>
          <w:sz w:val="16"/>
        </w:rPr>
      </w:pPr>
    </w:p>
    <w:tbl>
      <w:tblPr>
        <w:tblW w:w="10206" w:type="dxa"/>
        <w:tblInd w:w="-8" w:type="dxa"/>
        <w:tblLayout w:type="fixed"/>
        <w:tblCellMar>
          <w:left w:w="0" w:type="dxa"/>
          <w:right w:w="0" w:type="dxa"/>
        </w:tblCellMar>
        <w:tblLook w:val="0000" w:firstRow="0" w:lastRow="0" w:firstColumn="0" w:lastColumn="0" w:noHBand="0" w:noVBand="0"/>
      </w:tblPr>
      <w:tblGrid>
        <w:gridCol w:w="397"/>
        <w:gridCol w:w="6407"/>
        <w:gridCol w:w="1134"/>
        <w:gridCol w:w="1134"/>
        <w:gridCol w:w="1134"/>
      </w:tblGrid>
      <w:tr w:rsidR="00615190" w:rsidRPr="0099451A" w14:paraId="740EDBD9" w14:textId="77777777" w:rsidTr="00B13261">
        <w:trPr>
          <w:trHeight w:val="60"/>
        </w:trPr>
        <w:tc>
          <w:tcPr>
            <w:tcW w:w="397" w:type="dxa"/>
            <w:shd w:val="clear" w:color="auto" w:fill="auto"/>
            <w:tcMar>
              <w:top w:w="0" w:type="dxa"/>
              <w:left w:w="0" w:type="dxa"/>
              <w:bottom w:w="57" w:type="dxa"/>
              <w:right w:w="0" w:type="dxa"/>
            </w:tcMar>
            <w:vAlign w:val="bottom"/>
          </w:tcPr>
          <w:p w14:paraId="71DE458B" w14:textId="77777777" w:rsidR="0099451A" w:rsidRPr="0099451A" w:rsidRDefault="0069560D" w:rsidP="00615190">
            <w:pPr>
              <w:spacing w:line="240" w:lineRule="atLeast"/>
              <w:rPr>
                <w:rFonts w:ascii="Tahoma" w:hAnsi="Tahoma"/>
                <w:b/>
                <w:bCs/>
                <w:color w:val="000000" w:themeColor="text1"/>
                <w:sz w:val="16"/>
                <w:lang w:val="en-GB"/>
              </w:rPr>
            </w:pPr>
            <w:r w:rsidRPr="0099451A">
              <w:rPr>
                <w:rFonts w:ascii="Tahoma" w:hAnsi="Tahoma"/>
                <w:b/>
                <w:bCs/>
                <w:color w:val="000000" w:themeColor="text1"/>
                <w:sz w:val="16"/>
                <w:lang w:val="en-GB"/>
              </w:rPr>
              <w:t>15.</w:t>
            </w:r>
          </w:p>
        </w:tc>
        <w:tc>
          <w:tcPr>
            <w:tcW w:w="9809" w:type="dxa"/>
            <w:gridSpan w:val="4"/>
            <w:shd w:val="clear" w:color="auto" w:fill="auto"/>
            <w:tcMar>
              <w:top w:w="0" w:type="dxa"/>
              <w:left w:w="0" w:type="dxa"/>
              <w:bottom w:w="57" w:type="dxa"/>
              <w:right w:w="0" w:type="dxa"/>
            </w:tcMar>
            <w:vAlign w:val="bottom"/>
          </w:tcPr>
          <w:p w14:paraId="771ECF97" w14:textId="77777777" w:rsidR="0099451A" w:rsidRPr="0099451A" w:rsidRDefault="0069560D" w:rsidP="00615190">
            <w:pPr>
              <w:spacing w:line="240" w:lineRule="atLeast"/>
              <w:rPr>
                <w:rFonts w:ascii="Tahoma" w:hAnsi="Tahoma"/>
                <w:b/>
                <w:bCs/>
                <w:color w:val="000000" w:themeColor="text1"/>
                <w:sz w:val="16"/>
                <w:lang w:val="en-GB"/>
              </w:rPr>
            </w:pPr>
            <w:r w:rsidRPr="0099451A">
              <w:rPr>
                <w:rFonts w:ascii="Tahoma" w:hAnsi="Tahoma"/>
                <w:b/>
                <w:bCs/>
                <w:color w:val="000000" w:themeColor="text1"/>
                <w:sz w:val="16"/>
                <w:lang w:val="en-GB"/>
              </w:rPr>
              <w:t>EQUITY COMPENSATION BENEFITS</w:t>
            </w:r>
          </w:p>
        </w:tc>
      </w:tr>
      <w:tr w:rsidR="00615190" w:rsidRPr="0099451A" w14:paraId="71C9F6D0" w14:textId="77777777" w:rsidTr="00B13261">
        <w:trPr>
          <w:trHeight w:val="60"/>
        </w:trPr>
        <w:tc>
          <w:tcPr>
            <w:tcW w:w="397" w:type="dxa"/>
            <w:shd w:val="clear" w:color="auto" w:fill="auto"/>
            <w:tcMar>
              <w:top w:w="57" w:type="dxa"/>
              <w:left w:w="0" w:type="dxa"/>
              <w:bottom w:w="57" w:type="dxa"/>
              <w:right w:w="0" w:type="dxa"/>
            </w:tcMar>
            <w:vAlign w:val="bottom"/>
          </w:tcPr>
          <w:p w14:paraId="791507BE" w14:textId="77777777" w:rsidR="0099451A" w:rsidRPr="0099451A" w:rsidRDefault="0099451A" w:rsidP="00615190">
            <w:pPr>
              <w:spacing w:line="240" w:lineRule="atLeast"/>
              <w:rPr>
                <w:rFonts w:ascii="Tahoma" w:hAnsi="Tahoma"/>
                <w:color w:val="000000" w:themeColor="text1"/>
                <w:sz w:val="16"/>
                <w:lang w:val="en-GB"/>
              </w:rPr>
            </w:pPr>
          </w:p>
        </w:tc>
        <w:tc>
          <w:tcPr>
            <w:tcW w:w="9809" w:type="dxa"/>
            <w:gridSpan w:val="4"/>
            <w:shd w:val="clear" w:color="auto" w:fill="auto"/>
            <w:tcMar>
              <w:top w:w="57" w:type="dxa"/>
              <w:left w:w="0" w:type="dxa"/>
              <w:bottom w:w="57" w:type="dxa"/>
              <w:right w:w="0" w:type="dxa"/>
            </w:tcMar>
            <w:vAlign w:val="bottom"/>
          </w:tcPr>
          <w:p w14:paraId="36D7043A" w14:textId="77777777" w:rsidR="0099451A" w:rsidRPr="0099451A" w:rsidRDefault="0099451A" w:rsidP="00615190">
            <w:pPr>
              <w:spacing w:line="240" w:lineRule="atLeast"/>
              <w:rPr>
                <w:rFonts w:ascii="Tahoma" w:hAnsi="Tahoma"/>
                <w:b/>
                <w:bCs/>
                <w:color w:val="000000" w:themeColor="text1"/>
                <w:sz w:val="16"/>
                <w:lang w:val="en-GB"/>
              </w:rPr>
            </w:pPr>
            <w:r w:rsidRPr="0099451A">
              <w:rPr>
                <w:rFonts w:ascii="Tahoma" w:hAnsi="Tahoma"/>
                <w:b/>
                <w:bCs/>
                <w:color w:val="000000" w:themeColor="text1"/>
                <w:sz w:val="16"/>
                <w:lang w:val="en-GB"/>
              </w:rPr>
              <w:t>Liabilities arising from share-based payment transactions</w:t>
            </w:r>
          </w:p>
        </w:tc>
      </w:tr>
      <w:tr w:rsidR="00615190" w:rsidRPr="0099451A" w14:paraId="00242813" w14:textId="77777777" w:rsidTr="00B13261">
        <w:trPr>
          <w:trHeight w:val="60"/>
        </w:trPr>
        <w:tc>
          <w:tcPr>
            <w:tcW w:w="397" w:type="dxa"/>
            <w:shd w:val="clear" w:color="auto" w:fill="auto"/>
            <w:tcMar>
              <w:top w:w="57" w:type="dxa"/>
              <w:left w:w="0" w:type="dxa"/>
              <w:bottom w:w="113" w:type="dxa"/>
              <w:right w:w="0" w:type="dxa"/>
            </w:tcMar>
            <w:vAlign w:val="bottom"/>
          </w:tcPr>
          <w:p w14:paraId="6C0E9048" w14:textId="77777777" w:rsidR="0099451A" w:rsidRPr="0099451A" w:rsidRDefault="0099451A" w:rsidP="00615190">
            <w:pPr>
              <w:spacing w:line="240" w:lineRule="atLeast"/>
              <w:rPr>
                <w:rFonts w:ascii="Tahoma" w:hAnsi="Tahoma"/>
                <w:color w:val="000000" w:themeColor="text1"/>
                <w:sz w:val="16"/>
                <w:lang w:val="en-GB"/>
              </w:rPr>
            </w:pPr>
          </w:p>
        </w:tc>
        <w:tc>
          <w:tcPr>
            <w:tcW w:w="9809" w:type="dxa"/>
            <w:gridSpan w:val="4"/>
            <w:shd w:val="clear" w:color="auto" w:fill="auto"/>
            <w:tcMar>
              <w:top w:w="57" w:type="dxa"/>
              <w:left w:w="0" w:type="dxa"/>
              <w:bottom w:w="113" w:type="dxa"/>
              <w:right w:w="0" w:type="dxa"/>
            </w:tcMar>
            <w:vAlign w:val="bottom"/>
          </w:tcPr>
          <w:p w14:paraId="05C20AC7" w14:textId="77777777" w:rsidR="0099451A" w:rsidRPr="0099451A" w:rsidRDefault="0099451A" w:rsidP="00615190">
            <w:pPr>
              <w:spacing w:line="240" w:lineRule="atLeast"/>
              <w:rPr>
                <w:rFonts w:ascii="Tahoma" w:hAnsi="Tahoma"/>
                <w:color w:val="000000" w:themeColor="text1"/>
                <w:sz w:val="16"/>
                <w:lang w:val="en-GB"/>
              </w:rPr>
            </w:pPr>
            <w:r w:rsidRPr="0099451A">
              <w:rPr>
                <w:rFonts w:ascii="Tahoma" w:hAnsi="Tahoma"/>
                <w:color w:val="000000" w:themeColor="text1"/>
                <w:sz w:val="16"/>
                <w:lang w:val="en-GB"/>
              </w:rPr>
              <w:t>Reconciliation of the cash-settled share-based payment liability is as follows:</w:t>
            </w:r>
          </w:p>
        </w:tc>
      </w:tr>
      <w:tr w:rsidR="00615190" w:rsidRPr="0099451A" w14:paraId="384BF63A" w14:textId="77777777" w:rsidTr="00F33C3B">
        <w:trPr>
          <w:trHeight w:val="60"/>
        </w:trPr>
        <w:tc>
          <w:tcPr>
            <w:tcW w:w="397" w:type="dxa"/>
            <w:shd w:val="clear" w:color="auto" w:fill="auto"/>
            <w:tcMar>
              <w:top w:w="85" w:type="dxa"/>
              <w:left w:w="0" w:type="dxa"/>
              <w:bottom w:w="85" w:type="dxa"/>
              <w:right w:w="0" w:type="dxa"/>
            </w:tcMar>
            <w:vAlign w:val="bottom"/>
          </w:tcPr>
          <w:p w14:paraId="062201BA" w14:textId="77777777" w:rsidR="0099451A" w:rsidRPr="0099451A" w:rsidRDefault="0099451A" w:rsidP="00615190">
            <w:pPr>
              <w:spacing w:line="240" w:lineRule="atLeast"/>
              <w:rPr>
                <w:rFonts w:ascii="Tahoma" w:hAnsi="Tahoma"/>
                <w:color w:val="000000" w:themeColor="text1"/>
                <w:sz w:val="16"/>
                <w:lang w:val="en-GB"/>
              </w:rPr>
            </w:pPr>
          </w:p>
        </w:tc>
        <w:tc>
          <w:tcPr>
            <w:tcW w:w="6407" w:type="dxa"/>
            <w:shd w:val="clear" w:color="auto" w:fill="auto"/>
            <w:tcMar>
              <w:top w:w="85" w:type="dxa"/>
              <w:left w:w="0" w:type="dxa"/>
              <w:bottom w:w="85" w:type="dxa"/>
              <w:right w:w="0" w:type="dxa"/>
            </w:tcMar>
            <w:vAlign w:val="bottom"/>
          </w:tcPr>
          <w:p w14:paraId="61A8DF1D" w14:textId="77777777" w:rsidR="0099451A" w:rsidRPr="0099451A" w:rsidRDefault="0099451A" w:rsidP="00615190">
            <w:pPr>
              <w:spacing w:line="240" w:lineRule="atLeast"/>
              <w:rPr>
                <w:rFonts w:ascii="Tahoma" w:hAnsi="Tahoma"/>
                <w:color w:val="000000" w:themeColor="text1"/>
                <w:sz w:val="16"/>
                <w:lang w:val="en-GB"/>
              </w:rPr>
            </w:pPr>
          </w:p>
        </w:tc>
        <w:tc>
          <w:tcPr>
            <w:tcW w:w="2268" w:type="dxa"/>
            <w:gridSpan w:val="2"/>
            <w:shd w:val="clear" w:color="auto" w:fill="auto"/>
            <w:tcMar>
              <w:top w:w="85" w:type="dxa"/>
              <w:left w:w="0" w:type="dxa"/>
              <w:bottom w:w="85" w:type="dxa"/>
              <w:right w:w="0" w:type="dxa"/>
            </w:tcMar>
            <w:vAlign w:val="bottom"/>
          </w:tcPr>
          <w:p w14:paraId="268439A2" w14:textId="77777777" w:rsidR="0099451A" w:rsidRPr="0099451A" w:rsidRDefault="0099451A" w:rsidP="00BD26CF">
            <w:pPr>
              <w:spacing w:line="240" w:lineRule="atLeast"/>
              <w:jc w:val="center"/>
              <w:rPr>
                <w:rFonts w:ascii="Tahoma" w:hAnsi="Tahoma"/>
                <w:b/>
                <w:bCs/>
                <w:color w:val="000000" w:themeColor="text1"/>
                <w:sz w:val="16"/>
                <w:lang w:val="en-GB"/>
              </w:rPr>
            </w:pPr>
            <w:r w:rsidRPr="0099451A">
              <w:rPr>
                <w:rFonts w:ascii="Tahoma" w:hAnsi="Tahoma"/>
                <w:b/>
                <w:bCs/>
                <w:color w:val="000000" w:themeColor="text1"/>
                <w:sz w:val="16"/>
                <w:lang w:val="en-GB"/>
              </w:rPr>
              <w:t>Six months ended</w:t>
            </w:r>
          </w:p>
          <w:p w14:paraId="39A3C43C" w14:textId="77777777" w:rsidR="0099451A" w:rsidRPr="0099451A" w:rsidRDefault="0099451A" w:rsidP="00BD26CF">
            <w:pPr>
              <w:spacing w:line="240" w:lineRule="atLeast"/>
              <w:jc w:val="center"/>
              <w:rPr>
                <w:rFonts w:ascii="Tahoma" w:hAnsi="Tahoma"/>
                <w:color w:val="000000" w:themeColor="text1"/>
                <w:sz w:val="16"/>
                <w:lang w:val="en-GB"/>
              </w:rPr>
            </w:pPr>
            <w:r w:rsidRPr="0099451A">
              <w:rPr>
                <w:rFonts w:ascii="Tahoma" w:hAnsi="Tahoma"/>
                <w:b/>
                <w:bCs/>
                <w:color w:val="000000" w:themeColor="text1"/>
                <w:sz w:val="16"/>
                <w:lang w:val="en-GB"/>
              </w:rPr>
              <w:t>30 September</w:t>
            </w:r>
          </w:p>
        </w:tc>
        <w:tc>
          <w:tcPr>
            <w:tcW w:w="1134" w:type="dxa"/>
            <w:shd w:val="clear" w:color="auto" w:fill="auto"/>
            <w:tcMar>
              <w:top w:w="85" w:type="dxa"/>
              <w:left w:w="0" w:type="dxa"/>
              <w:bottom w:w="85" w:type="dxa"/>
              <w:right w:w="0" w:type="dxa"/>
            </w:tcMar>
            <w:vAlign w:val="bottom"/>
          </w:tcPr>
          <w:p w14:paraId="5AABF71B" w14:textId="77777777" w:rsidR="0099451A" w:rsidRPr="0099451A" w:rsidRDefault="0099451A" w:rsidP="00BD26CF">
            <w:pPr>
              <w:spacing w:line="240" w:lineRule="atLeast"/>
              <w:jc w:val="right"/>
              <w:rPr>
                <w:rFonts w:ascii="Tahoma" w:hAnsi="Tahoma"/>
                <w:color w:val="000000" w:themeColor="text1"/>
                <w:sz w:val="16"/>
                <w:lang w:val="en-GB"/>
              </w:rPr>
            </w:pPr>
            <w:r w:rsidRPr="0099451A">
              <w:rPr>
                <w:rFonts w:ascii="Tahoma" w:hAnsi="Tahoma"/>
                <w:color w:val="000000" w:themeColor="text1"/>
                <w:sz w:val="16"/>
                <w:lang w:val="en-GB"/>
              </w:rPr>
              <w:t>Year</w:t>
            </w:r>
          </w:p>
          <w:p w14:paraId="1233A153" w14:textId="77777777" w:rsidR="0099451A" w:rsidRPr="0099451A" w:rsidRDefault="0099451A" w:rsidP="00BD26CF">
            <w:pPr>
              <w:spacing w:line="240" w:lineRule="atLeast"/>
              <w:jc w:val="right"/>
              <w:rPr>
                <w:rFonts w:ascii="Tahoma" w:hAnsi="Tahoma"/>
                <w:color w:val="000000" w:themeColor="text1"/>
                <w:sz w:val="16"/>
                <w:lang w:val="en-GB"/>
              </w:rPr>
            </w:pPr>
            <w:r w:rsidRPr="0099451A">
              <w:rPr>
                <w:rFonts w:ascii="Tahoma" w:hAnsi="Tahoma"/>
                <w:color w:val="000000" w:themeColor="text1"/>
                <w:sz w:val="16"/>
                <w:lang w:val="en-GB"/>
              </w:rPr>
              <w:t>ended</w:t>
            </w:r>
          </w:p>
          <w:p w14:paraId="61C0B0D0" w14:textId="77777777" w:rsidR="0099451A" w:rsidRPr="0099451A" w:rsidRDefault="0099451A" w:rsidP="00BD26CF">
            <w:pPr>
              <w:spacing w:line="240" w:lineRule="atLeast"/>
              <w:jc w:val="right"/>
              <w:rPr>
                <w:rFonts w:ascii="Tahoma" w:hAnsi="Tahoma"/>
                <w:color w:val="000000" w:themeColor="text1"/>
                <w:sz w:val="16"/>
                <w:lang w:val="en-GB"/>
              </w:rPr>
            </w:pPr>
            <w:r w:rsidRPr="0099451A">
              <w:rPr>
                <w:rFonts w:ascii="Tahoma" w:hAnsi="Tahoma"/>
                <w:color w:val="000000" w:themeColor="text1"/>
                <w:sz w:val="16"/>
                <w:lang w:val="en-GB"/>
              </w:rPr>
              <w:t>31 March</w:t>
            </w:r>
          </w:p>
        </w:tc>
      </w:tr>
      <w:tr w:rsidR="00615190" w:rsidRPr="0099451A" w14:paraId="2607FC83" w14:textId="77777777" w:rsidTr="00F33C3B">
        <w:trPr>
          <w:trHeight w:val="60"/>
        </w:trPr>
        <w:tc>
          <w:tcPr>
            <w:tcW w:w="397" w:type="dxa"/>
            <w:shd w:val="clear" w:color="auto" w:fill="auto"/>
            <w:tcMar>
              <w:top w:w="113" w:type="dxa"/>
              <w:left w:w="0" w:type="dxa"/>
              <w:bottom w:w="113" w:type="dxa"/>
              <w:right w:w="0" w:type="dxa"/>
            </w:tcMar>
            <w:vAlign w:val="bottom"/>
          </w:tcPr>
          <w:p w14:paraId="5531E0AB" w14:textId="77777777" w:rsidR="0099451A" w:rsidRPr="0099451A" w:rsidRDefault="0099451A" w:rsidP="00615190">
            <w:pPr>
              <w:spacing w:line="240" w:lineRule="atLeast"/>
              <w:rPr>
                <w:rFonts w:ascii="Tahoma" w:hAnsi="Tahoma"/>
                <w:color w:val="000000" w:themeColor="text1"/>
                <w:sz w:val="16"/>
                <w:lang w:val="en-GB"/>
              </w:rPr>
            </w:pPr>
          </w:p>
        </w:tc>
        <w:tc>
          <w:tcPr>
            <w:tcW w:w="6407" w:type="dxa"/>
            <w:tcBorders>
              <w:bottom w:val="single" w:sz="12" w:space="0" w:color="auto"/>
            </w:tcBorders>
            <w:shd w:val="clear" w:color="auto" w:fill="auto"/>
            <w:tcMar>
              <w:top w:w="113" w:type="dxa"/>
              <w:left w:w="0" w:type="dxa"/>
              <w:bottom w:w="113" w:type="dxa"/>
              <w:right w:w="0" w:type="dxa"/>
            </w:tcMar>
            <w:vAlign w:val="bottom"/>
          </w:tcPr>
          <w:p w14:paraId="7584D28A" w14:textId="77777777" w:rsidR="0099451A" w:rsidRPr="0099451A" w:rsidRDefault="0099451A" w:rsidP="00615190">
            <w:pPr>
              <w:spacing w:line="240" w:lineRule="atLeast"/>
              <w:rPr>
                <w:rFonts w:ascii="Tahoma" w:hAnsi="Tahoma"/>
                <w:color w:val="000000" w:themeColor="text1"/>
                <w:sz w:val="16"/>
                <w:lang w:val="en-GB"/>
              </w:rPr>
            </w:pPr>
          </w:p>
        </w:tc>
        <w:tc>
          <w:tcPr>
            <w:tcW w:w="1134" w:type="dxa"/>
            <w:tcBorders>
              <w:bottom w:val="single" w:sz="12" w:space="0" w:color="auto"/>
            </w:tcBorders>
            <w:shd w:val="clear" w:color="auto" w:fill="auto"/>
            <w:tcMar>
              <w:top w:w="113" w:type="dxa"/>
              <w:left w:w="0" w:type="dxa"/>
              <w:bottom w:w="113" w:type="dxa"/>
              <w:right w:w="0" w:type="dxa"/>
            </w:tcMar>
            <w:vAlign w:val="bottom"/>
          </w:tcPr>
          <w:p w14:paraId="038DF0D9" w14:textId="77777777" w:rsidR="0099451A" w:rsidRPr="002F078E" w:rsidRDefault="0099451A" w:rsidP="006500E6">
            <w:pPr>
              <w:spacing w:line="240" w:lineRule="atLeast"/>
              <w:jc w:val="right"/>
              <w:rPr>
                <w:rFonts w:ascii="Tahoma" w:hAnsi="Tahoma"/>
                <w:b/>
                <w:bCs/>
                <w:color w:val="000000" w:themeColor="text1"/>
                <w:sz w:val="16"/>
                <w:lang w:val="en-GB"/>
              </w:rPr>
            </w:pPr>
            <w:r w:rsidRPr="002F078E">
              <w:rPr>
                <w:rFonts w:ascii="Tahoma" w:hAnsi="Tahoma"/>
                <w:b/>
                <w:bCs/>
                <w:color w:val="000000" w:themeColor="text1"/>
                <w:sz w:val="16"/>
                <w:lang w:val="en-GB"/>
              </w:rPr>
              <w:t>2022</w:t>
            </w:r>
          </w:p>
          <w:p w14:paraId="775D59EB" w14:textId="77777777" w:rsidR="0099451A" w:rsidRPr="002F078E" w:rsidRDefault="0099451A" w:rsidP="006500E6">
            <w:pPr>
              <w:spacing w:line="240" w:lineRule="atLeast"/>
              <w:jc w:val="right"/>
              <w:rPr>
                <w:rFonts w:ascii="Tahoma" w:hAnsi="Tahoma"/>
                <w:b/>
                <w:bCs/>
                <w:color w:val="000000" w:themeColor="text1"/>
                <w:sz w:val="16"/>
                <w:lang w:val="en-GB"/>
              </w:rPr>
            </w:pPr>
            <w:proofErr w:type="spellStart"/>
            <w:r w:rsidRPr="002F078E">
              <w:rPr>
                <w:rFonts w:ascii="Tahoma" w:hAnsi="Tahoma"/>
                <w:b/>
                <w:bCs/>
                <w:color w:val="000000" w:themeColor="text1"/>
                <w:sz w:val="16"/>
                <w:lang w:val="en-GB"/>
              </w:rPr>
              <w:t>US$’m</w:t>
            </w:r>
            <w:proofErr w:type="spellEnd"/>
          </w:p>
        </w:tc>
        <w:tc>
          <w:tcPr>
            <w:tcW w:w="1134" w:type="dxa"/>
            <w:tcBorders>
              <w:bottom w:val="single" w:sz="12" w:space="0" w:color="auto"/>
            </w:tcBorders>
            <w:shd w:val="clear" w:color="auto" w:fill="auto"/>
            <w:tcMar>
              <w:top w:w="113" w:type="dxa"/>
              <w:left w:w="0" w:type="dxa"/>
              <w:bottom w:w="113" w:type="dxa"/>
              <w:right w:w="0" w:type="dxa"/>
            </w:tcMar>
            <w:vAlign w:val="bottom"/>
          </w:tcPr>
          <w:p w14:paraId="534F8933" w14:textId="77777777" w:rsidR="0099451A" w:rsidRPr="0099451A" w:rsidRDefault="0099451A" w:rsidP="006500E6">
            <w:pPr>
              <w:spacing w:line="240" w:lineRule="atLeast"/>
              <w:jc w:val="right"/>
              <w:rPr>
                <w:rFonts w:ascii="Tahoma" w:hAnsi="Tahoma"/>
                <w:color w:val="000000" w:themeColor="text1"/>
                <w:sz w:val="16"/>
                <w:lang w:val="en-GB"/>
              </w:rPr>
            </w:pPr>
            <w:r w:rsidRPr="0099451A">
              <w:rPr>
                <w:rFonts w:ascii="Tahoma" w:hAnsi="Tahoma"/>
                <w:color w:val="000000" w:themeColor="text1"/>
                <w:sz w:val="16"/>
                <w:lang w:val="en-GB"/>
              </w:rPr>
              <w:t>2021</w:t>
            </w:r>
          </w:p>
          <w:p w14:paraId="2D4F5B0C" w14:textId="77777777" w:rsidR="0099451A" w:rsidRPr="0099451A" w:rsidRDefault="0099451A" w:rsidP="006500E6">
            <w:pPr>
              <w:spacing w:line="240" w:lineRule="atLeast"/>
              <w:jc w:val="right"/>
              <w:rPr>
                <w:rFonts w:ascii="Tahoma" w:hAnsi="Tahoma"/>
                <w:color w:val="000000" w:themeColor="text1"/>
                <w:sz w:val="16"/>
                <w:lang w:val="en-GB"/>
              </w:rPr>
            </w:pPr>
            <w:proofErr w:type="spellStart"/>
            <w:r w:rsidRPr="0099451A">
              <w:rPr>
                <w:rFonts w:ascii="Tahoma" w:hAnsi="Tahoma"/>
                <w:color w:val="000000" w:themeColor="text1"/>
                <w:sz w:val="16"/>
                <w:lang w:val="en-GB"/>
              </w:rPr>
              <w:t>US$’m</w:t>
            </w:r>
            <w:proofErr w:type="spellEnd"/>
          </w:p>
        </w:tc>
        <w:tc>
          <w:tcPr>
            <w:tcW w:w="1134" w:type="dxa"/>
            <w:tcBorders>
              <w:bottom w:val="single" w:sz="12" w:space="0" w:color="auto"/>
            </w:tcBorders>
            <w:shd w:val="clear" w:color="auto" w:fill="auto"/>
            <w:tcMar>
              <w:top w:w="113" w:type="dxa"/>
              <w:left w:w="0" w:type="dxa"/>
              <w:bottom w:w="113" w:type="dxa"/>
              <w:right w:w="0" w:type="dxa"/>
            </w:tcMar>
            <w:vAlign w:val="bottom"/>
          </w:tcPr>
          <w:p w14:paraId="586495F4" w14:textId="77777777" w:rsidR="0099451A" w:rsidRPr="0099451A" w:rsidRDefault="0099451A" w:rsidP="006500E6">
            <w:pPr>
              <w:spacing w:line="240" w:lineRule="atLeast"/>
              <w:jc w:val="right"/>
              <w:rPr>
                <w:rFonts w:ascii="Tahoma" w:hAnsi="Tahoma"/>
                <w:color w:val="000000" w:themeColor="text1"/>
                <w:sz w:val="16"/>
                <w:lang w:val="en-GB"/>
              </w:rPr>
            </w:pPr>
            <w:r w:rsidRPr="0099451A">
              <w:rPr>
                <w:rFonts w:ascii="Tahoma" w:hAnsi="Tahoma"/>
                <w:color w:val="000000" w:themeColor="text1"/>
                <w:sz w:val="16"/>
                <w:lang w:val="en-GB"/>
              </w:rPr>
              <w:t>2022</w:t>
            </w:r>
          </w:p>
          <w:p w14:paraId="25D98D21" w14:textId="77777777" w:rsidR="0099451A" w:rsidRPr="0099451A" w:rsidRDefault="0099451A" w:rsidP="006500E6">
            <w:pPr>
              <w:spacing w:line="240" w:lineRule="atLeast"/>
              <w:jc w:val="right"/>
              <w:rPr>
                <w:rFonts w:ascii="Tahoma" w:hAnsi="Tahoma"/>
                <w:color w:val="000000" w:themeColor="text1"/>
                <w:sz w:val="16"/>
                <w:lang w:val="en-GB"/>
              </w:rPr>
            </w:pPr>
            <w:proofErr w:type="spellStart"/>
            <w:r w:rsidRPr="0099451A">
              <w:rPr>
                <w:rFonts w:ascii="Tahoma" w:hAnsi="Tahoma"/>
                <w:color w:val="000000" w:themeColor="text1"/>
                <w:sz w:val="16"/>
                <w:lang w:val="en-GB"/>
              </w:rPr>
              <w:t>US$’m</w:t>
            </w:r>
            <w:proofErr w:type="spellEnd"/>
          </w:p>
        </w:tc>
      </w:tr>
      <w:tr w:rsidR="00615190" w:rsidRPr="0099451A" w14:paraId="7AAC6FE0" w14:textId="77777777" w:rsidTr="00F33C3B">
        <w:trPr>
          <w:trHeight w:val="60"/>
        </w:trPr>
        <w:tc>
          <w:tcPr>
            <w:tcW w:w="397" w:type="dxa"/>
            <w:shd w:val="clear" w:color="auto" w:fill="auto"/>
            <w:tcMar>
              <w:top w:w="142" w:type="dxa"/>
              <w:left w:w="0" w:type="dxa"/>
              <w:bottom w:w="57" w:type="dxa"/>
              <w:right w:w="0" w:type="dxa"/>
            </w:tcMar>
            <w:vAlign w:val="bottom"/>
          </w:tcPr>
          <w:p w14:paraId="1B6EF90C" w14:textId="77777777" w:rsidR="0099451A" w:rsidRPr="0099451A" w:rsidRDefault="0099451A" w:rsidP="00615190">
            <w:pPr>
              <w:spacing w:line="240" w:lineRule="atLeast"/>
              <w:rPr>
                <w:rFonts w:ascii="Tahoma" w:hAnsi="Tahoma"/>
                <w:color w:val="000000" w:themeColor="text1"/>
                <w:sz w:val="16"/>
                <w:lang w:val="en-GB"/>
              </w:rPr>
            </w:pPr>
          </w:p>
        </w:tc>
        <w:tc>
          <w:tcPr>
            <w:tcW w:w="6407" w:type="dxa"/>
            <w:tcBorders>
              <w:top w:val="single" w:sz="12" w:space="0" w:color="auto"/>
            </w:tcBorders>
            <w:shd w:val="clear" w:color="auto" w:fill="auto"/>
            <w:tcMar>
              <w:top w:w="142" w:type="dxa"/>
              <w:left w:w="0" w:type="dxa"/>
              <w:bottom w:w="57" w:type="dxa"/>
              <w:right w:w="0" w:type="dxa"/>
            </w:tcMar>
            <w:vAlign w:val="bottom"/>
          </w:tcPr>
          <w:p w14:paraId="0B54F178" w14:textId="77777777" w:rsidR="0099451A" w:rsidRPr="0099451A" w:rsidRDefault="0099451A" w:rsidP="00615190">
            <w:pPr>
              <w:spacing w:line="240" w:lineRule="atLeast"/>
              <w:rPr>
                <w:rFonts w:ascii="Tahoma" w:hAnsi="Tahoma"/>
                <w:b/>
                <w:bCs/>
                <w:color w:val="000000" w:themeColor="text1"/>
                <w:sz w:val="16"/>
                <w:lang w:val="en-GB"/>
              </w:rPr>
            </w:pPr>
            <w:r w:rsidRPr="0099451A">
              <w:rPr>
                <w:rFonts w:ascii="Tahoma" w:hAnsi="Tahoma"/>
                <w:b/>
                <w:bCs/>
                <w:color w:val="000000" w:themeColor="text1"/>
                <w:sz w:val="16"/>
                <w:lang w:val="en-GB"/>
              </w:rPr>
              <w:t>Opening balance</w:t>
            </w:r>
          </w:p>
        </w:tc>
        <w:tc>
          <w:tcPr>
            <w:tcW w:w="1134" w:type="dxa"/>
            <w:tcBorders>
              <w:top w:val="single" w:sz="12" w:space="0" w:color="auto"/>
            </w:tcBorders>
            <w:shd w:val="clear" w:color="auto" w:fill="auto"/>
            <w:tcMar>
              <w:top w:w="142" w:type="dxa"/>
              <w:left w:w="0" w:type="dxa"/>
              <w:bottom w:w="57" w:type="dxa"/>
              <w:right w:w="0" w:type="dxa"/>
            </w:tcMar>
            <w:vAlign w:val="bottom"/>
          </w:tcPr>
          <w:p w14:paraId="54C02D3C" w14:textId="77777777" w:rsidR="0099451A" w:rsidRPr="002F078E" w:rsidRDefault="0099451A" w:rsidP="006500E6">
            <w:pPr>
              <w:spacing w:line="240" w:lineRule="atLeast"/>
              <w:jc w:val="right"/>
              <w:rPr>
                <w:rFonts w:ascii="Tahoma" w:hAnsi="Tahoma"/>
                <w:b/>
                <w:bCs/>
                <w:color w:val="000000" w:themeColor="text1"/>
                <w:sz w:val="16"/>
                <w:lang w:val="en-GB"/>
              </w:rPr>
            </w:pPr>
            <w:r w:rsidRPr="002F078E">
              <w:rPr>
                <w:rFonts w:ascii="Tahoma" w:hAnsi="Tahoma"/>
                <w:b/>
                <w:bCs/>
                <w:color w:val="000000" w:themeColor="text1"/>
                <w:sz w:val="16"/>
                <w:lang w:val="en-GB"/>
              </w:rPr>
              <w:t>1 127</w:t>
            </w:r>
          </w:p>
        </w:tc>
        <w:tc>
          <w:tcPr>
            <w:tcW w:w="1134" w:type="dxa"/>
            <w:tcBorders>
              <w:top w:val="single" w:sz="12" w:space="0" w:color="auto"/>
            </w:tcBorders>
            <w:shd w:val="clear" w:color="auto" w:fill="auto"/>
            <w:tcMar>
              <w:top w:w="142" w:type="dxa"/>
              <w:left w:w="0" w:type="dxa"/>
              <w:bottom w:w="57" w:type="dxa"/>
              <w:right w:w="0" w:type="dxa"/>
            </w:tcMar>
            <w:vAlign w:val="bottom"/>
          </w:tcPr>
          <w:p w14:paraId="6B9429D1" w14:textId="77777777" w:rsidR="0099451A" w:rsidRPr="0099451A" w:rsidRDefault="0099451A" w:rsidP="006500E6">
            <w:pPr>
              <w:spacing w:line="240" w:lineRule="atLeast"/>
              <w:jc w:val="right"/>
              <w:rPr>
                <w:rFonts w:ascii="Tahoma" w:hAnsi="Tahoma"/>
                <w:color w:val="000000" w:themeColor="text1"/>
                <w:sz w:val="16"/>
                <w:lang w:val="en-GB"/>
              </w:rPr>
            </w:pPr>
            <w:r w:rsidRPr="0099451A">
              <w:rPr>
                <w:rFonts w:ascii="Tahoma" w:hAnsi="Tahoma"/>
                <w:color w:val="000000" w:themeColor="text1"/>
                <w:sz w:val="16"/>
                <w:lang w:val="en-GB"/>
              </w:rPr>
              <w:t>1 056</w:t>
            </w:r>
          </w:p>
        </w:tc>
        <w:tc>
          <w:tcPr>
            <w:tcW w:w="1134" w:type="dxa"/>
            <w:tcBorders>
              <w:top w:val="single" w:sz="12" w:space="0" w:color="auto"/>
            </w:tcBorders>
            <w:shd w:val="clear" w:color="auto" w:fill="auto"/>
            <w:tcMar>
              <w:top w:w="142" w:type="dxa"/>
              <w:left w:w="0" w:type="dxa"/>
              <w:bottom w:w="57" w:type="dxa"/>
              <w:right w:w="0" w:type="dxa"/>
            </w:tcMar>
            <w:vAlign w:val="bottom"/>
          </w:tcPr>
          <w:p w14:paraId="2E151AA8" w14:textId="77777777" w:rsidR="0099451A" w:rsidRPr="0099451A" w:rsidRDefault="0099451A" w:rsidP="006500E6">
            <w:pPr>
              <w:spacing w:line="240" w:lineRule="atLeast"/>
              <w:jc w:val="right"/>
              <w:rPr>
                <w:rFonts w:ascii="Tahoma" w:hAnsi="Tahoma"/>
                <w:color w:val="000000" w:themeColor="text1"/>
                <w:sz w:val="16"/>
                <w:lang w:val="en-GB"/>
              </w:rPr>
            </w:pPr>
            <w:r w:rsidRPr="0099451A">
              <w:rPr>
                <w:rFonts w:ascii="Tahoma" w:hAnsi="Tahoma"/>
                <w:color w:val="000000" w:themeColor="text1"/>
                <w:sz w:val="16"/>
                <w:lang w:val="en-GB"/>
              </w:rPr>
              <w:t>1 056</w:t>
            </w:r>
          </w:p>
        </w:tc>
      </w:tr>
      <w:tr w:rsidR="00615190" w:rsidRPr="0099451A" w14:paraId="2442B93B" w14:textId="77777777" w:rsidTr="00B13261">
        <w:trPr>
          <w:trHeight w:val="60"/>
        </w:trPr>
        <w:tc>
          <w:tcPr>
            <w:tcW w:w="397" w:type="dxa"/>
            <w:shd w:val="clear" w:color="auto" w:fill="auto"/>
            <w:tcMar>
              <w:top w:w="57" w:type="dxa"/>
              <w:left w:w="0" w:type="dxa"/>
              <w:bottom w:w="57" w:type="dxa"/>
              <w:right w:w="0" w:type="dxa"/>
            </w:tcMar>
            <w:vAlign w:val="bottom"/>
          </w:tcPr>
          <w:p w14:paraId="444CE434" w14:textId="77777777" w:rsidR="0099451A" w:rsidRPr="0099451A" w:rsidRDefault="0099451A" w:rsidP="00615190">
            <w:pPr>
              <w:spacing w:line="240" w:lineRule="atLeast"/>
              <w:rPr>
                <w:rFonts w:ascii="Tahoma" w:hAnsi="Tahoma"/>
                <w:color w:val="000000" w:themeColor="text1"/>
                <w:sz w:val="16"/>
                <w:lang w:val="en-GB"/>
              </w:rPr>
            </w:pPr>
          </w:p>
        </w:tc>
        <w:tc>
          <w:tcPr>
            <w:tcW w:w="6407" w:type="dxa"/>
            <w:shd w:val="clear" w:color="auto" w:fill="auto"/>
            <w:tcMar>
              <w:top w:w="57" w:type="dxa"/>
              <w:left w:w="0" w:type="dxa"/>
              <w:bottom w:w="57" w:type="dxa"/>
              <w:right w:w="0" w:type="dxa"/>
            </w:tcMar>
            <w:vAlign w:val="bottom"/>
          </w:tcPr>
          <w:p w14:paraId="54DB743C" w14:textId="77777777" w:rsidR="0099451A" w:rsidRPr="0099451A" w:rsidRDefault="0099451A" w:rsidP="00615190">
            <w:pPr>
              <w:spacing w:line="240" w:lineRule="atLeast"/>
              <w:rPr>
                <w:rFonts w:ascii="Tahoma" w:hAnsi="Tahoma"/>
                <w:color w:val="000000" w:themeColor="text1"/>
                <w:sz w:val="16"/>
                <w:lang w:val="en-GB"/>
              </w:rPr>
            </w:pPr>
            <w:r w:rsidRPr="0099451A">
              <w:rPr>
                <w:rFonts w:ascii="Tahoma" w:hAnsi="Tahoma"/>
                <w:color w:val="000000" w:themeColor="text1"/>
                <w:sz w:val="16"/>
                <w:lang w:val="en-GB"/>
              </w:rPr>
              <w:t>SAR scheme charge per the income statement</w:t>
            </w:r>
            <w:r w:rsidRPr="0099451A">
              <w:rPr>
                <w:rFonts w:ascii="Tahoma" w:hAnsi="Tahoma"/>
                <w:color w:val="000000" w:themeColor="text1"/>
                <w:sz w:val="16"/>
                <w:vertAlign w:val="superscript"/>
                <w:lang w:val="en-GB"/>
              </w:rPr>
              <w:t>1</w:t>
            </w:r>
          </w:p>
        </w:tc>
        <w:tc>
          <w:tcPr>
            <w:tcW w:w="1134" w:type="dxa"/>
            <w:shd w:val="clear" w:color="auto" w:fill="auto"/>
            <w:tcMar>
              <w:top w:w="57" w:type="dxa"/>
              <w:left w:w="0" w:type="dxa"/>
              <w:bottom w:w="57" w:type="dxa"/>
              <w:right w:w="0" w:type="dxa"/>
            </w:tcMar>
            <w:vAlign w:val="bottom"/>
          </w:tcPr>
          <w:p w14:paraId="0206F75E" w14:textId="77777777" w:rsidR="0099451A" w:rsidRPr="002F078E" w:rsidRDefault="0099451A" w:rsidP="006500E6">
            <w:pPr>
              <w:spacing w:line="240" w:lineRule="atLeast"/>
              <w:jc w:val="right"/>
              <w:rPr>
                <w:rFonts w:ascii="Tahoma" w:hAnsi="Tahoma"/>
                <w:b/>
                <w:bCs/>
                <w:color w:val="000000" w:themeColor="text1"/>
                <w:sz w:val="16"/>
                <w:lang w:val="en-GB"/>
              </w:rPr>
            </w:pPr>
            <w:r w:rsidRPr="002F078E">
              <w:rPr>
                <w:rFonts w:ascii="Tahoma" w:hAnsi="Tahoma"/>
                <w:b/>
                <w:bCs/>
                <w:color w:val="000000" w:themeColor="text1"/>
                <w:sz w:val="16"/>
                <w:lang w:val="en-GB"/>
              </w:rPr>
              <w:t>(209)</w:t>
            </w:r>
          </w:p>
        </w:tc>
        <w:tc>
          <w:tcPr>
            <w:tcW w:w="1134" w:type="dxa"/>
            <w:shd w:val="clear" w:color="auto" w:fill="auto"/>
            <w:tcMar>
              <w:top w:w="57" w:type="dxa"/>
              <w:left w:w="0" w:type="dxa"/>
              <w:bottom w:w="57" w:type="dxa"/>
              <w:right w:w="0" w:type="dxa"/>
            </w:tcMar>
            <w:vAlign w:val="bottom"/>
          </w:tcPr>
          <w:p w14:paraId="604C9542" w14:textId="77777777" w:rsidR="0099451A" w:rsidRPr="0099451A" w:rsidRDefault="0099451A" w:rsidP="006500E6">
            <w:pPr>
              <w:spacing w:line="240" w:lineRule="atLeast"/>
              <w:jc w:val="right"/>
              <w:rPr>
                <w:rFonts w:ascii="Tahoma" w:hAnsi="Tahoma"/>
                <w:color w:val="000000" w:themeColor="text1"/>
                <w:sz w:val="16"/>
                <w:lang w:val="en-GB"/>
              </w:rPr>
            </w:pPr>
            <w:r w:rsidRPr="0099451A">
              <w:rPr>
                <w:rFonts w:ascii="Tahoma" w:hAnsi="Tahoma"/>
                <w:color w:val="000000" w:themeColor="text1"/>
                <w:sz w:val="16"/>
                <w:lang w:val="en-GB"/>
              </w:rPr>
              <w:t>187</w:t>
            </w:r>
          </w:p>
        </w:tc>
        <w:tc>
          <w:tcPr>
            <w:tcW w:w="1134" w:type="dxa"/>
            <w:shd w:val="clear" w:color="auto" w:fill="auto"/>
            <w:tcMar>
              <w:top w:w="57" w:type="dxa"/>
              <w:left w:w="0" w:type="dxa"/>
              <w:bottom w:w="57" w:type="dxa"/>
              <w:right w:w="0" w:type="dxa"/>
            </w:tcMar>
            <w:vAlign w:val="bottom"/>
          </w:tcPr>
          <w:p w14:paraId="7506E316" w14:textId="77777777" w:rsidR="0099451A" w:rsidRPr="0099451A" w:rsidRDefault="0099451A" w:rsidP="006500E6">
            <w:pPr>
              <w:spacing w:line="240" w:lineRule="atLeast"/>
              <w:jc w:val="right"/>
              <w:rPr>
                <w:rFonts w:ascii="Tahoma" w:hAnsi="Tahoma"/>
                <w:color w:val="000000" w:themeColor="text1"/>
                <w:sz w:val="16"/>
                <w:lang w:val="en-GB"/>
              </w:rPr>
            </w:pPr>
            <w:r w:rsidRPr="0099451A">
              <w:rPr>
                <w:rFonts w:ascii="Tahoma" w:hAnsi="Tahoma"/>
                <w:color w:val="000000" w:themeColor="text1"/>
                <w:sz w:val="16"/>
                <w:lang w:val="en-GB"/>
              </w:rPr>
              <w:t>129</w:t>
            </w:r>
          </w:p>
        </w:tc>
      </w:tr>
      <w:tr w:rsidR="00615190" w:rsidRPr="0099451A" w14:paraId="54EF6966" w14:textId="77777777" w:rsidTr="00B13261">
        <w:trPr>
          <w:trHeight w:val="60"/>
        </w:trPr>
        <w:tc>
          <w:tcPr>
            <w:tcW w:w="397" w:type="dxa"/>
            <w:shd w:val="clear" w:color="auto" w:fill="auto"/>
            <w:tcMar>
              <w:top w:w="57" w:type="dxa"/>
              <w:left w:w="0" w:type="dxa"/>
              <w:bottom w:w="57" w:type="dxa"/>
              <w:right w:w="0" w:type="dxa"/>
            </w:tcMar>
            <w:vAlign w:val="bottom"/>
          </w:tcPr>
          <w:p w14:paraId="2EC8D830" w14:textId="77777777" w:rsidR="0099451A" w:rsidRPr="0099451A" w:rsidRDefault="0099451A" w:rsidP="00615190">
            <w:pPr>
              <w:spacing w:line="240" w:lineRule="atLeast"/>
              <w:rPr>
                <w:rFonts w:ascii="Tahoma" w:hAnsi="Tahoma"/>
                <w:color w:val="000000" w:themeColor="text1"/>
                <w:sz w:val="16"/>
                <w:lang w:val="en-GB"/>
              </w:rPr>
            </w:pPr>
          </w:p>
        </w:tc>
        <w:tc>
          <w:tcPr>
            <w:tcW w:w="6407" w:type="dxa"/>
            <w:shd w:val="clear" w:color="auto" w:fill="auto"/>
            <w:tcMar>
              <w:top w:w="57" w:type="dxa"/>
              <w:left w:w="0" w:type="dxa"/>
              <w:bottom w:w="57" w:type="dxa"/>
              <w:right w:w="0" w:type="dxa"/>
            </w:tcMar>
            <w:vAlign w:val="bottom"/>
          </w:tcPr>
          <w:p w14:paraId="6A1A756A" w14:textId="77777777" w:rsidR="0099451A" w:rsidRPr="0099451A" w:rsidRDefault="0099451A" w:rsidP="00615190">
            <w:pPr>
              <w:spacing w:line="240" w:lineRule="atLeast"/>
              <w:rPr>
                <w:rFonts w:ascii="Tahoma" w:hAnsi="Tahoma"/>
                <w:color w:val="000000" w:themeColor="text1"/>
                <w:sz w:val="16"/>
                <w:lang w:val="en-GB"/>
              </w:rPr>
            </w:pPr>
            <w:r w:rsidRPr="0099451A">
              <w:rPr>
                <w:rFonts w:ascii="Tahoma" w:hAnsi="Tahoma"/>
                <w:color w:val="000000" w:themeColor="text1"/>
                <w:sz w:val="16"/>
                <w:lang w:val="en-GB"/>
              </w:rPr>
              <w:t>Employment-linked put option charge per the income statement</w:t>
            </w:r>
          </w:p>
        </w:tc>
        <w:tc>
          <w:tcPr>
            <w:tcW w:w="1134" w:type="dxa"/>
            <w:shd w:val="clear" w:color="auto" w:fill="auto"/>
            <w:tcMar>
              <w:top w:w="57" w:type="dxa"/>
              <w:left w:w="0" w:type="dxa"/>
              <w:bottom w:w="57" w:type="dxa"/>
              <w:right w:w="0" w:type="dxa"/>
            </w:tcMar>
            <w:vAlign w:val="bottom"/>
          </w:tcPr>
          <w:p w14:paraId="14174465" w14:textId="77777777" w:rsidR="0099451A" w:rsidRPr="002F078E" w:rsidRDefault="0099451A" w:rsidP="006500E6">
            <w:pPr>
              <w:spacing w:line="240" w:lineRule="atLeast"/>
              <w:jc w:val="right"/>
              <w:rPr>
                <w:rFonts w:ascii="Tahoma" w:hAnsi="Tahoma"/>
                <w:b/>
                <w:bCs/>
                <w:color w:val="000000" w:themeColor="text1"/>
                <w:sz w:val="16"/>
                <w:lang w:val="en-GB"/>
              </w:rPr>
            </w:pPr>
            <w:r w:rsidRPr="002F078E">
              <w:rPr>
                <w:rFonts w:ascii="Tahoma" w:hAnsi="Tahoma"/>
                <w:b/>
                <w:bCs/>
                <w:color w:val="000000" w:themeColor="text1"/>
                <w:sz w:val="16"/>
                <w:lang w:val="en-GB"/>
              </w:rPr>
              <w:t>(18)</w:t>
            </w:r>
          </w:p>
        </w:tc>
        <w:tc>
          <w:tcPr>
            <w:tcW w:w="1134" w:type="dxa"/>
            <w:shd w:val="clear" w:color="auto" w:fill="auto"/>
            <w:tcMar>
              <w:top w:w="57" w:type="dxa"/>
              <w:left w:w="0" w:type="dxa"/>
              <w:bottom w:w="57" w:type="dxa"/>
              <w:right w:w="0" w:type="dxa"/>
            </w:tcMar>
            <w:vAlign w:val="bottom"/>
          </w:tcPr>
          <w:p w14:paraId="5BA784D9" w14:textId="77777777" w:rsidR="0099451A" w:rsidRPr="0099451A" w:rsidRDefault="0099451A" w:rsidP="006500E6">
            <w:pPr>
              <w:spacing w:line="240" w:lineRule="atLeast"/>
              <w:jc w:val="right"/>
              <w:rPr>
                <w:rFonts w:ascii="Tahoma" w:hAnsi="Tahoma"/>
                <w:color w:val="000000" w:themeColor="text1"/>
                <w:sz w:val="16"/>
                <w:lang w:val="en-GB"/>
              </w:rPr>
            </w:pPr>
            <w:r w:rsidRPr="0099451A">
              <w:rPr>
                <w:rFonts w:ascii="Tahoma" w:hAnsi="Tahoma"/>
                <w:color w:val="000000" w:themeColor="text1"/>
                <w:sz w:val="16"/>
                <w:lang w:val="en-GB"/>
              </w:rPr>
              <w:t>10</w:t>
            </w:r>
          </w:p>
        </w:tc>
        <w:tc>
          <w:tcPr>
            <w:tcW w:w="1134" w:type="dxa"/>
            <w:shd w:val="clear" w:color="auto" w:fill="auto"/>
            <w:tcMar>
              <w:top w:w="57" w:type="dxa"/>
              <w:left w:w="0" w:type="dxa"/>
              <w:bottom w:w="57" w:type="dxa"/>
              <w:right w:w="0" w:type="dxa"/>
            </w:tcMar>
            <w:vAlign w:val="bottom"/>
          </w:tcPr>
          <w:p w14:paraId="44A04E7A" w14:textId="77777777" w:rsidR="0099451A" w:rsidRPr="0099451A" w:rsidRDefault="0099451A" w:rsidP="006500E6">
            <w:pPr>
              <w:spacing w:line="240" w:lineRule="atLeast"/>
              <w:jc w:val="right"/>
              <w:rPr>
                <w:rFonts w:ascii="Tahoma" w:hAnsi="Tahoma"/>
                <w:color w:val="000000" w:themeColor="text1"/>
                <w:sz w:val="16"/>
                <w:lang w:val="en-GB"/>
              </w:rPr>
            </w:pPr>
            <w:r w:rsidRPr="0099451A">
              <w:rPr>
                <w:rFonts w:ascii="Tahoma" w:hAnsi="Tahoma"/>
                <w:color w:val="000000" w:themeColor="text1"/>
                <w:sz w:val="16"/>
                <w:lang w:val="en-GB"/>
              </w:rPr>
              <w:t>23</w:t>
            </w:r>
          </w:p>
        </w:tc>
      </w:tr>
      <w:tr w:rsidR="00615190" w:rsidRPr="0099451A" w14:paraId="6B2C4152" w14:textId="77777777" w:rsidTr="00B13261">
        <w:trPr>
          <w:trHeight w:val="60"/>
        </w:trPr>
        <w:tc>
          <w:tcPr>
            <w:tcW w:w="397" w:type="dxa"/>
            <w:shd w:val="clear" w:color="auto" w:fill="auto"/>
            <w:tcMar>
              <w:top w:w="57" w:type="dxa"/>
              <w:left w:w="0" w:type="dxa"/>
              <w:bottom w:w="57" w:type="dxa"/>
              <w:right w:w="0" w:type="dxa"/>
            </w:tcMar>
            <w:vAlign w:val="bottom"/>
          </w:tcPr>
          <w:p w14:paraId="7FAB480A" w14:textId="77777777" w:rsidR="0099451A" w:rsidRPr="0099451A" w:rsidRDefault="0099451A" w:rsidP="00615190">
            <w:pPr>
              <w:spacing w:line="240" w:lineRule="atLeast"/>
              <w:rPr>
                <w:rFonts w:ascii="Tahoma" w:hAnsi="Tahoma"/>
                <w:color w:val="000000" w:themeColor="text1"/>
                <w:sz w:val="16"/>
                <w:lang w:val="en-GB"/>
              </w:rPr>
            </w:pPr>
          </w:p>
        </w:tc>
        <w:tc>
          <w:tcPr>
            <w:tcW w:w="6407" w:type="dxa"/>
            <w:shd w:val="clear" w:color="auto" w:fill="auto"/>
            <w:tcMar>
              <w:top w:w="57" w:type="dxa"/>
              <w:left w:w="0" w:type="dxa"/>
              <w:bottom w:w="57" w:type="dxa"/>
              <w:right w:w="0" w:type="dxa"/>
            </w:tcMar>
            <w:vAlign w:val="bottom"/>
          </w:tcPr>
          <w:p w14:paraId="68F7AD9A" w14:textId="77777777" w:rsidR="0099451A" w:rsidRPr="0099451A" w:rsidRDefault="0099451A" w:rsidP="00615190">
            <w:pPr>
              <w:spacing w:line="240" w:lineRule="atLeast"/>
              <w:rPr>
                <w:rFonts w:ascii="Tahoma" w:hAnsi="Tahoma"/>
                <w:color w:val="000000" w:themeColor="text1"/>
                <w:sz w:val="16"/>
                <w:lang w:val="en-GB"/>
              </w:rPr>
            </w:pPr>
            <w:r w:rsidRPr="0099451A">
              <w:rPr>
                <w:rFonts w:ascii="Tahoma" w:hAnsi="Tahoma"/>
                <w:color w:val="000000" w:themeColor="text1"/>
                <w:sz w:val="16"/>
                <w:lang w:val="en-GB"/>
              </w:rPr>
              <w:t>Additions</w:t>
            </w:r>
          </w:p>
        </w:tc>
        <w:tc>
          <w:tcPr>
            <w:tcW w:w="1134" w:type="dxa"/>
            <w:shd w:val="clear" w:color="auto" w:fill="auto"/>
            <w:tcMar>
              <w:top w:w="57" w:type="dxa"/>
              <w:left w:w="0" w:type="dxa"/>
              <w:bottom w:w="57" w:type="dxa"/>
              <w:right w:w="0" w:type="dxa"/>
            </w:tcMar>
            <w:vAlign w:val="bottom"/>
          </w:tcPr>
          <w:p w14:paraId="00CBE476" w14:textId="77777777" w:rsidR="0099451A" w:rsidRPr="002F078E" w:rsidRDefault="0099451A" w:rsidP="006500E6">
            <w:pPr>
              <w:spacing w:line="240" w:lineRule="atLeast"/>
              <w:jc w:val="right"/>
              <w:rPr>
                <w:rFonts w:ascii="Tahoma" w:hAnsi="Tahoma"/>
                <w:b/>
                <w:bCs/>
                <w:color w:val="000000" w:themeColor="text1"/>
                <w:sz w:val="16"/>
                <w:lang w:val="en-GB"/>
              </w:rPr>
            </w:pPr>
            <w:r w:rsidRPr="002F078E">
              <w:rPr>
                <w:rFonts w:ascii="Tahoma" w:hAnsi="Tahoma"/>
                <w:b/>
                <w:bCs/>
                <w:color w:val="000000" w:themeColor="text1"/>
                <w:sz w:val="16"/>
                <w:lang w:val="en-GB"/>
              </w:rPr>
              <w:t>—</w:t>
            </w:r>
          </w:p>
        </w:tc>
        <w:tc>
          <w:tcPr>
            <w:tcW w:w="1134" w:type="dxa"/>
            <w:shd w:val="clear" w:color="auto" w:fill="auto"/>
            <w:tcMar>
              <w:top w:w="57" w:type="dxa"/>
              <w:left w:w="0" w:type="dxa"/>
              <w:bottom w:w="57" w:type="dxa"/>
              <w:right w:w="0" w:type="dxa"/>
            </w:tcMar>
            <w:vAlign w:val="bottom"/>
          </w:tcPr>
          <w:p w14:paraId="29082B7B" w14:textId="77777777" w:rsidR="0099451A" w:rsidRPr="0099451A" w:rsidRDefault="0099451A" w:rsidP="006500E6">
            <w:pPr>
              <w:spacing w:line="240" w:lineRule="atLeast"/>
              <w:jc w:val="right"/>
              <w:rPr>
                <w:rFonts w:ascii="Tahoma" w:hAnsi="Tahoma"/>
                <w:color w:val="000000" w:themeColor="text1"/>
                <w:sz w:val="16"/>
                <w:lang w:val="en-GB"/>
              </w:rPr>
            </w:pPr>
            <w:r w:rsidRPr="0099451A">
              <w:rPr>
                <w:rFonts w:ascii="Tahoma" w:hAnsi="Tahoma"/>
                <w:color w:val="000000" w:themeColor="text1"/>
                <w:sz w:val="16"/>
                <w:lang w:val="en-GB"/>
              </w:rPr>
              <w:t>—</w:t>
            </w:r>
          </w:p>
        </w:tc>
        <w:tc>
          <w:tcPr>
            <w:tcW w:w="1134" w:type="dxa"/>
            <w:shd w:val="clear" w:color="auto" w:fill="auto"/>
            <w:tcMar>
              <w:top w:w="57" w:type="dxa"/>
              <w:left w:w="0" w:type="dxa"/>
              <w:bottom w:w="57" w:type="dxa"/>
              <w:right w:w="0" w:type="dxa"/>
            </w:tcMar>
            <w:vAlign w:val="bottom"/>
          </w:tcPr>
          <w:p w14:paraId="3978D265" w14:textId="77777777" w:rsidR="0099451A" w:rsidRPr="0099451A" w:rsidRDefault="0099451A" w:rsidP="006500E6">
            <w:pPr>
              <w:spacing w:line="240" w:lineRule="atLeast"/>
              <w:jc w:val="right"/>
              <w:rPr>
                <w:rFonts w:ascii="Tahoma" w:hAnsi="Tahoma"/>
                <w:color w:val="000000" w:themeColor="text1"/>
                <w:sz w:val="16"/>
                <w:lang w:val="en-GB"/>
              </w:rPr>
            </w:pPr>
            <w:r w:rsidRPr="0099451A">
              <w:rPr>
                <w:rFonts w:ascii="Tahoma" w:hAnsi="Tahoma"/>
                <w:color w:val="000000" w:themeColor="text1"/>
                <w:sz w:val="16"/>
                <w:lang w:val="en-GB"/>
              </w:rPr>
              <w:t>5</w:t>
            </w:r>
          </w:p>
        </w:tc>
      </w:tr>
      <w:tr w:rsidR="00615190" w:rsidRPr="0099451A" w14:paraId="237B4660" w14:textId="77777777" w:rsidTr="00B13261">
        <w:trPr>
          <w:trHeight w:val="60"/>
        </w:trPr>
        <w:tc>
          <w:tcPr>
            <w:tcW w:w="397" w:type="dxa"/>
            <w:shd w:val="clear" w:color="auto" w:fill="auto"/>
            <w:tcMar>
              <w:top w:w="57" w:type="dxa"/>
              <w:left w:w="0" w:type="dxa"/>
              <w:bottom w:w="57" w:type="dxa"/>
              <w:right w:w="0" w:type="dxa"/>
            </w:tcMar>
            <w:vAlign w:val="bottom"/>
          </w:tcPr>
          <w:p w14:paraId="1BD2DA08" w14:textId="77777777" w:rsidR="0099451A" w:rsidRPr="0099451A" w:rsidRDefault="0099451A" w:rsidP="00615190">
            <w:pPr>
              <w:spacing w:line="240" w:lineRule="atLeast"/>
              <w:rPr>
                <w:rFonts w:ascii="Tahoma" w:hAnsi="Tahoma"/>
                <w:color w:val="000000" w:themeColor="text1"/>
                <w:sz w:val="16"/>
                <w:lang w:val="en-GB"/>
              </w:rPr>
            </w:pPr>
          </w:p>
        </w:tc>
        <w:tc>
          <w:tcPr>
            <w:tcW w:w="6407" w:type="dxa"/>
            <w:shd w:val="clear" w:color="auto" w:fill="auto"/>
            <w:tcMar>
              <w:top w:w="57" w:type="dxa"/>
              <w:left w:w="0" w:type="dxa"/>
              <w:bottom w:w="57" w:type="dxa"/>
              <w:right w:w="0" w:type="dxa"/>
            </w:tcMar>
            <w:vAlign w:val="bottom"/>
          </w:tcPr>
          <w:p w14:paraId="03032679" w14:textId="77777777" w:rsidR="0099451A" w:rsidRPr="0099451A" w:rsidRDefault="0099451A" w:rsidP="00615190">
            <w:pPr>
              <w:spacing w:line="240" w:lineRule="atLeast"/>
              <w:rPr>
                <w:rFonts w:ascii="Tahoma" w:hAnsi="Tahoma"/>
                <w:color w:val="000000" w:themeColor="text1"/>
                <w:sz w:val="16"/>
                <w:lang w:val="en-GB"/>
              </w:rPr>
            </w:pPr>
            <w:r w:rsidRPr="0099451A">
              <w:rPr>
                <w:rFonts w:ascii="Tahoma" w:hAnsi="Tahoma"/>
                <w:color w:val="000000" w:themeColor="text1"/>
                <w:sz w:val="16"/>
                <w:lang w:val="en-GB"/>
              </w:rPr>
              <w:t>Settlements</w:t>
            </w:r>
          </w:p>
        </w:tc>
        <w:tc>
          <w:tcPr>
            <w:tcW w:w="1134" w:type="dxa"/>
            <w:shd w:val="clear" w:color="auto" w:fill="auto"/>
            <w:tcMar>
              <w:top w:w="57" w:type="dxa"/>
              <w:left w:w="0" w:type="dxa"/>
              <w:bottom w:w="57" w:type="dxa"/>
              <w:right w:w="0" w:type="dxa"/>
            </w:tcMar>
            <w:vAlign w:val="bottom"/>
          </w:tcPr>
          <w:p w14:paraId="2AE7A0F6" w14:textId="77777777" w:rsidR="0099451A" w:rsidRPr="002F078E" w:rsidRDefault="0099451A" w:rsidP="006500E6">
            <w:pPr>
              <w:spacing w:line="240" w:lineRule="atLeast"/>
              <w:jc w:val="right"/>
              <w:rPr>
                <w:rFonts w:ascii="Tahoma" w:hAnsi="Tahoma"/>
                <w:b/>
                <w:bCs/>
                <w:color w:val="000000" w:themeColor="text1"/>
                <w:sz w:val="16"/>
                <w:lang w:val="en-GB"/>
              </w:rPr>
            </w:pPr>
            <w:r w:rsidRPr="002F078E">
              <w:rPr>
                <w:rFonts w:ascii="Tahoma" w:hAnsi="Tahoma"/>
                <w:b/>
                <w:bCs/>
                <w:color w:val="000000" w:themeColor="text1"/>
                <w:sz w:val="16"/>
                <w:lang w:val="en-GB"/>
              </w:rPr>
              <w:t>(90)</w:t>
            </w:r>
          </w:p>
        </w:tc>
        <w:tc>
          <w:tcPr>
            <w:tcW w:w="1134" w:type="dxa"/>
            <w:shd w:val="clear" w:color="auto" w:fill="auto"/>
            <w:tcMar>
              <w:top w:w="57" w:type="dxa"/>
              <w:left w:w="0" w:type="dxa"/>
              <w:bottom w:w="57" w:type="dxa"/>
              <w:right w:w="0" w:type="dxa"/>
            </w:tcMar>
            <w:vAlign w:val="bottom"/>
          </w:tcPr>
          <w:p w14:paraId="1316CF45" w14:textId="77777777" w:rsidR="0099451A" w:rsidRPr="0099451A" w:rsidRDefault="0099451A" w:rsidP="006500E6">
            <w:pPr>
              <w:spacing w:line="240" w:lineRule="atLeast"/>
              <w:jc w:val="right"/>
              <w:rPr>
                <w:rFonts w:ascii="Tahoma" w:hAnsi="Tahoma"/>
                <w:color w:val="000000" w:themeColor="text1"/>
                <w:sz w:val="16"/>
                <w:lang w:val="en-GB"/>
              </w:rPr>
            </w:pPr>
            <w:r w:rsidRPr="0099451A">
              <w:rPr>
                <w:rFonts w:ascii="Tahoma" w:hAnsi="Tahoma"/>
                <w:color w:val="000000" w:themeColor="text1"/>
                <w:sz w:val="16"/>
                <w:lang w:val="en-GB"/>
              </w:rPr>
              <w:t>(205)</w:t>
            </w:r>
          </w:p>
        </w:tc>
        <w:tc>
          <w:tcPr>
            <w:tcW w:w="1134" w:type="dxa"/>
            <w:shd w:val="clear" w:color="auto" w:fill="auto"/>
            <w:tcMar>
              <w:top w:w="57" w:type="dxa"/>
              <w:left w:w="0" w:type="dxa"/>
              <w:bottom w:w="57" w:type="dxa"/>
              <w:right w:w="0" w:type="dxa"/>
            </w:tcMar>
            <w:vAlign w:val="bottom"/>
          </w:tcPr>
          <w:p w14:paraId="6D1A42A3" w14:textId="77777777" w:rsidR="0099451A" w:rsidRPr="0099451A" w:rsidRDefault="0099451A" w:rsidP="006500E6">
            <w:pPr>
              <w:spacing w:line="240" w:lineRule="atLeast"/>
              <w:jc w:val="right"/>
              <w:rPr>
                <w:rFonts w:ascii="Tahoma" w:hAnsi="Tahoma"/>
                <w:color w:val="000000" w:themeColor="text1"/>
                <w:sz w:val="16"/>
                <w:lang w:val="en-GB"/>
              </w:rPr>
            </w:pPr>
            <w:r w:rsidRPr="0099451A">
              <w:rPr>
                <w:rFonts w:ascii="Tahoma" w:hAnsi="Tahoma"/>
                <w:color w:val="000000" w:themeColor="text1"/>
                <w:sz w:val="16"/>
                <w:lang w:val="en-GB"/>
              </w:rPr>
              <w:t>(372)</w:t>
            </w:r>
          </w:p>
        </w:tc>
      </w:tr>
      <w:tr w:rsidR="00615190" w:rsidRPr="0099451A" w14:paraId="6F8B9364" w14:textId="77777777" w:rsidTr="00B13261">
        <w:trPr>
          <w:trHeight w:val="60"/>
        </w:trPr>
        <w:tc>
          <w:tcPr>
            <w:tcW w:w="397" w:type="dxa"/>
            <w:shd w:val="clear" w:color="auto" w:fill="auto"/>
            <w:tcMar>
              <w:top w:w="57" w:type="dxa"/>
              <w:left w:w="0" w:type="dxa"/>
              <w:bottom w:w="57" w:type="dxa"/>
              <w:right w:w="0" w:type="dxa"/>
            </w:tcMar>
            <w:vAlign w:val="bottom"/>
          </w:tcPr>
          <w:p w14:paraId="4B479EBA" w14:textId="77777777" w:rsidR="0099451A" w:rsidRPr="0099451A" w:rsidRDefault="0099451A" w:rsidP="00615190">
            <w:pPr>
              <w:spacing w:line="240" w:lineRule="atLeast"/>
              <w:rPr>
                <w:rFonts w:ascii="Tahoma" w:hAnsi="Tahoma"/>
                <w:color w:val="000000" w:themeColor="text1"/>
                <w:sz w:val="16"/>
                <w:lang w:val="en-GB"/>
              </w:rPr>
            </w:pPr>
          </w:p>
        </w:tc>
        <w:tc>
          <w:tcPr>
            <w:tcW w:w="6407" w:type="dxa"/>
            <w:shd w:val="clear" w:color="auto" w:fill="auto"/>
            <w:tcMar>
              <w:top w:w="57" w:type="dxa"/>
              <w:left w:w="0" w:type="dxa"/>
              <w:bottom w:w="57" w:type="dxa"/>
              <w:right w:w="0" w:type="dxa"/>
            </w:tcMar>
            <w:vAlign w:val="bottom"/>
          </w:tcPr>
          <w:p w14:paraId="15A114D9" w14:textId="77777777" w:rsidR="0099451A" w:rsidRPr="0099451A" w:rsidRDefault="0099451A" w:rsidP="00615190">
            <w:pPr>
              <w:spacing w:line="240" w:lineRule="atLeast"/>
              <w:rPr>
                <w:rFonts w:ascii="Tahoma" w:hAnsi="Tahoma"/>
                <w:color w:val="000000" w:themeColor="text1"/>
                <w:sz w:val="16"/>
                <w:lang w:val="en-GB"/>
              </w:rPr>
            </w:pPr>
            <w:r w:rsidRPr="0099451A">
              <w:rPr>
                <w:rFonts w:ascii="Tahoma" w:hAnsi="Tahoma"/>
                <w:color w:val="000000" w:themeColor="text1"/>
                <w:sz w:val="16"/>
                <w:lang w:val="en-GB"/>
              </w:rPr>
              <w:t>Modification</w:t>
            </w:r>
            <w:r w:rsidRPr="0099451A">
              <w:rPr>
                <w:rFonts w:ascii="Tahoma" w:hAnsi="Tahoma"/>
                <w:color w:val="000000" w:themeColor="text1"/>
                <w:sz w:val="16"/>
                <w:vertAlign w:val="superscript"/>
                <w:lang w:val="en-GB"/>
              </w:rPr>
              <w:t>2</w:t>
            </w:r>
          </w:p>
        </w:tc>
        <w:tc>
          <w:tcPr>
            <w:tcW w:w="1134" w:type="dxa"/>
            <w:shd w:val="clear" w:color="auto" w:fill="auto"/>
            <w:tcMar>
              <w:top w:w="57" w:type="dxa"/>
              <w:left w:w="0" w:type="dxa"/>
              <w:bottom w:w="57" w:type="dxa"/>
              <w:right w:w="0" w:type="dxa"/>
            </w:tcMar>
            <w:vAlign w:val="bottom"/>
          </w:tcPr>
          <w:p w14:paraId="5FA9830D" w14:textId="77777777" w:rsidR="0099451A" w:rsidRPr="002F078E" w:rsidRDefault="0099451A" w:rsidP="006500E6">
            <w:pPr>
              <w:spacing w:line="240" w:lineRule="atLeast"/>
              <w:jc w:val="right"/>
              <w:rPr>
                <w:rFonts w:ascii="Tahoma" w:hAnsi="Tahoma"/>
                <w:b/>
                <w:bCs/>
                <w:color w:val="000000" w:themeColor="text1"/>
                <w:sz w:val="16"/>
                <w:lang w:val="en-GB"/>
              </w:rPr>
            </w:pPr>
            <w:r w:rsidRPr="002F078E">
              <w:rPr>
                <w:rFonts w:ascii="Tahoma" w:hAnsi="Tahoma"/>
                <w:b/>
                <w:bCs/>
                <w:color w:val="000000" w:themeColor="text1"/>
                <w:sz w:val="16"/>
                <w:lang w:val="en-GB"/>
              </w:rPr>
              <w:t>—</w:t>
            </w:r>
          </w:p>
        </w:tc>
        <w:tc>
          <w:tcPr>
            <w:tcW w:w="1134" w:type="dxa"/>
            <w:shd w:val="clear" w:color="auto" w:fill="auto"/>
            <w:tcMar>
              <w:top w:w="57" w:type="dxa"/>
              <w:left w:w="0" w:type="dxa"/>
              <w:bottom w:w="57" w:type="dxa"/>
              <w:right w:w="0" w:type="dxa"/>
            </w:tcMar>
            <w:vAlign w:val="bottom"/>
          </w:tcPr>
          <w:p w14:paraId="051568BC" w14:textId="77777777" w:rsidR="0099451A" w:rsidRPr="0099451A" w:rsidRDefault="0099451A" w:rsidP="006500E6">
            <w:pPr>
              <w:spacing w:line="240" w:lineRule="atLeast"/>
              <w:jc w:val="right"/>
              <w:rPr>
                <w:rFonts w:ascii="Tahoma" w:hAnsi="Tahoma"/>
                <w:color w:val="000000" w:themeColor="text1"/>
                <w:sz w:val="16"/>
                <w:lang w:val="en-GB"/>
              </w:rPr>
            </w:pPr>
            <w:r w:rsidRPr="0099451A">
              <w:rPr>
                <w:rFonts w:ascii="Tahoma" w:hAnsi="Tahoma"/>
                <w:color w:val="000000" w:themeColor="text1"/>
                <w:sz w:val="16"/>
                <w:lang w:val="en-GB"/>
              </w:rPr>
              <w:t>356</w:t>
            </w:r>
          </w:p>
        </w:tc>
        <w:tc>
          <w:tcPr>
            <w:tcW w:w="1134" w:type="dxa"/>
            <w:shd w:val="clear" w:color="auto" w:fill="auto"/>
            <w:tcMar>
              <w:top w:w="57" w:type="dxa"/>
              <w:left w:w="0" w:type="dxa"/>
              <w:bottom w:w="57" w:type="dxa"/>
              <w:right w:w="0" w:type="dxa"/>
            </w:tcMar>
            <w:vAlign w:val="bottom"/>
          </w:tcPr>
          <w:p w14:paraId="215FB410" w14:textId="77777777" w:rsidR="0099451A" w:rsidRPr="0099451A" w:rsidRDefault="0099451A" w:rsidP="006500E6">
            <w:pPr>
              <w:spacing w:line="240" w:lineRule="atLeast"/>
              <w:jc w:val="right"/>
              <w:rPr>
                <w:rFonts w:ascii="Tahoma" w:hAnsi="Tahoma"/>
                <w:color w:val="000000" w:themeColor="text1"/>
                <w:sz w:val="16"/>
                <w:lang w:val="en-GB"/>
              </w:rPr>
            </w:pPr>
            <w:r w:rsidRPr="0099451A">
              <w:rPr>
                <w:rFonts w:ascii="Tahoma" w:hAnsi="Tahoma"/>
                <w:color w:val="000000" w:themeColor="text1"/>
                <w:sz w:val="16"/>
                <w:lang w:val="en-GB"/>
              </w:rPr>
              <w:t>265</w:t>
            </w:r>
          </w:p>
        </w:tc>
      </w:tr>
      <w:tr w:rsidR="00615190" w:rsidRPr="0099451A" w14:paraId="513AA968" w14:textId="77777777" w:rsidTr="002C7A20">
        <w:trPr>
          <w:trHeight w:val="60"/>
        </w:trPr>
        <w:tc>
          <w:tcPr>
            <w:tcW w:w="397" w:type="dxa"/>
            <w:shd w:val="clear" w:color="auto" w:fill="auto"/>
            <w:tcMar>
              <w:top w:w="57" w:type="dxa"/>
              <w:left w:w="0" w:type="dxa"/>
              <w:bottom w:w="57" w:type="dxa"/>
              <w:right w:w="0" w:type="dxa"/>
            </w:tcMar>
            <w:vAlign w:val="bottom"/>
          </w:tcPr>
          <w:p w14:paraId="58A24B67" w14:textId="77777777" w:rsidR="0099451A" w:rsidRPr="0099451A" w:rsidRDefault="0099451A" w:rsidP="00615190">
            <w:pPr>
              <w:spacing w:line="240" w:lineRule="atLeast"/>
              <w:rPr>
                <w:rFonts w:ascii="Tahoma" w:hAnsi="Tahoma"/>
                <w:color w:val="000000" w:themeColor="text1"/>
                <w:sz w:val="16"/>
                <w:lang w:val="en-GB"/>
              </w:rPr>
            </w:pPr>
          </w:p>
        </w:tc>
        <w:tc>
          <w:tcPr>
            <w:tcW w:w="6407" w:type="dxa"/>
            <w:shd w:val="clear" w:color="auto" w:fill="auto"/>
            <w:tcMar>
              <w:top w:w="57" w:type="dxa"/>
              <w:left w:w="0" w:type="dxa"/>
              <w:bottom w:w="57" w:type="dxa"/>
              <w:right w:w="0" w:type="dxa"/>
            </w:tcMar>
            <w:vAlign w:val="bottom"/>
          </w:tcPr>
          <w:p w14:paraId="653393CB" w14:textId="77777777" w:rsidR="0099451A" w:rsidRPr="0099451A" w:rsidRDefault="0099451A" w:rsidP="00615190">
            <w:pPr>
              <w:spacing w:line="240" w:lineRule="atLeast"/>
              <w:rPr>
                <w:rFonts w:ascii="Tahoma" w:hAnsi="Tahoma"/>
                <w:color w:val="000000" w:themeColor="text1"/>
                <w:sz w:val="16"/>
                <w:lang w:val="en-GB"/>
              </w:rPr>
            </w:pPr>
            <w:r w:rsidRPr="0099451A">
              <w:rPr>
                <w:rFonts w:ascii="Tahoma" w:hAnsi="Tahoma"/>
                <w:color w:val="000000" w:themeColor="text1"/>
                <w:sz w:val="16"/>
                <w:lang w:val="en-GB"/>
              </w:rPr>
              <w:t>Transferred to liabilities classified as held for sale</w:t>
            </w:r>
            <w:r w:rsidRPr="0099451A">
              <w:rPr>
                <w:rFonts w:ascii="Tahoma" w:hAnsi="Tahoma"/>
                <w:color w:val="000000" w:themeColor="text1"/>
                <w:sz w:val="16"/>
                <w:vertAlign w:val="superscript"/>
                <w:lang w:val="en-GB"/>
              </w:rPr>
              <w:t>3</w:t>
            </w:r>
          </w:p>
        </w:tc>
        <w:tc>
          <w:tcPr>
            <w:tcW w:w="1134" w:type="dxa"/>
            <w:shd w:val="clear" w:color="auto" w:fill="auto"/>
            <w:tcMar>
              <w:top w:w="57" w:type="dxa"/>
              <w:left w:w="0" w:type="dxa"/>
              <w:bottom w:w="57" w:type="dxa"/>
              <w:right w:w="0" w:type="dxa"/>
            </w:tcMar>
            <w:vAlign w:val="bottom"/>
          </w:tcPr>
          <w:p w14:paraId="06B9C9BC" w14:textId="77777777" w:rsidR="0099451A" w:rsidRPr="002F078E" w:rsidRDefault="0099451A" w:rsidP="006500E6">
            <w:pPr>
              <w:spacing w:line="240" w:lineRule="atLeast"/>
              <w:jc w:val="right"/>
              <w:rPr>
                <w:rFonts w:ascii="Tahoma" w:hAnsi="Tahoma"/>
                <w:b/>
                <w:bCs/>
                <w:color w:val="000000" w:themeColor="text1"/>
                <w:sz w:val="16"/>
                <w:lang w:val="en-GB"/>
              </w:rPr>
            </w:pPr>
            <w:r w:rsidRPr="002F078E">
              <w:rPr>
                <w:rFonts w:ascii="Tahoma" w:hAnsi="Tahoma"/>
                <w:b/>
                <w:bCs/>
                <w:color w:val="000000" w:themeColor="text1"/>
                <w:sz w:val="16"/>
                <w:lang w:val="en-GB"/>
              </w:rPr>
              <w:t>(47)</w:t>
            </w:r>
          </w:p>
        </w:tc>
        <w:tc>
          <w:tcPr>
            <w:tcW w:w="1134" w:type="dxa"/>
            <w:shd w:val="clear" w:color="auto" w:fill="auto"/>
            <w:tcMar>
              <w:top w:w="57" w:type="dxa"/>
              <w:left w:w="0" w:type="dxa"/>
              <w:bottom w:w="57" w:type="dxa"/>
              <w:right w:w="0" w:type="dxa"/>
            </w:tcMar>
            <w:vAlign w:val="bottom"/>
          </w:tcPr>
          <w:p w14:paraId="207CF5DC" w14:textId="77777777" w:rsidR="0099451A" w:rsidRPr="0099451A" w:rsidRDefault="0099451A" w:rsidP="006500E6">
            <w:pPr>
              <w:spacing w:line="240" w:lineRule="atLeast"/>
              <w:jc w:val="right"/>
              <w:rPr>
                <w:rFonts w:ascii="Tahoma" w:hAnsi="Tahoma"/>
                <w:color w:val="000000" w:themeColor="text1"/>
                <w:sz w:val="16"/>
                <w:lang w:val="en-GB"/>
              </w:rPr>
            </w:pPr>
            <w:r w:rsidRPr="0099451A">
              <w:rPr>
                <w:rFonts w:ascii="Tahoma" w:hAnsi="Tahoma"/>
                <w:color w:val="000000" w:themeColor="text1"/>
                <w:sz w:val="16"/>
                <w:lang w:val="en-GB"/>
              </w:rPr>
              <w:t>—</w:t>
            </w:r>
          </w:p>
        </w:tc>
        <w:tc>
          <w:tcPr>
            <w:tcW w:w="1134" w:type="dxa"/>
            <w:shd w:val="clear" w:color="auto" w:fill="auto"/>
            <w:tcMar>
              <w:top w:w="57" w:type="dxa"/>
              <w:left w:w="0" w:type="dxa"/>
              <w:bottom w:w="57" w:type="dxa"/>
              <w:right w:w="0" w:type="dxa"/>
            </w:tcMar>
            <w:vAlign w:val="bottom"/>
          </w:tcPr>
          <w:p w14:paraId="74F0B41D" w14:textId="77777777" w:rsidR="0099451A" w:rsidRPr="0099451A" w:rsidRDefault="0099451A" w:rsidP="006500E6">
            <w:pPr>
              <w:spacing w:line="240" w:lineRule="atLeast"/>
              <w:jc w:val="right"/>
              <w:rPr>
                <w:rFonts w:ascii="Tahoma" w:hAnsi="Tahoma"/>
                <w:color w:val="000000" w:themeColor="text1"/>
                <w:sz w:val="16"/>
                <w:lang w:val="en-GB"/>
              </w:rPr>
            </w:pPr>
            <w:r w:rsidRPr="0099451A">
              <w:rPr>
                <w:rFonts w:ascii="Tahoma" w:hAnsi="Tahoma"/>
                <w:color w:val="000000" w:themeColor="text1"/>
                <w:sz w:val="16"/>
                <w:lang w:val="en-GB"/>
              </w:rPr>
              <w:t>—</w:t>
            </w:r>
          </w:p>
        </w:tc>
      </w:tr>
      <w:tr w:rsidR="00615190" w:rsidRPr="0099451A" w14:paraId="3B96A1C2" w14:textId="77777777" w:rsidTr="002C7A20">
        <w:trPr>
          <w:trHeight w:val="60"/>
        </w:trPr>
        <w:tc>
          <w:tcPr>
            <w:tcW w:w="397" w:type="dxa"/>
            <w:shd w:val="clear" w:color="auto" w:fill="auto"/>
            <w:tcMar>
              <w:top w:w="57" w:type="dxa"/>
              <w:left w:w="0" w:type="dxa"/>
              <w:bottom w:w="85" w:type="dxa"/>
              <w:right w:w="0" w:type="dxa"/>
            </w:tcMar>
            <w:vAlign w:val="bottom"/>
          </w:tcPr>
          <w:p w14:paraId="5281D1C6" w14:textId="77777777" w:rsidR="0099451A" w:rsidRPr="0099451A" w:rsidRDefault="0099451A" w:rsidP="00615190">
            <w:pPr>
              <w:spacing w:line="240" w:lineRule="atLeast"/>
              <w:rPr>
                <w:rFonts w:ascii="Tahoma" w:hAnsi="Tahoma"/>
                <w:color w:val="000000" w:themeColor="text1"/>
                <w:sz w:val="16"/>
                <w:lang w:val="en-GB"/>
              </w:rPr>
            </w:pPr>
          </w:p>
        </w:tc>
        <w:tc>
          <w:tcPr>
            <w:tcW w:w="6407" w:type="dxa"/>
            <w:tcBorders>
              <w:bottom w:val="single" w:sz="4" w:space="0" w:color="auto"/>
            </w:tcBorders>
            <w:shd w:val="clear" w:color="auto" w:fill="auto"/>
            <w:tcMar>
              <w:top w:w="57" w:type="dxa"/>
              <w:left w:w="0" w:type="dxa"/>
              <w:bottom w:w="85" w:type="dxa"/>
              <w:right w:w="0" w:type="dxa"/>
            </w:tcMar>
            <w:vAlign w:val="bottom"/>
          </w:tcPr>
          <w:p w14:paraId="59596E59" w14:textId="77777777" w:rsidR="0099451A" w:rsidRPr="0099451A" w:rsidRDefault="0099451A" w:rsidP="00615190">
            <w:pPr>
              <w:spacing w:line="240" w:lineRule="atLeast"/>
              <w:rPr>
                <w:rFonts w:ascii="Tahoma" w:hAnsi="Tahoma"/>
                <w:color w:val="000000" w:themeColor="text1"/>
                <w:sz w:val="16"/>
                <w:lang w:val="en-GB"/>
              </w:rPr>
            </w:pPr>
            <w:r w:rsidRPr="0099451A">
              <w:rPr>
                <w:rFonts w:ascii="Tahoma" w:hAnsi="Tahoma"/>
                <w:color w:val="000000" w:themeColor="text1"/>
                <w:sz w:val="16"/>
                <w:lang w:val="en-GB"/>
              </w:rPr>
              <w:t>Foreign currency translation effects</w:t>
            </w:r>
          </w:p>
        </w:tc>
        <w:tc>
          <w:tcPr>
            <w:tcW w:w="1134" w:type="dxa"/>
            <w:tcBorders>
              <w:bottom w:val="single" w:sz="4" w:space="0" w:color="auto"/>
            </w:tcBorders>
            <w:shd w:val="clear" w:color="auto" w:fill="auto"/>
            <w:tcMar>
              <w:top w:w="57" w:type="dxa"/>
              <w:left w:w="0" w:type="dxa"/>
              <w:bottom w:w="85" w:type="dxa"/>
              <w:right w:w="0" w:type="dxa"/>
            </w:tcMar>
            <w:vAlign w:val="bottom"/>
          </w:tcPr>
          <w:p w14:paraId="56EB28DE" w14:textId="77777777" w:rsidR="0099451A" w:rsidRPr="002F078E" w:rsidRDefault="0099451A" w:rsidP="006500E6">
            <w:pPr>
              <w:spacing w:line="240" w:lineRule="atLeast"/>
              <w:jc w:val="right"/>
              <w:rPr>
                <w:rFonts w:ascii="Tahoma" w:hAnsi="Tahoma"/>
                <w:b/>
                <w:bCs/>
                <w:color w:val="000000" w:themeColor="text1"/>
                <w:sz w:val="16"/>
                <w:lang w:val="en-GB"/>
              </w:rPr>
            </w:pPr>
            <w:r w:rsidRPr="002F078E">
              <w:rPr>
                <w:rFonts w:ascii="Tahoma" w:hAnsi="Tahoma"/>
                <w:b/>
                <w:bCs/>
                <w:color w:val="000000" w:themeColor="text1"/>
                <w:sz w:val="16"/>
                <w:lang w:val="en-GB"/>
              </w:rPr>
              <w:t>(40)</w:t>
            </w:r>
          </w:p>
        </w:tc>
        <w:tc>
          <w:tcPr>
            <w:tcW w:w="1134" w:type="dxa"/>
            <w:tcBorders>
              <w:bottom w:val="single" w:sz="4" w:space="0" w:color="auto"/>
            </w:tcBorders>
            <w:shd w:val="clear" w:color="auto" w:fill="auto"/>
            <w:tcMar>
              <w:top w:w="57" w:type="dxa"/>
              <w:left w:w="0" w:type="dxa"/>
              <w:bottom w:w="85" w:type="dxa"/>
              <w:right w:w="0" w:type="dxa"/>
            </w:tcMar>
            <w:vAlign w:val="bottom"/>
          </w:tcPr>
          <w:p w14:paraId="168BB301" w14:textId="77777777" w:rsidR="0099451A" w:rsidRPr="0099451A" w:rsidRDefault="0099451A" w:rsidP="006500E6">
            <w:pPr>
              <w:spacing w:line="240" w:lineRule="atLeast"/>
              <w:jc w:val="right"/>
              <w:rPr>
                <w:rFonts w:ascii="Tahoma" w:hAnsi="Tahoma"/>
                <w:color w:val="000000" w:themeColor="text1"/>
                <w:sz w:val="16"/>
                <w:lang w:val="en-GB"/>
              </w:rPr>
            </w:pPr>
            <w:r w:rsidRPr="0099451A">
              <w:rPr>
                <w:rFonts w:ascii="Tahoma" w:hAnsi="Tahoma"/>
                <w:color w:val="000000" w:themeColor="text1"/>
                <w:sz w:val="16"/>
                <w:lang w:val="en-GB"/>
              </w:rPr>
              <w:t>(15)</w:t>
            </w:r>
          </w:p>
        </w:tc>
        <w:tc>
          <w:tcPr>
            <w:tcW w:w="1134" w:type="dxa"/>
            <w:tcBorders>
              <w:bottom w:val="single" w:sz="4" w:space="0" w:color="auto"/>
            </w:tcBorders>
            <w:shd w:val="clear" w:color="auto" w:fill="auto"/>
            <w:tcMar>
              <w:top w:w="57" w:type="dxa"/>
              <w:left w:w="0" w:type="dxa"/>
              <w:bottom w:w="85" w:type="dxa"/>
              <w:right w:w="0" w:type="dxa"/>
            </w:tcMar>
            <w:vAlign w:val="bottom"/>
          </w:tcPr>
          <w:p w14:paraId="085EE57D" w14:textId="77777777" w:rsidR="0099451A" w:rsidRPr="0099451A" w:rsidRDefault="0099451A" w:rsidP="006500E6">
            <w:pPr>
              <w:spacing w:line="240" w:lineRule="atLeast"/>
              <w:jc w:val="right"/>
              <w:rPr>
                <w:rFonts w:ascii="Tahoma" w:hAnsi="Tahoma"/>
                <w:color w:val="000000" w:themeColor="text1"/>
                <w:sz w:val="16"/>
                <w:lang w:val="en-GB"/>
              </w:rPr>
            </w:pPr>
            <w:r w:rsidRPr="0099451A">
              <w:rPr>
                <w:rFonts w:ascii="Tahoma" w:hAnsi="Tahoma"/>
                <w:color w:val="000000" w:themeColor="text1"/>
                <w:sz w:val="16"/>
                <w:lang w:val="en-GB"/>
              </w:rPr>
              <w:t>21</w:t>
            </w:r>
          </w:p>
        </w:tc>
      </w:tr>
      <w:tr w:rsidR="00615190" w:rsidRPr="0099451A" w14:paraId="5966D946" w14:textId="77777777" w:rsidTr="00B1303F">
        <w:trPr>
          <w:trHeight w:val="60"/>
        </w:trPr>
        <w:tc>
          <w:tcPr>
            <w:tcW w:w="397" w:type="dxa"/>
            <w:shd w:val="clear" w:color="auto" w:fill="auto"/>
            <w:tcMar>
              <w:top w:w="85" w:type="dxa"/>
              <w:left w:w="0" w:type="dxa"/>
              <w:bottom w:w="57" w:type="dxa"/>
              <w:right w:w="0" w:type="dxa"/>
            </w:tcMar>
            <w:vAlign w:val="bottom"/>
          </w:tcPr>
          <w:p w14:paraId="1CC875E8" w14:textId="77777777" w:rsidR="0099451A" w:rsidRPr="0099451A" w:rsidRDefault="0099451A" w:rsidP="00615190">
            <w:pPr>
              <w:spacing w:line="240" w:lineRule="atLeast"/>
              <w:rPr>
                <w:rFonts w:ascii="Tahoma" w:hAnsi="Tahoma"/>
                <w:color w:val="000000" w:themeColor="text1"/>
                <w:sz w:val="16"/>
                <w:lang w:val="en-GB"/>
              </w:rPr>
            </w:pPr>
          </w:p>
        </w:tc>
        <w:tc>
          <w:tcPr>
            <w:tcW w:w="6407" w:type="dxa"/>
            <w:tcBorders>
              <w:top w:val="single" w:sz="4" w:space="0" w:color="auto"/>
            </w:tcBorders>
            <w:shd w:val="clear" w:color="auto" w:fill="auto"/>
            <w:tcMar>
              <w:top w:w="85" w:type="dxa"/>
              <w:left w:w="0" w:type="dxa"/>
              <w:bottom w:w="57" w:type="dxa"/>
              <w:right w:w="0" w:type="dxa"/>
            </w:tcMar>
            <w:vAlign w:val="bottom"/>
          </w:tcPr>
          <w:p w14:paraId="5160045F" w14:textId="77777777" w:rsidR="0099451A" w:rsidRPr="0099451A" w:rsidRDefault="0099451A" w:rsidP="00615190">
            <w:pPr>
              <w:spacing w:line="240" w:lineRule="atLeast"/>
              <w:rPr>
                <w:rFonts w:ascii="Tahoma" w:hAnsi="Tahoma"/>
                <w:b/>
                <w:bCs/>
                <w:color w:val="000000" w:themeColor="text1"/>
                <w:sz w:val="16"/>
                <w:lang w:val="en-GB"/>
              </w:rPr>
            </w:pPr>
            <w:r w:rsidRPr="0099451A">
              <w:rPr>
                <w:rFonts w:ascii="Tahoma" w:hAnsi="Tahoma"/>
                <w:b/>
                <w:bCs/>
                <w:color w:val="000000" w:themeColor="text1"/>
                <w:sz w:val="16"/>
                <w:lang w:val="en-GB"/>
              </w:rPr>
              <w:t>Closing balance</w:t>
            </w:r>
          </w:p>
        </w:tc>
        <w:tc>
          <w:tcPr>
            <w:tcW w:w="1134" w:type="dxa"/>
            <w:tcBorders>
              <w:top w:val="single" w:sz="4" w:space="0" w:color="auto"/>
            </w:tcBorders>
            <w:shd w:val="clear" w:color="auto" w:fill="auto"/>
            <w:tcMar>
              <w:top w:w="85" w:type="dxa"/>
              <w:left w:w="0" w:type="dxa"/>
              <w:bottom w:w="57" w:type="dxa"/>
              <w:right w:w="0" w:type="dxa"/>
            </w:tcMar>
            <w:vAlign w:val="bottom"/>
          </w:tcPr>
          <w:p w14:paraId="6B94881A" w14:textId="77777777" w:rsidR="0099451A" w:rsidRPr="002F078E" w:rsidRDefault="0099451A" w:rsidP="006500E6">
            <w:pPr>
              <w:spacing w:line="240" w:lineRule="atLeast"/>
              <w:jc w:val="right"/>
              <w:rPr>
                <w:rFonts w:ascii="Tahoma" w:hAnsi="Tahoma"/>
                <w:b/>
                <w:bCs/>
                <w:color w:val="000000" w:themeColor="text1"/>
                <w:sz w:val="16"/>
                <w:lang w:val="en-GB"/>
              </w:rPr>
            </w:pPr>
            <w:r w:rsidRPr="002F078E">
              <w:rPr>
                <w:rFonts w:ascii="Tahoma" w:hAnsi="Tahoma"/>
                <w:b/>
                <w:bCs/>
                <w:color w:val="000000" w:themeColor="text1"/>
                <w:sz w:val="16"/>
                <w:lang w:val="en-GB"/>
              </w:rPr>
              <w:t>723</w:t>
            </w:r>
          </w:p>
        </w:tc>
        <w:tc>
          <w:tcPr>
            <w:tcW w:w="1134" w:type="dxa"/>
            <w:tcBorders>
              <w:top w:val="single" w:sz="4" w:space="0" w:color="auto"/>
            </w:tcBorders>
            <w:shd w:val="clear" w:color="auto" w:fill="auto"/>
            <w:tcMar>
              <w:top w:w="85" w:type="dxa"/>
              <w:left w:w="0" w:type="dxa"/>
              <w:bottom w:w="57" w:type="dxa"/>
              <w:right w:w="0" w:type="dxa"/>
            </w:tcMar>
            <w:vAlign w:val="bottom"/>
          </w:tcPr>
          <w:p w14:paraId="3C36343F" w14:textId="77777777" w:rsidR="0099451A" w:rsidRPr="0099451A" w:rsidRDefault="0099451A" w:rsidP="006500E6">
            <w:pPr>
              <w:spacing w:line="240" w:lineRule="atLeast"/>
              <w:jc w:val="right"/>
              <w:rPr>
                <w:rFonts w:ascii="Tahoma" w:hAnsi="Tahoma"/>
                <w:color w:val="000000" w:themeColor="text1"/>
                <w:sz w:val="16"/>
                <w:lang w:val="en-GB"/>
              </w:rPr>
            </w:pPr>
            <w:r w:rsidRPr="0099451A">
              <w:rPr>
                <w:rFonts w:ascii="Tahoma" w:hAnsi="Tahoma"/>
                <w:color w:val="000000" w:themeColor="text1"/>
                <w:sz w:val="16"/>
                <w:lang w:val="en-GB"/>
              </w:rPr>
              <w:t>1 389</w:t>
            </w:r>
          </w:p>
        </w:tc>
        <w:tc>
          <w:tcPr>
            <w:tcW w:w="1134" w:type="dxa"/>
            <w:tcBorders>
              <w:top w:val="single" w:sz="4" w:space="0" w:color="auto"/>
            </w:tcBorders>
            <w:shd w:val="clear" w:color="auto" w:fill="auto"/>
            <w:tcMar>
              <w:top w:w="85" w:type="dxa"/>
              <w:left w:w="0" w:type="dxa"/>
              <w:bottom w:w="57" w:type="dxa"/>
              <w:right w:w="0" w:type="dxa"/>
            </w:tcMar>
            <w:vAlign w:val="bottom"/>
          </w:tcPr>
          <w:p w14:paraId="067F36D2" w14:textId="77777777" w:rsidR="0099451A" w:rsidRPr="0099451A" w:rsidRDefault="0099451A" w:rsidP="006500E6">
            <w:pPr>
              <w:spacing w:line="240" w:lineRule="atLeast"/>
              <w:jc w:val="right"/>
              <w:rPr>
                <w:rFonts w:ascii="Tahoma" w:hAnsi="Tahoma"/>
                <w:color w:val="000000" w:themeColor="text1"/>
                <w:sz w:val="16"/>
                <w:lang w:val="en-GB"/>
              </w:rPr>
            </w:pPr>
            <w:r w:rsidRPr="0099451A">
              <w:rPr>
                <w:rFonts w:ascii="Tahoma" w:hAnsi="Tahoma"/>
                <w:color w:val="000000" w:themeColor="text1"/>
                <w:sz w:val="16"/>
                <w:lang w:val="en-GB"/>
              </w:rPr>
              <w:t>1 127</w:t>
            </w:r>
          </w:p>
        </w:tc>
      </w:tr>
      <w:tr w:rsidR="00615190" w:rsidRPr="0099451A" w14:paraId="61ADC63F" w14:textId="77777777" w:rsidTr="00B1303F">
        <w:trPr>
          <w:trHeight w:val="60"/>
        </w:trPr>
        <w:tc>
          <w:tcPr>
            <w:tcW w:w="397" w:type="dxa"/>
            <w:shd w:val="clear" w:color="auto" w:fill="auto"/>
            <w:tcMar>
              <w:top w:w="57" w:type="dxa"/>
              <w:left w:w="0" w:type="dxa"/>
              <w:bottom w:w="85" w:type="dxa"/>
              <w:right w:w="0" w:type="dxa"/>
            </w:tcMar>
            <w:vAlign w:val="bottom"/>
          </w:tcPr>
          <w:p w14:paraId="59AA3B1A" w14:textId="77777777" w:rsidR="0099451A" w:rsidRPr="0099451A" w:rsidRDefault="0099451A" w:rsidP="00615190">
            <w:pPr>
              <w:spacing w:line="240" w:lineRule="atLeast"/>
              <w:rPr>
                <w:rFonts w:ascii="Tahoma" w:hAnsi="Tahoma"/>
                <w:color w:val="000000" w:themeColor="text1"/>
                <w:sz w:val="16"/>
                <w:lang w:val="en-GB"/>
              </w:rPr>
            </w:pPr>
          </w:p>
        </w:tc>
        <w:tc>
          <w:tcPr>
            <w:tcW w:w="6407" w:type="dxa"/>
            <w:tcBorders>
              <w:bottom w:val="single" w:sz="4" w:space="0" w:color="auto"/>
            </w:tcBorders>
            <w:shd w:val="clear" w:color="auto" w:fill="auto"/>
            <w:tcMar>
              <w:top w:w="57" w:type="dxa"/>
              <w:left w:w="0" w:type="dxa"/>
              <w:bottom w:w="85" w:type="dxa"/>
              <w:right w:w="0" w:type="dxa"/>
            </w:tcMar>
            <w:vAlign w:val="bottom"/>
          </w:tcPr>
          <w:p w14:paraId="72AA4B21" w14:textId="77777777" w:rsidR="0099451A" w:rsidRPr="0099451A" w:rsidRDefault="0099451A" w:rsidP="00615190">
            <w:pPr>
              <w:spacing w:line="240" w:lineRule="atLeast"/>
              <w:rPr>
                <w:rFonts w:ascii="Tahoma" w:hAnsi="Tahoma"/>
                <w:color w:val="000000" w:themeColor="text1"/>
                <w:sz w:val="16"/>
                <w:lang w:val="en-GB"/>
              </w:rPr>
            </w:pPr>
            <w:r w:rsidRPr="0099451A">
              <w:rPr>
                <w:rFonts w:ascii="Tahoma" w:hAnsi="Tahoma"/>
                <w:i/>
                <w:iCs/>
                <w:color w:val="000000" w:themeColor="text1"/>
                <w:sz w:val="16"/>
                <w:lang w:val="en-GB"/>
              </w:rPr>
              <w:t>Less</w:t>
            </w:r>
            <w:r w:rsidRPr="0099451A">
              <w:rPr>
                <w:rFonts w:ascii="Tahoma" w:hAnsi="Tahoma"/>
                <w:color w:val="000000" w:themeColor="text1"/>
                <w:sz w:val="16"/>
                <w:lang w:val="en-GB"/>
              </w:rPr>
              <w:t>: Current portion of share-based payment liability</w:t>
            </w:r>
          </w:p>
        </w:tc>
        <w:tc>
          <w:tcPr>
            <w:tcW w:w="1134" w:type="dxa"/>
            <w:tcBorders>
              <w:bottom w:val="single" w:sz="4" w:space="0" w:color="auto"/>
            </w:tcBorders>
            <w:shd w:val="clear" w:color="auto" w:fill="auto"/>
            <w:tcMar>
              <w:top w:w="57" w:type="dxa"/>
              <w:left w:w="0" w:type="dxa"/>
              <w:bottom w:w="85" w:type="dxa"/>
              <w:right w:w="0" w:type="dxa"/>
            </w:tcMar>
            <w:vAlign w:val="bottom"/>
          </w:tcPr>
          <w:p w14:paraId="0A112668" w14:textId="77777777" w:rsidR="0099451A" w:rsidRPr="002F078E" w:rsidRDefault="0099451A" w:rsidP="006500E6">
            <w:pPr>
              <w:spacing w:line="240" w:lineRule="atLeast"/>
              <w:jc w:val="right"/>
              <w:rPr>
                <w:rFonts w:ascii="Tahoma" w:hAnsi="Tahoma"/>
                <w:b/>
                <w:bCs/>
                <w:color w:val="000000" w:themeColor="text1"/>
                <w:sz w:val="16"/>
                <w:lang w:val="en-GB"/>
              </w:rPr>
            </w:pPr>
            <w:r w:rsidRPr="002F078E">
              <w:rPr>
                <w:rFonts w:ascii="Tahoma" w:hAnsi="Tahoma"/>
                <w:b/>
                <w:bCs/>
                <w:color w:val="000000" w:themeColor="text1"/>
                <w:sz w:val="16"/>
                <w:lang w:val="en-GB"/>
              </w:rPr>
              <w:t>(648)</w:t>
            </w:r>
          </w:p>
        </w:tc>
        <w:tc>
          <w:tcPr>
            <w:tcW w:w="1134" w:type="dxa"/>
            <w:tcBorders>
              <w:bottom w:val="single" w:sz="4" w:space="0" w:color="auto"/>
            </w:tcBorders>
            <w:shd w:val="clear" w:color="auto" w:fill="auto"/>
            <w:tcMar>
              <w:top w:w="57" w:type="dxa"/>
              <w:left w:w="0" w:type="dxa"/>
              <w:bottom w:w="85" w:type="dxa"/>
              <w:right w:w="0" w:type="dxa"/>
            </w:tcMar>
            <w:vAlign w:val="bottom"/>
          </w:tcPr>
          <w:p w14:paraId="4EFB092B" w14:textId="77777777" w:rsidR="0099451A" w:rsidRPr="0099451A" w:rsidRDefault="0099451A" w:rsidP="006500E6">
            <w:pPr>
              <w:spacing w:line="240" w:lineRule="atLeast"/>
              <w:jc w:val="right"/>
              <w:rPr>
                <w:rFonts w:ascii="Tahoma" w:hAnsi="Tahoma"/>
                <w:color w:val="000000" w:themeColor="text1"/>
                <w:sz w:val="16"/>
                <w:lang w:val="en-GB"/>
              </w:rPr>
            </w:pPr>
            <w:r w:rsidRPr="0099451A">
              <w:rPr>
                <w:rFonts w:ascii="Tahoma" w:hAnsi="Tahoma"/>
                <w:color w:val="000000" w:themeColor="text1"/>
                <w:sz w:val="16"/>
                <w:lang w:val="en-GB"/>
              </w:rPr>
              <w:t>(1 191)</w:t>
            </w:r>
          </w:p>
        </w:tc>
        <w:tc>
          <w:tcPr>
            <w:tcW w:w="1134" w:type="dxa"/>
            <w:tcBorders>
              <w:bottom w:val="single" w:sz="4" w:space="0" w:color="auto"/>
            </w:tcBorders>
            <w:shd w:val="clear" w:color="auto" w:fill="auto"/>
            <w:tcMar>
              <w:top w:w="57" w:type="dxa"/>
              <w:left w:w="0" w:type="dxa"/>
              <w:bottom w:w="85" w:type="dxa"/>
              <w:right w:w="0" w:type="dxa"/>
            </w:tcMar>
            <w:vAlign w:val="bottom"/>
          </w:tcPr>
          <w:p w14:paraId="0F9BA8F7" w14:textId="77777777" w:rsidR="0099451A" w:rsidRPr="0099451A" w:rsidRDefault="0099451A" w:rsidP="006500E6">
            <w:pPr>
              <w:spacing w:line="240" w:lineRule="atLeast"/>
              <w:jc w:val="right"/>
              <w:rPr>
                <w:rFonts w:ascii="Tahoma" w:hAnsi="Tahoma"/>
                <w:color w:val="000000" w:themeColor="text1"/>
                <w:sz w:val="16"/>
                <w:lang w:val="en-GB"/>
              </w:rPr>
            </w:pPr>
            <w:r w:rsidRPr="0099451A">
              <w:rPr>
                <w:rFonts w:ascii="Tahoma" w:hAnsi="Tahoma"/>
                <w:color w:val="000000" w:themeColor="text1"/>
                <w:sz w:val="16"/>
                <w:lang w:val="en-GB"/>
              </w:rPr>
              <w:t>(964)</w:t>
            </w:r>
          </w:p>
        </w:tc>
      </w:tr>
      <w:tr w:rsidR="00615190" w:rsidRPr="0099451A" w14:paraId="01DA26BA" w14:textId="77777777" w:rsidTr="00B1303F">
        <w:trPr>
          <w:trHeight w:val="60"/>
        </w:trPr>
        <w:tc>
          <w:tcPr>
            <w:tcW w:w="397" w:type="dxa"/>
            <w:shd w:val="clear" w:color="auto" w:fill="auto"/>
            <w:tcMar>
              <w:top w:w="85" w:type="dxa"/>
              <w:left w:w="0" w:type="dxa"/>
              <w:bottom w:w="85" w:type="dxa"/>
              <w:right w:w="0" w:type="dxa"/>
            </w:tcMar>
            <w:vAlign w:val="bottom"/>
          </w:tcPr>
          <w:p w14:paraId="629B59C4" w14:textId="77777777" w:rsidR="0099451A" w:rsidRPr="0099451A" w:rsidRDefault="0099451A" w:rsidP="00615190">
            <w:pPr>
              <w:spacing w:line="240" w:lineRule="atLeast"/>
              <w:rPr>
                <w:rFonts w:ascii="Tahoma" w:hAnsi="Tahoma"/>
                <w:color w:val="000000" w:themeColor="text1"/>
                <w:sz w:val="16"/>
                <w:lang w:val="en-GB"/>
              </w:rPr>
            </w:pPr>
          </w:p>
        </w:tc>
        <w:tc>
          <w:tcPr>
            <w:tcW w:w="6407"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7CCFB035" w14:textId="77777777" w:rsidR="0099451A" w:rsidRPr="0099451A" w:rsidRDefault="0099451A" w:rsidP="00615190">
            <w:pPr>
              <w:spacing w:line="240" w:lineRule="atLeast"/>
              <w:rPr>
                <w:rFonts w:ascii="Tahoma" w:hAnsi="Tahoma"/>
                <w:b/>
                <w:bCs/>
                <w:color w:val="000000" w:themeColor="text1"/>
                <w:sz w:val="16"/>
                <w:lang w:val="en-GB"/>
              </w:rPr>
            </w:pPr>
            <w:r w:rsidRPr="0099451A">
              <w:rPr>
                <w:rFonts w:ascii="Tahoma" w:hAnsi="Tahoma"/>
                <w:b/>
                <w:bCs/>
                <w:color w:val="000000" w:themeColor="text1"/>
                <w:sz w:val="16"/>
                <w:lang w:val="en-GB"/>
              </w:rPr>
              <w:t>Non-current portion of share-based payment liability</w:t>
            </w:r>
          </w:p>
        </w:tc>
        <w:tc>
          <w:tcPr>
            <w:tcW w:w="1134"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46A7D2B2" w14:textId="77777777" w:rsidR="0099451A" w:rsidRPr="002F078E" w:rsidRDefault="0099451A" w:rsidP="006500E6">
            <w:pPr>
              <w:spacing w:line="240" w:lineRule="atLeast"/>
              <w:jc w:val="right"/>
              <w:rPr>
                <w:rFonts w:ascii="Tahoma" w:hAnsi="Tahoma"/>
                <w:b/>
                <w:bCs/>
                <w:color w:val="000000" w:themeColor="text1"/>
                <w:sz w:val="16"/>
                <w:lang w:val="en-GB"/>
              </w:rPr>
            </w:pPr>
            <w:r w:rsidRPr="002F078E">
              <w:rPr>
                <w:rFonts w:ascii="Tahoma" w:hAnsi="Tahoma"/>
                <w:b/>
                <w:bCs/>
                <w:color w:val="000000" w:themeColor="text1"/>
                <w:sz w:val="16"/>
                <w:lang w:val="en-GB"/>
              </w:rPr>
              <w:t>75</w:t>
            </w:r>
          </w:p>
        </w:tc>
        <w:tc>
          <w:tcPr>
            <w:tcW w:w="1134"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2F4AD0CE" w14:textId="77777777" w:rsidR="0099451A" w:rsidRPr="0099451A" w:rsidRDefault="0099451A" w:rsidP="006500E6">
            <w:pPr>
              <w:spacing w:line="240" w:lineRule="atLeast"/>
              <w:jc w:val="right"/>
              <w:rPr>
                <w:rFonts w:ascii="Tahoma" w:hAnsi="Tahoma"/>
                <w:color w:val="000000" w:themeColor="text1"/>
                <w:sz w:val="16"/>
                <w:lang w:val="en-GB"/>
              </w:rPr>
            </w:pPr>
            <w:r w:rsidRPr="0099451A">
              <w:rPr>
                <w:rFonts w:ascii="Tahoma" w:hAnsi="Tahoma"/>
                <w:color w:val="000000" w:themeColor="text1"/>
                <w:sz w:val="16"/>
                <w:lang w:val="en-GB"/>
              </w:rPr>
              <w:t>198</w:t>
            </w:r>
          </w:p>
        </w:tc>
        <w:tc>
          <w:tcPr>
            <w:tcW w:w="1134"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64393604" w14:textId="77777777" w:rsidR="0099451A" w:rsidRPr="0099451A" w:rsidRDefault="0099451A" w:rsidP="006500E6">
            <w:pPr>
              <w:spacing w:line="240" w:lineRule="atLeast"/>
              <w:jc w:val="right"/>
              <w:rPr>
                <w:rFonts w:ascii="Tahoma" w:hAnsi="Tahoma"/>
                <w:color w:val="000000" w:themeColor="text1"/>
                <w:sz w:val="16"/>
                <w:lang w:val="en-GB"/>
              </w:rPr>
            </w:pPr>
            <w:r w:rsidRPr="0099451A">
              <w:rPr>
                <w:rFonts w:ascii="Tahoma" w:hAnsi="Tahoma"/>
                <w:color w:val="000000" w:themeColor="text1"/>
                <w:sz w:val="16"/>
                <w:lang w:val="en-GB"/>
              </w:rPr>
              <w:t>163</w:t>
            </w:r>
          </w:p>
        </w:tc>
      </w:tr>
      <w:tr w:rsidR="00615190" w:rsidRPr="0099451A" w14:paraId="259AC71E" w14:textId="77777777" w:rsidTr="00B1303F">
        <w:trPr>
          <w:trHeight w:val="60"/>
        </w:trPr>
        <w:tc>
          <w:tcPr>
            <w:tcW w:w="397" w:type="dxa"/>
            <w:shd w:val="clear" w:color="auto" w:fill="auto"/>
            <w:tcMar>
              <w:top w:w="85" w:type="dxa"/>
              <w:left w:w="0" w:type="dxa"/>
              <w:bottom w:w="85" w:type="dxa"/>
              <w:right w:w="0" w:type="dxa"/>
            </w:tcMar>
            <w:vAlign w:val="bottom"/>
          </w:tcPr>
          <w:p w14:paraId="290C56EF" w14:textId="77777777" w:rsidR="0099451A" w:rsidRPr="0099451A" w:rsidRDefault="0099451A" w:rsidP="00615190">
            <w:pPr>
              <w:spacing w:line="240" w:lineRule="atLeast"/>
              <w:rPr>
                <w:rFonts w:ascii="Tahoma" w:hAnsi="Tahoma"/>
                <w:color w:val="000000" w:themeColor="text1"/>
                <w:sz w:val="16"/>
                <w:lang w:val="en-GB"/>
              </w:rPr>
            </w:pPr>
          </w:p>
        </w:tc>
        <w:tc>
          <w:tcPr>
            <w:tcW w:w="9809" w:type="dxa"/>
            <w:gridSpan w:val="4"/>
            <w:tcBorders>
              <w:top w:val="single" w:sz="12" w:space="0" w:color="auto"/>
            </w:tcBorders>
            <w:shd w:val="clear" w:color="auto" w:fill="auto"/>
            <w:tcMar>
              <w:top w:w="85" w:type="dxa"/>
              <w:left w:w="0" w:type="dxa"/>
              <w:bottom w:w="85" w:type="dxa"/>
              <w:right w:w="0" w:type="dxa"/>
            </w:tcMar>
            <w:vAlign w:val="bottom"/>
          </w:tcPr>
          <w:p w14:paraId="596FCC7E" w14:textId="77777777" w:rsidR="0099451A" w:rsidRPr="0099451A" w:rsidRDefault="0099451A" w:rsidP="00103C3E">
            <w:pPr>
              <w:pStyle w:val="FootnotesProsus2022FrontStylesProsus2022"/>
            </w:pPr>
            <w:r w:rsidRPr="0099451A">
              <w:t>1</w:t>
            </w:r>
            <w:r w:rsidRPr="0099451A">
              <w:tab/>
              <w:t>The decrease in the expense is as a result of the decline in the fair values of the underlying businesses that decreased the estimated cash settlement for the schemes.</w:t>
            </w:r>
          </w:p>
          <w:p w14:paraId="3104DB0F" w14:textId="77777777" w:rsidR="0099451A" w:rsidRPr="0099451A" w:rsidRDefault="0099451A" w:rsidP="00103C3E">
            <w:pPr>
              <w:pStyle w:val="FootnotesProsus2022FrontStylesProsus2022"/>
            </w:pPr>
            <w:r w:rsidRPr="0099451A">
              <w:t>2</w:t>
            </w:r>
            <w:r w:rsidRPr="0099451A">
              <w:tab/>
              <w:t xml:space="preserve">Some of the group’s equity-settled compensation plans were prospectively modified to cash settled due to the change in settlement policy of the share option schemes. In the 31 March 2022 financial year, the modification relates primarily to the </w:t>
            </w:r>
            <w:proofErr w:type="spellStart"/>
            <w:r w:rsidRPr="0099451A">
              <w:t>iFood</w:t>
            </w:r>
            <w:proofErr w:type="spellEnd"/>
            <w:r w:rsidRPr="0099451A">
              <w:t xml:space="preserve"> share option scheme to cash settled.</w:t>
            </w:r>
          </w:p>
          <w:p w14:paraId="2254ADC3" w14:textId="77777777" w:rsidR="0099451A" w:rsidRPr="0099451A" w:rsidRDefault="0099451A" w:rsidP="00103C3E">
            <w:pPr>
              <w:pStyle w:val="FootnotesProsus2022FrontStylesProsus2022"/>
            </w:pPr>
            <w:r w:rsidRPr="0099451A">
              <w:t>3</w:t>
            </w:r>
            <w:r w:rsidRPr="0099451A">
              <w:tab/>
              <w:t xml:space="preserve">Relates primarily to </w:t>
            </w:r>
            <w:proofErr w:type="spellStart"/>
            <w:r w:rsidRPr="0099451A">
              <w:t>Avito’s</w:t>
            </w:r>
            <w:proofErr w:type="spellEnd"/>
            <w:r w:rsidRPr="0099451A">
              <w:t xml:space="preserve"> share-based payment liability which was classified as held for sale in May 2022 (refer to note 14).</w:t>
            </w:r>
          </w:p>
        </w:tc>
      </w:tr>
    </w:tbl>
    <w:p w14:paraId="3DD582FF" w14:textId="77777777" w:rsidR="00345E46" w:rsidRDefault="00345E46" w:rsidP="00615190">
      <w:pPr>
        <w:spacing w:line="240" w:lineRule="atLeast"/>
        <w:rPr>
          <w:rFonts w:ascii="Tahoma" w:hAnsi="Tahoma"/>
          <w:color w:val="000000" w:themeColor="text1"/>
          <w:sz w:val="16"/>
        </w:rPr>
      </w:pPr>
    </w:p>
    <w:p w14:paraId="430F33D9" w14:textId="77777777" w:rsidR="00345E46" w:rsidRDefault="00345E46">
      <w:pPr>
        <w:rPr>
          <w:rFonts w:ascii="Tahoma" w:hAnsi="Tahoma"/>
          <w:color w:val="000000" w:themeColor="text1"/>
          <w:sz w:val="16"/>
        </w:rPr>
      </w:pPr>
      <w:r>
        <w:rPr>
          <w:rFonts w:ascii="Tahoma" w:hAnsi="Tahoma"/>
          <w:color w:val="000000" w:themeColor="text1"/>
          <w:sz w:val="16"/>
        </w:rPr>
        <w:br w:type="page"/>
      </w:r>
    </w:p>
    <w:p w14:paraId="3944E30D" w14:textId="77777777" w:rsidR="0099451A" w:rsidRPr="00615190" w:rsidRDefault="0099451A" w:rsidP="00615190">
      <w:pPr>
        <w:spacing w:line="240" w:lineRule="atLeast"/>
        <w:rPr>
          <w:rFonts w:ascii="Tahoma" w:hAnsi="Tahoma"/>
          <w:color w:val="000000" w:themeColor="text1"/>
          <w:sz w:val="16"/>
        </w:rPr>
      </w:pPr>
    </w:p>
    <w:tbl>
      <w:tblPr>
        <w:tblW w:w="10214" w:type="dxa"/>
        <w:tblInd w:w="-8" w:type="dxa"/>
        <w:tblLayout w:type="fixed"/>
        <w:tblCellMar>
          <w:left w:w="0" w:type="dxa"/>
          <w:right w:w="0" w:type="dxa"/>
        </w:tblCellMar>
        <w:tblLook w:val="0000" w:firstRow="0" w:lastRow="0" w:firstColumn="0" w:lastColumn="0" w:noHBand="0" w:noVBand="0"/>
      </w:tblPr>
      <w:tblGrid>
        <w:gridCol w:w="397"/>
        <w:gridCol w:w="462"/>
        <w:gridCol w:w="3402"/>
        <w:gridCol w:w="1268"/>
        <w:gridCol w:w="1275"/>
        <w:gridCol w:w="1134"/>
        <w:gridCol w:w="1142"/>
        <w:gridCol w:w="1126"/>
        <w:gridCol w:w="8"/>
      </w:tblGrid>
      <w:tr w:rsidR="00615190" w:rsidRPr="008A766F" w14:paraId="314920DD" w14:textId="77777777" w:rsidTr="009A2757">
        <w:trPr>
          <w:gridAfter w:val="1"/>
          <w:wAfter w:w="8" w:type="dxa"/>
          <w:trHeight w:val="60"/>
        </w:trPr>
        <w:tc>
          <w:tcPr>
            <w:tcW w:w="397" w:type="dxa"/>
            <w:shd w:val="clear" w:color="auto" w:fill="auto"/>
            <w:tcMar>
              <w:top w:w="0" w:type="dxa"/>
              <w:left w:w="0" w:type="dxa"/>
              <w:bottom w:w="57" w:type="dxa"/>
              <w:right w:w="0" w:type="dxa"/>
            </w:tcMar>
            <w:vAlign w:val="bottom"/>
          </w:tcPr>
          <w:p w14:paraId="22C72DAF" w14:textId="77777777" w:rsidR="008A766F" w:rsidRPr="008A766F" w:rsidRDefault="009071CC" w:rsidP="00615190">
            <w:pPr>
              <w:spacing w:line="240" w:lineRule="atLeast"/>
              <w:rPr>
                <w:rFonts w:ascii="Tahoma" w:hAnsi="Tahoma"/>
                <w:b/>
                <w:bCs/>
                <w:color w:val="000000" w:themeColor="text1"/>
                <w:sz w:val="16"/>
                <w:lang w:val="en-GB"/>
              </w:rPr>
            </w:pPr>
            <w:r w:rsidRPr="008A766F">
              <w:rPr>
                <w:rFonts w:ascii="Tahoma" w:hAnsi="Tahoma"/>
                <w:b/>
                <w:bCs/>
                <w:color w:val="000000" w:themeColor="text1"/>
                <w:sz w:val="16"/>
                <w:lang w:val="en-GB"/>
              </w:rPr>
              <w:t>16.</w:t>
            </w:r>
          </w:p>
        </w:tc>
        <w:tc>
          <w:tcPr>
            <w:tcW w:w="9809" w:type="dxa"/>
            <w:gridSpan w:val="7"/>
            <w:shd w:val="clear" w:color="auto" w:fill="auto"/>
            <w:tcMar>
              <w:top w:w="0" w:type="dxa"/>
              <w:left w:w="0" w:type="dxa"/>
              <w:bottom w:w="57" w:type="dxa"/>
              <w:right w:w="0" w:type="dxa"/>
            </w:tcMar>
            <w:vAlign w:val="bottom"/>
          </w:tcPr>
          <w:p w14:paraId="4E3062BF" w14:textId="77777777" w:rsidR="008A766F" w:rsidRPr="008A766F" w:rsidRDefault="009071CC" w:rsidP="00615190">
            <w:pPr>
              <w:spacing w:line="240" w:lineRule="atLeast"/>
              <w:rPr>
                <w:rFonts w:ascii="Tahoma" w:hAnsi="Tahoma"/>
                <w:b/>
                <w:bCs/>
                <w:color w:val="000000" w:themeColor="text1"/>
                <w:sz w:val="16"/>
                <w:lang w:val="en-GB"/>
              </w:rPr>
            </w:pPr>
            <w:r w:rsidRPr="008A766F">
              <w:rPr>
                <w:rFonts w:ascii="Tahoma" w:hAnsi="Tahoma"/>
                <w:b/>
                <w:bCs/>
                <w:color w:val="000000" w:themeColor="text1"/>
                <w:sz w:val="16"/>
                <w:lang w:val="en-GB"/>
              </w:rPr>
              <w:t>BUSINESS COMBINATIONS, OTHER ACQUISITIONS AND DISPOSALS</w:t>
            </w:r>
          </w:p>
        </w:tc>
      </w:tr>
      <w:tr w:rsidR="00615190" w:rsidRPr="008A766F" w14:paraId="4CAEF0A3" w14:textId="77777777" w:rsidTr="009A2757">
        <w:trPr>
          <w:gridAfter w:val="1"/>
          <w:wAfter w:w="8" w:type="dxa"/>
          <w:trHeight w:val="60"/>
        </w:trPr>
        <w:tc>
          <w:tcPr>
            <w:tcW w:w="397" w:type="dxa"/>
            <w:shd w:val="clear" w:color="auto" w:fill="auto"/>
            <w:tcMar>
              <w:top w:w="57" w:type="dxa"/>
              <w:left w:w="0" w:type="dxa"/>
              <w:bottom w:w="113" w:type="dxa"/>
              <w:right w:w="0" w:type="dxa"/>
            </w:tcMar>
            <w:vAlign w:val="bottom"/>
          </w:tcPr>
          <w:p w14:paraId="5D7E9234" w14:textId="77777777" w:rsidR="008A766F" w:rsidRPr="008A766F" w:rsidRDefault="008A766F" w:rsidP="00615190">
            <w:pPr>
              <w:spacing w:line="240" w:lineRule="atLeast"/>
              <w:rPr>
                <w:rFonts w:ascii="Tahoma" w:hAnsi="Tahoma"/>
                <w:color w:val="000000" w:themeColor="text1"/>
                <w:sz w:val="16"/>
                <w:lang w:val="en-GB"/>
              </w:rPr>
            </w:pPr>
          </w:p>
        </w:tc>
        <w:tc>
          <w:tcPr>
            <w:tcW w:w="9809" w:type="dxa"/>
            <w:gridSpan w:val="7"/>
            <w:shd w:val="clear" w:color="auto" w:fill="auto"/>
            <w:tcMar>
              <w:top w:w="57" w:type="dxa"/>
              <w:left w:w="0" w:type="dxa"/>
              <w:bottom w:w="113" w:type="dxa"/>
              <w:right w:w="0" w:type="dxa"/>
            </w:tcMar>
            <w:vAlign w:val="bottom"/>
          </w:tcPr>
          <w:p w14:paraId="5BBBBF83" w14:textId="77777777" w:rsidR="008A766F" w:rsidRPr="008A766F" w:rsidRDefault="008A766F" w:rsidP="00615190">
            <w:pPr>
              <w:spacing w:line="240" w:lineRule="atLeast"/>
              <w:rPr>
                <w:rFonts w:ascii="Tahoma" w:hAnsi="Tahoma"/>
                <w:color w:val="000000" w:themeColor="text1"/>
                <w:sz w:val="16"/>
                <w:lang w:val="en-GB"/>
              </w:rPr>
            </w:pPr>
            <w:r w:rsidRPr="008A766F">
              <w:rPr>
                <w:rFonts w:ascii="Tahoma" w:hAnsi="Tahoma"/>
                <w:color w:val="000000" w:themeColor="text1"/>
                <w:sz w:val="16"/>
                <w:lang w:val="en-GB"/>
              </w:rPr>
              <w:t>The following relates to the group’s significant transactions related to business combinations and other investments for the six months ended 30 September 2022:</w:t>
            </w:r>
          </w:p>
        </w:tc>
      </w:tr>
      <w:tr w:rsidR="00615190" w:rsidRPr="008A766F" w14:paraId="37BEF06A" w14:textId="77777777" w:rsidTr="00B86610">
        <w:trPr>
          <w:gridAfter w:val="1"/>
          <w:wAfter w:w="8" w:type="dxa"/>
          <w:trHeight w:val="60"/>
        </w:trPr>
        <w:tc>
          <w:tcPr>
            <w:tcW w:w="397" w:type="dxa"/>
            <w:shd w:val="clear" w:color="auto" w:fill="auto"/>
            <w:tcMar>
              <w:top w:w="85" w:type="dxa"/>
              <w:left w:w="0" w:type="dxa"/>
              <w:bottom w:w="85" w:type="dxa"/>
              <w:right w:w="0" w:type="dxa"/>
            </w:tcMar>
            <w:vAlign w:val="bottom"/>
          </w:tcPr>
          <w:p w14:paraId="6E527434" w14:textId="77777777" w:rsidR="008A766F" w:rsidRPr="008A766F" w:rsidRDefault="008A766F" w:rsidP="00615190">
            <w:pPr>
              <w:spacing w:line="240" w:lineRule="atLeast"/>
              <w:rPr>
                <w:rFonts w:ascii="Tahoma" w:hAnsi="Tahoma"/>
                <w:color w:val="000000" w:themeColor="text1"/>
                <w:sz w:val="16"/>
                <w:lang w:val="en-GB"/>
              </w:rPr>
            </w:pPr>
          </w:p>
        </w:tc>
        <w:tc>
          <w:tcPr>
            <w:tcW w:w="462" w:type="dxa"/>
            <w:shd w:val="clear" w:color="auto" w:fill="auto"/>
            <w:tcMar>
              <w:top w:w="85" w:type="dxa"/>
              <w:left w:w="0" w:type="dxa"/>
              <w:bottom w:w="85" w:type="dxa"/>
              <w:right w:w="0" w:type="dxa"/>
            </w:tcMar>
            <w:vAlign w:val="bottom"/>
          </w:tcPr>
          <w:p w14:paraId="6C40EAAB" w14:textId="77777777" w:rsidR="008A766F" w:rsidRPr="008A766F" w:rsidRDefault="008A766F" w:rsidP="00615190">
            <w:pPr>
              <w:spacing w:line="240" w:lineRule="atLeast"/>
              <w:rPr>
                <w:rFonts w:ascii="Tahoma" w:hAnsi="Tahoma"/>
                <w:color w:val="000000" w:themeColor="text1"/>
                <w:sz w:val="16"/>
                <w:lang w:val="en-GB"/>
              </w:rPr>
            </w:pPr>
          </w:p>
        </w:tc>
        <w:tc>
          <w:tcPr>
            <w:tcW w:w="3402" w:type="dxa"/>
            <w:shd w:val="clear" w:color="auto" w:fill="auto"/>
            <w:tcMar>
              <w:top w:w="85" w:type="dxa"/>
              <w:left w:w="0" w:type="dxa"/>
              <w:bottom w:w="85" w:type="dxa"/>
              <w:right w:w="0" w:type="dxa"/>
            </w:tcMar>
            <w:vAlign w:val="bottom"/>
          </w:tcPr>
          <w:p w14:paraId="1177A506" w14:textId="77777777" w:rsidR="008A766F" w:rsidRPr="008A766F" w:rsidRDefault="008A766F" w:rsidP="00615190">
            <w:pPr>
              <w:spacing w:line="240" w:lineRule="atLeast"/>
              <w:rPr>
                <w:rFonts w:ascii="Tahoma" w:hAnsi="Tahoma"/>
                <w:b/>
                <w:bCs/>
                <w:color w:val="000000" w:themeColor="text1"/>
                <w:sz w:val="16"/>
                <w:lang w:val="en-GB"/>
              </w:rPr>
            </w:pPr>
          </w:p>
        </w:tc>
        <w:tc>
          <w:tcPr>
            <w:tcW w:w="1268" w:type="dxa"/>
            <w:shd w:val="clear" w:color="auto" w:fill="auto"/>
            <w:tcMar>
              <w:top w:w="85" w:type="dxa"/>
              <w:left w:w="0" w:type="dxa"/>
              <w:bottom w:w="85" w:type="dxa"/>
              <w:right w:w="0" w:type="dxa"/>
            </w:tcMar>
            <w:vAlign w:val="bottom"/>
          </w:tcPr>
          <w:p w14:paraId="3602973F" w14:textId="77777777" w:rsidR="008A766F" w:rsidRPr="008A766F" w:rsidRDefault="008A766F" w:rsidP="00615190">
            <w:pPr>
              <w:spacing w:line="240" w:lineRule="atLeast"/>
              <w:rPr>
                <w:rFonts w:ascii="Tahoma" w:hAnsi="Tahoma"/>
                <w:b/>
                <w:bCs/>
                <w:color w:val="000000" w:themeColor="text1"/>
                <w:sz w:val="16"/>
                <w:lang w:val="en-GB"/>
              </w:rPr>
            </w:pPr>
          </w:p>
        </w:tc>
        <w:tc>
          <w:tcPr>
            <w:tcW w:w="4677" w:type="dxa"/>
            <w:gridSpan w:val="4"/>
            <w:shd w:val="clear" w:color="auto" w:fill="auto"/>
            <w:tcMar>
              <w:top w:w="85" w:type="dxa"/>
              <w:left w:w="0" w:type="dxa"/>
              <w:bottom w:w="85" w:type="dxa"/>
              <w:right w:w="0" w:type="dxa"/>
            </w:tcMar>
            <w:vAlign w:val="bottom"/>
          </w:tcPr>
          <w:p w14:paraId="1C710AFB" w14:textId="77777777" w:rsidR="008A766F" w:rsidRPr="008A766F" w:rsidRDefault="008A766F" w:rsidP="00BD26CF">
            <w:pPr>
              <w:spacing w:line="240" w:lineRule="atLeast"/>
              <w:jc w:val="center"/>
              <w:rPr>
                <w:rFonts w:ascii="Tahoma" w:hAnsi="Tahoma"/>
                <w:b/>
                <w:bCs/>
                <w:color w:val="000000" w:themeColor="text1"/>
                <w:sz w:val="16"/>
                <w:lang w:val="en-GB"/>
              </w:rPr>
            </w:pPr>
            <w:r w:rsidRPr="008A766F">
              <w:rPr>
                <w:rFonts w:ascii="Tahoma" w:hAnsi="Tahoma"/>
                <w:b/>
                <w:bCs/>
                <w:color w:val="000000" w:themeColor="text1"/>
                <w:sz w:val="16"/>
                <w:lang w:val="en-GB"/>
              </w:rPr>
              <w:t xml:space="preserve">Amount invested </w:t>
            </w:r>
            <w:proofErr w:type="spellStart"/>
            <w:r w:rsidRPr="008A766F">
              <w:rPr>
                <w:rFonts w:ascii="Tahoma" w:hAnsi="Tahoma"/>
                <w:b/>
                <w:bCs/>
                <w:color w:val="000000" w:themeColor="text1"/>
                <w:sz w:val="16"/>
                <w:lang w:val="en-GB"/>
              </w:rPr>
              <w:t>US$’m</w:t>
            </w:r>
            <w:proofErr w:type="spellEnd"/>
          </w:p>
        </w:tc>
      </w:tr>
      <w:tr w:rsidR="00615190" w:rsidRPr="008A766F" w14:paraId="2DEC55A2" w14:textId="77777777" w:rsidTr="002F078E">
        <w:trPr>
          <w:gridAfter w:val="1"/>
          <w:wAfter w:w="8" w:type="dxa"/>
          <w:trHeight w:val="60"/>
        </w:trPr>
        <w:tc>
          <w:tcPr>
            <w:tcW w:w="397" w:type="dxa"/>
            <w:shd w:val="clear" w:color="auto" w:fill="auto"/>
            <w:tcMar>
              <w:top w:w="113" w:type="dxa"/>
              <w:left w:w="0" w:type="dxa"/>
              <w:bottom w:w="113" w:type="dxa"/>
              <w:right w:w="0" w:type="dxa"/>
            </w:tcMar>
            <w:vAlign w:val="bottom"/>
          </w:tcPr>
          <w:p w14:paraId="3319D2F2" w14:textId="77777777" w:rsidR="008A766F" w:rsidRPr="008A766F" w:rsidRDefault="008A766F" w:rsidP="00615190">
            <w:pPr>
              <w:spacing w:line="240" w:lineRule="atLeast"/>
              <w:rPr>
                <w:rFonts w:ascii="Tahoma" w:hAnsi="Tahoma"/>
                <w:color w:val="000000" w:themeColor="text1"/>
                <w:sz w:val="16"/>
                <w:lang w:val="en-GB"/>
              </w:rPr>
            </w:pPr>
          </w:p>
        </w:tc>
        <w:tc>
          <w:tcPr>
            <w:tcW w:w="3864" w:type="dxa"/>
            <w:gridSpan w:val="2"/>
            <w:tcBorders>
              <w:bottom w:val="single" w:sz="12" w:space="0" w:color="auto"/>
            </w:tcBorders>
            <w:shd w:val="clear" w:color="auto" w:fill="auto"/>
            <w:tcMar>
              <w:top w:w="113" w:type="dxa"/>
              <w:left w:w="0" w:type="dxa"/>
              <w:bottom w:w="113" w:type="dxa"/>
              <w:right w:w="0" w:type="dxa"/>
            </w:tcMar>
            <w:vAlign w:val="bottom"/>
          </w:tcPr>
          <w:p w14:paraId="00BE6FD9" w14:textId="77777777" w:rsidR="008A766F" w:rsidRPr="008A766F" w:rsidRDefault="008A766F" w:rsidP="00615190">
            <w:pPr>
              <w:spacing w:line="240" w:lineRule="atLeast"/>
              <w:rPr>
                <w:rFonts w:ascii="Tahoma" w:hAnsi="Tahoma"/>
                <w:b/>
                <w:bCs/>
                <w:color w:val="000000" w:themeColor="text1"/>
                <w:sz w:val="16"/>
                <w:lang w:val="en-GB"/>
              </w:rPr>
            </w:pPr>
            <w:r w:rsidRPr="008A766F">
              <w:rPr>
                <w:rFonts w:ascii="Tahoma" w:hAnsi="Tahoma"/>
                <w:b/>
                <w:bCs/>
                <w:color w:val="000000" w:themeColor="text1"/>
                <w:sz w:val="16"/>
                <w:lang w:val="en-GB"/>
              </w:rPr>
              <w:t>Company</w:t>
            </w:r>
          </w:p>
        </w:tc>
        <w:tc>
          <w:tcPr>
            <w:tcW w:w="1268" w:type="dxa"/>
            <w:tcBorders>
              <w:bottom w:val="single" w:sz="12" w:space="0" w:color="auto"/>
            </w:tcBorders>
            <w:shd w:val="clear" w:color="auto" w:fill="auto"/>
            <w:tcMar>
              <w:top w:w="113" w:type="dxa"/>
              <w:left w:w="0" w:type="dxa"/>
              <w:bottom w:w="113" w:type="dxa"/>
              <w:right w:w="0" w:type="dxa"/>
            </w:tcMar>
            <w:vAlign w:val="bottom"/>
          </w:tcPr>
          <w:p w14:paraId="24D59AD2" w14:textId="77777777" w:rsidR="008A766F" w:rsidRPr="008A766F" w:rsidRDefault="008A766F" w:rsidP="00615190">
            <w:pPr>
              <w:spacing w:line="240" w:lineRule="atLeast"/>
              <w:rPr>
                <w:rFonts w:ascii="Tahoma" w:hAnsi="Tahoma"/>
                <w:b/>
                <w:bCs/>
                <w:color w:val="000000" w:themeColor="text1"/>
                <w:sz w:val="16"/>
                <w:lang w:val="en-GB"/>
              </w:rPr>
            </w:pPr>
            <w:r w:rsidRPr="008A766F">
              <w:rPr>
                <w:rFonts w:ascii="Tahoma" w:hAnsi="Tahoma"/>
                <w:b/>
                <w:bCs/>
                <w:color w:val="000000" w:themeColor="text1"/>
                <w:sz w:val="16"/>
                <w:lang w:val="en-GB"/>
              </w:rPr>
              <w:t>Classification</w:t>
            </w:r>
          </w:p>
        </w:tc>
        <w:tc>
          <w:tcPr>
            <w:tcW w:w="1275" w:type="dxa"/>
            <w:tcBorders>
              <w:bottom w:val="single" w:sz="12" w:space="0" w:color="auto"/>
            </w:tcBorders>
            <w:shd w:val="clear" w:color="auto" w:fill="auto"/>
            <w:tcMar>
              <w:top w:w="113" w:type="dxa"/>
              <w:left w:w="0" w:type="dxa"/>
              <w:bottom w:w="113" w:type="dxa"/>
              <w:right w:w="0" w:type="dxa"/>
            </w:tcMar>
            <w:vAlign w:val="bottom"/>
          </w:tcPr>
          <w:p w14:paraId="31A12C9A" w14:textId="77777777" w:rsidR="008A766F" w:rsidRPr="008A766F" w:rsidRDefault="008A766F" w:rsidP="00FB30A6">
            <w:pPr>
              <w:spacing w:line="240" w:lineRule="atLeast"/>
              <w:jc w:val="right"/>
              <w:rPr>
                <w:rFonts w:ascii="Tahoma" w:hAnsi="Tahoma"/>
                <w:b/>
                <w:bCs/>
                <w:color w:val="000000" w:themeColor="text1"/>
                <w:sz w:val="16"/>
                <w:lang w:val="en-GB"/>
              </w:rPr>
            </w:pPr>
            <w:r w:rsidRPr="008A766F">
              <w:rPr>
                <w:rFonts w:ascii="Tahoma" w:hAnsi="Tahoma"/>
                <w:b/>
                <w:bCs/>
                <w:color w:val="000000" w:themeColor="text1"/>
                <w:sz w:val="16"/>
                <w:lang w:val="en-GB"/>
              </w:rPr>
              <w:t>Net</w:t>
            </w:r>
          </w:p>
          <w:p w14:paraId="0F38EBC6" w14:textId="77777777" w:rsidR="008A766F" w:rsidRPr="008A766F" w:rsidRDefault="008A766F" w:rsidP="00FB30A6">
            <w:pPr>
              <w:spacing w:line="240" w:lineRule="atLeast"/>
              <w:jc w:val="right"/>
              <w:rPr>
                <w:rFonts w:ascii="Tahoma" w:hAnsi="Tahoma"/>
                <w:b/>
                <w:bCs/>
                <w:color w:val="000000" w:themeColor="text1"/>
                <w:sz w:val="16"/>
                <w:lang w:val="en-GB"/>
              </w:rPr>
            </w:pPr>
            <w:r w:rsidRPr="008A766F">
              <w:rPr>
                <w:rFonts w:ascii="Tahoma" w:hAnsi="Tahoma"/>
                <w:b/>
                <w:bCs/>
                <w:color w:val="000000" w:themeColor="text1"/>
                <w:sz w:val="16"/>
                <w:lang w:val="en-GB"/>
              </w:rPr>
              <w:t>cash</w:t>
            </w:r>
          </w:p>
          <w:p w14:paraId="15B9C244" w14:textId="77777777" w:rsidR="008A766F" w:rsidRPr="008A766F" w:rsidRDefault="008A766F" w:rsidP="00FB30A6">
            <w:pPr>
              <w:spacing w:line="240" w:lineRule="atLeast"/>
              <w:jc w:val="right"/>
              <w:rPr>
                <w:rFonts w:ascii="Tahoma" w:hAnsi="Tahoma"/>
                <w:b/>
                <w:bCs/>
                <w:color w:val="000000" w:themeColor="text1"/>
                <w:sz w:val="16"/>
                <w:lang w:val="en-GB"/>
              </w:rPr>
            </w:pPr>
            <w:r w:rsidRPr="008A766F">
              <w:rPr>
                <w:rFonts w:ascii="Tahoma" w:hAnsi="Tahoma"/>
                <w:b/>
                <w:bCs/>
                <w:color w:val="000000" w:themeColor="text1"/>
                <w:sz w:val="16"/>
                <w:lang w:val="en-GB"/>
              </w:rPr>
              <w:t>paid/</w:t>
            </w:r>
          </w:p>
          <w:p w14:paraId="125E76CC" w14:textId="77777777" w:rsidR="008A766F" w:rsidRPr="008A766F" w:rsidRDefault="008A766F" w:rsidP="00FB30A6">
            <w:pPr>
              <w:spacing w:line="240" w:lineRule="atLeast"/>
              <w:jc w:val="right"/>
              <w:rPr>
                <w:rFonts w:ascii="Tahoma" w:hAnsi="Tahoma"/>
                <w:b/>
                <w:bCs/>
                <w:color w:val="000000" w:themeColor="text1"/>
                <w:sz w:val="16"/>
                <w:lang w:val="en-GB"/>
              </w:rPr>
            </w:pPr>
            <w:r w:rsidRPr="008A766F">
              <w:rPr>
                <w:rFonts w:ascii="Tahoma" w:hAnsi="Tahoma"/>
                <w:b/>
                <w:bCs/>
                <w:color w:val="000000" w:themeColor="text1"/>
                <w:sz w:val="16"/>
                <w:lang w:val="en-GB"/>
              </w:rPr>
              <w:t>(received)</w:t>
            </w:r>
          </w:p>
        </w:tc>
        <w:tc>
          <w:tcPr>
            <w:tcW w:w="1134" w:type="dxa"/>
            <w:tcBorders>
              <w:bottom w:val="single" w:sz="12" w:space="0" w:color="auto"/>
            </w:tcBorders>
            <w:shd w:val="clear" w:color="auto" w:fill="auto"/>
            <w:tcMar>
              <w:top w:w="113" w:type="dxa"/>
              <w:left w:w="0" w:type="dxa"/>
              <w:bottom w:w="113" w:type="dxa"/>
              <w:right w:w="0" w:type="dxa"/>
            </w:tcMar>
            <w:vAlign w:val="bottom"/>
          </w:tcPr>
          <w:p w14:paraId="4D0021E6" w14:textId="77777777" w:rsidR="008A766F" w:rsidRPr="008A766F" w:rsidRDefault="008A766F" w:rsidP="00FB30A6">
            <w:pPr>
              <w:spacing w:line="240" w:lineRule="atLeast"/>
              <w:jc w:val="right"/>
              <w:rPr>
                <w:rFonts w:ascii="Tahoma" w:hAnsi="Tahoma"/>
                <w:b/>
                <w:bCs/>
                <w:color w:val="000000" w:themeColor="text1"/>
                <w:sz w:val="16"/>
                <w:lang w:val="en-GB"/>
              </w:rPr>
            </w:pPr>
            <w:r w:rsidRPr="008A766F">
              <w:rPr>
                <w:rFonts w:ascii="Tahoma" w:hAnsi="Tahoma"/>
                <w:b/>
                <w:bCs/>
                <w:color w:val="000000" w:themeColor="text1"/>
                <w:sz w:val="16"/>
                <w:lang w:val="en-GB"/>
              </w:rPr>
              <w:t>Non-cash</w:t>
            </w:r>
          </w:p>
          <w:p w14:paraId="19215614" w14:textId="77777777" w:rsidR="008A766F" w:rsidRPr="008A766F" w:rsidRDefault="008A766F" w:rsidP="00FB30A6">
            <w:pPr>
              <w:spacing w:line="240" w:lineRule="atLeast"/>
              <w:jc w:val="right"/>
              <w:rPr>
                <w:rFonts w:ascii="Tahoma" w:hAnsi="Tahoma"/>
                <w:b/>
                <w:bCs/>
                <w:color w:val="000000" w:themeColor="text1"/>
                <w:sz w:val="16"/>
                <w:lang w:val="en-GB"/>
              </w:rPr>
            </w:pPr>
            <w:proofErr w:type="spellStart"/>
            <w:r w:rsidRPr="008A766F">
              <w:rPr>
                <w:rFonts w:ascii="Tahoma" w:hAnsi="Tahoma"/>
                <w:b/>
                <w:bCs/>
                <w:color w:val="000000" w:themeColor="text1"/>
                <w:sz w:val="16"/>
                <w:lang w:val="en-GB"/>
              </w:rPr>
              <w:t>consi</w:t>
            </w:r>
            <w:proofErr w:type="spellEnd"/>
            <w:r w:rsidRPr="008A766F">
              <w:rPr>
                <w:rFonts w:ascii="Tahoma" w:hAnsi="Tahoma"/>
                <w:b/>
                <w:bCs/>
                <w:color w:val="000000" w:themeColor="text1"/>
                <w:sz w:val="16"/>
                <w:lang w:val="en-GB"/>
              </w:rPr>
              <w:t>-</w:t>
            </w:r>
          </w:p>
          <w:p w14:paraId="2EEFED12" w14:textId="77777777" w:rsidR="008A766F" w:rsidRPr="008A766F" w:rsidRDefault="008A766F" w:rsidP="00FB30A6">
            <w:pPr>
              <w:spacing w:line="240" w:lineRule="atLeast"/>
              <w:jc w:val="right"/>
              <w:rPr>
                <w:rFonts w:ascii="Tahoma" w:hAnsi="Tahoma"/>
                <w:b/>
                <w:bCs/>
                <w:color w:val="000000" w:themeColor="text1"/>
                <w:sz w:val="16"/>
                <w:lang w:val="en-GB"/>
              </w:rPr>
            </w:pPr>
            <w:r w:rsidRPr="008A766F">
              <w:rPr>
                <w:rFonts w:ascii="Tahoma" w:hAnsi="Tahoma"/>
                <w:b/>
                <w:bCs/>
                <w:color w:val="000000" w:themeColor="text1"/>
                <w:sz w:val="16"/>
                <w:lang w:val="en-GB"/>
              </w:rPr>
              <w:t>deration</w:t>
            </w:r>
          </w:p>
        </w:tc>
        <w:tc>
          <w:tcPr>
            <w:tcW w:w="1142" w:type="dxa"/>
            <w:tcBorders>
              <w:bottom w:val="single" w:sz="12" w:space="0" w:color="auto"/>
            </w:tcBorders>
            <w:shd w:val="clear" w:color="auto" w:fill="auto"/>
            <w:tcMar>
              <w:top w:w="113" w:type="dxa"/>
              <w:left w:w="0" w:type="dxa"/>
              <w:bottom w:w="113" w:type="dxa"/>
              <w:right w:w="0" w:type="dxa"/>
            </w:tcMar>
            <w:vAlign w:val="bottom"/>
          </w:tcPr>
          <w:p w14:paraId="4566A108" w14:textId="77777777" w:rsidR="008A766F" w:rsidRPr="008A766F" w:rsidRDefault="008A766F" w:rsidP="00FB30A6">
            <w:pPr>
              <w:spacing w:line="240" w:lineRule="atLeast"/>
              <w:jc w:val="right"/>
              <w:rPr>
                <w:rFonts w:ascii="Tahoma" w:hAnsi="Tahoma"/>
                <w:b/>
                <w:bCs/>
                <w:color w:val="000000" w:themeColor="text1"/>
                <w:sz w:val="16"/>
                <w:lang w:val="en-GB"/>
              </w:rPr>
            </w:pPr>
            <w:r w:rsidRPr="008A766F">
              <w:rPr>
                <w:rFonts w:ascii="Tahoma" w:hAnsi="Tahoma"/>
                <w:b/>
                <w:bCs/>
                <w:color w:val="000000" w:themeColor="text1"/>
                <w:sz w:val="16"/>
                <w:lang w:val="en-GB"/>
              </w:rPr>
              <w:t>Cash in</w:t>
            </w:r>
          </w:p>
          <w:p w14:paraId="0D3C936A" w14:textId="77777777" w:rsidR="008A766F" w:rsidRPr="008A766F" w:rsidRDefault="008A766F" w:rsidP="00FB30A6">
            <w:pPr>
              <w:spacing w:line="240" w:lineRule="atLeast"/>
              <w:jc w:val="right"/>
              <w:rPr>
                <w:rFonts w:ascii="Tahoma" w:hAnsi="Tahoma"/>
                <w:b/>
                <w:bCs/>
                <w:color w:val="000000" w:themeColor="text1"/>
                <w:sz w:val="16"/>
                <w:lang w:val="en-GB"/>
              </w:rPr>
            </w:pPr>
            <w:r w:rsidRPr="008A766F">
              <w:rPr>
                <w:rFonts w:ascii="Tahoma" w:hAnsi="Tahoma"/>
                <w:b/>
                <w:bCs/>
                <w:color w:val="000000" w:themeColor="text1"/>
                <w:sz w:val="16"/>
                <w:lang w:val="en-GB"/>
              </w:rPr>
              <w:t xml:space="preserve"> entity</w:t>
            </w:r>
          </w:p>
          <w:p w14:paraId="67F00560" w14:textId="77777777" w:rsidR="008A766F" w:rsidRPr="008A766F" w:rsidRDefault="008A766F" w:rsidP="00FB30A6">
            <w:pPr>
              <w:spacing w:line="240" w:lineRule="atLeast"/>
              <w:jc w:val="right"/>
              <w:rPr>
                <w:rFonts w:ascii="Tahoma" w:hAnsi="Tahoma"/>
                <w:b/>
                <w:bCs/>
                <w:color w:val="000000" w:themeColor="text1"/>
                <w:sz w:val="16"/>
                <w:lang w:val="en-GB"/>
              </w:rPr>
            </w:pPr>
            <w:r w:rsidRPr="008A766F">
              <w:rPr>
                <w:rFonts w:ascii="Tahoma" w:hAnsi="Tahoma"/>
                <w:b/>
                <w:bCs/>
                <w:color w:val="000000" w:themeColor="text1"/>
                <w:sz w:val="16"/>
                <w:lang w:val="en-GB"/>
              </w:rPr>
              <w:t xml:space="preserve"> acquired</w:t>
            </w:r>
          </w:p>
        </w:tc>
        <w:tc>
          <w:tcPr>
            <w:tcW w:w="1126" w:type="dxa"/>
            <w:tcBorders>
              <w:bottom w:val="single" w:sz="12" w:space="0" w:color="auto"/>
            </w:tcBorders>
            <w:shd w:val="clear" w:color="auto" w:fill="auto"/>
            <w:tcMar>
              <w:top w:w="113" w:type="dxa"/>
              <w:left w:w="0" w:type="dxa"/>
              <w:bottom w:w="113" w:type="dxa"/>
              <w:right w:w="0" w:type="dxa"/>
            </w:tcMar>
            <w:vAlign w:val="bottom"/>
          </w:tcPr>
          <w:p w14:paraId="7E0B12BB" w14:textId="77777777" w:rsidR="008A766F" w:rsidRPr="008A766F" w:rsidRDefault="008A766F" w:rsidP="00A57D62">
            <w:pPr>
              <w:spacing w:line="240" w:lineRule="atLeast"/>
              <w:ind w:right="113"/>
              <w:jc w:val="right"/>
              <w:rPr>
                <w:rFonts w:ascii="Tahoma" w:hAnsi="Tahoma"/>
                <w:b/>
                <w:bCs/>
                <w:color w:val="000000" w:themeColor="text1"/>
                <w:sz w:val="16"/>
                <w:lang w:val="en-GB"/>
              </w:rPr>
            </w:pPr>
            <w:r w:rsidRPr="008A766F">
              <w:rPr>
                <w:rFonts w:ascii="Tahoma" w:hAnsi="Tahoma"/>
                <w:b/>
                <w:bCs/>
                <w:color w:val="000000" w:themeColor="text1"/>
                <w:sz w:val="16"/>
                <w:lang w:val="en-GB"/>
              </w:rPr>
              <w:t>Total</w:t>
            </w:r>
          </w:p>
          <w:p w14:paraId="09DA8E7E" w14:textId="77777777" w:rsidR="008A766F" w:rsidRPr="008A766F" w:rsidRDefault="008A766F" w:rsidP="00A57D62">
            <w:pPr>
              <w:spacing w:line="240" w:lineRule="atLeast"/>
              <w:ind w:right="113"/>
              <w:jc w:val="right"/>
              <w:rPr>
                <w:rFonts w:ascii="Tahoma" w:hAnsi="Tahoma"/>
                <w:b/>
                <w:bCs/>
                <w:color w:val="000000" w:themeColor="text1"/>
                <w:sz w:val="16"/>
                <w:lang w:val="en-GB"/>
              </w:rPr>
            </w:pPr>
            <w:r w:rsidRPr="008A766F">
              <w:rPr>
                <w:rFonts w:ascii="Tahoma" w:hAnsi="Tahoma"/>
                <w:b/>
                <w:bCs/>
                <w:color w:val="000000" w:themeColor="text1"/>
                <w:sz w:val="16"/>
                <w:lang w:val="en-GB"/>
              </w:rPr>
              <w:t xml:space="preserve"> </w:t>
            </w:r>
            <w:proofErr w:type="spellStart"/>
            <w:r w:rsidRPr="008A766F">
              <w:rPr>
                <w:rFonts w:ascii="Tahoma" w:hAnsi="Tahoma"/>
                <w:b/>
                <w:bCs/>
                <w:color w:val="000000" w:themeColor="text1"/>
                <w:sz w:val="16"/>
                <w:lang w:val="en-GB"/>
              </w:rPr>
              <w:t>consi</w:t>
            </w:r>
            <w:proofErr w:type="spellEnd"/>
            <w:r w:rsidRPr="008A766F">
              <w:rPr>
                <w:rFonts w:ascii="Tahoma" w:hAnsi="Tahoma"/>
                <w:b/>
                <w:bCs/>
                <w:color w:val="000000" w:themeColor="text1"/>
                <w:sz w:val="16"/>
                <w:lang w:val="en-GB"/>
              </w:rPr>
              <w:t>-</w:t>
            </w:r>
          </w:p>
          <w:p w14:paraId="2099234F" w14:textId="77777777" w:rsidR="008A766F" w:rsidRPr="008A766F" w:rsidRDefault="008A766F" w:rsidP="00A57D62">
            <w:pPr>
              <w:spacing w:line="240" w:lineRule="atLeast"/>
              <w:ind w:right="113"/>
              <w:jc w:val="right"/>
              <w:rPr>
                <w:rFonts w:ascii="Tahoma" w:hAnsi="Tahoma"/>
                <w:b/>
                <w:bCs/>
                <w:color w:val="000000" w:themeColor="text1"/>
                <w:sz w:val="16"/>
                <w:lang w:val="en-GB"/>
              </w:rPr>
            </w:pPr>
            <w:r w:rsidRPr="008A766F">
              <w:rPr>
                <w:rFonts w:ascii="Tahoma" w:hAnsi="Tahoma"/>
                <w:b/>
                <w:bCs/>
                <w:color w:val="000000" w:themeColor="text1"/>
                <w:sz w:val="16"/>
                <w:lang w:val="en-GB"/>
              </w:rPr>
              <w:t>deration</w:t>
            </w:r>
          </w:p>
        </w:tc>
      </w:tr>
      <w:tr w:rsidR="00615190" w:rsidRPr="008A766F" w14:paraId="43F49FE7" w14:textId="77777777" w:rsidTr="002F078E">
        <w:trPr>
          <w:trHeight w:val="60"/>
        </w:trPr>
        <w:tc>
          <w:tcPr>
            <w:tcW w:w="397" w:type="dxa"/>
            <w:shd w:val="clear" w:color="auto" w:fill="auto"/>
            <w:tcMar>
              <w:top w:w="142" w:type="dxa"/>
              <w:left w:w="0" w:type="dxa"/>
              <w:bottom w:w="57" w:type="dxa"/>
              <w:right w:w="0" w:type="dxa"/>
            </w:tcMar>
            <w:vAlign w:val="bottom"/>
          </w:tcPr>
          <w:p w14:paraId="5E9DE9B6" w14:textId="77777777" w:rsidR="008A766F" w:rsidRPr="008A766F" w:rsidRDefault="008A766F" w:rsidP="00615190">
            <w:pPr>
              <w:spacing w:line="240" w:lineRule="atLeast"/>
              <w:rPr>
                <w:rFonts w:ascii="Tahoma" w:hAnsi="Tahoma"/>
                <w:color w:val="000000" w:themeColor="text1"/>
                <w:sz w:val="16"/>
                <w:lang w:val="en-GB"/>
              </w:rPr>
            </w:pPr>
          </w:p>
        </w:tc>
        <w:tc>
          <w:tcPr>
            <w:tcW w:w="3864" w:type="dxa"/>
            <w:gridSpan w:val="2"/>
            <w:shd w:val="clear" w:color="auto" w:fill="auto"/>
            <w:tcMar>
              <w:top w:w="142" w:type="dxa"/>
              <w:left w:w="0" w:type="dxa"/>
              <w:bottom w:w="57" w:type="dxa"/>
              <w:right w:w="113" w:type="dxa"/>
            </w:tcMar>
            <w:vAlign w:val="bottom"/>
          </w:tcPr>
          <w:p w14:paraId="6B1BDE5B" w14:textId="77777777" w:rsidR="008A766F" w:rsidRPr="008A766F" w:rsidRDefault="008A766F" w:rsidP="00615190">
            <w:pPr>
              <w:spacing w:line="240" w:lineRule="atLeast"/>
              <w:rPr>
                <w:rFonts w:ascii="Tahoma" w:hAnsi="Tahoma"/>
                <w:b/>
                <w:bCs/>
                <w:color w:val="000000" w:themeColor="text1"/>
                <w:sz w:val="16"/>
                <w:lang w:val="en-GB"/>
              </w:rPr>
            </w:pPr>
            <w:r w:rsidRPr="008A766F">
              <w:rPr>
                <w:rFonts w:ascii="Tahoma" w:hAnsi="Tahoma"/>
                <w:b/>
                <w:bCs/>
                <w:color w:val="000000" w:themeColor="text1"/>
                <w:sz w:val="16"/>
                <w:lang w:val="en-GB"/>
              </w:rPr>
              <w:t>Acquisition of subsidiaries</w:t>
            </w:r>
          </w:p>
        </w:tc>
        <w:tc>
          <w:tcPr>
            <w:tcW w:w="1268" w:type="dxa"/>
            <w:shd w:val="clear" w:color="auto" w:fill="auto"/>
            <w:tcMar>
              <w:top w:w="142" w:type="dxa"/>
              <w:left w:w="0" w:type="dxa"/>
              <w:bottom w:w="57" w:type="dxa"/>
              <w:right w:w="0" w:type="dxa"/>
            </w:tcMar>
            <w:vAlign w:val="bottom"/>
          </w:tcPr>
          <w:p w14:paraId="272E30D6" w14:textId="77777777" w:rsidR="008A766F" w:rsidRPr="008A766F" w:rsidRDefault="008A766F" w:rsidP="00615190">
            <w:pPr>
              <w:spacing w:line="240" w:lineRule="atLeast"/>
              <w:rPr>
                <w:rFonts w:ascii="Tahoma" w:hAnsi="Tahoma"/>
                <w:color w:val="000000" w:themeColor="text1"/>
                <w:sz w:val="16"/>
                <w:lang w:val="en-GB"/>
              </w:rPr>
            </w:pPr>
          </w:p>
        </w:tc>
        <w:tc>
          <w:tcPr>
            <w:tcW w:w="1275" w:type="dxa"/>
            <w:tcBorders>
              <w:bottom w:val="single" w:sz="4" w:space="0" w:color="auto"/>
            </w:tcBorders>
            <w:shd w:val="clear" w:color="auto" w:fill="auto"/>
            <w:tcMar>
              <w:top w:w="142" w:type="dxa"/>
              <w:left w:w="0" w:type="dxa"/>
              <w:bottom w:w="57" w:type="dxa"/>
              <w:right w:w="0" w:type="dxa"/>
            </w:tcMar>
            <w:vAlign w:val="bottom"/>
          </w:tcPr>
          <w:p w14:paraId="32144B3F" w14:textId="77777777" w:rsidR="008A766F" w:rsidRPr="008A766F" w:rsidRDefault="008A766F" w:rsidP="00FB30A6">
            <w:pPr>
              <w:spacing w:line="240" w:lineRule="atLeast"/>
              <w:jc w:val="right"/>
              <w:rPr>
                <w:rFonts w:ascii="Tahoma" w:hAnsi="Tahoma"/>
                <w:b/>
                <w:bCs/>
                <w:color w:val="000000" w:themeColor="text1"/>
                <w:sz w:val="16"/>
                <w:lang w:val="en-GB"/>
              </w:rPr>
            </w:pPr>
          </w:p>
        </w:tc>
        <w:tc>
          <w:tcPr>
            <w:tcW w:w="1134" w:type="dxa"/>
            <w:tcBorders>
              <w:bottom w:val="single" w:sz="4" w:space="0" w:color="auto"/>
            </w:tcBorders>
            <w:shd w:val="clear" w:color="auto" w:fill="auto"/>
            <w:tcMar>
              <w:top w:w="142" w:type="dxa"/>
              <w:left w:w="0" w:type="dxa"/>
              <w:bottom w:w="57" w:type="dxa"/>
              <w:right w:w="0" w:type="dxa"/>
            </w:tcMar>
            <w:vAlign w:val="bottom"/>
          </w:tcPr>
          <w:p w14:paraId="4F9790FE" w14:textId="77777777" w:rsidR="008A766F" w:rsidRPr="008A766F" w:rsidRDefault="008A766F" w:rsidP="00FB30A6">
            <w:pPr>
              <w:spacing w:line="240" w:lineRule="atLeast"/>
              <w:jc w:val="right"/>
              <w:rPr>
                <w:rFonts w:ascii="Tahoma" w:hAnsi="Tahoma"/>
                <w:b/>
                <w:bCs/>
                <w:color w:val="000000" w:themeColor="text1"/>
                <w:sz w:val="16"/>
                <w:lang w:val="en-GB"/>
              </w:rPr>
            </w:pPr>
          </w:p>
        </w:tc>
        <w:tc>
          <w:tcPr>
            <w:tcW w:w="1142" w:type="dxa"/>
            <w:tcBorders>
              <w:bottom w:val="single" w:sz="4" w:space="0" w:color="auto"/>
            </w:tcBorders>
            <w:shd w:val="clear" w:color="auto" w:fill="auto"/>
            <w:tcMar>
              <w:top w:w="142" w:type="dxa"/>
              <w:left w:w="0" w:type="dxa"/>
              <w:bottom w:w="57" w:type="dxa"/>
              <w:right w:w="0" w:type="dxa"/>
            </w:tcMar>
            <w:vAlign w:val="bottom"/>
          </w:tcPr>
          <w:p w14:paraId="04A249B4" w14:textId="77777777" w:rsidR="008A766F" w:rsidRPr="008A766F" w:rsidRDefault="008A766F" w:rsidP="00FB30A6">
            <w:pPr>
              <w:spacing w:line="240" w:lineRule="atLeast"/>
              <w:jc w:val="right"/>
              <w:rPr>
                <w:rFonts w:ascii="Tahoma" w:hAnsi="Tahoma"/>
                <w:b/>
                <w:bCs/>
                <w:color w:val="000000" w:themeColor="text1"/>
                <w:sz w:val="16"/>
                <w:lang w:val="en-GB"/>
              </w:rPr>
            </w:pPr>
          </w:p>
        </w:tc>
        <w:tc>
          <w:tcPr>
            <w:tcW w:w="1134" w:type="dxa"/>
            <w:gridSpan w:val="2"/>
            <w:tcBorders>
              <w:bottom w:val="single" w:sz="4" w:space="0" w:color="auto"/>
            </w:tcBorders>
            <w:shd w:val="clear" w:color="auto" w:fill="auto"/>
            <w:tcMar>
              <w:top w:w="142" w:type="dxa"/>
              <w:left w:w="0" w:type="dxa"/>
              <w:bottom w:w="57" w:type="dxa"/>
              <w:right w:w="0" w:type="dxa"/>
            </w:tcMar>
            <w:vAlign w:val="bottom"/>
          </w:tcPr>
          <w:p w14:paraId="60F2214E" w14:textId="77777777" w:rsidR="008A766F" w:rsidRPr="008A766F" w:rsidRDefault="008A766F" w:rsidP="00FB30A6">
            <w:pPr>
              <w:spacing w:line="240" w:lineRule="atLeast"/>
              <w:jc w:val="right"/>
              <w:rPr>
                <w:rFonts w:ascii="Tahoma" w:hAnsi="Tahoma"/>
                <w:b/>
                <w:bCs/>
                <w:color w:val="000000" w:themeColor="text1"/>
                <w:sz w:val="16"/>
                <w:lang w:val="en-GB"/>
              </w:rPr>
            </w:pPr>
          </w:p>
        </w:tc>
      </w:tr>
      <w:tr w:rsidR="00615190" w:rsidRPr="008A766F" w14:paraId="59934936" w14:textId="77777777" w:rsidTr="002F078E">
        <w:trPr>
          <w:trHeight w:val="60"/>
        </w:trPr>
        <w:tc>
          <w:tcPr>
            <w:tcW w:w="397" w:type="dxa"/>
            <w:shd w:val="clear" w:color="auto" w:fill="auto"/>
            <w:tcMar>
              <w:top w:w="57" w:type="dxa"/>
              <w:left w:w="0" w:type="dxa"/>
              <w:bottom w:w="57" w:type="dxa"/>
              <w:right w:w="0" w:type="dxa"/>
            </w:tcMar>
            <w:vAlign w:val="bottom"/>
          </w:tcPr>
          <w:p w14:paraId="1AA73058" w14:textId="77777777" w:rsidR="008A766F" w:rsidRPr="008A766F" w:rsidRDefault="008A766F" w:rsidP="00615190">
            <w:pPr>
              <w:spacing w:line="240" w:lineRule="atLeast"/>
              <w:rPr>
                <w:rFonts w:ascii="Tahoma" w:hAnsi="Tahoma"/>
                <w:color w:val="000000" w:themeColor="text1"/>
                <w:sz w:val="16"/>
                <w:lang w:val="en-GB"/>
              </w:rPr>
            </w:pPr>
          </w:p>
        </w:tc>
        <w:tc>
          <w:tcPr>
            <w:tcW w:w="3864" w:type="dxa"/>
            <w:gridSpan w:val="2"/>
            <w:shd w:val="clear" w:color="auto" w:fill="auto"/>
            <w:tcMar>
              <w:top w:w="57" w:type="dxa"/>
              <w:left w:w="113" w:type="dxa"/>
              <w:bottom w:w="57" w:type="dxa"/>
              <w:right w:w="113" w:type="dxa"/>
            </w:tcMar>
            <w:vAlign w:val="bottom"/>
          </w:tcPr>
          <w:p w14:paraId="1AF66821" w14:textId="77777777" w:rsidR="008A766F" w:rsidRPr="008A766F" w:rsidRDefault="008A766F" w:rsidP="00615190">
            <w:pPr>
              <w:spacing w:line="240" w:lineRule="atLeast"/>
              <w:rPr>
                <w:rFonts w:ascii="Tahoma" w:hAnsi="Tahoma"/>
                <w:color w:val="000000" w:themeColor="text1"/>
                <w:sz w:val="16"/>
                <w:lang w:val="en-GB"/>
              </w:rPr>
            </w:pPr>
            <w:r w:rsidRPr="008A766F">
              <w:rPr>
                <w:rFonts w:ascii="Tahoma" w:hAnsi="Tahoma"/>
                <w:color w:val="000000" w:themeColor="text1"/>
                <w:sz w:val="16"/>
                <w:lang w:val="en-GB"/>
              </w:rPr>
              <w:t>Other</w:t>
            </w:r>
            <w:r w:rsidRPr="008A766F">
              <w:rPr>
                <w:rFonts w:ascii="Tahoma" w:hAnsi="Tahoma"/>
                <w:color w:val="000000" w:themeColor="text1"/>
                <w:sz w:val="16"/>
                <w:vertAlign w:val="superscript"/>
                <w:lang w:val="en-GB"/>
              </w:rPr>
              <w:t>1</w:t>
            </w:r>
          </w:p>
        </w:tc>
        <w:tc>
          <w:tcPr>
            <w:tcW w:w="1268" w:type="dxa"/>
            <w:tcBorders>
              <w:right w:val="single" w:sz="4" w:space="0" w:color="auto"/>
            </w:tcBorders>
            <w:shd w:val="clear" w:color="auto" w:fill="auto"/>
            <w:tcMar>
              <w:top w:w="57" w:type="dxa"/>
              <w:left w:w="0" w:type="dxa"/>
              <w:bottom w:w="57" w:type="dxa"/>
              <w:right w:w="0" w:type="dxa"/>
            </w:tcMar>
            <w:vAlign w:val="bottom"/>
          </w:tcPr>
          <w:p w14:paraId="7A056A64" w14:textId="77777777" w:rsidR="008A766F" w:rsidRPr="008A766F" w:rsidRDefault="008A766F" w:rsidP="00615190">
            <w:pPr>
              <w:spacing w:line="240" w:lineRule="atLeast"/>
              <w:rPr>
                <w:rFonts w:ascii="Tahoma" w:hAnsi="Tahoma"/>
                <w:color w:val="000000" w:themeColor="text1"/>
                <w:sz w:val="16"/>
                <w:lang w:val="en-GB"/>
              </w:rPr>
            </w:pPr>
            <w:r w:rsidRPr="008A766F">
              <w:rPr>
                <w:rFonts w:ascii="Tahoma" w:hAnsi="Tahoma"/>
                <w:color w:val="000000" w:themeColor="text1"/>
                <w:sz w:val="16"/>
                <w:lang w:val="en-GB"/>
              </w:rPr>
              <w:t>Subsidiary</w:t>
            </w:r>
          </w:p>
        </w:tc>
        <w:tc>
          <w:tcPr>
            <w:tcW w:w="1275" w:type="dxa"/>
            <w:tcBorders>
              <w:top w:val="single" w:sz="4" w:space="0" w:color="auto"/>
              <w:left w:val="single" w:sz="4" w:space="0" w:color="auto"/>
              <w:bottom w:val="single" w:sz="4" w:space="0" w:color="auto"/>
            </w:tcBorders>
            <w:shd w:val="clear" w:color="auto" w:fill="auto"/>
            <w:tcMar>
              <w:top w:w="57" w:type="dxa"/>
              <w:left w:w="0" w:type="dxa"/>
              <w:bottom w:w="57" w:type="dxa"/>
              <w:right w:w="0" w:type="dxa"/>
            </w:tcMar>
            <w:vAlign w:val="bottom"/>
          </w:tcPr>
          <w:p w14:paraId="3CCF6535" w14:textId="77777777" w:rsidR="008A766F" w:rsidRPr="008A766F" w:rsidRDefault="008A766F" w:rsidP="00FB30A6">
            <w:pPr>
              <w:spacing w:line="240" w:lineRule="atLeast"/>
              <w:jc w:val="right"/>
              <w:rPr>
                <w:rFonts w:ascii="Tahoma" w:hAnsi="Tahoma"/>
                <w:b/>
                <w:bCs/>
                <w:color w:val="000000" w:themeColor="text1"/>
                <w:sz w:val="16"/>
                <w:lang w:val="en-GB"/>
              </w:rPr>
            </w:pPr>
            <w:r w:rsidRPr="008A766F">
              <w:rPr>
                <w:rFonts w:ascii="Tahoma" w:hAnsi="Tahoma"/>
                <w:b/>
                <w:bCs/>
                <w:color w:val="000000" w:themeColor="text1"/>
                <w:sz w:val="16"/>
                <w:lang w:val="en-GB"/>
              </w:rPr>
              <w:t>19</w:t>
            </w:r>
          </w:p>
        </w:tc>
        <w:tc>
          <w:tcPr>
            <w:tcW w:w="1134" w:type="dxa"/>
            <w:tcBorders>
              <w:top w:val="single" w:sz="4" w:space="0" w:color="auto"/>
              <w:bottom w:val="single" w:sz="4" w:space="0" w:color="auto"/>
            </w:tcBorders>
            <w:shd w:val="clear" w:color="auto" w:fill="auto"/>
            <w:tcMar>
              <w:top w:w="57" w:type="dxa"/>
              <w:left w:w="0" w:type="dxa"/>
              <w:bottom w:w="57" w:type="dxa"/>
              <w:right w:w="0" w:type="dxa"/>
            </w:tcMar>
            <w:vAlign w:val="bottom"/>
          </w:tcPr>
          <w:p w14:paraId="7B6A64DD" w14:textId="77777777" w:rsidR="008A766F" w:rsidRPr="008A766F" w:rsidRDefault="008A766F" w:rsidP="00FB30A6">
            <w:pPr>
              <w:spacing w:line="240" w:lineRule="atLeast"/>
              <w:jc w:val="right"/>
              <w:rPr>
                <w:rFonts w:ascii="Tahoma" w:hAnsi="Tahoma"/>
                <w:b/>
                <w:bCs/>
                <w:color w:val="000000" w:themeColor="text1"/>
                <w:sz w:val="16"/>
                <w:lang w:val="en-GB"/>
              </w:rPr>
            </w:pPr>
            <w:r w:rsidRPr="008A766F">
              <w:rPr>
                <w:rFonts w:ascii="Tahoma" w:hAnsi="Tahoma"/>
                <w:b/>
                <w:bCs/>
                <w:color w:val="000000" w:themeColor="text1"/>
                <w:sz w:val="16"/>
                <w:lang w:val="en-GB"/>
              </w:rPr>
              <w:t>—</w:t>
            </w:r>
          </w:p>
        </w:tc>
        <w:tc>
          <w:tcPr>
            <w:tcW w:w="1142" w:type="dxa"/>
            <w:tcBorders>
              <w:top w:val="single" w:sz="4" w:space="0" w:color="auto"/>
              <w:bottom w:val="single" w:sz="4" w:space="0" w:color="auto"/>
            </w:tcBorders>
            <w:shd w:val="clear" w:color="auto" w:fill="auto"/>
            <w:tcMar>
              <w:top w:w="57" w:type="dxa"/>
              <w:left w:w="0" w:type="dxa"/>
              <w:bottom w:w="57" w:type="dxa"/>
              <w:right w:w="0" w:type="dxa"/>
            </w:tcMar>
            <w:vAlign w:val="bottom"/>
          </w:tcPr>
          <w:p w14:paraId="3BAC5E7B" w14:textId="77777777" w:rsidR="008A766F" w:rsidRPr="008A766F" w:rsidRDefault="008A766F" w:rsidP="00FB30A6">
            <w:pPr>
              <w:spacing w:line="240" w:lineRule="atLeast"/>
              <w:jc w:val="right"/>
              <w:rPr>
                <w:rFonts w:ascii="Tahoma" w:hAnsi="Tahoma"/>
                <w:b/>
                <w:bCs/>
                <w:color w:val="000000" w:themeColor="text1"/>
                <w:sz w:val="16"/>
                <w:lang w:val="en-GB"/>
              </w:rPr>
            </w:pPr>
            <w:r w:rsidRPr="008A766F">
              <w:rPr>
                <w:rFonts w:ascii="Tahoma" w:hAnsi="Tahoma"/>
                <w:b/>
                <w:bCs/>
                <w:color w:val="000000" w:themeColor="text1"/>
                <w:sz w:val="16"/>
                <w:lang w:val="en-GB"/>
              </w:rPr>
              <w:t>4</w:t>
            </w:r>
          </w:p>
        </w:tc>
        <w:tc>
          <w:tcPr>
            <w:tcW w:w="1134" w:type="dxa"/>
            <w:gridSpan w:val="2"/>
            <w:tcBorders>
              <w:top w:val="single" w:sz="4" w:space="0" w:color="auto"/>
              <w:bottom w:val="single" w:sz="4" w:space="0" w:color="auto"/>
              <w:right w:val="single" w:sz="4" w:space="0" w:color="auto"/>
            </w:tcBorders>
            <w:shd w:val="clear" w:color="auto" w:fill="auto"/>
            <w:tcMar>
              <w:top w:w="57" w:type="dxa"/>
              <w:left w:w="0" w:type="dxa"/>
              <w:bottom w:w="57" w:type="dxa"/>
              <w:right w:w="0" w:type="dxa"/>
            </w:tcMar>
            <w:vAlign w:val="bottom"/>
          </w:tcPr>
          <w:p w14:paraId="5EB1799C" w14:textId="77777777" w:rsidR="008A766F" w:rsidRPr="008A766F" w:rsidRDefault="008A766F" w:rsidP="00C92DCB">
            <w:pPr>
              <w:spacing w:line="240" w:lineRule="atLeast"/>
              <w:ind w:right="113"/>
              <w:jc w:val="right"/>
              <w:rPr>
                <w:rFonts w:ascii="Tahoma" w:hAnsi="Tahoma"/>
                <w:b/>
                <w:bCs/>
                <w:color w:val="000000" w:themeColor="text1"/>
                <w:sz w:val="16"/>
                <w:lang w:val="en-GB"/>
              </w:rPr>
            </w:pPr>
            <w:r w:rsidRPr="008A766F">
              <w:rPr>
                <w:rFonts w:ascii="Tahoma" w:hAnsi="Tahoma"/>
                <w:b/>
                <w:bCs/>
                <w:color w:val="000000" w:themeColor="text1"/>
                <w:sz w:val="16"/>
                <w:lang w:val="en-GB"/>
              </w:rPr>
              <w:t>23</w:t>
            </w:r>
          </w:p>
        </w:tc>
      </w:tr>
      <w:tr w:rsidR="00615190" w:rsidRPr="008A766F" w14:paraId="737AECDF" w14:textId="77777777" w:rsidTr="002F078E">
        <w:trPr>
          <w:trHeight w:val="60"/>
        </w:trPr>
        <w:tc>
          <w:tcPr>
            <w:tcW w:w="397" w:type="dxa"/>
            <w:shd w:val="clear" w:color="auto" w:fill="auto"/>
            <w:tcMar>
              <w:top w:w="57" w:type="dxa"/>
              <w:left w:w="0" w:type="dxa"/>
              <w:bottom w:w="57" w:type="dxa"/>
              <w:right w:w="0" w:type="dxa"/>
            </w:tcMar>
            <w:vAlign w:val="bottom"/>
          </w:tcPr>
          <w:p w14:paraId="026C79E8" w14:textId="77777777" w:rsidR="008A766F" w:rsidRPr="008A766F" w:rsidRDefault="008A766F" w:rsidP="00615190">
            <w:pPr>
              <w:spacing w:line="240" w:lineRule="atLeast"/>
              <w:rPr>
                <w:rFonts w:ascii="Tahoma" w:hAnsi="Tahoma"/>
                <w:color w:val="000000" w:themeColor="text1"/>
                <w:sz w:val="16"/>
                <w:lang w:val="en-GB"/>
              </w:rPr>
            </w:pPr>
          </w:p>
        </w:tc>
        <w:tc>
          <w:tcPr>
            <w:tcW w:w="462" w:type="dxa"/>
            <w:shd w:val="clear" w:color="auto" w:fill="auto"/>
            <w:tcMar>
              <w:top w:w="57" w:type="dxa"/>
              <w:left w:w="0" w:type="dxa"/>
              <w:bottom w:w="57" w:type="dxa"/>
              <w:right w:w="113" w:type="dxa"/>
            </w:tcMar>
            <w:vAlign w:val="bottom"/>
          </w:tcPr>
          <w:p w14:paraId="168D723B" w14:textId="77777777" w:rsidR="008A766F" w:rsidRPr="008A766F" w:rsidRDefault="008A766F" w:rsidP="00615190">
            <w:pPr>
              <w:spacing w:line="240" w:lineRule="atLeast"/>
              <w:rPr>
                <w:rFonts w:ascii="Tahoma" w:hAnsi="Tahoma"/>
                <w:color w:val="000000" w:themeColor="text1"/>
                <w:sz w:val="16"/>
                <w:lang w:val="en-GB"/>
              </w:rPr>
            </w:pPr>
          </w:p>
        </w:tc>
        <w:tc>
          <w:tcPr>
            <w:tcW w:w="3402" w:type="dxa"/>
            <w:shd w:val="clear" w:color="auto" w:fill="auto"/>
            <w:tcMar>
              <w:top w:w="57" w:type="dxa"/>
              <w:left w:w="0" w:type="dxa"/>
              <w:bottom w:w="57" w:type="dxa"/>
              <w:right w:w="113" w:type="dxa"/>
            </w:tcMar>
            <w:vAlign w:val="bottom"/>
          </w:tcPr>
          <w:p w14:paraId="4B63F6B6" w14:textId="77777777" w:rsidR="008A766F" w:rsidRPr="008A766F" w:rsidRDefault="008A766F" w:rsidP="00615190">
            <w:pPr>
              <w:spacing w:line="240" w:lineRule="atLeast"/>
              <w:rPr>
                <w:rFonts w:ascii="Tahoma" w:hAnsi="Tahoma"/>
                <w:color w:val="000000" w:themeColor="text1"/>
                <w:sz w:val="16"/>
                <w:lang w:val="en-GB"/>
              </w:rPr>
            </w:pPr>
          </w:p>
        </w:tc>
        <w:tc>
          <w:tcPr>
            <w:tcW w:w="1268" w:type="dxa"/>
            <w:shd w:val="clear" w:color="auto" w:fill="auto"/>
            <w:tcMar>
              <w:top w:w="57" w:type="dxa"/>
              <w:left w:w="0" w:type="dxa"/>
              <w:bottom w:w="57" w:type="dxa"/>
              <w:right w:w="0" w:type="dxa"/>
            </w:tcMar>
            <w:vAlign w:val="bottom"/>
          </w:tcPr>
          <w:p w14:paraId="54FC7437" w14:textId="77777777" w:rsidR="008A766F" w:rsidRPr="008A766F" w:rsidRDefault="008A766F" w:rsidP="00615190">
            <w:pPr>
              <w:spacing w:line="240" w:lineRule="atLeast"/>
              <w:rPr>
                <w:rFonts w:ascii="Tahoma" w:hAnsi="Tahoma"/>
                <w:color w:val="000000" w:themeColor="text1"/>
                <w:sz w:val="16"/>
                <w:lang w:val="en-GB"/>
              </w:rPr>
            </w:pPr>
          </w:p>
        </w:tc>
        <w:tc>
          <w:tcPr>
            <w:tcW w:w="1275" w:type="dxa"/>
            <w:tcBorders>
              <w:top w:val="single" w:sz="4" w:space="0" w:color="auto"/>
            </w:tcBorders>
            <w:shd w:val="clear" w:color="auto" w:fill="auto"/>
            <w:tcMar>
              <w:top w:w="57" w:type="dxa"/>
              <w:left w:w="0" w:type="dxa"/>
              <w:bottom w:w="57" w:type="dxa"/>
              <w:right w:w="0" w:type="dxa"/>
            </w:tcMar>
            <w:vAlign w:val="bottom"/>
          </w:tcPr>
          <w:p w14:paraId="7403427C" w14:textId="77777777" w:rsidR="008A766F" w:rsidRPr="008A766F" w:rsidRDefault="008A766F" w:rsidP="00FB30A6">
            <w:pPr>
              <w:spacing w:line="240" w:lineRule="atLeast"/>
              <w:jc w:val="right"/>
              <w:rPr>
                <w:rFonts w:ascii="Tahoma" w:hAnsi="Tahoma"/>
                <w:b/>
                <w:bCs/>
                <w:color w:val="000000" w:themeColor="text1"/>
                <w:sz w:val="16"/>
                <w:lang w:val="en-GB"/>
              </w:rPr>
            </w:pPr>
            <w:r w:rsidRPr="008A766F">
              <w:rPr>
                <w:rFonts w:ascii="Tahoma" w:hAnsi="Tahoma"/>
                <w:b/>
                <w:bCs/>
                <w:color w:val="000000" w:themeColor="text1"/>
                <w:sz w:val="16"/>
                <w:lang w:val="en-GB"/>
              </w:rPr>
              <w:t>19</w:t>
            </w:r>
          </w:p>
        </w:tc>
        <w:tc>
          <w:tcPr>
            <w:tcW w:w="1134" w:type="dxa"/>
            <w:tcBorders>
              <w:top w:val="single" w:sz="4" w:space="0" w:color="auto"/>
            </w:tcBorders>
            <w:shd w:val="clear" w:color="auto" w:fill="auto"/>
            <w:tcMar>
              <w:top w:w="57" w:type="dxa"/>
              <w:left w:w="0" w:type="dxa"/>
              <w:bottom w:w="57" w:type="dxa"/>
              <w:right w:w="0" w:type="dxa"/>
            </w:tcMar>
            <w:vAlign w:val="bottom"/>
          </w:tcPr>
          <w:p w14:paraId="3C1A8D74" w14:textId="77777777" w:rsidR="008A766F" w:rsidRPr="008A766F" w:rsidRDefault="008A766F" w:rsidP="00FB30A6">
            <w:pPr>
              <w:spacing w:line="240" w:lineRule="atLeast"/>
              <w:jc w:val="right"/>
              <w:rPr>
                <w:rFonts w:ascii="Tahoma" w:hAnsi="Tahoma"/>
                <w:b/>
                <w:bCs/>
                <w:color w:val="000000" w:themeColor="text1"/>
                <w:sz w:val="16"/>
                <w:lang w:val="en-GB"/>
              </w:rPr>
            </w:pPr>
            <w:r w:rsidRPr="008A766F">
              <w:rPr>
                <w:rFonts w:ascii="Tahoma" w:hAnsi="Tahoma"/>
                <w:b/>
                <w:bCs/>
                <w:color w:val="000000" w:themeColor="text1"/>
                <w:sz w:val="16"/>
                <w:lang w:val="en-GB"/>
              </w:rPr>
              <w:t>—</w:t>
            </w:r>
          </w:p>
        </w:tc>
        <w:tc>
          <w:tcPr>
            <w:tcW w:w="1142" w:type="dxa"/>
            <w:tcBorders>
              <w:top w:val="single" w:sz="4" w:space="0" w:color="auto"/>
            </w:tcBorders>
            <w:shd w:val="clear" w:color="auto" w:fill="auto"/>
            <w:tcMar>
              <w:top w:w="57" w:type="dxa"/>
              <w:left w:w="0" w:type="dxa"/>
              <w:bottom w:w="57" w:type="dxa"/>
              <w:right w:w="0" w:type="dxa"/>
            </w:tcMar>
            <w:vAlign w:val="bottom"/>
          </w:tcPr>
          <w:p w14:paraId="61B15F19" w14:textId="77777777" w:rsidR="008A766F" w:rsidRPr="008A766F" w:rsidRDefault="008A766F" w:rsidP="00FB30A6">
            <w:pPr>
              <w:spacing w:line="240" w:lineRule="atLeast"/>
              <w:jc w:val="right"/>
              <w:rPr>
                <w:rFonts w:ascii="Tahoma" w:hAnsi="Tahoma"/>
                <w:b/>
                <w:bCs/>
                <w:color w:val="000000" w:themeColor="text1"/>
                <w:sz w:val="16"/>
                <w:lang w:val="en-GB"/>
              </w:rPr>
            </w:pPr>
            <w:r w:rsidRPr="008A766F">
              <w:rPr>
                <w:rFonts w:ascii="Tahoma" w:hAnsi="Tahoma"/>
                <w:b/>
                <w:bCs/>
                <w:color w:val="000000" w:themeColor="text1"/>
                <w:sz w:val="16"/>
                <w:lang w:val="en-GB"/>
              </w:rPr>
              <w:t>4</w:t>
            </w:r>
          </w:p>
        </w:tc>
        <w:tc>
          <w:tcPr>
            <w:tcW w:w="1134" w:type="dxa"/>
            <w:gridSpan w:val="2"/>
            <w:tcBorders>
              <w:top w:val="single" w:sz="4" w:space="0" w:color="auto"/>
            </w:tcBorders>
            <w:shd w:val="clear" w:color="auto" w:fill="auto"/>
            <w:tcMar>
              <w:top w:w="57" w:type="dxa"/>
              <w:left w:w="0" w:type="dxa"/>
              <w:bottom w:w="57" w:type="dxa"/>
              <w:right w:w="0" w:type="dxa"/>
            </w:tcMar>
            <w:vAlign w:val="bottom"/>
          </w:tcPr>
          <w:p w14:paraId="6C9A389E" w14:textId="77777777" w:rsidR="008A766F" w:rsidRPr="008A766F" w:rsidRDefault="008A766F" w:rsidP="003C223F">
            <w:pPr>
              <w:spacing w:line="240" w:lineRule="atLeast"/>
              <w:ind w:right="113"/>
              <w:jc w:val="right"/>
              <w:rPr>
                <w:rFonts w:ascii="Tahoma" w:hAnsi="Tahoma"/>
                <w:b/>
                <w:bCs/>
                <w:color w:val="000000" w:themeColor="text1"/>
                <w:sz w:val="16"/>
                <w:lang w:val="en-GB"/>
              </w:rPr>
            </w:pPr>
            <w:r w:rsidRPr="008A766F">
              <w:rPr>
                <w:rFonts w:ascii="Tahoma" w:hAnsi="Tahoma"/>
                <w:b/>
                <w:bCs/>
                <w:color w:val="000000" w:themeColor="text1"/>
                <w:sz w:val="16"/>
                <w:lang w:val="en-GB"/>
              </w:rPr>
              <w:t>23</w:t>
            </w:r>
          </w:p>
        </w:tc>
      </w:tr>
      <w:tr w:rsidR="00615190" w:rsidRPr="008A766F" w14:paraId="52116E12" w14:textId="77777777" w:rsidTr="002F078E">
        <w:trPr>
          <w:trHeight w:val="60"/>
        </w:trPr>
        <w:tc>
          <w:tcPr>
            <w:tcW w:w="397" w:type="dxa"/>
            <w:shd w:val="clear" w:color="auto" w:fill="auto"/>
            <w:tcMar>
              <w:top w:w="57" w:type="dxa"/>
              <w:left w:w="0" w:type="dxa"/>
              <w:bottom w:w="57" w:type="dxa"/>
              <w:right w:w="0" w:type="dxa"/>
            </w:tcMar>
            <w:vAlign w:val="bottom"/>
          </w:tcPr>
          <w:p w14:paraId="4DDE215E" w14:textId="77777777" w:rsidR="008A766F" w:rsidRPr="008A766F" w:rsidRDefault="008A766F" w:rsidP="00615190">
            <w:pPr>
              <w:spacing w:line="240" w:lineRule="atLeast"/>
              <w:rPr>
                <w:rFonts w:ascii="Tahoma" w:hAnsi="Tahoma"/>
                <w:color w:val="000000" w:themeColor="text1"/>
                <w:sz w:val="16"/>
                <w:lang w:val="en-GB"/>
              </w:rPr>
            </w:pPr>
          </w:p>
        </w:tc>
        <w:tc>
          <w:tcPr>
            <w:tcW w:w="3864" w:type="dxa"/>
            <w:gridSpan w:val="2"/>
            <w:shd w:val="clear" w:color="auto" w:fill="auto"/>
            <w:tcMar>
              <w:top w:w="57" w:type="dxa"/>
              <w:left w:w="0" w:type="dxa"/>
              <w:bottom w:w="57" w:type="dxa"/>
              <w:right w:w="113" w:type="dxa"/>
            </w:tcMar>
            <w:vAlign w:val="bottom"/>
          </w:tcPr>
          <w:p w14:paraId="5DB304D0" w14:textId="77777777" w:rsidR="008A766F" w:rsidRPr="008A766F" w:rsidRDefault="008A766F" w:rsidP="00615190">
            <w:pPr>
              <w:spacing w:line="240" w:lineRule="atLeast"/>
              <w:rPr>
                <w:rFonts w:ascii="Tahoma" w:hAnsi="Tahoma"/>
                <w:b/>
                <w:bCs/>
                <w:color w:val="000000" w:themeColor="text1"/>
                <w:sz w:val="16"/>
                <w:lang w:val="en-GB"/>
              </w:rPr>
            </w:pPr>
            <w:r w:rsidRPr="008A766F">
              <w:rPr>
                <w:rFonts w:ascii="Tahoma" w:hAnsi="Tahoma"/>
                <w:b/>
                <w:bCs/>
                <w:color w:val="000000" w:themeColor="text1"/>
                <w:sz w:val="16"/>
                <w:lang w:val="en-GB"/>
              </w:rPr>
              <w:t>Acquisition of equity-accounted investments</w:t>
            </w:r>
          </w:p>
        </w:tc>
        <w:tc>
          <w:tcPr>
            <w:tcW w:w="1268" w:type="dxa"/>
            <w:shd w:val="clear" w:color="auto" w:fill="auto"/>
            <w:tcMar>
              <w:top w:w="57" w:type="dxa"/>
              <w:left w:w="0" w:type="dxa"/>
              <w:bottom w:w="57" w:type="dxa"/>
              <w:right w:w="0" w:type="dxa"/>
            </w:tcMar>
            <w:vAlign w:val="bottom"/>
          </w:tcPr>
          <w:p w14:paraId="37CC8E75" w14:textId="77777777" w:rsidR="008A766F" w:rsidRPr="008A766F" w:rsidRDefault="008A766F" w:rsidP="00615190">
            <w:pPr>
              <w:spacing w:line="240" w:lineRule="atLeast"/>
              <w:rPr>
                <w:rFonts w:ascii="Tahoma" w:hAnsi="Tahoma"/>
                <w:color w:val="000000" w:themeColor="text1"/>
                <w:sz w:val="16"/>
                <w:lang w:val="en-GB"/>
              </w:rPr>
            </w:pPr>
          </w:p>
        </w:tc>
        <w:tc>
          <w:tcPr>
            <w:tcW w:w="1275" w:type="dxa"/>
            <w:tcBorders>
              <w:bottom w:val="single" w:sz="4" w:space="0" w:color="auto"/>
            </w:tcBorders>
            <w:shd w:val="clear" w:color="auto" w:fill="auto"/>
            <w:tcMar>
              <w:top w:w="57" w:type="dxa"/>
              <w:left w:w="0" w:type="dxa"/>
              <w:bottom w:w="57" w:type="dxa"/>
              <w:right w:w="0" w:type="dxa"/>
            </w:tcMar>
            <w:vAlign w:val="bottom"/>
          </w:tcPr>
          <w:p w14:paraId="3D81F1C0" w14:textId="77777777" w:rsidR="008A766F" w:rsidRPr="008A766F" w:rsidRDefault="008A766F" w:rsidP="00FB30A6">
            <w:pPr>
              <w:spacing w:line="240" w:lineRule="atLeast"/>
              <w:jc w:val="right"/>
              <w:rPr>
                <w:rFonts w:ascii="Tahoma" w:hAnsi="Tahoma"/>
                <w:b/>
                <w:bCs/>
                <w:color w:val="000000" w:themeColor="text1"/>
                <w:sz w:val="16"/>
                <w:lang w:val="en-GB"/>
              </w:rPr>
            </w:pPr>
          </w:p>
        </w:tc>
        <w:tc>
          <w:tcPr>
            <w:tcW w:w="1134" w:type="dxa"/>
            <w:tcBorders>
              <w:bottom w:val="single" w:sz="4" w:space="0" w:color="auto"/>
            </w:tcBorders>
            <w:shd w:val="clear" w:color="auto" w:fill="auto"/>
            <w:tcMar>
              <w:top w:w="57" w:type="dxa"/>
              <w:left w:w="0" w:type="dxa"/>
              <w:bottom w:w="57" w:type="dxa"/>
              <w:right w:w="0" w:type="dxa"/>
            </w:tcMar>
            <w:vAlign w:val="bottom"/>
          </w:tcPr>
          <w:p w14:paraId="3D242506" w14:textId="77777777" w:rsidR="008A766F" w:rsidRPr="008A766F" w:rsidRDefault="008A766F" w:rsidP="00FB30A6">
            <w:pPr>
              <w:spacing w:line="240" w:lineRule="atLeast"/>
              <w:jc w:val="right"/>
              <w:rPr>
                <w:rFonts w:ascii="Tahoma" w:hAnsi="Tahoma"/>
                <w:b/>
                <w:bCs/>
                <w:color w:val="000000" w:themeColor="text1"/>
                <w:sz w:val="16"/>
                <w:lang w:val="en-GB"/>
              </w:rPr>
            </w:pPr>
          </w:p>
        </w:tc>
        <w:tc>
          <w:tcPr>
            <w:tcW w:w="1142" w:type="dxa"/>
            <w:tcBorders>
              <w:bottom w:val="single" w:sz="4" w:space="0" w:color="auto"/>
            </w:tcBorders>
            <w:shd w:val="clear" w:color="auto" w:fill="auto"/>
            <w:tcMar>
              <w:top w:w="57" w:type="dxa"/>
              <w:left w:w="0" w:type="dxa"/>
              <w:bottom w:w="57" w:type="dxa"/>
              <w:right w:w="0" w:type="dxa"/>
            </w:tcMar>
            <w:vAlign w:val="bottom"/>
          </w:tcPr>
          <w:p w14:paraId="2EAD1B97" w14:textId="77777777" w:rsidR="008A766F" w:rsidRPr="008A766F" w:rsidRDefault="008A766F" w:rsidP="00FB30A6">
            <w:pPr>
              <w:spacing w:line="240" w:lineRule="atLeast"/>
              <w:jc w:val="right"/>
              <w:rPr>
                <w:rFonts w:ascii="Tahoma" w:hAnsi="Tahoma"/>
                <w:b/>
                <w:bCs/>
                <w:color w:val="000000" w:themeColor="text1"/>
                <w:sz w:val="16"/>
                <w:lang w:val="en-GB"/>
              </w:rPr>
            </w:pPr>
          </w:p>
        </w:tc>
        <w:tc>
          <w:tcPr>
            <w:tcW w:w="1134" w:type="dxa"/>
            <w:gridSpan w:val="2"/>
            <w:tcBorders>
              <w:bottom w:val="single" w:sz="4" w:space="0" w:color="auto"/>
            </w:tcBorders>
            <w:shd w:val="clear" w:color="auto" w:fill="auto"/>
            <w:tcMar>
              <w:top w:w="57" w:type="dxa"/>
              <w:left w:w="0" w:type="dxa"/>
              <w:bottom w:w="57" w:type="dxa"/>
              <w:right w:w="0" w:type="dxa"/>
            </w:tcMar>
            <w:vAlign w:val="bottom"/>
          </w:tcPr>
          <w:p w14:paraId="4208437A" w14:textId="77777777" w:rsidR="008A766F" w:rsidRPr="008A766F" w:rsidRDefault="008A766F" w:rsidP="003C223F">
            <w:pPr>
              <w:spacing w:line="240" w:lineRule="atLeast"/>
              <w:ind w:right="113"/>
              <w:jc w:val="right"/>
              <w:rPr>
                <w:rFonts w:ascii="Tahoma" w:hAnsi="Tahoma"/>
                <w:b/>
                <w:bCs/>
                <w:color w:val="000000" w:themeColor="text1"/>
                <w:sz w:val="16"/>
                <w:lang w:val="en-GB"/>
              </w:rPr>
            </w:pPr>
          </w:p>
        </w:tc>
      </w:tr>
      <w:tr w:rsidR="00615190" w:rsidRPr="008A766F" w14:paraId="43499BD1" w14:textId="77777777" w:rsidTr="002F078E">
        <w:trPr>
          <w:trHeight w:val="60"/>
        </w:trPr>
        <w:tc>
          <w:tcPr>
            <w:tcW w:w="397" w:type="dxa"/>
            <w:shd w:val="clear" w:color="auto" w:fill="auto"/>
            <w:tcMar>
              <w:top w:w="57" w:type="dxa"/>
              <w:left w:w="0" w:type="dxa"/>
              <w:bottom w:w="57" w:type="dxa"/>
              <w:right w:w="0" w:type="dxa"/>
            </w:tcMar>
            <w:vAlign w:val="bottom"/>
          </w:tcPr>
          <w:p w14:paraId="01B87EB6" w14:textId="77777777" w:rsidR="008A766F" w:rsidRPr="008A766F" w:rsidRDefault="008A766F" w:rsidP="00615190">
            <w:pPr>
              <w:spacing w:line="240" w:lineRule="atLeast"/>
              <w:rPr>
                <w:rFonts w:ascii="Tahoma" w:hAnsi="Tahoma"/>
                <w:color w:val="000000" w:themeColor="text1"/>
                <w:sz w:val="16"/>
                <w:lang w:val="en-GB"/>
              </w:rPr>
            </w:pPr>
          </w:p>
        </w:tc>
        <w:tc>
          <w:tcPr>
            <w:tcW w:w="3864" w:type="dxa"/>
            <w:gridSpan w:val="2"/>
            <w:shd w:val="clear" w:color="auto" w:fill="auto"/>
            <w:tcMar>
              <w:top w:w="57" w:type="dxa"/>
              <w:left w:w="113" w:type="dxa"/>
              <w:bottom w:w="57" w:type="dxa"/>
              <w:right w:w="113" w:type="dxa"/>
            </w:tcMar>
            <w:vAlign w:val="bottom"/>
          </w:tcPr>
          <w:p w14:paraId="1DE1BB40" w14:textId="77777777" w:rsidR="008A766F" w:rsidRPr="008A766F" w:rsidRDefault="008A766F" w:rsidP="00615190">
            <w:pPr>
              <w:spacing w:line="240" w:lineRule="atLeast"/>
              <w:rPr>
                <w:rFonts w:ascii="Tahoma" w:hAnsi="Tahoma"/>
                <w:color w:val="000000" w:themeColor="text1"/>
                <w:sz w:val="16"/>
                <w:lang w:val="en-GB"/>
              </w:rPr>
            </w:pPr>
            <w:r w:rsidRPr="008A766F">
              <w:rPr>
                <w:rFonts w:ascii="Tahoma" w:hAnsi="Tahoma"/>
                <w:color w:val="000000" w:themeColor="text1"/>
                <w:sz w:val="16"/>
                <w:lang w:val="en-GB"/>
              </w:rPr>
              <w:t>Other</w:t>
            </w:r>
            <w:r w:rsidRPr="008A766F">
              <w:rPr>
                <w:rFonts w:ascii="Tahoma" w:hAnsi="Tahoma"/>
                <w:color w:val="000000" w:themeColor="text1"/>
                <w:sz w:val="16"/>
                <w:vertAlign w:val="superscript"/>
                <w:lang w:val="en-GB"/>
              </w:rPr>
              <w:t>1</w:t>
            </w:r>
          </w:p>
        </w:tc>
        <w:tc>
          <w:tcPr>
            <w:tcW w:w="1268" w:type="dxa"/>
            <w:tcBorders>
              <w:right w:val="single" w:sz="4" w:space="0" w:color="auto"/>
            </w:tcBorders>
            <w:shd w:val="clear" w:color="auto" w:fill="auto"/>
            <w:tcMar>
              <w:top w:w="57" w:type="dxa"/>
              <w:left w:w="0" w:type="dxa"/>
              <w:bottom w:w="57" w:type="dxa"/>
              <w:right w:w="0" w:type="dxa"/>
            </w:tcMar>
            <w:vAlign w:val="bottom"/>
          </w:tcPr>
          <w:p w14:paraId="77D94364" w14:textId="77777777" w:rsidR="008A766F" w:rsidRPr="008A766F" w:rsidRDefault="008A766F" w:rsidP="00615190">
            <w:pPr>
              <w:spacing w:line="240" w:lineRule="atLeast"/>
              <w:rPr>
                <w:rFonts w:ascii="Tahoma" w:hAnsi="Tahoma"/>
                <w:color w:val="000000" w:themeColor="text1"/>
                <w:sz w:val="16"/>
                <w:lang w:val="en-GB"/>
              </w:rPr>
            </w:pPr>
            <w:r w:rsidRPr="008A766F">
              <w:rPr>
                <w:rFonts w:ascii="Tahoma" w:hAnsi="Tahoma"/>
                <w:color w:val="000000" w:themeColor="text1"/>
                <w:sz w:val="16"/>
                <w:lang w:val="en-GB"/>
              </w:rPr>
              <w:t>Associate</w:t>
            </w:r>
          </w:p>
        </w:tc>
        <w:tc>
          <w:tcPr>
            <w:tcW w:w="1275" w:type="dxa"/>
            <w:tcBorders>
              <w:top w:val="single" w:sz="4" w:space="0" w:color="auto"/>
              <w:left w:val="single" w:sz="4" w:space="0" w:color="auto"/>
              <w:bottom w:val="single" w:sz="4" w:space="0" w:color="auto"/>
            </w:tcBorders>
            <w:shd w:val="clear" w:color="auto" w:fill="auto"/>
            <w:tcMar>
              <w:top w:w="57" w:type="dxa"/>
              <w:left w:w="0" w:type="dxa"/>
              <w:bottom w:w="57" w:type="dxa"/>
              <w:right w:w="0" w:type="dxa"/>
            </w:tcMar>
            <w:vAlign w:val="bottom"/>
          </w:tcPr>
          <w:p w14:paraId="64FB4C8F" w14:textId="77777777" w:rsidR="008A766F" w:rsidRPr="008A766F" w:rsidRDefault="008A766F" w:rsidP="00FB30A6">
            <w:pPr>
              <w:spacing w:line="240" w:lineRule="atLeast"/>
              <w:jc w:val="right"/>
              <w:rPr>
                <w:rFonts w:ascii="Tahoma" w:hAnsi="Tahoma"/>
                <w:b/>
                <w:bCs/>
                <w:color w:val="000000" w:themeColor="text1"/>
                <w:sz w:val="16"/>
                <w:lang w:val="en-GB"/>
              </w:rPr>
            </w:pPr>
            <w:r w:rsidRPr="008A766F">
              <w:rPr>
                <w:rFonts w:ascii="Tahoma" w:hAnsi="Tahoma"/>
                <w:b/>
                <w:bCs/>
                <w:color w:val="000000" w:themeColor="text1"/>
                <w:sz w:val="16"/>
                <w:lang w:val="en-GB"/>
              </w:rPr>
              <w:t>20</w:t>
            </w:r>
          </w:p>
        </w:tc>
        <w:tc>
          <w:tcPr>
            <w:tcW w:w="1134" w:type="dxa"/>
            <w:tcBorders>
              <w:top w:val="single" w:sz="4" w:space="0" w:color="auto"/>
              <w:bottom w:val="single" w:sz="4" w:space="0" w:color="auto"/>
            </w:tcBorders>
            <w:shd w:val="clear" w:color="auto" w:fill="auto"/>
            <w:tcMar>
              <w:top w:w="57" w:type="dxa"/>
              <w:left w:w="0" w:type="dxa"/>
              <w:bottom w:w="57" w:type="dxa"/>
              <w:right w:w="0" w:type="dxa"/>
            </w:tcMar>
            <w:vAlign w:val="bottom"/>
          </w:tcPr>
          <w:p w14:paraId="17B50642" w14:textId="77777777" w:rsidR="008A766F" w:rsidRPr="008A766F" w:rsidRDefault="008A766F" w:rsidP="00FB30A6">
            <w:pPr>
              <w:spacing w:line="240" w:lineRule="atLeast"/>
              <w:jc w:val="right"/>
              <w:rPr>
                <w:rFonts w:ascii="Tahoma" w:hAnsi="Tahoma"/>
                <w:b/>
                <w:bCs/>
                <w:color w:val="000000" w:themeColor="text1"/>
                <w:sz w:val="16"/>
                <w:lang w:val="en-GB"/>
              </w:rPr>
            </w:pPr>
            <w:r w:rsidRPr="008A766F">
              <w:rPr>
                <w:rFonts w:ascii="Tahoma" w:hAnsi="Tahoma"/>
                <w:b/>
                <w:bCs/>
                <w:color w:val="000000" w:themeColor="text1"/>
                <w:sz w:val="16"/>
                <w:lang w:val="en-GB"/>
              </w:rPr>
              <w:t>—</w:t>
            </w:r>
          </w:p>
        </w:tc>
        <w:tc>
          <w:tcPr>
            <w:tcW w:w="1142" w:type="dxa"/>
            <w:tcBorders>
              <w:top w:val="single" w:sz="4" w:space="0" w:color="auto"/>
              <w:bottom w:val="single" w:sz="4" w:space="0" w:color="auto"/>
            </w:tcBorders>
            <w:shd w:val="clear" w:color="auto" w:fill="auto"/>
            <w:tcMar>
              <w:top w:w="57" w:type="dxa"/>
              <w:left w:w="0" w:type="dxa"/>
              <w:bottom w:w="57" w:type="dxa"/>
              <w:right w:w="0" w:type="dxa"/>
            </w:tcMar>
            <w:vAlign w:val="bottom"/>
          </w:tcPr>
          <w:p w14:paraId="16BDD291" w14:textId="77777777" w:rsidR="008A766F" w:rsidRPr="008A766F" w:rsidRDefault="008A766F" w:rsidP="00FB30A6">
            <w:pPr>
              <w:spacing w:line="240" w:lineRule="atLeast"/>
              <w:jc w:val="right"/>
              <w:rPr>
                <w:rFonts w:ascii="Tahoma" w:hAnsi="Tahoma"/>
                <w:b/>
                <w:bCs/>
                <w:color w:val="000000" w:themeColor="text1"/>
                <w:sz w:val="16"/>
                <w:lang w:val="en-GB"/>
              </w:rPr>
            </w:pPr>
            <w:r w:rsidRPr="008A766F">
              <w:rPr>
                <w:rFonts w:ascii="Tahoma" w:hAnsi="Tahoma"/>
                <w:b/>
                <w:bCs/>
                <w:color w:val="000000" w:themeColor="text1"/>
                <w:sz w:val="16"/>
                <w:lang w:val="en-GB"/>
              </w:rPr>
              <w:t>—</w:t>
            </w:r>
          </w:p>
        </w:tc>
        <w:tc>
          <w:tcPr>
            <w:tcW w:w="1134" w:type="dxa"/>
            <w:gridSpan w:val="2"/>
            <w:tcBorders>
              <w:top w:val="single" w:sz="4" w:space="0" w:color="auto"/>
              <w:bottom w:val="single" w:sz="4" w:space="0" w:color="auto"/>
              <w:right w:val="single" w:sz="4" w:space="0" w:color="auto"/>
            </w:tcBorders>
            <w:shd w:val="clear" w:color="auto" w:fill="auto"/>
            <w:tcMar>
              <w:top w:w="57" w:type="dxa"/>
              <w:left w:w="0" w:type="dxa"/>
              <w:bottom w:w="57" w:type="dxa"/>
              <w:right w:w="0" w:type="dxa"/>
            </w:tcMar>
            <w:vAlign w:val="bottom"/>
          </w:tcPr>
          <w:p w14:paraId="0B43CE2F" w14:textId="77777777" w:rsidR="008A766F" w:rsidRPr="008A766F" w:rsidRDefault="008A766F" w:rsidP="003C223F">
            <w:pPr>
              <w:spacing w:line="240" w:lineRule="atLeast"/>
              <w:ind w:right="113"/>
              <w:jc w:val="right"/>
              <w:rPr>
                <w:rFonts w:ascii="Tahoma" w:hAnsi="Tahoma"/>
                <w:b/>
                <w:bCs/>
                <w:color w:val="000000" w:themeColor="text1"/>
                <w:sz w:val="16"/>
                <w:lang w:val="en-GB"/>
              </w:rPr>
            </w:pPr>
            <w:r w:rsidRPr="008A766F">
              <w:rPr>
                <w:rFonts w:ascii="Tahoma" w:hAnsi="Tahoma"/>
                <w:b/>
                <w:bCs/>
                <w:color w:val="000000" w:themeColor="text1"/>
                <w:sz w:val="16"/>
                <w:lang w:val="en-GB"/>
              </w:rPr>
              <w:t>20</w:t>
            </w:r>
          </w:p>
        </w:tc>
      </w:tr>
      <w:tr w:rsidR="00615190" w:rsidRPr="008A766F" w14:paraId="03C23EB0" w14:textId="77777777" w:rsidTr="002F078E">
        <w:trPr>
          <w:trHeight w:val="60"/>
        </w:trPr>
        <w:tc>
          <w:tcPr>
            <w:tcW w:w="397" w:type="dxa"/>
            <w:shd w:val="clear" w:color="auto" w:fill="auto"/>
            <w:tcMar>
              <w:top w:w="57" w:type="dxa"/>
              <w:left w:w="0" w:type="dxa"/>
              <w:bottom w:w="57" w:type="dxa"/>
              <w:right w:w="0" w:type="dxa"/>
            </w:tcMar>
            <w:vAlign w:val="bottom"/>
          </w:tcPr>
          <w:p w14:paraId="79EB8A59" w14:textId="77777777" w:rsidR="008A766F" w:rsidRPr="008A766F" w:rsidRDefault="008A766F" w:rsidP="00615190">
            <w:pPr>
              <w:spacing w:line="240" w:lineRule="atLeast"/>
              <w:rPr>
                <w:rFonts w:ascii="Tahoma" w:hAnsi="Tahoma"/>
                <w:color w:val="000000" w:themeColor="text1"/>
                <w:sz w:val="16"/>
                <w:lang w:val="en-GB"/>
              </w:rPr>
            </w:pPr>
          </w:p>
        </w:tc>
        <w:tc>
          <w:tcPr>
            <w:tcW w:w="462" w:type="dxa"/>
            <w:shd w:val="clear" w:color="auto" w:fill="auto"/>
            <w:tcMar>
              <w:top w:w="57" w:type="dxa"/>
              <w:left w:w="0" w:type="dxa"/>
              <w:bottom w:w="57" w:type="dxa"/>
              <w:right w:w="113" w:type="dxa"/>
            </w:tcMar>
            <w:vAlign w:val="bottom"/>
          </w:tcPr>
          <w:p w14:paraId="5C2767F9" w14:textId="77777777" w:rsidR="008A766F" w:rsidRPr="008A766F" w:rsidRDefault="008A766F" w:rsidP="00615190">
            <w:pPr>
              <w:spacing w:line="240" w:lineRule="atLeast"/>
              <w:rPr>
                <w:rFonts w:ascii="Tahoma" w:hAnsi="Tahoma"/>
                <w:color w:val="000000" w:themeColor="text1"/>
                <w:sz w:val="16"/>
                <w:lang w:val="en-GB"/>
              </w:rPr>
            </w:pPr>
          </w:p>
        </w:tc>
        <w:tc>
          <w:tcPr>
            <w:tcW w:w="3402" w:type="dxa"/>
            <w:shd w:val="clear" w:color="auto" w:fill="auto"/>
            <w:tcMar>
              <w:top w:w="57" w:type="dxa"/>
              <w:left w:w="0" w:type="dxa"/>
              <w:bottom w:w="57" w:type="dxa"/>
              <w:right w:w="113" w:type="dxa"/>
            </w:tcMar>
            <w:vAlign w:val="bottom"/>
          </w:tcPr>
          <w:p w14:paraId="6ECCAE2B" w14:textId="77777777" w:rsidR="008A766F" w:rsidRPr="008A766F" w:rsidRDefault="008A766F" w:rsidP="00615190">
            <w:pPr>
              <w:spacing w:line="240" w:lineRule="atLeast"/>
              <w:rPr>
                <w:rFonts w:ascii="Tahoma" w:hAnsi="Tahoma"/>
                <w:color w:val="000000" w:themeColor="text1"/>
                <w:sz w:val="16"/>
                <w:lang w:val="en-GB"/>
              </w:rPr>
            </w:pPr>
          </w:p>
        </w:tc>
        <w:tc>
          <w:tcPr>
            <w:tcW w:w="1268" w:type="dxa"/>
            <w:shd w:val="clear" w:color="auto" w:fill="auto"/>
            <w:tcMar>
              <w:top w:w="57" w:type="dxa"/>
              <w:left w:w="0" w:type="dxa"/>
              <w:bottom w:w="57" w:type="dxa"/>
              <w:right w:w="0" w:type="dxa"/>
            </w:tcMar>
            <w:vAlign w:val="bottom"/>
          </w:tcPr>
          <w:p w14:paraId="3D42AB58" w14:textId="77777777" w:rsidR="008A766F" w:rsidRPr="008A766F" w:rsidRDefault="008A766F" w:rsidP="00615190">
            <w:pPr>
              <w:spacing w:line="240" w:lineRule="atLeast"/>
              <w:rPr>
                <w:rFonts w:ascii="Tahoma" w:hAnsi="Tahoma"/>
                <w:color w:val="000000" w:themeColor="text1"/>
                <w:sz w:val="16"/>
                <w:lang w:val="en-GB"/>
              </w:rPr>
            </w:pPr>
          </w:p>
        </w:tc>
        <w:tc>
          <w:tcPr>
            <w:tcW w:w="1275" w:type="dxa"/>
            <w:tcBorders>
              <w:top w:val="single" w:sz="4" w:space="0" w:color="auto"/>
            </w:tcBorders>
            <w:shd w:val="clear" w:color="auto" w:fill="auto"/>
            <w:tcMar>
              <w:top w:w="57" w:type="dxa"/>
              <w:left w:w="0" w:type="dxa"/>
              <w:bottom w:w="57" w:type="dxa"/>
              <w:right w:w="0" w:type="dxa"/>
            </w:tcMar>
            <w:vAlign w:val="bottom"/>
          </w:tcPr>
          <w:p w14:paraId="41B43565" w14:textId="77777777" w:rsidR="008A766F" w:rsidRPr="008A766F" w:rsidRDefault="008A766F" w:rsidP="00FB30A6">
            <w:pPr>
              <w:spacing w:line="240" w:lineRule="atLeast"/>
              <w:jc w:val="right"/>
              <w:rPr>
                <w:rFonts w:ascii="Tahoma" w:hAnsi="Tahoma"/>
                <w:b/>
                <w:bCs/>
                <w:color w:val="000000" w:themeColor="text1"/>
                <w:sz w:val="16"/>
                <w:lang w:val="en-GB"/>
              </w:rPr>
            </w:pPr>
            <w:r w:rsidRPr="008A766F">
              <w:rPr>
                <w:rFonts w:ascii="Tahoma" w:hAnsi="Tahoma"/>
                <w:b/>
                <w:bCs/>
                <w:color w:val="000000" w:themeColor="text1"/>
                <w:sz w:val="16"/>
                <w:lang w:val="en-GB"/>
              </w:rPr>
              <w:t>20</w:t>
            </w:r>
          </w:p>
        </w:tc>
        <w:tc>
          <w:tcPr>
            <w:tcW w:w="1134" w:type="dxa"/>
            <w:tcBorders>
              <w:top w:val="single" w:sz="4" w:space="0" w:color="auto"/>
            </w:tcBorders>
            <w:shd w:val="clear" w:color="auto" w:fill="auto"/>
            <w:tcMar>
              <w:top w:w="57" w:type="dxa"/>
              <w:left w:w="0" w:type="dxa"/>
              <w:bottom w:w="57" w:type="dxa"/>
              <w:right w:w="0" w:type="dxa"/>
            </w:tcMar>
            <w:vAlign w:val="bottom"/>
          </w:tcPr>
          <w:p w14:paraId="39714925" w14:textId="77777777" w:rsidR="008A766F" w:rsidRPr="008A766F" w:rsidRDefault="008A766F" w:rsidP="00FB30A6">
            <w:pPr>
              <w:spacing w:line="240" w:lineRule="atLeast"/>
              <w:jc w:val="right"/>
              <w:rPr>
                <w:rFonts w:ascii="Tahoma" w:hAnsi="Tahoma"/>
                <w:b/>
                <w:bCs/>
                <w:color w:val="000000" w:themeColor="text1"/>
                <w:sz w:val="16"/>
                <w:lang w:val="en-GB"/>
              </w:rPr>
            </w:pPr>
            <w:r w:rsidRPr="008A766F">
              <w:rPr>
                <w:rFonts w:ascii="Tahoma" w:hAnsi="Tahoma"/>
                <w:b/>
                <w:bCs/>
                <w:color w:val="000000" w:themeColor="text1"/>
                <w:sz w:val="16"/>
                <w:lang w:val="en-GB"/>
              </w:rPr>
              <w:t>—</w:t>
            </w:r>
          </w:p>
        </w:tc>
        <w:tc>
          <w:tcPr>
            <w:tcW w:w="1142" w:type="dxa"/>
            <w:tcBorders>
              <w:top w:val="single" w:sz="4" w:space="0" w:color="auto"/>
            </w:tcBorders>
            <w:shd w:val="clear" w:color="auto" w:fill="auto"/>
            <w:tcMar>
              <w:top w:w="57" w:type="dxa"/>
              <w:left w:w="0" w:type="dxa"/>
              <w:bottom w:w="57" w:type="dxa"/>
              <w:right w:w="0" w:type="dxa"/>
            </w:tcMar>
            <w:vAlign w:val="bottom"/>
          </w:tcPr>
          <w:p w14:paraId="4A0FE808" w14:textId="77777777" w:rsidR="008A766F" w:rsidRPr="008A766F" w:rsidRDefault="008A766F" w:rsidP="00FB30A6">
            <w:pPr>
              <w:spacing w:line="240" w:lineRule="atLeast"/>
              <w:jc w:val="right"/>
              <w:rPr>
                <w:rFonts w:ascii="Tahoma" w:hAnsi="Tahoma"/>
                <w:b/>
                <w:bCs/>
                <w:color w:val="000000" w:themeColor="text1"/>
                <w:sz w:val="16"/>
                <w:lang w:val="en-GB"/>
              </w:rPr>
            </w:pPr>
            <w:r w:rsidRPr="008A766F">
              <w:rPr>
                <w:rFonts w:ascii="Tahoma" w:hAnsi="Tahoma"/>
                <w:b/>
                <w:bCs/>
                <w:color w:val="000000" w:themeColor="text1"/>
                <w:sz w:val="16"/>
                <w:lang w:val="en-GB"/>
              </w:rPr>
              <w:t>—</w:t>
            </w:r>
          </w:p>
        </w:tc>
        <w:tc>
          <w:tcPr>
            <w:tcW w:w="1134" w:type="dxa"/>
            <w:gridSpan w:val="2"/>
            <w:tcBorders>
              <w:top w:val="single" w:sz="4" w:space="0" w:color="auto"/>
            </w:tcBorders>
            <w:shd w:val="clear" w:color="auto" w:fill="auto"/>
            <w:tcMar>
              <w:top w:w="57" w:type="dxa"/>
              <w:left w:w="0" w:type="dxa"/>
              <w:bottom w:w="57" w:type="dxa"/>
              <w:right w:w="0" w:type="dxa"/>
            </w:tcMar>
            <w:vAlign w:val="bottom"/>
          </w:tcPr>
          <w:p w14:paraId="5F4561B5" w14:textId="77777777" w:rsidR="008A766F" w:rsidRPr="008A766F" w:rsidRDefault="008A766F" w:rsidP="003C223F">
            <w:pPr>
              <w:spacing w:line="240" w:lineRule="atLeast"/>
              <w:ind w:right="113"/>
              <w:jc w:val="right"/>
              <w:rPr>
                <w:rFonts w:ascii="Tahoma" w:hAnsi="Tahoma"/>
                <w:b/>
                <w:bCs/>
                <w:color w:val="000000" w:themeColor="text1"/>
                <w:sz w:val="16"/>
                <w:lang w:val="en-GB"/>
              </w:rPr>
            </w:pPr>
            <w:r w:rsidRPr="008A766F">
              <w:rPr>
                <w:rFonts w:ascii="Tahoma" w:hAnsi="Tahoma"/>
                <w:b/>
                <w:bCs/>
                <w:color w:val="000000" w:themeColor="text1"/>
                <w:sz w:val="16"/>
                <w:lang w:val="en-GB"/>
              </w:rPr>
              <w:t>20</w:t>
            </w:r>
          </w:p>
        </w:tc>
      </w:tr>
      <w:tr w:rsidR="00615190" w:rsidRPr="008A766F" w14:paraId="55001865" w14:textId="77777777" w:rsidTr="002F078E">
        <w:trPr>
          <w:trHeight w:val="60"/>
        </w:trPr>
        <w:tc>
          <w:tcPr>
            <w:tcW w:w="397" w:type="dxa"/>
            <w:shd w:val="clear" w:color="auto" w:fill="auto"/>
            <w:tcMar>
              <w:top w:w="57" w:type="dxa"/>
              <w:left w:w="0" w:type="dxa"/>
              <w:bottom w:w="57" w:type="dxa"/>
              <w:right w:w="0" w:type="dxa"/>
            </w:tcMar>
            <w:vAlign w:val="bottom"/>
          </w:tcPr>
          <w:p w14:paraId="4DEBA8EC" w14:textId="77777777" w:rsidR="008A766F" w:rsidRPr="008A766F" w:rsidRDefault="008A766F" w:rsidP="00615190">
            <w:pPr>
              <w:spacing w:line="240" w:lineRule="atLeast"/>
              <w:rPr>
                <w:rFonts w:ascii="Tahoma" w:hAnsi="Tahoma"/>
                <w:color w:val="000000" w:themeColor="text1"/>
                <w:sz w:val="16"/>
                <w:lang w:val="en-GB"/>
              </w:rPr>
            </w:pPr>
          </w:p>
        </w:tc>
        <w:tc>
          <w:tcPr>
            <w:tcW w:w="3864" w:type="dxa"/>
            <w:gridSpan w:val="2"/>
            <w:shd w:val="clear" w:color="auto" w:fill="auto"/>
            <w:tcMar>
              <w:top w:w="57" w:type="dxa"/>
              <w:left w:w="0" w:type="dxa"/>
              <w:bottom w:w="57" w:type="dxa"/>
              <w:right w:w="113" w:type="dxa"/>
            </w:tcMar>
            <w:vAlign w:val="bottom"/>
          </w:tcPr>
          <w:p w14:paraId="64BC4E68" w14:textId="77777777" w:rsidR="008A766F" w:rsidRPr="008A766F" w:rsidRDefault="008A766F" w:rsidP="00615190">
            <w:pPr>
              <w:spacing w:line="240" w:lineRule="atLeast"/>
              <w:rPr>
                <w:rFonts w:ascii="Tahoma" w:hAnsi="Tahoma"/>
                <w:b/>
                <w:bCs/>
                <w:color w:val="000000" w:themeColor="text1"/>
                <w:sz w:val="16"/>
                <w:lang w:val="en-GB"/>
              </w:rPr>
            </w:pPr>
            <w:r w:rsidRPr="008A766F">
              <w:rPr>
                <w:rFonts w:ascii="Tahoma" w:hAnsi="Tahoma"/>
                <w:b/>
                <w:bCs/>
                <w:color w:val="000000" w:themeColor="text1"/>
                <w:sz w:val="16"/>
                <w:lang w:val="en-GB"/>
              </w:rPr>
              <w:t>Additional investment in existing equity-accounted investments</w:t>
            </w:r>
          </w:p>
        </w:tc>
        <w:tc>
          <w:tcPr>
            <w:tcW w:w="1268" w:type="dxa"/>
            <w:shd w:val="clear" w:color="auto" w:fill="auto"/>
            <w:tcMar>
              <w:top w:w="57" w:type="dxa"/>
              <w:left w:w="0" w:type="dxa"/>
              <w:bottom w:w="57" w:type="dxa"/>
              <w:right w:w="0" w:type="dxa"/>
            </w:tcMar>
            <w:vAlign w:val="bottom"/>
          </w:tcPr>
          <w:p w14:paraId="2718E278" w14:textId="77777777" w:rsidR="008A766F" w:rsidRPr="008A766F" w:rsidRDefault="008A766F" w:rsidP="00615190">
            <w:pPr>
              <w:spacing w:line="240" w:lineRule="atLeast"/>
              <w:rPr>
                <w:rFonts w:ascii="Tahoma" w:hAnsi="Tahoma"/>
                <w:color w:val="000000" w:themeColor="text1"/>
                <w:sz w:val="16"/>
                <w:lang w:val="en-GB"/>
              </w:rPr>
            </w:pPr>
          </w:p>
        </w:tc>
        <w:tc>
          <w:tcPr>
            <w:tcW w:w="1275" w:type="dxa"/>
            <w:tcBorders>
              <w:bottom w:val="single" w:sz="4" w:space="0" w:color="auto"/>
            </w:tcBorders>
            <w:shd w:val="clear" w:color="auto" w:fill="auto"/>
            <w:tcMar>
              <w:top w:w="57" w:type="dxa"/>
              <w:left w:w="0" w:type="dxa"/>
              <w:bottom w:w="57" w:type="dxa"/>
              <w:right w:w="0" w:type="dxa"/>
            </w:tcMar>
            <w:vAlign w:val="bottom"/>
          </w:tcPr>
          <w:p w14:paraId="00B4E4A6" w14:textId="77777777" w:rsidR="008A766F" w:rsidRPr="008A766F" w:rsidRDefault="008A766F" w:rsidP="00FB30A6">
            <w:pPr>
              <w:spacing w:line="240" w:lineRule="atLeast"/>
              <w:jc w:val="right"/>
              <w:rPr>
                <w:rFonts w:ascii="Tahoma" w:hAnsi="Tahoma"/>
                <w:b/>
                <w:bCs/>
                <w:color w:val="000000" w:themeColor="text1"/>
                <w:sz w:val="16"/>
                <w:lang w:val="en-GB"/>
              </w:rPr>
            </w:pPr>
          </w:p>
        </w:tc>
        <w:tc>
          <w:tcPr>
            <w:tcW w:w="1134" w:type="dxa"/>
            <w:tcBorders>
              <w:bottom w:val="single" w:sz="4" w:space="0" w:color="auto"/>
            </w:tcBorders>
            <w:shd w:val="clear" w:color="auto" w:fill="auto"/>
            <w:tcMar>
              <w:top w:w="57" w:type="dxa"/>
              <w:left w:w="0" w:type="dxa"/>
              <w:bottom w:w="57" w:type="dxa"/>
              <w:right w:w="0" w:type="dxa"/>
            </w:tcMar>
            <w:vAlign w:val="bottom"/>
          </w:tcPr>
          <w:p w14:paraId="36B4599F" w14:textId="77777777" w:rsidR="008A766F" w:rsidRPr="008A766F" w:rsidRDefault="008A766F" w:rsidP="00FB30A6">
            <w:pPr>
              <w:spacing w:line="240" w:lineRule="atLeast"/>
              <w:jc w:val="right"/>
              <w:rPr>
                <w:rFonts w:ascii="Tahoma" w:hAnsi="Tahoma"/>
                <w:b/>
                <w:bCs/>
                <w:color w:val="000000" w:themeColor="text1"/>
                <w:sz w:val="16"/>
                <w:lang w:val="en-GB"/>
              </w:rPr>
            </w:pPr>
          </w:p>
        </w:tc>
        <w:tc>
          <w:tcPr>
            <w:tcW w:w="1142" w:type="dxa"/>
            <w:tcBorders>
              <w:bottom w:val="single" w:sz="4" w:space="0" w:color="auto"/>
            </w:tcBorders>
            <w:shd w:val="clear" w:color="auto" w:fill="auto"/>
            <w:tcMar>
              <w:top w:w="57" w:type="dxa"/>
              <w:left w:w="0" w:type="dxa"/>
              <w:bottom w:w="57" w:type="dxa"/>
              <w:right w:w="0" w:type="dxa"/>
            </w:tcMar>
            <w:vAlign w:val="bottom"/>
          </w:tcPr>
          <w:p w14:paraId="3FDEEDC6" w14:textId="77777777" w:rsidR="008A766F" w:rsidRPr="008A766F" w:rsidRDefault="008A766F" w:rsidP="00FB30A6">
            <w:pPr>
              <w:spacing w:line="240" w:lineRule="atLeast"/>
              <w:jc w:val="right"/>
              <w:rPr>
                <w:rFonts w:ascii="Tahoma" w:hAnsi="Tahoma"/>
                <w:b/>
                <w:bCs/>
                <w:color w:val="000000" w:themeColor="text1"/>
                <w:sz w:val="16"/>
                <w:lang w:val="en-GB"/>
              </w:rPr>
            </w:pPr>
          </w:p>
        </w:tc>
        <w:tc>
          <w:tcPr>
            <w:tcW w:w="1134" w:type="dxa"/>
            <w:gridSpan w:val="2"/>
            <w:tcBorders>
              <w:bottom w:val="single" w:sz="4" w:space="0" w:color="auto"/>
            </w:tcBorders>
            <w:shd w:val="clear" w:color="auto" w:fill="auto"/>
            <w:tcMar>
              <w:top w:w="57" w:type="dxa"/>
              <w:left w:w="0" w:type="dxa"/>
              <w:bottom w:w="57" w:type="dxa"/>
              <w:right w:w="0" w:type="dxa"/>
            </w:tcMar>
            <w:vAlign w:val="bottom"/>
          </w:tcPr>
          <w:p w14:paraId="66548F08" w14:textId="77777777" w:rsidR="008A766F" w:rsidRPr="008A766F" w:rsidRDefault="008A766F" w:rsidP="003C223F">
            <w:pPr>
              <w:spacing w:line="240" w:lineRule="atLeast"/>
              <w:ind w:right="113"/>
              <w:jc w:val="right"/>
              <w:rPr>
                <w:rFonts w:ascii="Tahoma" w:hAnsi="Tahoma"/>
                <w:b/>
                <w:bCs/>
                <w:color w:val="000000" w:themeColor="text1"/>
                <w:sz w:val="16"/>
                <w:lang w:val="en-GB"/>
              </w:rPr>
            </w:pPr>
          </w:p>
        </w:tc>
      </w:tr>
      <w:tr w:rsidR="00615190" w:rsidRPr="008A766F" w14:paraId="54033D40" w14:textId="77777777" w:rsidTr="002F078E">
        <w:trPr>
          <w:trHeight w:val="60"/>
        </w:trPr>
        <w:tc>
          <w:tcPr>
            <w:tcW w:w="397" w:type="dxa"/>
            <w:shd w:val="clear" w:color="auto" w:fill="auto"/>
            <w:tcMar>
              <w:top w:w="57" w:type="dxa"/>
              <w:left w:w="0" w:type="dxa"/>
              <w:bottom w:w="57" w:type="dxa"/>
              <w:right w:w="0" w:type="dxa"/>
            </w:tcMar>
            <w:vAlign w:val="bottom"/>
          </w:tcPr>
          <w:p w14:paraId="7FB4C982" w14:textId="77777777" w:rsidR="008A766F" w:rsidRPr="008A766F" w:rsidRDefault="008A766F" w:rsidP="00615190">
            <w:pPr>
              <w:spacing w:line="240" w:lineRule="atLeast"/>
              <w:rPr>
                <w:rFonts w:ascii="Tahoma" w:hAnsi="Tahoma"/>
                <w:color w:val="000000" w:themeColor="text1"/>
                <w:sz w:val="16"/>
                <w:lang w:val="en-GB"/>
              </w:rPr>
            </w:pPr>
          </w:p>
        </w:tc>
        <w:tc>
          <w:tcPr>
            <w:tcW w:w="3864" w:type="dxa"/>
            <w:gridSpan w:val="2"/>
            <w:shd w:val="clear" w:color="auto" w:fill="auto"/>
            <w:tcMar>
              <w:top w:w="57" w:type="dxa"/>
              <w:left w:w="113" w:type="dxa"/>
              <w:bottom w:w="57" w:type="dxa"/>
              <w:right w:w="0" w:type="dxa"/>
            </w:tcMar>
            <w:vAlign w:val="bottom"/>
          </w:tcPr>
          <w:p w14:paraId="55A372DE" w14:textId="77777777" w:rsidR="008A766F" w:rsidRPr="008A766F" w:rsidRDefault="008A766F" w:rsidP="00615190">
            <w:pPr>
              <w:spacing w:line="240" w:lineRule="atLeast"/>
              <w:rPr>
                <w:rFonts w:ascii="Tahoma" w:hAnsi="Tahoma"/>
                <w:color w:val="000000" w:themeColor="text1"/>
                <w:sz w:val="16"/>
                <w:lang w:val="en-GB"/>
              </w:rPr>
            </w:pPr>
            <w:r w:rsidRPr="008A766F">
              <w:rPr>
                <w:rFonts w:ascii="Tahoma" w:hAnsi="Tahoma"/>
                <w:color w:val="000000" w:themeColor="text1"/>
                <w:sz w:val="16"/>
                <w:lang w:val="en-GB"/>
              </w:rPr>
              <w:t>Other</w:t>
            </w:r>
            <w:r w:rsidRPr="008A766F">
              <w:rPr>
                <w:rFonts w:ascii="Tahoma" w:hAnsi="Tahoma"/>
                <w:color w:val="000000" w:themeColor="text1"/>
                <w:sz w:val="16"/>
                <w:vertAlign w:val="superscript"/>
                <w:lang w:val="en-GB"/>
              </w:rPr>
              <w:t>1</w:t>
            </w:r>
          </w:p>
        </w:tc>
        <w:tc>
          <w:tcPr>
            <w:tcW w:w="1268" w:type="dxa"/>
            <w:tcBorders>
              <w:right w:val="single" w:sz="4" w:space="0" w:color="auto"/>
            </w:tcBorders>
            <w:shd w:val="clear" w:color="auto" w:fill="auto"/>
            <w:tcMar>
              <w:top w:w="57" w:type="dxa"/>
              <w:left w:w="0" w:type="dxa"/>
              <w:bottom w:w="57" w:type="dxa"/>
              <w:right w:w="0" w:type="dxa"/>
            </w:tcMar>
            <w:vAlign w:val="bottom"/>
          </w:tcPr>
          <w:p w14:paraId="7A7A8530" w14:textId="77777777" w:rsidR="008A766F" w:rsidRPr="008A766F" w:rsidRDefault="008A766F" w:rsidP="00615190">
            <w:pPr>
              <w:spacing w:line="240" w:lineRule="atLeast"/>
              <w:rPr>
                <w:rFonts w:ascii="Tahoma" w:hAnsi="Tahoma"/>
                <w:color w:val="000000" w:themeColor="text1"/>
                <w:sz w:val="16"/>
                <w:lang w:val="en-GB"/>
              </w:rPr>
            </w:pPr>
            <w:r w:rsidRPr="008A766F">
              <w:rPr>
                <w:rFonts w:ascii="Tahoma" w:hAnsi="Tahoma"/>
                <w:color w:val="000000" w:themeColor="text1"/>
                <w:sz w:val="16"/>
                <w:lang w:val="en-GB"/>
              </w:rPr>
              <w:t>Associate</w:t>
            </w:r>
          </w:p>
        </w:tc>
        <w:tc>
          <w:tcPr>
            <w:tcW w:w="1275" w:type="dxa"/>
            <w:tcBorders>
              <w:top w:val="single" w:sz="4" w:space="0" w:color="auto"/>
              <w:left w:val="single" w:sz="4" w:space="0" w:color="auto"/>
              <w:bottom w:val="single" w:sz="4" w:space="0" w:color="auto"/>
            </w:tcBorders>
            <w:shd w:val="clear" w:color="auto" w:fill="auto"/>
            <w:tcMar>
              <w:top w:w="57" w:type="dxa"/>
              <w:left w:w="0" w:type="dxa"/>
              <w:bottom w:w="57" w:type="dxa"/>
              <w:right w:w="0" w:type="dxa"/>
            </w:tcMar>
            <w:vAlign w:val="bottom"/>
          </w:tcPr>
          <w:p w14:paraId="49547AC6" w14:textId="77777777" w:rsidR="008A766F" w:rsidRPr="008A766F" w:rsidRDefault="008A766F" w:rsidP="00FB30A6">
            <w:pPr>
              <w:spacing w:line="240" w:lineRule="atLeast"/>
              <w:jc w:val="right"/>
              <w:rPr>
                <w:rFonts w:ascii="Tahoma" w:hAnsi="Tahoma"/>
                <w:b/>
                <w:bCs/>
                <w:color w:val="000000" w:themeColor="text1"/>
                <w:sz w:val="16"/>
                <w:lang w:val="en-GB"/>
              </w:rPr>
            </w:pPr>
            <w:r w:rsidRPr="008A766F">
              <w:rPr>
                <w:rFonts w:ascii="Tahoma" w:hAnsi="Tahoma"/>
                <w:b/>
                <w:bCs/>
                <w:color w:val="000000" w:themeColor="text1"/>
                <w:sz w:val="16"/>
                <w:lang w:val="en-GB"/>
              </w:rPr>
              <w:t>42</w:t>
            </w:r>
          </w:p>
        </w:tc>
        <w:tc>
          <w:tcPr>
            <w:tcW w:w="1134" w:type="dxa"/>
            <w:tcBorders>
              <w:top w:val="single" w:sz="4" w:space="0" w:color="auto"/>
              <w:bottom w:val="single" w:sz="4" w:space="0" w:color="auto"/>
            </w:tcBorders>
            <w:shd w:val="clear" w:color="auto" w:fill="auto"/>
            <w:tcMar>
              <w:top w:w="57" w:type="dxa"/>
              <w:left w:w="0" w:type="dxa"/>
              <w:bottom w:w="57" w:type="dxa"/>
              <w:right w:w="0" w:type="dxa"/>
            </w:tcMar>
            <w:vAlign w:val="bottom"/>
          </w:tcPr>
          <w:p w14:paraId="48F6CCFB" w14:textId="77777777" w:rsidR="008A766F" w:rsidRPr="008A766F" w:rsidRDefault="008A766F" w:rsidP="00FB30A6">
            <w:pPr>
              <w:spacing w:line="240" w:lineRule="atLeast"/>
              <w:jc w:val="right"/>
              <w:rPr>
                <w:rFonts w:ascii="Tahoma" w:hAnsi="Tahoma"/>
                <w:b/>
                <w:bCs/>
                <w:color w:val="000000" w:themeColor="text1"/>
                <w:sz w:val="16"/>
                <w:lang w:val="en-GB"/>
              </w:rPr>
            </w:pPr>
            <w:r w:rsidRPr="008A766F">
              <w:rPr>
                <w:rFonts w:ascii="Tahoma" w:hAnsi="Tahoma"/>
                <w:b/>
                <w:bCs/>
                <w:color w:val="000000" w:themeColor="text1"/>
                <w:sz w:val="16"/>
                <w:lang w:val="en-GB"/>
              </w:rPr>
              <w:t>—</w:t>
            </w:r>
          </w:p>
        </w:tc>
        <w:tc>
          <w:tcPr>
            <w:tcW w:w="1142" w:type="dxa"/>
            <w:tcBorders>
              <w:top w:val="single" w:sz="4" w:space="0" w:color="auto"/>
              <w:bottom w:val="single" w:sz="4" w:space="0" w:color="auto"/>
            </w:tcBorders>
            <w:shd w:val="clear" w:color="auto" w:fill="auto"/>
            <w:tcMar>
              <w:top w:w="57" w:type="dxa"/>
              <w:left w:w="0" w:type="dxa"/>
              <w:bottom w:w="57" w:type="dxa"/>
              <w:right w:w="0" w:type="dxa"/>
            </w:tcMar>
            <w:vAlign w:val="bottom"/>
          </w:tcPr>
          <w:p w14:paraId="3F2284DD" w14:textId="77777777" w:rsidR="008A766F" w:rsidRPr="008A766F" w:rsidRDefault="008A766F" w:rsidP="00FB30A6">
            <w:pPr>
              <w:spacing w:line="240" w:lineRule="atLeast"/>
              <w:jc w:val="right"/>
              <w:rPr>
                <w:rFonts w:ascii="Tahoma" w:hAnsi="Tahoma"/>
                <w:b/>
                <w:bCs/>
                <w:color w:val="000000" w:themeColor="text1"/>
                <w:sz w:val="16"/>
                <w:lang w:val="en-GB"/>
              </w:rPr>
            </w:pPr>
            <w:r w:rsidRPr="008A766F">
              <w:rPr>
                <w:rFonts w:ascii="Tahoma" w:hAnsi="Tahoma"/>
                <w:b/>
                <w:bCs/>
                <w:color w:val="000000" w:themeColor="text1"/>
                <w:sz w:val="16"/>
                <w:lang w:val="en-GB"/>
              </w:rPr>
              <w:t>—</w:t>
            </w:r>
          </w:p>
        </w:tc>
        <w:tc>
          <w:tcPr>
            <w:tcW w:w="1134" w:type="dxa"/>
            <w:gridSpan w:val="2"/>
            <w:tcBorders>
              <w:top w:val="single" w:sz="4" w:space="0" w:color="auto"/>
              <w:bottom w:val="single" w:sz="4" w:space="0" w:color="auto"/>
              <w:right w:val="single" w:sz="4" w:space="0" w:color="auto"/>
            </w:tcBorders>
            <w:shd w:val="clear" w:color="auto" w:fill="auto"/>
            <w:tcMar>
              <w:top w:w="57" w:type="dxa"/>
              <w:left w:w="0" w:type="dxa"/>
              <w:bottom w:w="57" w:type="dxa"/>
              <w:right w:w="0" w:type="dxa"/>
            </w:tcMar>
            <w:vAlign w:val="bottom"/>
          </w:tcPr>
          <w:p w14:paraId="2A4FD74C" w14:textId="77777777" w:rsidR="008A766F" w:rsidRPr="008A766F" w:rsidRDefault="008A766F" w:rsidP="003C223F">
            <w:pPr>
              <w:spacing w:line="240" w:lineRule="atLeast"/>
              <w:ind w:right="113"/>
              <w:jc w:val="right"/>
              <w:rPr>
                <w:rFonts w:ascii="Tahoma" w:hAnsi="Tahoma"/>
                <w:b/>
                <w:bCs/>
                <w:color w:val="000000" w:themeColor="text1"/>
                <w:sz w:val="16"/>
                <w:lang w:val="en-GB"/>
              </w:rPr>
            </w:pPr>
            <w:r w:rsidRPr="008A766F">
              <w:rPr>
                <w:rFonts w:ascii="Tahoma" w:hAnsi="Tahoma"/>
                <w:b/>
                <w:bCs/>
                <w:color w:val="000000" w:themeColor="text1"/>
                <w:sz w:val="16"/>
                <w:lang w:val="en-GB"/>
              </w:rPr>
              <w:t>42</w:t>
            </w:r>
          </w:p>
        </w:tc>
      </w:tr>
      <w:tr w:rsidR="00615190" w:rsidRPr="008A766F" w14:paraId="15CADC42" w14:textId="77777777" w:rsidTr="002F078E">
        <w:trPr>
          <w:trHeight w:val="60"/>
        </w:trPr>
        <w:tc>
          <w:tcPr>
            <w:tcW w:w="397" w:type="dxa"/>
            <w:shd w:val="clear" w:color="auto" w:fill="auto"/>
            <w:tcMar>
              <w:top w:w="57" w:type="dxa"/>
              <w:left w:w="0" w:type="dxa"/>
              <w:bottom w:w="57" w:type="dxa"/>
              <w:right w:w="0" w:type="dxa"/>
            </w:tcMar>
            <w:vAlign w:val="bottom"/>
          </w:tcPr>
          <w:p w14:paraId="1B519466" w14:textId="77777777" w:rsidR="008A766F" w:rsidRPr="008A766F" w:rsidRDefault="008A766F" w:rsidP="00615190">
            <w:pPr>
              <w:spacing w:line="240" w:lineRule="atLeast"/>
              <w:rPr>
                <w:rFonts w:ascii="Tahoma" w:hAnsi="Tahoma"/>
                <w:color w:val="000000" w:themeColor="text1"/>
                <w:sz w:val="16"/>
                <w:lang w:val="en-GB"/>
              </w:rPr>
            </w:pPr>
          </w:p>
        </w:tc>
        <w:tc>
          <w:tcPr>
            <w:tcW w:w="462" w:type="dxa"/>
            <w:shd w:val="clear" w:color="auto" w:fill="auto"/>
            <w:tcMar>
              <w:top w:w="57" w:type="dxa"/>
              <w:left w:w="0" w:type="dxa"/>
              <w:bottom w:w="57" w:type="dxa"/>
              <w:right w:w="0" w:type="dxa"/>
            </w:tcMar>
            <w:vAlign w:val="bottom"/>
          </w:tcPr>
          <w:p w14:paraId="23B6BFDC" w14:textId="77777777" w:rsidR="008A766F" w:rsidRPr="008A766F" w:rsidRDefault="008A766F" w:rsidP="00615190">
            <w:pPr>
              <w:spacing w:line="240" w:lineRule="atLeast"/>
              <w:rPr>
                <w:rFonts w:ascii="Tahoma" w:hAnsi="Tahoma"/>
                <w:color w:val="000000" w:themeColor="text1"/>
                <w:sz w:val="16"/>
                <w:lang w:val="en-GB"/>
              </w:rPr>
            </w:pPr>
          </w:p>
        </w:tc>
        <w:tc>
          <w:tcPr>
            <w:tcW w:w="3402" w:type="dxa"/>
            <w:shd w:val="clear" w:color="auto" w:fill="auto"/>
            <w:tcMar>
              <w:top w:w="57" w:type="dxa"/>
              <w:left w:w="0" w:type="dxa"/>
              <w:bottom w:w="57" w:type="dxa"/>
              <w:right w:w="0" w:type="dxa"/>
            </w:tcMar>
            <w:vAlign w:val="bottom"/>
          </w:tcPr>
          <w:p w14:paraId="34EB143E" w14:textId="77777777" w:rsidR="008A766F" w:rsidRPr="008A766F" w:rsidRDefault="008A766F" w:rsidP="00615190">
            <w:pPr>
              <w:spacing w:line="240" w:lineRule="atLeast"/>
              <w:rPr>
                <w:rFonts w:ascii="Tahoma" w:hAnsi="Tahoma"/>
                <w:color w:val="000000" w:themeColor="text1"/>
                <w:sz w:val="16"/>
                <w:lang w:val="en-GB"/>
              </w:rPr>
            </w:pPr>
          </w:p>
        </w:tc>
        <w:tc>
          <w:tcPr>
            <w:tcW w:w="1268" w:type="dxa"/>
            <w:shd w:val="clear" w:color="auto" w:fill="auto"/>
            <w:tcMar>
              <w:top w:w="57" w:type="dxa"/>
              <w:left w:w="0" w:type="dxa"/>
              <w:bottom w:w="57" w:type="dxa"/>
              <w:right w:w="0" w:type="dxa"/>
            </w:tcMar>
            <w:vAlign w:val="bottom"/>
          </w:tcPr>
          <w:p w14:paraId="397466A4" w14:textId="77777777" w:rsidR="008A766F" w:rsidRPr="008A766F" w:rsidRDefault="008A766F" w:rsidP="00615190">
            <w:pPr>
              <w:spacing w:line="240" w:lineRule="atLeast"/>
              <w:rPr>
                <w:rFonts w:ascii="Tahoma" w:hAnsi="Tahoma"/>
                <w:color w:val="000000" w:themeColor="text1"/>
                <w:sz w:val="16"/>
                <w:lang w:val="en-GB"/>
              </w:rPr>
            </w:pPr>
          </w:p>
        </w:tc>
        <w:tc>
          <w:tcPr>
            <w:tcW w:w="1275" w:type="dxa"/>
            <w:tcBorders>
              <w:top w:val="single" w:sz="4" w:space="0" w:color="auto"/>
            </w:tcBorders>
            <w:shd w:val="clear" w:color="auto" w:fill="auto"/>
            <w:tcMar>
              <w:top w:w="57" w:type="dxa"/>
              <w:left w:w="0" w:type="dxa"/>
              <w:bottom w:w="57" w:type="dxa"/>
              <w:right w:w="0" w:type="dxa"/>
            </w:tcMar>
            <w:vAlign w:val="bottom"/>
          </w:tcPr>
          <w:p w14:paraId="41926C6F" w14:textId="77777777" w:rsidR="008A766F" w:rsidRPr="008A766F" w:rsidRDefault="008A766F" w:rsidP="00FB30A6">
            <w:pPr>
              <w:spacing w:line="240" w:lineRule="atLeast"/>
              <w:jc w:val="right"/>
              <w:rPr>
                <w:rFonts w:ascii="Tahoma" w:hAnsi="Tahoma"/>
                <w:b/>
                <w:bCs/>
                <w:color w:val="000000" w:themeColor="text1"/>
                <w:sz w:val="16"/>
                <w:lang w:val="en-GB"/>
              </w:rPr>
            </w:pPr>
            <w:r w:rsidRPr="008A766F">
              <w:rPr>
                <w:rFonts w:ascii="Tahoma" w:hAnsi="Tahoma"/>
                <w:b/>
                <w:bCs/>
                <w:color w:val="000000" w:themeColor="text1"/>
                <w:sz w:val="16"/>
                <w:lang w:val="en-GB"/>
              </w:rPr>
              <w:t>42</w:t>
            </w:r>
          </w:p>
        </w:tc>
        <w:tc>
          <w:tcPr>
            <w:tcW w:w="1134" w:type="dxa"/>
            <w:tcBorders>
              <w:top w:val="single" w:sz="4" w:space="0" w:color="auto"/>
            </w:tcBorders>
            <w:shd w:val="clear" w:color="auto" w:fill="auto"/>
            <w:tcMar>
              <w:top w:w="57" w:type="dxa"/>
              <w:left w:w="0" w:type="dxa"/>
              <w:bottom w:w="57" w:type="dxa"/>
              <w:right w:w="0" w:type="dxa"/>
            </w:tcMar>
            <w:vAlign w:val="bottom"/>
          </w:tcPr>
          <w:p w14:paraId="2956A369" w14:textId="77777777" w:rsidR="008A766F" w:rsidRPr="008A766F" w:rsidRDefault="008A766F" w:rsidP="00FB30A6">
            <w:pPr>
              <w:spacing w:line="240" w:lineRule="atLeast"/>
              <w:jc w:val="right"/>
              <w:rPr>
                <w:rFonts w:ascii="Tahoma" w:hAnsi="Tahoma"/>
                <w:b/>
                <w:bCs/>
                <w:color w:val="000000" w:themeColor="text1"/>
                <w:sz w:val="16"/>
                <w:lang w:val="en-GB"/>
              </w:rPr>
            </w:pPr>
            <w:r w:rsidRPr="008A766F">
              <w:rPr>
                <w:rFonts w:ascii="Tahoma" w:hAnsi="Tahoma"/>
                <w:b/>
                <w:bCs/>
                <w:color w:val="000000" w:themeColor="text1"/>
                <w:sz w:val="16"/>
                <w:lang w:val="en-GB"/>
              </w:rPr>
              <w:t>—</w:t>
            </w:r>
          </w:p>
        </w:tc>
        <w:tc>
          <w:tcPr>
            <w:tcW w:w="1142" w:type="dxa"/>
            <w:tcBorders>
              <w:top w:val="single" w:sz="4" w:space="0" w:color="auto"/>
            </w:tcBorders>
            <w:shd w:val="clear" w:color="auto" w:fill="auto"/>
            <w:tcMar>
              <w:top w:w="57" w:type="dxa"/>
              <w:left w:w="0" w:type="dxa"/>
              <w:bottom w:w="57" w:type="dxa"/>
              <w:right w:w="0" w:type="dxa"/>
            </w:tcMar>
            <w:vAlign w:val="bottom"/>
          </w:tcPr>
          <w:p w14:paraId="7BC7B8C0" w14:textId="77777777" w:rsidR="008A766F" w:rsidRPr="008A766F" w:rsidRDefault="008A766F" w:rsidP="00FB30A6">
            <w:pPr>
              <w:spacing w:line="240" w:lineRule="atLeast"/>
              <w:jc w:val="right"/>
              <w:rPr>
                <w:rFonts w:ascii="Tahoma" w:hAnsi="Tahoma"/>
                <w:b/>
                <w:bCs/>
                <w:color w:val="000000" w:themeColor="text1"/>
                <w:sz w:val="16"/>
                <w:lang w:val="en-GB"/>
              </w:rPr>
            </w:pPr>
            <w:r w:rsidRPr="008A766F">
              <w:rPr>
                <w:rFonts w:ascii="Tahoma" w:hAnsi="Tahoma"/>
                <w:b/>
                <w:bCs/>
                <w:color w:val="000000" w:themeColor="text1"/>
                <w:sz w:val="16"/>
                <w:lang w:val="en-GB"/>
              </w:rPr>
              <w:t>—</w:t>
            </w:r>
          </w:p>
        </w:tc>
        <w:tc>
          <w:tcPr>
            <w:tcW w:w="1134" w:type="dxa"/>
            <w:gridSpan w:val="2"/>
            <w:tcBorders>
              <w:top w:val="single" w:sz="4" w:space="0" w:color="auto"/>
            </w:tcBorders>
            <w:shd w:val="clear" w:color="auto" w:fill="auto"/>
            <w:tcMar>
              <w:top w:w="57" w:type="dxa"/>
              <w:left w:w="0" w:type="dxa"/>
              <w:bottom w:w="57" w:type="dxa"/>
              <w:right w:w="0" w:type="dxa"/>
            </w:tcMar>
            <w:vAlign w:val="bottom"/>
          </w:tcPr>
          <w:p w14:paraId="38079423" w14:textId="77777777" w:rsidR="008A766F" w:rsidRPr="008A766F" w:rsidRDefault="008A766F" w:rsidP="003C223F">
            <w:pPr>
              <w:spacing w:line="240" w:lineRule="atLeast"/>
              <w:ind w:right="113"/>
              <w:jc w:val="right"/>
              <w:rPr>
                <w:rFonts w:ascii="Tahoma" w:hAnsi="Tahoma"/>
                <w:b/>
                <w:bCs/>
                <w:color w:val="000000" w:themeColor="text1"/>
                <w:sz w:val="16"/>
                <w:lang w:val="en-GB"/>
              </w:rPr>
            </w:pPr>
            <w:r w:rsidRPr="008A766F">
              <w:rPr>
                <w:rFonts w:ascii="Tahoma" w:hAnsi="Tahoma"/>
                <w:b/>
                <w:bCs/>
                <w:color w:val="000000" w:themeColor="text1"/>
                <w:sz w:val="16"/>
                <w:lang w:val="en-GB"/>
              </w:rPr>
              <w:t>42</w:t>
            </w:r>
          </w:p>
        </w:tc>
      </w:tr>
      <w:tr w:rsidR="00615190" w:rsidRPr="008A766F" w14:paraId="4AA1B28A" w14:textId="77777777" w:rsidTr="002F078E">
        <w:trPr>
          <w:trHeight w:val="60"/>
        </w:trPr>
        <w:tc>
          <w:tcPr>
            <w:tcW w:w="397" w:type="dxa"/>
            <w:shd w:val="clear" w:color="auto" w:fill="auto"/>
            <w:tcMar>
              <w:top w:w="57" w:type="dxa"/>
              <w:left w:w="0" w:type="dxa"/>
              <w:bottom w:w="57" w:type="dxa"/>
              <w:right w:w="0" w:type="dxa"/>
            </w:tcMar>
            <w:vAlign w:val="bottom"/>
          </w:tcPr>
          <w:p w14:paraId="227085C7" w14:textId="77777777" w:rsidR="008A766F" w:rsidRPr="008A766F" w:rsidRDefault="008A766F" w:rsidP="00615190">
            <w:pPr>
              <w:spacing w:line="240" w:lineRule="atLeast"/>
              <w:rPr>
                <w:rFonts w:ascii="Tahoma" w:hAnsi="Tahoma"/>
                <w:color w:val="000000" w:themeColor="text1"/>
                <w:sz w:val="16"/>
                <w:lang w:val="en-GB"/>
              </w:rPr>
            </w:pPr>
          </w:p>
        </w:tc>
        <w:tc>
          <w:tcPr>
            <w:tcW w:w="3864" w:type="dxa"/>
            <w:gridSpan w:val="2"/>
            <w:shd w:val="clear" w:color="auto" w:fill="auto"/>
            <w:tcMar>
              <w:top w:w="57" w:type="dxa"/>
              <w:left w:w="0" w:type="dxa"/>
              <w:bottom w:w="57" w:type="dxa"/>
              <w:right w:w="0" w:type="dxa"/>
            </w:tcMar>
            <w:vAlign w:val="bottom"/>
          </w:tcPr>
          <w:p w14:paraId="51C8E6CD" w14:textId="77777777" w:rsidR="008A766F" w:rsidRPr="008A766F" w:rsidRDefault="008A766F" w:rsidP="00615190">
            <w:pPr>
              <w:spacing w:line="240" w:lineRule="atLeast"/>
              <w:rPr>
                <w:rFonts w:ascii="Tahoma" w:hAnsi="Tahoma"/>
                <w:b/>
                <w:bCs/>
                <w:color w:val="000000" w:themeColor="text1"/>
                <w:sz w:val="16"/>
                <w:lang w:val="en-GB"/>
              </w:rPr>
            </w:pPr>
            <w:r w:rsidRPr="008A766F">
              <w:rPr>
                <w:rFonts w:ascii="Tahoma" w:hAnsi="Tahoma"/>
                <w:b/>
                <w:bCs/>
                <w:color w:val="000000" w:themeColor="text1"/>
                <w:sz w:val="16"/>
                <w:lang w:val="en-GB"/>
              </w:rPr>
              <w:t>Other investments</w:t>
            </w:r>
          </w:p>
        </w:tc>
        <w:tc>
          <w:tcPr>
            <w:tcW w:w="1268" w:type="dxa"/>
            <w:shd w:val="clear" w:color="auto" w:fill="auto"/>
            <w:tcMar>
              <w:top w:w="57" w:type="dxa"/>
              <w:left w:w="0" w:type="dxa"/>
              <w:bottom w:w="57" w:type="dxa"/>
              <w:right w:w="0" w:type="dxa"/>
            </w:tcMar>
            <w:vAlign w:val="bottom"/>
          </w:tcPr>
          <w:p w14:paraId="234B3991" w14:textId="77777777" w:rsidR="008A766F" w:rsidRPr="008A766F" w:rsidRDefault="008A766F" w:rsidP="00615190">
            <w:pPr>
              <w:spacing w:line="240" w:lineRule="atLeast"/>
              <w:rPr>
                <w:rFonts w:ascii="Tahoma" w:hAnsi="Tahoma"/>
                <w:color w:val="000000" w:themeColor="text1"/>
                <w:sz w:val="16"/>
                <w:lang w:val="en-GB"/>
              </w:rPr>
            </w:pPr>
          </w:p>
        </w:tc>
        <w:tc>
          <w:tcPr>
            <w:tcW w:w="1275" w:type="dxa"/>
            <w:tcBorders>
              <w:bottom w:val="single" w:sz="4" w:space="0" w:color="auto"/>
            </w:tcBorders>
            <w:shd w:val="clear" w:color="auto" w:fill="auto"/>
            <w:tcMar>
              <w:top w:w="57" w:type="dxa"/>
              <w:left w:w="0" w:type="dxa"/>
              <w:bottom w:w="57" w:type="dxa"/>
              <w:right w:w="0" w:type="dxa"/>
            </w:tcMar>
            <w:vAlign w:val="bottom"/>
          </w:tcPr>
          <w:p w14:paraId="17EC2327" w14:textId="77777777" w:rsidR="008A766F" w:rsidRPr="008A766F" w:rsidRDefault="008A766F" w:rsidP="00FB30A6">
            <w:pPr>
              <w:spacing w:line="240" w:lineRule="atLeast"/>
              <w:jc w:val="right"/>
              <w:rPr>
                <w:rFonts w:ascii="Tahoma" w:hAnsi="Tahoma"/>
                <w:b/>
                <w:bCs/>
                <w:color w:val="000000" w:themeColor="text1"/>
                <w:sz w:val="16"/>
                <w:lang w:val="en-GB"/>
              </w:rPr>
            </w:pPr>
          </w:p>
        </w:tc>
        <w:tc>
          <w:tcPr>
            <w:tcW w:w="1134" w:type="dxa"/>
            <w:tcBorders>
              <w:bottom w:val="single" w:sz="4" w:space="0" w:color="auto"/>
            </w:tcBorders>
            <w:shd w:val="clear" w:color="auto" w:fill="auto"/>
            <w:tcMar>
              <w:top w:w="57" w:type="dxa"/>
              <w:left w:w="0" w:type="dxa"/>
              <w:bottom w:w="57" w:type="dxa"/>
              <w:right w:w="0" w:type="dxa"/>
            </w:tcMar>
            <w:vAlign w:val="bottom"/>
          </w:tcPr>
          <w:p w14:paraId="590D60D7" w14:textId="77777777" w:rsidR="008A766F" w:rsidRPr="008A766F" w:rsidRDefault="008A766F" w:rsidP="00FB30A6">
            <w:pPr>
              <w:spacing w:line="240" w:lineRule="atLeast"/>
              <w:jc w:val="right"/>
              <w:rPr>
                <w:rFonts w:ascii="Tahoma" w:hAnsi="Tahoma"/>
                <w:b/>
                <w:bCs/>
                <w:color w:val="000000" w:themeColor="text1"/>
                <w:sz w:val="16"/>
                <w:lang w:val="en-GB"/>
              </w:rPr>
            </w:pPr>
          </w:p>
        </w:tc>
        <w:tc>
          <w:tcPr>
            <w:tcW w:w="1142" w:type="dxa"/>
            <w:tcBorders>
              <w:bottom w:val="single" w:sz="4" w:space="0" w:color="auto"/>
            </w:tcBorders>
            <w:shd w:val="clear" w:color="auto" w:fill="auto"/>
            <w:tcMar>
              <w:top w:w="57" w:type="dxa"/>
              <w:left w:w="0" w:type="dxa"/>
              <w:bottom w:w="57" w:type="dxa"/>
              <w:right w:w="0" w:type="dxa"/>
            </w:tcMar>
            <w:vAlign w:val="bottom"/>
          </w:tcPr>
          <w:p w14:paraId="7148F17E" w14:textId="77777777" w:rsidR="008A766F" w:rsidRPr="008A766F" w:rsidRDefault="008A766F" w:rsidP="00FB30A6">
            <w:pPr>
              <w:spacing w:line="240" w:lineRule="atLeast"/>
              <w:jc w:val="right"/>
              <w:rPr>
                <w:rFonts w:ascii="Tahoma" w:hAnsi="Tahoma"/>
                <w:b/>
                <w:bCs/>
                <w:color w:val="000000" w:themeColor="text1"/>
                <w:sz w:val="16"/>
                <w:lang w:val="en-GB"/>
              </w:rPr>
            </w:pPr>
          </w:p>
        </w:tc>
        <w:tc>
          <w:tcPr>
            <w:tcW w:w="1134" w:type="dxa"/>
            <w:gridSpan w:val="2"/>
            <w:tcBorders>
              <w:bottom w:val="single" w:sz="4" w:space="0" w:color="auto"/>
            </w:tcBorders>
            <w:shd w:val="clear" w:color="auto" w:fill="auto"/>
            <w:tcMar>
              <w:top w:w="57" w:type="dxa"/>
              <w:left w:w="0" w:type="dxa"/>
              <w:bottom w:w="57" w:type="dxa"/>
              <w:right w:w="0" w:type="dxa"/>
            </w:tcMar>
            <w:vAlign w:val="bottom"/>
          </w:tcPr>
          <w:p w14:paraId="1665635D" w14:textId="77777777" w:rsidR="008A766F" w:rsidRPr="008A766F" w:rsidRDefault="008A766F" w:rsidP="003C223F">
            <w:pPr>
              <w:spacing w:line="240" w:lineRule="atLeast"/>
              <w:ind w:right="113"/>
              <w:jc w:val="right"/>
              <w:rPr>
                <w:rFonts w:ascii="Tahoma" w:hAnsi="Tahoma"/>
                <w:b/>
                <w:bCs/>
                <w:color w:val="000000" w:themeColor="text1"/>
                <w:sz w:val="16"/>
                <w:lang w:val="en-GB"/>
              </w:rPr>
            </w:pPr>
          </w:p>
        </w:tc>
      </w:tr>
      <w:tr w:rsidR="00615190" w:rsidRPr="008A766F" w14:paraId="6D305095" w14:textId="77777777" w:rsidTr="002F078E">
        <w:trPr>
          <w:trHeight w:val="60"/>
        </w:trPr>
        <w:tc>
          <w:tcPr>
            <w:tcW w:w="397" w:type="dxa"/>
            <w:shd w:val="clear" w:color="auto" w:fill="auto"/>
            <w:tcMar>
              <w:top w:w="57" w:type="dxa"/>
              <w:left w:w="0" w:type="dxa"/>
              <w:bottom w:w="57" w:type="dxa"/>
              <w:right w:w="0" w:type="dxa"/>
            </w:tcMar>
            <w:vAlign w:val="bottom"/>
          </w:tcPr>
          <w:p w14:paraId="384B241C" w14:textId="77777777" w:rsidR="008A766F" w:rsidRPr="008A766F" w:rsidRDefault="008A766F" w:rsidP="00615190">
            <w:pPr>
              <w:spacing w:line="240" w:lineRule="atLeast"/>
              <w:rPr>
                <w:rFonts w:ascii="Tahoma" w:hAnsi="Tahoma"/>
                <w:color w:val="000000" w:themeColor="text1"/>
                <w:sz w:val="16"/>
                <w:lang w:val="en-GB"/>
              </w:rPr>
            </w:pPr>
          </w:p>
        </w:tc>
        <w:tc>
          <w:tcPr>
            <w:tcW w:w="462" w:type="dxa"/>
            <w:shd w:val="clear" w:color="auto" w:fill="auto"/>
            <w:tcMar>
              <w:top w:w="57" w:type="dxa"/>
              <w:left w:w="0" w:type="dxa"/>
              <w:bottom w:w="57" w:type="dxa"/>
              <w:right w:w="0" w:type="dxa"/>
            </w:tcMar>
            <w:vAlign w:val="bottom"/>
          </w:tcPr>
          <w:p w14:paraId="35B5270E" w14:textId="77777777" w:rsidR="008A766F" w:rsidRPr="008A766F" w:rsidRDefault="008A766F" w:rsidP="00615190">
            <w:pPr>
              <w:spacing w:line="240" w:lineRule="atLeast"/>
              <w:rPr>
                <w:rFonts w:ascii="Tahoma" w:hAnsi="Tahoma"/>
                <w:color w:val="000000" w:themeColor="text1"/>
                <w:sz w:val="16"/>
                <w:lang w:val="en-GB"/>
              </w:rPr>
            </w:pPr>
            <w:r w:rsidRPr="008A766F">
              <w:rPr>
                <w:rFonts w:ascii="Tahoma" w:hAnsi="Tahoma"/>
                <w:color w:val="000000" w:themeColor="text1"/>
                <w:sz w:val="16"/>
                <w:lang w:val="en-GB"/>
              </w:rPr>
              <w:t>(a)</w:t>
            </w:r>
          </w:p>
        </w:tc>
        <w:tc>
          <w:tcPr>
            <w:tcW w:w="3402" w:type="dxa"/>
            <w:shd w:val="clear" w:color="auto" w:fill="auto"/>
            <w:tcMar>
              <w:top w:w="57" w:type="dxa"/>
              <w:left w:w="0" w:type="dxa"/>
              <w:bottom w:w="57" w:type="dxa"/>
              <w:right w:w="0" w:type="dxa"/>
            </w:tcMar>
            <w:vAlign w:val="bottom"/>
          </w:tcPr>
          <w:p w14:paraId="01A8189C" w14:textId="77777777" w:rsidR="008A766F" w:rsidRPr="008A766F" w:rsidRDefault="008A766F" w:rsidP="00615190">
            <w:pPr>
              <w:spacing w:line="240" w:lineRule="atLeast"/>
              <w:rPr>
                <w:rFonts w:ascii="Tahoma" w:hAnsi="Tahoma"/>
                <w:color w:val="000000" w:themeColor="text1"/>
                <w:sz w:val="16"/>
                <w:lang w:val="en-GB"/>
              </w:rPr>
            </w:pPr>
            <w:proofErr w:type="spellStart"/>
            <w:r w:rsidRPr="008A766F">
              <w:rPr>
                <w:rFonts w:ascii="Tahoma" w:hAnsi="Tahoma"/>
                <w:color w:val="000000" w:themeColor="text1"/>
                <w:sz w:val="16"/>
                <w:lang w:val="en-GB"/>
              </w:rPr>
              <w:t>DoorDash</w:t>
            </w:r>
            <w:proofErr w:type="spellEnd"/>
            <w:r w:rsidRPr="008A766F">
              <w:rPr>
                <w:rFonts w:ascii="Tahoma" w:hAnsi="Tahoma"/>
                <w:color w:val="000000" w:themeColor="text1"/>
                <w:sz w:val="16"/>
                <w:lang w:val="en-GB"/>
              </w:rPr>
              <w:t xml:space="preserve"> Inc. (</w:t>
            </w:r>
            <w:proofErr w:type="spellStart"/>
            <w:r w:rsidRPr="008A766F">
              <w:rPr>
                <w:rFonts w:ascii="Tahoma" w:hAnsi="Tahoma"/>
                <w:color w:val="000000" w:themeColor="text1"/>
                <w:sz w:val="16"/>
                <w:lang w:val="en-GB"/>
              </w:rPr>
              <w:t>DoorDash</w:t>
            </w:r>
            <w:proofErr w:type="spellEnd"/>
            <w:r w:rsidRPr="008A766F">
              <w:rPr>
                <w:rFonts w:ascii="Tahoma" w:hAnsi="Tahoma"/>
                <w:color w:val="000000" w:themeColor="text1"/>
                <w:sz w:val="16"/>
                <w:lang w:val="en-GB"/>
              </w:rPr>
              <w:t>)</w:t>
            </w:r>
          </w:p>
        </w:tc>
        <w:tc>
          <w:tcPr>
            <w:tcW w:w="1268" w:type="dxa"/>
            <w:tcBorders>
              <w:right w:val="single" w:sz="4" w:space="0" w:color="auto"/>
            </w:tcBorders>
            <w:shd w:val="clear" w:color="auto" w:fill="auto"/>
            <w:tcMar>
              <w:top w:w="57" w:type="dxa"/>
              <w:left w:w="0" w:type="dxa"/>
              <w:bottom w:w="57" w:type="dxa"/>
              <w:right w:w="0" w:type="dxa"/>
            </w:tcMar>
            <w:vAlign w:val="bottom"/>
          </w:tcPr>
          <w:p w14:paraId="28C4C7F4" w14:textId="77777777" w:rsidR="008A766F" w:rsidRPr="008A766F" w:rsidRDefault="008A766F" w:rsidP="00615190">
            <w:pPr>
              <w:spacing w:line="240" w:lineRule="atLeast"/>
              <w:rPr>
                <w:rFonts w:ascii="Tahoma" w:hAnsi="Tahoma"/>
                <w:color w:val="000000" w:themeColor="text1"/>
                <w:sz w:val="16"/>
                <w:lang w:val="en-GB"/>
              </w:rPr>
            </w:pPr>
            <w:r w:rsidRPr="008A766F">
              <w:rPr>
                <w:rFonts w:ascii="Tahoma" w:hAnsi="Tahoma"/>
                <w:color w:val="000000" w:themeColor="text1"/>
                <w:sz w:val="16"/>
                <w:lang w:val="en-GB"/>
              </w:rPr>
              <w:t>FVOCI</w:t>
            </w:r>
          </w:p>
        </w:tc>
        <w:tc>
          <w:tcPr>
            <w:tcW w:w="1275" w:type="dxa"/>
            <w:tcBorders>
              <w:top w:val="single" w:sz="4" w:space="0" w:color="auto"/>
              <w:left w:val="single" w:sz="4" w:space="0" w:color="auto"/>
            </w:tcBorders>
            <w:shd w:val="clear" w:color="auto" w:fill="auto"/>
            <w:tcMar>
              <w:top w:w="57" w:type="dxa"/>
              <w:left w:w="0" w:type="dxa"/>
              <w:bottom w:w="57" w:type="dxa"/>
              <w:right w:w="0" w:type="dxa"/>
            </w:tcMar>
            <w:vAlign w:val="bottom"/>
          </w:tcPr>
          <w:p w14:paraId="2037A6B9" w14:textId="77777777" w:rsidR="008A766F" w:rsidRPr="008A766F" w:rsidRDefault="008A766F" w:rsidP="00FB30A6">
            <w:pPr>
              <w:spacing w:line="240" w:lineRule="atLeast"/>
              <w:jc w:val="right"/>
              <w:rPr>
                <w:rFonts w:ascii="Tahoma" w:hAnsi="Tahoma"/>
                <w:b/>
                <w:bCs/>
                <w:color w:val="000000" w:themeColor="text1"/>
                <w:sz w:val="16"/>
                <w:lang w:val="en-GB"/>
              </w:rPr>
            </w:pPr>
            <w:r w:rsidRPr="008A766F">
              <w:rPr>
                <w:rFonts w:ascii="Tahoma" w:hAnsi="Tahoma"/>
                <w:b/>
                <w:bCs/>
                <w:color w:val="000000" w:themeColor="text1"/>
                <w:sz w:val="16"/>
                <w:lang w:val="en-GB"/>
              </w:rPr>
              <w:t>—</w:t>
            </w:r>
          </w:p>
        </w:tc>
        <w:tc>
          <w:tcPr>
            <w:tcW w:w="1134" w:type="dxa"/>
            <w:tcBorders>
              <w:top w:val="single" w:sz="4" w:space="0" w:color="auto"/>
            </w:tcBorders>
            <w:shd w:val="clear" w:color="auto" w:fill="auto"/>
            <w:tcMar>
              <w:top w:w="57" w:type="dxa"/>
              <w:left w:w="0" w:type="dxa"/>
              <w:bottom w:w="57" w:type="dxa"/>
              <w:right w:w="0" w:type="dxa"/>
            </w:tcMar>
            <w:vAlign w:val="bottom"/>
          </w:tcPr>
          <w:p w14:paraId="1203C656" w14:textId="77777777" w:rsidR="008A766F" w:rsidRPr="008A766F" w:rsidRDefault="008A766F" w:rsidP="00FB30A6">
            <w:pPr>
              <w:spacing w:line="240" w:lineRule="atLeast"/>
              <w:jc w:val="right"/>
              <w:rPr>
                <w:rFonts w:ascii="Tahoma" w:hAnsi="Tahoma"/>
                <w:b/>
                <w:bCs/>
                <w:color w:val="000000" w:themeColor="text1"/>
                <w:sz w:val="16"/>
                <w:lang w:val="en-GB"/>
              </w:rPr>
            </w:pPr>
            <w:r w:rsidRPr="008A766F">
              <w:rPr>
                <w:rFonts w:ascii="Tahoma" w:hAnsi="Tahoma"/>
                <w:b/>
                <w:bCs/>
                <w:color w:val="000000" w:themeColor="text1"/>
                <w:sz w:val="16"/>
                <w:lang w:val="en-GB"/>
              </w:rPr>
              <w:t>58</w:t>
            </w:r>
          </w:p>
        </w:tc>
        <w:tc>
          <w:tcPr>
            <w:tcW w:w="1142" w:type="dxa"/>
            <w:tcBorders>
              <w:top w:val="single" w:sz="4" w:space="0" w:color="auto"/>
            </w:tcBorders>
            <w:shd w:val="clear" w:color="auto" w:fill="auto"/>
            <w:tcMar>
              <w:top w:w="57" w:type="dxa"/>
              <w:left w:w="0" w:type="dxa"/>
              <w:bottom w:w="57" w:type="dxa"/>
              <w:right w:w="0" w:type="dxa"/>
            </w:tcMar>
            <w:vAlign w:val="bottom"/>
          </w:tcPr>
          <w:p w14:paraId="35DC9923" w14:textId="77777777" w:rsidR="008A766F" w:rsidRPr="008A766F" w:rsidRDefault="008A766F" w:rsidP="00FB30A6">
            <w:pPr>
              <w:spacing w:line="240" w:lineRule="atLeast"/>
              <w:jc w:val="right"/>
              <w:rPr>
                <w:rFonts w:ascii="Tahoma" w:hAnsi="Tahoma"/>
                <w:b/>
                <w:bCs/>
                <w:color w:val="000000" w:themeColor="text1"/>
                <w:sz w:val="16"/>
                <w:lang w:val="en-GB"/>
              </w:rPr>
            </w:pPr>
            <w:r w:rsidRPr="008A766F">
              <w:rPr>
                <w:rFonts w:ascii="Tahoma" w:hAnsi="Tahoma"/>
                <w:b/>
                <w:bCs/>
                <w:color w:val="000000" w:themeColor="text1"/>
                <w:sz w:val="16"/>
                <w:lang w:val="en-GB"/>
              </w:rPr>
              <w:t>—</w:t>
            </w:r>
          </w:p>
        </w:tc>
        <w:tc>
          <w:tcPr>
            <w:tcW w:w="1134" w:type="dxa"/>
            <w:gridSpan w:val="2"/>
            <w:tcBorders>
              <w:top w:val="single" w:sz="4" w:space="0" w:color="auto"/>
              <w:right w:val="single" w:sz="4" w:space="0" w:color="auto"/>
            </w:tcBorders>
            <w:shd w:val="clear" w:color="auto" w:fill="auto"/>
            <w:tcMar>
              <w:top w:w="57" w:type="dxa"/>
              <w:left w:w="0" w:type="dxa"/>
              <w:bottom w:w="57" w:type="dxa"/>
              <w:right w:w="0" w:type="dxa"/>
            </w:tcMar>
            <w:vAlign w:val="bottom"/>
          </w:tcPr>
          <w:p w14:paraId="6AEBA546" w14:textId="77777777" w:rsidR="008A766F" w:rsidRPr="008A766F" w:rsidRDefault="008A766F" w:rsidP="003C223F">
            <w:pPr>
              <w:spacing w:line="240" w:lineRule="atLeast"/>
              <w:ind w:right="113"/>
              <w:jc w:val="right"/>
              <w:rPr>
                <w:rFonts w:ascii="Tahoma" w:hAnsi="Tahoma"/>
                <w:b/>
                <w:bCs/>
                <w:color w:val="000000" w:themeColor="text1"/>
                <w:sz w:val="16"/>
                <w:lang w:val="en-GB"/>
              </w:rPr>
            </w:pPr>
            <w:r w:rsidRPr="008A766F">
              <w:rPr>
                <w:rFonts w:ascii="Tahoma" w:hAnsi="Tahoma"/>
                <w:b/>
                <w:bCs/>
                <w:color w:val="000000" w:themeColor="text1"/>
                <w:sz w:val="16"/>
                <w:lang w:val="en-GB"/>
              </w:rPr>
              <w:t>58</w:t>
            </w:r>
          </w:p>
        </w:tc>
      </w:tr>
      <w:tr w:rsidR="00615190" w:rsidRPr="008A766F" w14:paraId="587D77CF" w14:textId="77777777" w:rsidTr="002F078E">
        <w:trPr>
          <w:trHeight w:val="60"/>
        </w:trPr>
        <w:tc>
          <w:tcPr>
            <w:tcW w:w="397" w:type="dxa"/>
            <w:shd w:val="clear" w:color="auto" w:fill="auto"/>
            <w:tcMar>
              <w:top w:w="57" w:type="dxa"/>
              <w:left w:w="0" w:type="dxa"/>
              <w:bottom w:w="57" w:type="dxa"/>
              <w:right w:w="0" w:type="dxa"/>
            </w:tcMar>
            <w:vAlign w:val="bottom"/>
          </w:tcPr>
          <w:p w14:paraId="71906288" w14:textId="77777777" w:rsidR="008A766F" w:rsidRPr="008A766F" w:rsidRDefault="008A766F" w:rsidP="00615190">
            <w:pPr>
              <w:spacing w:line="240" w:lineRule="atLeast"/>
              <w:rPr>
                <w:rFonts w:ascii="Tahoma" w:hAnsi="Tahoma"/>
                <w:color w:val="000000" w:themeColor="text1"/>
                <w:sz w:val="16"/>
                <w:lang w:val="en-GB"/>
              </w:rPr>
            </w:pPr>
          </w:p>
        </w:tc>
        <w:tc>
          <w:tcPr>
            <w:tcW w:w="462" w:type="dxa"/>
            <w:shd w:val="clear" w:color="auto" w:fill="auto"/>
            <w:tcMar>
              <w:top w:w="57" w:type="dxa"/>
              <w:left w:w="0" w:type="dxa"/>
              <w:bottom w:w="57" w:type="dxa"/>
              <w:right w:w="0" w:type="dxa"/>
            </w:tcMar>
            <w:vAlign w:val="bottom"/>
          </w:tcPr>
          <w:p w14:paraId="4B20E5BB" w14:textId="77777777" w:rsidR="008A766F" w:rsidRPr="008A766F" w:rsidRDefault="008A766F" w:rsidP="00615190">
            <w:pPr>
              <w:spacing w:line="240" w:lineRule="atLeast"/>
              <w:rPr>
                <w:rFonts w:ascii="Tahoma" w:hAnsi="Tahoma"/>
                <w:color w:val="000000" w:themeColor="text1"/>
                <w:sz w:val="16"/>
                <w:lang w:val="en-GB"/>
              </w:rPr>
            </w:pPr>
            <w:r w:rsidRPr="008A766F">
              <w:rPr>
                <w:rFonts w:ascii="Tahoma" w:hAnsi="Tahoma"/>
                <w:color w:val="000000" w:themeColor="text1"/>
                <w:sz w:val="16"/>
                <w:lang w:val="en-GB"/>
              </w:rPr>
              <w:t>(d)</w:t>
            </w:r>
          </w:p>
        </w:tc>
        <w:tc>
          <w:tcPr>
            <w:tcW w:w="3402" w:type="dxa"/>
            <w:shd w:val="clear" w:color="auto" w:fill="auto"/>
            <w:tcMar>
              <w:top w:w="57" w:type="dxa"/>
              <w:left w:w="0" w:type="dxa"/>
              <w:bottom w:w="57" w:type="dxa"/>
              <w:right w:w="0" w:type="dxa"/>
            </w:tcMar>
            <w:vAlign w:val="bottom"/>
          </w:tcPr>
          <w:p w14:paraId="481A072E" w14:textId="77777777" w:rsidR="008A766F" w:rsidRPr="008A766F" w:rsidRDefault="008A766F" w:rsidP="00615190">
            <w:pPr>
              <w:spacing w:line="240" w:lineRule="atLeast"/>
              <w:rPr>
                <w:rFonts w:ascii="Tahoma" w:hAnsi="Tahoma"/>
                <w:color w:val="000000" w:themeColor="text1"/>
                <w:sz w:val="16"/>
                <w:lang w:val="en-GB"/>
              </w:rPr>
            </w:pPr>
            <w:r w:rsidRPr="008A766F">
              <w:rPr>
                <w:rFonts w:ascii="Tahoma" w:hAnsi="Tahoma"/>
                <w:color w:val="000000" w:themeColor="text1"/>
                <w:sz w:val="16"/>
                <w:lang w:val="en-GB"/>
              </w:rPr>
              <w:t>Think &amp; Learn Private Limited (BYJU’S)</w:t>
            </w:r>
          </w:p>
        </w:tc>
        <w:tc>
          <w:tcPr>
            <w:tcW w:w="1268" w:type="dxa"/>
            <w:tcBorders>
              <w:right w:val="single" w:sz="4" w:space="0" w:color="auto"/>
            </w:tcBorders>
            <w:shd w:val="clear" w:color="auto" w:fill="auto"/>
            <w:tcMar>
              <w:top w:w="57" w:type="dxa"/>
              <w:left w:w="0" w:type="dxa"/>
              <w:bottom w:w="57" w:type="dxa"/>
              <w:right w:w="0" w:type="dxa"/>
            </w:tcMar>
            <w:vAlign w:val="bottom"/>
          </w:tcPr>
          <w:p w14:paraId="29925E28" w14:textId="77777777" w:rsidR="008A766F" w:rsidRPr="008A766F" w:rsidRDefault="008A766F" w:rsidP="00615190">
            <w:pPr>
              <w:spacing w:line="240" w:lineRule="atLeast"/>
              <w:rPr>
                <w:rFonts w:ascii="Tahoma" w:hAnsi="Tahoma"/>
                <w:color w:val="000000" w:themeColor="text1"/>
                <w:sz w:val="16"/>
                <w:lang w:val="en-GB"/>
              </w:rPr>
            </w:pPr>
            <w:r w:rsidRPr="008A766F">
              <w:rPr>
                <w:rFonts w:ascii="Tahoma" w:hAnsi="Tahoma"/>
                <w:color w:val="000000" w:themeColor="text1"/>
                <w:sz w:val="16"/>
                <w:lang w:val="en-GB"/>
              </w:rPr>
              <w:t>FVOCI</w:t>
            </w:r>
          </w:p>
        </w:tc>
        <w:tc>
          <w:tcPr>
            <w:tcW w:w="1275" w:type="dxa"/>
            <w:tcBorders>
              <w:left w:val="single" w:sz="4" w:space="0" w:color="auto"/>
            </w:tcBorders>
            <w:shd w:val="clear" w:color="auto" w:fill="auto"/>
            <w:tcMar>
              <w:top w:w="57" w:type="dxa"/>
              <w:left w:w="0" w:type="dxa"/>
              <w:bottom w:w="57" w:type="dxa"/>
              <w:right w:w="0" w:type="dxa"/>
            </w:tcMar>
            <w:vAlign w:val="bottom"/>
          </w:tcPr>
          <w:p w14:paraId="6F32F454" w14:textId="77777777" w:rsidR="008A766F" w:rsidRPr="008A766F" w:rsidRDefault="008A766F" w:rsidP="00FB30A6">
            <w:pPr>
              <w:spacing w:line="240" w:lineRule="atLeast"/>
              <w:jc w:val="right"/>
              <w:rPr>
                <w:rFonts w:ascii="Tahoma" w:hAnsi="Tahoma"/>
                <w:b/>
                <w:bCs/>
                <w:color w:val="000000" w:themeColor="text1"/>
                <w:sz w:val="16"/>
                <w:lang w:val="en-GB"/>
              </w:rPr>
            </w:pPr>
            <w:r w:rsidRPr="008A766F">
              <w:rPr>
                <w:rFonts w:ascii="Tahoma" w:hAnsi="Tahoma"/>
                <w:b/>
                <w:bCs/>
                <w:color w:val="000000" w:themeColor="text1"/>
                <w:sz w:val="16"/>
                <w:lang w:val="en-GB"/>
              </w:rPr>
              <w:t>—</w:t>
            </w:r>
          </w:p>
        </w:tc>
        <w:tc>
          <w:tcPr>
            <w:tcW w:w="1134" w:type="dxa"/>
            <w:shd w:val="clear" w:color="auto" w:fill="auto"/>
            <w:tcMar>
              <w:top w:w="57" w:type="dxa"/>
              <w:left w:w="0" w:type="dxa"/>
              <w:bottom w:w="57" w:type="dxa"/>
              <w:right w:w="0" w:type="dxa"/>
            </w:tcMar>
            <w:vAlign w:val="bottom"/>
          </w:tcPr>
          <w:p w14:paraId="10D42584" w14:textId="77777777" w:rsidR="008A766F" w:rsidRPr="008A766F" w:rsidRDefault="008A766F" w:rsidP="00FB30A6">
            <w:pPr>
              <w:spacing w:line="240" w:lineRule="atLeast"/>
              <w:jc w:val="right"/>
              <w:rPr>
                <w:rFonts w:ascii="Tahoma" w:hAnsi="Tahoma"/>
                <w:b/>
                <w:bCs/>
                <w:color w:val="000000" w:themeColor="text1"/>
                <w:sz w:val="16"/>
                <w:lang w:val="en-GB"/>
              </w:rPr>
            </w:pPr>
            <w:r w:rsidRPr="008A766F">
              <w:rPr>
                <w:rFonts w:ascii="Tahoma" w:hAnsi="Tahoma"/>
                <w:b/>
                <w:bCs/>
                <w:color w:val="000000" w:themeColor="text1"/>
                <w:sz w:val="16"/>
                <w:lang w:val="en-GB"/>
              </w:rPr>
              <w:t>578</w:t>
            </w:r>
          </w:p>
        </w:tc>
        <w:tc>
          <w:tcPr>
            <w:tcW w:w="1142" w:type="dxa"/>
            <w:shd w:val="clear" w:color="auto" w:fill="auto"/>
            <w:tcMar>
              <w:top w:w="57" w:type="dxa"/>
              <w:left w:w="0" w:type="dxa"/>
              <w:bottom w:w="57" w:type="dxa"/>
              <w:right w:w="0" w:type="dxa"/>
            </w:tcMar>
            <w:vAlign w:val="bottom"/>
          </w:tcPr>
          <w:p w14:paraId="35AFFB1E" w14:textId="77777777" w:rsidR="008A766F" w:rsidRPr="008A766F" w:rsidRDefault="008A766F" w:rsidP="00FB30A6">
            <w:pPr>
              <w:spacing w:line="240" w:lineRule="atLeast"/>
              <w:jc w:val="right"/>
              <w:rPr>
                <w:rFonts w:ascii="Tahoma" w:hAnsi="Tahoma"/>
                <w:b/>
                <w:bCs/>
                <w:color w:val="000000" w:themeColor="text1"/>
                <w:sz w:val="16"/>
                <w:lang w:val="en-GB"/>
              </w:rPr>
            </w:pPr>
            <w:r w:rsidRPr="008A766F">
              <w:rPr>
                <w:rFonts w:ascii="Tahoma" w:hAnsi="Tahoma"/>
                <w:b/>
                <w:bCs/>
                <w:color w:val="000000" w:themeColor="text1"/>
                <w:sz w:val="16"/>
                <w:lang w:val="en-GB"/>
              </w:rPr>
              <w:t>—</w:t>
            </w:r>
          </w:p>
        </w:tc>
        <w:tc>
          <w:tcPr>
            <w:tcW w:w="1134" w:type="dxa"/>
            <w:gridSpan w:val="2"/>
            <w:tcBorders>
              <w:right w:val="single" w:sz="4" w:space="0" w:color="auto"/>
            </w:tcBorders>
            <w:shd w:val="clear" w:color="auto" w:fill="auto"/>
            <w:tcMar>
              <w:top w:w="57" w:type="dxa"/>
              <w:left w:w="0" w:type="dxa"/>
              <w:bottom w:w="57" w:type="dxa"/>
              <w:right w:w="0" w:type="dxa"/>
            </w:tcMar>
            <w:vAlign w:val="bottom"/>
          </w:tcPr>
          <w:p w14:paraId="3B417049" w14:textId="77777777" w:rsidR="008A766F" w:rsidRPr="008A766F" w:rsidRDefault="008A766F" w:rsidP="003C223F">
            <w:pPr>
              <w:spacing w:line="240" w:lineRule="atLeast"/>
              <w:ind w:right="113"/>
              <w:jc w:val="right"/>
              <w:rPr>
                <w:rFonts w:ascii="Tahoma" w:hAnsi="Tahoma"/>
                <w:b/>
                <w:bCs/>
                <w:color w:val="000000" w:themeColor="text1"/>
                <w:sz w:val="16"/>
                <w:lang w:val="en-GB"/>
              </w:rPr>
            </w:pPr>
            <w:r w:rsidRPr="008A766F">
              <w:rPr>
                <w:rFonts w:ascii="Tahoma" w:hAnsi="Tahoma"/>
                <w:b/>
                <w:bCs/>
                <w:color w:val="000000" w:themeColor="text1"/>
                <w:sz w:val="16"/>
                <w:lang w:val="en-GB"/>
              </w:rPr>
              <w:t>578</w:t>
            </w:r>
          </w:p>
        </w:tc>
      </w:tr>
      <w:tr w:rsidR="00615190" w:rsidRPr="008A766F" w14:paraId="23CC8B70" w14:textId="77777777" w:rsidTr="002F078E">
        <w:trPr>
          <w:trHeight w:val="60"/>
        </w:trPr>
        <w:tc>
          <w:tcPr>
            <w:tcW w:w="397" w:type="dxa"/>
            <w:shd w:val="clear" w:color="auto" w:fill="auto"/>
            <w:tcMar>
              <w:top w:w="57" w:type="dxa"/>
              <w:left w:w="0" w:type="dxa"/>
              <w:bottom w:w="57" w:type="dxa"/>
              <w:right w:w="0" w:type="dxa"/>
            </w:tcMar>
            <w:vAlign w:val="bottom"/>
          </w:tcPr>
          <w:p w14:paraId="606A317D" w14:textId="77777777" w:rsidR="008A766F" w:rsidRPr="008A766F" w:rsidRDefault="008A766F" w:rsidP="00615190">
            <w:pPr>
              <w:spacing w:line="240" w:lineRule="atLeast"/>
              <w:rPr>
                <w:rFonts w:ascii="Tahoma" w:hAnsi="Tahoma"/>
                <w:color w:val="000000" w:themeColor="text1"/>
                <w:sz w:val="16"/>
                <w:lang w:val="en-GB"/>
              </w:rPr>
            </w:pPr>
          </w:p>
        </w:tc>
        <w:tc>
          <w:tcPr>
            <w:tcW w:w="462" w:type="dxa"/>
            <w:shd w:val="clear" w:color="auto" w:fill="auto"/>
            <w:tcMar>
              <w:top w:w="57" w:type="dxa"/>
              <w:left w:w="0" w:type="dxa"/>
              <w:bottom w:w="57" w:type="dxa"/>
              <w:right w:w="0" w:type="dxa"/>
            </w:tcMar>
            <w:vAlign w:val="bottom"/>
          </w:tcPr>
          <w:p w14:paraId="64F97AD3" w14:textId="77777777" w:rsidR="008A766F" w:rsidRPr="008A766F" w:rsidRDefault="008A766F" w:rsidP="00615190">
            <w:pPr>
              <w:spacing w:line="240" w:lineRule="atLeast"/>
              <w:rPr>
                <w:rFonts w:ascii="Tahoma" w:hAnsi="Tahoma"/>
                <w:color w:val="000000" w:themeColor="text1"/>
                <w:sz w:val="16"/>
                <w:lang w:val="en-GB"/>
              </w:rPr>
            </w:pPr>
            <w:r w:rsidRPr="008A766F">
              <w:rPr>
                <w:rFonts w:ascii="Tahoma" w:hAnsi="Tahoma"/>
                <w:color w:val="000000" w:themeColor="text1"/>
                <w:sz w:val="16"/>
                <w:lang w:val="en-GB"/>
              </w:rPr>
              <w:t>(e)</w:t>
            </w:r>
          </w:p>
        </w:tc>
        <w:tc>
          <w:tcPr>
            <w:tcW w:w="3402" w:type="dxa"/>
            <w:shd w:val="clear" w:color="auto" w:fill="auto"/>
            <w:tcMar>
              <w:top w:w="57" w:type="dxa"/>
              <w:left w:w="0" w:type="dxa"/>
              <w:bottom w:w="57" w:type="dxa"/>
              <w:right w:w="0" w:type="dxa"/>
            </w:tcMar>
            <w:vAlign w:val="bottom"/>
          </w:tcPr>
          <w:p w14:paraId="51E9D881" w14:textId="77777777" w:rsidR="008A766F" w:rsidRPr="008A766F" w:rsidRDefault="008A766F" w:rsidP="00615190">
            <w:pPr>
              <w:spacing w:line="240" w:lineRule="atLeast"/>
              <w:rPr>
                <w:rFonts w:ascii="Tahoma" w:hAnsi="Tahoma"/>
                <w:color w:val="000000" w:themeColor="text1"/>
                <w:sz w:val="16"/>
                <w:lang w:val="en-GB"/>
              </w:rPr>
            </w:pPr>
            <w:r w:rsidRPr="008A766F">
              <w:rPr>
                <w:rFonts w:ascii="Tahoma" w:hAnsi="Tahoma"/>
                <w:color w:val="000000" w:themeColor="text1"/>
                <w:sz w:val="16"/>
                <w:lang w:val="en-GB"/>
              </w:rPr>
              <w:t>Udemy Inc. (Udemy)</w:t>
            </w:r>
          </w:p>
        </w:tc>
        <w:tc>
          <w:tcPr>
            <w:tcW w:w="1268" w:type="dxa"/>
            <w:tcBorders>
              <w:right w:val="single" w:sz="4" w:space="0" w:color="auto"/>
            </w:tcBorders>
            <w:shd w:val="clear" w:color="auto" w:fill="auto"/>
            <w:tcMar>
              <w:top w:w="57" w:type="dxa"/>
              <w:left w:w="0" w:type="dxa"/>
              <w:bottom w:w="57" w:type="dxa"/>
              <w:right w:w="0" w:type="dxa"/>
            </w:tcMar>
            <w:vAlign w:val="bottom"/>
          </w:tcPr>
          <w:p w14:paraId="13239D44" w14:textId="77777777" w:rsidR="008A766F" w:rsidRPr="008A766F" w:rsidRDefault="008A766F" w:rsidP="00615190">
            <w:pPr>
              <w:spacing w:line="240" w:lineRule="atLeast"/>
              <w:rPr>
                <w:rFonts w:ascii="Tahoma" w:hAnsi="Tahoma"/>
                <w:color w:val="000000" w:themeColor="text1"/>
                <w:sz w:val="16"/>
                <w:lang w:val="en-GB"/>
              </w:rPr>
            </w:pPr>
            <w:r w:rsidRPr="008A766F">
              <w:rPr>
                <w:rFonts w:ascii="Tahoma" w:hAnsi="Tahoma"/>
                <w:color w:val="000000" w:themeColor="text1"/>
                <w:sz w:val="16"/>
                <w:lang w:val="en-GB"/>
              </w:rPr>
              <w:t>FVOCI</w:t>
            </w:r>
          </w:p>
        </w:tc>
        <w:tc>
          <w:tcPr>
            <w:tcW w:w="1275" w:type="dxa"/>
            <w:tcBorders>
              <w:left w:val="single" w:sz="4" w:space="0" w:color="auto"/>
            </w:tcBorders>
            <w:shd w:val="clear" w:color="auto" w:fill="auto"/>
            <w:tcMar>
              <w:top w:w="57" w:type="dxa"/>
              <w:left w:w="0" w:type="dxa"/>
              <w:bottom w:w="57" w:type="dxa"/>
              <w:right w:w="0" w:type="dxa"/>
            </w:tcMar>
            <w:vAlign w:val="bottom"/>
          </w:tcPr>
          <w:p w14:paraId="5854E95B" w14:textId="77777777" w:rsidR="008A766F" w:rsidRPr="008A766F" w:rsidRDefault="008A766F" w:rsidP="00FB30A6">
            <w:pPr>
              <w:spacing w:line="240" w:lineRule="atLeast"/>
              <w:jc w:val="right"/>
              <w:rPr>
                <w:rFonts w:ascii="Tahoma" w:hAnsi="Tahoma"/>
                <w:b/>
                <w:bCs/>
                <w:color w:val="000000" w:themeColor="text1"/>
                <w:sz w:val="16"/>
                <w:lang w:val="en-GB"/>
              </w:rPr>
            </w:pPr>
            <w:r w:rsidRPr="008A766F">
              <w:rPr>
                <w:rFonts w:ascii="Tahoma" w:hAnsi="Tahoma"/>
                <w:b/>
                <w:bCs/>
                <w:color w:val="000000" w:themeColor="text1"/>
                <w:sz w:val="16"/>
                <w:lang w:val="en-GB"/>
              </w:rPr>
              <w:t>—</w:t>
            </w:r>
          </w:p>
        </w:tc>
        <w:tc>
          <w:tcPr>
            <w:tcW w:w="1134" w:type="dxa"/>
            <w:shd w:val="clear" w:color="auto" w:fill="auto"/>
            <w:tcMar>
              <w:top w:w="57" w:type="dxa"/>
              <w:left w:w="0" w:type="dxa"/>
              <w:bottom w:w="57" w:type="dxa"/>
              <w:right w:w="0" w:type="dxa"/>
            </w:tcMar>
            <w:vAlign w:val="bottom"/>
          </w:tcPr>
          <w:p w14:paraId="4C8935FA" w14:textId="77777777" w:rsidR="008A766F" w:rsidRPr="008A766F" w:rsidRDefault="008A766F" w:rsidP="00FB30A6">
            <w:pPr>
              <w:spacing w:line="240" w:lineRule="atLeast"/>
              <w:jc w:val="right"/>
              <w:rPr>
                <w:rFonts w:ascii="Tahoma" w:hAnsi="Tahoma"/>
                <w:b/>
                <w:bCs/>
                <w:color w:val="000000" w:themeColor="text1"/>
                <w:sz w:val="16"/>
                <w:lang w:val="en-GB"/>
              </w:rPr>
            </w:pPr>
            <w:r w:rsidRPr="008A766F">
              <w:rPr>
                <w:rFonts w:ascii="Tahoma" w:hAnsi="Tahoma"/>
                <w:b/>
                <w:bCs/>
                <w:color w:val="000000" w:themeColor="text1"/>
                <w:sz w:val="16"/>
                <w:lang w:val="en-GB"/>
              </w:rPr>
              <w:t>207</w:t>
            </w:r>
          </w:p>
        </w:tc>
        <w:tc>
          <w:tcPr>
            <w:tcW w:w="1142" w:type="dxa"/>
            <w:shd w:val="clear" w:color="auto" w:fill="auto"/>
            <w:tcMar>
              <w:top w:w="57" w:type="dxa"/>
              <w:left w:w="0" w:type="dxa"/>
              <w:bottom w:w="57" w:type="dxa"/>
              <w:right w:w="0" w:type="dxa"/>
            </w:tcMar>
            <w:vAlign w:val="bottom"/>
          </w:tcPr>
          <w:p w14:paraId="46E8A391" w14:textId="77777777" w:rsidR="008A766F" w:rsidRPr="008A766F" w:rsidRDefault="008A766F" w:rsidP="00FB30A6">
            <w:pPr>
              <w:spacing w:line="240" w:lineRule="atLeast"/>
              <w:jc w:val="right"/>
              <w:rPr>
                <w:rFonts w:ascii="Tahoma" w:hAnsi="Tahoma"/>
                <w:b/>
                <w:bCs/>
                <w:color w:val="000000" w:themeColor="text1"/>
                <w:sz w:val="16"/>
                <w:lang w:val="en-GB"/>
              </w:rPr>
            </w:pPr>
            <w:r w:rsidRPr="008A766F">
              <w:rPr>
                <w:rFonts w:ascii="Tahoma" w:hAnsi="Tahoma"/>
                <w:b/>
                <w:bCs/>
                <w:color w:val="000000" w:themeColor="text1"/>
                <w:sz w:val="16"/>
                <w:lang w:val="en-GB"/>
              </w:rPr>
              <w:t>—</w:t>
            </w:r>
          </w:p>
        </w:tc>
        <w:tc>
          <w:tcPr>
            <w:tcW w:w="1134" w:type="dxa"/>
            <w:gridSpan w:val="2"/>
            <w:tcBorders>
              <w:right w:val="single" w:sz="4" w:space="0" w:color="auto"/>
            </w:tcBorders>
            <w:shd w:val="clear" w:color="auto" w:fill="auto"/>
            <w:tcMar>
              <w:top w:w="57" w:type="dxa"/>
              <w:left w:w="0" w:type="dxa"/>
              <w:bottom w:w="57" w:type="dxa"/>
              <w:right w:w="0" w:type="dxa"/>
            </w:tcMar>
            <w:vAlign w:val="bottom"/>
          </w:tcPr>
          <w:p w14:paraId="65D7D328" w14:textId="77777777" w:rsidR="008A766F" w:rsidRPr="008A766F" w:rsidRDefault="008A766F" w:rsidP="003C223F">
            <w:pPr>
              <w:spacing w:line="240" w:lineRule="atLeast"/>
              <w:ind w:right="113"/>
              <w:jc w:val="right"/>
              <w:rPr>
                <w:rFonts w:ascii="Tahoma" w:hAnsi="Tahoma"/>
                <w:b/>
                <w:bCs/>
                <w:color w:val="000000" w:themeColor="text1"/>
                <w:sz w:val="16"/>
                <w:lang w:val="en-GB"/>
              </w:rPr>
            </w:pPr>
            <w:r w:rsidRPr="008A766F">
              <w:rPr>
                <w:rFonts w:ascii="Tahoma" w:hAnsi="Tahoma"/>
                <w:b/>
                <w:bCs/>
                <w:color w:val="000000" w:themeColor="text1"/>
                <w:sz w:val="16"/>
                <w:lang w:val="en-GB"/>
              </w:rPr>
              <w:t>207</w:t>
            </w:r>
          </w:p>
        </w:tc>
      </w:tr>
      <w:tr w:rsidR="00615190" w:rsidRPr="008A766F" w14:paraId="3F5306EA" w14:textId="77777777" w:rsidTr="002F078E">
        <w:trPr>
          <w:trHeight w:val="60"/>
        </w:trPr>
        <w:tc>
          <w:tcPr>
            <w:tcW w:w="397" w:type="dxa"/>
            <w:shd w:val="clear" w:color="auto" w:fill="auto"/>
            <w:tcMar>
              <w:top w:w="57" w:type="dxa"/>
              <w:left w:w="0" w:type="dxa"/>
              <w:bottom w:w="57" w:type="dxa"/>
              <w:right w:w="0" w:type="dxa"/>
            </w:tcMar>
            <w:vAlign w:val="bottom"/>
          </w:tcPr>
          <w:p w14:paraId="790DFC5C" w14:textId="77777777" w:rsidR="008A766F" w:rsidRPr="008A766F" w:rsidRDefault="008A766F" w:rsidP="00615190">
            <w:pPr>
              <w:spacing w:line="240" w:lineRule="atLeast"/>
              <w:rPr>
                <w:rFonts w:ascii="Tahoma" w:hAnsi="Tahoma"/>
                <w:color w:val="000000" w:themeColor="text1"/>
                <w:sz w:val="16"/>
                <w:lang w:val="en-GB"/>
              </w:rPr>
            </w:pPr>
          </w:p>
        </w:tc>
        <w:tc>
          <w:tcPr>
            <w:tcW w:w="462" w:type="dxa"/>
            <w:shd w:val="clear" w:color="auto" w:fill="auto"/>
            <w:tcMar>
              <w:top w:w="57" w:type="dxa"/>
              <w:left w:w="0" w:type="dxa"/>
              <w:bottom w:w="57" w:type="dxa"/>
              <w:right w:w="0" w:type="dxa"/>
            </w:tcMar>
            <w:vAlign w:val="bottom"/>
          </w:tcPr>
          <w:p w14:paraId="289749DD" w14:textId="77777777" w:rsidR="008A766F" w:rsidRPr="008A766F" w:rsidRDefault="008A766F" w:rsidP="00615190">
            <w:pPr>
              <w:spacing w:line="240" w:lineRule="atLeast"/>
              <w:rPr>
                <w:rFonts w:ascii="Tahoma" w:hAnsi="Tahoma"/>
                <w:color w:val="000000" w:themeColor="text1"/>
                <w:sz w:val="16"/>
                <w:lang w:val="en-GB"/>
              </w:rPr>
            </w:pPr>
          </w:p>
        </w:tc>
        <w:tc>
          <w:tcPr>
            <w:tcW w:w="3402" w:type="dxa"/>
            <w:shd w:val="clear" w:color="auto" w:fill="auto"/>
            <w:tcMar>
              <w:top w:w="57" w:type="dxa"/>
              <w:left w:w="0" w:type="dxa"/>
              <w:bottom w:w="57" w:type="dxa"/>
              <w:right w:w="0" w:type="dxa"/>
            </w:tcMar>
            <w:vAlign w:val="bottom"/>
          </w:tcPr>
          <w:p w14:paraId="4EF96140" w14:textId="77777777" w:rsidR="008A766F" w:rsidRPr="008A766F" w:rsidRDefault="008A766F" w:rsidP="00615190">
            <w:pPr>
              <w:spacing w:line="240" w:lineRule="atLeast"/>
              <w:rPr>
                <w:rFonts w:ascii="Tahoma" w:hAnsi="Tahoma"/>
                <w:color w:val="000000" w:themeColor="text1"/>
                <w:sz w:val="16"/>
                <w:lang w:val="en-GB"/>
              </w:rPr>
            </w:pPr>
            <w:r w:rsidRPr="008A766F">
              <w:rPr>
                <w:rFonts w:ascii="Tahoma" w:hAnsi="Tahoma"/>
                <w:color w:val="000000" w:themeColor="text1"/>
                <w:sz w:val="16"/>
                <w:lang w:val="en-GB"/>
              </w:rPr>
              <w:t>Other</w:t>
            </w:r>
            <w:r w:rsidRPr="008A766F">
              <w:rPr>
                <w:rFonts w:ascii="Tahoma" w:hAnsi="Tahoma"/>
                <w:color w:val="000000" w:themeColor="text1"/>
                <w:sz w:val="16"/>
                <w:vertAlign w:val="superscript"/>
                <w:lang w:val="en-GB"/>
              </w:rPr>
              <w:t>1</w:t>
            </w:r>
          </w:p>
        </w:tc>
        <w:tc>
          <w:tcPr>
            <w:tcW w:w="1268" w:type="dxa"/>
            <w:tcBorders>
              <w:right w:val="single" w:sz="4" w:space="0" w:color="auto"/>
            </w:tcBorders>
            <w:shd w:val="clear" w:color="auto" w:fill="auto"/>
            <w:tcMar>
              <w:top w:w="57" w:type="dxa"/>
              <w:left w:w="0" w:type="dxa"/>
              <w:bottom w:w="57" w:type="dxa"/>
              <w:right w:w="0" w:type="dxa"/>
            </w:tcMar>
            <w:vAlign w:val="bottom"/>
          </w:tcPr>
          <w:p w14:paraId="5014B668" w14:textId="77777777" w:rsidR="008A766F" w:rsidRPr="008A766F" w:rsidRDefault="008A766F" w:rsidP="00615190">
            <w:pPr>
              <w:spacing w:line="240" w:lineRule="atLeast"/>
              <w:rPr>
                <w:rFonts w:ascii="Tahoma" w:hAnsi="Tahoma"/>
                <w:color w:val="000000" w:themeColor="text1"/>
                <w:sz w:val="16"/>
                <w:lang w:val="en-GB"/>
              </w:rPr>
            </w:pPr>
            <w:r w:rsidRPr="008A766F">
              <w:rPr>
                <w:rFonts w:ascii="Tahoma" w:hAnsi="Tahoma"/>
                <w:color w:val="000000" w:themeColor="text1"/>
                <w:sz w:val="16"/>
                <w:lang w:val="en-GB"/>
              </w:rPr>
              <w:t>FVOCI/FVPL</w:t>
            </w:r>
          </w:p>
        </w:tc>
        <w:tc>
          <w:tcPr>
            <w:tcW w:w="1275" w:type="dxa"/>
            <w:tcBorders>
              <w:left w:val="single" w:sz="4" w:space="0" w:color="auto"/>
              <w:bottom w:val="single" w:sz="4" w:space="0" w:color="auto"/>
            </w:tcBorders>
            <w:shd w:val="clear" w:color="auto" w:fill="auto"/>
            <w:tcMar>
              <w:top w:w="57" w:type="dxa"/>
              <w:left w:w="0" w:type="dxa"/>
              <w:bottom w:w="57" w:type="dxa"/>
              <w:right w:w="0" w:type="dxa"/>
            </w:tcMar>
            <w:vAlign w:val="bottom"/>
          </w:tcPr>
          <w:p w14:paraId="45A68BAC" w14:textId="77777777" w:rsidR="008A766F" w:rsidRPr="008A766F" w:rsidRDefault="008A766F" w:rsidP="00FB30A6">
            <w:pPr>
              <w:spacing w:line="240" w:lineRule="atLeast"/>
              <w:jc w:val="right"/>
              <w:rPr>
                <w:rFonts w:ascii="Tahoma" w:hAnsi="Tahoma"/>
                <w:b/>
                <w:bCs/>
                <w:color w:val="000000" w:themeColor="text1"/>
                <w:sz w:val="16"/>
                <w:lang w:val="en-GB"/>
              </w:rPr>
            </w:pPr>
            <w:r w:rsidRPr="008A766F">
              <w:rPr>
                <w:rFonts w:ascii="Tahoma" w:hAnsi="Tahoma"/>
                <w:b/>
                <w:bCs/>
                <w:color w:val="000000" w:themeColor="text1"/>
                <w:sz w:val="16"/>
                <w:lang w:val="en-GB"/>
              </w:rPr>
              <w:t>130</w:t>
            </w:r>
          </w:p>
        </w:tc>
        <w:tc>
          <w:tcPr>
            <w:tcW w:w="1134" w:type="dxa"/>
            <w:tcBorders>
              <w:bottom w:val="single" w:sz="4" w:space="0" w:color="auto"/>
            </w:tcBorders>
            <w:shd w:val="clear" w:color="auto" w:fill="auto"/>
            <w:tcMar>
              <w:top w:w="57" w:type="dxa"/>
              <w:left w:w="0" w:type="dxa"/>
              <w:bottom w:w="57" w:type="dxa"/>
              <w:right w:w="0" w:type="dxa"/>
            </w:tcMar>
            <w:vAlign w:val="bottom"/>
          </w:tcPr>
          <w:p w14:paraId="214921CC" w14:textId="77777777" w:rsidR="008A766F" w:rsidRPr="008A766F" w:rsidRDefault="008A766F" w:rsidP="00FB30A6">
            <w:pPr>
              <w:spacing w:line="240" w:lineRule="atLeast"/>
              <w:jc w:val="right"/>
              <w:rPr>
                <w:rFonts w:ascii="Tahoma" w:hAnsi="Tahoma"/>
                <w:b/>
                <w:bCs/>
                <w:color w:val="000000" w:themeColor="text1"/>
                <w:sz w:val="16"/>
                <w:lang w:val="en-GB"/>
              </w:rPr>
            </w:pPr>
            <w:r w:rsidRPr="008A766F">
              <w:rPr>
                <w:rFonts w:ascii="Tahoma" w:hAnsi="Tahoma"/>
                <w:b/>
                <w:bCs/>
                <w:color w:val="000000" w:themeColor="text1"/>
                <w:sz w:val="16"/>
                <w:lang w:val="en-GB"/>
              </w:rPr>
              <w:t>—</w:t>
            </w:r>
          </w:p>
        </w:tc>
        <w:tc>
          <w:tcPr>
            <w:tcW w:w="1142" w:type="dxa"/>
            <w:tcBorders>
              <w:bottom w:val="single" w:sz="4" w:space="0" w:color="auto"/>
            </w:tcBorders>
            <w:shd w:val="clear" w:color="auto" w:fill="auto"/>
            <w:tcMar>
              <w:top w:w="57" w:type="dxa"/>
              <w:left w:w="0" w:type="dxa"/>
              <w:bottom w:w="57" w:type="dxa"/>
              <w:right w:w="0" w:type="dxa"/>
            </w:tcMar>
            <w:vAlign w:val="bottom"/>
          </w:tcPr>
          <w:p w14:paraId="0DA2608F" w14:textId="77777777" w:rsidR="008A766F" w:rsidRPr="008A766F" w:rsidRDefault="008A766F" w:rsidP="00FB30A6">
            <w:pPr>
              <w:spacing w:line="240" w:lineRule="atLeast"/>
              <w:jc w:val="right"/>
              <w:rPr>
                <w:rFonts w:ascii="Tahoma" w:hAnsi="Tahoma"/>
                <w:b/>
                <w:bCs/>
                <w:color w:val="000000" w:themeColor="text1"/>
                <w:sz w:val="16"/>
                <w:lang w:val="en-GB"/>
              </w:rPr>
            </w:pPr>
            <w:r w:rsidRPr="008A766F">
              <w:rPr>
                <w:rFonts w:ascii="Tahoma" w:hAnsi="Tahoma"/>
                <w:b/>
                <w:bCs/>
                <w:color w:val="000000" w:themeColor="text1"/>
                <w:sz w:val="16"/>
                <w:lang w:val="en-GB"/>
              </w:rPr>
              <w:t>—</w:t>
            </w:r>
          </w:p>
        </w:tc>
        <w:tc>
          <w:tcPr>
            <w:tcW w:w="1134" w:type="dxa"/>
            <w:gridSpan w:val="2"/>
            <w:tcBorders>
              <w:bottom w:val="single" w:sz="4" w:space="0" w:color="auto"/>
              <w:right w:val="single" w:sz="4" w:space="0" w:color="auto"/>
            </w:tcBorders>
            <w:shd w:val="clear" w:color="auto" w:fill="auto"/>
            <w:tcMar>
              <w:top w:w="57" w:type="dxa"/>
              <w:left w:w="0" w:type="dxa"/>
              <w:bottom w:w="57" w:type="dxa"/>
              <w:right w:w="0" w:type="dxa"/>
            </w:tcMar>
            <w:vAlign w:val="bottom"/>
          </w:tcPr>
          <w:p w14:paraId="295F126F" w14:textId="77777777" w:rsidR="008A766F" w:rsidRPr="008A766F" w:rsidRDefault="008A766F" w:rsidP="003C223F">
            <w:pPr>
              <w:spacing w:line="240" w:lineRule="atLeast"/>
              <w:ind w:right="113"/>
              <w:jc w:val="right"/>
              <w:rPr>
                <w:rFonts w:ascii="Tahoma" w:hAnsi="Tahoma"/>
                <w:b/>
                <w:bCs/>
                <w:color w:val="000000" w:themeColor="text1"/>
                <w:sz w:val="16"/>
                <w:lang w:val="en-GB"/>
              </w:rPr>
            </w:pPr>
            <w:r w:rsidRPr="008A766F">
              <w:rPr>
                <w:rFonts w:ascii="Tahoma" w:hAnsi="Tahoma"/>
                <w:b/>
                <w:bCs/>
                <w:color w:val="000000" w:themeColor="text1"/>
                <w:sz w:val="16"/>
                <w:lang w:val="en-GB"/>
              </w:rPr>
              <w:t>130</w:t>
            </w:r>
          </w:p>
        </w:tc>
      </w:tr>
      <w:tr w:rsidR="00615190" w:rsidRPr="008A766F" w14:paraId="044A043F" w14:textId="77777777" w:rsidTr="002F078E">
        <w:trPr>
          <w:trHeight w:val="60"/>
        </w:trPr>
        <w:tc>
          <w:tcPr>
            <w:tcW w:w="397" w:type="dxa"/>
            <w:shd w:val="clear" w:color="auto" w:fill="auto"/>
            <w:tcMar>
              <w:top w:w="57" w:type="dxa"/>
              <w:left w:w="0" w:type="dxa"/>
              <w:bottom w:w="57" w:type="dxa"/>
              <w:right w:w="0" w:type="dxa"/>
            </w:tcMar>
            <w:vAlign w:val="bottom"/>
          </w:tcPr>
          <w:p w14:paraId="6F3D09A2" w14:textId="77777777" w:rsidR="008A766F" w:rsidRPr="008A766F" w:rsidRDefault="008A766F" w:rsidP="00615190">
            <w:pPr>
              <w:spacing w:line="240" w:lineRule="atLeast"/>
              <w:rPr>
                <w:rFonts w:ascii="Tahoma" w:hAnsi="Tahoma"/>
                <w:color w:val="000000" w:themeColor="text1"/>
                <w:sz w:val="16"/>
                <w:lang w:val="en-GB"/>
              </w:rPr>
            </w:pPr>
          </w:p>
        </w:tc>
        <w:tc>
          <w:tcPr>
            <w:tcW w:w="462" w:type="dxa"/>
            <w:shd w:val="clear" w:color="auto" w:fill="auto"/>
            <w:tcMar>
              <w:top w:w="57" w:type="dxa"/>
              <w:left w:w="0" w:type="dxa"/>
              <w:bottom w:w="57" w:type="dxa"/>
              <w:right w:w="0" w:type="dxa"/>
            </w:tcMar>
            <w:vAlign w:val="bottom"/>
          </w:tcPr>
          <w:p w14:paraId="13A788C3" w14:textId="77777777" w:rsidR="008A766F" w:rsidRPr="008A766F" w:rsidRDefault="008A766F" w:rsidP="00615190">
            <w:pPr>
              <w:spacing w:line="240" w:lineRule="atLeast"/>
              <w:rPr>
                <w:rFonts w:ascii="Tahoma" w:hAnsi="Tahoma"/>
                <w:color w:val="000000" w:themeColor="text1"/>
                <w:sz w:val="16"/>
                <w:lang w:val="en-GB"/>
              </w:rPr>
            </w:pPr>
          </w:p>
        </w:tc>
        <w:tc>
          <w:tcPr>
            <w:tcW w:w="3402" w:type="dxa"/>
            <w:shd w:val="clear" w:color="auto" w:fill="auto"/>
            <w:tcMar>
              <w:top w:w="57" w:type="dxa"/>
              <w:left w:w="0" w:type="dxa"/>
              <w:bottom w:w="57" w:type="dxa"/>
              <w:right w:w="0" w:type="dxa"/>
            </w:tcMar>
            <w:vAlign w:val="bottom"/>
          </w:tcPr>
          <w:p w14:paraId="1D364C87" w14:textId="77777777" w:rsidR="008A766F" w:rsidRPr="008A766F" w:rsidRDefault="008A766F" w:rsidP="00615190">
            <w:pPr>
              <w:spacing w:line="240" w:lineRule="atLeast"/>
              <w:rPr>
                <w:rFonts w:ascii="Tahoma" w:hAnsi="Tahoma"/>
                <w:color w:val="000000" w:themeColor="text1"/>
                <w:sz w:val="16"/>
                <w:lang w:val="en-GB"/>
              </w:rPr>
            </w:pPr>
          </w:p>
        </w:tc>
        <w:tc>
          <w:tcPr>
            <w:tcW w:w="1268" w:type="dxa"/>
            <w:shd w:val="clear" w:color="auto" w:fill="auto"/>
            <w:tcMar>
              <w:top w:w="57" w:type="dxa"/>
              <w:left w:w="0" w:type="dxa"/>
              <w:bottom w:w="57" w:type="dxa"/>
              <w:right w:w="0" w:type="dxa"/>
            </w:tcMar>
            <w:vAlign w:val="bottom"/>
          </w:tcPr>
          <w:p w14:paraId="4722868C" w14:textId="77777777" w:rsidR="008A766F" w:rsidRPr="008A766F" w:rsidRDefault="008A766F" w:rsidP="00615190">
            <w:pPr>
              <w:spacing w:line="240" w:lineRule="atLeast"/>
              <w:rPr>
                <w:rFonts w:ascii="Tahoma" w:hAnsi="Tahoma"/>
                <w:color w:val="000000" w:themeColor="text1"/>
                <w:sz w:val="16"/>
                <w:lang w:val="en-GB"/>
              </w:rPr>
            </w:pPr>
          </w:p>
        </w:tc>
        <w:tc>
          <w:tcPr>
            <w:tcW w:w="1275" w:type="dxa"/>
            <w:tcBorders>
              <w:top w:val="single" w:sz="4" w:space="0" w:color="auto"/>
            </w:tcBorders>
            <w:shd w:val="clear" w:color="auto" w:fill="auto"/>
            <w:tcMar>
              <w:top w:w="57" w:type="dxa"/>
              <w:left w:w="0" w:type="dxa"/>
              <w:bottom w:w="57" w:type="dxa"/>
              <w:right w:w="0" w:type="dxa"/>
            </w:tcMar>
            <w:vAlign w:val="bottom"/>
          </w:tcPr>
          <w:p w14:paraId="129088D8" w14:textId="77777777" w:rsidR="008A766F" w:rsidRPr="008A766F" w:rsidRDefault="008A766F" w:rsidP="00FB30A6">
            <w:pPr>
              <w:spacing w:line="240" w:lineRule="atLeast"/>
              <w:jc w:val="right"/>
              <w:rPr>
                <w:rFonts w:ascii="Tahoma" w:hAnsi="Tahoma"/>
                <w:b/>
                <w:bCs/>
                <w:color w:val="000000" w:themeColor="text1"/>
                <w:sz w:val="16"/>
                <w:lang w:val="en-GB"/>
              </w:rPr>
            </w:pPr>
            <w:r w:rsidRPr="008A766F">
              <w:rPr>
                <w:rFonts w:ascii="Tahoma" w:hAnsi="Tahoma"/>
                <w:b/>
                <w:bCs/>
                <w:color w:val="000000" w:themeColor="text1"/>
                <w:sz w:val="16"/>
                <w:lang w:val="en-GB"/>
              </w:rPr>
              <w:t>130</w:t>
            </w:r>
          </w:p>
        </w:tc>
        <w:tc>
          <w:tcPr>
            <w:tcW w:w="1134" w:type="dxa"/>
            <w:tcBorders>
              <w:top w:val="single" w:sz="4" w:space="0" w:color="auto"/>
            </w:tcBorders>
            <w:shd w:val="clear" w:color="auto" w:fill="auto"/>
            <w:tcMar>
              <w:top w:w="57" w:type="dxa"/>
              <w:left w:w="0" w:type="dxa"/>
              <w:bottom w:w="57" w:type="dxa"/>
              <w:right w:w="0" w:type="dxa"/>
            </w:tcMar>
            <w:vAlign w:val="bottom"/>
          </w:tcPr>
          <w:p w14:paraId="4DDE9418" w14:textId="77777777" w:rsidR="008A766F" w:rsidRPr="008A766F" w:rsidRDefault="008A766F" w:rsidP="00FB30A6">
            <w:pPr>
              <w:spacing w:line="240" w:lineRule="atLeast"/>
              <w:jc w:val="right"/>
              <w:rPr>
                <w:rFonts w:ascii="Tahoma" w:hAnsi="Tahoma"/>
                <w:b/>
                <w:bCs/>
                <w:color w:val="000000" w:themeColor="text1"/>
                <w:sz w:val="16"/>
                <w:lang w:val="en-GB"/>
              </w:rPr>
            </w:pPr>
            <w:r w:rsidRPr="008A766F">
              <w:rPr>
                <w:rFonts w:ascii="Tahoma" w:hAnsi="Tahoma"/>
                <w:b/>
                <w:bCs/>
                <w:color w:val="000000" w:themeColor="text1"/>
                <w:sz w:val="16"/>
                <w:lang w:val="en-GB"/>
              </w:rPr>
              <w:t>843</w:t>
            </w:r>
          </w:p>
        </w:tc>
        <w:tc>
          <w:tcPr>
            <w:tcW w:w="1142" w:type="dxa"/>
            <w:tcBorders>
              <w:top w:val="single" w:sz="4" w:space="0" w:color="auto"/>
            </w:tcBorders>
            <w:shd w:val="clear" w:color="auto" w:fill="auto"/>
            <w:tcMar>
              <w:top w:w="57" w:type="dxa"/>
              <w:left w:w="0" w:type="dxa"/>
              <w:bottom w:w="57" w:type="dxa"/>
              <w:right w:w="0" w:type="dxa"/>
            </w:tcMar>
            <w:vAlign w:val="bottom"/>
          </w:tcPr>
          <w:p w14:paraId="6EE43D73" w14:textId="77777777" w:rsidR="008A766F" w:rsidRPr="008A766F" w:rsidRDefault="008A766F" w:rsidP="00FB30A6">
            <w:pPr>
              <w:spacing w:line="240" w:lineRule="atLeast"/>
              <w:jc w:val="right"/>
              <w:rPr>
                <w:rFonts w:ascii="Tahoma" w:hAnsi="Tahoma"/>
                <w:b/>
                <w:bCs/>
                <w:color w:val="000000" w:themeColor="text1"/>
                <w:sz w:val="16"/>
                <w:lang w:val="en-GB"/>
              </w:rPr>
            </w:pPr>
            <w:r w:rsidRPr="008A766F">
              <w:rPr>
                <w:rFonts w:ascii="Tahoma" w:hAnsi="Tahoma"/>
                <w:b/>
                <w:bCs/>
                <w:color w:val="000000" w:themeColor="text1"/>
                <w:sz w:val="16"/>
                <w:lang w:val="en-GB"/>
              </w:rPr>
              <w:t>—</w:t>
            </w:r>
          </w:p>
        </w:tc>
        <w:tc>
          <w:tcPr>
            <w:tcW w:w="1134" w:type="dxa"/>
            <w:gridSpan w:val="2"/>
            <w:tcBorders>
              <w:top w:val="single" w:sz="4" w:space="0" w:color="auto"/>
            </w:tcBorders>
            <w:shd w:val="clear" w:color="auto" w:fill="auto"/>
            <w:tcMar>
              <w:top w:w="57" w:type="dxa"/>
              <w:left w:w="0" w:type="dxa"/>
              <w:bottom w:w="57" w:type="dxa"/>
              <w:right w:w="0" w:type="dxa"/>
            </w:tcMar>
            <w:vAlign w:val="bottom"/>
          </w:tcPr>
          <w:p w14:paraId="451651B9" w14:textId="77777777" w:rsidR="008A766F" w:rsidRPr="008A766F" w:rsidRDefault="008A766F" w:rsidP="003C223F">
            <w:pPr>
              <w:spacing w:line="240" w:lineRule="atLeast"/>
              <w:ind w:right="113"/>
              <w:jc w:val="right"/>
              <w:rPr>
                <w:rFonts w:ascii="Tahoma" w:hAnsi="Tahoma"/>
                <w:b/>
                <w:bCs/>
                <w:color w:val="000000" w:themeColor="text1"/>
                <w:sz w:val="16"/>
                <w:lang w:val="en-GB"/>
              </w:rPr>
            </w:pPr>
            <w:r w:rsidRPr="008A766F">
              <w:rPr>
                <w:rFonts w:ascii="Tahoma" w:hAnsi="Tahoma"/>
                <w:b/>
                <w:bCs/>
                <w:color w:val="000000" w:themeColor="text1"/>
                <w:sz w:val="16"/>
                <w:lang w:val="en-GB"/>
              </w:rPr>
              <w:t>973</w:t>
            </w:r>
          </w:p>
        </w:tc>
      </w:tr>
      <w:tr w:rsidR="00615190" w:rsidRPr="008A766F" w14:paraId="5ED66CC2" w14:textId="77777777" w:rsidTr="002F078E">
        <w:trPr>
          <w:trHeight w:val="60"/>
        </w:trPr>
        <w:tc>
          <w:tcPr>
            <w:tcW w:w="397" w:type="dxa"/>
            <w:shd w:val="clear" w:color="auto" w:fill="auto"/>
            <w:tcMar>
              <w:top w:w="57" w:type="dxa"/>
              <w:left w:w="0" w:type="dxa"/>
              <w:bottom w:w="57" w:type="dxa"/>
              <w:right w:w="0" w:type="dxa"/>
            </w:tcMar>
            <w:vAlign w:val="bottom"/>
          </w:tcPr>
          <w:p w14:paraId="269196CA" w14:textId="77777777" w:rsidR="008A766F" w:rsidRPr="008A766F" w:rsidRDefault="008A766F" w:rsidP="00615190">
            <w:pPr>
              <w:spacing w:line="240" w:lineRule="atLeast"/>
              <w:rPr>
                <w:rFonts w:ascii="Tahoma" w:hAnsi="Tahoma"/>
                <w:color w:val="000000" w:themeColor="text1"/>
                <w:sz w:val="16"/>
                <w:lang w:val="en-GB"/>
              </w:rPr>
            </w:pPr>
          </w:p>
        </w:tc>
        <w:tc>
          <w:tcPr>
            <w:tcW w:w="3864" w:type="dxa"/>
            <w:gridSpan w:val="2"/>
            <w:shd w:val="clear" w:color="auto" w:fill="auto"/>
            <w:tcMar>
              <w:top w:w="57" w:type="dxa"/>
              <w:left w:w="0" w:type="dxa"/>
              <w:bottom w:w="57" w:type="dxa"/>
              <w:right w:w="0" w:type="dxa"/>
            </w:tcMar>
            <w:vAlign w:val="bottom"/>
          </w:tcPr>
          <w:p w14:paraId="3A529C2C" w14:textId="77777777" w:rsidR="008A766F" w:rsidRPr="008A766F" w:rsidRDefault="008A766F" w:rsidP="00615190">
            <w:pPr>
              <w:spacing w:line="240" w:lineRule="atLeast"/>
              <w:rPr>
                <w:rFonts w:ascii="Tahoma" w:hAnsi="Tahoma"/>
                <w:b/>
                <w:bCs/>
                <w:color w:val="000000" w:themeColor="text1"/>
                <w:sz w:val="16"/>
                <w:lang w:val="en-GB"/>
              </w:rPr>
            </w:pPr>
            <w:r w:rsidRPr="008A766F">
              <w:rPr>
                <w:rFonts w:ascii="Tahoma" w:hAnsi="Tahoma"/>
                <w:b/>
                <w:bCs/>
                <w:color w:val="000000" w:themeColor="text1"/>
                <w:sz w:val="16"/>
                <w:lang w:val="en-GB"/>
              </w:rPr>
              <w:t>Disposal/Partial disposal of investments</w:t>
            </w:r>
          </w:p>
        </w:tc>
        <w:tc>
          <w:tcPr>
            <w:tcW w:w="1268" w:type="dxa"/>
            <w:shd w:val="clear" w:color="auto" w:fill="auto"/>
            <w:tcMar>
              <w:top w:w="57" w:type="dxa"/>
              <w:left w:w="0" w:type="dxa"/>
              <w:bottom w:w="57" w:type="dxa"/>
              <w:right w:w="0" w:type="dxa"/>
            </w:tcMar>
            <w:vAlign w:val="bottom"/>
          </w:tcPr>
          <w:p w14:paraId="0E3E2731" w14:textId="77777777" w:rsidR="008A766F" w:rsidRPr="008A766F" w:rsidRDefault="008A766F" w:rsidP="00615190">
            <w:pPr>
              <w:spacing w:line="240" w:lineRule="atLeast"/>
              <w:rPr>
                <w:rFonts w:ascii="Tahoma" w:hAnsi="Tahoma"/>
                <w:color w:val="000000" w:themeColor="text1"/>
                <w:sz w:val="16"/>
                <w:lang w:val="en-GB"/>
              </w:rPr>
            </w:pPr>
          </w:p>
        </w:tc>
        <w:tc>
          <w:tcPr>
            <w:tcW w:w="1275" w:type="dxa"/>
            <w:tcBorders>
              <w:bottom w:val="single" w:sz="4" w:space="0" w:color="auto"/>
            </w:tcBorders>
            <w:shd w:val="clear" w:color="auto" w:fill="auto"/>
            <w:tcMar>
              <w:top w:w="57" w:type="dxa"/>
              <w:left w:w="0" w:type="dxa"/>
              <w:bottom w:w="57" w:type="dxa"/>
              <w:right w:w="0" w:type="dxa"/>
            </w:tcMar>
            <w:vAlign w:val="bottom"/>
          </w:tcPr>
          <w:p w14:paraId="0172492A" w14:textId="77777777" w:rsidR="008A766F" w:rsidRPr="008A766F" w:rsidRDefault="008A766F" w:rsidP="00FB30A6">
            <w:pPr>
              <w:spacing w:line="240" w:lineRule="atLeast"/>
              <w:jc w:val="right"/>
              <w:rPr>
                <w:rFonts w:ascii="Tahoma" w:hAnsi="Tahoma"/>
                <w:b/>
                <w:bCs/>
                <w:color w:val="000000" w:themeColor="text1"/>
                <w:sz w:val="16"/>
                <w:lang w:val="en-GB"/>
              </w:rPr>
            </w:pPr>
          </w:p>
        </w:tc>
        <w:tc>
          <w:tcPr>
            <w:tcW w:w="1134" w:type="dxa"/>
            <w:tcBorders>
              <w:bottom w:val="single" w:sz="4" w:space="0" w:color="auto"/>
            </w:tcBorders>
            <w:shd w:val="clear" w:color="auto" w:fill="auto"/>
            <w:tcMar>
              <w:top w:w="57" w:type="dxa"/>
              <w:left w:w="0" w:type="dxa"/>
              <w:bottom w:w="57" w:type="dxa"/>
              <w:right w:w="0" w:type="dxa"/>
            </w:tcMar>
            <w:vAlign w:val="bottom"/>
          </w:tcPr>
          <w:p w14:paraId="186D72E1" w14:textId="77777777" w:rsidR="008A766F" w:rsidRPr="008A766F" w:rsidRDefault="008A766F" w:rsidP="00FB30A6">
            <w:pPr>
              <w:spacing w:line="240" w:lineRule="atLeast"/>
              <w:jc w:val="right"/>
              <w:rPr>
                <w:rFonts w:ascii="Tahoma" w:hAnsi="Tahoma"/>
                <w:b/>
                <w:bCs/>
                <w:color w:val="000000" w:themeColor="text1"/>
                <w:sz w:val="16"/>
                <w:lang w:val="en-GB"/>
              </w:rPr>
            </w:pPr>
          </w:p>
        </w:tc>
        <w:tc>
          <w:tcPr>
            <w:tcW w:w="1142" w:type="dxa"/>
            <w:tcBorders>
              <w:bottom w:val="single" w:sz="4" w:space="0" w:color="auto"/>
            </w:tcBorders>
            <w:shd w:val="clear" w:color="auto" w:fill="auto"/>
            <w:tcMar>
              <w:top w:w="57" w:type="dxa"/>
              <w:left w:w="0" w:type="dxa"/>
              <w:bottom w:w="57" w:type="dxa"/>
              <w:right w:w="0" w:type="dxa"/>
            </w:tcMar>
            <w:vAlign w:val="bottom"/>
          </w:tcPr>
          <w:p w14:paraId="39DCD212" w14:textId="77777777" w:rsidR="008A766F" w:rsidRPr="008A766F" w:rsidRDefault="008A766F" w:rsidP="00FB30A6">
            <w:pPr>
              <w:spacing w:line="240" w:lineRule="atLeast"/>
              <w:jc w:val="right"/>
              <w:rPr>
                <w:rFonts w:ascii="Tahoma" w:hAnsi="Tahoma"/>
                <w:b/>
                <w:bCs/>
                <w:color w:val="000000" w:themeColor="text1"/>
                <w:sz w:val="16"/>
                <w:lang w:val="en-GB"/>
              </w:rPr>
            </w:pPr>
          </w:p>
        </w:tc>
        <w:tc>
          <w:tcPr>
            <w:tcW w:w="1134" w:type="dxa"/>
            <w:gridSpan w:val="2"/>
            <w:tcBorders>
              <w:bottom w:val="single" w:sz="4" w:space="0" w:color="auto"/>
            </w:tcBorders>
            <w:shd w:val="clear" w:color="auto" w:fill="auto"/>
            <w:tcMar>
              <w:top w:w="57" w:type="dxa"/>
              <w:left w:w="0" w:type="dxa"/>
              <w:bottom w:w="57" w:type="dxa"/>
              <w:right w:w="0" w:type="dxa"/>
            </w:tcMar>
            <w:vAlign w:val="bottom"/>
          </w:tcPr>
          <w:p w14:paraId="6773C195" w14:textId="77777777" w:rsidR="008A766F" w:rsidRPr="008A766F" w:rsidRDefault="008A766F" w:rsidP="003C223F">
            <w:pPr>
              <w:spacing w:line="240" w:lineRule="atLeast"/>
              <w:ind w:right="113"/>
              <w:jc w:val="right"/>
              <w:rPr>
                <w:rFonts w:ascii="Tahoma" w:hAnsi="Tahoma"/>
                <w:b/>
                <w:bCs/>
                <w:color w:val="000000" w:themeColor="text1"/>
                <w:sz w:val="16"/>
                <w:lang w:val="en-GB"/>
              </w:rPr>
            </w:pPr>
          </w:p>
        </w:tc>
      </w:tr>
      <w:tr w:rsidR="00615190" w:rsidRPr="008A766F" w14:paraId="11E2F623" w14:textId="77777777" w:rsidTr="002F078E">
        <w:trPr>
          <w:trHeight w:val="60"/>
        </w:trPr>
        <w:tc>
          <w:tcPr>
            <w:tcW w:w="397" w:type="dxa"/>
            <w:shd w:val="clear" w:color="auto" w:fill="auto"/>
            <w:tcMar>
              <w:top w:w="57" w:type="dxa"/>
              <w:left w:w="0" w:type="dxa"/>
              <w:bottom w:w="57" w:type="dxa"/>
              <w:right w:w="0" w:type="dxa"/>
            </w:tcMar>
            <w:vAlign w:val="bottom"/>
          </w:tcPr>
          <w:p w14:paraId="63174370" w14:textId="77777777" w:rsidR="008A766F" w:rsidRPr="008A766F" w:rsidRDefault="008A766F" w:rsidP="00615190">
            <w:pPr>
              <w:spacing w:line="240" w:lineRule="atLeast"/>
              <w:rPr>
                <w:rFonts w:ascii="Tahoma" w:hAnsi="Tahoma"/>
                <w:color w:val="000000" w:themeColor="text1"/>
                <w:sz w:val="16"/>
                <w:lang w:val="en-GB"/>
              </w:rPr>
            </w:pPr>
          </w:p>
        </w:tc>
        <w:tc>
          <w:tcPr>
            <w:tcW w:w="462" w:type="dxa"/>
            <w:shd w:val="clear" w:color="auto" w:fill="auto"/>
            <w:tcMar>
              <w:top w:w="57" w:type="dxa"/>
              <w:left w:w="0" w:type="dxa"/>
              <w:bottom w:w="57" w:type="dxa"/>
              <w:right w:w="0" w:type="dxa"/>
            </w:tcMar>
            <w:vAlign w:val="bottom"/>
          </w:tcPr>
          <w:p w14:paraId="0E830E49" w14:textId="77777777" w:rsidR="008A766F" w:rsidRPr="008A766F" w:rsidRDefault="008A766F" w:rsidP="00615190">
            <w:pPr>
              <w:spacing w:line="240" w:lineRule="atLeast"/>
              <w:rPr>
                <w:rFonts w:ascii="Tahoma" w:hAnsi="Tahoma"/>
                <w:color w:val="000000" w:themeColor="text1"/>
                <w:sz w:val="16"/>
                <w:lang w:val="en-GB"/>
              </w:rPr>
            </w:pPr>
            <w:r w:rsidRPr="008A766F">
              <w:rPr>
                <w:rFonts w:ascii="Tahoma" w:hAnsi="Tahoma"/>
                <w:color w:val="000000" w:themeColor="text1"/>
                <w:sz w:val="16"/>
                <w:lang w:val="en-GB"/>
              </w:rPr>
              <w:t>(a)</w:t>
            </w:r>
          </w:p>
        </w:tc>
        <w:tc>
          <w:tcPr>
            <w:tcW w:w="3402" w:type="dxa"/>
            <w:shd w:val="clear" w:color="auto" w:fill="auto"/>
            <w:tcMar>
              <w:top w:w="57" w:type="dxa"/>
              <w:left w:w="0" w:type="dxa"/>
              <w:bottom w:w="57" w:type="dxa"/>
              <w:right w:w="0" w:type="dxa"/>
            </w:tcMar>
            <w:vAlign w:val="bottom"/>
          </w:tcPr>
          <w:p w14:paraId="54C7BDE4" w14:textId="77777777" w:rsidR="008A766F" w:rsidRPr="008A766F" w:rsidRDefault="008A766F" w:rsidP="00615190">
            <w:pPr>
              <w:spacing w:line="240" w:lineRule="atLeast"/>
              <w:rPr>
                <w:rFonts w:ascii="Tahoma" w:hAnsi="Tahoma"/>
                <w:color w:val="000000" w:themeColor="text1"/>
                <w:sz w:val="16"/>
                <w:lang w:val="en-GB"/>
              </w:rPr>
            </w:pPr>
            <w:proofErr w:type="spellStart"/>
            <w:r w:rsidRPr="008A766F">
              <w:rPr>
                <w:rFonts w:ascii="Tahoma" w:hAnsi="Tahoma"/>
                <w:color w:val="000000" w:themeColor="text1"/>
                <w:sz w:val="16"/>
                <w:lang w:val="en-GB"/>
              </w:rPr>
              <w:t>Wolt</w:t>
            </w:r>
            <w:proofErr w:type="spellEnd"/>
            <w:r w:rsidRPr="008A766F">
              <w:rPr>
                <w:rFonts w:ascii="Tahoma" w:hAnsi="Tahoma"/>
                <w:color w:val="000000" w:themeColor="text1"/>
                <w:sz w:val="16"/>
                <w:lang w:val="en-GB"/>
              </w:rPr>
              <w:t xml:space="preserve"> Enterprises OY (</w:t>
            </w:r>
            <w:proofErr w:type="spellStart"/>
            <w:r w:rsidRPr="008A766F">
              <w:rPr>
                <w:rFonts w:ascii="Tahoma" w:hAnsi="Tahoma"/>
                <w:color w:val="000000" w:themeColor="text1"/>
                <w:sz w:val="16"/>
                <w:lang w:val="en-GB"/>
              </w:rPr>
              <w:t>Wolt</w:t>
            </w:r>
            <w:proofErr w:type="spellEnd"/>
            <w:r w:rsidRPr="008A766F">
              <w:rPr>
                <w:rFonts w:ascii="Tahoma" w:hAnsi="Tahoma"/>
                <w:color w:val="000000" w:themeColor="text1"/>
                <w:sz w:val="16"/>
                <w:lang w:val="en-GB"/>
              </w:rPr>
              <w:t>)</w:t>
            </w:r>
          </w:p>
        </w:tc>
        <w:tc>
          <w:tcPr>
            <w:tcW w:w="1268" w:type="dxa"/>
            <w:tcBorders>
              <w:right w:val="single" w:sz="4" w:space="0" w:color="auto"/>
            </w:tcBorders>
            <w:shd w:val="clear" w:color="auto" w:fill="auto"/>
            <w:tcMar>
              <w:top w:w="57" w:type="dxa"/>
              <w:left w:w="0" w:type="dxa"/>
              <w:bottom w:w="57" w:type="dxa"/>
              <w:right w:w="0" w:type="dxa"/>
            </w:tcMar>
            <w:vAlign w:val="bottom"/>
          </w:tcPr>
          <w:p w14:paraId="0DCCB696" w14:textId="77777777" w:rsidR="008A766F" w:rsidRPr="008A766F" w:rsidRDefault="008A766F" w:rsidP="00615190">
            <w:pPr>
              <w:spacing w:line="240" w:lineRule="atLeast"/>
              <w:rPr>
                <w:rFonts w:ascii="Tahoma" w:hAnsi="Tahoma"/>
                <w:color w:val="000000" w:themeColor="text1"/>
                <w:sz w:val="16"/>
                <w:lang w:val="en-GB"/>
              </w:rPr>
            </w:pPr>
            <w:r w:rsidRPr="008A766F">
              <w:rPr>
                <w:rFonts w:ascii="Tahoma" w:hAnsi="Tahoma"/>
                <w:color w:val="000000" w:themeColor="text1"/>
                <w:sz w:val="16"/>
                <w:lang w:val="en-GB"/>
              </w:rPr>
              <w:t>FVOCI</w:t>
            </w:r>
          </w:p>
        </w:tc>
        <w:tc>
          <w:tcPr>
            <w:tcW w:w="1275" w:type="dxa"/>
            <w:tcBorders>
              <w:top w:val="single" w:sz="4" w:space="0" w:color="auto"/>
              <w:left w:val="single" w:sz="4" w:space="0" w:color="auto"/>
            </w:tcBorders>
            <w:shd w:val="clear" w:color="auto" w:fill="auto"/>
            <w:tcMar>
              <w:top w:w="57" w:type="dxa"/>
              <w:left w:w="0" w:type="dxa"/>
              <w:bottom w:w="57" w:type="dxa"/>
              <w:right w:w="0" w:type="dxa"/>
            </w:tcMar>
            <w:vAlign w:val="bottom"/>
          </w:tcPr>
          <w:p w14:paraId="01855B68" w14:textId="77777777" w:rsidR="008A766F" w:rsidRPr="008A766F" w:rsidRDefault="008A766F" w:rsidP="00FB30A6">
            <w:pPr>
              <w:spacing w:line="240" w:lineRule="atLeast"/>
              <w:jc w:val="right"/>
              <w:rPr>
                <w:rFonts w:ascii="Tahoma" w:hAnsi="Tahoma"/>
                <w:b/>
                <w:bCs/>
                <w:color w:val="000000" w:themeColor="text1"/>
                <w:sz w:val="16"/>
                <w:lang w:val="en-GB"/>
              </w:rPr>
            </w:pPr>
            <w:r w:rsidRPr="008A766F">
              <w:rPr>
                <w:rFonts w:ascii="Tahoma" w:hAnsi="Tahoma"/>
                <w:b/>
                <w:bCs/>
                <w:color w:val="000000" w:themeColor="text1"/>
                <w:sz w:val="16"/>
                <w:lang w:val="en-GB"/>
              </w:rPr>
              <w:t>—</w:t>
            </w:r>
          </w:p>
        </w:tc>
        <w:tc>
          <w:tcPr>
            <w:tcW w:w="1134" w:type="dxa"/>
            <w:tcBorders>
              <w:top w:val="single" w:sz="4" w:space="0" w:color="auto"/>
            </w:tcBorders>
            <w:shd w:val="clear" w:color="auto" w:fill="auto"/>
            <w:tcMar>
              <w:top w:w="57" w:type="dxa"/>
              <w:left w:w="0" w:type="dxa"/>
              <w:bottom w:w="57" w:type="dxa"/>
              <w:right w:w="0" w:type="dxa"/>
            </w:tcMar>
            <w:vAlign w:val="bottom"/>
          </w:tcPr>
          <w:p w14:paraId="7410601F" w14:textId="77777777" w:rsidR="008A766F" w:rsidRPr="008A766F" w:rsidRDefault="008A766F" w:rsidP="00FB30A6">
            <w:pPr>
              <w:spacing w:line="240" w:lineRule="atLeast"/>
              <w:jc w:val="right"/>
              <w:rPr>
                <w:rFonts w:ascii="Tahoma" w:hAnsi="Tahoma"/>
                <w:b/>
                <w:bCs/>
                <w:color w:val="000000" w:themeColor="text1"/>
                <w:sz w:val="16"/>
                <w:lang w:val="en-GB"/>
              </w:rPr>
            </w:pPr>
            <w:r w:rsidRPr="008A766F">
              <w:rPr>
                <w:rFonts w:ascii="Tahoma" w:hAnsi="Tahoma"/>
                <w:b/>
                <w:bCs/>
                <w:color w:val="000000" w:themeColor="text1"/>
                <w:sz w:val="16"/>
                <w:lang w:val="en-GB"/>
              </w:rPr>
              <w:t>(58)</w:t>
            </w:r>
          </w:p>
        </w:tc>
        <w:tc>
          <w:tcPr>
            <w:tcW w:w="1142" w:type="dxa"/>
            <w:tcBorders>
              <w:top w:val="single" w:sz="4" w:space="0" w:color="auto"/>
            </w:tcBorders>
            <w:shd w:val="clear" w:color="auto" w:fill="auto"/>
            <w:tcMar>
              <w:top w:w="57" w:type="dxa"/>
              <w:left w:w="0" w:type="dxa"/>
              <w:bottom w:w="57" w:type="dxa"/>
              <w:right w:w="0" w:type="dxa"/>
            </w:tcMar>
            <w:vAlign w:val="bottom"/>
          </w:tcPr>
          <w:p w14:paraId="33448012" w14:textId="77777777" w:rsidR="008A766F" w:rsidRPr="008A766F" w:rsidRDefault="008A766F" w:rsidP="00FB30A6">
            <w:pPr>
              <w:spacing w:line="240" w:lineRule="atLeast"/>
              <w:jc w:val="right"/>
              <w:rPr>
                <w:rFonts w:ascii="Tahoma" w:hAnsi="Tahoma"/>
                <w:b/>
                <w:bCs/>
                <w:color w:val="000000" w:themeColor="text1"/>
                <w:sz w:val="16"/>
                <w:lang w:val="en-GB"/>
              </w:rPr>
            </w:pPr>
            <w:r w:rsidRPr="008A766F">
              <w:rPr>
                <w:rFonts w:ascii="Tahoma" w:hAnsi="Tahoma"/>
                <w:b/>
                <w:bCs/>
                <w:color w:val="000000" w:themeColor="text1"/>
                <w:sz w:val="16"/>
                <w:lang w:val="en-GB"/>
              </w:rPr>
              <w:t>—</w:t>
            </w:r>
          </w:p>
        </w:tc>
        <w:tc>
          <w:tcPr>
            <w:tcW w:w="1134" w:type="dxa"/>
            <w:gridSpan w:val="2"/>
            <w:tcBorders>
              <w:top w:val="single" w:sz="4" w:space="0" w:color="auto"/>
              <w:right w:val="single" w:sz="4" w:space="0" w:color="auto"/>
            </w:tcBorders>
            <w:shd w:val="clear" w:color="auto" w:fill="auto"/>
            <w:tcMar>
              <w:top w:w="57" w:type="dxa"/>
              <w:left w:w="0" w:type="dxa"/>
              <w:bottom w:w="57" w:type="dxa"/>
              <w:right w:w="0" w:type="dxa"/>
            </w:tcMar>
            <w:vAlign w:val="bottom"/>
          </w:tcPr>
          <w:p w14:paraId="65F20CD3" w14:textId="77777777" w:rsidR="008A766F" w:rsidRPr="008A766F" w:rsidRDefault="008A766F" w:rsidP="003C223F">
            <w:pPr>
              <w:spacing w:line="240" w:lineRule="atLeast"/>
              <w:ind w:right="113"/>
              <w:jc w:val="right"/>
              <w:rPr>
                <w:rFonts w:ascii="Tahoma" w:hAnsi="Tahoma"/>
                <w:b/>
                <w:bCs/>
                <w:color w:val="000000" w:themeColor="text1"/>
                <w:sz w:val="16"/>
                <w:lang w:val="en-GB"/>
              </w:rPr>
            </w:pPr>
            <w:r w:rsidRPr="008A766F">
              <w:rPr>
                <w:rFonts w:ascii="Tahoma" w:hAnsi="Tahoma"/>
                <w:b/>
                <w:bCs/>
                <w:color w:val="000000" w:themeColor="text1"/>
                <w:sz w:val="16"/>
                <w:lang w:val="en-GB"/>
              </w:rPr>
              <w:t>(58)</w:t>
            </w:r>
          </w:p>
        </w:tc>
      </w:tr>
      <w:tr w:rsidR="00615190" w:rsidRPr="008A766F" w14:paraId="0A7687AA" w14:textId="77777777" w:rsidTr="002F078E">
        <w:trPr>
          <w:trHeight w:val="60"/>
        </w:trPr>
        <w:tc>
          <w:tcPr>
            <w:tcW w:w="397" w:type="dxa"/>
            <w:shd w:val="clear" w:color="auto" w:fill="auto"/>
            <w:tcMar>
              <w:top w:w="57" w:type="dxa"/>
              <w:left w:w="0" w:type="dxa"/>
              <w:bottom w:w="57" w:type="dxa"/>
              <w:right w:w="0" w:type="dxa"/>
            </w:tcMar>
            <w:vAlign w:val="bottom"/>
          </w:tcPr>
          <w:p w14:paraId="4B095D61" w14:textId="77777777" w:rsidR="008A766F" w:rsidRPr="008A766F" w:rsidRDefault="008A766F" w:rsidP="00615190">
            <w:pPr>
              <w:spacing w:line="240" w:lineRule="atLeast"/>
              <w:rPr>
                <w:rFonts w:ascii="Tahoma" w:hAnsi="Tahoma"/>
                <w:color w:val="000000" w:themeColor="text1"/>
                <w:sz w:val="16"/>
                <w:lang w:val="en-GB"/>
              </w:rPr>
            </w:pPr>
          </w:p>
        </w:tc>
        <w:tc>
          <w:tcPr>
            <w:tcW w:w="462" w:type="dxa"/>
            <w:shd w:val="clear" w:color="auto" w:fill="auto"/>
            <w:tcMar>
              <w:top w:w="57" w:type="dxa"/>
              <w:left w:w="0" w:type="dxa"/>
              <w:bottom w:w="57" w:type="dxa"/>
              <w:right w:w="0" w:type="dxa"/>
            </w:tcMar>
            <w:vAlign w:val="bottom"/>
          </w:tcPr>
          <w:p w14:paraId="415022B6" w14:textId="77777777" w:rsidR="008A766F" w:rsidRPr="008A766F" w:rsidRDefault="008A766F" w:rsidP="00615190">
            <w:pPr>
              <w:spacing w:line="240" w:lineRule="atLeast"/>
              <w:rPr>
                <w:rFonts w:ascii="Tahoma" w:hAnsi="Tahoma"/>
                <w:color w:val="000000" w:themeColor="text1"/>
                <w:sz w:val="16"/>
                <w:lang w:val="en-GB"/>
              </w:rPr>
            </w:pPr>
            <w:r w:rsidRPr="008A766F">
              <w:rPr>
                <w:rFonts w:ascii="Tahoma" w:hAnsi="Tahoma"/>
                <w:color w:val="000000" w:themeColor="text1"/>
                <w:sz w:val="16"/>
                <w:lang w:val="en-GB"/>
              </w:rPr>
              <w:t>(b)</w:t>
            </w:r>
          </w:p>
        </w:tc>
        <w:tc>
          <w:tcPr>
            <w:tcW w:w="3402" w:type="dxa"/>
            <w:shd w:val="clear" w:color="auto" w:fill="auto"/>
            <w:tcMar>
              <w:top w:w="57" w:type="dxa"/>
              <w:left w:w="0" w:type="dxa"/>
              <w:bottom w:w="57" w:type="dxa"/>
              <w:right w:w="0" w:type="dxa"/>
            </w:tcMar>
            <w:vAlign w:val="bottom"/>
          </w:tcPr>
          <w:p w14:paraId="3A507D1B" w14:textId="77777777" w:rsidR="008A766F" w:rsidRPr="008A766F" w:rsidRDefault="008A766F" w:rsidP="00615190">
            <w:pPr>
              <w:spacing w:line="240" w:lineRule="atLeast"/>
              <w:rPr>
                <w:rFonts w:ascii="Tahoma" w:hAnsi="Tahoma"/>
                <w:color w:val="000000" w:themeColor="text1"/>
                <w:sz w:val="16"/>
                <w:lang w:val="en-GB"/>
              </w:rPr>
            </w:pPr>
            <w:proofErr w:type="gramStart"/>
            <w:r w:rsidRPr="008A766F">
              <w:rPr>
                <w:rFonts w:ascii="Tahoma" w:hAnsi="Tahoma"/>
                <w:color w:val="000000" w:themeColor="text1"/>
                <w:sz w:val="16"/>
                <w:lang w:val="en-GB"/>
              </w:rPr>
              <w:t>JD.Com</w:t>
            </w:r>
            <w:proofErr w:type="gramEnd"/>
          </w:p>
        </w:tc>
        <w:tc>
          <w:tcPr>
            <w:tcW w:w="1268" w:type="dxa"/>
            <w:tcBorders>
              <w:right w:val="single" w:sz="4" w:space="0" w:color="auto"/>
            </w:tcBorders>
            <w:shd w:val="clear" w:color="auto" w:fill="auto"/>
            <w:tcMar>
              <w:top w:w="57" w:type="dxa"/>
              <w:left w:w="0" w:type="dxa"/>
              <w:bottom w:w="57" w:type="dxa"/>
              <w:right w:w="0" w:type="dxa"/>
            </w:tcMar>
            <w:vAlign w:val="bottom"/>
          </w:tcPr>
          <w:p w14:paraId="3CDC383F" w14:textId="77777777" w:rsidR="008A766F" w:rsidRPr="008A766F" w:rsidRDefault="008A766F" w:rsidP="00615190">
            <w:pPr>
              <w:spacing w:line="240" w:lineRule="atLeast"/>
              <w:rPr>
                <w:rFonts w:ascii="Tahoma" w:hAnsi="Tahoma"/>
                <w:color w:val="000000" w:themeColor="text1"/>
                <w:sz w:val="16"/>
                <w:lang w:val="en-GB"/>
              </w:rPr>
            </w:pPr>
            <w:r w:rsidRPr="008A766F">
              <w:rPr>
                <w:rFonts w:ascii="Tahoma" w:hAnsi="Tahoma"/>
                <w:color w:val="000000" w:themeColor="text1"/>
                <w:sz w:val="16"/>
                <w:lang w:val="en-GB"/>
              </w:rPr>
              <w:t>FVOCI</w:t>
            </w:r>
          </w:p>
        </w:tc>
        <w:tc>
          <w:tcPr>
            <w:tcW w:w="1275" w:type="dxa"/>
            <w:tcBorders>
              <w:left w:val="single" w:sz="4" w:space="0" w:color="auto"/>
            </w:tcBorders>
            <w:shd w:val="clear" w:color="auto" w:fill="auto"/>
            <w:tcMar>
              <w:top w:w="57" w:type="dxa"/>
              <w:left w:w="0" w:type="dxa"/>
              <w:bottom w:w="57" w:type="dxa"/>
              <w:right w:w="0" w:type="dxa"/>
            </w:tcMar>
            <w:vAlign w:val="bottom"/>
          </w:tcPr>
          <w:p w14:paraId="67668EA5" w14:textId="77777777" w:rsidR="008A766F" w:rsidRPr="008A766F" w:rsidRDefault="008A766F" w:rsidP="00FB30A6">
            <w:pPr>
              <w:spacing w:line="240" w:lineRule="atLeast"/>
              <w:jc w:val="right"/>
              <w:rPr>
                <w:rFonts w:ascii="Tahoma" w:hAnsi="Tahoma"/>
                <w:b/>
                <w:bCs/>
                <w:color w:val="000000" w:themeColor="text1"/>
                <w:sz w:val="16"/>
                <w:lang w:val="en-GB"/>
              </w:rPr>
            </w:pPr>
            <w:r w:rsidRPr="008A766F">
              <w:rPr>
                <w:rFonts w:ascii="Tahoma" w:hAnsi="Tahoma"/>
                <w:b/>
                <w:bCs/>
                <w:color w:val="000000" w:themeColor="text1"/>
                <w:sz w:val="16"/>
                <w:lang w:val="en-GB"/>
              </w:rPr>
              <w:t>(3 666)</w:t>
            </w:r>
          </w:p>
        </w:tc>
        <w:tc>
          <w:tcPr>
            <w:tcW w:w="1134" w:type="dxa"/>
            <w:shd w:val="clear" w:color="auto" w:fill="auto"/>
            <w:tcMar>
              <w:top w:w="57" w:type="dxa"/>
              <w:left w:w="0" w:type="dxa"/>
              <w:bottom w:w="57" w:type="dxa"/>
              <w:right w:w="0" w:type="dxa"/>
            </w:tcMar>
            <w:vAlign w:val="bottom"/>
          </w:tcPr>
          <w:p w14:paraId="647B2DE6" w14:textId="77777777" w:rsidR="008A766F" w:rsidRPr="008A766F" w:rsidRDefault="008A766F" w:rsidP="00FB30A6">
            <w:pPr>
              <w:spacing w:line="240" w:lineRule="atLeast"/>
              <w:jc w:val="right"/>
              <w:rPr>
                <w:rFonts w:ascii="Tahoma" w:hAnsi="Tahoma"/>
                <w:b/>
                <w:bCs/>
                <w:color w:val="000000" w:themeColor="text1"/>
                <w:sz w:val="16"/>
                <w:lang w:val="en-GB"/>
              </w:rPr>
            </w:pPr>
            <w:r w:rsidRPr="008A766F">
              <w:rPr>
                <w:rFonts w:ascii="Tahoma" w:hAnsi="Tahoma"/>
                <w:b/>
                <w:bCs/>
                <w:color w:val="000000" w:themeColor="text1"/>
                <w:sz w:val="16"/>
                <w:lang w:val="en-GB"/>
              </w:rPr>
              <w:t>—</w:t>
            </w:r>
          </w:p>
        </w:tc>
        <w:tc>
          <w:tcPr>
            <w:tcW w:w="1142" w:type="dxa"/>
            <w:shd w:val="clear" w:color="auto" w:fill="auto"/>
            <w:tcMar>
              <w:top w:w="57" w:type="dxa"/>
              <w:left w:w="0" w:type="dxa"/>
              <w:bottom w:w="57" w:type="dxa"/>
              <w:right w:w="0" w:type="dxa"/>
            </w:tcMar>
            <w:vAlign w:val="bottom"/>
          </w:tcPr>
          <w:p w14:paraId="649CC837" w14:textId="77777777" w:rsidR="008A766F" w:rsidRPr="008A766F" w:rsidRDefault="008A766F" w:rsidP="00FB30A6">
            <w:pPr>
              <w:spacing w:line="240" w:lineRule="atLeast"/>
              <w:jc w:val="right"/>
              <w:rPr>
                <w:rFonts w:ascii="Tahoma" w:hAnsi="Tahoma"/>
                <w:b/>
                <w:bCs/>
                <w:color w:val="000000" w:themeColor="text1"/>
                <w:sz w:val="16"/>
                <w:lang w:val="en-GB"/>
              </w:rPr>
            </w:pPr>
            <w:r w:rsidRPr="008A766F">
              <w:rPr>
                <w:rFonts w:ascii="Tahoma" w:hAnsi="Tahoma"/>
                <w:b/>
                <w:bCs/>
                <w:color w:val="000000" w:themeColor="text1"/>
                <w:sz w:val="16"/>
                <w:lang w:val="en-GB"/>
              </w:rPr>
              <w:t>—</w:t>
            </w:r>
          </w:p>
        </w:tc>
        <w:tc>
          <w:tcPr>
            <w:tcW w:w="1134" w:type="dxa"/>
            <w:gridSpan w:val="2"/>
            <w:tcBorders>
              <w:right w:val="single" w:sz="4" w:space="0" w:color="auto"/>
            </w:tcBorders>
            <w:shd w:val="clear" w:color="auto" w:fill="auto"/>
            <w:tcMar>
              <w:top w:w="57" w:type="dxa"/>
              <w:left w:w="0" w:type="dxa"/>
              <w:bottom w:w="57" w:type="dxa"/>
              <w:right w:w="0" w:type="dxa"/>
            </w:tcMar>
            <w:vAlign w:val="bottom"/>
          </w:tcPr>
          <w:p w14:paraId="6DB9C2E4" w14:textId="77777777" w:rsidR="008A766F" w:rsidRPr="008A766F" w:rsidRDefault="008A766F" w:rsidP="003C223F">
            <w:pPr>
              <w:spacing w:line="240" w:lineRule="atLeast"/>
              <w:ind w:right="113"/>
              <w:jc w:val="right"/>
              <w:rPr>
                <w:rFonts w:ascii="Tahoma" w:hAnsi="Tahoma"/>
                <w:b/>
                <w:bCs/>
                <w:color w:val="000000" w:themeColor="text1"/>
                <w:sz w:val="16"/>
                <w:lang w:val="en-GB"/>
              </w:rPr>
            </w:pPr>
            <w:r w:rsidRPr="008A766F">
              <w:rPr>
                <w:rFonts w:ascii="Tahoma" w:hAnsi="Tahoma"/>
                <w:b/>
                <w:bCs/>
                <w:color w:val="000000" w:themeColor="text1"/>
                <w:sz w:val="16"/>
                <w:lang w:val="en-GB"/>
              </w:rPr>
              <w:t>(3 666)</w:t>
            </w:r>
          </w:p>
        </w:tc>
      </w:tr>
      <w:tr w:rsidR="00615190" w:rsidRPr="008A766F" w14:paraId="5F772C87" w14:textId="77777777" w:rsidTr="002F078E">
        <w:trPr>
          <w:trHeight w:val="60"/>
        </w:trPr>
        <w:tc>
          <w:tcPr>
            <w:tcW w:w="397" w:type="dxa"/>
            <w:shd w:val="clear" w:color="auto" w:fill="auto"/>
            <w:tcMar>
              <w:top w:w="57" w:type="dxa"/>
              <w:left w:w="0" w:type="dxa"/>
              <w:bottom w:w="57" w:type="dxa"/>
              <w:right w:w="0" w:type="dxa"/>
            </w:tcMar>
            <w:vAlign w:val="bottom"/>
          </w:tcPr>
          <w:p w14:paraId="003F285A" w14:textId="77777777" w:rsidR="008A766F" w:rsidRPr="008A766F" w:rsidRDefault="008A766F" w:rsidP="00615190">
            <w:pPr>
              <w:spacing w:line="240" w:lineRule="atLeast"/>
              <w:rPr>
                <w:rFonts w:ascii="Tahoma" w:hAnsi="Tahoma"/>
                <w:color w:val="000000" w:themeColor="text1"/>
                <w:sz w:val="16"/>
                <w:lang w:val="en-GB"/>
              </w:rPr>
            </w:pPr>
          </w:p>
        </w:tc>
        <w:tc>
          <w:tcPr>
            <w:tcW w:w="462" w:type="dxa"/>
            <w:shd w:val="clear" w:color="auto" w:fill="auto"/>
            <w:tcMar>
              <w:top w:w="57" w:type="dxa"/>
              <w:left w:w="0" w:type="dxa"/>
              <w:bottom w:w="57" w:type="dxa"/>
              <w:right w:w="0" w:type="dxa"/>
            </w:tcMar>
            <w:vAlign w:val="bottom"/>
          </w:tcPr>
          <w:p w14:paraId="11FBC2E4" w14:textId="77777777" w:rsidR="008A766F" w:rsidRPr="008A766F" w:rsidRDefault="008A766F" w:rsidP="00615190">
            <w:pPr>
              <w:spacing w:line="240" w:lineRule="atLeast"/>
              <w:rPr>
                <w:rFonts w:ascii="Tahoma" w:hAnsi="Tahoma"/>
                <w:color w:val="000000" w:themeColor="text1"/>
                <w:sz w:val="16"/>
                <w:lang w:val="en-GB"/>
              </w:rPr>
            </w:pPr>
            <w:r w:rsidRPr="008A766F">
              <w:rPr>
                <w:rFonts w:ascii="Tahoma" w:hAnsi="Tahoma"/>
                <w:color w:val="000000" w:themeColor="text1"/>
                <w:sz w:val="16"/>
                <w:lang w:val="en-GB"/>
              </w:rPr>
              <w:t>(c)</w:t>
            </w:r>
          </w:p>
        </w:tc>
        <w:tc>
          <w:tcPr>
            <w:tcW w:w="3402" w:type="dxa"/>
            <w:shd w:val="clear" w:color="auto" w:fill="auto"/>
            <w:tcMar>
              <w:top w:w="57" w:type="dxa"/>
              <w:left w:w="0" w:type="dxa"/>
              <w:bottom w:w="57" w:type="dxa"/>
              <w:right w:w="0" w:type="dxa"/>
            </w:tcMar>
            <w:vAlign w:val="bottom"/>
          </w:tcPr>
          <w:p w14:paraId="02704F2B" w14:textId="77777777" w:rsidR="008A766F" w:rsidRPr="008A766F" w:rsidRDefault="008A766F" w:rsidP="00615190">
            <w:pPr>
              <w:spacing w:line="240" w:lineRule="atLeast"/>
              <w:rPr>
                <w:rFonts w:ascii="Tahoma" w:hAnsi="Tahoma"/>
                <w:color w:val="000000" w:themeColor="text1"/>
                <w:sz w:val="16"/>
                <w:lang w:val="en-GB"/>
              </w:rPr>
            </w:pPr>
            <w:r w:rsidRPr="008A766F">
              <w:rPr>
                <w:rFonts w:ascii="Tahoma" w:hAnsi="Tahoma"/>
                <w:color w:val="000000" w:themeColor="text1"/>
                <w:sz w:val="16"/>
                <w:lang w:val="en-GB"/>
              </w:rPr>
              <w:t>Tencent Holdings Limited (Tencent)</w:t>
            </w:r>
          </w:p>
        </w:tc>
        <w:tc>
          <w:tcPr>
            <w:tcW w:w="1268" w:type="dxa"/>
            <w:tcBorders>
              <w:right w:val="single" w:sz="4" w:space="0" w:color="auto"/>
            </w:tcBorders>
            <w:shd w:val="clear" w:color="auto" w:fill="auto"/>
            <w:tcMar>
              <w:top w:w="57" w:type="dxa"/>
              <w:left w:w="0" w:type="dxa"/>
              <w:bottom w:w="57" w:type="dxa"/>
              <w:right w:w="0" w:type="dxa"/>
            </w:tcMar>
            <w:vAlign w:val="bottom"/>
          </w:tcPr>
          <w:p w14:paraId="2999D828" w14:textId="77777777" w:rsidR="008A766F" w:rsidRPr="008A766F" w:rsidRDefault="008A766F" w:rsidP="00615190">
            <w:pPr>
              <w:spacing w:line="240" w:lineRule="atLeast"/>
              <w:rPr>
                <w:rFonts w:ascii="Tahoma" w:hAnsi="Tahoma"/>
                <w:color w:val="000000" w:themeColor="text1"/>
                <w:sz w:val="16"/>
                <w:lang w:val="en-GB"/>
              </w:rPr>
            </w:pPr>
            <w:r w:rsidRPr="008A766F">
              <w:rPr>
                <w:rFonts w:ascii="Tahoma" w:hAnsi="Tahoma"/>
                <w:color w:val="000000" w:themeColor="text1"/>
                <w:sz w:val="16"/>
                <w:lang w:val="en-GB"/>
              </w:rPr>
              <w:t>Associate</w:t>
            </w:r>
          </w:p>
        </w:tc>
        <w:tc>
          <w:tcPr>
            <w:tcW w:w="1275" w:type="dxa"/>
            <w:tcBorders>
              <w:left w:val="single" w:sz="4" w:space="0" w:color="auto"/>
            </w:tcBorders>
            <w:shd w:val="clear" w:color="auto" w:fill="auto"/>
            <w:tcMar>
              <w:top w:w="57" w:type="dxa"/>
              <w:left w:w="0" w:type="dxa"/>
              <w:bottom w:w="57" w:type="dxa"/>
              <w:right w:w="0" w:type="dxa"/>
            </w:tcMar>
            <w:vAlign w:val="bottom"/>
          </w:tcPr>
          <w:p w14:paraId="0E0630AA" w14:textId="77777777" w:rsidR="008A766F" w:rsidRPr="008A766F" w:rsidRDefault="008A766F" w:rsidP="00FB30A6">
            <w:pPr>
              <w:spacing w:line="240" w:lineRule="atLeast"/>
              <w:jc w:val="right"/>
              <w:rPr>
                <w:rFonts w:ascii="Tahoma" w:hAnsi="Tahoma"/>
                <w:b/>
                <w:bCs/>
                <w:color w:val="000000" w:themeColor="text1"/>
                <w:sz w:val="16"/>
                <w:lang w:val="en-GB"/>
              </w:rPr>
            </w:pPr>
            <w:r w:rsidRPr="008A766F">
              <w:rPr>
                <w:rFonts w:ascii="Tahoma" w:hAnsi="Tahoma"/>
                <w:b/>
                <w:bCs/>
                <w:color w:val="000000" w:themeColor="text1"/>
                <w:sz w:val="16"/>
                <w:lang w:val="en-GB"/>
              </w:rPr>
              <w:t>(3 765)</w:t>
            </w:r>
          </w:p>
        </w:tc>
        <w:tc>
          <w:tcPr>
            <w:tcW w:w="1134" w:type="dxa"/>
            <w:shd w:val="clear" w:color="auto" w:fill="auto"/>
            <w:tcMar>
              <w:top w:w="57" w:type="dxa"/>
              <w:left w:w="0" w:type="dxa"/>
              <w:bottom w:w="57" w:type="dxa"/>
              <w:right w:w="0" w:type="dxa"/>
            </w:tcMar>
            <w:vAlign w:val="bottom"/>
          </w:tcPr>
          <w:p w14:paraId="1E8593E8" w14:textId="77777777" w:rsidR="008A766F" w:rsidRPr="008A766F" w:rsidRDefault="008A766F" w:rsidP="00FB30A6">
            <w:pPr>
              <w:spacing w:line="240" w:lineRule="atLeast"/>
              <w:jc w:val="right"/>
              <w:rPr>
                <w:rFonts w:ascii="Tahoma" w:hAnsi="Tahoma"/>
                <w:b/>
                <w:bCs/>
                <w:color w:val="000000" w:themeColor="text1"/>
                <w:sz w:val="16"/>
                <w:lang w:val="en-GB"/>
              </w:rPr>
            </w:pPr>
            <w:r w:rsidRPr="008A766F">
              <w:rPr>
                <w:rFonts w:ascii="Tahoma" w:hAnsi="Tahoma"/>
                <w:b/>
                <w:bCs/>
                <w:color w:val="000000" w:themeColor="text1"/>
                <w:sz w:val="16"/>
                <w:lang w:val="en-GB"/>
              </w:rPr>
              <w:t>(91)</w:t>
            </w:r>
          </w:p>
        </w:tc>
        <w:tc>
          <w:tcPr>
            <w:tcW w:w="1142" w:type="dxa"/>
            <w:shd w:val="clear" w:color="auto" w:fill="auto"/>
            <w:tcMar>
              <w:top w:w="57" w:type="dxa"/>
              <w:left w:w="0" w:type="dxa"/>
              <w:bottom w:w="57" w:type="dxa"/>
              <w:right w:w="0" w:type="dxa"/>
            </w:tcMar>
            <w:vAlign w:val="bottom"/>
          </w:tcPr>
          <w:p w14:paraId="0587F893" w14:textId="77777777" w:rsidR="008A766F" w:rsidRPr="008A766F" w:rsidRDefault="008A766F" w:rsidP="00FB30A6">
            <w:pPr>
              <w:spacing w:line="240" w:lineRule="atLeast"/>
              <w:jc w:val="right"/>
              <w:rPr>
                <w:rFonts w:ascii="Tahoma" w:hAnsi="Tahoma"/>
                <w:b/>
                <w:bCs/>
                <w:color w:val="000000" w:themeColor="text1"/>
                <w:sz w:val="16"/>
                <w:lang w:val="en-GB"/>
              </w:rPr>
            </w:pPr>
            <w:r w:rsidRPr="008A766F">
              <w:rPr>
                <w:rFonts w:ascii="Tahoma" w:hAnsi="Tahoma"/>
                <w:b/>
                <w:bCs/>
                <w:color w:val="000000" w:themeColor="text1"/>
                <w:sz w:val="16"/>
                <w:lang w:val="en-GB"/>
              </w:rPr>
              <w:t>—</w:t>
            </w:r>
          </w:p>
        </w:tc>
        <w:tc>
          <w:tcPr>
            <w:tcW w:w="1134" w:type="dxa"/>
            <w:gridSpan w:val="2"/>
            <w:tcBorders>
              <w:right w:val="single" w:sz="4" w:space="0" w:color="auto"/>
            </w:tcBorders>
            <w:shd w:val="clear" w:color="auto" w:fill="auto"/>
            <w:tcMar>
              <w:top w:w="57" w:type="dxa"/>
              <w:left w:w="0" w:type="dxa"/>
              <w:bottom w:w="57" w:type="dxa"/>
              <w:right w:w="0" w:type="dxa"/>
            </w:tcMar>
            <w:vAlign w:val="bottom"/>
          </w:tcPr>
          <w:p w14:paraId="4C57CD98" w14:textId="77777777" w:rsidR="008A766F" w:rsidRPr="008A766F" w:rsidRDefault="008A766F" w:rsidP="003C223F">
            <w:pPr>
              <w:spacing w:line="240" w:lineRule="atLeast"/>
              <w:ind w:right="113"/>
              <w:jc w:val="right"/>
              <w:rPr>
                <w:rFonts w:ascii="Tahoma" w:hAnsi="Tahoma"/>
                <w:b/>
                <w:bCs/>
                <w:color w:val="000000" w:themeColor="text1"/>
                <w:sz w:val="16"/>
                <w:lang w:val="en-GB"/>
              </w:rPr>
            </w:pPr>
            <w:r w:rsidRPr="008A766F">
              <w:rPr>
                <w:rFonts w:ascii="Tahoma" w:hAnsi="Tahoma"/>
                <w:b/>
                <w:bCs/>
                <w:color w:val="000000" w:themeColor="text1"/>
                <w:sz w:val="16"/>
                <w:lang w:val="en-GB"/>
              </w:rPr>
              <w:t>(3 856)</w:t>
            </w:r>
          </w:p>
        </w:tc>
      </w:tr>
      <w:tr w:rsidR="00615190" w:rsidRPr="008A766F" w14:paraId="39AEA672" w14:textId="77777777" w:rsidTr="002F078E">
        <w:trPr>
          <w:trHeight w:val="60"/>
        </w:trPr>
        <w:tc>
          <w:tcPr>
            <w:tcW w:w="397" w:type="dxa"/>
            <w:shd w:val="clear" w:color="auto" w:fill="auto"/>
            <w:tcMar>
              <w:top w:w="57" w:type="dxa"/>
              <w:left w:w="0" w:type="dxa"/>
              <w:bottom w:w="57" w:type="dxa"/>
              <w:right w:w="0" w:type="dxa"/>
            </w:tcMar>
            <w:vAlign w:val="bottom"/>
          </w:tcPr>
          <w:p w14:paraId="79F41334" w14:textId="77777777" w:rsidR="008A766F" w:rsidRPr="008A766F" w:rsidRDefault="008A766F" w:rsidP="00615190">
            <w:pPr>
              <w:spacing w:line="240" w:lineRule="atLeast"/>
              <w:rPr>
                <w:rFonts w:ascii="Tahoma" w:hAnsi="Tahoma"/>
                <w:color w:val="000000" w:themeColor="text1"/>
                <w:sz w:val="16"/>
                <w:lang w:val="en-GB"/>
              </w:rPr>
            </w:pPr>
          </w:p>
        </w:tc>
        <w:tc>
          <w:tcPr>
            <w:tcW w:w="462" w:type="dxa"/>
            <w:shd w:val="clear" w:color="auto" w:fill="auto"/>
            <w:tcMar>
              <w:top w:w="57" w:type="dxa"/>
              <w:left w:w="0" w:type="dxa"/>
              <w:bottom w:w="57" w:type="dxa"/>
              <w:right w:w="0" w:type="dxa"/>
            </w:tcMar>
            <w:vAlign w:val="bottom"/>
          </w:tcPr>
          <w:p w14:paraId="23919BC4" w14:textId="77777777" w:rsidR="008A766F" w:rsidRPr="008A766F" w:rsidRDefault="008A766F" w:rsidP="00615190">
            <w:pPr>
              <w:spacing w:line="240" w:lineRule="atLeast"/>
              <w:rPr>
                <w:rFonts w:ascii="Tahoma" w:hAnsi="Tahoma"/>
                <w:color w:val="000000" w:themeColor="text1"/>
                <w:sz w:val="16"/>
                <w:lang w:val="en-GB"/>
              </w:rPr>
            </w:pPr>
            <w:r w:rsidRPr="008A766F">
              <w:rPr>
                <w:rFonts w:ascii="Tahoma" w:hAnsi="Tahoma"/>
                <w:color w:val="000000" w:themeColor="text1"/>
                <w:sz w:val="16"/>
                <w:lang w:val="en-GB"/>
              </w:rPr>
              <w:t>(d)</w:t>
            </w:r>
          </w:p>
        </w:tc>
        <w:tc>
          <w:tcPr>
            <w:tcW w:w="3402" w:type="dxa"/>
            <w:shd w:val="clear" w:color="auto" w:fill="auto"/>
            <w:tcMar>
              <w:top w:w="57" w:type="dxa"/>
              <w:left w:w="0" w:type="dxa"/>
              <w:bottom w:w="57" w:type="dxa"/>
              <w:right w:w="0" w:type="dxa"/>
            </w:tcMar>
            <w:vAlign w:val="bottom"/>
          </w:tcPr>
          <w:p w14:paraId="24117B02" w14:textId="77777777" w:rsidR="008A766F" w:rsidRPr="008A766F" w:rsidRDefault="008A766F" w:rsidP="00615190">
            <w:pPr>
              <w:spacing w:line="240" w:lineRule="atLeast"/>
              <w:rPr>
                <w:rFonts w:ascii="Tahoma" w:hAnsi="Tahoma"/>
                <w:color w:val="000000" w:themeColor="text1"/>
                <w:sz w:val="16"/>
                <w:lang w:val="en-GB"/>
              </w:rPr>
            </w:pPr>
            <w:r w:rsidRPr="008A766F">
              <w:rPr>
                <w:rFonts w:ascii="Tahoma" w:hAnsi="Tahoma"/>
                <w:color w:val="000000" w:themeColor="text1"/>
                <w:sz w:val="16"/>
                <w:lang w:val="en-GB"/>
              </w:rPr>
              <w:t>Think &amp; Learn Private Limited (BYJU’S)</w:t>
            </w:r>
          </w:p>
        </w:tc>
        <w:tc>
          <w:tcPr>
            <w:tcW w:w="1268" w:type="dxa"/>
            <w:tcBorders>
              <w:right w:val="single" w:sz="4" w:space="0" w:color="auto"/>
            </w:tcBorders>
            <w:shd w:val="clear" w:color="auto" w:fill="auto"/>
            <w:tcMar>
              <w:top w:w="57" w:type="dxa"/>
              <w:left w:w="0" w:type="dxa"/>
              <w:bottom w:w="57" w:type="dxa"/>
              <w:right w:w="0" w:type="dxa"/>
            </w:tcMar>
            <w:vAlign w:val="bottom"/>
          </w:tcPr>
          <w:p w14:paraId="4DA8B62C" w14:textId="77777777" w:rsidR="008A766F" w:rsidRPr="008A766F" w:rsidRDefault="008A766F" w:rsidP="00615190">
            <w:pPr>
              <w:spacing w:line="240" w:lineRule="atLeast"/>
              <w:rPr>
                <w:rFonts w:ascii="Tahoma" w:hAnsi="Tahoma"/>
                <w:color w:val="000000" w:themeColor="text1"/>
                <w:sz w:val="16"/>
                <w:lang w:val="en-GB"/>
              </w:rPr>
            </w:pPr>
            <w:r w:rsidRPr="008A766F">
              <w:rPr>
                <w:rFonts w:ascii="Tahoma" w:hAnsi="Tahoma"/>
                <w:color w:val="000000" w:themeColor="text1"/>
                <w:sz w:val="16"/>
                <w:lang w:val="en-GB"/>
              </w:rPr>
              <w:t>Associate</w:t>
            </w:r>
          </w:p>
        </w:tc>
        <w:tc>
          <w:tcPr>
            <w:tcW w:w="1275" w:type="dxa"/>
            <w:tcBorders>
              <w:left w:val="single" w:sz="4" w:space="0" w:color="auto"/>
            </w:tcBorders>
            <w:shd w:val="clear" w:color="auto" w:fill="auto"/>
            <w:tcMar>
              <w:top w:w="57" w:type="dxa"/>
              <w:left w:w="0" w:type="dxa"/>
              <w:bottom w:w="57" w:type="dxa"/>
              <w:right w:w="0" w:type="dxa"/>
            </w:tcMar>
            <w:vAlign w:val="bottom"/>
          </w:tcPr>
          <w:p w14:paraId="5C618389" w14:textId="77777777" w:rsidR="008A766F" w:rsidRPr="008A766F" w:rsidRDefault="008A766F" w:rsidP="00FB30A6">
            <w:pPr>
              <w:spacing w:line="240" w:lineRule="atLeast"/>
              <w:jc w:val="right"/>
              <w:rPr>
                <w:rFonts w:ascii="Tahoma" w:hAnsi="Tahoma"/>
                <w:b/>
                <w:bCs/>
                <w:color w:val="000000" w:themeColor="text1"/>
                <w:sz w:val="16"/>
                <w:lang w:val="en-GB"/>
              </w:rPr>
            </w:pPr>
            <w:r w:rsidRPr="008A766F">
              <w:rPr>
                <w:rFonts w:ascii="Tahoma" w:hAnsi="Tahoma"/>
                <w:b/>
                <w:bCs/>
                <w:color w:val="000000" w:themeColor="text1"/>
                <w:sz w:val="16"/>
                <w:lang w:val="en-GB"/>
              </w:rPr>
              <w:t>—</w:t>
            </w:r>
          </w:p>
        </w:tc>
        <w:tc>
          <w:tcPr>
            <w:tcW w:w="1134" w:type="dxa"/>
            <w:shd w:val="clear" w:color="auto" w:fill="auto"/>
            <w:tcMar>
              <w:top w:w="57" w:type="dxa"/>
              <w:left w:w="0" w:type="dxa"/>
              <w:bottom w:w="57" w:type="dxa"/>
              <w:right w:w="0" w:type="dxa"/>
            </w:tcMar>
            <w:vAlign w:val="bottom"/>
          </w:tcPr>
          <w:p w14:paraId="23FFF889" w14:textId="77777777" w:rsidR="008A766F" w:rsidRPr="008A766F" w:rsidRDefault="008A766F" w:rsidP="00FB30A6">
            <w:pPr>
              <w:spacing w:line="240" w:lineRule="atLeast"/>
              <w:jc w:val="right"/>
              <w:rPr>
                <w:rFonts w:ascii="Tahoma" w:hAnsi="Tahoma"/>
                <w:b/>
                <w:bCs/>
                <w:color w:val="000000" w:themeColor="text1"/>
                <w:sz w:val="16"/>
                <w:lang w:val="en-GB"/>
              </w:rPr>
            </w:pPr>
            <w:r w:rsidRPr="008A766F">
              <w:rPr>
                <w:rFonts w:ascii="Tahoma" w:hAnsi="Tahoma"/>
                <w:b/>
                <w:bCs/>
                <w:color w:val="000000" w:themeColor="text1"/>
                <w:sz w:val="16"/>
                <w:lang w:val="en-GB"/>
              </w:rPr>
              <w:t>(578)</w:t>
            </w:r>
          </w:p>
        </w:tc>
        <w:tc>
          <w:tcPr>
            <w:tcW w:w="1142" w:type="dxa"/>
            <w:shd w:val="clear" w:color="auto" w:fill="auto"/>
            <w:tcMar>
              <w:top w:w="57" w:type="dxa"/>
              <w:left w:w="0" w:type="dxa"/>
              <w:bottom w:w="57" w:type="dxa"/>
              <w:right w:w="0" w:type="dxa"/>
            </w:tcMar>
            <w:vAlign w:val="bottom"/>
          </w:tcPr>
          <w:p w14:paraId="2DEE6A79" w14:textId="77777777" w:rsidR="008A766F" w:rsidRPr="008A766F" w:rsidRDefault="008A766F" w:rsidP="00FB30A6">
            <w:pPr>
              <w:spacing w:line="240" w:lineRule="atLeast"/>
              <w:jc w:val="right"/>
              <w:rPr>
                <w:rFonts w:ascii="Tahoma" w:hAnsi="Tahoma"/>
                <w:b/>
                <w:bCs/>
                <w:color w:val="000000" w:themeColor="text1"/>
                <w:sz w:val="16"/>
                <w:lang w:val="en-GB"/>
              </w:rPr>
            </w:pPr>
            <w:r w:rsidRPr="008A766F">
              <w:rPr>
                <w:rFonts w:ascii="Tahoma" w:hAnsi="Tahoma"/>
                <w:b/>
                <w:bCs/>
                <w:color w:val="000000" w:themeColor="text1"/>
                <w:sz w:val="16"/>
                <w:lang w:val="en-GB"/>
              </w:rPr>
              <w:t>—</w:t>
            </w:r>
          </w:p>
        </w:tc>
        <w:tc>
          <w:tcPr>
            <w:tcW w:w="1134" w:type="dxa"/>
            <w:gridSpan w:val="2"/>
            <w:tcBorders>
              <w:right w:val="single" w:sz="4" w:space="0" w:color="auto"/>
            </w:tcBorders>
            <w:shd w:val="clear" w:color="auto" w:fill="auto"/>
            <w:tcMar>
              <w:top w:w="57" w:type="dxa"/>
              <w:left w:w="0" w:type="dxa"/>
              <w:bottom w:w="57" w:type="dxa"/>
              <w:right w:w="0" w:type="dxa"/>
            </w:tcMar>
            <w:vAlign w:val="bottom"/>
          </w:tcPr>
          <w:p w14:paraId="2E778178" w14:textId="77777777" w:rsidR="008A766F" w:rsidRPr="008A766F" w:rsidRDefault="008A766F" w:rsidP="003C223F">
            <w:pPr>
              <w:spacing w:line="240" w:lineRule="atLeast"/>
              <w:ind w:right="113"/>
              <w:jc w:val="right"/>
              <w:rPr>
                <w:rFonts w:ascii="Tahoma" w:hAnsi="Tahoma"/>
                <w:b/>
                <w:bCs/>
                <w:color w:val="000000" w:themeColor="text1"/>
                <w:sz w:val="16"/>
                <w:lang w:val="en-GB"/>
              </w:rPr>
            </w:pPr>
            <w:r w:rsidRPr="008A766F">
              <w:rPr>
                <w:rFonts w:ascii="Tahoma" w:hAnsi="Tahoma"/>
                <w:b/>
                <w:bCs/>
                <w:color w:val="000000" w:themeColor="text1"/>
                <w:sz w:val="16"/>
                <w:lang w:val="en-GB"/>
              </w:rPr>
              <w:t>(578)</w:t>
            </w:r>
          </w:p>
        </w:tc>
      </w:tr>
      <w:tr w:rsidR="00615190" w:rsidRPr="008A766F" w14:paraId="2183539D" w14:textId="77777777" w:rsidTr="002F078E">
        <w:trPr>
          <w:trHeight w:val="60"/>
        </w:trPr>
        <w:tc>
          <w:tcPr>
            <w:tcW w:w="397" w:type="dxa"/>
            <w:shd w:val="clear" w:color="auto" w:fill="auto"/>
            <w:tcMar>
              <w:top w:w="57" w:type="dxa"/>
              <w:left w:w="0" w:type="dxa"/>
              <w:bottom w:w="57" w:type="dxa"/>
              <w:right w:w="0" w:type="dxa"/>
            </w:tcMar>
            <w:vAlign w:val="bottom"/>
          </w:tcPr>
          <w:p w14:paraId="7C3432AF" w14:textId="77777777" w:rsidR="008A766F" w:rsidRPr="008A766F" w:rsidRDefault="008A766F" w:rsidP="00615190">
            <w:pPr>
              <w:spacing w:line="240" w:lineRule="atLeast"/>
              <w:rPr>
                <w:rFonts w:ascii="Tahoma" w:hAnsi="Tahoma"/>
                <w:color w:val="000000" w:themeColor="text1"/>
                <w:sz w:val="16"/>
                <w:lang w:val="en-GB"/>
              </w:rPr>
            </w:pPr>
          </w:p>
        </w:tc>
        <w:tc>
          <w:tcPr>
            <w:tcW w:w="462" w:type="dxa"/>
            <w:shd w:val="clear" w:color="auto" w:fill="auto"/>
            <w:tcMar>
              <w:top w:w="57" w:type="dxa"/>
              <w:left w:w="0" w:type="dxa"/>
              <w:bottom w:w="57" w:type="dxa"/>
              <w:right w:w="0" w:type="dxa"/>
            </w:tcMar>
            <w:vAlign w:val="bottom"/>
          </w:tcPr>
          <w:p w14:paraId="79896A84" w14:textId="77777777" w:rsidR="008A766F" w:rsidRPr="008A766F" w:rsidRDefault="008A766F" w:rsidP="00615190">
            <w:pPr>
              <w:spacing w:line="240" w:lineRule="atLeast"/>
              <w:rPr>
                <w:rFonts w:ascii="Tahoma" w:hAnsi="Tahoma"/>
                <w:color w:val="000000" w:themeColor="text1"/>
                <w:sz w:val="16"/>
                <w:lang w:val="en-GB"/>
              </w:rPr>
            </w:pPr>
            <w:r w:rsidRPr="008A766F">
              <w:rPr>
                <w:rFonts w:ascii="Tahoma" w:hAnsi="Tahoma"/>
                <w:color w:val="000000" w:themeColor="text1"/>
                <w:sz w:val="16"/>
                <w:lang w:val="en-GB"/>
              </w:rPr>
              <w:t>(e)</w:t>
            </w:r>
          </w:p>
        </w:tc>
        <w:tc>
          <w:tcPr>
            <w:tcW w:w="3402" w:type="dxa"/>
            <w:shd w:val="clear" w:color="auto" w:fill="auto"/>
            <w:tcMar>
              <w:top w:w="57" w:type="dxa"/>
              <w:left w:w="0" w:type="dxa"/>
              <w:bottom w:w="57" w:type="dxa"/>
              <w:right w:w="0" w:type="dxa"/>
            </w:tcMar>
            <w:vAlign w:val="bottom"/>
          </w:tcPr>
          <w:p w14:paraId="27C84F67" w14:textId="77777777" w:rsidR="008A766F" w:rsidRPr="008A766F" w:rsidRDefault="008A766F" w:rsidP="00615190">
            <w:pPr>
              <w:spacing w:line="240" w:lineRule="atLeast"/>
              <w:rPr>
                <w:rFonts w:ascii="Tahoma" w:hAnsi="Tahoma"/>
                <w:color w:val="000000" w:themeColor="text1"/>
                <w:sz w:val="16"/>
                <w:lang w:val="en-GB"/>
              </w:rPr>
            </w:pPr>
            <w:r w:rsidRPr="008A766F">
              <w:rPr>
                <w:rFonts w:ascii="Tahoma" w:hAnsi="Tahoma"/>
                <w:color w:val="000000" w:themeColor="text1"/>
                <w:sz w:val="16"/>
                <w:lang w:val="en-GB"/>
              </w:rPr>
              <w:t>Udemy Inc. (Udemy)</w:t>
            </w:r>
          </w:p>
        </w:tc>
        <w:tc>
          <w:tcPr>
            <w:tcW w:w="1268" w:type="dxa"/>
            <w:tcBorders>
              <w:right w:val="single" w:sz="4" w:space="0" w:color="auto"/>
            </w:tcBorders>
            <w:shd w:val="clear" w:color="auto" w:fill="auto"/>
            <w:tcMar>
              <w:top w:w="57" w:type="dxa"/>
              <w:left w:w="0" w:type="dxa"/>
              <w:bottom w:w="57" w:type="dxa"/>
              <w:right w:w="0" w:type="dxa"/>
            </w:tcMar>
            <w:vAlign w:val="bottom"/>
          </w:tcPr>
          <w:p w14:paraId="4A9AE93A" w14:textId="77777777" w:rsidR="008A766F" w:rsidRPr="008A766F" w:rsidRDefault="008A766F" w:rsidP="00615190">
            <w:pPr>
              <w:spacing w:line="240" w:lineRule="atLeast"/>
              <w:rPr>
                <w:rFonts w:ascii="Tahoma" w:hAnsi="Tahoma"/>
                <w:color w:val="000000" w:themeColor="text1"/>
                <w:sz w:val="16"/>
                <w:lang w:val="en-GB"/>
              </w:rPr>
            </w:pPr>
            <w:r w:rsidRPr="008A766F">
              <w:rPr>
                <w:rFonts w:ascii="Tahoma" w:hAnsi="Tahoma"/>
                <w:color w:val="000000" w:themeColor="text1"/>
                <w:sz w:val="16"/>
                <w:lang w:val="en-GB"/>
              </w:rPr>
              <w:t>Associate</w:t>
            </w:r>
          </w:p>
        </w:tc>
        <w:tc>
          <w:tcPr>
            <w:tcW w:w="1275" w:type="dxa"/>
            <w:tcBorders>
              <w:left w:val="single" w:sz="4" w:space="0" w:color="auto"/>
            </w:tcBorders>
            <w:shd w:val="clear" w:color="auto" w:fill="auto"/>
            <w:tcMar>
              <w:top w:w="57" w:type="dxa"/>
              <w:left w:w="0" w:type="dxa"/>
              <w:bottom w:w="57" w:type="dxa"/>
              <w:right w:w="0" w:type="dxa"/>
            </w:tcMar>
            <w:vAlign w:val="bottom"/>
          </w:tcPr>
          <w:p w14:paraId="33F22280" w14:textId="77777777" w:rsidR="008A766F" w:rsidRPr="008A766F" w:rsidRDefault="008A766F" w:rsidP="00FB30A6">
            <w:pPr>
              <w:spacing w:line="240" w:lineRule="atLeast"/>
              <w:jc w:val="right"/>
              <w:rPr>
                <w:rFonts w:ascii="Tahoma" w:hAnsi="Tahoma"/>
                <w:b/>
                <w:bCs/>
                <w:color w:val="000000" w:themeColor="text1"/>
                <w:sz w:val="16"/>
                <w:lang w:val="en-GB"/>
              </w:rPr>
            </w:pPr>
            <w:r w:rsidRPr="008A766F">
              <w:rPr>
                <w:rFonts w:ascii="Tahoma" w:hAnsi="Tahoma"/>
                <w:b/>
                <w:bCs/>
                <w:color w:val="000000" w:themeColor="text1"/>
                <w:sz w:val="16"/>
                <w:lang w:val="en-GB"/>
              </w:rPr>
              <w:t>—</w:t>
            </w:r>
          </w:p>
        </w:tc>
        <w:tc>
          <w:tcPr>
            <w:tcW w:w="1134" w:type="dxa"/>
            <w:shd w:val="clear" w:color="auto" w:fill="auto"/>
            <w:tcMar>
              <w:top w:w="57" w:type="dxa"/>
              <w:left w:w="0" w:type="dxa"/>
              <w:bottom w:w="57" w:type="dxa"/>
              <w:right w:w="0" w:type="dxa"/>
            </w:tcMar>
            <w:vAlign w:val="bottom"/>
          </w:tcPr>
          <w:p w14:paraId="6B224677" w14:textId="77777777" w:rsidR="008A766F" w:rsidRPr="008A766F" w:rsidRDefault="008A766F" w:rsidP="00FB30A6">
            <w:pPr>
              <w:spacing w:line="240" w:lineRule="atLeast"/>
              <w:jc w:val="right"/>
              <w:rPr>
                <w:rFonts w:ascii="Tahoma" w:hAnsi="Tahoma"/>
                <w:b/>
                <w:bCs/>
                <w:color w:val="000000" w:themeColor="text1"/>
                <w:sz w:val="16"/>
                <w:lang w:val="en-GB"/>
              </w:rPr>
            </w:pPr>
            <w:r w:rsidRPr="008A766F">
              <w:rPr>
                <w:rFonts w:ascii="Tahoma" w:hAnsi="Tahoma"/>
                <w:b/>
                <w:bCs/>
                <w:color w:val="000000" w:themeColor="text1"/>
                <w:sz w:val="16"/>
                <w:lang w:val="en-GB"/>
              </w:rPr>
              <w:t>(207)</w:t>
            </w:r>
          </w:p>
        </w:tc>
        <w:tc>
          <w:tcPr>
            <w:tcW w:w="1142" w:type="dxa"/>
            <w:shd w:val="clear" w:color="auto" w:fill="auto"/>
            <w:tcMar>
              <w:top w:w="57" w:type="dxa"/>
              <w:left w:w="0" w:type="dxa"/>
              <w:bottom w:w="57" w:type="dxa"/>
              <w:right w:w="0" w:type="dxa"/>
            </w:tcMar>
            <w:vAlign w:val="bottom"/>
          </w:tcPr>
          <w:p w14:paraId="1CF62564" w14:textId="77777777" w:rsidR="008A766F" w:rsidRPr="008A766F" w:rsidRDefault="008A766F" w:rsidP="00FB30A6">
            <w:pPr>
              <w:spacing w:line="240" w:lineRule="atLeast"/>
              <w:jc w:val="right"/>
              <w:rPr>
                <w:rFonts w:ascii="Tahoma" w:hAnsi="Tahoma"/>
                <w:b/>
                <w:bCs/>
                <w:color w:val="000000" w:themeColor="text1"/>
                <w:sz w:val="16"/>
                <w:lang w:val="en-GB"/>
              </w:rPr>
            </w:pPr>
            <w:r w:rsidRPr="008A766F">
              <w:rPr>
                <w:rFonts w:ascii="Tahoma" w:hAnsi="Tahoma"/>
                <w:b/>
                <w:bCs/>
                <w:color w:val="000000" w:themeColor="text1"/>
                <w:sz w:val="16"/>
                <w:lang w:val="en-GB"/>
              </w:rPr>
              <w:t>—</w:t>
            </w:r>
          </w:p>
        </w:tc>
        <w:tc>
          <w:tcPr>
            <w:tcW w:w="1134" w:type="dxa"/>
            <w:gridSpan w:val="2"/>
            <w:tcBorders>
              <w:right w:val="single" w:sz="4" w:space="0" w:color="auto"/>
            </w:tcBorders>
            <w:shd w:val="clear" w:color="auto" w:fill="auto"/>
            <w:tcMar>
              <w:top w:w="57" w:type="dxa"/>
              <w:left w:w="0" w:type="dxa"/>
              <w:bottom w:w="57" w:type="dxa"/>
              <w:right w:w="0" w:type="dxa"/>
            </w:tcMar>
            <w:vAlign w:val="bottom"/>
          </w:tcPr>
          <w:p w14:paraId="2A051F02" w14:textId="77777777" w:rsidR="008A766F" w:rsidRPr="008A766F" w:rsidRDefault="008A766F" w:rsidP="003C223F">
            <w:pPr>
              <w:spacing w:line="240" w:lineRule="atLeast"/>
              <w:ind w:right="113"/>
              <w:jc w:val="right"/>
              <w:rPr>
                <w:rFonts w:ascii="Tahoma" w:hAnsi="Tahoma"/>
                <w:b/>
                <w:bCs/>
                <w:color w:val="000000" w:themeColor="text1"/>
                <w:sz w:val="16"/>
                <w:lang w:val="en-GB"/>
              </w:rPr>
            </w:pPr>
            <w:r w:rsidRPr="008A766F">
              <w:rPr>
                <w:rFonts w:ascii="Tahoma" w:hAnsi="Tahoma"/>
                <w:b/>
                <w:bCs/>
                <w:color w:val="000000" w:themeColor="text1"/>
                <w:sz w:val="16"/>
                <w:lang w:val="en-GB"/>
              </w:rPr>
              <w:t>(207)</w:t>
            </w:r>
          </w:p>
        </w:tc>
      </w:tr>
      <w:tr w:rsidR="00AC73C8" w:rsidRPr="008A766F" w14:paraId="0660F12F" w14:textId="77777777" w:rsidTr="002F078E">
        <w:trPr>
          <w:trHeight w:val="60"/>
        </w:trPr>
        <w:tc>
          <w:tcPr>
            <w:tcW w:w="397" w:type="dxa"/>
            <w:shd w:val="clear" w:color="auto" w:fill="auto"/>
            <w:tcMar>
              <w:top w:w="57" w:type="dxa"/>
              <w:left w:w="0" w:type="dxa"/>
              <w:bottom w:w="57" w:type="dxa"/>
              <w:right w:w="0" w:type="dxa"/>
            </w:tcMar>
            <w:vAlign w:val="bottom"/>
          </w:tcPr>
          <w:p w14:paraId="462B773D" w14:textId="77777777" w:rsidR="008A766F" w:rsidRPr="008A766F" w:rsidRDefault="008A766F" w:rsidP="00615190">
            <w:pPr>
              <w:spacing w:line="240" w:lineRule="atLeast"/>
              <w:rPr>
                <w:rFonts w:ascii="Tahoma" w:hAnsi="Tahoma"/>
                <w:color w:val="000000" w:themeColor="text1"/>
                <w:sz w:val="16"/>
                <w:lang w:val="en-GB"/>
              </w:rPr>
            </w:pPr>
          </w:p>
        </w:tc>
        <w:tc>
          <w:tcPr>
            <w:tcW w:w="462" w:type="dxa"/>
            <w:shd w:val="clear" w:color="auto" w:fill="auto"/>
            <w:tcMar>
              <w:top w:w="57" w:type="dxa"/>
              <w:left w:w="0" w:type="dxa"/>
              <w:bottom w:w="57" w:type="dxa"/>
              <w:right w:w="0" w:type="dxa"/>
            </w:tcMar>
            <w:vAlign w:val="bottom"/>
          </w:tcPr>
          <w:p w14:paraId="0C8A4AC3" w14:textId="77777777" w:rsidR="008A766F" w:rsidRPr="008A766F" w:rsidRDefault="008A766F" w:rsidP="00615190">
            <w:pPr>
              <w:spacing w:line="240" w:lineRule="atLeast"/>
              <w:rPr>
                <w:rFonts w:ascii="Tahoma" w:hAnsi="Tahoma"/>
                <w:color w:val="000000" w:themeColor="text1"/>
                <w:sz w:val="16"/>
                <w:lang w:val="en-GB"/>
              </w:rPr>
            </w:pPr>
          </w:p>
        </w:tc>
        <w:tc>
          <w:tcPr>
            <w:tcW w:w="3402" w:type="dxa"/>
            <w:shd w:val="clear" w:color="auto" w:fill="auto"/>
            <w:tcMar>
              <w:top w:w="57" w:type="dxa"/>
              <w:left w:w="0" w:type="dxa"/>
              <w:bottom w:w="57" w:type="dxa"/>
              <w:right w:w="0" w:type="dxa"/>
            </w:tcMar>
            <w:vAlign w:val="bottom"/>
          </w:tcPr>
          <w:p w14:paraId="3062C806" w14:textId="77777777" w:rsidR="008A766F" w:rsidRPr="008A766F" w:rsidRDefault="008A766F" w:rsidP="00615190">
            <w:pPr>
              <w:spacing w:line="240" w:lineRule="atLeast"/>
              <w:rPr>
                <w:rFonts w:ascii="Tahoma" w:hAnsi="Tahoma"/>
                <w:color w:val="000000" w:themeColor="text1"/>
                <w:sz w:val="16"/>
                <w:lang w:val="en-GB"/>
              </w:rPr>
            </w:pPr>
            <w:r w:rsidRPr="008A766F">
              <w:rPr>
                <w:rFonts w:ascii="Tahoma" w:hAnsi="Tahoma"/>
                <w:color w:val="000000" w:themeColor="text1"/>
                <w:sz w:val="16"/>
                <w:lang w:val="en-GB"/>
              </w:rPr>
              <w:t>Other</w:t>
            </w:r>
            <w:r w:rsidRPr="008A766F">
              <w:rPr>
                <w:rFonts w:ascii="Tahoma" w:hAnsi="Tahoma"/>
                <w:color w:val="000000" w:themeColor="text1"/>
                <w:sz w:val="16"/>
                <w:vertAlign w:val="superscript"/>
                <w:lang w:val="en-GB"/>
              </w:rPr>
              <w:t>1</w:t>
            </w:r>
          </w:p>
        </w:tc>
        <w:tc>
          <w:tcPr>
            <w:tcW w:w="1268" w:type="dxa"/>
            <w:tcBorders>
              <w:right w:val="single" w:sz="4" w:space="0" w:color="auto"/>
            </w:tcBorders>
            <w:shd w:val="clear" w:color="auto" w:fill="auto"/>
            <w:tcMar>
              <w:top w:w="57" w:type="dxa"/>
              <w:left w:w="0" w:type="dxa"/>
              <w:bottom w:w="57" w:type="dxa"/>
              <w:right w:w="0" w:type="dxa"/>
            </w:tcMar>
            <w:vAlign w:val="bottom"/>
          </w:tcPr>
          <w:p w14:paraId="58A055F6" w14:textId="77777777" w:rsidR="008A766F" w:rsidRPr="008A766F" w:rsidRDefault="008A766F" w:rsidP="00615190">
            <w:pPr>
              <w:spacing w:line="240" w:lineRule="atLeast"/>
              <w:rPr>
                <w:rFonts w:ascii="Tahoma" w:hAnsi="Tahoma"/>
                <w:color w:val="000000" w:themeColor="text1"/>
                <w:sz w:val="16"/>
                <w:lang w:val="en-GB"/>
              </w:rPr>
            </w:pPr>
          </w:p>
        </w:tc>
        <w:tc>
          <w:tcPr>
            <w:tcW w:w="1275" w:type="dxa"/>
            <w:tcBorders>
              <w:left w:val="single" w:sz="4" w:space="0" w:color="auto"/>
              <w:bottom w:val="single" w:sz="4" w:space="0" w:color="auto"/>
            </w:tcBorders>
            <w:shd w:val="clear" w:color="auto" w:fill="auto"/>
            <w:tcMar>
              <w:top w:w="57" w:type="dxa"/>
              <w:left w:w="0" w:type="dxa"/>
              <w:bottom w:w="57" w:type="dxa"/>
              <w:right w:w="0" w:type="dxa"/>
            </w:tcMar>
            <w:vAlign w:val="bottom"/>
          </w:tcPr>
          <w:p w14:paraId="1A0E98A9" w14:textId="77777777" w:rsidR="008A766F" w:rsidRPr="008A766F" w:rsidRDefault="008A766F" w:rsidP="00FB30A6">
            <w:pPr>
              <w:spacing w:line="240" w:lineRule="atLeast"/>
              <w:jc w:val="right"/>
              <w:rPr>
                <w:rFonts w:ascii="Tahoma" w:hAnsi="Tahoma"/>
                <w:b/>
                <w:bCs/>
                <w:color w:val="000000" w:themeColor="text1"/>
                <w:sz w:val="16"/>
                <w:lang w:val="en-GB"/>
              </w:rPr>
            </w:pPr>
            <w:r w:rsidRPr="008A766F">
              <w:rPr>
                <w:rFonts w:ascii="Tahoma" w:hAnsi="Tahoma"/>
                <w:b/>
                <w:bCs/>
                <w:color w:val="000000" w:themeColor="text1"/>
                <w:sz w:val="16"/>
                <w:lang w:val="en-GB"/>
              </w:rPr>
              <w:t>(15)</w:t>
            </w:r>
          </w:p>
        </w:tc>
        <w:tc>
          <w:tcPr>
            <w:tcW w:w="1134" w:type="dxa"/>
            <w:tcBorders>
              <w:bottom w:val="single" w:sz="4" w:space="0" w:color="auto"/>
            </w:tcBorders>
            <w:shd w:val="clear" w:color="auto" w:fill="auto"/>
            <w:tcMar>
              <w:top w:w="57" w:type="dxa"/>
              <w:left w:w="0" w:type="dxa"/>
              <w:bottom w:w="57" w:type="dxa"/>
              <w:right w:w="0" w:type="dxa"/>
            </w:tcMar>
            <w:vAlign w:val="bottom"/>
          </w:tcPr>
          <w:p w14:paraId="3D033A26" w14:textId="77777777" w:rsidR="008A766F" w:rsidRPr="008A766F" w:rsidRDefault="008A766F" w:rsidP="00FB30A6">
            <w:pPr>
              <w:spacing w:line="240" w:lineRule="atLeast"/>
              <w:jc w:val="right"/>
              <w:rPr>
                <w:rFonts w:ascii="Tahoma" w:hAnsi="Tahoma"/>
                <w:b/>
                <w:bCs/>
                <w:color w:val="000000" w:themeColor="text1"/>
                <w:sz w:val="16"/>
                <w:lang w:val="en-GB"/>
              </w:rPr>
            </w:pPr>
            <w:r w:rsidRPr="008A766F">
              <w:rPr>
                <w:rFonts w:ascii="Tahoma" w:hAnsi="Tahoma"/>
                <w:b/>
                <w:bCs/>
                <w:color w:val="000000" w:themeColor="text1"/>
                <w:sz w:val="16"/>
                <w:lang w:val="en-GB"/>
              </w:rPr>
              <w:t>—</w:t>
            </w:r>
          </w:p>
        </w:tc>
        <w:tc>
          <w:tcPr>
            <w:tcW w:w="1142" w:type="dxa"/>
            <w:tcBorders>
              <w:bottom w:val="single" w:sz="4" w:space="0" w:color="auto"/>
            </w:tcBorders>
            <w:shd w:val="clear" w:color="auto" w:fill="auto"/>
            <w:tcMar>
              <w:top w:w="57" w:type="dxa"/>
              <w:left w:w="0" w:type="dxa"/>
              <w:bottom w:w="57" w:type="dxa"/>
              <w:right w:w="0" w:type="dxa"/>
            </w:tcMar>
            <w:vAlign w:val="bottom"/>
          </w:tcPr>
          <w:p w14:paraId="3FDAAAD5" w14:textId="77777777" w:rsidR="008A766F" w:rsidRPr="008A766F" w:rsidRDefault="008A766F" w:rsidP="00FB30A6">
            <w:pPr>
              <w:spacing w:line="240" w:lineRule="atLeast"/>
              <w:jc w:val="right"/>
              <w:rPr>
                <w:rFonts w:ascii="Tahoma" w:hAnsi="Tahoma"/>
                <w:b/>
                <w:bCs/>
                <w:color w:val="000000" w:themeColor="text1"/>
                <w:sz w:val="16"/>
                <w:lang w:val="en-GB"/>
              </w:rPr>
            </w:pPr>
            <w:r w:rsidRPr="008A766F">
              <w:rPr>
                <w:rFonts w:ascii="Tahoma" w:hAnsi="Tahoma"/>
                <w:b/>
                <w:bCs/>
                <w:color w:val="000000" w:themeColor="text1"/>
                <w:sz w:val="16"/>
                <w:lang w:val="en-GB"/>
              </w:rPr>
              <w:t>—</w:t>
            </w:r>
          </w:p>
        </w:tc>
        <w:tc>
          <w:tcPr>
            <w:tcW w:w="1134" w:type="dxa"/>
            <w:gridSpan w:val="2"/>
            <w:tcBorders>
              <w:bottom w:val="single" w:sz="4" w:space="0" w:color="auto"/>
              <w:right w:val="single" w:sz="4" w:space="0" w:color="auto"/>
            </w:tcBorders>
            <w:shd w:val="clear" w:color="auto" w:fill="auto"/>
            <w:tcMar>
              <w:top w:w="57" w:type="dxa"/>
              <w:left w:w="0" w:type="dxa"/>
              <w:bottom w:w="57" w:type="dxa"/>
              <w:right w:w="0" w:type="dxa"/>
            </w:tcMar>
            <w:vAlign w:val="bottom"/>
          </w:tcPr>
          <w:p w14:paraId="42D87DDA" w14:textId="77777777" w:rsidR="008A766F" w:rsidRPr="008A766F" w:rsidRDefault="008A766F" w:rsidP="003C223F">
            <w:pPr>
              <w:spacing w:line="240" w:lineRule="atLeast"/>
              <w:ind w:right="113"/>
              <w:jc w:val="right"/>
              <w:rPr>
                <w:rFonts w:ascii="Tahoma" w:hAnsi="Tahoma"/>
                <w:b/>
                <w:bCs/>
                <w:color w:val="000000" w:themeColor="text1"/>
                <w:sz w:val="16"/>
                <w:lang w:val="en-GB"/>
              </w:rPr>
            </w:pPr>
            <w:r w:rsidRPr="008A766F">
              <w:rPr>
                <w:rFonts w:ascii="Tahoma" w:hAnsi="Tahoma"/>
                <w:b/>
                <w:bCs/>
                <w:color w:val="000000" w:themeColor="text1"/>
                <w:sz w:val="16"/>
                <w:lang w:val="en-GB"/>
              </w:rPr>
              <w:t>(15)</w:t>
            </w:r>
          </w:p>
        </w:tc>
      </w:tr>
      <w:tr w:rsidR="00AC73C8" w:rsidRPr="008A766F" w14:paraId="7CFA7309" w14:textId="77777777" w:rsidTr="002F078E">
        <w:trPr>
          <w:trHeight w:hRule="exact" w:val="85"/>
        </w:trPr>
        <w:tc>
          <w:tcPr>
            <w:tcW w:w="397" w:type="dxa"/>
            <w:shd w:val="clear" w:color="auto" w:fill="auto"/>
            <w:tcMar>
              <w:top w:w="57" w:type="dxa"/>
              <w:left w:w="0" w:type="dxa"/>
              <w:bottom w:w="85" w:type="dxa"/>
              <w:right w:w="0" w:type="dxa"/>
            </w:tcMar>
            <w:vAlign w:val="bottom"/>
          </w:tcPr>
          <w:p w14:paraId="50115B82" w14:textId="77777777" w:rsidR="008A766F" w:rsidRPr="008A766F" w:rsidRDefault="008A766F" w:rsidP="00615190">
            <w:pPr>
              <w:spacing w:line="240" w:lineRule="atLeast"/>
              <w:rPr>
                <w:rFonts w:ascii="Tahoma" w:hAnsi="Tahoma"/>
                <w:color w:val="000000" w:themeColor="text1"/>
                <w:sz w:val="16"/>
                <w:lang w:val="en-GB"/>
              </w:rPr>
            </w:pPr>
          </w:p>
        </w:tc>
        <w:tc>
          <w:tcPr>
            <w:tcW w:w="462" w:type="dxa"/>
            <w:tcBorders>
              <w:bottom w:val="single" w:sz="4" w:space="0" w:color="auto"/>
            </w:tcBorders>
            <w:shd w:val="clear" w:color="auto" w:fill="auto"/>
            <w:tcMar>
              <w:top w:w="57" w:type="dxa"/>
              <w:left w:w="0" w:type="dxa"/>
              <w:bottom w:w="85" w:type="dxa"/>
              <w:right w:w="0" w:type="dxa"/>
            </w:tcMar>
            <w:vAlign w:val="bottom"/>
          </w:tcPr>
          <w:p w14:paraId="44F07659" w14:textId="77777777" w:rsidR="008A766F" w:rsidRPr="008A766F" w:rsidRDefault="008A766F" w:rsidP="00615190">
            <w:pPr>
              <w:spacing w:line="240" w:lineRule="atLeast"/>
              <w:rPr>
                <w:rFonts w:ascii="Tahoma" w:hAnsi="Tahoma"/>
                <w:color w:val="000000" w:themeColor="text1"/>
                <w:sz w:val="16"/>
                <w:lang w:val="en-GB"/>
              </w:rPr>
            </w:pPr>
          </w:p>
        </w:tc>
        <w:tc>
          <w:tcPr>
            <w:tcW w:w="3402" w:type="dxa"/>
            <w:tcBorders>
              <w:bottom w:val="single" w:sz="4" w:space="0" w:color="auto"/>
            </w:tcBorders>
            <w:shd w:val="clear" w:color="auto" w:fill="auto"/>
            <w:tcMar>
              <w:top w:w="57" w:type="dxa"/>
              <w:left w:w="0" w:type="dxa"/>
              <w:bottom w:w="85" w:type="dxa"/>
              <w:right w:w="0" w:type="dxa"/>
            </w:tcMar>
            <w:vAlign w:val="bottom"/>
          </w:tcPr>
          <w:p w14:paraId="57F9124A" w14:textId="77777777" w:rsidR="008A766F" w:rsidRPr="008A766F" w:rsidRDefault="008A766F" w:rsidP="00615190">
            <w:pPr>
              <w:spacing w:line="240" w:lineRule="atLeast"/>
              <w:rPr>
                <w:rFonts w:ascii="Tahoma" w:hAnsi="Tahoma"/>
                <w:color w:val="000000" w:themeColor="text1"/>
                <w:sz w:val="16"/>
                <w:lang w:val="en-GB"/>
              </w:rPr>
            </w:pPr>
          </w:p>
        </w:tc>
        <w:tc>
          <w:tcPr>
            <w:tcW w:w="1268" w:type="dxa"/>
            <w:tcBorders>
              <w:bottom w:val="single" w:sz="4" w:space="0" w:color="auto"/>
            </w:tcBorders>
            <w:shd w:val="clear" w:color="auto" w:fill="auto"/>
            <w:tcMar>
              <w:top w:w="57" w:type="dxa"/>
              <w:left w:w="0" w:type="dxa"/>
              <w:bottom w:w="85" w:type="dxa"/>
              <w:right w:w="0" w:type="dxa"/>
            </w:tcMar>
            <w:vAlign w:val="bottom"/>
          </w:tcPr>
          <w:p w14:paraId="093F988C" w14:textId="77777777" w:rsidR="008A766F" w:rsidRPr="008A766F" w:rsidRDefault="008A766F" w:rsidP="00615190">
            <w:pPr>
              <w:spacing w:line="240" w:lineRule="atLeast"/>
              <w:rPr>
                <w:rFonts w:ascii="Tahoma" w:hAnsi="Tahoma"/>
                <w:color w:val="000000" w:themeColor="text1"/>
                <w:sz w:val="16"/>
                <w:lang w:val="en-GB"/>
              </w:rPr>
            </w:pPr>
          </w:p>
        </w:tc>
        <w:tc>
          <w:tcPr>
            <w:tcW w:w="1275" w:type="dxa"/>
            <w:tcBorders>
              <w:top w:val="single" w:sz="4" w:space="0" w:color="auto"/>
              <w:bottom w:val="single" w:sz="4" w:space="0" w:color="auto"/>
            </w:tcBorders>
            <w:shd w:val="clear" w:color="auto" w:fill="auto"/>
            <w:tcMar>
              <w:top w:w="57" w:type="dxa"/>
              <w:left w:w="0" w:type="dxa"/>
              <w:bottom w:w="85" w:type="dxa"/>
              <w:right w:w="0" w:type="dxa"/>
            </w:tcMar>
            <w:vAlign w:val="bottom"/>
          </w:tcPr>
          <w:p w14:paraId="67CBE968" w14:textId="77777777" w:rsidR="008A766F" w:rsidRPr="008A766F" w:rsidRDefault="008A766F" w:rsidP="00FB30A6">
            <w:pPr>
              <w:spacing w:line="240" w:lineRule="atLeast"/>
              <w:jc w:val="right"/>
              <w:rPr>
                <w:rFonts w:ascii="Tahoma" w:hAnsi="Tahoma"/>
                <w:b/>
                <w:bCs/>
                <w:color w:val="000000" w:themeColor="text1"/>
                <w:sz w:val="16"/>
                <w:lang w:val="en-GB"/>
              </w:rPr>
            </w:pPr>
          </w:p>
        </w:tc>
        <w:tc>
          <w:tcPr>
            <w:tcW w:w="1134" w:type="dxa"/>
            <w:tcBorders>
              <w:top w:val="single" w:sz="4" w:space="0" w:color="auto"/>
              <w:bottom w:val="single" w:sz="4" w:space="0" w:color="auto"/>
            </w:tcBorders>
            <w:shd w:val="clear" w:color="auto" w:fill="auto"/>
            <w:tcMar>
              <w:top w:w="57" w:type="dxa"/>
              <w:left w:w="0" w:type="dxa"/>
              <w:bottom w:w="85" w:type="dxa"/>
              <w:right w:w="0" w:type="dxa"/>
            </w:tcMar>
            <w:vAlign w:val="bottom"/>
          </w:tcPr>
          <w:p w14:paraId="14C61D9D" w14:textId="77777777" w:rsidR="008A766F" w:rsidRPr="008A766F" w:rsidRDefault="008A766F" w:rsidP="00FB30A6">
            <w:pPr>
              <w:spacing w:line="240" w:lineRule="atLeast"/>
              <w:jc w:val="right"/>
              <w:rPr>
                <w:rFonts w:ascii="Tahoma" w:hAnsi="Tahoma"/>
                <w:b/>
                <w:bCs/>
                <w:color w:val="000000" w:themeColor="text1"/>
                <w:sz w:val="16"/>
                <w:lang w:val="en-GB"/>
              </w:rPr>
            </w:pPr>
          </w:p>
        </w:tc>
        <w:tc>
          <w:tcPr>
            <w:tcW w:w="1142" w:type="dxa"/>
            <w:tcBorders>
              <w:top w:val="single" w:sz="4" w:space="0" w:color="auto"/>
              <w:bottom w:val="single" w:sz="4" w:space="0" w:color="auto"/>
            </w:tcBorders>
            <w:shd w:val="clear" w:color="auto" w:fill="auto"/>
            <w:tcMar>
              <w:top w:w="57" w:type="dxa"/>
              <w:left w:w="0" w:type="dxa"/>
              <w:bottom w:w="85" w:type="dxa"/>
              <w:right w:w="0" w:type="dxa"/>
            </w:tcMar>
            <w:vAlign w:val="bottom"/>
          </w:tcPr>
          <w:p w14:paraId="0F6AD9EB" w14:textId="77777777" w:rsidR="008A766F" w:rsidRPr="008A766F" w:rsidRDefault="008A766F" w:rsidP="00FB30A6">
            <w:pPr>
              <w:spacing w:line="240" w:lineRule="atLeast"/>
              <w:jc w:val="right"/>
              <w:rPr>
                <w:rFonts w:ascii="Tahoma" w:hAnsi="Tahoma"/>
                <w:b/>
                <w:bCs/>
                <w:color w:val="000000" w:themeColor="text1"/>
                <w:sz w:val="16"/>
                <w:lang w:val="en-GB"/>
              </w:rPr>
            </w:pPr>
          </w:p>
        </w:tc>
        <w:tc>
          <w:tcPr>
            <w:tcW w:w="1134" w:type="dxa"/>
            <w:gridSpan w:val="2"/>
            <w:tcBorders>
              <w:top w:val="single" w:sz="4" w:space="0" w:color="auto"/>
              <w:bottom w:val="single" w:sz="4" w:space="0" w:color="auto"/>
            </w:tcBorders>
            <w:shd w:val="clear" w:color="auto" w:fill="auto"/>
            <w:tcMar>
              <w:top w:w="57" w:type="dxa"/>
              <w:left w:w="0" w:type="dxa"/>
              <w:bottom w:w="85" w:type="dxa"/>
              <w:right w:w="0" w:type="dxa"/>
            </w:tcMar>
            <w:vAlign w:val="bottom"/>
          </w:tcPr>
          <w:p w14:paraId="1136C399" w14:textId="77777777" w:rsidR="008A766F" w:rsidRPr="008A766F" w:rsidRDefault="008A766F" w:rsidP="003C223F">
            <w:pPr>
              <w:spacing w:line="240" w:lineRule="atLeast"/>
              <w:ind w:right="113"/>
              <w:jc w:val="right"/>
              <w:rPr>
                <w:rFonts w:ascii="Tahoma" w:hAnsi="Tahoma"/>
                <w:b/>
                <w:bCs/>
                <w:color w:val="000000" w:themeColor="text1"/>
                <w:sz w:val="16"/>
                <w:lang w:val="en-GB"/>
              </w:rPr>
            </w:pPr>
          </w:p>
        </w:tc>
      </w:tr>
      <w:tr w:rsidR="00615190" w:rsidRPr="008A766F" w14:paraId="4D686F1C" w14:textId="77777777" w:rsidTr="002F078E">
        <w:trPr>
          <w:trHeight w:val="60"/>
        </w:trPr>
        <w:tc>
          <w:tcPr>
            <w:tcW w:w="397" w:type="dxa"/>
            <w:shd w:val="clear" w:color="auto" w:fill="auto"/>
            <w:tcMar>
              <w:top w:w="85" w:type="dxa"/>
              <w:left w:w="0" w:type="dxa"/>
              <w:bottom w:w="85" w:type="dxa"/>
              <w:right w:w="0" w:type="dxa"/>
            </w:tcMar>
            <w:vAlign w:val="bottom"/>
          </w:tcPr>
          <w:p w14:paraId="2F1C11CA" w14:textId="77777777" w:rsidR="008A766F" w:rsidRPr="008A766F" w:rsidRDefault="008A766F" w:rsidP="00615190">
            <w:pPr>
              <w:spacing w:line="240" w:lineRule="atLeast"/>
              <w:rPr>
                <w:rFonts w:ascii="Tahoma" w:hAnsi="Tahoma"/>
                <w:color w:val="000000" w:themeColor="text1"/>
                <w:sz w:val="16"/>
                <w:lang w:val="en-GB"/>
              </w:rPr>
            </w:pPr>
          </w:p>
        </w:tc>
        <w:tc>
          <w:tcPr>
            <w:tcW w:w="462"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62E32D0D" w14:textId="77777777" w:rsidR="008A766F" w:rsidRPr="008A766F" w:rsidRDefault="008A766F" w:rsidP="00615190">
            <w:pPr>
              <w:spacing w:line="240" w:lineRule="atLeast"/>
              <w:rPr>
                <w:rFonts w:ascii="Tahoma" w:hAnsi="Tahoma"/>
                <w:color w:val="000000" w:themeColor="text1"/>
                <w:sz w:val="16"/>
                <w:lang w:val="en-GB"/>
              </w:rPr>
            </w:pPr>
          </w:p>
        </w:tc>
        <w:tc>
          <w:tcPr>
            <w:tcW w:w="3402"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40442E2E" w14:textId="77777777" w:rsidR="008A766F" w:rsidRPr="008A766F" w:rsidRDefault="008A766F" w:rsidP="00615190">
            <w:pPr>
              <w:spacing w:line="240" w:lineRule="atLeast"/>
              <w:rPr>
                <w:rFonts w:ascii="Tahoma" w:hAnsi="Tahoma"/>
                <w:color w:val="000000" w:themeColor="text1"/>
                <w:sz w:val="16"/>
                <w:lang w:val="en-GB"/>
              </w:rPr>
            </w:pPr>
          </w:p>
        </w:tc>
        <w:tc>
          <w:tcPr>
            <w:tcW w:w="1268"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12AC681D" w14:textId="77777777" w:rsidR="008A766F" w:rsidRPr="008A766F" w:rsidRDefault="008A766F" w:rsidP="00615190">
            <w:pPr>
              <w:spacing w:line="240" w:lineRule="atLeast"/>
              <w:rPr>
                <w:rFonts w:ascii="Tahoma" w:hAnsi="Tahoma"/>
                <w:color w:val="000000" w:themeColor="text1"/>
                <w:sz w:val="16"/>
                <w:lang w:val="en-GB"/>
              </w:rPr>
            </w:pPr>
          </w:p>
        </w:tc>
        <w:tc>
          <w:tcPr>
            <w:tcW w:w="1275"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7B22EC5C" w14:textId="77777777" w:rsidR="008A766F" w:rsidRPr="008A766F" w:rsidRDefault="008A766F" w:rsidP="00FB30A6">
            <w:pPr>
              <w:spacing w:line="240" w:lineRule="atLeast"/>
              <w:jc w:val="right"/>
              <w:rPr>
                <w:rFonts w:ascii="Tahoma" w:hAnsi="Tahoma"/>
                <w:b/>
                <w:bCs/>
                <w:color w:val="000000" w:themeColor="text1"/>
                <w:sz w:val="16"/>
                <w:lang w:val="en-GB"/>
              </w:rPr>
            </w:pPr>
            <w:r w:rsidRPr="008A766F">
              <w:rPr>
                <w:rFonts w:ascii="Tahoma" w:hAnsi="Tahoma"/>
                <w:b/>
                <w:bCs/>
                <w:color w:val="000000" w:themeColor="text1"/>
                <w:sz w:val="16"/>
                <w:lang w:val="en-GB"/>
              </w:rPr>
              <w:t>(7 446)</w:t>
            </w:r>
          </w:p>
        </w:tc>
        <w:tc>
          <w:tcPr>
            <w:tcW w:w="1134"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05D27EBC" w14:textId="77777777" w:rsidR="008A766F" w:rsidRPr="008A766F" w:rsidRDefault="008A766F" w:rsidP="00FB30A6">
            <w:pPr>
              <w:spacing w:line="240" w:lineRule="atLeast"/>
              <w:jc w:val="right"/>
              <w:rPr>
                <w:rFonts w:ascii="Tahoma" w:hAnsi="Tahoma"/>
                <w:b/>
                <w:bCs/>
                <w:color w:val="000000" w:themeColor="text1"/>
                <w:sz w:val="16"/>
                <w:lang w:val="en-GB"/>
              </w:rPr>
            </w:pPr>
            <w:r w:rsidRPr="008A766F">
              <w:rPr>
                <w:rFonts w:ascii="Tahoma" w:hAnsi="Tahoma"/>
                <w:b/>
                <w:bCs/>
                <w:color w:val="000000" w:themeColor="text1"/>
                <w:sz w:val="16"/>
                <w:lang w:val="en-GB"/>
              </w:rPr>
              <w:t>(934)</w:t>
            </w:r>
          </w:p>
        </w:tc>
        <w:tc>
          <w:tcPr>
            <w:tcW w:w="1142"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7754A8C4" w14:textId="77777777" w:rsidR="008A766F" w:rsidRPr="008A766F" w:rsidRDefault="008A766F" w:rsidP="00FB30A6">
            <w:pPr>
              <w:spacing w:line="240" w:lineRule="atLeast"/>
              <w:jc w:val="right"/>
              <w:rPr>
                <w:rFonts w:ascii="Tahoma" w:hAnsi="Tahoma"/>
                <w:b/>
                <w:bCs/>
                <w:color w:val="000000" w:themeColor="text1"/>
                <w:sz w:val="16"/>
                <w:lang w:val="en-GB"/>
              </w:rPr>
            </w:pPr>
            <w:r w:rsidRPr="008A766F">
              <w:rPr>
                <w:rFonts w:ascii="Tahoma" w:hAnsi="Tahoma"/>
                <w:b/>
                <w:bCs/>
                <w:color w:val="000000" w:themeColor="text1"/>
                <w:sz w:val="16"/>
                <w:lang w:val="en-GB"/>
              </w:rPr>
              <w:t>—</w:t>
            </w:r>
          </w:p>
        </w:tc>
        <w:tc>
          <w:tcPr>
            <w:tcW w:w="1134" w:type="dxa"/>
            <w:gridSpan w:val="2"/>
            <w:tcBorders>
              <w:top w:val="single" w:sz="4" w:space="0" w:color="auto"/>
              <w:bottom w:val="single" w:sz="12" w:space="0" w:color="auto"/>
            </w:tcBorders>
            <w:shd w:val="clear" w:color="auto" w:fill="auto"/>
            <w:tcMar>
              <w:top w:w="85" w:type="dxa"/>
              <w:left w:w="0" w:type="dxa"/>
              <w:bottom w:w="85" w:type="dxa"/>
              <w:right w:w="0" w:type="dxa"/>
            </w:tcMar>
            <w:vAlign w:val="bottom"/>
          </w:tcPr>
          <w:p w14:paraId="05DB696F" w14:textId="77777777" w:rsidR="008A766F" w:rsidRPr="008A766F" w:rsidRDefault="008A766F" w:rsidP="003C223F">
            <w:pPr>
              <w:spacing w:line="240" w:lineRule="atLeast"/>
              <w:ind w:right="113"/>
              <w:jc w:val="right"/>
              <w:rPr>
                <w:rFonts w:ascii="Tahoma" w:hAnsi="Tahoma"/>
                <w:b/>
                <w:bCs/>
                <w:color w:val="000000" w:themeColor="text1"/>
                <w:sz w:val="16"/>
                <w:lang w:val="en-GB"/>
              </w:rPr>
            </w:pPr>
            <w:r w:rsidRPr="008A766F">
              <w:rPr>
                <w:rFonts w:ascii="Tahoma" w:hAnsi="Tahoma"/>
                <w:b/>
                <w:bCs/>
                <w:color w:val="000000" w:themeColor="text1"/>
                <w:sz w:val="16"/>
                <w:lang w:val="en-GB"/>
              </w:rPr>
              <w:t>(8 380)</w:t>
            </w:r>
          </w:p>
        </w:tc>
      </w:tr>
      <w:tr w:rsidR="00615190" w:rsidRPr="008A766F" w14:paraId="499DE9F9" w14:textId="77777777" w:rsidTr="009A2757">
        <w:trPr>
          <w:gridAfter w:val="1"/>
          <w:wAfter w:w="8" w:type="dxa"/>
          <w:trHeight w:val="60"/>
        </w:trPr>
        <w:tc>
          <w:tcPr>
            <w:tcW w:w="397" w:type="dxa"/>
            <w:shd w:val="clear" w:color="auto" w:fill="auto"/>
            <w:tcMar>
              <w:top w:w="85" w:type="dxa"/>
              <w:left w:w="0" w:type="dxa"/>
              <w:bottom w:w="57" w:type="dxa"/>
              <w:right w:w="0" w:type="dxa"/>
            </w:tcMar>
            <w:vAlign w:val="bottom"/>
          </w:tcPr>
          <w:p w14:paraId="3A7B7052" w14:textId="77777777" w:rsidR="008A766F" w:rsidRPr="008A766F" w:rsidRDefault="008A766F" w:rsidP="00615190">
            <w:pPr>
              <w:spacing w:line="240" w:lineRule="atLeast"/>
              <w:rPr>
                <w:rFonts w:ascii="Tahoma" w:hAnsi="Tahoma"/>
                <w:color w:val="000000" w:themeColor="text1"/>
                <w:sz w:val="16"/>
                <w:lang w:val="en-GB"/>
              </w:rPr>
            </w:pPr>
          </w:p>
        </w:tc>
        <w:tc>
          <w:tcPr>
            <w:tcW w:w="9809" w:type="dxa"/>
            <w:gridSpan w:val="7"/>
            <w:shd w:val="clear" w:color="auto" w:fill="auto"/>
            <w:tcMar>
              <w:top w:w="85" w:type="dxa"/>
              <w:left w:w="0" w:type="dxa"/>
              <w:bottom w:w="57" w:type="dxa"/>
              <w:right w:w="0" w:type="dxa"/>
            </w:tcMar>
            <w:vAlign w:val="bottom"/>
          </w:tcPr>
          <w:p w14:paraId="2C90C9E4" w14:textId="77777777" w:rsidR="008A766F" w:rsidRPr="008A766F" w:rsidRDefault="008A766F" w:rsidP="001B4ACA">
            <w:pPr>
              <w:pStyle w:val="FootnotesProsus2022FrontStylesProsus2022"/>
            </w:pPr>
            <w:r w:rsidRPr="008A766F">
              <w:t>1</w:t>
            </w:r>
            <w:r w:rsidRPr="008A766F">
              <w:tab/>
              <w:t>‘Other’ includes various acquisitions of subsidiaries, associates and other investments that are not individually material.</w:t>
            </w:r>
          </w:p>
        </w:tc>
      </w:tr>
    </w:tbl>
    <w:p w14:paraId="4A25CD7F" w14:textId="77777777" w:rsidR="0047312F" w:rsidRDefault="0047312F" w:rsidP="00615190">
      <w:pPr>
        <w:spacing w:line="240" w:lineRule="atLeast"/>
        <w:rPr>
          <w:rFonts w:ascii="Tahoma" w:hAnsi="Tahoma"/>
          <w:color w:val="000000" w:themeColor="text1"/>
          <w:sz w:val="16"/>
        </w:rPr>
      </w:pPr>
    </w:p>
    <w:p w14:paraId="27496B63" w14:textId="77777777" w:rsidR="0047312F" w:rsidRDefault="0047312F">
      <w:pPr>
        <w:rPr>
          <w:rFonts w:ascii="Tahoma" w:hAnsi="Tahoma"/>
          <w:color w:val="000000" w:themeColor="text1"/>
          <w:sz w:val="16"/>
        </w:rPr>
      </w:pPr>
      <w:r>
        <w:rPr>
          <w:rFonts w:ascii="Tahoma" w:hAnsi="Tahoma"/>
          <w:color w:val="000000" w:themeColor="text1"/>
          <w:sz w:val="16"/>
        </w:rPr>
        <w:br w:type="page"/>
      </w:r>
    </w:p>
    <w:p w14:paraId="46A97E2B" w14:textId="77777777" w:rsidR="008A766F" w:rsidRPr="00615190" w:rsidRDefault="008A766F" w:rsidP="00615190">
      <w:pPr>
        <w:spacing w:line="240" w:lineRule="atLeast"/>
        <w:rPr>
          <w:rFonts w:ascii="Tahoma" w:hAnsi="Tahoma"/>
          <w:color w:val="000000" w:themeColor="text1"/>
          <w:sz w:val="16"/>
        </w:rPr>
      </w:pPr>
    </w:p>
    <w:tbl>
      <w:tblPr>
        <w:tblW w:w="10206" w:type="dxa"/>
        <w:tblInd w:w="-8" w:type="dxa"/>
        <w:tblLayout w:type="fixed"/>
        <w:tblCellMar>
          <w:left w:w="0" w:type="dxa"/>
          <w:right w:w="0" w:type="dxa"/>
        </w:tblCellMar>
        <w:tblLook w:val="0000" w:firstRow="0" w:lastRow="0" w:firstColumn="0" w:lastColumn="0" w:noHBand="0" w:noVBand="0"/>
      </w:tblPr>
      <w:tblGrid>
        <w:gridCol w:w="397"/>
        <w:gridCol w:w="397"/>
        <w:gridCol w:w="9412"/>
      </w:tblGrid>
      <w:tr w:rsidR="00615190" w:rsidRPr="00864451" w14:paraId="2EAA68B0" w14:textId="77777777" w:rsidTr="003B44A2">
        <w:trPr>
          <w:trHeight w:val="60"/>
        </w:trPr>
        <w:tc>
          <w:tcPr>
            <w:tcW w:w="397" w:type="dxa"/>
            <w:tcMar>
              <w:top w:w="0" w:type="dxa"/>
              <w:left w:w="0" w:type="dxa"/>
              <w:bottom w:w="57" w:type="dxa"/>
              <w:right w:w="0" w:type="dxa"/>
            </w:tcMar>
          </w:tcPr>
          <w:p w14:paraId="6F5A2337" w14:textId="77777777" w:rsidR="00864451" w:rsidRPr="00864451" w:rsidRDefault="00965AF9" w:rsidP="00615190">
            <w:pPr>
              <w:spacing w:line="240" w:lineRule="atLeast"/>
              <w:rPr>
                <w:rFonts w:ascii="Tahoma" w:hAnsi="Tahoma"/>
                <w:b/>
                <w:bCs/>
                <w:color w:val="000000" w:themeColor="text1"/>
                <w:sz w:val="16"/>
                <w:lang w:val="en-GB"/>
              </w:rPr>
            </w:pPr>
            <w:r w:rsidRPr="00864451">
              <w:rPr>
                <w:rFonts w:ascii="Tahoma" w:hAnsi="Tahoma"/>
                <w:b/>
                <w:bCs/>
                <w:color w:val="000000" w:themeColor="text1"/>
                <w:sz w:val="16"/>
                <w:lang w:val="en-GB"/>
              </w:rPr>
              <w:t>16.</w:t>
            </w:r>
          </w:p>
        </w:tc>
        <w:tc>
          <w:tcPr>
            <w:tcW w:w="9809" w:type="dxa"/>
            <w:gridSpan w:val="2"/>
            <w:tcMar>
              <w:top w:w="0" w:type="dxa"/>
              <w:left w:w="0" w:type="dxa"/>
              <w:bottom w:w="57" w:type="dxa"/>
              <w:right w:w="0" w:type="dxa"/>
            </w:tcMar>
          </w:tcPr>
          <w:p w14:paraId="7005EEE3" w14:textId="77777777" w:rsidR="00864451" w:rsidRPr="00864451" w:rsidRDefault="00965AF9" w:rsidP="00615190">
            <w:pPr>
              <w:spacing w:line="240" w:lineRule="atLeast"/>
              <w:rPr>
                <w:rFonts w:ascii="Tahoma" w:hAnsi="Tahoma"/>
                <w:b/>
                <w:bCs/>
                <w:color w:val="000000" w:themeColor="text1"/>
                <w:sz w:val="16"/>
                <w:lang w:val="en-GB"/>
              </w:rPr>
            </w:pPr>
            <w:r w:rsidRPr="00864451">
              <w:rPr>
                <w:rFonts w:ascii="Tahoma" w:hAnsi="Tahoma"/>
                <w:b/>
                <w:bCs/>
                <w:color w:val="000000" w:themeColor="text1"/>
                <w:sz w:val="16"/>
                <w:lang w:val="en-GB"/>
              </w:rPr>
              <w:t>BUSINESS COMBINATIONS, OTHER ACQUISITIONS AND DISPOSALS (continued)</w:t>
            </w:r>
          </w:p>
        </w:tc>
      </w:tr>
      <w:tr w:rsidR="00615190" w:rsidRPr="00864451" w14:paraId="6503722A" w14:textId="77777777" w:rsidTr="003B44A2">
        <w:trPr>
          <w:trHeight w:val="60"/>
        </w:trPr>
        <w:tc>
          <w:tcPr>
            <w:tcW w:w="397" w:type="dxa"/>
            <w:tcMar>
              <w:top w:w="57" w:type="dxa"/>
              <w:left w:w="0" w:type="dxa"/>
              <w:bottom w:w="57" w:type="dxa"/>
              <w:right w:w="0" w:type="dxa"/>
            </w:tcMar>
          </w:tcPr>
          <w:p w14:paraId="5A7EE2E8" w14:textId="77777777" w:rsidR="00864451" w:rsidRPr="00864451" w:rsidRDefault="00864451" w:rsidP="00615190">
            <w:pPr>
              <w:spacing w:line="240" w:lineRule="atLeast"/>
              <w:rPr>
                <w:rFonts w:ascii="Tahoma" w:hAnsi="Tahoma"/>
                <w:color w:val="000000" w:themeColor="text1"/>
                <w:sz w:val="16"/>
                <w:lang w:val="en-GB"/>
              </w:rPr>
            </w:pPr>
          </w:p>
        </w:tc>
        <w:tc>
          <w:tcPr>
            <w:tcW w:w="9809" w:type="dxa"/>
            <w:gridSpan w:val="2"/>
            <w:tcMar>
              <w:top w:w="57" w:type="dxa"/>
              <w:left w:w="0" w:type="dxa"/>
              <w:bottom w:w="57" w:type="dxa"/>
              <w:right w:w="0" w:type="dxa"/>
            </w:tcMar>
          </w:tcPr>
          <w:p w14:paraId="50D3B63F" w14:textId="77777777" w:rsidR="00864451" w:rsidRPr="00864451" w:rsidRDefault="00864451" w:rsidP="00615190">
            <w:pPr>
              <w:spacing w:line="240" w:lineRule="atLeast"/>
              <w:rPr>
                <w:rFonts w:ascii="Tahoma" w:hAnsi="Tahoma"/>
                <w:b/>
                <w:bCs/>
                <w:color w:val="000000" w:themeColor="text1"/>
                <w:sz w:val="16"/>
                <w:lang w:val="en-GB"/>
              </w:rPr>
            </w:pPr>
            <w:r w:rsidRPr="00864451">
              <w:rPr>
                <w:rFonts w:ascii="Tahoma" w:hAnsi="Tahoma"/>
                <w:b/>
                <w:bCs/>
                <w:color w:val="000000" w:themeColor="text1"/>
                <w:sz w:val="16"/>
                <w:lang w:val="en-GB"/>
              </w:rPr>
              <w:t>Other investments</w:t>
            </w:r>
          </w:p>
        </w:tc>
      </w:tr>
      <w:tr w:rsidR="00615190" w:rsidRPr="00864451" w14:paraId="1EA9A50C" w14:textId="77777777" w:rsidTr="003B44A2">
        <w:trPr>
          <w:trHeight w:val="60"/>
        </w:trPr>
        <w:tc>
          <w:tcPr>
            <w:tcW w:w="397" w:type="dxa"/>
            <w:tcMar>
              <w:top w:w="57" w:type="dxa"/>
              <w:left w:w="0" w:type="dxa"/>
              <w:bottom w:w="57" w:type="dxa"/>
              <w:right w:w="0" w:type="dxa"/>
            </w:tcMar>
          </w:tcPr>
          <w:p w14:paraId="503FA8F2" w14:textId="77777777" w:rsidR="00864451" w:rsidRPr="00864451" w:rsidRDefault="00864451" w:rsidP="00615190">
            <w:pPr>
              <w:spacing w:line="240" w:lineRule="atLeast"/>
              <w:rPr>
                <w:rFonts w:ascii="Tahoma" w:hAnsi="Tahoma"/>
                <w:color w:val="000000" w:themeColor="text1"/>
                <w:sz w:val="16"/>
                <w:lang w:val="en-GB"/>
              </w:rPr>
            </w:pPr>
          </w:p>
        </w:tc>
        <w:tc>
          <w:tcPr>
            <w:tcW w:w="397" w:type="dxa"/>
            <w:tcMar>
              <w:top w:w="57" w:type="dxa"/>
              <w:left w:w="0" w:type="dxa"/>
              <w:bottom w:w="57" w:type="dxa"/>
              <w:right w:w="0" w:type="dxa"/>
            </w:tcMar>
          </w:tcPr>
          <w:p w14:paraId="35413723" w14:textId="77777777" w:rsidR="00864451" w:rsidRPr="00864451" w:rsidRDefault="00864451" w:rsidP="00615190">
            <w:pPr>
              <w:spacing w:line="240" w:lineRule="atLeast"/>
              <w:rPr>
                <w:rFonts w:ascii="Tahoma" w:hAnsi="Tahoma"/>
                <w:color w:val="000000" w:themeColor="text1"/>
                <w:sz w:val="16"/>
                <w:lang w:val="en-GB"/>
              </w:rPr>
            </w:pPr>
            <w:r w:rsidRPr="00864451">
              <w:rPr>
                <w:rFonts w:ascii="Tahoma" w:hAnsi="Tahoma"/>
                <w:color w:val="000000" w:themeColor="text1"/>
                <w:sz w:val="16"/>
                <w:lang w:val="en-GB"/>
              </w:rPr>
              <w:t>a.</w:t>
            </w:r>
          </w:p>
        </w:tc>
        <w:tc>
          <w:tcPr>
            <w:tcW w:w="9412" w:type="dxa"/>
            <w:tcMar>
              <w:top w:w="57" w:type="dxa"/>
              <w:left w:w="0" w:type="dxa"/>
              <w:bottom w:w="57" w:type="dxa"/>
              <w:right w:w="0" w:type="dxa"/>
            </w:tcMar>
          </w:tcPr>
          <w:p w14:paraId="21ED10C9" w14:textId="77777777" w:rsidR="00864451" w:rsidRPr="00864451" w:rsidRDefault="00864451" w:rsidP="00615190">
            <w:pPr>
              <w:spacing w:line="240" w:lineRule="atLeast"/>
              <w:rPr>
                <w:rFonts w:ascii="Tahoma" w:hAnsi="Tahoma"/>
                <w:color w:val="000000" w:themeColor="text1"/>
                <w:sz w:val="16"/>
                <w:lang w:val="en-GB"/>
              </w:rPr>
            </w:pPr>
            <w:r w:rsidRPr="00864451">
              <w:rPr>
                <w:rFonts w:ascii="Tahoma" w:hAnsi="Tahoma"/>
                <w:color w:val="000000" w:themeColor="text1"/>
                <w:sz w:val="16"/>
                <w:lang w:val="en-GB"/>
              </w:rPr>
              <w:t xml:space="preserve">In June 2022, in exchange for the group’s entire interest in </w:t>
            </w:r>
            <w:proofErr w:type="spellStart"/>
            <w:r w:rsidRPr="00864451">
              <w:rPr>
                <w:rFonts w:ascii="Tahoma" w:hAnsi="Tahoma"/>
                <w:color w:val="000000" w:themeColor="text1"/>
                <w:sz w:val="16"/>
                <w:lang w:val="en-GB"/>
              </w:rPr>
              <w:t>Wolt</w:t>
            </w:r>
            <w:proofErr w:type="spellEnd"/>
            <w:r w:rsidRPr="00864451">
              <w:rPr>
                <w:rFonts w:ascii="Tahoma" w:hAnsi="Tahoma"/>
                <w:color w:val="000000" w:themeColor="text1"/>
                <w:sz w:val="16"/>
                <w:lang w:val="en-GB"/>
              </w:rPr>
              <w:t xml:space="preserve"> (a food and grocery delivery marketplace), the group received shares in </w:t>
            </w:r>
            <w:proofErr w:type="spellStart"/>
            <w:r w:rsidRPr="00864451">
              <w:rPr>
                <w:rFonts w:ascii="Tahoma" w:hAnsi="Tahoma"/>
                <w:color w:val="000000" w:themeColor="text1"/>
                <w:sz w:val="16"/>
                <w:lang w:val="en-GB"/>
              </w:rPr>
              <w:t>DoorDash</w:t>
            </w:r>
            <w:proofErr w:type="spellEnd"/>
            <w:r w:rsidRPr="00864451">
              <w:rPr>
                <w:rFonts w:ascii="Tahoma" w:hAnsi="Tahoma"/>
                <w:color w:val="000000" w:themeColor="text1"/>
                <w:sz w:val="16"/>
                <w:lang w:val="en-GB"/>
              </w:rPr>
              <w:t xml:space="preserve"> to the value of US$58m. </w:t>
            </w:r>
            <w:proofErr w:type="spellStart"/>
            <w:r w:rsidRPr="00864451">
              <w:rPr>
                <w:rFonts w:ascii="Tahoma" w:hAnsi="Tahoma"/>
                <w:color w:val="000000" w:themeColor="text1"/>
                <w:sz w:val="16"/>
                <w:lang w:val="en-GB"/>
              </w:rPr>
              <w:t>DoorDash</w:t>
            </w:r>
            <w:proofErr w:type="spellEnd"/>
            <w:r w:rsidRPr="00864451">
              <w:rPr>
                <w:rFonts w:ascii="Tahoma" w:hAnsi="Tahoma"/>
                <w:color w:val="000000" w:themeColor="text1"/>
                <w:sz w:val="16"/>
                <w:lang w:val="en-GB"/>
              </w:rPr>
              <w:t xml:space="preserve"> is a predominantly US-focused food, grocery and retail delivery marketplace listed on the NYSE. The investment is not held for trading, therefore, the group accounts for this as an investment at fair value through other comprehensive income.</w:t>
            </w:r>
          </w:p>
        </w:tc>
      </w:tr>
      <w:tr w:rsidR="00615190" w:rsidRPr="00864451" w14:paraId="4940470D" w14:textId="77777777" w:rsidTr="003B44A2">
        <w:trPr>
          <w:trHeight w:val="60"/>
        </w:trPr>
        <w:tc>
          <w:tcPr>
            <w:tcW w:w="397" w:type="dxa"/>
            <w:tcMar>
              <w:top w:w="142" w:type="dxa"/>
              <w:left w:w="0" w:type="dxa"/>
              <w:bottom w:w="57" w:type="dxa"/>
              <w:right w:w="0" w:type="dxa"/>
            </w:tcMar>
          </w:tcPr>
          <w:p w14:paraId="6D2D6F69" w14:textId="77777777" w:rsidR="00864451" w:rsidRPr="00864451" w:rsidRDefault="00864451" w:rsidP="00615190">
            <w:pPr>
              <w:spacing w:line="240" w:lineRule="atLeast"/>
              <w:rPr>
                <w:rFonts w:ascii="Tahoma" w:hAnsi="Tahoma"/>
                <w:color w:val="000000" w:themeColor="text1"/>
                <w:sz w:val="16"/>
                <w:lang w:val="en-GB"/>
              </w:rPr>
            </w:pPr>
          </w:p>
        </w:tc>
        <w:tc>
          <w:tcPr>
            <w:tcW w:w="9809" w:type="dxa"/>
            <w:gridSpan w:val="2"/>
            <w:tcMar>
              <w:top w:w="142" w:type="dxa"/>
              <w:left w:w="0" w:type="dxa"/>
              <w:bottom w:w="57" w:type="dxa"/>
              <w:right w:w="0" w:type="dxa"/>
            </w:tcMar>
          </w:tcPr>
          <w:p w14:paraId="0317F5E0" w14:textId="77777777" w:rsidR="00864451" w:rsidRPr="00864451" w:rsidRDefault="00864451" w:rsidP="00615190">
            <w:pPr>
              <w:spacing w:line="240" w:lineRule="atLeast"/>
              <w:rPr>
                <w:rFonts w:ascii="Tahoma" w:hAnsi="Tahoma"/>
                <w:b/>
                <w:bCs/>
                <w:color w:val="000000" w:themeColor="text1"/>
                <w:sz w:val="16"/>
                <w:lang w:val="en-GB"/>
              </w:rPr>
            </w:pPr>
            <w:r w:rsidRPr="00864451">
              <w:rPr>
                <w:rFonts w:ascii="Tahoma" w:hAnsi="Tahoma"/>
                <w:b/>
                <w:bCs/>
                <w:color w:val="000000" w:themeColor="text1"/>
                <w:sz w:val="16"/>
                <w:lang w:val="en-GB"/>
              </w:rPr>
              <w:t>Disposal/Partial disposal of investments</w:t>
            </w:r>
          </w:p>
        </w:tc>
      </w:tr>
      <w:tr w:rsidR="00615190" w:rsidRPr="00864451" w14:paraId="0AA67E04" w14:textId="77777777" w:rsidTr="003B44A2">
        <w:trPr>
          <w:trHeight w:val="60"/>
        </w:trPr>
        <w:tc>
          <w:tcPr>
            <w:tcW w:w="397" w:type="dxa"/>
            <w:tcMar>
              <w:top w:w="57" w:type="dxa"/>
              <w:left w:w="0" w:type="dxa"/>
              <w:bottom w:w="57" w:type="dxa"/>
              <w:right w:w="0" w:type="dxa"/>
            </w:tcMar>
          </w:tcPr>
          <w:p w14:paraId="41F28BCD" w14:textId="77777777" w:rsidR="00864451" w:rsidRPr="00864451" w:rsidRDefault="00864451" w:rsidP="00615190">
            <w:pPr>
              <w:spacing w:line="240" w:lineRule="atLeast"/>
              <w:rPr>
                <w:rFonts w:ascii="Tahoma" w:hAnsi="Tahoma"/>
                <w:color w:val="000000" w:themeColor="text1"/>
                <w:sz w:val="16"/>
                <w:lang w:val="en-GB"/>
              </w:rPr>
            </w:pPr>
          </w:p>
        </w:tc>
        <w:tc>
          <w:tcPr>
            <w:tcW w:w="397" w:type="dxa"/>
            <w:tcMar>
              <w:top w:w="57" w:type="dxa"/>
              <w:left w:w="0" w:type="dxa"/>
              <w:bottom w:w="57" w:type="dxa"/>
              <w:right w:w="0" w:type="dxa"/>
            </w:tcMar>
          </w:tcPr>
          <w:p w14:paraId="10EA0C4B" w14:textId="77777777" w:rsidR="00864451" w:rsidRPr="00864451" w:rsidRDefault="00864451" w:rsidP="00615190">
            <w:pPr>
              <w:spacing w:line="240" w:lineRule="atLeast"/>
              <w:rPr>
                <w:rFonts w:ascii="Tahoma" w:hAnsi="Tahoma"/>
                <w:color w:val="000000" w:themeColor="text1"/>
                <w:sz w:val="16"/>
                <w:lang w:val="en-GB"/>
              </w:rPr>
            </w:pPr>
            <w:r w:rsidRPr="00864451">
              <w:rPr>
                <w:rFonts w:ascii="Tahoma" w:hAnsi="Tahoma"/>
                <w:color w:val="000000" w:themeColor="text1"/>
                <w:sz w:val="16"/>
                <w:lang w:val="en-GB"/>
              </w:rPr>
              <w:t>b.</w:t>
            </w:r>
          </w:p>
        </w:tc>
        <w:tc>
          <w:tcPr>
            <w:tcW w:w="9412" w:type="dxa"/>
            <w:tcMar>
              <w:top w:w="57" w:type="dxa"/>
              <w:left w:w="0" w:type="dxa"/>
              <w:bottom w:w="57" w:type="dxa"/>
              <w:right w:w="0" w:type="dxa"/>
            </w:tcMar>
          </w:tcPr>
          <w:p w14:paraId="7DE66465" w14:textId="77777777" w:rsidR="00864451" w:rsidRPr="00864451" w:rsidRDefault="00864451" w:rsidP="00615190">
            <w:pPr>
              <w:spacing w:line="240" w:lineRule="atLeast"/>
              <w:rPr>
                <w:rFonts w:ascii="Tahoma" w:hAnsi="Tahoma"/>
                <w:color w:val="000000" w:themeColor="text1"/>
                <w:sz w:val="16"/>
                <w:lang w:val="en-GB"/>
              </w:rPr>
            </w:pPr>
            <w:r w:rsidRPr="00864451">
              <w:rPr>
                <w:rFonts w:ascii="Tahoma" w:hAnsi="Tahoma"/>
                <w:color w:val="000000" w:themeColor="text1"/>
                <w:sz w:val="16"/>
                <w:lang w:val="en-GB"/>
              </w:rPr>
              <w:t>In March 2022, the group received a special interim dividend from Tencent in the form of a distribution in specie of 131 873 028 JD.com shares. The group completed the sale of the 131 873 028 JD.com shares in June 2022, for total proceeds of US$3.67bn. Accumulated fair-value losses related to these shares of US$189m were reclassified from the valuation reserve to retained earnings within equity as a result of this disposal.</w:t>
            </w:r>
          </w:p>
        </w:tc>
      </w:tr>
      <w:tr w:rsidR="00615190" w:rsidRPr="00864451" w14:paraId="0F7A0F1E" w14:textId="77777777" w:rsidTr="003B44A2">
        <w:trPr>
          <w:trHeight w:val="60"/>
        </w:trPr>
        <w:tc>
          <w:tcPr>
            <w:tcW w:w="397" w:type="dxa"/>
            <w:tcMar>
              <w:top w:w="142" w:type="dxa"/>
              <w:left w:w="0" w:type="dxa"/>
              <w:bottom w:w="57" w:type="dxa"/>
              <w:right w:w="0" w:type="dxa"/>
            </w:tcMar>
          </w:tcPr>
          <w:p w14:paraId="303D14BA" w14:textId="77777777" w:rsidR="00864451" w:rsidRPr="00864451" w:rsidRDefault="00864451" w:rsidP="00615190">
            <w:pPr>
              <w:spacing w:line="240" w:lineRule="atLeast"/>
              <w:rPr>
                <w:rFonts w:ascii="Tahoma" w:hAnsi="Tahoma"/>
                <w:color w:val="000000" w:themeColor="text1"/>
                <w:sz w:val="16"/>
                <w:lang w:val="en-GB"/>
              </w:rPr>
            </w:pPr>
          </w:p>
        </w:tc>
        <w:tc>
          <w:tcPr>
            <w:tcW w:w="397" w:type="dxa"/>
            <w:tcMar>
              <w:top w:w="142" w:type="dxa"/>
              <w:left w:w="0" w:type="dxa"/>
              <w:bottom w:w="57" w:type="dxa"/>
              <w:right w:w="0" w:type="dxa"/>
            </w:tcMar>
          </w:tcPr>
          <w:p w14:paraId="32510308" w14:textId="77777777" w:rsidR="00864451" w:rsidRPr="00864451" w:rsidRDefault="00864451" w:rsidP="00615190">
            <w:pPr>
              <w:spacing w:line="240" w:lineRule="atLeast"/>
              <w:rPr>
                <w:rFonts w:ascii="Tahoma" w:hAnsi="Tahoma"/>
                <w:color w:val="000000" w:themeColor="text1"/>
                <w:sz w:val="16"/>
                <w:lang w:val="en-GB"/>
              </w:rPr>
            </w:pPr>
            <w:r w:rsidRPr="00864451">
              <w:rPr>
                <w:rFonts w:ascii="Tahoma" w:hAnsi="Tahoma"/>
                <w:color w:val="000000" w:themeColor="text1"/>
                <w:sz w:val="16"/>
                <w:lang w:val="en-GB"/>
              </w:rPr>
              <w:t>c.</w:t>
            </w:r>
          </w:p>
        </w:tc>
        <w:tc>
          <w:tcPr>
            <w:tcW w:w="9412" w:type="dxa"/>
            <w:tcMar>
              <w:top w:w="142" w:type="dxa"/>
              <w:left w:w="0" w:type="dxa"/>
              <w:bottom w:w="57" w:type="dxa"/>
              <w:right w:w="0" w:type="dxa"/>
            </w:tcMar>
          </w:tcPr>
          <w:p w14:paraId="68EE0D1D" w14:textId="77777777" w:rsidR="00864451" w:rsidRPr="00864451" w:rsidRDefault="00864451" w:rsidP="00615190">
            <w:pPr>
              <w:spacing w:line="240" w:lineRule="atLeast"/>
              <w:rPr>
                <w:rFonts w:ascii="Tahoma" w:hAnsi="Tahoma"/>
                <w:color w:val="000000" w:themeColor="text1"/>
                <w:sz w:val="16"/>
                <w:lang w:val="en-GB"/>
              </w:rPr>
            </w:pPr>
            <w:r w:rsidRPr="00864451">
              <w:rPr>
                <w:rFonts w:ascii="Tahoma" w:hAnsi="Tahoma"/>
                <w:color w:val="000000" w:themeColor="text1"/>
                <w:sz w:val="16"/>
                <w:lang w:val="en-GB"/>
              </w:rPr>
              <w:t>From June 2022 to the end of September 2022, the group sold 1% of Tencent’s issued share capital. The group reduced its stake in Tencent from 28.8% to 27.9%, for total proceeds of US$3.86bn, of which US$91.2m was receivable at 30 September 2022. The group recognised a gain on partial disposal of US$2.77bn, including a reclassification of accumulated foreign currency translation losses of US$90m. Proceeds from this disposal are used to fund the group’s share repurchase programme.</w:t>
            </w:r>
          </w:p>
        </w:tc>
      </w:tr>
      <w:tr w:rsidR="00615190" w:rsidRPr="00864451" w14:paraId="46426329" w14:textId="77777777" w:rsidTr="003B44A2">
        <w:trPr>
          <w:trHeight w:val="60"/>
        </w:trPr>
        <w:tc>
          <w:tcPr>
            <w:tcW w:w="397" w:type="dxa"/>
            <w:tcMar>
              <w:top w:w="142" w:type="dxa"/>
              <w:left w:w="0" w:type="dxa"/>
              <w:bottom w:w="57" w:type="dxa"/>
              <w:right w:w="0" w:type="dxa"/>
            </w:tcMar>
          </w:tcPr>
          <w:p w14:paraId="58A2B5DB" w14:textId="77777777" w:rsidR="00864451" w:rsidRPr="00864451" w:rsidRDefault="00864451" w:rsidP="00615190">
            <w:pPr>
              <w:spacing w:line="240" w:lineRule="atLeast"/>
              <w:rPr>
                <w:rFonts w:ascii="Tahoma" w:hAnsi="Tahoma"/>
                <w:color w:val="000000" w:themeColor="text1"/>
                <w:sz w:val="16"/>
                <w:lang w:val="en-GB"/>
              </w:rPr>
            </w:pPr>
          </w:p>
        </w:tc>
        <w:tc>
          <w:tcPr>
            <w:tcW w:w="397" w:type="dxa"/>
            <w:tcMar>
              <w:top w:w="142" w:type="dxa"/>
              <w:left w:w="0" w:type="dxa"/>
              <w:bottom w:w="57" w:type="dxa"/>
              <w:right w:w="0" w:type="dxa"/>
            </w:tcMar>
          </w:tcPr>
          <w:p w14:paraId="75278918" w14:textId="77777777" w:rsidR="00864451" w:rsidRPr="00864451" w:rsidRDefault="00864451" w:rsidP="00615190">
            <w:pPr>
              <w:spacing w:line="240" w:lineRule="atLeast"/>
              <w:rPr>
                <w:rFonts w:ascii="Tahoma" w:hAnsi="Tahoma"/>
                <w:color w:val="000000" w:themeColor="text1"/>
                <w:sz w:val="16"/>
                <w:lang w:val="en-GB"/>
              </w:rPr>
            </w:pPr>
            <w:r w:rsidRPr="00864451">
              <w:rPr>
                <w:rFonts w:ascii="Tahoma" w:hAnsi="Tahoma"/>
                <w:color w:val="000000" w:themeColor="text1"/>
                <w:sz w:val="16"/>
                <w:lang w:val="en-GB"/>
              </w:rPr>
              <w:t>d.</w:t>
            </w:r>
          </w:p>
        </w:tc>
        <w:tc>
          <w:tcPr>
            <w:tcW w:w="9412" w:type="dxa"/>
            <w:tcMar>
              <w:top w:w="142" w:type="dxa"/>
              <w:left w:w="0" w:type="dxa"/>
              <w:bottom w:w="57" w:type="dxa"/>
              <w:right w:w="0" w:type="dxa"/>
            </w:tcMar>
          </w:tcPr>
          <w:p w14:paraId="08C34533" w14:textId="77777777" w:rsidR="00864451" w:rsidRPr="00864451" w:rsidRDefault="00864451" w:rsidP="00615190">
            <w:pPr>
              <w:spacing w:line="240" w:lineRule="atLeast"/>
              <w:rPr>
                <w:rFonts w:ascii="Tahoma" w:hAnsi="Tahoma"/>
                <w:color w:val="000000" w:themeColor="text1"/>
                <w:sz w:val="16"/>
                <w:lang w:val="en-GB"/>
              </w:rPr>
            </w:pPr>
            <w:r w:rsidRPr="00864451">
              <w:rPr>
                <w:rFonts w:ascii="Tahoma" w:hAnsi="Tahoma"/>
                <w:color w:val="000000" w:themeColor="text1"/>
                <w:sz w:val="16"/>
                <w:lang w:val="en-GB"/>
              </w:rPr>
              <w:t>In September 2022, the group lost significant influence in BYJU’S as it no longer exerts significant influence over the financial and operating policies of the entity. The group recognised a gain on disposal of the associate of US$22m, including a reclassification of the accumulated foreign currency translation losses of US$55m. The group accounts for its 9.67% effective interest in BYJU’S at fair value through other comprehensive income. The fair value of the BYJU’S investment, subsequent to the loss of significant influence, is US$578m.</w:t>
            </w:r>
          </w:p>
        </w:tc>
      </w:tr>
      <w:tr w:rsidR="00615190" w:rsidRPr="00864451" w14:paraId="686CB09A" w14:textId="77777777" w:rsidTr="003B44A2">
        <w:trPr>
          <w:trHeight w:val="60"/>
        </w:trPr>
        <w:tc>
          <w:tcPr>
            <w:tcW w:w="397" w:type="dxa"/>
            <w:tcMar>
              <w:top w:w="142" w:type="dxa"/>
              <w:left w:w="0" w:type="dxa"/>
              <w:bottom w:w="85" w:type="dxa"/>
              <w:right w:w="0" w:type="dxa"/>
            </w:tcMar>
          </w:tcPr>
          <w:p w14:paraId="7BE2E71F" w14:textId="77777777" w:rsidR="00864451" w:rsidRPr="00864451" w:rsidRDefault="00864451" w:rsidP="00615190">
            <w:pPr>
              <w:spacing w:line="240" w:lineRule="atLeast"/>
              <w:rPr>
                <w:rFonts w:ascii="Tahoma" w:hAnsi="Tahoma"/>
                <w:color w:val="000000" w:themeColor="text1"/>
                <w:sz w:val="16"/>
                <w:lang w:val="en-GB"/>
              </w:rPr>
            </w:pPr>
          </w:p>
        </w:tc>
        <w:tc>
          <w:tcPr>
            <w:tcW w:w="397" w:type="dxa"/>
            <w:tcMar>
              <w:top w:w="142" w:type="dxa"/>
              <w:left w:w="0" w:type="dxa"/>
              <w:bottom w:w="85" w:type="dxa"/>
              <w:right w:w="0" w:type="dxa"/>
            </w:tcMar>
          </w:tcPr>
          <w:p w14:paraId="4AC97830" w14:textId="77777777" w:rsidR="00864451" w:rsidRPr="00864451" w:rsidRDefault="00864451" w:rsidP="00615190">
            <w:pPr>
              <w:spacing w:line="240" w:lineRule="atLeast"/>
              <w:rPr>
                <w:rFonts w:ascii="Tahoma" w:hAnsi="Tahoma"/>
                <w:color w:val="000000" w:themeColor="text1"/>
                <w:sz w:val="16"/>
                <w:lang w:val="en-GB"/>
              </w:rPr>
            </w:pPr>
            <w:r w:rsidRPr="00864451">
              <w:rPr>
                <w:rFonts w:ascii="Tahoma" w:hAnsi="Tahoma"/>
                <w:color w:val="000000" w:themeColor="text1"/>
                <w:sz w:val="16"/>
                <w:lang w:val="en-GB"/>
              </w:rPr>
              <w:t>e.</w:t>
            </w:r>
          </w:p>
        </w:tc>
        <w:tc>
          <w:tcPr>
            <w:tcW w:w="9412" w:type="dxa"/>
            <w:tcMar>
              <w:top w:w="142" w:type="dxa"/>
              <w:left w:w="0" w:type="dxa"/>
              <w:bottom w:w="85" w:type="dxa"/>
              <w:right w:w="0" w:type="dxa"/>
            </w:tcMar>
          </w:tcPr>
          <w:p w14:paraId="2E14A0E1" w14:textId="77777777" w:rsidR="00864451" w:rsidRPr="00864451" w:rsidRDefault="00864451" w:rsidP="00615190">
            <w:pPr>
              <w:spacing w:line="240" w:lineRule="atLeast"/>
              <w:rPr>
                <w:rFonts w:ascii="Tahoma" w:hAnsi="Tahoma"/>
                <w:color w:val="000000" w:themeColor="text1"/>
                <w:sz w:val="16"/>
                <w:lang w:val="en-GB"/>
              </w:rPr>
            </w:pPr>
            <w:r w:rsidRPr="00864451">
              <w:rPr>
                <w:rFonts w:ascii="Tahoma" w:hAnsi="Tahoma"/>
                <w:color w:val="000000" w:themeColor="text1"/>
                <w:sz w:val="16"/>
                <w:lang w:val="en-GB"/>
              </w:rPr>
              <w:t>In September 2022, the group lost its significant influence in Udemy due to the loss of its board representation. The group recognised a gain on disposal of the associate of US$77m. The group accounts for its 12.16% effective interest in Udemy at fair value through other comprehensive income. The fair value of the Udemy investment, subsequent to the loss of significant influence, is US$207m.</w:t>
            </w:r>
          </w:p>
        </w:tc>
      </w:tr>
    </w:tbl>
    <w:p w14:paraId="2CBFEE1F" w14:textId="77777777" w:rsidR="00122801" w:rsidRDefault="00122801" w:rsidP="00615190">
      <w:pPr>
        <w:spacing w:line="240" w:lineRule="atLeast"/>
        <w:rPr>
          <w:rFonts w:ascii="Tahoma" w:hAnsi="Tahoma"/>
          <w:color w:val="000000" w:themeColor="text1"/>
          <w:sz w:val="16"/>
        </w:rPr>
      </w:pPr>
    </w:p>
    <w:p w14:paraId="5A1EDD7F" w14:textId="77777777" w:rsidR="00122801" w:rsidRDefault="00122801">
      <w:pPr>
        <w:rPr>
          <w:rFonts w:ascii="Tahoma" w:hAnsi="Tahoma"/>
          <w:color w:val="000000" w:themeColor="text1"/>
          <w:sz w:val="16"/>
        </w:rPr>
      </w:pPr>
      <w:r>
        <w:rPr>
          <w:rFonts w:ascii="Tahoma" w:hAnsi="Tahoma"/>
          <w:color w:val="000000" w:themeColor="text1"/>
          <w:sz w:val="16"/>
        </w:rPr>
        <w:br w:type="page"/>
      </w:r>
    </w:p>
    <w:p w14:paraId="6D2440DA" w14:textId="77777777" w:rsidR="00864451" w:rsidRPr="00615190" w:rsidRDefault="00864451" w:rsidP="00615190">
      <w:pPr>
        <w:spacing w:line="240" w:lineRule="atLeast"/>
        <w:rPr>
          <w:rFonts w:ascii="Tahoma" w:hAnsi="Tahoma"/>
          <w:color w:val="000000" w:themeColor="text1"/>
          <w:sz w:val="16"/>
        </w:rPr>
      </w:pPr>
    </w:p>
    <w:tbl>
      <w:tblPr>
        <w:tblW w:w="10206" w:type="dxa"/>
        <w:tblInd w:w="-8" w:type="dxa"/>
        <w:tblLayout w:type="fixed"/>
        <w:tblCellMar>
          <w:left w:w="0" w:type="dxa"/>
          <w:right w:w="0" w:type="dxa"/>
        </w:tblCellMar>
        <w:tblLook w:val="0000" w:firstRow="0" w:lastRow="0" w:firstColumn="0" w:lastColumn="0" w:noHBand="0" w:noVBand="0"/>
      </w:tblPr>
      <w:tblGrid>
        <w:gridCol w:w="397"/>
        <w:gridCol w:w="5132"/>
        <w:gridCol w:w="992"/>
        <w:gridCol w:w="1276"/>
        <w:gridCol w:w="1134"/>
        <w:gridCol w:w="1275"/>
      </w:tblGrid>
      <w:tr w:rsidR="00615190" w:rsidRPr="00864451" w14:paraId="20949D6F" w14:textId="77777777" w:rsidTr="007F5F50">
        <w:trPr>
          <w:trHeight w:val="60"/>
        </w:trPr>
        <w:tc>
          <w:tcPr>
            <w:tcW w:w="397" w:type="dxa"/>
            <w:shd w:val="clear" w:color="auto" w:fill="auto"/>
            <w:tcMar>
              <w:top w:w="0" w:type="dxa"/>
              <w:left w:w="0" w:type="dxa"/>
              <w:bottom w:w="57" w:type="dxa"/>
              <w:right w:w="0" w:type="dxa"/>
            </w:tcMar>
            <w:vAlign w:val="bottom"/>
          </w:tcPr>
          <w:p w14:paraId="22D8E4BB" w14:textId="77777777" w:rsidR="00864451" w:rsidRPr="00864451" w:rsidRDefault="009330F2" w:rsidP="00615190">
            <w:pPr>
              <w:spacing w:line="240" w:lineRule="atLeast"/>
              <w:rPr>
                <w:rFonts w:ascii="Tahoma" w:hAnsi="Tahoma"/>
                <w:b/>
                <w:bCs/>
                <w:color w:val="000000" w:themeColor="text1"/>
                <w:sz w:val="16"/>
                <w:lang w:val="en-GB"/>
              </w:rPr>
            </w:pPr>
            <w:r w:rsidRPr="00864451">
              <w:rPr>
                <w:rFonts w:ascii="Tahoma" w:hAnsi="Tahoma"/>
                <w:b/>
                <w:bCs/>
                <w:color w:val="000000" w:themeColor="text1"/>
                <w:sz w:val="16"/>
                <w:lang w:val="en-GB"/>
              </w:rPr>
              <w:t>17.</w:t>
            </w:r>
          </w:p>
        </w:tc>
        <w:tc>
          <w:tcPr>
            <w:tcW w:w="9809" w:type="dxa"/>
            <w:gridSpan w:val="5"/>
            <w:shd w:val="clear" w:color="auto" w:fill="auto"/>
            <w:tcMar>
              <w:top w:w="0" w:type="dxa"/>
              <w:left w:w="0" w:type="dxa"/>
              <w:bottom w:w="57" w:type="dxa"/>
              <w:right w:w="0" w:type="dxa"/>
            </w:tcMar>
            <w:vAlign w:val="bottom"/>
          </w:tcPr>
          <w:p w14:paraId="75CBA562" w14:textId="77777777" w:rsidR="00864451" w:rsidRPr="00864451" w:rsidRDefault="009330F2" w:rsidP="00615190">
            <w:pPr>
              <w:spacing w:line="240" w:lineRule="atLeast"/>
              <w:rPr>
                <w:rFonts w:ascii="Tahoma" w:hAnsi="Tahoma"/>
                <w:b/>
                <w:bCs/>
                <w:color w:val="000000" w:themeColor="text1"/>
                <w:sz w:val="16"/>
                <w:lang w:val="en-GB"/>
              </w:rPr>
            </w:pPr>
            <w:r w:rsidRPr="00864451">
              <w:rPr>
                <w:rFonts w:ascii="Tahoma" w:hAnsi="Tahoma"/>
                <w:b/>
                <w:bCs/>
                <w:color w:val="000000" w:themeColor="text1"/>
                <w:sz w:val="16"/>
                <w:lang w:val="en-GB"/>
              </w:rPr>
              <w:t>FINANCIAL INSTRUMENTS</w:t>
            </w:r>
          </w:p>
        </w:tc>
      </w:tr>
      <w:tr w:rsidR="00615190" w:rsidRPr="00864451" w14:paraId="10A20A49" w14:textId="77777777" w:rsidTr="007F5F50">
        <w:trPr>
          <w:trHeight w:val="60"/>
        </w:trPr>
        <w:tc>
          <w:tcPr>
            <w:tcW w:w="397" w:type="dxa"/>
            <w:shd w:val="clear" w:color="auto" w:fill="auto"/>
            <w:tcMar>
              <w:top w:w="57" w:type="dxa"/>
              <w:left w:w="0" w:type="dxa"/>
              <w:bottom w:w="57" w:type="dxa"/>
              <w:right w:w="0" w:type="dxa"/>
            </w:tcMar>
            <w:vAlign w:val="bottom"/>
          </w:tcPr>
          <w:p w14:paraId="0068767B" w14:textId="77777777" w:rsidR="00864451" w:rsidRPr="00864451" w:rsidRDefault="00864451" w:rsidP="00615190">
            <w:pPr>
              <w:spacing w:line="240" w:lineRule="atLeast"/>
              <w:rPr>
                <w:rFonts w:ascii="Tahoma" w:hAnsi="Tahoma"/>
                <w:color w:val="000000" w:themeColor="text1"/>
                <w:sz w:val="16"/>
                <w:lang w:val="en-GB"/>
              </w:rPr>
            </w:pPr>
          </w:p>
        </w:tc>
        <w:tc>
          <w:tcPr>
            <w:tcW w:w="9809" w:type="dxa"/>
            <w:gridSpan w:val="5"/>
            <w:shd w:val="clear" w:color="auto" w:fill="auto"/>
            <w:tcMar>
              <w:top w:w="57" w:type="dxa"/>
              <w:left w:w="0" w:type="dxa"/>
              <w:bottom w:w="57" w:type="dxa"/>
              <w:right w:w="0" w:type="dxa"/>
            </w:tcMar>
            <w:vAlign w:val="bottom"/>
          </w:tcPr>
          <w:p w14:paraId="42960747" w14:textId="77777777" w:rsidR="00864451" w:rsidRPr="00864451" w:rsidRDefault="00864451" w:rsidP="00615190">
            <w:pPr>
              <w:spacing w:line="240" w:lineRule="atLeast"/>
              <w:rPr>
                <w:rFonts w:ascii="Tahoma" w:hAnsi="Tahoma"/>
                <w:color w:val="000000" w:themeColor="text1"/>
                <w:sz w:val="16"/>
                <w:lang w:val="en-GB"/>
              </w:rPr>
            </w:pPr>
            <w:r w:rsidRPr="00864451">
              <w:rPr>
                <w:rFonts w:ascii="Tahoma" w:hAnsi="Tahoma"/>
                <w:color w:val="000000" w:themeColor="text1"/>
                <w:sz w:val="16"/>
                <w:lang w:val="en-GB"/>
              </w:rPr>
              <w:t>The group’s activities expose it to a variety of financial risks such as market risk (including currency risk, fair-value interest rate risk, cash flow interest rate risk and price risk), credit risk and liquidity risk.</w:t>
            </w:r>
          </w:p>
        </w:tc>
      </w:tr>
      <w:tr w:rsidR="00615190" w:rsidRPr="00864451" w14:paraId="72FA463B" w14:textId="77777777" w:rsidTr="007F5F50">
        <w:trPr>
          <w:trHeight w:val="60"/>
        </w:trPr>
        <w:tc>
          <w:tcPr>
            <w:tcW w:w="397" w:type="dxa"/>
            <w:shd w:val="clear" w:color="auto" w:fill="auto"/>
            <w:tcMar>
              <w:top w:w="142" w:type="dxa"/>
              <w:left w:w="0" w:type="dxa"/>
              <w:bottom w:w="57" w:type="dxa"/>
              <w:right w:w="0" w:type="dxa"/>
            </w:tcMar>
            <w:vAlign w:val="bottom"/>
          </w:tcPr>
          <w:p w14:paraId="33714C11" w14:textId="77777777" w:rsidR="00864451" w:rsidRPr="00864451" w:rsidRDefault="00864451" w:rsidP="00615190">
            <w:pPr>
              <w:spacing w:line="240" w:lineRule="atLeast"/>
              <w:rPr>
                <w:rFonts w:ascii="Tahoma" w:hAnsi="Tahoma"/>
                <w:color w:val="000000" w:themeColor="text1"/>
                <w:sz w:val="16"/>
                <w:lang w:val="en-GB"/>
              </w:rPr>
            </w:pPr>
          </w:p>
        </w:tc>
        <w:tc>
          <w:tcPr>
            <w:tcW w:w="9809" w:type="dxa"/>
            <w:gridSpan w:val="5"/>
            <w:shd w:val="clear" w:color="auto" w:fill="auto"/>
            <w:tcMar>
              <w:top w:w="142" w:type="dxa"/>
              <w:left w:w="0" w:type="dxa"/>
              <w:bottom w:w="57" w:type="dxa"/>
              <w:right w:w="0" w:type="dxa"/>
            </w:tcMar>
            <w:vAlign w:val="bottom"/>
          </w:tcPr>
          <w:p w14:paraId="1C7FEED6" w14:textId="623C2EEB" w:rsidR="00864451" w:rsidRPr="00864451" w:rsidRDefault="00864451" w:rsidP="00615190">
            <w:pPr>
              <w:spacing w:line="240" w:lineRule="atLeast"/>
              <w:rPr>
                <w:rFonts w:ascii="Tahoma" w:hAnsi="Tahoma"/>
                <w:color w:val="000000" w:themeColor="text1"/>
                <w:sz w:val="16"/>
                <w:lang w:val="en-GB"/>
              </w:rPr>
            </w:pPr>
            <w:r w:rsidRPr="00864451">
              <w:rPr>
                <w:rFonts w:ascii="Tahoma" w:hAnsi="Tahoma"/>
                <w:color w:val="000000" w:themeColor="text1"/>
                <w:sz w:val="16"/>
                <w:lang w:val="en-GB"/>
              </w:rPr>
              <w:t xml:space="preserve">The condensed consolidated interim financial statements do not include all financial risk management information and disclosures as required in the annual consolidated financial statements and should be read in conjunction with the group’s risk management information disclosed in note 39 of the consolidated financial statements, published in the annual report of </w:t>
            </w:r>
            <w:proofErr w:type="spellStart"/>
            <w:r w:rsidRPr="00864451">
              <w:rPr>
                <w:rFonts w:ascii="Tahoma" w:hAnsi="Tahoma"/>
                <w:color w:val="000000" w:themeColor="text1"/>
                <w:sz w:val="16"/>
                <w:lang w:val="en-GB"/>
              </w:rPr>
              <w:t>Prosus</w:t>
            </w:r>
            <w:proofErr w:type="spellEnd"/>
            <w:r w:rsidRPr="00864451">
              <w:rPr>
                <w:rFonts w:ascii="Tahoma" w:hAnsi="Tahoma"/>
                <w:color w:val="000000" w:themeColor="text1"/>
                <w:sz w:val="16"/>
                <w:lang w:val="en-GB"/>
              </w:rPr>
              <w:t xml:space="preserve"> for the year ended 31 March 2022. There have been no material changes in the group’s credit, liquidity and market risks or key inputs used in measuring fair value since </w:t>
            </w:r>
            <w:r w:rsidR="002F078E">
              <w:rPr>
                <w:rFonts w:ascii="Tahoma" w:hAnsi="Tahoma"/>
                <w:color w:val="000000" w:themeColor="text1"/>
                <w:sz w:val="16"/>
                <w:lang w:val="en-GB"/>
              </w:rPr>
              <w:br/>
            </w:r>
            <w:r w:rsidRPr="00864451">
              <w:rPr>
                <w:rFonts w:ascii="Tahoma" w:hAnsi="Tahoma"/>
                <w:color w:val="000000" w:themeColor="text1"/>
                <w:sz w:val="16"/>
                <w:lang w:val="en-GB"/>
              </w:rPr>
              <w:t>31 March 2022.</w:t>
            </w:r>
          </w:p>
        </w:tc>
      </w:tr>
      <w:tr w:rsidR="00615190" w:rsidRPr="00864451" w14:paraId="6751115F" w14:textId="77777777" w:rsidTr="007F5F50">
        <w:trPr>
          <w:trHeight w:val="60"/>
        </w:trPr>
        <w:tc>
          <w:tcPr>
            <w:tcW w:w="397" w:type="dxa"/>
            <w:shd w:val="clear" w:color="auto" w:fill="auto"/>
            <w:tcMar>
              <w:top w:w="142" w:type="dxa"/>
              <w:left w:w="0" w:type="dxa"/>
              <w:bottom w:w="113" w:type="dxa"/>
              <w:right w:w="0" w:type="dxa"/>
            </w:tcMar>
            <w:vAlign w:val="bottom"/>
          </w:tcPr>
          <w:p w14:paraId="06653202" w14:textId="77777777" w:rsidR="00864451" w:rsidRPr="00864451" w:rsidRDefault="00864451" w:rsidP="00615190">
            <w:pPr>
              <w:spacing w:line="240" w:lineRule="atLeast"/>
              <w:rPr>
                <w:rFonts w:ascii="Tahoma" w:hAnsi="Tahoma"/>
                <w:color w:val="000000" w:themeColor="text1"/>
                <w:sz w:val="16"/>
                <w:lang w:val="en-GB"/>
              </w:rPr>
            </w:pPr>
          </w:p>
        </w:tc>
        <w:tc>
          <w:tcPr>
            <w:tcW w:w="9809" w:type="dxa"/>
            <w:gridSpan w:val="5"/>
            <w:shd w:val="clear" w:color="auto" w:fill="auto"/>
            <w:tcMar>
              <w:top w:w="142" w:type="dxa"/>
              <w:left w:w="0" w:type="dxa"/>
              <w:bottom w:w="113" w:type="dxa"/>
              <w:right w:w="0" w:type="dxa"/>
            </w:tcMar>
            <w:vAlign w:val="bottom"/>
          </w:tcPr>
          <w:p w14:paraId="733C31D8" w14:textId="77777777" w:rsidR="00864451" w:rsidRPr="00864451" w:rsidRDefault="00864451" w:rsidP="00615190">
            <w:pPr>
              <w:spacing w:line="240" w:lineRule="atLeast"/>
              <w:rPr>
                <w:rFonts w:ascii="Tahoma" w:hAnsi="Tahoma"/>
                <w:color w:val="000000" w:themeColor="text1"/>
                <w:sz w:val="16"/>
                <w:lang w:val="en-GB"/>
              </w:rPr>
            </w:pPr>
            <w:r w:rsidRPr="00864451">
              <w:rPr>
                <w:rFonts w:ascii="Tahoma" w:hAnsi="Tahoma"/>
                <w:color w:val="000000" w:themeColor="text1"/>
                <w:sz w:val="16"/>
                <w:lang w:val="en-GB"/>
              </w:rPr>
              <w:t>The fair values of the group’s financial instruments that are measured at fair value at each reporting period, are categorised as follows:</w:t>
            </w:r>
          </w:p>
        </w:tc>
      </w:tr>
      <w:tr w:rsidR="00615190" w:rsidRPr="00864451" w14:paraId="7723DF99" w14:textId="77777777" w:rsidTr="00B3355F">
        <w:trPr>
          <w:trHeight w:val="60"/>
        </w:trPr>
        <w:tc>
          <w:tcPr>
            <w:tcW w:w="397" w:type="dxa"/>
            <w:shd w:val="clear" w:color="auto" w:fill="auto"/>
            <w:tcMar>
              <w:top w:w="85" w:type="dxa"/>
              <w:left w:w="0" w:type="dxa"/>
              <w:bottom w:w="85" w:type="dxa"/>
              <w:right w:w="0" w:type="dxa"/>
            </w:tcMar>
            <w:vAlign w:val="bottom"/>
          </w:tcPr>
          <w:p w14:paraId="2C14448D" w14:textId="77777777" w:rsidR="00864451" w:rsidRPr="00864451" w:rsidRDefault="00864451" w:rsidP="00615190">
            <w:pPr>
              <w:spacing w:line="240" w:lineRule="atLeast"/>
              <w:rPr>
                <w:rFonts w:ascii="Tahoma" w:hAnsi="Tahoma"/>
                <w:color w:val="000000" w:themeColor="text1"/>
                <w:sz w:val="16"/>
                <w:lang w:val="en-GB"/>
              </w:rPr>
            </w:pPr>
          </w:p>
        </w:tc>
        <w:tc>
          <w:tcPr>
            <w:tcW w:w="5132" w:type="dxa"/>
            <w:shd w:val="clear" w:color="auto" w:fill="auto"/>
            <w:tcMar>
              <w:top w:w="85" w:type="dxa"/>
              <w:left w:w="0" w:type="dxa"/>
              <w:bottom w:w="85" w:type="dxa"/>
              <w:right w:w="0" w:type="dxa"/>
            </w:tcMar>
            <w:vAlign w:val="bottom"/>
          </w:tcPr>
          <w:p w14:paraId="2096A34D" w14:textId="77777777" w:rsidR="00864451" w:rsidRPr="00864451" w:rsidRDefault="00864451" w:rsidP="00615190">
            <w:pPr>
              <w:spacing w:line="240" w:lineRule="atLeast"/>
              <w:rPr>
                <w:rFonts w:ascii="Tahoma" w:hAnsi="Tahoma"/>
                <w:color w:val="000000" w:themeColor="text1"/>
                <w:sz w:val="16"/>
                <w:lang w:val="en-GB"/>
              </w:rPr>
            </w:pPr>
          </w:p>
        </w:tc>
        <w:tc>
          <w:tcPr>
            <w:tcW w:w="4677" w:type="dxa"/>
            <w:gridSpan w:val="4"/>
            <w:shd w:val="clear" w:color="auto" w:fill="auto"/>
            <w:tcMar>
              <w:top w:w="85" w:type="dxa"/>
              <w:left w:w="0" w:type="dxa"/>
              <w:bottom w:w="85" w:type="dxa"/>
              <w:right w:w="0" w:type="dxa"/>
            </w:tcMar>
            <w:vAlign w:val="bottom"/>
          </w:tcPr>
          <w:p w14:paraId="4E037ECA" w14:textId="77777777" w:rsidR="00864451" w:rsidRPr="00864451" w:rsidRDefault="00864451" w:rsidP="00735F5E">
            <w:pPr>
              <w:spacing w:line="240" w:lineRule="atLeast"/>
              <w:jc w:val="center"/>
              <w:rPr>
                <w:rFonts w:ascii="Tahoma" w:hAnsi="Tahoma"/>
                <w:b/>
                <w:bCs/>
                <w:color w:val="000000" w:themeColor="text1"/>
                <w:sz w:val="16"/>
                <w:lang w:val="en-GB"/>
              </w:rPr>
            </w:pPr>
            <w:r w:rsidRPr="00864451">
              <w:rPr>
                <w:rFonts w:ascii="Tahoma" w:hAnsi="Tahoma"/>
                <w:b/>
                <w:bCs/>
                <w:color w:val="000000" w:themeColor="text1"/>
                <w:sz w:val="16"/>
                <w:lang w:val="en-GB"/>
              </w:rPr>
              <w:t>Fair-value measurements at 30 September 2022 using:</w:t>
            </w:r>
          </w:p>
        </w:tc>
      </w:tr>
      <w:tr w:rsidR="00615190" w:rsidRPr="00864451" w14:paraId="0C458B3A" w14:textId="77777777" w:rsidTr="00B3355F">
        <w:trPr>
          <w:trHeight w:val="60"/>
        </w:trPr>
        <w:tc>
          <w:tcPr>
            <w:tcW w:w="397" w:type="dxa"/>
            <w:shd w:val="clear" w:color="auto" w:fill="auto"/>
            <w:tcMar>
              <w:top w:w="113" w:type="dxa"/>
              <w:left w:w="0" w:type="dxa"/>
              <w:bottom w:w="113" w:type="dxa"/>
              <w:right w:w="0" w:type="dxa"/>
            </w:tcMar>
            <w:vAlign w:val="bottom"/>
          </w:tcPr>
          <w:p w14:paraId="3645F714" w14:textId="77777777" w:rsidR="00864451" w:rsidRPr="00864451" w:rsidRDefault="00864451" w:rsidP="00615190">
            <w:pPr>
              <w:spacing w:line="240" w:lineRule="atLeast"/>
              <w:rPr>
                <w:rFonts w:ascii="Tahoma" w:hAnsi="Tahoma"/>
                <w:color w:val="000000" w:themeColor="text1"/>
                <w:sz w:val="16"/>
                <w:lang w:val="en-GB"/>
              </w:rPr>
            </w:pPr>
          </w:p>
        </w:tc>
        <w:tc>
          <w:tcPr>
            <w:tcW w:w="5132" w:type="dxa"/>
            <w:tcBorders>
              <w:bottom w:val="single" w:sz="12" w:space="0" w:color="auto"/>
            </w:tcBorders>
            <w:shd w:val="clear" w:color="auto" w:fill="auto"/>
            <w:tcMar>
              <w:top w:w="113" w:type="dxa"/>
              <w:left w:w="0" w:type="dxa"/>
              <w:bottom w:w="113" w:type="dxa"/>
              <w:right w:w="0" w:type="dxa"/>
            </w:tcMar>
            <w:vAlign w:val="bottom"/>
          </w:tcPr>
          <w:p w14:paraId="352495E7" w14:textId="77777777" w:rsidR="00864451" w:rsidRPr="00864451" w:rsidRDefault="00864451" w:rsidP="00615190">
            <w:pPr>
              <w:spacing w:line="240" w:lineRule="atLeast"/>
              <w:rPr>
                <w:rFonts w:ascii="Tahoma" w:hAnsi="Tahoma"/>
                <w:color w:val="000000" w:themeColor="text1"/>
                <w:sz w:val="16"/>
                <w:lang w:val="en-GB"/>
              </w:rPr>
            </w:pPr>
          </w:p>
        </w:tc>
        <w:tc>
          <w:tcPr>
            <w:tcW w:w="992" w:type="dxa"/>
            <w:tcBorders>
              <w:bottom w:val="single" w:sz="12" w:space="0" w:color="auto"/>
            </w:tcBorders>
            <w:shd w:val="clear" w:color="auto" w:fill="auto"/>
            <w:tcMar>
              <w:top w:w="113" w:type="dxa"/>
              <w:left w:w="0" w:type="dxa"/>
              <w:bottom w:w="113" w:type="dxa"/>
              <w:right w:w="0" w:type="dxa"/>
            </w:tcMar>
            <w:vAlign w:val="bottom"/>
          </w:tcPr>
          <w:p w14:paraId="57979E60" w14:textId="77777777" w:rsidR="00864451" w:rsidRPr="00864451" w:rsidRDefault="00864451" w:rsidP="003C5EE0">
            <w:pPr>
              <w:spacing w:line="240" w:lineRule="atLeast"/>
              <w:jc w:val="right"/>
              <w:rPr>
                <w:rFonts w:ascii="Tahoma" w:hAnsi="Tahoma"/>
                <w:b/>
                <w:bCs/>
                <w:color w:val="000000" w:themeColor="text1"/>
                <w:sz w:val="16"/>
                <w:lang w:val="en-GB"/>
              </w:rPr>
            </w:pPr>
            <w:r w:rsidRPr="00864451">
              <w:rPr>
                <w:rFonts w:ascii="Tahoma" w:hAnsi="Tahoma"/>
                <w:b/>
                <w:bCs/>
                <w:color w:val="000000" w:themeColor="text1"/>
                <w:sz w:val="16"/>
                <w:lang w:val="en-GB"/>
              </w:rPr>
              <w:t>Carrying</w:t>
            </w:r>
          </w:p>
          <w:p w14:paraId="6EA3B272" w14:textId="77777777" w:rsidR="00864451" w:rsidRPr="00864451" w:rsidRDefault="00864451" w:rsidP="003C5EE0">
            <w:pPr>
              <w:spacing w:line="240" w:lineRule="atLeast"/>
              <w:jc w:val="right"/>
              <w:rPr>
                <w:rFonts w:ascii="Tahoma" w:hAnsi="Tahoma"/>
                <w:b/>
                <w:bCs/>
                <w:color w:val="000000" w:themeColor="text1"/>
                <w:sz w:val="16"/>
                <w:lang w:val="en-GB"/>
              </w:rPr>
            </w:pPr>
            <w:r w:rsidRPr="00864451">
              <w:rPr>
                <w:rFonts w:ascii="Tahoma" w:hAnsi="Tahoma"/>
                <w:b/>
                <w:bCs/>
                <w:color w:val="000000" w:themeColor="text1"/>
                <w:sz w:val="16"/>
                <w:lang w:val="en-GB"/>
              </w:rPr>
              <w:t>value</w:t>
            </w:r>
          </w:p>
          <w:p w14:paraId="1901BCFF" w14:textId="77777777" w:rsidR="00864451" w:rsidRPr="00864451" w:rsidRDefault="00864451" w:rsidP="003C5EE0">
            <w:pPr>
              <w:spacing w:line="240" w:lineRule="atLeast"/>
              <w:jc w:val="right"/>
              <w:rPr>
                <w:rFonts w:ascii="Tahoma" w:hAnsi="Tahoma"/>
                <w:b/>
                <w:bCs/>
                <w:color w:val="000000" w:themeColor="text1"/>
                <w:sz w:val="16"/>
                <w:lang w:val="en-GB"/>
              </w:rPr>
            </w:pPr>
            <w:proofErr w:type="spellStart"/>
            <w:r w:rsidRPr="00864451">
              <w:rPr>
                <w:rFonts w:ascii="Tahoma" w:hAnsi="Tahoma"/>
                <w:b/>
                <w:bCs/>
                <w:color w:val="000000" w:themeColor="text1"/>
                <w:sz w:val="16"/>
                <w:lang w:val="en-GB"/>
              </w:rPr>
              <w:t>US$’m</w:t>
            </w:r>
            <w:proofErr w:type="spellEnd"/>
          </w:p>
        </w:tc>
        <w:tc>
          <w:tcPr>
            <w:tcW w:w="1276" w:type="dxa"/>
            <w:tcBorders>
              <w:bottom w:val="single" w:sz="12" w:space="0" w:color="auto"/>
            </w:tcBorders>
            <w:shd w:val="clear" w:color="auto" w:fill="auto"/>
            <w:tcMar>
              <w:top w:w="113" w:type="dxa"/>
              <w:left w:w="0" w:type="dxa"/>
              <w:bottom w:w="113" w:type="dxa"/>
              <w:right w:w="0" w:type="dxa"/>
            </w:tcMar>
            <w:vAlign w:val="bottom"/>
          </w:tcPr>
          <w:p w14:paraId="72BC4698" w14:textId="77777777" w:rsidR="00864451" w:rsidRPr="00864451" w:rsidRDefault="00864451" w:rsidP="003C5EE0">
            <w:pPr>
              <w:spacing w:line="240" w:lineRule="atLeast"/>
              <w:jc w:val="right"/>
              <w:rPr>
                <w:rFonts w:ascii="Tahoma" w:hAnsi="Tahoma"/>
                <w:b/>
                <w:bCs/>
                <w:color w:val="000000" w:themeColor="text1"/>
                <w:sz w:val="16"/>
                <w:lang w:val="en-GB"/>
              </w:rPr>
            </w:pPr>
            <w:r w:rsidRPr="00864451">
              <w:rPr>
                <w:rFonts w:ascii="Tahoma" w:hAnsi="Tahoma"/>
                <w:b/>
                <w:bCs/>
                <w:color w:val="000000" w:themeColor="text1"/>
                <w:sz w:val="16"/>
                <w:lang w:val="en-GB"/>
              </w:rPr>
              <w:t xml:space="preserve">Quoted </w:t>
            </w:r>
          </w:p>
          <w:p w14:paraId="3BED2BC2" w14:textId="77777777" w:rsidR="00864451" w:rsidRPr="00864451" w:rsidRDefault="00864451" w:rsidP="003C5EE0">
            <w:pPr>
              <w:spacing w:line="240" w:lineRule="atLeast"/>
              <w:jc w:val="right"/>
              <w:rPr>
                <w:rFonts w:ascii="Tahoma" w:hAnsi="Tahoma"/>
                <w:b/>
                <w:bCs/>
                <w:color w:val="000000" w:themeColor="text1"/>
                <w:sz w:val="16"/>
                <w:lang w:val="en-GB"/>
              </w:rPr>
            </w:pPr>
            <w:r w:rsidRPr="00864451">
              <w:rPr>
                <w:rFonts w:ascii="Tahoma" w:hAnsi="Tahoma"/>
                <w:b/>
                <w:bCs/>
                <w:color w:val="000000" w:themeColor="text1"/>
                <w:sz w:val="16"/>
                <w:lang w:val="en-GB"/>
              </w:rPr>
              <w:t>prices</w:t>
            </w:r>
          </w:p>
          <w:p w14:paraId="14B472BE" w14:textId="77777777" w:rsidR="00864451" w:rsidRPr="00864451" w:rsidRDefault="00864451" w:rsidP="003C5EE0">
            <w:pPr>
              <w:spacing w:line="240" w:lineRule="atLeast"/>
              <w:jc w:val="right"/>
              <w:rPr>
                <w:rFonts w:ascii="Tahoma" w:hAnsi="Tahoma"/>
                <w:b/>
                <w:bCs/>
                <w:color w:val="000000" w:themeColor="text1"/>
                <w:sz w:val="16"/>
                <w:lang w:val="en-GB"/>
              </w:rPr>
            </w:pPr>
            <w:r w:rsidRPr="00864451">
              <w:rPr>
                <w:rFonts w:ascii="Tahoma" w:hAnsi="Tahoma"/>
                <w:b/>
                <w:bCs/>
                <w:color w:val="000000" w:themeColor="text1"/>
                <w:sz w:val="16"/>
                <w:lang w:val="en-GB"/>
              </w:rPr>
              <w:t>in active</w:t>
            </w:r>
          </w:p>
          <w:p w14:paraId="69A29E84" w14:textId="77777777" w:rsidR="00864451" w:rsidRPr="00864451" w:rsidRDefault="00864451" w:rsidP="003C5EE0">
            <w:pPr>
              <w:spacing w:line="240" w:lineRule="atLeast"/>
              <w:jc w:val="right"/>
              <w:rPr>
                <w:rFonts w:ascii="Tahoma" w:hAnsi="Tahoma"/>
                <w:b/>
                <w:bCs/>
                <w:color w:val="000000" w:themeColor="text1"/>
                <w:sz w:val="16"/>
                <w:lang w:val="en-GB"/>
              </w:rPr>
            </w:pPr>
            <w:r w:rsidRPr="00864451">
              <w:rPr>
                <w:rFonts w:ascii="Tahoma" w:hAnsi="Tahoma"/>
                <w:b/>
                <w:bCs/>
                <w:color w:val="000000" w:themeColor="text1"/>
                <w:sz w:val="16"/>
                <w:lang w:val="en-GB"/>
              </w:rPr>
              <w:t>markets for</w:t>
            </w:r>
          </w:p>
          <w:p w14:paraId="1EA81056" w14:textId="77777777" w:rsidR="00864451" w:rsidRPr="00864451" w:rsidRDefault="00864451" w:rsidP="003C5EE0">
            <w:pPr>
              <w:spacing w:line="240" w:lineRule="atLeast"/>
              <w:jc w:val="right"/>
              <w:rPr>
                <w:rFonts w:ascii="Tahoma" w:hAnsi="Tahoma"/>
                <w:b/>
                <w:bCs/>
                <w:color w:val="000000" w:themeColor="text1"/>
                <w:sz w:val="16"/>
                <w:lang w:val="en-GB"/>
              </w:rPr>
            </w:pPr>
            <w:r w:rsidRPr="00864451">
              <w:rPr>
                <w:rFonts w:ascii="Tahoma" w:hAnsi="Tahoma"/>
                <w:b/>
                <w:bCs/>
                <w:color w:val="000000" w:themeColor="text1"/>
                <w:sz w:val="16"/>
                <w:lang w:val="en-GB"/>
              </w:rPr>
              <w:t>identical</w:t>
            </w:r>
          </w:p>
          <w:p w14:paraId="308779AD" w14:textId="77777777" w:rsidR="00864451" w:rsidRPr="00864451" w:rsidRDefault="00864451" w:rsidP="003C5EE0">
            <w:pPr>
              <w:spacing w:line="240" w:lineRule="atLeast"/>
              <w:jc w:val="right"/>
              <w:rPr>
                <w:rFonts w:ascii="Tahoma" w:hAnsi="Tahoma"/>
                <w:b/>
                <w:bCs/>
                <w:color w:val="000000" w:themeColor="text1"/>
                <w:sz w:val="16"/>
                <w:lang w:val="en-GB"/>
              </w:rPr>
            </w:pPr>
            <w:r w:rsidRPr="00864451">
              <w:rPr>
                <w:rFonts w:ascii="Tahoma" w:hAnsi="Tahoma"/>
                <w:b/>
                <w:bCs/>
                <w:color w:val="000000" w:themeColor="text1"/>
                <w:sz w:val="16"/>
                <w:lang w:val="en-GB"/>
              </w:rPr>
              <w:t xml:space="preserve">assets or </w:t>
            </w:r>
          </w:p>
          <w:p w14:paraId="5853B1CC" w14:textId="77777777" w:rsidR="00864451" w:rsidRPr="00864451" w:rsidRDefault="00864451" w:rsidP="003C5EE0">
            <w:pPr>
              <w:spacing w:line="240" w:lineRule="atLeast"/>
              <w:jc w:val="right"/>
              <w:rPr>
                <w:rFonts w:ascii="Tahoma" w:hAnsi="Tahoma"/>
                <w:b/>
                <w:bCs/>
                <w:color w:val="000000" w:themeColor="text1"/>
                <w:sz w:val="16"/>
                <w:lang w:val="en-GB"/>
              </w:rPr>
            </w:pPr>
            <w:r w:rsidRPr="00864451">
              <w:rPr>
                <w:rFonts w:ascii="Tahoma" w:hAnsi="Tahoma"/>
                <w:b/>
                <w:bCs/>
                <w:color w:val="000000" w:themeColor="text1"/>
                <w:sz w:val="16"/>
                <w:lang w:val="en-GB"/>
              </w:rPr>
              <w:t>liabilities</w:t>
            </w:r>
          </w:p>
          <w:p w14:paraId="1DD8B1AF" w14:textId="77777777" w:rsidR="00864451" w:rsidRPr="00864451" w:rsidRDefault="00864451" w:rsidP="003C5EE0">
            <w:pPr>
              <w:spacing w:line="240" w:lineRule="atLeast"/>
              <w:jc w:val="right"/>
              <w:rPr>
                <w:rFonts w:ascii="Tahoma" w:hAnsi="Tahoma"/>
                <w:b/>
                <w:bCs/>
                <w:color w:val="000000" w:themeColor="text1"/>
                <w:sz w:val="16"/>
                <w:lang w:val="en-GB"/>
              </w:rPr>
            </w:pPr>
            <w:r w:rsidRPr="00864451">
              <w:rPr>
                <w:rFonts w:ascii="Tahoma" w:hAnsi="Tahoma"/>
                <w:b/>
                <w:bCs/>
                <w:color w:val="000000" w:themeColor="text1"/>
                <w:sz w:val="16"/>
                <w:lang w:val="en-GB"/>
              </w:rPr>
              <w:t>(</w:t>
            </w:r>
            <w:proofErr w:type="gramStart"/>
            <w:r w:rsidRPr="00864451">
              <w:rPr>
                <w:rFonts w:ascii="Tahoma" w:hAnsi="Tahoma"/>
                <w:b/>
                <w:bCs/>
                <w:color w:val="000000" w:themeColor="text1"/>
                <w:sz w:val="16"/>
                <w:lang w:val="en-GB"/>
              </w:rPr>
              <w:t>level</w:t>
            </w:r>
            <w:proofErr w:type="gramEnd"/>
            <w:r w:rsidRPr="00864451">
              <w:rPr>
                <w:rFonts w:ascii="Tahoma" w:hAnsi="Tahoma"/>
                <w:b/>
                <w:bCs/>
                <w:color w:val="000000" w:themeColor="text1"/>
                <w:sz w:val="16"/>
                <w:lang w:val="en-GB"/>
              </w:rPr>
              <w:t xml:space="preserve"> 1)</w:t>
            </w:r>
          </w:p>
          <w:p w14:paraId="1D25407F" w14:textId="77777777" w:rsidR="00864451" w:rsidRPr="00864451" w:rsidRDefault="00864451" w:rsidP="003C5EE0">
            <w:pPr>
              <w:spacing w:line="240" w:lineRule="atLeast"/>
              <w:jc w:val="right"/>
              <w:rPr>
                <w:rFonts w:ascii="Tahoma" w:hAnsi="Tahoma"/>
                <w:b/>
                <w:bCs/>
                <w:color w:val="000000" w:themeColor="text1"/>
                <w:sz w:val="16"/>
                <w:lang w:val="en-GB"/>
              </w:rPr>
            </w:pPr>
            <w:proofErr w:type="spellStart"/>
            <w:r w:rsidRPr="00864451">
              <w:rPr>
                <w:rFonts w:ascii="Tahoma" w:hAnsi="Tahoma"/>
                <w:b/>
                <w:bCs/>
                <w:color w:val="000000" w:themeColor="text1"/>
                <w:sz w:val="16"/>
                <w:lang w:val="en-GB"/>
              </w:rPr>
              <w:t>US$’m</w:t>
            </w:r>
            <w:proofErr w:type="spellEnd"/>
          </w:p>
        </w:tc>
        <w:tc>
          <w:tcPr>
            <w:tcW w:w="1134" w:type="dxa"/>
            <w:tcBorders>
              <w:bottom w:val="single" w:sz="12" w:space="0" w:color="auto"/>
            </w:tcBorders>
            <w:shd w:val="clear" w:color="auto" w:fill="auto"/>
            <w:tcMar>
              <w:top w:w="113" w:type="dxa"/>
              <w:left w:w="0" w:type="dxa"/>
              <w:bottom w:w="113" w:type="dxa"/>
              <w:right w:w="0" w:type="dxa"/>
            </w:tcMar>
            <w:vAlign w:val="bottom"/>
          </w:tcPr>
          <w:p w14:paraId="39280B46" w14:textId="77777777" w:rsidR="00864451" w:rsidRPr="00864451" w:rsidRDefault="00864451" w:rsidP="003C5EE0">
            <w:pPr>
              <w:spacing w:line="240" w:lineRule="atLeast"/>
              <w:jc w:val="right"/>
              <w:rPr>
                <w:rFonts w:ascii="Tahoma" w:hAnsi="Tahoma"/>
                <w:b/>
                <w:bCs/>
                <w:color w:val="000000" w:themeColor="text1"/>
                <w:sz w:val="16"/>
                <w:lang w:val="en-GB"/>
              </w:rPr>
            </w:pPr>
            <w:r w:rsidRPr="00864451">
              <w:rPr>
                <w:rFonts w:ascii="Tahoma" w:hAnsi="Tahoma"/>
                <w:b/>
                <w:bCs/>
                <w:color w:val="000000" w:themeColor="text1"/>
                <w:sz w:val="16"/>
                <w:lang w:val="en-GB"/>
              </w:rPr>
              <w:t>Significant</w:t>
            </w:r>
          </w:p>
          <w:p w14:paraId="50454CAD" w14:textId="77777777" w:rsidR="00864451" w:rsidRPr="00864451" w:rsidRDefault="00864451" w:rsidP="003C5EE0">
            <w:pPr>
              <w:spacing w:line="240" w:lineRule="atLeast"/>
              <w:jc w:val="right"/>
              <w:rPr>
                <w:rFonts w:ascii="Tahoma" w:hAnsi="Tahoma"/>
                <w:b/>
                <w:bCs/>
                <w:color w:val="000000" w:themeColor="text1"/>
                <w:sz w:val="16"/>
                <w:lang w:val="en-GB"/>
              </w:rPr>
            </w:pPr>
            <w:r w:rsidRPr="00864451">
              <w:rPr>
                <w:rFonts w:ascii="Tahoma" w:hAnsi="Tahoma"/>
                <w:b/>
                <w:bCs/>
                <w:color w:val="000000" w:themeColor="text1"/>
                <w:sz w:val="16"/>
                <w:lang w:val="en-GB"/>
              </w:rPr>
              <w:t>other</w:t>
            </w:r>
          </w:p>
          <w:p w14:paraId="0D9B774C" w14:textId="77777777" w:rsidR="00864451" w:rsidRPr="00864451" w:rsidRDefault="00864451" w:rsidP="003C5EE0">
            <w:pPr>
              <w:spacing w:line="240" w:lineRule="atLeast"/>
              <w:jc w:val="right"/>
              <w:rPr>
                <w:rFonts w:ascii="Tahoma" w:hAnsi="Tahoma"/>
                <w:b/>
                <w:bCs/>
                <w:color w:val="000000" w:themeColor="text1"/>
                <w:sz w:val="16"/>
                <w:lang w:val="en-GB"/>
              </w:rPr>
            </w:pPr>
            <w:r w:rsidRPr="00864451">
              <w:rPr>
                <w:rFonts w:ascii="Tahoma" w:hAnsi="Tahoma"/>
                <w:b/>
                <w:bCs/>
                <w:color w:val="000000" w:themeColor="text1"/>
                <w:sz w:val="16"/>
                <w:lang w:val="en-GB"/>
              </w:rPr>
              <w:t>observable</w:t>
            </w:r>
          </w:p>
          <w:p w14:paraId="203C480C" w14:textId="77777777" w:rsidR="00864451" w:rsidRPr="00864451" w:rsidRDefault="00864451" w:rsidP="003C5EE0">
            <w:pPr>
              <w:spacing w:line="240" w:lineRule="atLeast"/>
              <w:jc w:val="right"/>
              <w:rPr>
                <w:rFonts w:ascii="Tahoma" w:hAnsi="Tahoma"/>
                <w:b/>
                <w:bCs/>
                <w:color w:val="000000" w:themeColor="text1"/>
                <w:sz w:val="16"/>
                <w:lang w:val="en-GB"/>
              </w:rPr>
            </w:pPr>
            <w:r w:rsidRPr="00864451">
              <w:rPr>
                <w:rFonts w:ascii="Tahoma" w:hAnsi="Tahoma"/>
                <w:b/>
                <w:bCs/>
                <w:color w:val="000000" w:themeColor="text1"/>
                <w:sz w:val="16"/>
                <w:lang w:val="en-GB"/>
              </w:rPr>
              <w:t>inputs</w:t>
            </w:r>
          </w:p>
          <w:p w14:paraId="43A4B8FE" w14:textId="77777777" w:rsidR="00864451" w:rsidRPr="00864451" w:rsidRDefault="00864451" w:rsidP="003C5EE0">
            <w:pPr>
              <w:spacing w:line="240" w:lineRule="atLeast"/>
              <w:jc w:val="right"/>
              <w:rPr>
                <w:rFonts w:ascii="Tahoma" w:hAnsi="Tahoma"/>
                <w:b/>
                <w:bCs/>
                <w:color w:val="000000" w:themeColor="text1"/>
                <w:sz w:val="16"/>
                <w:lang w:val="en-GB"/>
              </w:rPr>
            </w:pPr>
            <w:r w:rsidRPr="00864451">
              <w:rPr>
                <w:rFonts w:ascii="Tahoma" w:hAnsi="Tahoma"/>
                <w:b/>
                <w:bCs/>
                <w:color w:val="000000" w:themeColor="text1"/>
                <w:sz w:val="16"/>
                <w:lang w:val="en-GB"/>
              </w:rPr>
              <w:t>(</w:t>
            </w:r>
            <w:proofErr w:type="gramStart"/>
            <w:r w:rsidRPr="00864451">
              <w:rPr>
                <w:rFonts w:ascii="Tahoma" w:hAnsi="Tahoma"/>
                <w:b/>
                <w:bCs/>
                <w:color w:val="000000" w:themeColor="text1"/>
                <w:sz w:val="16"/>
                <w:lang w:val="en-GB"/>
              </w:rPr>
              <w:t>level</w:t>
            </w:r>
            <w:proofErr w:type="gramEnd"/>
            <w:r w:rsidRPr="00864451">
              <w:rPr>
                <w:rFonts w:ascii="Tahoma" w:hAnsi="Tahoma"/>
                <w:b/>
                <w:bCs/>
                <w:color w:val="000000" w:themeColor="text1"/>
                <w:sz w:val="16"/>
                <w:lang w:val="en-GB"/>
              </w:rPr>
              <w:t xml:space="preserve"> 2)</w:t>
            </w:r>
          </w:p>
          <w:p w14:paraId="2159D0CD" w14:textId="77777777" w:rsidR="00864451" w:rsidRPr="00864451" w:rsidRDefault="00864451" w:rsidP="003C5EE0">
            <w:pPr>
              <w:spacing w:line="240" w:lineRule="atLeast"/>
              <w:jc w:val="right"/>
              <w:rPr>
                <w:rFonts w:ascii="Tahoma" w:hAnsi="Tahoma"/>
                <w:b/>
                <w:bCs/>
                <w:color w:val="000000" w:themeColor="text1"/>
                <w:sz w:val="16"/>
                <w:lang w:val="en-GB"/>
              </w:rPr>
            </w:pPr>
            <w:proofErr w:type="spellStart"/>
            <w:r w:rsidRPr="00864451">
              <w:rPr>
                <w:rFonts w:ascii="Tahoma" w:hAnsi="Tahoma"/>
                <w:b/>
                <w:bCs/>
                <w:color w:val="000000" w:themeColor="text1"/>
                <w:sz w:val="16"/>
                <w:lang w:val="en-GB"/>
              </w:rPr>
              <w:t>US$’m</w:t>
            </w:r>
            <w:proofErr w:type="spellEnd"/>
          </w:p>
        </w:tc>
        <w:tc>
          <w:tcPr>
            <w:tcW w:w="1275" w:type="dxa"/>
            <w:tcBorders>
              <w:bottom w:val="single" w:sz="12" w:space="0" w:color="auto"/>
            </w:tcBorders>
            <w:shd w:val="clear" w:color="auto" w:fill="auto"/>
            <w:tcMar>
              <w:top w:w="113" w:type="dxa"/>
              <w:left w:w="0" w:type="dxa"/>
              <w:bottom w:w="113" w:type="dxa"/>
              <w:right w:w="0" w:type="dxa"/>
            </w:tcMar>
            <w:vAlign w:val="bottom"/>
          </w:tcPr>
          <w:p w14:paraId="0DAC0ADD" w14:textId="77777777" w:rsidR="00864451" w:rsidRPr="00864451" w:rsidRDefault="00864451" w:rsidP="003C5EE0">
            <w:pPr>
              <w:spacing w:line="240" w:lineRule="atLeast"/>
              <w:jc w:val="right"/>
              <w:rPr>
                <w:rFonts w:ascii="Tahoma" w:hAnsi="Tahoma"/>
                <w:b/>
                <w:bCs/>
                <w:color w:val="000000" w:themeColor="text1"/>
                <w:sz w:val="16"/>
                <w:lang w:val="en-GB"/>
              </w:rPr>
            </w:pPr>
            <w:r w:rsidRPr="00864451">
              <w:rPr>
                <w:rFonts w:ascii="Tahoma" w:hAnsi="Tahoma"/>
                <w:b/>
                <w:bCs/>
                <w:color w:val="000000" w:themeColor="text1"/>
                <w:sz w:val="16"/>
                <w:lang w:val="en-GB"/>
              </w:rPr>
              <w:t>Significant</w:t>
            </w:r>
          </w:p>
          <w:p w14:paraId="1C297137" w14:textId="77777777" w:rsidR="00864451" w:rsidRPr="00864451" w:rsidRDefault="00864451" w:rsidP="003C5EE0">
            <w:pPr>
              <w:spacing w:line="240" w:lineRule="atLeast"/>
              <w:jc w:val="right"/>
              <w:rPr>
                <w:rFonts w:ascii="Tahoma" w:hAnsi="Tahoma"/>
                <w:b/>
                <w:bCs/>
                <w:color w:val="000000" w:themeColor="text1"/>
                <w:sz w:val="16"/>
                <w:lang w:val="en-GB"/>
              </w:rPr>
            </w:pPr>
            <w:r w:rsidRPr="00864451">
              <w:rPr>
                <w:rFonts w:ascii="Tahoma" w:hAnsi="Tahoma"/>
                <w:b/>
                <w:bCs/>
                <w:color w:val="000000" w:themeColor="text1"/>
                <w:sz w:val="16"/>
                <w:lang w:val="en-GB"/>
              </w:rPr>
              <w:t>unobservable</w:t>
            </w:r>
          </w:p>
          <w:p w14:paraId="7CE915E8" w14:textId="77777777" w:rsidR="00864451" w:rsidRPr="00864451" w:rsidRDefault="00864451" w:rsidP="003C5EE0">
            <w:pPr>
              <w:spacing w:line="240" w:lineRule="atLeast"/>
              <w:jc w:val="right"/>
              <w:rPr>
                <w:rFonts w:ascii="Tahoma" w:hAnsi="Tahoma"/>
                <w:b/>
                <w:bCs/>
                <w:color w:val="000000" w:themeColor="text1"/>
                <w:sz w:val="16"/>
                <w:lang w:val="en-GB"/>
              </w:rPr>
            </w:pPr>
            <w:r w:rsidRPr="00864451">
              <w:rPr>
                <w:rFonts w:ascii="Tahoma" w:hAnsi="Tahoma"/>
                <w:b/>
                <w:bCs/>
                <w:color w:val="000000" w:themeColor="text1"/>
                <w:sz w:val="16"/>
                <w:lang w:val="en-GB"/>
              </w:rPr>
              <w:t>inputs</w:t>
            </w:r>
          </w:p>
          <w:p w14:paraId="14FA57B3" w14:textId="77777777" w:rsidR="00864451" w:rsidRPr="00864451" w:rsidRDefault="00864451" w:rsidP="003C5EE0">
            <w:pPr>
              <w:spacing w:line="240" w:lineRule="atLeast"/>
              <w:jc w:val="right"/>
              <w:rPr>
                <w:rFonts w:ascii="Tahoma" w:hAnsi="Tahoma"/>
                <w:b/>
                <w:bCs/>
                <w:color w:val="000000" w:themeColor="text1"/>
                <w:sz w:val="16"/>
                <w:lang w:val="en-GB"/>
              </w:rPr>
            </w:pPr>
            <w:r w:rsidRPr="00864451">
              <w:rPr>
                <w:rFonts w:ascii="Tahoma" w:hAnsi="Tahoma"/>
                <w:b/>
                <w:bCs/>
                <w:color w:val="000000" w:themeColor="text1"/>
                <w:sz w:val="16"/>
                <w:lang w:val="en-GB"/>
              </w:rPr>
              <w:t>(</w:t>
            </w:r>
            <w:proofErr w:type="gramStart"/>
            <w:r w:rsidRPr="00864451">
              <w:rPr>
                <w:rFonts w:ascii="Tahoma" w:hAnsi="Tahoma"/>
                <w:b/>
                <w:bCs/>
                <w:color w:val="000000" w:themeColor="text1"/>
                <w:sz w:val="16"/>
                <w:lang w:val="en-GB"/>
              </w:rPr>
              <w:t>level</w:t>
            </w:r>
            <w:proofErr w:type="gramEnd"/>
            <w:r w:rsidRPr="00864451">
              <w:rPr>
                <w:rFonts w:ascii="Tahoma" w:hAnsi="Tahoma"/>
                <w:b/>
                <w:bCs/>
                <w:color w:val="000000" w:themeColor="text1"/>
                <w:sz w:val="16"/>
                <w:lang w:val="en-GB"/>
              </w:rPr>
              <w:t xml:space="preserve"> 3)</w:t>
            </w:r>
          </w:p>
          <w:p w14:paraId="63032F96" w14:textId="77777777" w:rsidR="00864451" w:rsidRPr="00864451" w:rsidRDefault="00864451" w:rsidP="003C5EE0">
            <w:pPr>
              <w:spacing w:line="240" w:lineRule="atLeast"/>
              <w:jc w:val="right"/>
              <w:rPr>
                <w:rFonts w:ascii="Tahoma" w:hAnsi="Tahoma"/>
                <w:b/>
                <w:bCs/>
                <w:color w:val="000000" w:themeColor="text1"/>
                <w:sz w:val="16"/>
                <w:lang w:val="en-GB"/>
              </w:rPr>
            </w:pPr>
            <w:proofErr w:type="spellStart"/>
            <w:r w:rsidRPr="00864451">
              <w:rPr>
                <w:rFonts w:ascii="Tahoma" w:hAnsi="Tahoma"/>
                <w:b/>
                <w:bCs/>
                <w:color w:val="000000" w:themeColor="text1"/>
                <w:sz w:val="16"/>
                <w:lang w:val="en-GB"/>
              </w:rPr>
              <w:t>US$’m</w:t>
            </w:r>
            <w:proofErr w:type="spellEnd"/>
          </w:p>
        </w:tc>
      </w:tr>
      <w:tr w:rsidR="00615190" w:rsidRPr="00864451" w14:paraId="0059708D" w14:textId="77777777" w:rsidTr="00B3355F">
        <w:trPr>
          <w:trHeight w:val="60"/>
        </w:trPr>
        <w:tc>
          <w:tcPr>
            <w:tcW w:w="397" w:type="dxa"/>
            <w:shd w:val="clear" w:color="auto" w:fill="auto"/>
            <w:tcMar>
              <w:top w:w="142" w:type="dxa"/>
              <w:left w:w="0" w:type="dxa"/>
              <w:bottom w:w="57" w:type="dxa"/>
              <w:right w:w="0" w:type="dxa"/>
            </w:tcMar>
            <w:vAlign w:val="bottom"/>
          </w:tcPr>
          <w:p w14:paraId="62FADB9A" w14:textId="77777777" w:rsidR="00864451" w:rsidRPr="00864451" w:rsidRDefault="00864451" w:rsidP="00615190">
            <w:pPr>
              <w:spacing w:line="240" w:lineRule="atLeast"/>
              <w:rPr>
                <w:rFonts w:ascii="Tahoma" w:hAnsi="Tahoma"/>
                <w:color w:val="000000" w:themeColor="text1"/>
                <w:sz w:val="16"/>
                <w:lang w:val="en-GB"/>
              </w:rPr>
            </w:pPr>
          </w:p>
        </w:tc>
        <w:tc>
          <w:tcPr>
            <w:tcW w:w="5132" w:type="dxa"/>
            <w:tcBorders>
              <w:top w:val="single" w:sz="12" w:space="0" w:color="auto"/>
            </w:tcBorders>
            <w:shd w:val="clear" w:color="auto" w:fill="auto"/>
            <w:tcMar>
              <w:top w:w="142" w:type="dxa"/>
              <w:left w:w="0" w:type="dxa"/>
              <w:bottom w:w="57" w:type="dxa"/>
              <w:right w:w="0" w:type="dxa"/>
            </w:tcMar>
            <w:vAlign w:val="bottom"/>
          </w:tcPr>
          <w:p w14:paraId="4CC7913D" w14:textId="77777777" w:rsidR="00864451" w:rsidRPr="00864451" w:rsidRDefault="00864451" w:rsidP="00615190">
            <w:pPr>
              <w:spacing w:line="240" w:lineRule="atLeast"/>
              <w:rPr>
                <w:rFonts w:ascii="Tahoma" w:hAnsi="Tahoma"/>
                <w:b/>
                <w:bCs/>
                <w:color w:val="000000" w:themeColor="text1"/>
                <w:sz w:val="16"/>
                <w:lang w:val="en-GB"/>
              </w:rPr>
            </w:pPr>
            <w:r w:rsidRPr="00864451">
              <w:rPr>
                <w:rFonts w:ascii="Tahoma" w:hAnsi="Tahoma"/>
                <w:b/>
                <w:bCs/>
                <w:color w:val="000000" w:themeColor="text1"/>
                <w:sz w:val="16"/>
                <w:lang w:val="en-GB"/>
              </w:rPr>
              <w:t>Assets</w:t>
            </w:r>
          </w:p>
        </w:tc>
        <w:tc>
          <w:tcPr>
            <w:tcW w:w="992" w:type="dxa"/>
            <w:tcBorders>
              <w:top w:val="single" w:sz="12" w:space="0" w:color="auto"/>
            </w:tcBorders>
            <w:shd w:val="clear" w:color="auto" w:fill="auto"/>
            <w:tcMar>
              <w:top w:w="142" w:type="dxa"/>
              <w:left w:w="0" w:type="dxa"/>
              <w:bottom w:w="57" w:type="dxa"/>
              <w:right w:w="0" w:type="dxa"/>
            </w:tcMar>
            <w:vAlign w:val="bottom"/>
          </w:tcPr>
          <w:p w14:paraId="1F1BB963" w14:textId="77777777" w:rsidR="00864451" w:rsidRPr="00864451" w:rsidRDefault="00864451" w:rsidP="003C5EE0">
            <w:pPr>
              <w:spacing w:line="240" w:lineRule="atLeast"/>
              <w:jc w:val="right"/>
              <w:rPr>
                <w:rFonts w:ascii="Tahoma" w:hAnsi="Tahoma"/>
                <w:b/>
                <w:bCs/>
                <w:color w:val="000000" w:themeColor="text1"/>
                <w:sz w:val="16"/>
                <w:lang w:val="en-GB"/>
              </w:rPr>
            </w:pPr>
          </w:p>
        </w:tc>
        <w:tc>
          <w:tcPr>
            <w:tcW w:w="1276" w:type="dxa"/>
            <w:tcBorders>
              <w:top w:val="single" w:sz="12" w:space="0" w:color="auto"/>
            </w:tcBorders>
            <w:shd w:val="clear" w:color="auto" w:fill="auto"/>
            <w:tcMar>
              <w:top w:w="142" w:type="dxa"/>
              <w:left w:w="0" w:type="dxa"/>
              <w:bottom w:w="57" w:type="dxa"/>
              <w:right w:w="0" w:type="dxa"/>
            </w:tcMar>
            <w:vAlign w:val="bottom"/>
          </w:tcPr>
          <w:p w14:paraId="05A3D7D8" w14:textId="77777777" w:rsidR="00864451" w:rsidRPr="00864451" w:rsidRDefault="00864451" w:rsidP="003C5EE0">
            <w:pPr>
              <w:spacing w:line="240" w:lineRule="atLeast"/>
              <w:jc w:val="right"/>
              <w:rPr>
                <w:rFonts w:ascii="Tahoma" w:hAnsi="Tahoma"/>
                <w:b/>
                <w:bCs/>
                <w:color w:val="000000" w:themeColor="text1"/>
                <w:sz w:val="16"/>
                <w:lang w:val="en-GB"/>
              </w:rPr>
            </w:pPr>
          </w:p>
        </w:tc>
        <w:tc>
          <w:tcPr>
            <w:tcW w:w="1134" w:type="dxa"/>
            <w:tcBorders>
              <w:top w:val="single" w:sz="12" w:space="0" w:color="auto"/>
            </w:tcBorders>
            <w:shd w:val="clear" w:color="auto" w:fill="auto"/>
            <w:tcMar>
              <w:top w:w="142" w:type="dxa"/>
              <w:left w:w="0" w:type="dxa"/>
              <w:bottom w:w="57" w:type="dxa"/>
              <w:right w:w="0" w:type="dxa"/>
            </w:tcMar>
            <w:vAlign w:val="bottom"/>
          </w:tcPr>
          <w:p w14:paraId="799C3AE1" w14:textId="77777777" w:rsidR="00864451" w:rsidRPr="00864451" w:rsidRDefault="00864451" w:rsidP="003C5EE0">
            <w:pPr>
              <w:spacing w:line="240" w:lineRule="atLeast"/>
              <w:jc w:val="right"/>
              <w:rPr>
                <w:rFonts w:ascii="Tahoma" w:hAnsi="Tahoma"/>
                <w:b/>
                <w:bCs/>
                <w:color w:val="000000" w:themeColor="text1"/>
                <w:sz w:val="16"/>
                <w:lang w:val="en-GB"/>
              </w:rPr>
            </w:pPr>
          </w:p>
        </w:tc>
        <w:tc>
          <w:tcPr>
            <w:tcW w:w="1275" w:type="dxa"/>
            <w:tcBorders>
              <w:top w:val="single" w:sz="12" w:space="0" w:color="auto"/>
            </w:tcBorders>
            <w:shd w:val="clear" w:color="auto" w:fill="auto"/>
            <w:tcMar>
              <w:top w:w="142" w:type="dxa"/>
              <w:left w:w="0" w:type="dxa"/>
              <w:bottom w:w="57" w:type="dxa"/>
              <w:right w:w="0" w:type="dxa"/>
            </w:tcMar>
            <w:vAlign w:val="bottom"/>
          </w:tcPr>
          <w:p w14:paraId="798BB987" w14:textId="77777777" w:rsidR="00864451" w:rsidRPr="00864451" w:rsidRDefault="00864451" w:rsidP="003C5EE0">
            <w:pPr>
              <w:spacing w:line="240" w:lineRule="atLeast"/>
              <w:jc w:val="right"/>
              <w:rPr>
                <w:rFonts w:ascii="Tahoma" w:hAnsi="Tahoma"/>
                <w:b/>
                <w:bCs/>
                <w:color w:val="000000" w:themeColor="text1"/>
                <w:sz w:val="16"/>
                <w:lang w:val="en-GB"/>
              </w:rPr>
            </w:pPr>
          </w:p>
        </w:tc>
      </w:tr>
      <w:tr w:rsidR="00615190" w:rsidRPr="00864451" w14:paraId="0AC9E71A" w14:textId="77777777" w:rsidTr="007F5F50">
        <w:trPr>
          <w:trHeight w:val="60"/>
        </w:trPr>
        <w:tc>
          <w:tcPr>
            <w:tcW w:w="397" w:type="dxa"/>
            <w:shd w:val="clear" w:color="auto" w:fill="auto"/>
            <w:tcMar>
              <w:top w:w="57" w:type="dxa"/>
              <w:left w:w="0" w:type="dxa"/>
              <w:bottom w:w="57" w:type="dxa"/>
              <w:right w:w="0" w:type="dxa"/>
            </w:tcMar>
            <w:vAlign w:val="bottom"/>
          </w:tcPr>
          <w:p w14:paraId="023F721F" w14:textId="77777777" w:rsidR="00864451" w:rsidRPr="00864451" w:rsidRDefault="00864451" w:rsidP="00615190">
            <w:pPr>
              <w:spacing w:line="240" w:lineRule="atLeast"/>
              <w:rPr>
                <w:rFonts w:ascii="Tahoma" w:hAnsi="Tahoma"/>
                <w:color w:val="000000" w:themeColor="text1"/>
                <w:sz w:val="16"/>
                <w:lang w:val="en-GB"/>
              </w:rPr>
            </w:pPr>
          </w:p>
        </w:tc>
        <w:tc>
          <w:tcPr>
            <w:tcW w:w="5132" w:type="dxa"/>
            <w:shd w:val="clear" w:color="auto" w:fill="auto"/>
            <w:tcMar>
              <w:top w:w="57" w:type="dxa"/>
              <w:left w:w="0" w:type="dxa"/>
              <w:bottom w:w="57" w:type="dxa"/>
              <w:right w:w="0" w:type="dxa"/>
            </w:tcMar>
            <w:vAlign w:val="bottom"/>
          </w:tcPr>
          <w:p w14:paraId="5709B8C6" w14:textId="77777777" w:rsidR="00864451" w:rsidRPr="00864451" w:rsidRDefault="00864451" w:rsidP="00615190">
            <w:pPr>
              <w:spacing w:line="240" w:lineRule="atLeast"/>
              <w:rPr>
                <w:rFonts w:ascii="Tahoma" w:hAnsi="Tahoma"/>
                <w:color w:val="000000" w:themeColor="text1"/>
                <w:sz w:val="16"/>
                <w:lang w:val="en-GB"/>
              </w:rPr>
            </w:pPr>
            <w:r w:rsidRPr="00864451">
              <w:rPr>
                <w:rFonts w:ascii="Tahoma" w:hAnsi="Tahoma"/>
                <w:color w:val="000000" w:themeColor="text1"/>
                <w:sz w:val="16"/>
                <w:lang w:val="en-GB"/>
              </w:rPr>
              <w:t>Financial assets at fair value through other comprehensive income</w:t>
            </w:r>
          </w:p>
        </w:tc>
        <w:tc>
          <w:tcPr>
            <w:tcW w:w="992" w:type="dxa"/>
            <w:shd w:val="clear" w:color="auto" w:fill="auto"/>
            <w:tcMar>
              <w:top w:w="57" w:type="dxa"/>
              <w:left w:w="0" w:type="dxa"/>
              <w:bottom w:w="57" w:type="dxa"/>
              <w:right w:w="0" w:type="dxa"/>
            </w:tcMar>
            <w:vAlign w:val="bottom"/>
          </w:tcPr>
          <w:p w14:paraId="2B025DE9" w14:textId="77777777" w:rsidR="00864451" w:rsidRPr="00864451" w:rsidRDefault="00864451" w:rsidP="003C5EE0">
            <w:pPr>
              <w:spacing w:line="240" w:lineRule="atLeast"/>
              <w:jc w:val="right"/>
              <w:rPr>
                <w:rFonts w:ascii="Tahoma" w:hAnsi="Tahoma"/>
                <w:b/>
                <w:bCs/>
                <w:color w:val="000000" w:themeColor="text1"/>
                <w:sz w:val="16"/>
                <w:lang w:val="en-GB"/>
              </w:rPr>
            </w:pPr>
            <w:r w:rsidRPr="00864451">
              <w:rPr>
                <w:rFonts w:ascii="Tahoma" w:hAnsi="Tahoma"/>
                <w:b/>
                <w:bCs/>
                <w:color w:val="000000" w:themeColor="text1"/>
                <w:sz w:val="16"/>
                <w:lang w:val="en-GB"/>
              </w:rPr>
              <w:t>2 771</w:t>
            </w:r>
          </w:p>
        </w:tc>
        <w:tc>
          <w:tcPr>
            <w:tcW w:w="1276" w:type="dxa"/>
            <w:shd w:val="clear" w:color="auto" w:fill="auto"/>
            <w:tcMar>
              <w:top w:w="57" w:type="dxa"/>
              <w:left w:w="0" w:type="dxa"/>
              <w:bottom w:w="57" w:type="dxa"/>
              <w:right w:w="0" w:type="dxa"/>
            </w:tcMar>
            <w:vAlign w:val="bottom"/>
          </w:tcPr>
          <w:p w14:paraId="14D96CF8" w14:textId="77777777" w:rsidR="00864451" w:rsidRPr="00864451" w:rsidRDefault="00864451" w:rsidP="003C5EE0">
            <w:pPr>
              <w:spacing w:line="240" w:lineRule="atLeast"/>
              <w:jc w:val="right"/>
              <w:rPr>
                <w:rFonts w:ascii="Tahoma" w:hAnsi="Tahoma"/>
                <w:b/>
                <w:bCs/>
                <w:color w:val="000000" w:themeColor="text1"/>
                <w:sz w:val="16"/>
                <w:lang w:val="en-GB"/>
              </w:rPr>
            </w:pPr>
            <w:r w:rsidRPr="00864451">
              <w:rPr>
                <w:rFonts w:ascii="Tahoma" w:hAnsi="Tahoma"/>
                <w:b/>
                <w:bCs/>
                <w:color w:val="000000" w:themeColor="text1"/>
                <w:sz w:val="16"/>
                <w:lang w:val="en-GB"/>
              </w:rPr>
              <w:t>1 097</w:t>
            </w:r>
          </w:p>
        </w:tc>
        <w:tc>
          <w:tcPr>
            <w:tcW w:w="1134" w:type="dxa"/>
            <w:shd w:val="clear" w:color="auto" w:fill="auto"/>
            <w:tcMar>
              <w:top w:w="57" w:type="dxa"/>
              <w:left w:w="0" w:type="dxa"/>
              <w:bottom w:w="57" w:type="dxa"/>
              <w:right w:w="0" w:type="dxa"/>
            </w:tcMar>
            <w:vAlign w:val="bottom"/>
          </w:tcPr>
          <w:p w14:paraId="743617D8" w14:textId="77777777" w:rsidR="00864451" w:rsidRPr="00864451" w:rsidRDefault="00864451" w:rsidP="003C5EE0">
            <w:pPr>
              <w:spacing w:line="240" w:lineRule="atLeast"/>
              <w:jc w:val="right"/>
              <w:rPr>
                <w:rFonts w:ascii="Tahoma" w:hAnsi="Tahoma"/>
                <w:b/>
                <w:bCs/>
                <w:color w:val="000000" w:themeColor="text1"/>
                <w:sz w:val="16"/>
                <w:lang w:val="en-GB"/>
              </w:rPr>
            </w:pPr>
            <w:r w:rsidRPr="00864451">
              <w:rPr>
                <w:rFonts w:ascii="Tahoma" w:hAnsi="Tahoma"/>
                <w:b/>
                <w:bCs/>
                <w:color w:val="000000" w:themeColor="text1"/>
                <w:sz w:val="16"/>
                <w:lang w:val="en-GB"/>
              </w:rPr>
              <w:t>—</w:t>
            </w:r>
          </w:p>
        </w:tc>
        <w:tc>
          <w:tcPr>
            <w:tcW w:w="1275" w:type="dxa"/>
            <w:shd w:val="clear" w:color="auto" w:fill="auto"/>
            <w:tcMar>
              <w:top w:w="57" w:type="dxa"/>
              <w:left w:w="0" w:type="dxa"/>
              <w:bottom w:w="57" w:type="dxa"/>
              <w:right w:w="0" w:type="dxa"/>
            </w:tcMar>
            <w:vAlign w:val="bottom"/>
          </w:tcPr>
          <w:p w14:paraId="5A3DAAAF" w14:textId="77777777" w:rsidR="00864451" w:rsidRPr="00864451" w:rsidRDefault="00864451" w:rsidP="003C5EE0">
            <w:pPr>
              <w:spacing w:line="240" w:lineRule="atLeast"/>
              <w:jc w:val="right"/>
              <w:rPr>
                <w:rFonts w:ascii="Tahoma" w:hAnsi="Tahoma"/>
                <w:b/>
                <w:bCs/>
                <w:color w:val="000000" w:themeColor="text1"/>
                <w:sz w:val="16"/>
                <w:lang w:val="en-GB"/>
              </w:rPr>
            </w:pPr>
            <w:r w:rsidRPr="00864451">
              <w:rPr>
                <w:rFonts w:ascii="Tahoma" w:hAnsi="Tahoma"/>
                <w:b/>
                <w:bCs/>
                <w:color w:val="000000" w:themeColor="text1"/>
                <w:sz w:val="16"/>
                <w:lang w:val="en-GB"/>
              </w:rPr>
              <w:t>1 674</w:t>
            </w:r>
          </w:p>
        </w:tc>
      </w:tr>
      <w:tr w:rsidR="00615190" w:rsidRPr="00864451" w14:paraId="6D6EA652" w14:textId="77777777" w:rsidTr="007F5F50">
        <w:trPr>
          <w:trHeight w:val="60"/>
        </w:trPr>
        <w:tc>
          <w:tcPr>
            <w:tcW w:w="397" w:type="dxa"/>
            <w:shd w:val="clear" w:color="auto" w:fill="auto"/>
            <w:tcMar>
              <w:top w:w="57" w:type="dxa"/>
              <w:left w:w="0" w:type="dxa"/>
              <w:bottom w:w="57" w:type="dxa"/>
              <w:right w:w="0" w:type="dxa"/>
            </w:tcMar>
            <w:vAlign w:val="bottom"/>
          </w:tcPr>
          <w:p w14:paraId="7EB376A8" w14:textId="77777777" w:rsidR="00864451" w:rsidRPr="00864451" w:rsidRDefault="00864451" w:rsidP="00615190">
            <w:pPr>
              <w:spacing w:line="240" w:lineRule="atLeast"/>
              <w:rPr>
                <w:rFonts w:ascii="Tahoma" w:hAnsi="Tahoma"/>
                <w:color w:val="000000" w:themeColor="text1"/>
                <w:sz w:val="16"/>
                <w:lang w:val="en-GB"/>
              </w:rPr>
            </w:pPr>
          </w:p>
        </w:tc>
        <w:tc>
          <w:tcPr>
            <w:tcW w:w="5132" w:type="dxa"/>
            <w:shd w:val="clear" w:color="auto" w:fill="auto"/>
            <w:tcMar>
              <w:top w:w="57" w:type="dxa"/>
              <w:left w:w="0" w:type="dxa"/>
              <w:bottom w:w="57" w:type="dxa"/>
              <w:right w:w="0" w:type="dxa"/>
            </w:tcMar>
            <w:vAlign w:val="bottom"/>
          </w:tcPr>
          <w:p w14:paraId="45DBFD4C" w14:textId="77777777" w:rsidR="00864451" w:rsidRPr="00864451" w:rsidRDefault="00864451" w:rsidP="00615190">
            <w:pPr>
              <w:spacing w:line="240" w:lineRule="atLeast"/>
              <w:rPr>
                <w:rFonts w:ascii="Tahoma" w:hAnsi="Tahoma"/>
                <w:color w:val="000000" w:themeColor="text1"/>
                <w:sz w:val="16"/>
                <w:lang w:val="en-GB"/>
              </w:rPr>
            </w:pPr>
            <w:r w:rsidRPr="00864451">
              <w:rPr>
                <w:rFonts w:ascii="Tahoma" w:hAnsi="Tahoma"/>
                <w:color w:val="000000" w:themeColor="text1"/>
                <w:sz w:val="16"/>
                <w:lang w:val="en-GB"/>
              </w:rPr>
              <w:t>Financial assets at fair value through profit or loss</w:t>
            </w:r>
          </w:p>
        </w:tc>
        <w:tc>
          <w:tcPr>
            <w:tcW w:w="992" w:type="dxa"/>
            <w:shd w:val="clear" w:color="auto" w:fill="auto"/>
            <w:tcMar>
              <w:top w:w="57" w:type="dxa"/>
              <w:left w:w="0" w:type="dxa"/>
              <w:bottom w:w="57" w:type="dxa"/>
              <w:right w:w="0" w:type="dxa"/>
            </w:tcMar>
            <w:vAlign w:val="bottom"/>
          </w:tcPr>
          <w:p w14:paraId="2391269A" w14:textId="77777777" w:rsidR="00864451" w:rsidRPr="00864451" w:rsidRDefault="00864451" w:rsidP="003C5EE0">
            <w:pPr>
              <w:spacing w:line="240" w:lineRule="atLeast"/>
              <w:jc w:val="right"/>
              <w:rPr>
                <w:rFonts w:ascii="Tahoma" w:hAnsi="Tahoma"/>
                <w:b/>
                <w:bCs/>
                <w:color w:val="000000" w:themeColor="text1"/>
                <w:sz w:val="16"/>
                <w:lang w:val="en-GB"/>
              </w:rPr>
            </w:pPr>
            <w:r w:rsidRPr="00864451">
              <w:rPr>
                <w:rFonts w:ascii="Tahoma" w:hAnsi="Tahoma"/>
                <w:b/>
                <w:bCs/>
                <w:color w:val="000000" w:themeColor="text1"/>
                <w:sz w:val="16"/>
                <w:lang w:val="en-GB"/>
              </w:rPr>
              <w:t>82</w:t>
            </w:r>
          </w:p>
        </w:tc>
        <w:tc>
          <w:tcPr>
            <w:tcW w:w="1276" w:type="dxa"/>
            <w:shd w:val="clear" w:color="auto" w:fill="auto"/>
            <w:tcMar>
              <w:top w:w="57" w:type="dxa"/>
              <w:left w:w="0" w:type="dxa"/>
              <w:bottom w:w="57" w:type="dxa"/>
              <w:right w:w="0" w:type="dxa"/>
            </w:tcMar>
            <w:vAlign w:val="bottom"/>
          </w:tcPr>
          <w:p w14:paraId="12829B32" w14:textId="77777777" w:rsidR="00864451" w:rsidRPr="00864451" w:rsidRDefault="00864451" w:rsidP="003C5EE0">
            <w:pPr>
              <w:spacing w:line="240" w:lineRule="atLeast"/>
              <w:jc w:val="right"/>
              <w:rPr>
                <w:rFonts w:ascii="Tahoma" w:hAnsi="Tahoma"/>
                <w:b/>
                <w:bCs/>
                <w:color w:val="000000" w:themeColor="text1"/>
                <w:sz w:val="16"/>
                <w:lang w:val="en-GB"/>
              </w:rPr>
            </w:pPr>
            <w:r w:rsidRPr="00864451">
              <w:rPr>
                <w:rFonts w:ascii="Tahoma" w:hAnsi="Tahoma"/>
                <w:b/>
                <w:bCs/>
                <w:color w:val="000000" w:themeColor="text1"/>
                <w:sz w:val="16"/>
                <w:lang w:val="en-GB"/>
              </w:rPr>
              <w:t>3</w:t>
            </w:r>
          </w:p>
        </w:tc>
        <w:tc>
          <w:tcPr>
            <w:tcW w:w="1134" w:type="dxa"/>
            <w:shd w:val="clear" w:color="auto" w:fill="auto"/>
            <w:tcMar>
              <w:top w:w="57" w:type="dxa"/>
              <w:left w:w="0" w:type="dxa"/>
              <w:bottom w:w="57" w:type="dxa"/>
              <w:right w:w="0" w:type="dxa"/>
            </w:tcMar>
            <w:vAlign w:val="bottom"/>
          </w:tcPr>
          <w:p w14:paraId="378877F3" w14:textId="77777777" w:rsidR="00864451" w:rsidRPr="00864451" w:rsidRDefault="00864451" w:rsidP="003C5EE0">
            <w:pPr>
              <w:spacing w:line="240" w:lineRule="atLeast"/>
              <w:jc w:val="right"/>
              <w:rPr>
                <w:rFonts w:ascii="Tahoma" w:hAnsi="Tahoma"/>
                <w:b/>
                <w:bCs/>
                <w:color w:val="000000" w:themeColor="text1"/>
                <w:sz w:val="16"/>
                <w:lang w:val="en-GB"/>
              </w:rPr>
            </w:pPr>
            <w:r w:rsidRPr="00864451">
              <w:rPr>
                <w:rFonts w:ascii="Tahoma" w:hAnsi="Tahoma"/>
                <w:b/>
                <w:bCs/>
                <w:color w:val="000000" w:themeColor="text1"/>
                <w:sz w:val="16"/>
                <w:lang w:val="en-GB"/>
              </w:rPr>
              <w:t>—</w:t>
            </w:r>
          </w:p>
        </w:tc>
        <w:tc>
          <w:tcPr>
            <w:tcW w:w="1275" w:type="dxa"/>
            <w:shd w:val="clear" w:color="auto" w:fill="auto"/>
            <w:tcMar>
              <w:top w:w="57" w:type="dxa"/>
              <w:left w:w="0" w:type="dxa"/>
              <w:bottom w:w="57" w:type="dxa"/>
              <w:right w:w="0" w:type="dxa"/>
            </w:tcMar>
            <w:vAlign w:val="bottom"/>
          </w:tcPr>
          <w:p w14:paraId="096E7441" w14:textId="77777777" w:rsidR="00864451" w:rsidRPr="00864451" w:rsidRDefault="00864451" w:rsidP="003C5EE0">
            <w:pPr>
              <w:spacing w:line="240" w:lineRule="atLeast"/>
              <w:jc w:val="right"/>
              <w:rPr>
                <w:rFonts w:ascii="Tahoma" w:hAnsi="Tahoma"/>
                <w:b/>
                <w:bCs/>
                <w:color w:val="000000" w:themeColor="text1"/>
                <w:sz w:val="16"/>
                <w:lang w:val="en-GB"/>
              </w:rPr>
            </w:pPr>
            <w:r w:rsidRPr="00864451">
              <w:rPr>
                <w:rFonts w:ascii="Tahoma" w:hAnsi="Tahoma"/>
                <w:b/>
                <w:bCs/>
                <w:color w:val="000000" w:themeColor="text1"/>
                <w:sz w:val="16"/>
                <w:lang w:val="en-GB"/>
              </w:rPr>
              <w:t>79</w:t>
            </w:r>
          </w:p>
        </w:tc>
      </w:tr>
      <w:tr w:rsidR="00615190" w:rsidRPr="00864451" w14:paraId="1E99DD9C" w14:textId="77777777" w:rsidTr="007F5F50">
        <w:trPr>
          <w:trHeight w:val="60"/>
        </w:trPr>
        <w:tc>
          <w:tcPr>
            <w:tcW w:w="397" w:type="dxa"/>
            <w:shd w:val="clear" w:color="auto" w:fill="auto"/>
            <w:tcMar>
              <w:top w:w="57" w:type="dxa"/>
              <w:left w:w="0" w:type="dxa"/>
              <w:bottom w:w="57" w:type="dxa"/>
              <w:right w:w="0" w:type="dxa"/>
            </w:tcMar>
            <w:vAlign w:val="bottom"/>
          </w:tcPr>
          <w:p w14:paraId="48EF8748" w14:textId="77777777" w:rsidR="00864451" w:rsidRPr="00864451" w:rsidRDefault="00864451" w:rsidP="00615190">
            <w:pPr>
              <w:spacing w:line="240" w:lineRule="atLeast"/>
              <w:rPr>
                <w:rFonts w:ascii="Tahoma" w:hAnsi="Tahoma"/>
                <w:color w:val="000000" w:themeColor="text1"/>
                <w:sz w:val="16"/>
                <w:lang w:val="en-GB"/>
              </w:rPr>
            </w:pPr>
          </w:p>
        </w:tc>
        <w:tc>
          <w:tcPr>
            <w:tcW w:w="5132" w:type="dxa"/>
            <w:shd w:val="clear" w:color="auto" w:fill="auto"/>
            <w:tcMar>
              <w:top w:w="57" w:type="dxa"/>
              <w:left w:w="0" w:type="dxa"/>
              <w:bottom w:w="57" w:type="dxa"/>
              <w:right w:w="0" w:type="dxa"/>
            </w:tcMar>
            <w:vAlign w:val="bottom"/>
          </w:tcPr>
          <w:p w14:paraId="2825B9C9" w14:textId="77777777" w:rsidR="00864451" w:rsidRPr="00864451" w:rsidRDefault="00864451" w:rsidP="00615190">
            <w:pPr>
              <w:spacing w:line="240" w:lineRule="atLeast"/>
              <w:rPr>
                <w:rFonts w:ascii="Tahoma" w:hAnsi="Tahoma"/>
                <w:color w:val="000000" w:themeColor="text1"/>
                <w:sz w:val="16"/>
                <w:lang w:val="en-GB"/>
              </w:rPr>
            </w:pPr>
            <w:r w:rsidRPr="00864451">
              <w:rPr>
                <w:rFonts w:ascii="Tahoma" w:hAnsi="Tahoma"/>
                <w:color w:val="000000" w:themeColor="text1"/>
                <w:sz w:val="16"/>
                <w:lang w:val="en-GB"/>
              </w:rPr>
              <w:t>Forward exchange contracts</w:t>
            </w:r>
          </w:p>
        </w:tc>
        <w:tc>
          <w:tcPr>
            <w:tcW w:w="992" w:type="dxa"/>
            <w:shd w:val="clear" w:color="auto" w:fill="auto"/>
            <w:tcMar>
              <w:top w:w="57" w:type="dxa"/>
              <w:left w:w="0" w:type="dxa"/>
              <w:bottom w:w="57" w:type="dxa"/>
              <w:right w:w="0" w:type="dxa"/>
            </w:tcMar>
            <w:vAlign w:val="bottom"/>
          </w:tcPr>
          <w:p w14:paraId="4A552BAF" w14:textId="77777777" w:rsidR="00864451" w:rsidRPr="00864451" w:rsidRDefault="00864451" w:rsidP="003C5EE0">
            <w:pPr>
              <w:spacing w:line="240" w:lineRule="atLeast"/>
              <w:jc w:val="right"/>
              <w:rPr>
                <w:rFonts w:ascii="Tahoma" w:hAnsi="Tahoma"/>
                <w:b/>
                <w:bCs/>
                <w:color w:val="000000" w:themeColor="text1"/>
                <w:sz w:val="16"/>
                <w:lang w:val="en-GB"/>
              </w:rPr>
            </w:pPr>
            <w:r w:rsidRPr="00864451">
              <w:rPr>
                <w:rFonts w:ascii="Tahoma" w:hAnsi="Tahoma"/>
                <w:b/>
                <w:bCs/>
                <w:color w:val="000000" w:themeColor="text1"/>
                <w:sz w:val="16"/>
                <w:lang w:val="en-GB"/>
              </w:rPr>
              <w:t>1</w:t>
            </w:r>
          </w:p>
        </w:tc>
        <w:tc>
          <w:tcPr>
            <w:tcW w:w="1276" w:type="dxa"/>
            <w:shd w:val="clear" w:color="auto" w:fill="auto"/>
            <w:tcMar>
              <w:top w:w="57" w:type="dxa"/>
              <w:left w:w="0" w:type="dxa"/>
              <w:bottom w:w="57" w:type="dxa"/>
              <w:right w:w="0" w:type="dxa"/>
            </w:tcMar>
            <w:vAlign w:val="bottom"/>
          </w:tcPr>
          <w:p w14:paraId="4079C658" w14:textId="77777777" w:rsidR="00864451" w:rsidRPr="00864451" w:rsidRDefault="00864451" w:rsidP="003C5EE0">
            <w:pPr>
              <w:spacing w:line="240" w:lineRule="atLeast"/>
              <w:jc w:val="right"/>
              <w:rPr>
                <w:rFonts w:ascii="Tahoma" w:hAnsi="Tahoma"/>
                <w:b/>
                <w:bCs/>
                <w:color w:val="000000" w:themeColor="text1"/>
                <w:sz w:val="16"/>
                <w:lang w:val="en-GB"/>
              </w:rPr>
            </w:pPr>
            <w:r w:rsidRPr="00864451">
              <w:rPr>
                <w:rFonts w:ascii="Tahoma" w:hAnsi="Tahoma"/>
                <w:b/>
                <w:bCs/>
                <w:color w:val="000000" w:themeColor="text1"/>
                <w:sz w:val="16"/>
                <w:lang w:val="en-GB"/>
              </w:rPr>
              <w:t>—</w:t>
            </w:r>
          </w:p>
        </w:tc>
        <w:tc>
          <w:tcPr>
            <w:tcW w:w="1134" w:type="dxa"/>
            <w:shd w:val="clear" w:color="auto" w:fill="auto"/>
            <w:tcMar>
              <w:top w:w="57" w:type="dxa"/>
              <w:left w:w="0" w:type="dxa"/>
              <w:bottom w:w="57" w:type="dxa"/>
              <w:right w:w="0" w:type="dxa"/>
            </w:tcMar>
            <w:vAlign w:val="bottom"/>
          </w:tcPr>
          <w:p w14:paraId="1ABAFBC8" w14:textId="77777777" w:rsidR="00864451" w:rsidRPr="00864451" w:rsidRDefault="00864451" w:rsidP="003C5EE0">
            <w:pPr>
              <w:spacing w:line="240" w:lineRule="atLeast"/>
              <w:jc w:val="right"/>
              <w:rPr>
                <w:rFonts w:ascii="Tahoma" w:hAnsi="Tahoma"/>
                <w:b/>
                <w:bCs/>
                <w:color w:val="000000" w:themeColor="text1"/>
                <w:sz w:val="16"/>
                <w:lang w:val="en-GB"/>
              </w:rPr>
            </w:pPr>
            <w:r w:rsidRPr="00864451">
              <w:rPr>
                <w:rFonts w:ascii="Tahoma" w:hAnsi="Tahoma"/>
                <w:b/>
                <w:bCs/>
                <w:color w:val="000000" w:themeColor="text1"/>
                <w:sz w:val="16"/>
                <w:lang w:val="en-GB"/>
              </w:rPr>
              <w:t>1</w:t>
            </w:r>
          </w:p>
        </w:tc>
        <w:tc>
          <w:tcPr>
            <w:tcW w:w="1275" w:type="dxa"/>
            <w:shd w:val="clear" w:color="auto" w:fill="auto"/>
            <w:tcMar>
              <w:top w:w="57" w:type="dxa"/>
              <w:left w:w="0" w:type="dxa"/>
              <w:bottom w:w="57" w:type="dxa"/>
              <w:right w:w="0" w:type="dxa"/>
            </w:tcMar>
            <w:vAlign w:val="bottom"/>
          </w:tcPr>
          <w:p w14:paraId="1259EB05" w14:textId="77777777" w:rsidR="00864451" w:rsidRPr="00864451" w:rsidRDefault="00864451" w:rsidP="003C5EE0">
            <w:pPr>
              <w:spacing w:line="240" w:lineRule="atLeast"/>
              <w:jc w:val="right"/>
              <w:rPr>
                <w:rFonts w:ascii="Tahoma" w:hAnsi="Tahoma"/>
                <w:b/>
                <w:bCs/>
                <w:color w:val="000000" w:themeColor="text1"/>
                <w:sz w:val="16"/>
                <w:lang w:val="en-GB"/>
              </w:rPr>
            </w:pPr>
            <w:r w:rsidRPr="00864451">
              <w:rPr>
                <w:rFonts w:ascii="Tahoma" w:hAnsi="Tahoma"/>
                <w:b/>
                <w:bCs/>
                <w:color w:val="000000" w:themeColor="text1"/>
                <w:sz w:val="16"/>
                <w:lang w:val="en-GB"/>
              </w:rPr>
              <w:t>—</w:t>
            </w:r>
          </w:p>
        </w:tc>
      </w:tr>
      <w:tr w:rsidR="00615190" w:rsidRPr="00864451" w14:paraId="433291F2" w14:textId="77777777" w:rsidTr="007F5F50">
        <w:trPr>
          <w:trHeight w:val="60"/>
        </w:trPr>
        <w:tc>
          <w:tcPr>
            <w:tcW w:w="397" w:type="dxa"/>
            <w:shd w:val="clear" w:color="auto" w:fill="auto"/>
            <w:tcMar>
              <w:top w:w="57" w:type="dxa"/>
              <w:left w:w="0" w:type="dxa"/>
              <w:bottom w:w="57" w:type="dxa"/>
              <w:right w:w="0" w:type="dxa"/>
            </w:tcMar>
            <w:vAlign w:val="bottom"/>
          </w:tcPr>
          <w:p w14:paraId="0FD76565" w14:textId="77777777" w:rsidR="00864451" w:rsidRPr="00864451" w:rsidRDefault="00864451" w:rsidP="00615190">
            <w:pPr>
              <w:spacing w:line="240" w:lineRule="atLeast"/>
              <w:rPr>
                <w:rFonts w:ascii="Tahoma" w:hAnsi="Tahoma"/>
                <w:color w:val="000000" w:themeColor="text1"/>
                <w:sz w:val="16"/>
                <w:lang w:val="en-GB"/>
              </w:rPr>
            </w:pPr>
          </w:p>
        </w:tc>
        <w:tc>
          <w:tcPr>
            <w:tcW w:w="5132" w:type="dxa"/>
            <w:shd w:val="clear" w:color="auto" w:fill="auto"/>
            <w:tcMar>
              <w:top w:w="57" w:type="dxa"/>
              <w:left w:w="0" w:type="dxa"/>
              <w:bottom w:w="57" w:type="dxa"/>
              <w:right w:w="0" w:type="dxa"/>
            </w:tcMar>
            <w:vAlign w:val="bottom"/>
          </w:tcPr>
          <w:p w14:paraId="55597E40" w14:textId="77777777" w:rsidR="00864451" w:rsidRPr="00864451" w:rsidRDefault="00864451" w:rsidP="00615190">
            <w:pPr>
              <w:spacing w:line="240" w:lineRule="atLeast"/>
              <w:rPr>
                <w:rFonts w:ascii="Tahoma" w:hAnsi="Tahoma"/>
                <w:color w:val="000000" w:themeColor="text1"/>
                <w:sz w:val="16"/>
                <w:lang w:val="en-GB"/>
              </w:rPr>
            </w:pPr>
            <w:r w:rsidRPr="00864451">
              <w:rPr>
                <w:rFonts w:ascii="Tahoma" w:hAnsi="Tahoma"/>
                <w:color w:val="000000" w:themeColor="text1"/>
                <w:sz w:val="16"/>
                <w:lang w:val="en-GB"/>
              </w:rPr>
              <w:t>Derivatives contained in lease agreements</w:t>
            </w:r>
          </w:p>
        </w:tc>
        <w:tc>
          <w:tcPr>
            <w:tcW w:w="992" w:type="dxa"/>
            <w:shd w:val="clear" w:color="auto" w:fill="auto"/>
            <w:tcMar>
              <w:top w:w="57" w:type="dxa"/>
              <w:left w:w="0" w:type="dxa"/>
              <w:bottom w:w="57" w:type="dxa"/>
              <w:right w:w="0" w:type="dxa"/>
            </w:tcMar>
            <w:vAlign w:val="bottom"/>
          </w:tcPr>
          <w:p w14:paraId="654D3DAE" w14:textId="77777777" w:rsidR="00864451" w:rsidRPr="00864451" w:rsidRDefault="00864451" w:rsidP="003C5EE0">
            <w:pPr>
              <w:spacing w:line="240" w:lineRule="atLeast"/>
              <w:jc w:val="right"/>
              <w:rPr>
                <w:rFonts w:ascii="Tahoma" w:hAnsi="Tahoma"/>
                <w:b/>
                <w:bCs/>
                <w:color w:val="000000" w:themeColor="text1"/>
                <w:sz w:val="16"/>
                <w:lang w:val="en-GB"/>
              </w:rPr>
            </w:pPr>
            <w:r w:rsidRPr="00864451">
              <w:rPr>
                <w:rFonts w:ascii="Tahoma" w:hAnsi="Tahoma"/>
                <w:b/>
                <w:bCs/>
                <w:color w:val="000000" w:themeColor="text1"/>
                <w:sz w:val="16"/>
                <w:lang w:val="en-GB"/>
              </w:rPr>
              <w:t>1</w:t>
            </w:r>
          </w:p>
        </w:tc>
        <w:tc>
          <w:tcPr>
            <w:tcW w:w="1276" w:type="dxa"/>
            <w:shd w:val="clear" w:color="auto" w:fill="auto"/>
            <w:tcMar>
              <w:top w:w="57" w:type="dxa"/>
              <w:left w:w="0" w:type="dxa"/>
              <w:bottom w:w="57" w:type="dxa"/>
              <w:right w:w="0" w:type="dxa"/>
            </w:tcMar>
            <w:vAlign w:val="bottom"/>
          </w:tcPr>
          <w:p w14:paraId="5F4433A5" w14:textId="77777777" w:rsidR="00864451" w:rsidRPr="00864451" w:rsidRDefault="00864451" w:rsidP="003C5EE0">
            <w:pPr>
              <w:spacing w:line="240" w:lineRule="atLeast"/>
              <w:jc w:val="right"/>
              <w:rPr>
                <w:rFonts w:ascii="Tahoma" w:hAnsi="Tahoma"/>
                <w:b/>
                <w:bCs/>
                <w:color w:val="000000" w:themeColor="text1"/>
                <w:sz w:val="16"/>
                <w:lang w:val="en-GB"/>
              </w:rPr>
            </w:pPr>
            <w:r w:rsidRPr="00864451">
              <w:rPr>
                <w:rFonts w:ascii="Tahoma" w:hAnsi="Tahoma"/>
                <w:b/>
                <w:bCs/>
                <w:color w:val="000000" w:themeColor="text1"/>
                <w:sz w:val="16"/>
                <w:lang w:val="en-GB"/>
              </w:rPr>
              <w:t>—</w:t>
            </w:r>
          </w:p>
        </w:tc>
        <w:tc>
          <w:tcPr>
            <w:tcW w:w="1134" w:type="dxa"/>
            <w:shd w:val="clear" w:color="auto" w:fill="auto"/>
            <w:tcMar>
              <w:top w:w="57" w:type="dxa"/>
              <w:left w:w="0" w:type="dxa"/>
              <w:bottom w:w="57" w:type="dxa"/>
              <w:right w:w="0" w:type="dxa"/>
            </w:tcMar>
            <w:vAlign w:val="bottom"/>
          </w:tcPr>
          <w:p w14:paraId="567E2F4F" w14:textId="77777777" w:rsidR="00864451" w:rsidRPr="00864451" w:rsidRDefault="00864451" w:rsidP="003C5EE0">
            <w:pPr>
              <w:spacing w:line="240" w:lineRule="atLeast"/>
              <w:jc w:val="right"/>
              <w:rPr>
                <w:rFonts w:ascii="Tahoma" w:hAnsi="Tahoma"/>
                <w:b/>
                <w:bCs/>
                <w:color w:val="000000" w:themeColor="text1"/>
                <w:sz w:val="16"/>
                <w:lang w:val="en-GB"/>
              </w:rPr>
            </w:pPr>
            <w:r w:rsidRPr="00864451">
              <w:rPr>
                <w:rFonts w:ascii="Tahoma" w:hAnsi="Tahoma"/>
                <w:b/>
                <w:bCs/>
                <w:color w:val="000000" w:themeColor="text1"/>
                <w:sz w:val="16"/>
                <w:lang w:val="en-GB"/>
              </w:rPr>
              <w:t>—</w:t>
            </w:r>
          </w:p>
        </w:tc>
        <w:tc>
          <w:tcPr>
            <w:tcW w:w="1275" w:type="dxa"/>
            <w:shd w:val="clear" w:color="auto" w:fill="auto"/>
            <w:tcMar>
              <w:top w:w="57" w:type="dxa"/>
              <w:left w:w="0" w:type="dxa"/>
              <w:bottom w:w="57" w:type="dxa"/>
              <w:right w:w="0" w:type="dxa"/>
            </w:tcMar>
            <w:vAlign w:val="bottom"/>
          </w:tcPr>
          <w:p w14:paraId="41E9D8E5" w14:textId="77777777" w:rsidR="00864451" w:rsidRPr="00864451" w:rsidRDefault="00864451" w:rsidP="003C5EE0">
            <w:pPr>
              <w:spacing w:line="240" w:lineRule="atLeast"/>
              <w:jc w:val="right"/>
              <w:rPr>
                <w:rFonts w:ascii="Tahoma" w:hAnsi="Tahoma"/>
                <w:b/>
                <w:bCs/>
                <w:color w:val="000000" w:themeColor="text1"/>
                <w:sz w:val="16"/>
                <w:lang w:val="en-GB"/>
              </w:rPr>
            </w:pPr>
            <w:r w:rsidRPr="00864451">
              <w:rPr>
                <w:rFonts w:ascii="Tahoma" w:hAnsi="Tahoma"/>
                <w:b/>
                <w:bCs/>
                <w:color w:val="000000" w:themeColor="text1"/>
                <w:sz w:val="16"/>
                <w:lang w:val="en-GB"/>
              </w:rPr>
              <w:t>1</w:t>
            </w:r>
          </w:p>
        </w:tc>
      </w:tr>
      <w:tr w:rsidR="00615190" w:rsidRPr="00864451" w14:paraId="6F710298" w14:textId="77777777" w:rsidTr="007F5F50">
        <w:trPr>
          <w:trHeight w:val="60"/>
        </w:trPr>
        <w:tc>
          <w:tcPr>
            <w:tcW w:w="397" w:type="dxa"/>
            <w:shd w:val="clear" w:color="auto" w:fill="auto"/>
            <w:tcMar>
              <w:top w:w="57" w:type="dxa"/>
              <w:left w:w="0" w:type="dxa"/>
              <w:bottom w:w="57" w:type="dxa"/>
              <w:right w:w="0" w:type="dxa"/>
            </w:tcMar>
            <w:vAlign w:val="bottom"/>
          </w:tcPr>
          <w:p w14:paraId="0615D911" w14:textId="77777777" w:rsidR="00864451" w:rsidRPr="00864451" w:rsidRDefault="00864451" w:rsidP="00615190">
            <w:pPr>
              <w:spacing w:line="240" w:lineRule="atLeast"/>
              <w:rPr>
                <w:rFonts w:ascii="Tahoma" w:hAnsi="Tahoma"/>
                <w:color w:val="000000" w:themeColor="text1"/>
                <w:sz w:val="16"/>
                <w:lang w:val="en-GB"/>
              </w:rPr>
            </w:pPr>
          </w:p>
        </w:tc>
        <w:tc>
          <w:tcPr>
            <w:tcW w:w="5132" w:type="dxa"/>
            <w:shd w:val="clear" w:color="auto" w:fill="auto"/>
            <w:tcMar>
              <w:top w:w="57" w:type="dxa"/>
              <w:left w:w="0" w:type="dxa"/>
              <w:bottom w:w="57" w:type="dxa"/>
              <w:right w:w="0" w:type="dxa"/>
            </w:tcMar>
            <w:vAlign w:val="bottom"/>
          </w:tcPr>
          <w:p w14:paraId="0F352716" w14:textId="77777777" w:rsidR="00864451" w:rsidRPr="00864451" w:rsidRDefault="00864451" w:rsidP="00615190">
            <w:pPr>
              <w:spacing w:line="240" w:lineRule="atLeast"/>
              <w:rPr>
                <w:rFonts w:ascii="Tahoma" w:hAnsi="Tahoma"/>
                <w:color w:val="000000" w:themeColor="text1"/>
                <w:sz w:val="16"/>
                <w:lang w:val="en-GB"/>
              </w:rPr>
            </w:pPr>
            <w:r w:rsidRPr="00864451">
              <w:rPr>
                <w:rFonts w:ascii="Tahoma" w:hAnsi="Tahoma"/>
                <w:color w:val="000000" w:themeColor="text1"/>
                <w:sz w:val="16"/>
                <w:lang w:val="en-GB"/>
              </w:rPr>
              <w:t>Cross-currency interest rate swap</w:t>
            </w:r>
          </w:p>
        </w:tc>
        <w:tc>
          <w:tcPr>
            <w:tcW w:w="992" w:type="dxa"/>
            <w:shd w:val="clear" w:color="auto" w:fill="auto"/>
            <w:tcMar>
              <w:top w:w="57" w:type="dxa"/>
              <w:left w:w="0" w:type="dxa"/>
              <w:bottom w:w="57" w:type="dxa"/>
              <w:right w:w="0" w:type="dxa"/>
            </w:tcMar>
            <w:vAlign w:val="bottom"/>
          </w:tcPr>
          <w:p w14:paraId="05293C88" w14:textId="77777777" w:rsidR="00864451" w:rsidRPr="00864451" w:rsidRDefault="00864451" w:rsidP="003C5EE0">
            <w:pPr>
              <w:spacing w:line="240" w:lineRule="atLeast"/>
              <w:jc w:val="right"/>
              <w:rPr>
                <w:rFonts w:ascii="Tahoma" w:hAnsi="Tahoma"/>
                <w:b/>
                <w:bCs/>
                <w:color w:val="000000" w:themeColor="text1"/>
                <w:sz w:val="16"/>
                <w:lang w:val="en-GB"/>
              </w:rPr>
            </w:pPr>
            <w:r w:rsidRPr="00864451">
              <w:rPr>
                <w:rFonts w:ascii="Tahoma" w:hAnsi="Tahoma"/>
                <w:b/>
                <w:bCs/>
                <w:color w:val="000000" w:themeColor="text1"/>
                <w:sz w:val="16"/>
                <w:lang w:val="en-GB"/>
              </w:rPr>
              <w:t>28</w:t>
            </w:r>
          </w:p>
        </w:tc>
        <w:tc>
          <w:tcPr>
            <w:tcW w:w="1276" w:type="dxa"/>
            <w:shd w:val="clear" w:color="auto" w:fill="auto"/>
            <w:tcMar>
              <w:top w:w="57" w:type="dxa"/>
              <w:left w:w="0" w:type="dxa"/>
              <w:bottom w:w="57" w:type="dxa"/>
              <w:right w:w="0" w:type="dxa"/>
            </w:tcMar>
            <w:vAlign w:val="bottom"/>
          </w:tcPr>
          <w:p w14:paraId="1A03D01A" w14:textId="77777777" w:rsidR="00864451" w:rsidRPr="00864451" w:rsidRDefault="00864451" w:rsidP="003C5EE0">
            <w:pPr>
              <w:spacing w:line="240" w:lineRule="atLeast"/>
              <w:jc w:val="right"/>
              <w:rPr>
                <w:rFonts w:ascii="Tahoma" w:hAnsi="Tahoma"/>
                <w:b/>
                <w:bCs/>
                <w:color w:val="000000" w:themeColor="text1"/>
                <w:sz w:val="16"/>
                <w:lang w:val="en-GB"/>
              </w:rPr>
            </w:pPr>
            <w:r w:rsidRPr="00864451">
              <w:rPr>
                <w:rFonts w:ascii="Tahoma" w:hAnsi="Tahoma"/>
                <w:b/>
                <w:bCs/>
                <w:color w:val="000000" w:themeColor="text1"/>
                <w:sz w:val="16"/>
                <w:lang w:val="en-GB"/>
              </w:rPr>
              <w:t>—</w:t>
            </w:r>
          </w:p>
        </w:tc>
        <w:tc>
          <w:tcPr>
            <w:tcW w:w="1134" w:type="dxa"/>
            <w:shd w:val="clear" w:color="auto" w:fill="auto"/>
            <w:tcMar>
              <w:top w:w="57" w:type="dxa"/>
              <w:left w:w="0" w:type="dxa"/>
              <w:bottom w:w="57" w:type="dxa"/>
              <w:right w:w="0" w:type="dxa"/>
            </w:tcMar>
            <w:vAlign w:val="bottom"/>
          </w:tcPr>
          <w:p w14:paraId="1F532CBF" w14:textId="77777777" w:rsidR="00864451" w:rsidRPr="00864451" w:rsidRDefault="00864451" w:rsidP="003C5EE0">
            <w:pPr>
              <w:spacing w:line="240" w:lineRule="atLeast"/>
              <w:jc w:val="right"/>
              <w:rPr>
                <w:rFonts w:ascii="Tahoma" w:hAnsi="Tahoma"/>
                <w:b/>
                <w:bCs/>
                <w:color w:val="000000" w:themeColor="text1"/>
                <w:sz w:val="16"/>
                <w:lang w:val="en-GB"/>
              </w:rPr>
            </w:pPr>
            <w:r w:rsidRPr="00864451">
              <w:rPr>
                <w:rFonts w:ascii="Tahoma" w:hAnsi="Tahoma"/>
                <w:b/>
                <w:bCs/>
                <w:color w:val="000000" w:themeColor="text1"/>
                <w:sz w:val="16"/>
                <w:lang w:val="en-GB"/>
              </w:rPr>
              <w:t>28</w:t>
            </w:r>
          </w:p>
        </w:tc>
        <w:tc>
          <w:tcPr>
            <w:tcW w:w="1275" w:type="dxa"/>
            <w:shd w:val="clear" w:color="auto" w:fill="auto"/>
            <w:tcMar>
              <w:top w:w="57" w:type="dxa"/>
              <w:left w:w="0" w:type="dxa"/>
              <w:bottom w:w="57" w:type="dxa"/>
              <w:right w:w="0" w:type="dxa"/>
            </w:tcMar>
            <w:vAlign w:val="bottom"/>
          </w:tcPr>
          <w:p w14:paraId="54E850CF" w14:textId="77777777" w:rsidR="00864451" w:rsidRPr="00864451" w:rsidRDefault="00864451" w:rsidP="003C5EE0">
            <w:pPr>
              <w:spacing w:line="240" w:lineRule="atLeast"/>
              <w:jc w:val="right"/>
              <w:rPr>
                <w:rFonts w:ascii="Tahoma" w:hAnsi="Tahoma"/>
                <w:b/>
                <w:bCs/>
                <w:color w:val="000000" w:themeColor="text1"/>
                <w:sz w:val="16"/>
                <w:lang w:val="en-GB"/>
              </w:rPr>
            </w:pPr>
            <w:r w:rsidRPr="00864451">
              <w:rPr>
                <w:rFonts w:ascii="Tahoma" w:hAnsi="Tahoma"/>
                <w:b/>
                <w:bCs/>
                <w:color w:val="000000" w:themeColor="text1"/>
                <w:sz w:val="16"/>
                <w:lang w:val="en-GB"/>
              </w:rPr>
              <w:t>—</w:t>
            </w:r>
          </w:p>
        </w:tc>
      </w:tr>
      <w:tr w:rsidR="00615190" w:rsidRPr="00864451" w14:paraId="46596F10" w14:textId="77777777" w:rsidTr="007F5F50">
        <w:trPr>
          <w:trHeight w:val="60"/>
        </w:trPr>
        <w:tc>
          <w:tcPr>
            <w:tcW w:w="397" w:type="dxa"/>
            <w:shd w:val="clear" w:color="auto" w:fill="auto"/>
            <w:tcMar>
              <w:top w:w="57" w:type="dxa"/>
              <w:left w:w="0" w:type="dxa"/>
              <w:bottom w:w="57" w:type="dxa"/>
              <w:right w:w="0" w:type="dxa"/>
            </w:tcMar>
            <w:vAlign w:val="bottom"/>
          </w:tcPr>
          <w:p w14:paraId="5D7D628D" w14:textId="77777777" w:rsidR="00864451" w:rsidRPr="00864451" w:rsidRDefault="00864451" w:rsidP="00615190">
            <w:pPr>
              <w:spacing w:line="240" w:lineRule="atLeast"/>
              <w:rPr>
                <w:rFonts w:ascii="Tahoma" w:hAnsi="Tahoma"/>
                <w:color w:val="000000" w:themeColor="text1"/>
                <w:sz w:val="16"/>
                <w:lang w:val="en-GB"/>
              </w:rPr>
            </w:pPr>
          </w:p>
        </w:tc>
        <w:tc>
          <w:tcPr>
            <w:tcW w:w="5132" w:type="dxa"/>
            <w:shd w:val="clear" w:color="auto" w:fill="auto"/>
            <w:tcMar>
              <w:top w:w="57" w:type="dxa"/>
              <w:left w:w="0" w:type="dxa"/>
              <w:bottom w:w="57" w:type="dxa"/>
              <w:right w:w="0" w:type="dxa"/>
            </w:tcMar>
            <w:vAlign w:val="bottom"/>
          </w:tcPr>
          <w:p w14:paraId="2E3A9344" w14:textId="77777777" w:rsidR="00864451" w:rsidRPr="00864451" w:rsidRDefault="00864451" w:rsidP="00615190">
            <w:pPr>
              <w:spacing w:line="240" w:lineRule="atLeast"/>
              <w:rPr>
                <w:rFonts w:ascii="Tahoma" w:hAnsi="Tahoma"/>
                <w:color w:val="000000" w:themeColor="text1"/>
                <w:sz w:val="16"/>
                <w:lang w:val="en-GB"/>
              </w:rPr>
            </w:pPr>
            <w:r w:rsidRPr="00864451">
              <w:rPr>
                <w:rFonts w:ascii="Tahoma" w:hAnsi="Tahoma"/>
                <w:color w:val="000000" w:themeColor="text1"/>
                <w:sz w:val="16"/>
                <w:lang w:val="en-GB"/>
              </w:rPr>
              <w:t>Cash and cash equivalents</w:t>
            </w:r>
            <w:r w:rsidRPr="002F078E">
              <w:rPr>
                <w:rFonts w:ascii="Tahoma" w:hAnsi="Tahoma"/>
                <w:color w:val="000000" w:themeColor="text1"/>
                <w:sz w:val="16"/>
                <w:vertAlign w:val="superscript"/>
                <w:lang w:val="en-GB"/>
              </w:rPr>
              <w:t>1</w:t>
            </w:r>
          </w:p>
        </w:tc>
        <w:tc>
          <w:tcPr>
            <w:tcW w:w="992" w:type="dxa"/>
            <w:shd w:val="clear" w:color="auto" w:fill="auto"/>
            <w:tcMar>
              <w:top w:w="57" w:type="dxa"/>
              <w:left w:w="0" w:type="dxa"/>
              <w:bottom w:w="57" w:type="dxa"/>
              <w:right w:w="0" w:type="dxa"/>
            </w:tcMar>
            <w:vAlign w:val="bottom"/>
          </w:tcPr>
          <w:p w14:paraId="18305B97" w14:textId="77777777" w:rsidR="00864451" w:rsidRPr="00864451" w:rsidRDefault="00864451" w:rsidP="003C5EE0">
            <w:pPr>
              <w:spacing w:line="240" w:lineRule="atLeast"/>
              <w:jc w:val="right"/>
              <w:rPr>
                <w:rFonts w:ascii="Tahoma" w:hAnsi="Tahoma"/>
                <w:b/>
                <w:bCs/>
                <w:color w:val="000000" w:themeColor="text1"/>
                <w:sz w:val="16"/>
                <w:lang w:val="en-GB"/>
              </w:rPr>
            </w:pPr>
            <w:r w:rsidRPr="00864451">
              <w:rPr>
                <w:rFonts w:ascii="Tahoma" w:hAnsi="Tahoma"/>
                <w:b/>
                <w:bCs/>
                <w:color w:val="000000" w:themeColor="text1"/>
                <w:sz w:val="16"/>
                <w:lang w:val="en-GB"/>
              </w:rPr>
              <w:t>1 031</w:t>
            </w:r>
          </w:p>
        </w:tc>
        <w:tc>
          <w:tcPr>
            <w:tcW w:w="1276" w:type="dxa"/>
            <w:shd w:val="clear" w:color="auto" w:fill="auto"/>
            <w:tcMar>
              <w:top w:w="57" w:type="dxa"/>
              <w:left w:w="0" w:type="dxa"/>
              <w:bottom w:w="57" w:type="dxa"/>
              <w:right w:w="0" w:type="dxa"/>
            </w:tcMar>
            <w:vAlign w:val="bottom"/>
          </w:tcPr>
          <w:p w14:paraId="12367910" w14:textId="77777777" w:rsidR="00864451" w:rsidRPr="00864451" w:rsidRDefault="00864451" w:rsidP="003C5EE0">
            <w:pPr>
              <w:spacing w:line="240" w:lineRule="atLeast"/>
              <w:jc w:val="right"/>
              <w:rPr>
                <w:rFonts w:ascii="Tahoma" w:hAnsi="Tahoma"/>
                <w:b/>
                <w:bCs/>
                <w:color w:val="000000" w:themeColor="text1"/>
                <w:sz w:val="16"/>
                <w:lang w:val="en-GB"/>
              </w:rPr>
            </w:pPr>
            <w:r w:rsidRPr="00864451">
              <w:rPr>
                <w:rFonts w:ascii="Tahoma" w:hAnsi="Tahoma"/>
                <w:b/>
                <w:bCs/>
                <w:color w:val="000000" w:themeColor="text1"/>
                <w:sz w:val="16"/>
                <w:lang w:val="en-GB"/>
              </w:rPr>
              <w:t>—</w:t>
            </w:r>
          </w:p>
        </w:tc>
        <w:tc>
          <w:tcPr>
            <w:tcW w:w="1134" w:type="dxa"/>
            <w:shd w:val="clear" w:color="auto" w:fill="auto"/>
            <w:tcMar>
              <w:top w:w="57" w:type="dxa"/>
              <w:left w:w="0" w:type="dxa"/>
              <w:bottom w:w="57" w:type="dxa"/>
              <w:right w:w="0" w:type="dxa"/>
            </w:tcMar>
            <w:vAlign w:val="bottom"/>
          </w:tcPr>
          <w:p w14:paraId="4ECF200C" w14:textId="77777777" w:rsidR="00864451" w:rsidRPr="00864451" w:rsidRDefault="00864451" w:rsidP="003C5EE0">
            <w:pPr>
              <w:spacing w:line="240" w:lineRule="atLeast"/>
              <w:jc w:val="right"/>
              <w:rPr>
                <w:rFonts w:ascii="Tahoma" w:hAnsi="Tahoma"/>
                <w:b/>
                <w:bCs/>
                <w:color w:val="000000" w:themeColor="text1"/>
                <w:sz w:val="16"/>
                <w:lang w:val="en-GB"/>
              </w:rPr>
            </w:pPr>
            <w:r w:rsidRPr="00864451">
              <w:rPr>
                <w:rFonts w:ascii="Tahoma" w:hAnsi="Tahoma"/>
                <w:b/>
                <w:bCs/>
                <w:color w:val="000000" w:themeColor="text1"/>
                <w:sz w:val="16"/>
                <w:lang w:val="en-GB"/>
              </w:rPr>
              <w:t>1 031</w:t>
            </w:r>
          </w:p>
        </w:tc>
        <w:tc>
          <w:tcPr>
            <w:tcW w:w="1275" w:type="dxa"/>
            <w:shd w:val="clear" w:color="auto" w:fill="auto"/>
            <w:tcMar>
              <w:top w:w="57" w:type="dxa"/>
              <w:left w:w="0" w:type="dxa"/>
              <w:bottom w:w="57" w:type="dxa"/>
              <w:right w:w="0" w:type="dxa"/>
            </w:tcMar>
            <w:vAlign w:val="bottom"/>
          </w:tcPr>
          <w:p w14:paraId="7B0D3FE7" w14:textId="77777777" w:rsidR="00864451" w:rsidRPr="00864451" w:rsidRDefault="00864451" w:rsidP="003C5EE0">
            <w:pPr>
              <w:spacing w:line="240" w:lineRule="atLeast"/>
              <w:jc w:val="right"/>
              <w:rPr>
                <w:rFonts w:ascii="Tahoma" w:hAnsi="Tahoma"/>
                <w:b/>
                <w:bCs/>
                <w:color w:val="000000" w:themeColor="text1"/>
                <w:sz w:val="16"/>
                <w:lang w:val="en-GB"/>
              </w:rPr>
            </w:pPr>
            <w:r w:rsidRPr="00864451">
              <w:rPr>
                <w:rFonts w:ascii="Tahoma" w:hAnsi="Tahoma"/>
                <w:b/>
                <w:bCs/>
                <w:color w:val="000000" w:themeColor="text1"/>
                <w:sz w:val="16"/>
                <w:lang w:val="en-GB"/>
              </w:rPr>
              <w:t>—</w:t>
            </w:r>
          </w:p>
        </w:tc>
      </w:tr>
      <w:tr w:rsidR="00615190" w:rsidRPr="00864451" w14:paraId="1E4C9A67" w14:textId="77777777" w:rsidTr="007F5F50">
        <w:trPr>
          <w:trHeight w:val="60"/>
        </w:trPr>
        <w:tc>
          <w:tcPr>
            <w:tcW w:w="397" w:type="dxa"/>
            <w:shd w:val="clear" w:color="auto" w:fill="auto"/>
            <w:tcMar>
              <w:top w:w="57" w:type="dxa"/>
              <w:left w:w="0" w:type="dxa"/>
              <w:bottom w:w="57" w:type="dxa"/>
              <w:right w:w="0" w:type="dxa"/>
            </w:tcMar>
            <w:vAlign w:val="bottom"/>
          </w:tcPr>
          <w:p w14:paraId="70069340" w14:textId="77777777" w:rsidR="00864451" w:rsidRPr="00864451" w:rsidRDefault="00864451" w:rsidP="00615190">
            <w:pPr>
              <w:spacing w:line="240" w:lineRule="atLeast"/>
              <w:rPr>
                <w:rFonts w:ascii="Tahoma" w:hAnsi="Tahoma"/>
                <w:color w:val="000000" w:themeColor="text1"/>
                <w:sz w:val="16"/>
                <w:lang w:val="en-GB"/>
              </w:rPr>
            </w:pPr>
          </w:p>
        </w:tc>
        <w:tc>
          <w:tcPr>
            <w:tcW w:w="5132" w:type="dxa"/>
            <w:shd w:val="clear" w:color="auto" w:fill="auto"/>
            <w:tcMar>
              <w:top w:w="57" w:type="dxa"/>
              <w:left w:w="0" w:type="dxa"/>
              <w:bottom w:w="57" w:type="dxa"/>
              <w:right w:w="0" w:type="dxa"/>
            </w:tcMar>
            <w:vAlign w:val="bottom"/>
          </w:tcPr>
          <w:p w14:paraId="474BE14E" w14:textId="77777777" w:rsidR="00864451" w:rsidRPr="00864451" w:rsidRDefault="00864451" w:rsidP="00615190">
            <w:pPr>
              <w:spacing w:line="240" w:lineRule="atLeast"/>
              <w:rPr>
                <w:rFonts w:ascii="Tahoma" w:hAnsi="Tahoma"/>
                <w:b/>
                <w:bCs/>
                <w:color w:val="000000" w:themeColor="text1"/>
                <w:sz w:val="16"/>
                <w:lang w:val="en-GB"/>
              </w:rPr>
            </w:pPr>
            <w:r w:rsidRPr="00864451">
              <w:rPr>
                <w:rFonts w:ascii="Tahoma" w:hAnsi="Tahoma"/>
                <w:b/>
                <w:bCs/>
                <w:color w:val="000000" w:themeColor="text1"/>
                <w:sz w:val="16"/>
                <w:lang w:val="en-GB"/>
              </w:rPr>
              <w:t>Liabilities</w:t>
            </w:r>
          </w:p>
        </w:tc>
        <w:tc>
          <w:tcPr>
            <w:tcW w:w="992" w:type="dxa"/>
            <w:shd w:val="clear" w:color="auto" w:fill="auto"/>
            <w:tcMar>
              <w:top w:w="57" w:type="dxa"/>
              <w:left w:w="0" w:type="dxa"/>
              <w:bottom w:w="57" w:type="dxa"/>
              <w:right w:w="0" w:type="dxa"/>
            </w:tcMar>
            <w:vAlign w:val="bottom"/>
          </w:tcPr>
          <w:p w14:paraId="450F4C45" w14:textId="77777777" w:rsidR="00864451" w:rsidRPr="00864451" w:rsidRDefault="00864451" w:rsidP="003C5EE0">
            <w:pPr>
              <w:spacing w:line="240" w:lineRule="atLeast"/>
              <w:jc w:val="right"/>
              <w:rPr>
                <w:rFonts w:ascii="Tahoma" w:hAnsi="Tahoma"/>
                <w:b/>
                <w:bCs/>
                <w:color w:val="000000" w:themeColor="text1"/>
                <w:sz w:val="16"/>
                <w:lang w:val="en-GB"/>
              </w:rPr>
            </w:pPr>
          </w:p>
        </w:tc>
        <w:tc>
          <w:tcPr>
            <w:tcW w:w="1276" w:type="dxa"/>
            <w:shd w:val="clear" w:color="auto" w:fill="auto"/>
            <w:tcMar>
              <w:top w:w="57" w:type="dxa"/>
              <w:left w:w="0" w:type="dxa"/>
              <w:bottom w:w="57" w:type="dxa"/>
              <w:right w:w="0" w:type="dxa"/>
            </w:tcMar>
            <w:vAlign w:val="bottom"/>
          </w:tcPr>
          <w:p w14:paraId="76EDD239" w14:textId="77777777" w:rsidR="00864451" w:rsidRPr="00864451" w:rsidRDefault="00864451" w:rsidP="003C5EE0">
            <w:pPr>
              <w:spacing w:line="240" w:lineRule="atLeast"/>
              <w:jc w:val="right"/>
              <w:rPr>
                <w:rFonts w:ascii="Tahoma" w:hAnsi="Tahoma"/>
                <w:b/>
                <w:bCs/>
                <w:color w:val="000000" w:themeColor="text1"/>
                <w:sz w:val="16"/>
                <w:lang w:val="en-GB"/>
              </w:rPr>
            </w:pPr>
          </w:p>
        </w:tc>
        <w:tc>
          <w:tcPr>
            <w:tcW w:w="1134" w:type="dxa"/>
            <w:shd w:val="clear" w:color="auto" w:fill="auto"/>
            <w:tcMar>
              <w:top w:w="57" w:type="dxa"/>
              <w:left w:w="0" w:type="dxa"/>
              <w:bottom w:w="57" w:type="dxa"/>
              <w:right w:w="0" w:type="dxa"/>
            </w:tcMar>
            <w:vAlign w:val="bottom"/>
          </w:tcPr>
          <w:p w14:paraId="1CA6C8C6" w14:textId="77777777" w:rsidR="00864451" w:rsidRPr="00864451" w:rsidRDefault="00864451" w:rsidP="003C5EE0">
            <w:pPr>
              <w:spacing w:line="240" w:lineRule="atLeast"/>
              <w:jc w:val="right"/>
              <w:rPr>
                <w:rFonts w:ascii="Tahoma" w:hAnsi="Tahoma"/>
                <w:b/>
                <w:bCs/>
                <w:color w:val="000000" w:themeColor="text1"/>
                <w:sz w:val="16"/>
                <w:lang w:val="en-GB"/>
              </w:rPr>
            </w:pPr>
          </w:p>
        </w:tc>
        <w:tc>
          <w:tcPr>
            <w:tcW w:w="1275" w:type="dxa"/>
            <w:shd w:val="clear" w:color="auto" w:fill="auto"/>
            <w:tcMar>
              <w:top w:w="57" w:type="dxa"/>
              <w:left w:w="0" w:type="dxa"/>
              <w:bottom w:w="57" w:type="dxa"/>
              <w:right w:w="0" w:type="dxa"/>
            </w:tcMar>
            <w:vAlign w:val="bottom"/>
          </w:tcPr>
          <w:p w14:paraId="45711558" w14:textId="77777777" w:rsidR="00864451" w:rsidRPr="00864451" w:rsidRDefault="00864451" w:rsidP="003C5EE0">
            <w:pPr>
              <w:spacing w:line="240" w:lineRule="atLeast"/>
              <w:jc w:val="right"/>
              <w:rPr>
                <w:rFonts w:ascii="Tahoma" w:hAnsi="Tahoma"/>
                <w:b/>
                <w:bCs/>
                <w:color w:val="000000" w:themeColor="text1"/>
                <w:sz w:val="16"/>
                <w:lang w:val="en-GB"/>
              </w:rPr>
            </w:pPr>
          </w:p>
        </w:tc>
      </w:tr>
      <w:tr w:rsidR="00615190" w:rsidRPr="00864451" w14:paraId="40D5A5BF" w14:textId="77777777" w:rsidTr="007F5F50">
        <w:trPr>
          <w:trHeight w:val="60"/>
        </w:trPr>
        <w:tc>
          <w:tcPr>
            <w:tcW w:w="397" w:type="dxa"/>
            <w:shd w:val="clear" w:color="auto" w:fill="auto"/>
            <w:tcMar>
              <w:top w:w="57" w:type="dxa"/>
              <w:left w:w="0" w:type="dxa"/>
              <w:bottom w:w="57" w:type="dxa"/>
              <w:right w:w="0" w:type="dxa"/>
            </w:tcMar>
            <w:vAlign w:val="bottom"/>
          </w:tcPr>
          <w:p w14:paraId="7BCC1531" w14:textId="77777777" w:rsidR="00864451" w:rsidRPr="00864451" w:rsidRDefault="00864451" w:rsidP="00615190">
            <w:pPr>
              <w:spacing w:line="240" w:lineRule="atLeast"/>
              <w:rPr>
                <w:rFonts w:ascii="Tahoma" w:hAnsi="Tahoma"/>
                <w:color w:val="000000" w:themeColor="text1"/>
                <w:sz w:val="16"/>
                <w:lang w:val="en-GB"/>
              </w:rPr>
            </w:pPr>
          </w:p>
        </w:tc>
        <w:tc>
          <w:tcPr>
            <w:tcW w:w="5132" w:type="dxa"/>
            <w:shd w:val="clear" w:color="auto" w:fill="auto"/>
            <w:tcMar>
              <w:top w:w="57" w:type="dxa"/>
              <w:left w:w="0" w:type="dxa"/>
              <w:bottom w:w="57" w:type="dxa"/>
              <w:right w:w="0" w:type="dxa"/>
            </w:tcMar>
            <w:vAlign w:val="bottom"/>
          </w:tcPr>
          <w:p w14:paraId="5F55E658" w14:textId="77777777" w:rsidR="00864451" w:rsidRPr="00864451" w:rsidRDefault="00864451" w:rsidP="00615190">
            <w:pPr>
              <w:spacing w:line="240" w:lineRule="atLeast"/>
              <w:rPr>
                <w:rFonts w:ascii="Tahoma" w:hAnsi="Tahoma"/>
                <w:color w:val="000000" w:themeColor="text1"/>
                <w:sz w:val="16"/>
                <w:lang w:val="en-GB"/>
              </w:rPr>
            </w:pPr>
            <w:r w:rsidRPr="00864451">
              <w:rPr>
                <w:rFonts w:ascii="Tahoma" w:hAnsi="Tahoma"/>
                <w:color w:val="000000" w:themeColor="text1"/>
                <w:sz w:val="16"/>
                <w:lang w:val="en-GB"/>
              </w:rPr>
              <w:t>Forward exchange contracts</w:t>
            </w:r>
          </w:p>
        </w:tc>
        <w:tc>
          <w:tcPr>
            <w:tcW w:w="992" w:type="dxa"/>
            <w:shd w:val="clear" w:color="auto" w:fill="auto"/>
            <w:tcMar>
              <w:top w:w="57" w:type="dxa"/>
              <w:left w:w="0" w:type="dxa"/>
              <w:bottom w:w="57" w:type="dxa"/>
              <w:right w:w="0" w:type="dxa"/>
            </w:tcMar>
            <w:vAlign w:val="bottom"/>
          </w:tcPr>
          <w:p w14:paraId="7D72AD62" w14:textId="77777777" w:rsidR="00864451" w:rsidRPr="00864451" w:rsidRDefault="00864451" w:rsidP="003C5EE0">
            <w:pPr>
              <w:spacing w:line="240" w:lineRule="atLeast"/>
              <w:jc w:val="right"/>
              <w:rPr>
                <w:rFonts w:ascii="Tahoma" w:hAnsi="Tahoma"/>
                <w:b/>
                <w:bCs/>
                <w:color w:val="000000" w:themeColor="text1"/>
                <w:sz w:val="16"/>
                <w:lang w:val="en-GB"/>
              </w:rPr>
            </w:pPr>
            <w:r w:rsidRPr="00864451">
              <w:rPr>
                <w:rFonts w:ascii="Tahoma" w:hAnsi="Tahoma"/>
                <w:b/>
                <w:bCs/>
                <w:color w:val="000000" w:themeColor="text1"/>
                <w:sz w:val="16"/>
                <w:lang w:val="en-GB"/>
              </w:rPr>
              <w:t>14</w:t>
            </w:r>
          </w:p>
        </w:tc>
        <w:tc>
          <w:tcPr>
            <w:tcW w:w="1276" w:type="dxa"/>
            <w:shd w:val="clear" w:color="auto" w:fill="auto"/>
            <w:tcMar>
              <w:top w:w="57" w:type="dxa"/>
              <w:left w:w="0" w:type="dxa"/>
              <w:bottom w:w="57" w:type="dxa"/>
              <w:right w:w="0" w:type="dxa"/>
            </w:tcMar>
            <w:vAlign w:val="bottom"/>
          </w:tcPr>
          <w:p w14:paraId="33728CA0" w14:textId="77777777" w:rsidR="00864451" w:rsidRPr="00864451" w:rsidRDefault="00864451" w:rsidP="003C5EE0">
            <w:pPr>
              <w:spacing w:line="240" w:lineRule="atLeast"/>
              <w:jc w:val="right"/>
              <w:rPr>
                <w:rFonts w:ascii="Tahoma" w:hAnsi="Tahoma"/>
                <w:b/>
                <w:bCs/>
                <w:color w:val="000000" w:themeColor="text1"/>
                <w:sz w:val="16"/>
                <w:lang w:val="en-GB"/>
              </w:rPr>
            </w:pPr>
            <w:r w:rsidRPr="00864451">
              <w:rPr>
                <w:rFonts w:ascii="Tahoma" w:hAnsi="Tahoma"/>
                <w:b/>
                <w:bCs/>
                <w:color w:val="000000" w:themeColor="text1"/>
                <w:sz w:val="16"/>
                <w:lang w:val="en-GB"/>
              </w:rPr>
              <w:t>—</w:t>
            </w:r>
          </w:p>
        </w:tc>
        <w:tc>
          <w:tcPr>
            <w:tcW w:w="1134" w:type="dxa"/>
            <w:shd w:val="clear" w:color="auto" w:fill="auto"/>
            <w:tcMar>
              <w:top w:w="57" w:type="dxa"/>
              <w:left w:w="0" w:type="dxa"/>
              <w:bottom w:w="57" w:type="dxa"/>
              <w:right w:w="0" w:type="dxa"/>
            </w:tcMar>
            <w:vAlign w:val="bottom"/>
          </w:tcPr>
          <w:p w14:paraId="4C89B210" w14:textId="77777777" w:rsidR="00864451" w:rsidRPr="00864451" w:rsidRDefault="00864451" w:rsidP="003C5EE0">
            <w:pPr>
              <w:spacing w:line="240" w:lineRule="atLeast"/>
              <w:jc w:val="right"/>
              <w:rPr>
                <w:rFonts w:ascii="Tahoma" w:hAnsi="Tahoma"/>
                <w:b/>
                <w:bCs/>
                <w:color w:val="000000" w:themeColor="text1"/>
                <w:sz w:val="16"/>
                <w:lang w:val="en-GB"/>
              </w:rPr>
            </w:pPr>
            <w:r w:rsidRPr="00864451">
              <w:rPr>
                <w:rFonts w:ascii="Tahoma" w:hAnsi="Tahoma"/>
                <w:b/>
                <w:bCs/>
                <w:color w:val="000000" w:themeColor="text1"/>
                <w:sz w:val="16"/>
                <w:lang w:val="en-GB"/>
              </w:rPr>
              <w:t>14</w:t>
            </w:r>
          </w:p>
        </w:tc>
        <w:tc>
          <w:tcPr>
            <w:tcW w:w="1275" w:type="dxa"/>
            <w:shd w:val="clear" w:color="auto" w:fill="auto"/>
            <w:tcMar>
              <w:top w:w="57" w:type="dxa"/>
              <w:left w:w="0" w:type="dxa"/>
              <w:bottom w:w="57" w:type="dxa"/>
              <w:right w:w="0" w:type="dxa"/>
            </w:tcMar>
            <w:vAlign w:val="bottom"/>
          </w:tcPr>
          <w:p w14:paraId="5980E4C8" w14:textId="77777777" w:rsidR="00864451" w:rsidRPr="00864451" w:rsidRDefault="00864451" w:rsidP="003C5EE0">
            <w:pPr>
              <w:spacing w:line="240" w:lineRule="atLeast"/>
              <w:jc w:val="right"/>
              <w:rPr>
                <w:rFonts w:ascii="Tahoma" w:hAnsi="Tahoma"/>
                <w:b/>
                <w:bCs/>
                <w:color w:val="000000" w:themeColor="text1"/>
                <w:sz w:val="16"/>
                <w:lang w:val="en-GB"/>
              </w:rPr>
            </w:pPr>
            <w:r w:rsidRPr="00864451">
              <w:rPr>
                <w:rFonts w:ascii="Tahoma" w:hAnsi="Tahoma"/>
                <w:b/>
                <w:bCs/>
                <w:color w:val="000000" w:themeColor="text1"/>
                <w:sz w:val="16"/>
                <w:lang w:val="en-GB"/>
              </w:rPr>
              <w:t>—</w:t>
            </w:r>
          </w:p>
        </w:tc>
      </w:tr>
      <w:tr w:rsidR="00615190" w:rsidRPr="00864451" w14:paraId="41BB4598" w14:textId="77777777" w:rsidTr="007F5F50">
        <w:trPr>
          <w:trHeight w:val="60"/>
        </w:trPr>
        <w:tc>
          <w:tcPr>
            <w:tcW w:w="397" w:type="dxa"/>
            <w:shd w:val="clear" w:color="auto" w:fill="auto"/>
            <w:tcMar>
              <w:top w:w="57" w:type="dxa"/>
              <w:left w:w="0" w:type="dxa"/>
              <w:bottom w:w="57" w:type="dxa"/>
              <w:right w:w="0" w:type="dxa"/>
            </w:tcMar>
            <w:vAlign w:val="bottom"/>
          </w:tcPr>
          <w:p w14:paraId="5F44691A" w14:textId="77777777" w:rsidR="00864451" w:rsidRPr="00864451" w:rsidRDefault="00864451" w:rsidP="00615190">
            <w:pPr>
              <w:spacing w:line="240" w:lineRule="atLeast"/>
              <w:rPr>
                <w:rFonts w:ascii="Tahoma" w:hAnsi="Tahoma"/>
                <w:color w:val="000000" w:themeColor="text1"/>
                <w:sz w:val="16"/>
                <w:lang w:val="en-GB"/>
              </w:rPr>
            </w:pPr>
          </w:p>
        </w:tc>
        <w:tc>
          <w:tcPr>
            <w:tcW w:w="5132" w:type="dxa"/>
            <w:shd w:val="clear" w:color="auto" w:fill="auto"/>
            <w:tcMar>
              <w:top w:w="57" w:type="dxa"/>
              <w:left w:w="0" w:type="dxa"/>
              <w:bottom w:w="57" w:type="dxa"/>
              <w:right w:w="0" w:type="dxa"/>
            </w:tcMar>
            <w:vAlign w:val="bottom"/>
          </w:tcPr>
          <w:p w14:paraId="5E80E6AE" w14:textId="77777777" w:rsidR="00864451" w:rsidRPr="00864451" w:rsidRDefault="00864451" w:rsidP="00615190">
            <w:pPr>
              <w:spacing w:line="240" w:lineRule="atLeast"/>
              <w:rPr>
                <w:rFonts w:ascii="Tahoma" w:hAnsi="Tahoma"/>
                <w:color w:val="000000" w:themeColor="text1"/>
                <w:sz w:val="16"/>
                <w:lang w:val="en-GB"/>
              </w:rPr>
            </w:pPr>
            <w:r w:rsidRPr="00864451">
              <w:rPr>
                <w:rFonts w:ascii="Tahoma" w:hAnsi="Tahoma"/>
                <w:color w:val="000000" w:themeColor="text1"/>
                <w:sz w:val="16"/>
                <w:lang w:val="en-GB"/>
              </w:rPr>
              <w:t>Earn-out obligations</w:t>
            </w:r>
          </w:p>
        </w:tc>
        <w:tc>
          <w:tcPr>
            <w:tcW w:w="992" w:type="dxa"/>
            <w:shd w:val="clear" w:color="auto" w:fill="auto"/>
            <w:tcMar>
              <w:top w:w="57" w:type="dxa"/>
              <w:left w:w="0" w:type="dxa"/>
              <w:bottom w:w="57" w:type="dxa"/>
              <w:right w:w="0" w:type="dxa"/>
            </w:tcMar>
            <w:vAlign w:val="bottom"/>
          </w:tcPr>
          <w:p w14:paraId="121E920E" w14:textId="77777777" w:rsidR="00864451" w:rsidRPr="00864451" w:rsidRDefault="00864451" w:rsidP="003C5EE0">
            <w:pPr>
              <w:spacing w:line="240" w:lineRule="atLeast"/>
              <w:jc w:val="right"/>
              <w:rPr>
                <w:rFonts w:ascii="Tahoma" w:hAnsi="Tahoma"/>
                <w:b/>
                <w:bCs/>
                <w:color w:val="000000" w:themeColor="text1"/>
                <w:sz w:val="16"/>
                <w:lang w:val="en-GB"/>
              </w:rPr>
            </w:pPr>
            <w:r w:rsidRPr="00864451">
              <w:rPr>
                <w:rFonts w:ascii="Tahoma" w:hAnsi="Tahoma"/>
                <w:b/>
                <w:bCs/>
                <w:color w:val="000000" w:themeColor="text1"/>
                <w:sz w:val="16"/>
                <w:lang w:val="en-GB"/>
              </w:rPr>
              <w:t>22</w:t>
            </w:r>
          </w:p>
        </w:tc>
        <w:tc>
          <w:tcPr>
            <w:tcW w:w="1276" w:type="dxa"/>
            <w:shd w:val="clear" w:color="auto" w:fill="auto"/>
            <w:tcMar>
              <w:top w:w="57" w:type="dxa"/>
              <w:left w:w="0" w:type="dxa"/>
              <w:bottom w:w="57" w:type="dxa"/>
              <w:right w:w="0" w:type="dxa"/>
            </w:tcMar>
            <w:vAlign w:val="bottom"/>
          </w:tcPr>
          <w:p w14:paraId="39D5EBB1" w14:textId="77777777" w:rsidR="00864451" w:rsidRPr="00864451" w:rsidRDefault="00864451" w:rsidP="003C5EE0">
            <w:pPr>
              <w:spacing w:line="240" w:lineRule="atLeast"/>
              <w:jc w:val="right"/>
              <w:rPr>
                <w:rFonts w:ascii="Tahoma" w:hAnsi="Tahoma"/>
                <w:b/>
                <w:bCs/>
                <w:color w:val="000000" w:themeColor="text1"/>
                <w:sz w:val="16"/>
                <w:lang w:val="en-GB"/>
              </w:rPr>
            </w:pPr>
            <w:r w:rsidRPr="00864451">
              <w:rPr>
                <w:rFonts w:ascii="Tahoma" w:hAnsi="Tahoma"/>
                <w:b/>
                <w:bCs/>
                <w:color w:val="000000" w:themeColor="text1"/>
                <w:sz w:val="16"/>
                <w:lang w:val="en-GB"/>
              </w:rPr>
              <w:t>—</w:t>
            </w:r>
          </w:p>
        </w:tc>
        <w:tc>
          <w:tcPr>
            <w:tcW w:w="1134" w:type="dxa"/>
            <w:shd w:val="clear" w:color="auto" w:fill="auto"/>
            <w:tcMar>
              <w:top w:w="57" w:type="dxa"/>
              <w:left w:w="0" w:type="dxa"/>
              <w:bottom w:w="57" w:type="dxa"/>
              <w:right w:w="0" w:type="dxa"/>
            </w:tcMar>
            <w:vAlign w:val="bottom"/>
          </w:tcPr>
          <w:p w14:paraId="5EBFBF83" w14:textId="77777777" w:rsidR="00864451" w:rsidRPr="00864451" w:rsidRDefault="00864451" w:rsidP="003C5EE0">
            <w:pPr>
              <w:spacing w:line="240" w:lineRule="atLeast"/>
              <w:jc w:val="right"/>
              <w:rPr>
                <w:rFonts w:ascii="Tahoma" w:hAnsi="Tahoma"/>
                <w:b/>
                <w:bCs/>
                <w:color w:val="000000" w:themeColor="text1"/>
                <w:sz w:val="16"/>
                <w:lang w:val="en-GB"/>
              </w:rPr>
            </w:pPr>
            <w:r w:rsidRPr="00864451">
              <w:rPr>
                <w:rFonts w:ascii="Tahoma" w:hAnsi="Tahoma"/>
                <w:b/>
                <w:bCs/>
                <w:color w:val="000000" w:themeColor="text1"/>
                <w:sz w:val="16"/>
                <w:lang w:val="en-GB"/>
              </w:rPr>
              <w:t>—</w:t>
            </w:r>
          </w:p>
        </w:tc>
        <w:tc>
          <w:tcPr>
            <w:tcW w:w="1275" w:type="dxa"/>
            <w:shd w:val="clear" w:color="auto" w:fill="auto"/>
            <w:tcMar>
              <w:top w:w="57" w:type="dxa"/>
              <w:left w:w="0" w:type="dxa"/>
              <w:bottom w:w="57" w:type="dxa"/>
              <w:right w:w="0" w:type="dxa"/>
            </w:tcMar>
            <w:vAlign w:val="bottom"/>
          </w:tcPr>
          <w:p w14:paraId="7D22F91A" w14:textId="77777777" w:rsidR="00864451" w:rsidRPr="00864451" w:rsidRDefault="00864451" w:rsidP="003C5EE0">
            <w:pPr>
              <w:spacing w:line="240" w:lineRule="atLeast"/>
              <w:jc w:val="right"/>
              <w:rPr>
                <w:rFonts w:ascii="Tahoma" w:hAnsi="Tahoma"/>
                <w:b/>
                <w:bCs/>
                <w:color w:val="000000" w:themeColor="text1"/>
                <w:sz w:val="16"/>
                <w:lang w:val="en-GB"/>
              </w:rPr>
            </w:pPr>
            <w:r w:rsidRPr="00864451">
              <w:rPr>
                <w:rFonts w:ascii="Tahoma" w:hAnsi="Tahoma"/>
                <w:b/>
                <w:bCs/>
                <w:color w:val="000000" w:themeColor="text1"/>
                <w:sz w:val="16"/>
                <w:lang w:val="en-GB"/>
              </w:rPr>
              <w:t>22</w:t>
            </w:r>
          </w:p>
        </w:tc>
      </w:tr>
      <w:tr w:rsidR="00615190" w:rsidRPr="00864451" w14:paraId="0A3C87F2" w14:textId="77777777" w:rsidTr="00B3355F">
        <w:trPr>
          <w:trHeight w:val="60"/>
        </w:trPr>
        <w:tc>
          <w:tcPr>
            <w:tcW w:w="397" w:type="dxa"/>
            <w:shd w:val="clear" w:color="auto" w:fill="auto"/>
            <w:tcMar>
              <w:top w:w="57" w:type="dxa"/>
              <w:left w:w="0" w:type="dxa"/>
              <w:bottom w:w="57" w:type="dxa"/>
              <w:right w:w="0" w:type="dxa"/>
            </w:tcMar>
            <w:vAlign w:val="bottom"/>
          </w:tcPr>
          <w:p w14:paraId="4869A877" w14:textId="77777777" w:rsidR="00864451" w:rsidRPr="00864451" w:rsidRDefault="00864451" w:rsidP="00615190">
            <w:pPr>
              <w:spacing w:line="240" w:lineRule="atLeast"/>
              <w:rPr>
                <w:rFonts w:ascii="Tahoma" w:hAnsi="Tahoma"/>
                <w:color w:val="000000" w:themeColor="text1"/>
                <w:sz w:val="16"/>
                <w:lang w:val="en-GB"/>
              </w:rPr>
            </w:pPr>
          </w:p>
        </w:tc>
        <w:tc>
          <w:tcPr>
            <w:tcW w:w="5132" w:type="dxa"/>
            <w:shd w:val="clear" w:color="auto" w:fill="auto"/>
            <w:tcMar>
              <w:top w:w="57" w:type="dxa"/>
              <w:left w:w="0" w:type="dxa"/>
              <w:bottom w:w="57" w:type="dxa"/>
              <w:right w:w="0" w:type="dxa"/>
            </w:tcMar>
            <w:vAlign w:val="bottom"/>
          </w:tcPr>
          <w:p w14:paraId="1870CBAD" w14:textId="77777777" w:rsidR="00864451" w:rsidRPr="00864451" w:rsidRDefault="00864451" w:rsidP="00615190">
            <w:pPr>
              <w:spacing w:line="240" w:lineRule="atLeast"/>
              <w:rPr>
                <w:rFonts w:ascii="Tahoma" w:hAnsi="Tahoma"/>
                <w:color w:val="000000" w:themeColor="text1"/>
                <w:sz w:val="16"/>
                <w:lang w:val="en-GB"/>
              </w:rPr>
            </w:pPr>
            <w:r w:rsidRPr="00864451">
              <w:rPr>
                <w:rFonts w:ascii="Tahoma" w:hAnsi="Tahoma"/>
                <w:color w:val="000000" w:themeColor="text1"/>
                <w:sz w:val="16"/>
                <w:lang w:val="en-GB"/>
              </w:rPr>
              <w:t>Derivatives contained in lease agreements</w:t>
            </w:r>
          </w:p>
        </w:tc>
        <w:tc>
          <w:tcPr>
            <w:tcW w:w="992" w:type="dxa"/>
            <w:shd w:val="clear" w:color="auto" w:fill="auto"/>
            <w:tcMar>
              <w:top w:w="57" w:type="dxa"/>
              <w:left w:w="0" w:type="dxa"/>
              <w:bottom w:w="57" w:type="dxa"/>
              <w:right w:w="0" w:type="dxa"/>
            </w:tcMar>
            <w:vAlign w:val="bottom"/>
          </w:tcPr>
          <w:p w14:paraId="3A427BA6" w14:textId="77777777" w:rsidR="00864451" w:rsidRPr="00864451" w:rsidRDefault="00864451" w:rsidP="003C5EE0">
            <w:pPr>
              <w:spacing w:line="240" w:lineRule="atLeast"/>
              <w:jc w:val="right"/>
              <w:rPr>
                <w:rFonts w:ascii="Tahoma" w:hAnsi="Tahoma"/>
                <w:b/>
                <w:bCs/>
                <w:color w:val="000000" w:themeColor="text1"/>
                <w:sz w:val="16"/>
                <w:lang w:val="en-GB"/>
              </w:rPr>
            </w:pPr>
            <w:r w:rsidRPr="00864451">
              <w:rPr>
                <w:rFonts w:ascii="Tahoma" w:hAnsi="Tahoma"/>
                <w:b/>
                <w:bCs/>
                <w:color w:val="000000" w:themeColor="text1"/>
                <w:sz w:val="16"/>
                <w:lang w:val="en-GB"/>
              </w:rPr>
              <w:t>1</w:t>
            </w:r>
          </w:p>
        </w:tc>
        <w:tc>
          <w:tcPr>
            <w:tcW w:w="1276" w:type="dxa"/>
            <w:shd w:val="clear" w:color="auto" w:fill="auto"/>
            <w:tcMar>
              <w:top w:w="57" w:type="dxa"/>
              <w:left w:w="0" w:type="dxa"/>
              <w:bottom w:w="57" w:type="dxa"/>
              <w:right w:w="0" w:type="dxa"/>
            </w:tcMar>
            <w:vAlign w:val="bottom"/>
          </w:tcPr>
          <w:p w14:paraId="238E53F1" w14:textId="77777777" w:rsidR="00864451" w:rsidRPr="00864451" w:rsidRDefault="00864451" w:rsidP="003C5EE0">
            <w:pPr>
              <w:spacing w:line="240" w:lineRule="atLeast"/>
              <w:jc w:val="right"/>
              <w:rPr>
                <w:rFonts w:ascii="Tahoma" w:hAnsi="Tahoma"/>
                <w:b/>
                <w:bCs/>
                <w:color w:val="000000" w:themeColor="text1"/>
                <w:sz w:val="16"/>
                <w:lang w:val="en-GB"/>
              </w:rPr>
            </w:pPr>
            <w:r w:rsidRPr="00864451">
              <w:rPr>
                <w:rFonts w:ascii="Tahoma" w:hAnsi="Tahoma"/>
                <w:b/>
                <w:bCs/>
                <w:color w:val="000000" w:themeColor="text1"/>
                <w:sz w:val="16"/>
                <w:lang w:val="en-GB"/>
              </w:rPr>
              <w:t>—</w:t>
            </w:r>
          </w:p>
        </w:tc>
        <w:tc>
          <w:tcPr>
            <w:tcW w:w="1134" w:type="dxa"/>
            <w:shd w:val="clear" w:color="auto" w:fill="auto"/>
            <w:tcMar>
              <w:top w:w="57" w:type="dxa"/>
              <w:left w:w="0" w:type="dxa"/>
              <w:bottom w:w="57" w:type="dxa"/>
              <w:right w:w="0" w:type="dxa"/>
            </w:tcMar>
            <w:vAlign w:val="bottom"/>
          </w:tcPr>
          <w:p w14:paraId="263706B7" w14:textId="77777777" w:rsidR="00864451" w:rsidRPr="00864451" w:rsidRDefault="00864451" w:rsidP="003C5EE0">
            <w:pPr>
              <w:spacing w:line="240" w:lineRule="atLeast"/>
              <w:jc w:val="right"/>
              <w:rPr>
                <w:rFonts w:ascii="Tahoma" w:hAnsi="Tahoma"/>
                <w:b/>
                <w:bCs/>
                <w:color w:val="000000" w:themeColor="text1"/>
                <w:sz w:val="16"/>
                <w:lang w:val="en-GB"/>
              </w:rPr>
            </w:pPr>
            <w:r w:rsidRPr="00864451">
              <w:rPr>
                <w:rFonts w:ascii="Tahoma" w:hAnsi="Tahoma"/>
                <w:b/>
                <w:bCs/>
                <w:color w:val="000000" w:themeColor="text1"/>
                <w:sz w:val="16"/>
                <w:lang w:val="en-GB"/>
              </w:rPr>
              <w:t>—</w:t>
            </w:r>
          </w:p>
        </w:tc>
        <w:tc>
          <w:tcPr>
            <w:tcW w:w="1275" w:type="dxa"/>
            <w:shd w:val="clear" w:color="auto" w:fill="auto"/>
            <w:tcMar>
              <w:top w:w="57" w:type="dxa"/>
              <w:left w:w="0" w:type="dxa"/>
              <w:bottom w:w="57" w:type="dxa"/>
              <w:right w:w="0" w:type="dxa"/>
            </w:tcMar>
            <w:vAlign w:val="bottom"/>
          </w:tcPr>
          <w:p w14:paraId="28095CDE" w14:textId="77777777" w:rsidR="00864451" w:rsidRPr="00864451" w:rsidRDefault="00864451" w:rsidP="003C5EE0">
            <w:pPr>
              <w:spacing w:line="240" w:lineRule="atLeast"/>
              <w:jc w:val="right"/>
              <w:rPr>
                <w:rFonts w:ascii="Tahoma" w:hAnsi="Tahoma"/>
                <w:b/>
                <w:bCs/>
                <w:color w:val="000000" w:themeColor="text1"/>
                <w:sz w:val="16"/>
                <w:lang w:val="en-GB"/>
              </w:rPr>
            </w:pPr>
            <w:r w:rsidRPr="00864451">
              <w:rPr>
                <w:rFonts w:ascii="Tahoma" w:hAnsi="Tahoma"/>
                <w:b/>
                <w:bCs/>
                <w:color w:val="000000" w:themeColor="text1"/>
                <w:sz w:val="16"/>
                <w:lang w:val="en-GB"/>
              </w:rPr>
              <w:t>1</w:t>
            </w:r>
          </w:p>
        </w:tc>
      </w:tr>
      <w:tr w:rsidR="00615190" w:rsidRPr="00864451" w14:paraId="2B0F2547" w14:textId="77777777" w:rsidTr="00B3355F">
        <w:trPr>
          <w:trHeight w:val="60"/>
        </w:trPr>
        <w:tc>
          <w:tcPr>
            <w:tcW w:w="397" w:type="dxa"/>
            <w:shd w:val="clear" w:color="auto" w:fill="auto"/>
            <w:tcMar>
              <w:top w:w="57" w:type="dxa"/>
              <w:left w:w="0" w:type="dxa"/>
              <w:bottom w:w="85" w:type="dxa"/>
              <w:right w:w="0" w:type="dxa"/>
            </w:tcMar>
            <w:vAlign w:val="bottom"/>
          </w:tcPr>
          <w:p w14:paraId="4F37F37A" w14:textId="77777777" w:rsidR="00864451" w:rsidRPr="00864451" w:rsidRDefault="00864451" w:rsidP="00615190">
            <w:pPr>
              <w:spacing w:line="240" w:lineRule="atLeast"/>
              <w:rPr>
                <w:rFonts w:ascii="Tahoma" w:hAnsi="Tahoma"/>
                <w:color w:val="000000" w:themeColor="text1"/>
                <w:sz w:val="16"/>
                <w:lang w:val="en-GB"/>
              </w:rPr>
            </w:pPr>
          </w:p>
        </w:tc>
        <w:tc>
          <w:tcPr>
            <w:tcW w:w="5132" w:type="dxa"/>
            <w:tcBorders>
              <w:bottom w:val="single" w:sz="12" w:space="0" w:color="auto"/>
            </w:tcBorders>
            <w:shd w:val="clear" w:color="auto" w:fill="auto"/>
            <w:tcMar>
              <w:top w:w="57" w:type="dxa"/>
              <w:left w:w="0" w:type="dxa"/>
              <w:bottom w:w="85" w:type="dxa"/>
              <w:right w:w="0" w:type="dxa"/>
            </w:tcMar>
            <w:vAlign w:val="bottom"/>
          </w:tcPr>
          <w:p w14:paraId="308481BD" w14:textId="77777777" w:rsidR="00864451" w:rsidRPr="00864451" w:rsidRDefault="00864451" w:rsidP="00615190">
            <w:pPr>
              <w:spacing w:line="240" w:lineRule="atLeast"/>
              <w:rPr>
                <w:rFonts w:ascii="Tahoma" w:hAnsi="Tahoma"/>
                <w:color w:val="000000" w:themeColor="text1"/>
                <w:sz w:val="16"/>
                <w:lang w:val="en-GB"/>
              </w:rPr>
            </w:pPr>
            <w:r w:rsidRPr="00864451">
              <w:rPr>
                <w:rFonts w:ascii="Tahoma" w:hAnsi="Tahoma"/>
                <w:color w:val="000000" w:themeColor="text1"/>
                <w:sz w:val="16"/>
                <w:lang w:val="en-GB"/>
              </w:rPr>
              <w:t>Contingent consideration</w:t>
            </w:r>
          </w:p>
        </w:tc>
        <w:tc>
          <w:tcPr>
            <w:tcW w:w="992" w:type="dxa"/>
            <w:tcBorders>
              <w:bottom w:val="single" w:sz="12" w:space="0" w:color="auto"/>
            </w:tcBorders>
            <w:shd w:val="clear" w:color="auto" w:fill="auto"/>
            <w:tcMar>
              <w:top w:w="57" w:type="dxa"/>
              <w:left w:w="0" w:type="dxa"/>
              <w:bottom w:w="85" w:type="dxa"/>
              <w:right w:w="0" w:type="dxa"/>
            </w:tcMar>
            <w:vAlign w:val="bottom"/>
          </w:tcPr>
          <w:p w14:paraId="6671F125" w14:textId="77777777" w:rsidR="00864451" w:rsidRPr="00864451" w:rsidRDefault="00864451" w:rsidP="003C5EE0">
            <w:pPr>
              <w:spacing w:line="240" w:lineRule="atLeast"/>
              <w:jc w:val="right"/>
              <w:rPr>
                <w:rFonts w:ascii="Tahoma" w:hAnsi="Tahoma"/>
                <w:b/>
                <w:bCs/>
                <w:color w:val="000000" w:themeColor="text1"/>
                <w:sz w:val="16"/>
                <w:lang w:val="en-GB"/>
              </w:rPr>
            </w:pPr>
            <w:r w:rsidRPr="00864451">
              <w:rPr>
                <w:rFonts w:ascii="Tahoma" w:hAnsi="Tahoma"/>
                <w:b/>
                <w:bCs/>
                <w:color w:val="000000" w:themeColor="text1"/>
                <w:sz w:val="16"/>
                <w:lang w:val="en-GB"/>
              </w:rPr>
              <w:t>78</w:t>
            </w:r>
          </w:p>
        </w:tc>
        <w:tc>
          <w:tcPr>
            <w:tcW w:w="1276" w:type="dxa"/>
            <w:tcBorders>
              <w:bottom w:val="single" w:sz="12" w:space="0" w:color="auto"/>
            </w:tcBorders>
            <w:shd w:val="clear" w:color="auto" w:fill="auto"/>
            <w:tcMar>
              <w:top w:w="57" w:type="dxa"/>
              <w:left w:w="0" w:type="dxa"/>
              <w:bottom w:w="85" w:type="dxa"/>
              <w:right w:w="0" w:type="dxa"/>
            </w:tcMar>
            <w:vAlign w:val="bottom"/>
          </w:tcPr>
          <w:p w14:paraId="3C3D0F34" w14:textId="77777777" w:rsidR="00864451" w:rsidRPr="00864451" w:rsidRDefault="00864451" w:rsidP="003C5EE0">
            <w:pPr>
              <w:spacing w:line="240" w:lineRule="atLeast"/>
              <w:jc w:val="right"/>
              <w:rPr>
                <w:rFonts w:ascii="Tahoma" w:hAnsi="Tahoma"/>
                <w:b/>
                <w:bCs/>
                <w:color w:val="000000" w:themeColor="text1"/>
                <w:sz w:val="16"/>
                <w:lang w:val="en-GB"/>
              </w:rPr>
            </w:pPr>
            <w:r w:rsidRPr="00864451">
              <w:rPr>
                <w:rFonts w:ascii="Tahoma" w:hAnsi="Tahoma"/>
                <w:b/>
                <w:bCs/>
                <w:color w:val="000000" w:themeColor="text1"/>
                <w:sz w:val="16"/>
                <w:lang w:val="en-GB"/>
              </w:rPr>
              <w:t>—</w:t>
            </w:r>
          </w:p>
        </w:tc>
        <w:tc>
          <w:tcPr>
            <w:tcW w:w="1134" w:type="dxa"/>
            <w:tcBorders>
              <w:bottom w:val="single" w:sz="12" w:space="0" w:color="auto"/>
            </w:tcBorders>
            <w:shd w:val="clear" w:color="auto" w:fill="auto"/>
            <w:tcMar>
              <w:top w:w="57" w:type="dxa"/>
              <w:left w:w="0" w:type="dxa"/>
              <w:bottom w:w="85" w:type="dxa"/>
              <w:right w:w="0" w:type="dxa"/>
            </w:tcMar>
            <w:vAlign w:val="bottom"/>
          </w:tcPr>
          <w:p w14:paraId="0D7D13E9" w14:textId="77777777" w:rsidR="00864451" w:rsidRPr="00864451" w:rsidRDefault="00864451" w:rsidP="003C5EE0">
            <w:pPr>
              <w:spacing w:line="240" w:lineRule="atLeast"/>
              <w:jc w:val="right"/>
              <w:rPr>
                <w:rFonts w:ascii="Tahoma" w:hAnsi="Tahoma"/>
                <w:b/>
                <w:bCs/>
                <w:color w:val="000000" w:themeColor="text1"/>
                <w:sz w:val="16"/>
                <w:lang w:val="en-GB"/>
              </w:rPr>
            </w:pPr>
            <w:r w:rsidRPr="00864451">
              <w:rPr>
                <w:rFonts w:ascii="Tahoma" w:hAnsi="Tahoma"/>
                <w:b/>
                <w:bCs/>
                <w:color w:val="000000" w:themeColor="text1"/>
                <w:sz w:val="16"/>
                <w:lang w:val="en-GB"/>
              </w:rPr>
              <w:t>78</w:t>
            </w:r>
          </w:p>
        </w:tc>
        <w:tc>
          <w:tcPr>
            <w:tcW w:w="1275" w:type="dxa"/>
            <w:tcBorders>
              <w:bottom w:val="single" w:sz="12" w:space="0" w:color="auto"/>
            </w:tcBorders>
            <w:shd w:val="clear" w:color="auto" w:fill="auto"/>
            <w:tcMar>
              <w:top w:w="57" w:type="dxa"/>
              <w:left w:w="0" w:type="dxa"/>
              <w:bottom w:w="85" w:type="dxa"/>
              <w:right w:w="0" w:type="dxa"/>
            </w:tcMar>
            <w:vAlign w:val="bottom"/>
          </w:tcPr>
          <w:p w14:paraId="12719934" w14:textId="77777777" w:rsidR="00864451" w:rsidRPr="00864451" w:rsidRDefault="00864451" w:rsidP="003C5EE0">
            <w:pPr>
              <w:spacing w:line="240" w:lineRule="atLeast"/>
              <w:jc w:val="right"/>
              <w:rPr>
                <w:rFonts w:ascii="Tahoma" w:hAnsi="Tahoma"/>
                <w:b/>
                <w:bCs/>
                <w:color w:val="000000" w:themeColor="text1"/>
                <w:sz w:val="16"/>
                <w:lang w:val="en-GB"/>
              </w:rPr>
            </w:pPr>
            <w:r w:rsidRPr="00864451">
              <w:rPr>
                <w:rFonts w:ascii="Tahoma" w:hAnsi="Tahoma"/>
                <w:b/>
                <w:bCs/>
                <w:color w:val="000000" w:themeColor="text1"/>
                <w:sz w:val="16"/>
                <w:lang w:val="en-GB"/>
              </w:rPr>
              <w:t>—</w:t>
            </w:r>
          </w:p>
        </w:tc>
      </w:tr>
      <w:tr w:rsidR="00615190" w:rsidRPr="00864451" w14:paraId="6752ECE5" w14:textId="77777777" w:rsidTr="00B3355F">
        <w:trPr>
          <w:trHeight w:val="60"/>
        </w:trPr>
        <w:tc>
          <w:tcPr>
            <w:tcW w:w="397" w:type="dxa"/>
            <w:shd w:val="clear" w:color="auto" w:fill="auto"/>
            <w:tcMar>
              <w:top w:w="85" w:type="dxa"/>
              <w:left w:w="0" w:type="dxa"/>
              <w:bottom w:w="57" w:type="dxa"/>
              <w:right w:w="0" w:type="dxa"/>
            </w:tcMar>
            <w:vAlign w:val="bottom"/>
          </w:tcPr>
          <w:p w14:paraId="7F15CFE8" w14:textId="77777777" w:rsidR="00864451" w:rsidRPr="00864451" w:rsidRDefault="00864451" w:rsidP="00615190">
            <w:pPr>
              <w:spacing w:line="240" w:lineRule="atLeast"/>
              <w:rPr>
                <w:rFonts w:ascii="Tahoma" w:hAnsi="Tahoma"/>
                <w:color w:val="000000" w:themeColor="text1"/>
                <w:sz w:val="16"/>
                <w:lang w:val="en-GB"/>
              </w:rPr>
            </w:pPr>
          </w:p>
        </w:tc>
        <w:tc>
          <w:tcPr>
            <w:tcW w:w="9809" w:type="dxa"/>
            <w:gridSpan w:val="5"/>
            <w:tcBorders>
              <w:top w:val="single" w:sz="12" w:space="0" w:color="auto"/>
            </w:tcBorders>
            <w:shd w:val="clear" w:color="auto" w:fill="auto"/>
            <w:tcMar>
              <w:top w:w="85" w:type="dxa"/>
              <w:left w:w="0" w:type="dxa"/>
              <w:bottom w:w="57" w:type="dxa"/>
              <w:right w:w="0" w:type="dxa"/>
            </w:tcMar>
            <w:vAlign w:val="bottom"/>
          </w:tcPr>
          <w:p w14:paraId="02D6038D" w14:textId="77777777" w:rsidR="00864451" w:rsidRPr="00864451" w:rsidRDefault="00864451" w:rsidP="00276C58">
            <w:pPr>
              <w:pStyle w:val="FootnotesProsus2022FrontStylesProsus2022"/>
            </w:pPr>
            <w:r w:rsidRPr="00864451">
              <w:t>1</w:t>
            </w:r>
            <w:r w:rsidRPr="00864451">
              <w:tab/>
              <w:t>Relates to short-term bank deposits which are money-market investments held with major banking groups and high-quality institutions that have AAA money-market fund credit ratings from internationally recognised rating agencies.</w:t>
            </w:r>
          </w:p>
        </w:tc>
      </w:tr>
    </w:tbl>
    <w:p w14:paraId="735701A1" w14:textId="77777777" w:rsidR="00062647" w:rsidRDefault="00062647" w:rsidP="00615190">
      <w:pPr>
        <w:spacing w:line="240" w:lineRule="atLeast"/>
        <w:rPr>
          <w:rFonts w:ascii="Tahoma" w:hAnsi="Tahoma"/>
          <w:color w:val="000000" w:themeColor="text1"/>
          <w:sz w:val="16"/>
        </w:rPr>
      </w:pPr>
    </w:p>
    <w:p w14:paraId="6BE678AB" w14:textId="77777777" w:rsidR="00062647" w:rsidRDefault="00062647">
      <w:pPr>
        <w:rPr>
          <w:rFonts w:ascii="Tahoma" w:hAnsi="Tahoma"/>
          <w:color w:val="000000" w:themeColor="text1"/>
          <w:sz w:val="16"/>
        </w:rPr>
      </w:pPr>
      <w:r>
        <w:rPr>
          <w:rFonts w:ascii="Tahoma" w:hAnsi="Tahoma"/>
          <w:color w:val="000000" w:themeColor="text1"/>
          <w:sz w:val="16"/>
        </w:rPr>
        <w:br w:type="page"/>
      </w:r>
    </w:p>
    <w:p w14:paraId="03B029A4" w14:textId="77777777" w:rsidR="00864451" w:rsidRPr="00615190" w:rsidRDefault="00864451" w:rsidP="00615190">
      <w:pPr>
        <w:spacing w:line="240" w:lineRule="atLeast"/>
        <w:rPr>
          <w:rFonts w:ascii="Tahoma" w:hAnsi="Tahoma"/>
          <w:color w:val="000000" w:themeColor="text1"/>
          <w:sz w:val="16"/>
        </w:rPr>
      </w:pPr>
    </w:p>
    <w:tbl>
      <w:tblPr>
        <w:tblW w:w="10206" w:type="dxa"/>
        <w:tblInd w:w="-8" w:type="dxa"/>
        <w:tblLayout w:type="fixed"/>
        <w:tblCellMar>
          <w:left w:w="0" w:type="dxa"/>
          <w:right w:w="0" w:type="dxa"/>
        </w:tblCellMar>
        <w:tblLook w:val="0000" w:firstRow="0" w:lastRow="0" w:firstColumn="0" w:lastColumn="0" w:noHBand="0" w:noVBand="0"/>
      </w:tblPr>
      <w:tblGrid>
        <w:gridCol w:w="397"/>
        <w:gridCol w:w="5132"/>
        <w:gridCol w:w="992"/>
        <w:gridCol w:w="1276"/>
        <w:gridCol w:w="1134"/>
        <w:gridCol w:w="1275"/>
      </w:tblGrid>
      <w:tr w:rsidR="00615190" w:rsidRPr="000A72B1" w14:paraId="4CE12F5F" w14:textId="77777777" w:rsidTr="006E4C30">
        <w:trPr>
          <w:trHeight w:val="60"/>
        </w:trPr>
        <w:tc>
          <w:tcPr>
            <w:tcW w:w="397" w:type="dxa"/>
            <w:shd w:val="clear" w:color="auto" w:fill="auto"/>
            <w:tcMar>
              <w:top w:w="0" w:type="dxa"/>
              <w:left w:w="0" w:type="dxa"/>
              <w:bottom w:w="113" w:type="dxa"/>
              <w:right w:w="0" w:type="dxa"/>
            </w:tcMar>
            <w:vAlign w:val="bottom"/>
          </w:tcPr>
          <w:p w14:paraId="183A3340" w14:textId="77777777" w:rsidR="000A72B1" w:rsidRPr="000A72B1" w:rsidRDefault="0056228C" w:rsidP="00615190">
            <w:pPr>
              <w:spacing w:line="240" w:lineRule="atLeast"/>
              <w:rPr>
                <w:rFonts w:ascii="Tahoma" w:hAnsi="Tahoma"/>
                <w:b/>
                <w:bCs/>
                <w:color w:val="000000" w:themeColor="text1"/>
                <w:sz w:val="16"/>
                <w:lang w:val="en-GB"/>
              </w:rPr>
            </w:pPr>
            <w:r w:rsidRPr="0056228C">
              <w:rPr>
                <w:rFonts w:ascii="Tahoma" w:hAnsi="Tahoma"/>
                <w:b/>
                <w:bCs/>
                <w:color w:val="000000" w:themeColor="text1"/>
                <w:sz w:val="16"/>
                <w:lang w:val="en-GB"/>
              </w:rPr>
              <w:t>17.</w:t>
            </w:r>
          </w:p>
        </w:tc>
        <w:tc>
          <w:tcPr>
            <w:tcW w:w="9809" w:type="dxa"/>
            <w:gridSpan w:val="5"/>
            <w:shd w:val="clear" w:color="auto" w:fill="auto"/>
            <w:tcMar>
              <w:top w:w="0" w:type="dxa"/>
              <w:left w:w="0" w:type="dxa"/>
              <w:bottom w:w="113" w:type="dxa"/>
              <w:right w:w="0" w:type="dxa"/>
            </w:tcMar>
            <w:vAlign w:val="bottom"/>
          </w:tcPr>
          <w:p w14:paraId="0BCCDA59" w14:textId="77777777" w:rsidR="000A72B1" w:rsidRPr="000A72B1" w:rsidRDefault="0056228C" w:rsidP="00615190">
            <w:pPr>
              <w:spacing w:line="240" w:lineRule="atLeast"/>
              <w:rPr>
                <w:rFonts w:ascii="Tahoma" w:hAnsi="Tahoma"/>
                <w:b/>
                <w:bCs/>
                <w:color w:val="000000" w:themeColor="text1"/>
                <w:sz w:val="16"/>
                <w:lang w:val="en-GB"/>
              </w:rPr>
            </w:pPr>
            <w:r w:rsidRPr="0056228C">
              <w:rPr>
                <w:rFonts w:ascii="Tahoma" w:hAnsi="Tahoma"/>
                <w:b/>
                <w:bCs/>
                <w:color w:val="000000" w:themeColor="text1"/>
                <w:sz w:val="16"/>
                <w:lang w:val="en-GB"/>
              </w:rPr>
              <w:t>FINANCIAL INSTRUMENTS (continued)</w:t>
            </w:r>
          </w:p>
        </w:tc>
      </w:tr>
      <w:tr w:rsidR="00615190" w:rsidRPr="000A72B1" w14:paraId="005DA451" w14:textId="77777777" w:rsidTr="001237B8">
        <w:trPr>
          <w:trHeight w:val="60"/>
        </w:trPr>
        <w:tc>
          <w:tcPr>
            <w:tcW w:w="397" w:type="dxa"/>
            <w:shd w:val="clear" w:color="auto" w:fill="auto"/>
            <w:tcMar>
              <w:top w:w="85" w:type="dxa"/>
              <w:left w:w="0" w:type="dxa"/>
              <w:bottom w:w="85" w:type="dxa"/>
              <w:right w:w="0" w:type="dxa"/>
            </w:tcMar>
            <w:vAlign w:val="bottom"/>
          </w:tcPr>
          <w:p w14:paraId="75E31B56" w14:textId="77777777" w:rsidR="000A72B1" w:rsidRPr="000A72B1" w:rsidRDefault="000A72B1" w:rsidP="00615190">
            <w:pPr>
              <w:spacing w:line="240" w:lineRule="atLeast"/>
              <w:rPr>
                <w:rFonts w:ascii="Tahoma" w:hAnsi="Tahoma"/>
                <w:color w:val="000000" w:themeColor="text1"/>
                <w:sz w:val="16"/>
                <w:lang w:val="en-GB"/>
              </w:rPr>
            </w:pPr>
          </w:p>
        </w:tc>
        <w:tc>
          <w:tcPr>
            <w:tcW w:w="5132" w:type="dxa"/>
            <w:shd w:val="clear" w:color="auto" w:fill="auto"/>
            <w:tcMar>
              <w:top w:w="85" w:type="dxa"/>
              <w:left w:w="0" w:type="dxa"/>
              <w:bottom w:w="85" w:type="dxa"/>
              <w:right w:w="0" w:type="dxa"/>
            </w:tcMar>
            <w:vAlign w:val="bottom"/>
          </w:tcPr>
          <w:p w14:paraId="249CAB8E" w14:textId="77777777" w:rsidR="000A72B1" w:rsidRPr="000A72B1" w:rsidRDefault="000A72B1" w:rsidP="00615190">
            <w:pPr>
              <w:spacing w:line="240" w:lineRule="atLeast"/>
              <w:rPr>
                <w:rFonts w:ascii="Tahoma" w:hAnsi="Tahoma"/>
                <w:color w:val="000000" w:themeColor="text1"/>
                <w:sz w:val="16"/>
                <w:lang w:val="en-GB"/>
              </w:rPr>
            </w:pPr>
          </w:p>
        </w:tc>
        <w:tc>
          <w:tcPr>
            <w:tcW w:w="4677" w:type="dxa"/>
            <w:gridSpan w:val="4"/>
            <w:shd w:val="clear" w:color="auto" w:fill="auto"/>
            <w:tcMar>
              <w:top w:w="85" w:type="dxa"/>
              <w:left w:w="0" w:type="dxa"/>
              <w:bottom w:w="85" w:type="dxa"/>
              <w:right w:w="0" w:type="dxa"/>
            </w:tcMar>
            <w:vAlign w:val="bottom"/>
          </w:tcPr>
          <w:p w14:paraId="296E1D0F" w14:textId="77777777" w:rsidR="000A72B1" w:rsidRPr="000A72B1" w:rsidRDefault="000A72B1" w:rsidP="00615190">
            <w:pPr>
              <w:spacing w:line="240" w:lineRule="atLeast"/>
              <w:rPr>
                <w:rFonts w:ascii="Tahoma" w:hAnsi="Tahoma"/>
                <w:b/>
                <w:bCs/>
                <w:color w:val="000000" w:themeColor="text1"/>
                <w:sz w:val="16"/>
                <w:lang w:val="en-GB"/>
              </w:rPr>
            </w:pPr>
            <w:r w:rsidRPr="000A72B1">
              <w:rPr>
                <w:rFonts w:ascii="Tahoma" w:hAnsi="Tahoma"/>
                <w:b/>
                <w:bCs/>
                <w:color w:val="000000" w:themeColor="text1"/>
                <w:sz w:val="16"/>
                <w:lang w:val="en-GB"/>
              </w:rPr>
              <w:t>Fair-value measurements at 31 March 2022 using:</w:t>
            </w:r>
          </w:p>
        </w:tc>
      </w:tr>
      <w:tr w:rsidR="00615190" w:rsidRPr="000A72B1" w14:paraId="6A7E8E7A" w14:textId="77777777" w:rsidTr="001237B8">
        <w:trPr>
          <w:trHeight w:val="60"/>
        </w:trPr>
        <w:tc>
          <w:tcPr>
            <w:tcW w:w="397" w:type="dxa"/>
            <w:shd w:val="clear" w:color="auto" w:fill="auto"/>
            <w:tcMar>
              <w:top w:w="113" w:type="dxa"/>
              <w:left w:w="0" w:type="dxa"/>
              <w:bottom w:w="113" w:type="dxa"/>
              <w:right w:w="0" w:type="dxa"/>
            </w:tcMar>
            <w:vAlign w:val="bottom"/>
          </w:tcPr>
          <w:p w14:paraId="23755F11" w14:textId="77777777" w:rsidR="000A72B1" w:rsidRPr="000A72B1" w:rsidRDefault="000A72B1" w:rsidP="00615190">
            <w:pPr>
              <w:spacing w:line="240" w:lineRule="atLeast"/>
              <w:rPr>
                <w:rFonts w:ascii="Tahoma" w:hAnsi="Tahoma"/>
                <w:color w:val="000000" w:themeColor="text1"/>
                <w:sz w:val="16"/>
                <w:lang w:val="en-GB"/>
              </w:rPr>
            </w:pPr>
          </w:p>
        </w:tc>
        <w:tc>
          <w:tcPr>
            <w:tcW w:w="5132" w:type="dxa"/>
            <w:tcBorders>
              <w:bottom w:val="single" w:sz="12" w:space="0" w:color="auto"/>
            </w:tcBorders>
            <w:shd w:val="clear" w:color="auto" w:fill="auto"/>
            <w:tcMar>
              <w:top w:w="113" w:type="dxa"/>
              <w:left w:w="0" w:type="dxa"/>
              <w:bottom w:w="113" w:type="dxa"/>
              <w:right w:w="0" w:type="dxa"/>
            </w:tcMar>
            <w:vAlign w:val="bottom"/>
          </w:tcPr>
          <w:p w14:paraId="68CCC606" w14:textId="77777777" w:rsidR="000A72B1" w:rsidRPr="000A72B1" w:rsidRDefault="000A72B1" w:rsidP="00615190">
            <w:pPr>
              <w:spacing w:line="240" w:lineRule="atLeast"/>
              <w:rPr>
                <w:rFonts w:ascii="Tahoma" w:hAnsi="Tahoma"/>
                <w:color w:val="000000" w:themeColor="text1"/>
                <w:sz w:val="16"/>
                <w:lang w:val="en-GB"/>
              </w:rPr>
            </w:pPr>
          </w:p>
        </w:tc>
        <w:tc>
          <w:tcPr>
            <w:tcW w:w="992" w:type="dxa"/>
            <w:tcBorders>
              <w:bottom w:val="single" w:sz="12" w:space="0" w:color="auto"/>
            </w:tcBorders>
            <w:shd w:val="clear" w:color="auto" w:fill="auto"/>
            <w:tcMar>
              <w:top w:w="113" w:type="dxa"/>
              <w:left w:w="0" w:type="dxa"/>
              <w:bottom w:w="113" w:type="dxa"/>
              <w:right w:w="0" w:type="dxa"/>
            </w:tcMar>
            <w:vAlign w:val="bottom"/>
          </w:tcPr>
          <w:p w14:paraId="12D5BAE9" w14:textId="77777777" w:rsidR="000A72B1" w:rsidRPr="000A72B1" w:rsidRDefault="000A72B1" w:rsidP="0092233A">
            <w:pPr>
              <w:spacing w:line="240" w:lineRule="atLeast"/>
              <w:jc w:val="right"/>
              <w:rPr>
                <w:rFonts w:ascii="Tahoma" w:hAnsi="Tahoma"/>
                <w:color w:val="000000" w:themeColor="text1"/>
                <w:sz w:val="16"/>
                <w:lang w:val="en-GB"/>
              </w:rPr>
            </w:pPr>
            <w:r w:rsidRPr="000A72B1">
              <w:rPr>
                <w:rFonts w:ascii="Tahoma" w:hAnsi="Tahoma"/>
                <w:color w:val="000000" w:themeColor="text1"/>
                <w:sz w:val="16"/>
                <w:lang w:val="en-GB"/>
              </w:rPr>
              <w:t>Carrying</w:t>
            </w:r>
          </w:p>
          <w:p w14:paraId="2C70313F" w14:textId="77777777" w:rsidR="000A72B1" w:rsidRPr="000A72B1" w:rsidRDefault="000A72B1" w:rsidP="0092233A">
            <w:pPr>
              <w:spacing w:line="240" w:lineRule="atLeast"/>
              <w:jc w:val="right"/>
              <w:rPr>
                <w:rFonts w:ascii="Tahoma" w:hAnsi="Tahoma"/>
                <w:color w:val="000000" w:themeColor="text1"/>
                <w:sz w:val="16"/>
                <w:lang w:val="en-GB"/>
              </w:rPr>
            </w:pPr>
            <w:r w:rsidRPr="000A72B1">
              <w:rPr>
                <w:rFonts w:ascii="Tahoma" w:hAnsi="Tahoma"/>
                <w:color w:val="000000" w:themeColor="text1"/>
                <w:sz w:val="16"/>
                <w:lang w:val="en-GB"/>
              </w:rPr>
              <w:t>value</w:t>
            </w:r>
          </w:p>
          <w:p w14:paraId="671E04FE" w14:textId="77777777" w:rsidR="000A72B1" w:rsidRPr="000A72B1" w:rsidRDefault="000A72B1" w:rsidP="0092233A">
            <w:pPr>
              <w:spacing w:line="240" w:lineRule="atLeast"/>
              <w:jc w:val="right"/>
              <w:rPr>
                <w:rFonts w:ascii="Tahoma" w:hAnsi="Tahoma"/>
                <w:color w:val="000000" w:themeColor="text1"/>
                <w:sz w:val="16"/>
                <w:lang w:val="en-GB"/>
              </w:rPr>
            </w:pPr>
            <w:proofErr w:type="spellStart"/>
            <w:r w:rsidRPr="000A72B1">
              <w:rPr>
                <w:rFonts w:ascii="Tahoma" w:hAnsi="Tahoma"/>
                <w:color w:val="000000" w:themeColor="text1"/>
                <w:sz w:val="16"/>
                <w:lang w:val="en-GB"/>
              </w:rPr>
              <w:t>US$’m</w:t>
            </w:r>
            <w:proofErr w:type="spellEnd"/>
          </w:p>
        </w:tc>
        <w:tc>
          <w:tcPr>
            <w:tcW w:w="1276" w:type="dxa"/>
            <w:tcBorders>
              <w:bottom w:val="single" w:sz="12" w:space="0" w:color="auto"/>
            </w:tcBorders>
            <w:shd w:val="clear" w:color="auto" w:fill="auto"/>
            <w:tcMar>
              <w:top w:w="113" w:type="dxa"/>
              <w:left w:w="0" w:type="dxa"/>
              <w:bottom w:w="113" w:type="dxa"/>
              <w:right w:w="0" w:type="dxa"/>
            </w:tcMar>
            <w:vAlign w:val="bottom"/>
          </w:tcPr>
          <w:p w14:paraId="05B26C94" w14:textId="77777777" w:rsidR="000A72B1" w:rsidRPr="000A72B1" w:rsidRDefault="000A72B1" w:rsidP="0092233A">
            <w:pPr>
              <w:spacing w:line="240" w:lineRule="atLeast"/>
              <w:jc w:val="right"/>
              <w:rPr>
                <w:rFonts w:ascii="Tahoma" w:hAnsi="Tahoma"/>
                <w:color w:val="000000" w:themeColor="text1"/>
                <w:sz w:val="16"/>
                <w:lang w:val="en-GB"/>
              </w:rPr>
            </w:pPr>
            <w:r w:rsidRPr="000A72B1">
              <w:rPr>
                <w:rFonts w:ascii="Tahoma" w:hAnsi="Tahoma"/>
                <w:color w:val="000000" w:themeColor="text1"/>
                <w:sz w:val="16"/>
                <w:lang w:val="en-GB"/>
              </w:rPr>
              <w:t xml:space="preserve">Quoted </w:t>
            </w:r>
          </w:p>
          <w:p w14:paraId="28FC1740" w14:textId="77777777" w:rsidR="000A72B1" w:rsidRPr="000A72B1" w:rsidRDefault="000A72B1" w:rsidP="0092233A">
            <w:pPr>
              <w:spacing w:line="240" w:lineRule="atLeast"/>
              <w:jc w:val="right"/>
              <w:rPr>
                <w:rFonts w:ascii="Tahoma" w:hAnsi="Tahoma"/>
                <w:color w:val="000000" w:themeColor="text1"/>
                <w:sz w:val="16"/>
                <w:lang w:val="en-GB"/>
              </w:rPr>
            </w:pPr>
            <w:r w:rsidRPr="000A72B1">
              <w:rPr>
                <w:rFonts w:ascii="Tahoma" w:hAnsi="Tahoma"/>
                <w:color w:val="000000" w:themeColor="text1"/>
                <w:sz w:val="16"/>
                <w:lang w:val="en-GB"/>
              </w:rPr>
              <w:t>prices</w:t>
            </w:r>
          </w:p>
          <w:p w14:paraId="6A14AF8A" w14:textId="77777777" w:rsidR="000A72B1" w:rsidRPr="000A72B1" w:rsidRDefault="000A72B1" w:rsidP="0092233A">
            <w:pPr>
              <w:spacing w:line="240" w:lineRule="atLeast"/>
              <w:jc w:val="right"/>
              <w:rPr>
                <w:rFonts w:ascii="Tahoma" w:hAnsi="Tahoma"/>
                <w:color w:val="000000" w:themeColor="text1"/>
                <w:sz w:val="16"/>
                <w:lang w:val="en-GB"/>
              </w:rPr>
            </w:pPr>
            <w:r w:rsidRPr="000A72B1">
              <w:rPr>
                <w:rFonts w:ascii="Tahoma" w:hAnsi="Tahoma"/>
                <w:color w:val="000000" w:themeColor="text1"/>
                <w:sz w:val="16"/>
                <w:lang w:val="en-GB"/>
              </w:rPr>
              <w:t>in active</w:t>
            </w:r>
          </w:p>
          <w:p w14:paraId="369F314D" w14:textId="77777777" w:rsidR="000A72B1" w:rsidRPr="000A72B1" w:rsidRDefault="000A72B1" w:rsidP="0092233A">
            <w:pPr>
              <w:spacing w:line="240" w:lineRule="atLeast"/>
              <w:jc w:val="right"/>
              <w:rPr>
                <w:rFonts w:ascii="Tahoma" w:hAnsi="Tahoma"/>
                <w:color w:val="000000" w:themeColor="text1"/>
                <w:sz w:val="16"/>
                <w:lang w:val="en-GB"/>
              </w:rPr>
            </w:pPr>
            <w:r w:rsidRPr="000A72B1">
              <w:rPr>
                <w:rFonts w:ascii="Tahoma" w:hAnsi="Tahoma"/>
                <w:color w:val="000000" w:themeColor="text1"/>
                <w:sz w:val="16"/>
                <w:lang w:val="en-GB"/>
              </w:rPr>
              <w:t>markets for</w:t>
            </w:r>
          </w:p>
          <w:p w14:paraId="14332D98" w14:textId="77777777" w:rsidR="000A72B1" w:rsidRPr="000A72B1" w:rsidRDefault="000A72B1" w:rsidP="0092233A">
            <w:pPr>
              <w:spacing w:line="240" w:lineRule="atLeast"/>
              <w:jc w:val="right"/>
              <w:rPr>
                <w:rFonts w:ascii="Tahoma" w:hAnsi="Tahoma"/>
                <w:color w:val="000000" w:themeColor="text1"/>
                <w:sz w:val="16"/>
                <w:lang w:val="en-GB"/>
              </w:rPr>
            </w:pPr>
            <w:r w:rsidRPr="000A72B1">
              <w:rPr>
                <w:rFonts w:ascii="Tahoma" w:hAnsi="Tahoma"/>
                <w:color w:val="000000" w:themeColor="text1"/>
                <w:sz w:val="16"/>
                <w:lang w:val="en-GB"/>
              </w:rPr>
              <w:t>identical</w:t>
            </w:r>
          </w:p>
          <w:p w14:paraId="0A68D2CD" w14:textId="77777777" w:rsidR="000A72B1" w:rsidRPr="000A72B1" w:rsidRDefault="000A72B1" w:rsidP="0092233A">
            <w:pPr>
              <w:spacing w:line="240" w:lineRule="atLeast"/>
              <w:jc w:val="right"/>
              <w:rPr>
                <w:rFonts w:ascii="Tahoma" w:hAnsi="Tahoma"/>
                <w:color w:val="000000" w:themeColor="text1"/>
                <w:sz w:val="16"/>
                <w:lang w:val="en-GB"/>
              </w:rPr>
            </w:pPr>
            <w:r w:rsidRPr="000A72B1">
              <w:rPr>
                <w:rFonts w:ascii="Tahoma" w:hAnsi="Tahoma"/>
                <w:color w:val="000000" w:themeColor="text1"/>
                <w:sz w:val="16"/>
                <w:lang w:val="en-GB"/>
              </w:rPr>
              <w:t xml:space="preserve">assets or </w:t>
            </w:r>
          </w:p>
          <w:p w14:paraId="726BA6E3" w14:textId="77777777" w:rsidR="000A72B1" w:rsidRPr="000A72B1" w:rsidRDefault="000A72B1" w:rsidP="0092233A">
            <w:pPr>
              <w:spacing w:line="240" w:lineRule="atLeast"/>
              <w:jc w:val="right"/>
              <w:rPr>
                <w:rFonts w:ascii="Tahoma" w:hAnsi="Tahoma"/>
                <w:color w:val="000000" w:themeColor="text1"/>
                <w:sz w:val="16"/>
                <w:lang w:val="en-GB"/>
              </w:rPr>
            </w:pPr>
            <w:r w:rsidRPr="000A72B1">
              <w:rPr>
                <w:rFonts w:ascii="Tahoma" w:hAnsi="Tahoma"/>
                <w:color w:val="000000" w:themeColor="text1"/>
                <w:sz w:val="16"/>
                <w:lang w:val="en-GB"/>
              </w:rPr>
              <w:t>liabilities</w:t>
            </w:r>
          </w:p>
          <w:p w14:paraId="26EE36F2" w14:textId="77777777" w:rsidR="000A72B1" w:rsidRPr="000A72B1" w:rsidRDefault="000A72B1" w:rsidP="0092233A">
            <w:pPr>
              <w:spacing w:line="240" w:lineRule="atLeast"/>
              <w:jc w:val="right"/>
              <w:rPr>
                <w:rFonts w:ascii="Tahoma" w:hAnsi="Tahoma"/>
                <w:color w:val="000000" w:themeColor="text1"/>
                <w:sz w:val="16"/>
                <w:lang w:val="en-GB"/>
              </w:rPr>
            </w:pPr>
            <w:r w:rsidRPr="000A72B1">
              <w:rPr>
                <w:rFonts w:ascii="Tahoma" w:hAnsi="Tahoma"/>
                <w:color w:val="000000" w:themeColor="text1"/>
                <w:sz w:val="16"/>
                <w:lang w:val="en-GB"/>
              </w:rPr>
              <w:t>(</w:t>
            </w:r>
            <w:proofErr w:type="gramStart"/>
            <w:r w:rsidRPr="000A72B1">
              <w:rPr>
                <w:rFonts w:ascii="Tahoma" w:hAnsi="Tahoma"/>
                <w:color w:val="000000" w:themeColor="text1"/>
                <w:sz w:val="16"/>
                <w:lang w:val="en-GB"/>
              </w:rPr>
              <w:t>level</w:t>
            </w:r>
            <w:proofErr w:type="gramEnd"/>
            <w:r w:rsidRPr="000A72B1">
              <w:rPr>
                <w:rFonts w:ascii="Tahoma" w:hAnsi="Tahoma"/>
                <w:color w:val="000000" w:themeColor="text1"/>
                <w:sz w:val="16"/>
                <w:lang w:val="en-GB"/>
              </w:rPr>
              <w:t xml:space="preserve"> 1)</w:t>
            </w:r>
          </w:p>
          <w:p w14:paraId="1BBEABB9" w14:textId="77777777" w:rsidR="000A72B1" w:rsidRPr="000A72B1" w:rsidRDefault="000A72B1" w:rsidP="0092233A">
            <w:pPr>
              <w:spacing w:line="240" w:lineRule="atLeast"/>
              <w:jc w:val="right"/>
              <w:rPr>
                <w:rFonts w:ascii="Tahoma" w:hAnsi="Tahoma"/>
                <w:color w:val="000000" w:themeColor="text1"/>
                <w:sz w:val="16"/>
                <w:lang w:val="en-GB"/>
              </w:rPr>
            </w:pPr>
            <w:proofErr w:type="spellStart"/>
            <w:r w:rsidRPr="000A72B1">
              <w:rPr>
                <w:rFonts w:ascii="Tahoma" w:hAnsi="Tahoma"/>
                <w:color w:val="000000" w:themeColor="text1"/>
                <w:sz w:val="16"/>
                <w:lang w:val="en-GB"/>
              </w:rPr>
              <w:t>US$’m</w:t>
            </w:r>
            <w:proofErr w:type="spellEnd"/>
          </w:p>
        </w:tc>
        <w:tc>
          <w:tcPr>
            <w:tcW w:w="1134" w:type="dxa"/>
            <w:tcBorders>
              <w:bottom w:val="single" w:sz="12" w:space="0" w:color="auto"/>
            </w:tcBorders>
            <w:shd w:val="clear" w:color="auto" w:fill="auto"/>
            <w:tcMar>
              <w:top w:w="113" w:type="dxa"/>
              <w:left w:w="0" w:type="dxa"/>
              <w:bottom w:w="113" w:type="dxa"/>
              <w:right w:w="0" w:type="dxa"/>
            </w:tcMar>
            <w:vAlign w:val="bottom"/>
          </w:tcPr>
          <w:p w14:paraId="7CCE8875" w14:textId="77777777" w:rsidR="000A72B1" w:rsidRPr="000A72B1" w:rsidRDefault="000A72B1" w:rsidP="0092233A">
            <w:pPr>
              <w:spacing w:line="240" w:lineRule="atLeast"/>
              <w:jc w:val="right"/>
              <w:rPr>
                <w:rFonts w:ascii="Tahoma" w:hAnsi="Tahoma"/>
                <w:color w:val="000000" w:themeColor="text1"/>
                <w:sz w:val="16"/>
                <w:lang w:val="en-GB"/>
              </w:rPr>
            </w:pPr>
            <w:r w:rsidRPr="000A72B1">
              <w:rPr>
                <w:rFonts w:ascii="Tahoma" w:hAnsi="Tahoma"/>
                <w:color w:val="000000" w:themeColor="text1"/>
                <w:sz w:val="16"/>
                <w:lang w:val="en-GB"/>
              </w:rPr>
              <w:t>Significant</w:t>
            </w:r>
          </w:p>
          <w:p w14:paraId="1A55EFCF" w14:textId="77777777" w:rsidR="000A72B1" w:rsidRPr="000A72B1" w:rsidRDefault="000A72B1" w:rsidP="0092233A">
            <w:pPr>
              <w:spacing w:line="240" w:lineRule="atLeast"/>
              <w:jc w:val="right"/>
              <w:rPr>
                <w:rFonts w:ascii="Tahoma" w:hAnsi="Tahoma"/>
                <w:color w:val="000000" w:themeColor="text1"/>
                <w:sz w:val="16"/>
                <w:lang w:val="en-GB"/>
              </w:rPr>
            </w:pPr>
            <w:r w:rsidRPr="000A72B1">
              <w:rPr>
                <w:rFonts w:ascii="Tahoma" w:hAnsi="Tahoma"/>
                <w:color w:val="000000" w:themeColor="text1"/>
                <w:sz w:val="16"/>
                <w:lang w:val="en-GB"/>
              </w:rPr>
              <w:t>other</w:t>
            </w:r>
          </w:p>
          <w:p w14:paraId="6DDDA30D" w14:textId="77777777" w:rsidR="000A72B1" w:rsidRPr="000A72B1" w:rsidRDefault="000A72B1" w:rsidP="0092233A">
            <w:pPr>
              <w:spacing w:line="240" w:lineRule="atLeast"/>
              <w:jc w:val="right"/>
              <w:rPr>
                <w:rFonts w:ascii="Tahoma" w:hAnsi="Tahoma"/>
                <w:color w:val="000000" w:themeColor="text1"/>
                <w:sz w:val="16"/>
                <w:lang w:val="en-GB"/>
              </w:rPr>
            </w:pPr>
            <w:r w:rsidRPr="000A72B1">
              <w:rPr>
                <w:rFonts w:ascii="Tahoma" w:hAnsi="Tahoma"/>
                <w:color w:val="000000" w:themeColor="text1"/>
                <w:sz w:val="16"/>
                <w:lang w:val="en-GB"/>
              </w:rPr>
              <w:t>observable</w:t>
            </w:r>
          </w:p>
          <w:p w14:paraId="6AC5152B" w14:textId="77777777" w:rsidR="000A72B1" w:rsidRPr="000A72B1" w:rsidRDefault="000A72B1" w:rsidP="0092233A">
            <w:pPr>
              <w:spacing w:line="240" w:lineRule="atLeast"/>
              <w:jc w:val="right"/>
              <w:rPr>
                <w:rFonts w:ascii="Tahoma" w:hAnsi="Tahoma"/>
                <w:color w:val="000000" w:themeColor="text1"/>
                <w:sz w:val="16"/>
                <w:lang w:val="en-GB"/>
              </w:rPr>
            </w:pPr>
            <w:r w:rsidRPr="000A72B1">
              <w:rPr>
                <w:rFonts w:ascii="Tahoma" w:hAnsi="Tahoma"/>
                <w:color w:val="000000" w:themeColor="text1"/>
                <w:sz w:val="16"/>
                <w:lang w:val="en-GB"/>
              </w:rPr>
              <w:t>inputs</w:t>
            </w:r>
          </w:p>
          <w:p w14:paraId="25C9FEBF" w14:textId="77777777" w:rsidR="000A72B1" w:rsidRPr="000A72B1" w:rsidRDefault="000A72B1" w:rsidP="0092233A">
            <w:pPr>
              <w:spacing w:line="240" w:lineRule="atLeast"/>
              <w:jc w:val="right"/>
              <w:rPr>
                <w:rFonts w:ascii="Tahoma" w:hAnsi="Tahoma"/>
                <w:color w:val="000000" w:themeColor="text1"/>
                <w:sz w:val="16"/>
                <w:lang w:val="en-GB"/>
              </w:rPr>
            </w:pPr>
            <w:r w:rsidRPr="000A72B1">
              <w:rPr>
                <w:rFonts w:ascii="Tahoma" w:hAnsi="Tahoma"/>
                <w:color w:val="000000" w:themeColor="text1"/>
                <w:sz w:val="16"/>
                <w:lang w:val="en-GB"/>
              </w:rPr>
              <w:t>(</w:t>
            </w:r>
            <w:proofErr w:type="gramStart"/>
            <w:r w:rsidRPr="000A72B1">
              <w:rPr>
                <w:rFonts w:ascii="Tahoma" w:hAnsi="Tahoma"/>
                <w:color w:val="000000" w:themeColor="text1"/>
                <w:sz w:val="16"/>
                <w:lang w:val="en-GB"/>
              </w:rPr>
              <w:t>level</w:t>
            </w:r>
            <w:proofErr w:type="gramEnd"/>
            <w:r w:rsidRPr="000A72B1">
              <w:rPr>
                <w:rFonts w:ascii="Tahoma" w:hAnsi="Tahoma"/>
                <w:color w:val="000000" w:themeColor="text1"/>
                <w:sz w:val="16"/>
                <w:lang w:val="en-GB"/>
              </w:rPr>
              <w:t xml:space="preserve"> 2)</w:t>
            </w:r>
          </w:p>
          <w:p w14:paraId="513E9D0F" w14:textId="77777777" w:rsidR="000A72B1" w:rsidRPr="000A72B1" w:rsidRDefault="000A72B1" w:rsidP="0092233A">
            <w:pPr>
              <w:spacing w:line="240" w:lineRule="atLeast"/>
              <w:jc w:val="right"/>
              <w:rPr>
                <w:rFonts w:ascii="Tahoma" w:hAnsi="Tahoma"/>
                <w:color w:val="000000" w:themeColor="text1"/>
                <w:sz w:val="16"/>
                <w:lang w:val="en-GB"/>
              </w:rPr>
            </w:pPr>
            <w:proofErr w:type="spellStart"/>
            <w:r w:rsidRPr="000A72B1">
              <w:rPr>
                <w:rFonts w:ascii="Tahoma" w:hAnsi="Tahoma"/>
                <w:color w:val="000000" w:themeColor="text1"/>
                <w:sz w:val="16"/>
                <w:lang w:val="en-GB"/>
              </w:rPr>
              <w:t>US$’m</w:t>
            </w:r>
            <w:proofErr w:type="spellEnd"/>
          </w:p>
        </w:tc>
        <w:tc>
          <w:tcPr>
            <w:tcW w:w="1275" w:type="dxa"/>
            <w:tcBorders>
              <w:bottom w:val="single" w:sz="12" w:space="0" w:color="auto"/>
            </w:tcBorders>
            <w:shd w:val="clear" w:color="auto" w:fill="auto"/>
            <w:tcMar>
              <w:top w:w="113" w:type="dxa"/>
              <w:left w:w="0" w:type="dxa"/>
              <w:bottom w:w="113" w:type="dxa"/>
              <w:right w:w="0" w:type="dxa"/>
            </w:tcMar>
            <w:vAlign w:val="bottom"/>
          </w:tcPr>
          <w:p w14:paraId="6A1C20B6" w14:textId="77777777" w:rsidR="000A72B1" w:rsidRPr="000A72B1" w:rsidRDefault="000A72B1" w:rsidP="0092233A">
            <w:pPr>
              <w:spacing w:line="240" w:lineRule="atLeast"/>
              <w:jc w:val="right"/>
              <w:rPr>
                <w:rFonts w:ascii="Tahoma" w:hAnsi="Tahoma"/>
                <w:color w:val="000000" w:themeColor="text1"/>
                <w:sz w:val="16"/>
                <w:lang w:val="en-GB"/>
              </w:rPr>
            </w:pPr>
            <w:r w:rsidRPr="000A72B1">
              <w:rPr>
                <w:rFonts w:ascii="Tahoma" w:hAnsi="Tahoma"/>
                <w:color w:val="000000" w:themeColor="text1"/>
                <w:sz w:val="16"/>
                <w:lang w:val="en-GB"/>
              </w:rPr>
              <w:t>Significant</w:t>
            </w:r>
          </w:p>
          <w:p w14:paraId="541FE545" w14:textId="77777777" w:rsidR="000A72B1" w:rsidRPr="000A72B1" w:rsidRDefault="000A72B1" w:rsidP="0092233A">
            <w:pPr>
              <w:spacing w:line="240" w:lineRule="atLeast"/>
              <w:jc w:val="right"/>
              <w:rPr>
                <w:rFonts w:ascii="Tahoma" w:hAnsi="Tahoma"/>
                <w:color w:val="000000" w:themeColor="text1"/>
                <w:sz w:val="16"/>
                <w:lang w:val="en-GB"/>
              </w:rPr>
            </w:pPr>
            <w:r w:rsidRPr="000A72B1">
              <w:rPr>
                <w:rFonts w:ascii="Tahoma" w:hAnsi="Tahoma"/>
                <w:color w:val="000000" w:themeColor="text1"/>
                <w:sz w:val="16"/>
                <w:lang w:val="en-GB"/>
              </w:rPr>
              <w:t>unobservable</w:t>
            </w:r>
          </w:p>
          <w:p w14:paraId="66AB6B45" w14:textId="77777777" w:rsidR="000A72B1" w:rsidRPr="000A72B1" w:rsidRDefault="000A72B1" w:rsidP="0092233A">
            <w:pPr>
              <w:spacing w:line="240" w:lineRule="atLeast"/>
              <w:jc w:val="right"/>
              <w:rPr>
                <w:rFonts w:ascii="Tahoma" w:hAnsi="Tahoma"/>
                <w:color w:val="000000" w:themeColor="text1"/>
                <w:sz w:val="16"/>
                <w:lang w:val="en-GB"/>
              </w:rPr>
            </w:pPr>
            <w:r w:rsidRPr="000A72B1">
              <w:rPr>
                <w:rFonts w:ascii="Tahoma" w:hAnsi="Tahoma"/>
                <w:color w:val="000000" w:themeColor="text1"/>
                <w:sz w:val="16"/>
                <w:lang w:val="en-GB"/>
              </w:rPr>
              <w:t>inputs</w:t>
            </w:r>
          </w:p>
          <w:p w14:paraId="593F22C9" w14:textId="77777777" w:rsidR="000A72B1" w:rsidRPr="000A72B1" w:rsidRDefault="000A72B1" w:rsidP="0092233A">
            <w:pPr>
              <w:spacing w:line="240" w:lineRule="atLeast"/>
              <w:jc w:val="right"/>
              <w:rPr>
                <w:rFonts w:ascii="Tahoma" w:hAnsi="Tahoma"/>
                <w:color w:val="000000" w:themeColor="text1"/>
                <w:sz w:val="16"/>
                <w:lang w:val="en-GB"/>
              </w:rPr>
            </w:pPr>
            <w:r w:rsidRPr="000A72B1">
              <w:rPr>
                <w:rFonts w:ascii="Tahoma" w:hAnsi="Tahoma"/>
                <w:color w:val="000000" w:themeColor="text1"/>
                <w:sz w:val="16"/>
                <w:lang w:val="en-GB"/>
              </w:rPr>
              <w:t>(</w:t>
            </w:r>
            <w:proofErr w:type="gramStart"/>
            <w:r w:rsidRPr="000A72B1">
              <w:rPr>
                <w:rFonts w:ascii="Tahoma" w:hAnsi="Tahoma"/>
                <w:color w:val="000000" w:themeColor="text1"/>
                <w:sz w:val="16"/>
                <w:lang w:val="en-GB"/>
              </w:rPr>
              <w:t>level</w:t>
            </w:r>
            <w:proofErr w:type="gramEnd"/>
            <w:r w:rsidRPr="000A72B1">
              <w:rPr>
                <w:rFonts w:ascii="Tahoma" w:hAnsi="Tahoma"/>
                <w:color w:val="000000" w:themeColor="text1"/>
                <w:sz w:val="16"/>
                <w:lang w:val="en-GB"/>
              </w:rPr>
              <w:t xml:space="preserve"> 3)</w:t>
            </w:r>
          </w:p>
          <w:p w14:paraId="6626685C" w14:textId="77777777" w:rsidR="000A72B1" w:rsidRPr="000A72B1" w:rsidRDefault="000A72B1" w:rsidP="0092233A">
            <w:pPr>
              <w:spacing w:line="240" w:lineRule="atLeast"/>
              <w:jc w:val="right"/>
              <w:rPr>
                <w:rFonts w:ascii="Tahoma" w:hAnsi="Tahoma"/>
                <w:color w:val="000000" w:themeColor="text1"/>
                <w:sz w:val="16"/>
                <w:lang w:val="en-GB"/>
              </w:rPr>
            </w:pPr>
            <w:proofErr w:type="spellStart"/>
            <w:r w:rsidRPr="000A72B1">
              <w:rPr>
                <w:rFonts w:ascii="Tahoma" w:hAnsi="Tahoma"/>
                <w:color w:val="000000" w:themeColor="text1"/>
                <w:sz w:val="16"/>
                <w:lang w:val="en-GB"/>
              </w:rPr>
              <w:t>US$’m</w:t>
            </w:r>
            <w:proofErr w:type="spellEnd"/>
          </w:p>
        </w:tc>
      </w:tr>
      <w:tr w:rsidR="00615190" w:rsidRPr="000A72B1" w14:paraId="44B020C3" w14:textId="77777777" w:rsidTr="001237B8">
        <w:trPr>
          <w:trHeight w:val="60"/>
        </w:trPr>
        <w:tc>
          <w:tcPr>
            <w:tcW w:w="397" w:type="dxa"/>
            <w:shd w:val="clear" w:color="auto" w:fill="auto"/>
            <w:tcMar>
              <w:top w:w="142" w:type="dxa"/>
              <w:left w:w="0" w:type="dxa"/>
              <w:bottom w:w="57" w:type="dxa"/>
              <w:right w:w="0" w:type="dxa"/>
            </w:tcMar>
            <w:vAlign w:val="bottom"/>
          </w:tcPr>
          <w:p w14:paraId="142CBE3B" w14:textId="77777777" w:rsidR="000A72B1" w:rsidRPr="000A72B1" w:rsidRDefault="000A72B1" w:rsidP="00615190">
            <w:pPr>
              <w:spacing w:line="240" w:lineRule="atLeast"/>
              <w:rPr>
                <w:rFonts w:ascii="Tahoma" w:hAnsi="Tahoma"/>
                <w:color w:val="000000" w:themeColor="text1"/>
                <w:sz w:val="16"/>
                <w:lang w:val="en-GB"/>
              </w:rPr>
            </w:pPr>
          </w:p>
        </w:tc>
        <w:tc>
          <w:tcPr>
            <w:tcW w:w="5132" w:type="dxa"/>
            <w:tcBorders>
              <w:top w:val="single" w:sz="12" w:space="0" w:color="auto"/>
            </w:tcBorders>
            <w:shd w:val="clear" w:color="auto" w:fill="auto"/>
            <w:tcMar>
              <w:top w:w="142" w:type="dxa"/>
              <w:left w:w="0" w:type="dxa"/>
              <w:bottom w:w="57" w:type="dxa"/>
              <w:right w:w="0" w:type="dxa"/>
            </w:tcMar>
            <w:vAlign w:val="bottom"/>
          </w:tcPr>
          <w:p w14:paraId="138AA418" w14:textId="77777777" w:rsidR="000A72B1" w:rsidRPr="000A72B1" w:rsidRDefault="000A72B1" w:rsidP="00615190">
            <w:pPr>
              <w:spacing w:line="240" w:lineRule="atLeast"/>
              <w:rPr>
                <w:rFonts w:ascii="Tahoma" w:hAnsi="Tahoma"/>
                <w:b/>
                <w:bCs/>
                <w:color w:val="000000" w:themeColor="text1"/>
                <w:sz w:val="16"/>
                <w:lang w:val="en-GB"/>
              </w:rPr>
            </w:pPr>
            <w:r w:rsidRPr="000A72B1">
              <w:rPr>
                <w:rFonts w:ascii="Tahoma" w:hAnsi="Tahoma"/>
                <w:b/>
                <w:bCs/>
                <w:color w:val="000000" w:themeColor="text1"/>
                <w:sz w:val="16"/>
                <w:lang w:val="en-GB"/>
              </w:rPr>
              <w:t>Assets</w:t>
            </w:r>
          </w:p>
        </w:tc>
        <w:tc>
          <w:tcPr>
            <w:tcW w:w="992" w:type="dxa"/>
            <w:tcBorders>
              <w:top w:val="single" w:sz="12" w:space="0" w:color="auto"/>
            </w:tcBorders>
            <w:shd w:val="clear" w:color="auto" w:fill="auto"/>
            <w:tcMar>
              <w:top w:w="142" w:type="dxa"/>
              <w:left w:w="0" w:type="dxa"/>
              <w:bottom w:w="57" w:type="dxa"/>
              <w:right w:w="0" w:type="dxa"/>
            </w:tcMar>
            <w:vAlign w:val="bottom"/>
          </w:tcPr>
          <w:p w14:paraId="48C5EB35" w14:textId="77777777" w:rsidR="000A72B1" w:rsidRPr="000A72B1" w:rsidRDefault="000A72B1" w:rsidP="0092233A">
            <w:pPr>
              <w:spacing w:line="240" w:lineRule="atLeast"/>
              <w:jc w:val="right"/>
              <w:rPr>
                <w:rFonts w:ascii="Tahoma" w:hAnsi="Tahoma"/>
                <w:color w:val="000000" w:themeColor="text1"/>
                <w:sz w:val="16"/>
                <w:lang w:val="en-GB"/>
              </w:rPr>
            </w:pPr>
          </w:p>
        </w:tc>
        <w:tc>
          <w:tcPr>
            <w:tcW w:w="1276" w:type="dxa"/>
            <w:tcBorders>
              <w:top w:val="single" w:sz="12" w:space="0" w:color="auto"/>
            </w:tcBorders>
            <w:shd w:val="clear" w:color="auto" w:fill="auto"/>
            <w:tcMar>
              <w:top w:w="142" w:type="dxa"/>
              <w:left w:w="0" w:type="dxa"/>
              <w:bottom w:w="57" w:type="dxa"/>
              <w:right w:w="0" w:type="dxa"/>
            </w:tcMar>
            <w:vAlign w:val="bottom"/>
          </w:tcPr>
          <w:p w14:paraId="6BDD3CD3" w14:textId="77777777" w:rsidR="000A72B1" w:rsidRPr="000A72B1" w:rsidRDefault="000A72B1" w:rsidP="0092233A">
            <w:pPr>
              <w:spacing w:line="240" w:lineRule="atLeast"/>
              <w:jc w:val="right"/>
              <w:rPr>
                <w:rFonts w:ascii="Tahoma" w:hAnsi="Tahoma"/>
                <w:color w:val="000000" w:themeColor="text1"/>
                <w:sz w:val="16"/>
                <w:lang w:val="en-GB"/>
              </w:rPr>
            </w:pPr>
          </w:p>
        </w:tc>
        <w:tc>
          <w:tcPr>
            <w:tcW w:w="1134" w:type="dxa"/>
            <w:tcBorders>
              <w:top w:val="single" w:sz="12" w:space="0" w:color="auto"/>
            </w:tcBorders>
            <w:shd w:val="clear" w:color="auto" w:fill="auto"/>
            <w:tcMar>
              <w:top w:w="142" w:type="dxa"/>
              <w:left w:w="0" w:type="dxa"/>
              <w:bottom w:w="57" w:type="dxa"/>
              <w:right w:w="0" w:type="dxa"/>
            </w:tcMar>
            <w:vAlign w:val="bottom"/>
          </w:tcPr>
          <w:p w14:paraId="21734C10" w14:textId="77777777" w:rsidR="000A72B1" w:rsidRPr="000A72B1" w:rsidRDefault="000A72B1" w:rsidP="0092233A">
            <w:pPr>
              <w:spacing w:line="240" w:lineRule="atLeast"/>
              <w:jc w:val="right"/>
              <w:rPr>
                <w:rFonts w:ascii="Tahoma" w:hAnsi="Tahoma"/>
                <w:color w:val="000000" w:themeColor="text1"/>
                <w:sz w:val="16"/>
                <w:lang w:val="en-GB"/>
              </w:rPr>
            </w:pPr>
          </w:p>
        </w:tc>
        <w:tc>
          <w:tcPr>
            <w:tcW w:w="1275" w:type="dxa"/>
            <w:tcBorders>
              <w:top w:val="single" w:sz="12" w:space="0" w:color="auto"/>
            </w:tcBorders>
            <w:shd w:val="clear" w:color="auto" w:fill="auto"/>
            <w:tcMar>
              <w:top w:w="142" w:type="dxa"/>
              <w:left w:w="0" w:type="dxa"/>
              <w:bottom w:w="57" w:type="dxa"/>
              <w:right w:w="0" w:type="dxa"/>
            </w:tcMar>
            <w:vAlign w:val="bottom"/>
          </w:tcPr>
          <w:p w14:paraId="5F39BA62" w14:textId="77777777" w:rsidR="000A72B1" w:rsidRPr="000A72B1" w:rsidRDefault="000A72B1" w:rsidP="0092233A">
            <w:pPr>
              <w:spacing w:line="240" w:lineRule="atLeast"/>
              <w:jc w:val="right"/>
              <w:rPr>
                <w:rFonts w:ascii="Tahoma" w:hAnsi="Tahoma"/>
                <w:color w:val="000000" w:themeColor="text1"/>
                <w:sz w:val="16"/>
                <w:lang w:val="en-GB"/>
              </w:rPr>
            </w:pPr>
          </w:p>
        </w:tc>
      </w:tr>
      <w:tr w:rsidR="00615190" w:rsidRPr="000A72B1" w14:paraId="77B34236" w14:textId="77777777" w:rsidTr="006E4C30">
        <w:trPr>
          <w:trHeight w:val="60"/>
        </w:trPr>
        <w:tc>
          <w:tcPr>
            <w:tcW w:w="397" w:type="dxa"/>
            <w:shd w:val="clear" w:color="auto" w:fill="auto"/>
            <w:tcMar>
              <w:top w:w="57" w:type="dxa"/>
              <w:left w:w="0" w:type="dxa"/>
              <w:bottom w:w="57" w:type="dxa"/>
              <w:right w:w="0" w:type="dxa"/>
            </w:tcMar>
            <w:vAlign w:val="bottom"/>
          </w:tcPr>
          <w:p w14:paraId="33E5A68B" w14:textId="77777777" w:rsidR="000A72B1" w:rsidRPr="000A72B1" w:rsidRDefault="000A72B1" w:rsidP="00615190">
            <w:pPr>
              <w:spacing w:line="240" w:lineRule="atLeast"/>
              <w:rPr>
                <w:rFonts w:ascii="Tahoma" w:hAnsi="Tahoma"/>
                <w:color w:val="000000" w:themeColor="text1"/>
                <w:sz w:val="16"/>
                <w:lang w:val="en-GB"/>
              </w:rPr>
            </w:pPr>
          </w:p>
        </w:tc>
        <w:tc>
          <w:tcPr>
            <w:tcW w:w="5132" w:type="dxa"/>
            <w:shd w:val="clear" w:color="auto" w:fill="auto"/>
            <w:tcMar>
              <w:top w:w="57" w:type="dxa"/>
              <w:left w:w="0" w:type="dxa"/>
              <w:bottom w:w="57" w:type="dxa"/>
              <w:right w:w="0" w:type="dxa"/>
            </w:tcMar>
            <w:vAlign w:val="bottom"/>
          </w:tcPr>
          <w:p w14:paraId="0C32E3D6" w14:textId="77777777" w:rsidR="000A72B1" w:rsidRPr="000A72B1" w:rsidRDefault="000A72B1" w:rsidP="00615190">
            <w:pPr>
              <w:spacing w:line="240" w:lineRule="atLeast"/>
              <w:rPr>
                <w:rFonts w:ascii="Tahoma" w:hAnsi="Tahoma"/>
                <w:color w:val="000000" w:themeColor="text1"/>
                <w:sz w:val="16"/>
                <w:lang w:val="en-GB"/>
              </w:rPr>
            </w:pPr>
            <w:r w:rsidRPr="000A72B1">
              <w:rPr>
                <w:rFonts w:ascii="Tahoma" w:hAnsi="Tahoma"/>
                <w:color w:val="000000" w:themeColor="text1"/>
                <w:sz w:val="16"/>
                <w:lang w:val="en-GB"/>
              </w:rPr>
              <w:t>Financial assets at fair value through other comprehensive income</w:t>
            </w:r>
          </w:p>
        </w:tc>
        <w:tc>
          <w:tcPr>
            <w:tcW w:w="992" w:type="dxa"/>
            <w:shd w:val="clear" w:color="auto" w:fill="auto"/>
            <w:tcMar>
              <w:top w:w="57" w:type="dxa"/>
              <w:left w:w="0" w:type="dxa"/>
              <w:bottom w:w="57" w:type="dxa"/>
              <w:right w:w="0" w:type="dxa"/>
            </w:tcMar>
            <w:vAlign w:val="bottom"/>
          </w:tcPr>
          <w:p w14:paraId="175B4B35" w14:textId="77777777" w:rsidR="000A72B1" w:rsidRPr="000A72B1" w:rsidRDefault="000A72B1" w:rsidP="0092233A">
            <w:pPr>
              <w:spacing w:line="240" w:lineRule="atLeast"/>
              <w:jc w:val="right"/>
              <w:rPr>
                <w:rFonts w:ascii="Tahoma" w:hAnsi="Tahoma"/>
                <w:color w:val="000000" w:themeColor="text1"/>
                <w:sz w:val="16"/>
                <w:lang w:val="en-GB"/>
              </w:rPr>
            </w:pPr>
            <w:r w:rsidRPr="000A72B1">
              <w:rPr>
                <w:rFonts w:ascii="Tahoma" w:hAnsi="Tahoma"/>
                <w:color w:val="000000" w:themeColor="text1"/>
                <w:sz w:val="16"/>
                <w:lang w:val="en-GB"/>
              </w:rPr>
              <w:t>5 918</w:t>
            </w:r>
          </w:p>
        </w:tc>
        <w:tc>
          <w:tcPr>
            <w:tcW w:w="1276" w:type="dxa"/>
            <w:shd w:val="clear" w:color="auto" w:fill="auto"/>
            <w:tcMar>
              <w:top w:w="57" w:type="dxa"/>
              <w:left w:w="0" w:type="dxa"/>
              <w:bottom w:w="57" w:type="dxa"/>
              <w:right w:w="0" w:type="dxa"/>
            </w:tcMar>
            <w:vAlign w:val="bottom"/>
          </w:tcPr>
          <w:p w14:paraId="2460E827" w14:textId="77777777" w:rsidR="000A72B1" w:rsidRPr="000A72B1" w:rsidRDefault="000A72B1" w:rsidP="0092233A">
            <w:pPr>
              <w:spacing w:line="240" w:lineRule="atLeast"/>
              <w:jc w:val="right"/>
              <w:rPr>
                <w:rFonts w:ascii="Tahoma" w:hAnsi="Tahoma"/>
                <w:color w:val="000000" w:themeColor="text1"/>
                <w:sz w:val="16"/>
                <w:lang w:val="en-GB"/>
              </w:rPr>
            </w:pPr>
            <w:r w:rsidRPr="000A72B1">
              <w:rPr>
                <w:rFonts w:ascii="Tahoma" w:hAnsi="Tahoma"/>
                <w:color w:val="000000" w:themeColor="text1"/>
                <w:sz w:val="16"/>
                <w:lang w:val="en-GB"/>
              </w:rPr>
              <w:t>4 765</w:t>
            </w:r>
          </w:p>
        </w:tc>
        <w:tc>
          <w:tcPr>
            <w:tcW w:w="1134" w:type="dxa"/>
            <w:shd w:val="clear" w:color="auto" w:fill="auto"/>
            <w:tcMar>
              <w:top w:w="57" w:type="dxa"/>
              <w:left w:w="0" w:type="dxa"/>
              <w:bottom w:w="57" w:type="dxa"/>
              <w:right w:w="0" w:type="dxa"/>
            </w:tcMar>
            <w:vAlign w:val="bottom"/>
          </w:tcPr>
          <w:p w14:paraId="34B6E6FA" w14:textId="77777777" w:rsidR="000A72B1" w:rsidRPr="000A72B1" w:rsidRDefault="000A72B1" w:rsidP="0092233A">
            <w:pPr>
              <w:spacing w:line="240" w:lineRule="atLeast"/>
              <w:jc w:val="right"/>
              <w:rPr>
                <w:rFonts w:ascii="Tahoma" w:hAnsi="Tahoma"/>
                <w:color w:val="000000" w:themeColor="text1"/>
                <w:sz w:val="16"/>
                <w:lang w:val="en-GB"/>
              </w:rPr>
            </w:pPr>
            <w:r w:rsidRPr="000A72B1">
              <w:rPr>
                <w:rFonts w:ascii="Tahoma" w:hAnsi="Tahoma"/>
                <w:color w:val="000000" w:themeColor="text1"/>
                <w:sz w:val="16"/>
                <w:lang w:val="en-GB"/>
              </w:rPr>
              <w:t>—</w:t>
            </w:r>
          </w:p>
        </w:tc>
        <w:tc>
          <w:tcPr>
            <w:tcW w:w="1275" w:type="dxa"/>
            <w:shd w:val="clear" w:color="auto" w:fill="auto"/>
            <w:tcMar>
              <w:top w:w="57" w:type="dxa"/>
              <w:left w:w="0" w:type="dxa"/>
              <w:bottom w:w="57" w:type="dxa"/>
              <w:right w:w="0" w:type="dxa"/>
            </w:tcMar>
            <w:vAlign w:val="bottom"/>
          </w:tcPr>
          <w:p w14:paraId="67C7D13F" w14:textId="77777777" w:rsidR="000A72B1" w:rsidRPr="000A72B1" w:rsidRDefault="000A72B1" w:rsidP="0092233A">
            <w:pPr>
              <w:spacing w:line="240" w:lineRule="atLeast"/>
              <w:jc w:val="right"/>
              <w:rPr>
                <w:rFonts w:ascii="Tahoma" w:hAnsi="Tahoma"/>
                <w:color w:val="000000" w:themeColor="text1"/>
                <w:sz w:val="16"/>
                <w:lang w:val="en-GB"/>
              </w:rPr>
            </w:pPr>
            <w:r w:rsidRPr="000A72B1">
              <w:rPr>
                <w:rFonts w:ascii="Tahoma" w:hAnsi="Tahoma"/>
                <w:color w:val="000000" w:themeColor="text1"/>
                <w:sz w:val="16"/>
                <w:lang w:val="en-GB"/>
              </w:rPr>
              <w:t>1 153</w:t>
            </w:r>
          </w:p>
        </w:tc>
      </w:tr>
      <w:tr w:rsidR="00615190" w:rsidRPr="000A72B1" w14:paraId="3E353CB6" w14:textId="77777777" w:rsidTr="006E4C30">
        <w:trPr>
          <w:trHeight w:val="60"/>
        </w:trPr>
        <w:tc>
          <w:tcPr>
            <w:tcW w:w="397" w:type="dxa"/>
            <w:shd w:val="clear" w:color="auto" w:fill="auto"/>
            <w:tcMar>
              <w:top w:w="57" w:type="dxa"/>
              <w:left w:w="0" w:type="dxa"/>
              <w:bottom w:w="57" w:type="dxa"/>
              <w:right w:w="0" w:type="dxa"/>
            </w:tcMar>
            <w:vAlign w:val="bottom"/>
          </w:tcPr>
          <w:p w14:paraId="33001A23" w14:textId="77777777" w:rsidR="000A72B1" w:rsidRPr="000A72B1" w:rsidRDefault="000A72B1" w:rsidP="00615190">
            <w:pPr>
              <w:spacing w:line="240" w:lineRule="atLeast"/>
              <w:rPr>
                <w:rFonts w:ascii="Tahoma" w:hAnsi="Tahoma"/>
                <w:color w:val="000000" w:themeColor="text1"/>
                <w:sz w:val="16"/>
                <w:lang w:val="en-GB"/>
              </w:rPr>
            </w:pPr>
          </w:p>
        </w:tc>
        <w:tc>
          <w:tcPr>
            <w:tcW w:w="5132" w:type="dxa"/>
            <w:shd w:val="clear" w:color="auto" w:fill="auto"/>
            <w:tcMar>
              <w:top w:w="57" w:type="dxa"/>
              <w:left w:w="0" w:type="dxa"/>
              <w:bottom w:w="57" w:type="dxa"/>
              <w:right w:w="0" w:type="dxa"/>
            </w:tcMar>
            <w:vAlign w:val="bottom"/>
          </w:tcPr>
          <w:p w14:paraId="25F788C2" w14:textId="77777777" w:rsidR="000A72B1" w:rsidRPr="000A72B1" w:rsidRDefault="000A72B1" w:rsidP="00615190">
            <w:pPr>
              <w:spacing w:line="240" w:lineRule="atLeast"/>
              <w:rPr>
                <w:rFonts w:ascii="Tahoma" w:hAnsi="Tahoma"/>
                <w:color w:val="000000" w:themeColor="text1"/>
                <w:sz w:val="16"/>
                <w:lang w:val="en-GB"/>
              </w:rPr>
            </w:pPr>
            <w:r w:rsidRPr="000A72B1">
              <w:rPr>
                <w:rFonts w:ascii="Tahoma" w:hAnsi="Tahoma"/>
                <w:color w:val="000000" w:themeColor="text1"/>
                <w:sz w:val="16"/>
                <w:lang w:val="en-GB"/>
              </w:rPr>
              <w:t>Financial assets at fair value through profit or loss</w:t>
            </w:r>
          </w:p>
        </w:tc>
        <w:tc>
          <w:tcPr>
            <w:tcW w:w="992" w:type="dxa"/>
            <w:shd w:val="clear" w:color="auto" w:fill="auto"/>
            <w:tcMar>
              <w:top w:w="57" w:type="dxa"/>
              <w:left w:w="0" w:type="dxa"/>
              <w:bottom w:w="57" w:type="dxa"/>
              <w:right w:w="0" w:type="dxa"/>
            </w:tcMar>
            <w:vAlign w:val="bottom"/>
          </w:tcPr>
          <w:p w14:paraId="24463E5D" w14:textId="77777777" w:rsidR="000A72B1" w:rsidRPr="000A72B1" w:rsidRDefault="000A72B1" w:rsidP="0092233A">
            <w:pPr>
              <w:spacing w:line="240" w:lineRule="atLeast"/>
              <w:jc w:val="right"/>
              <w:rPr>
                <w:rFonts w:ascii="Tahoma" w:hAnsi="Tahoma"/>
                <w:color w:val="000000" w:themeColor="text1"/>
                <w:sz w:val="16"/>
                <w:lang w:val="en-GB"/>
              </w:rPr>
            </w:pPr>
            <w:r w:rsidRPr="000A72B1">
              <w:rPr>
                <w:rFonts w:ascii="Tahoma" w:hAnsi="Tahoma"/>
                <w:color w:val="000000" w:themeColor="text1"/>
                <w:sz w:val="16"/>
                <w:lang w:val="en-GB"/>
              </w:rPr>
              <w:t>63</w:t>
            </w:r>
          </w:p>
        </w:tc>
        <w:tc>
          <w:tcPr>
            <w:tcW w:w="1276" w:type="dxa"/>
            <w:shd w:val="clear" w:color="auto" w:fill="auto"/>
            <w:tcMar>
              <w:top w:w="57" w:type="dxa"/>
              <w:left w:w="0" w:type="dxa"/>
              <w:bottom w:w="57" w:type="dxa"/>
              <w:right w:w="0" w:type="dxa"/>
            </w:tcMar>
            <w:vAlign w:val="bottom"/>
          </w:tcPr>
          <w:p w14:paraId="35D33EFE" w14:textId="77777777" w:rsidR="000A72B1" w:rsidRPr="000A72B1" w:rsidRDefault="000A72B1" w:rsidP="0092233A">
            <w:pPr>
              <w:spacing w:line="240" w:lineRule="atLeast"/>
              <w:jc w:val="right"/>
              <w:rPr>
                <w:rFonts w:ascii="Tahoma" w:hAnsi="Tahoma"/>
                <w:color w:val="000000" w:themeColor="text1"/>
                <w:sz w:val="16"/>
                <w:lang w:val="en-GB"/>
              </w:rPr>
            </w:pPr>
            <w:r w:rsidRPr="000A72B1">
              <w:rPr>
                <w:rFonts w:ascii="Tahoma" w:hAnsi="Tahoma"/>
                <w:color w:val="000000" w:themeColor="text1"/>
                <w:sz w:val="16"/>
                <w:lang w:val="en-GB"/>
              </w:rPr>
              <w:t>19</w:t>
            </w:r>
          </w:p>
        </w:tc>
        <w:tc>
          <w:tcPr>
            <w:tcW w:w="1134" w:type="dxa"/>
            <w:shd w:val="clear" w:color="auto" w:fill="auto"/>
            <w:tcMar>
              <w:top w:w="57" w:type="dxa"/>
              <w:left w:w="0" w:type="dxa"/>
              <w:bottom w:w="57" w:type="dxa"/>
              <w:right w:w="0" w:type="dxa"/>
            </w:tcMar>
            <w:vAlign w:val="bottom"/>
          </w:tcPr>
          <w:p w14:paraId="04245B83" w14:textId="77777777" w:rsidR="000A72B1" w:rsidRPr="000A72B1" w:rsidRDefault="000A72B1" w:rsidP="0092233A">
            <w:pPr>
              <w:spacing w:line="240" w:lineRule="atLeast"/>
              <w:jc w:val="right"/>
              <w:rPr>
                <w:rFonts w:ascii="Tahoma" w:hAnsi="Tahoma"/>
                <w:color w:val="000000" w:themeColor="text1"/>
                <w:sz w:val="16"/>
                <w:lang w:val="en-GB"/>
              </w:rPr>
            </w:pPr>
            <w:r w:rsidRPr="000A72B1">
              <w:rPr>
                <w:rFonts w:ascii="Tahoma" w:hAnsi="Tahoma"/>
                <w:color w:val="000000" w:themeColor="text1"/>
                <w:sz w:val="16"/>
                <w:lang w:val="en-GB"/>
              </w:rPr>
              <w:t>—</w:t>
            </w:r>
          </w:p>
        </w:tc>
        <w:tc>
          <w:tcPr>
            <w:tcW w:w="1275" w:type="dxa"/>
            <w:shd w:val="clear" w:color="auto" w:fill="auto"/>
            <w:tcMar>
              <w:top w:w="57" w:type="dxa"/>
              <w:left w:w="0" w:type="dxa"/>
              <w:bottom w:w="57" w:type="dxa"/>
              <w:right w:w="0" w:type="dxa"/>
            </w:tcMar>
            <w:vAlign w:val="bottom"/>
          </w:tcPr>
          <w:p w14:paraId="01D75DC7" w14:textId="77777777" w:rsidR="000A72B1" w:rsidRPr="000A72B1" w:rsidRDefault="000A72B1" w:rsidP="0092233A">
            <w:pPr>
              <w:spacing w:line="240" w:lineRule="atLeast"/>
              <w:jc w:val="right"/>
              <w:rPr>
                <w:rFonts w:ascii="Tahoma" w:hAnsi="Tahoma"/>
                <w:color w:val="000000" w:themeColor="text1"/>
                <w:sz w:val="16"/>
                <w:lang w:val="en-GB"/>
              </w:rPr>
            </w:pPr>
            <w:r w:rsidRPr="000A72B1">
              <w:rPr>
                <w:rFonts w:ascii="Tahoma" w:hAnsi="Tahoma"/>
                <w:color w:val="000000" w:themeColor="text1"/>
                <w:sz w:val="16"/>
                <w:lang w:val="en-GB"/>
              </w:rPr>
              <w:t>44</w:t>
            </w:r>
          </w:p>
        </w:tc>
      </w:tr>
      <w:tr w:rsidR="00615190" w:rsidRPr="000A72B1" w14:paraId="7FFEE072" w14:textId="77777777" w:rsidTr="006E4C30">
        <w:trPr>
          <w:trHeight w:val="60"/>
        </w:trPr>
        <w:tc>
          <w:tcPr>
            <w:tcW w:w="397" w:type="dxa"/>
            <w:shd w:val="clear" w:color="auto" w:fill="auto"/>
            <w:tcMar>
              <w:top w:w="57" w:type="dxa"/>
              <w:left w:w="0" w:type="dxa"/>
              <w:bottom w:w="57" w:type="dxa"/>
              <w:right w:w="0" w:type="dxa"/>
            </w:tcMar>
            <w:vAlign w:val="bottom"/>
          </w:tcPr>
          <w:p w14:paraId="1B66EC69" w14:textId="77777777" w:rsidR="000A72B1" w:rsidRPr="000A72B1" w:rsidRDefault="000A72B1" w:rsidP="00615190">
            <w:pPr>
              <w:spacing w:line="240" w:lineRule="atLeast"/>
              <w:rPr>
                <w:rFonts w:ascii="Tahoma" w:hAnsi="Tahoma"/>
                <w:color w:val="000000" w:themeColor="text1"/>
                <w:sz w:val="16"/>
                <w:lang w:val="en-GB"/>
              </w:rPr>
            </w:pPr>
          </w:p>
        </w:tc>
        <w:tc>
          <w:tcPr>
            <w:tcW w:w="5132" w:type="dxa"/>
            <w:shd w:val="clear" w:color="auto" w:fill="auto"/>
            <w:tcMar>
              <w:top w:w="57" w:type="dxa"/>
              <w:left w:w="0" w:type="dxa"/>
              <w:bottom w:w="57" w:type="dxa"/>
              <w:right w:w="0" w:type="dxa"/>
            </w:tcMar>
            <w:vAlign w:val="bottom"/>
          </w:tcPr>
          <w:p w14:paraId="56883DE7" w14:textId="77777777" w:rsidR="000A72B1" w:rsidRPr="000A72B1" w:rsidRDefault="000A72B1" w:rsidP="00615190">
            <w:pPr>
              <w:spacing w:line="240" w:lineRule="atLeast"/>
              <w:rPr>
                <w:rFonts w:ascii="Tahoma" w:hAnsi="Tahoma"/>
                <w:color w:val="000000" w:themeColor="text1"/>
                <w:sz w:val="16"/>
                <w:lang w:val="en-GB"/>
              </w:rPr>
            </w:pPr>
            <w:r w:rsidRPr="000A72B1">
              <w:rPr>
                <w:rFonts w:ascii="Tahoma" w:hAnsi="Tahoma"/>
                <w:color w:val="000000" w:themeColor="text1"/>
                <w:sz w:val="16"/>
                <w:lang w:val="en-GB"/>
              </w:rPr>
              <w:t>Forward exchange contracts</w:t>
            </w:r>
          </w:p>
        </w:tc>
        <w:tc>
          <w:tcPr>
            <w:tcW w:w="992" w:type="dxa"/>
            <w:shd w:val="clear" w:color="auto" w:fill="auto"/>
            <w:tcMar>
              <w:top w:w="57" w:type="dxa"/>
              <w:left w:w="0" w:type="dxa"/>
              <w:bottom w:w="57" w:type="dxa"/>
              <w:right w:w="0" w:type="dxa"/>
            </w:tcMar>
            <w:vAlign w:val="bottom"/>
          </w:tcPr>
          <w:p w14:paraId="43BBA4E1" w14:textId="77777777" w:rsidR="000A72B1" w:rsidRPr="000A72B1" w:rsidRDefault="000A72B1" w:rsidP="0092233A">
            <w:pPr>
              <w:spacing w:line="240" w:lineRule="atLeast"/>
              <w:jc w:val="right"/>
              <w:rPr>
                <w:rFonts w:ascii="Tahoma" w:hAnsi="Tahoma"/>
                <w:color w:val="000000" w:themeColor="text1"/>
                <w:sz w:val="16"/>
                <w:lang w:val="en-GB"/>
              </w:rPr>
            </w:pPr>
            <w:r w:rsidRPr="000A72B1">
              <w:rPr>
                <w:rFonts w:ascii="Tahoma" w:hAnsi="Tahoma"/>
                <w:color w:val="000000" w:themeColor="text1"/>
                <w:sz w:val="16"/>
                <w:lang w:val="en-GB"/>
              </w:rPr>
              <w:t>27</w:t>
            </w:r>
          </w:p>
        </w:tc>
        <w:tc>
          <w:tcPr>
            <w:tcW w:w="1276" w:type="dxa"/>
            <w:shd w:val="clear" w:color="auto" w:fill="auto"/>
            <w:tcMar>
              <w:top w:w="57" w:type="dxa"/>
              <w:left w:w="0" w:type="dxa"/>
              <w:bottom w:w="57" w:type="dxa"/>
              <w:right w:w="0" w:type="dxa"/>
            </w:tcMar>
            <w:vAlign w:val="bottom"/>
          </w:tcPr>
          <w:p w14:paraId="10B11D0A" w14:textId="77777777" w:rsidR="000A72B1" w:rsidRPr="000A72B1" w:rsidRDefault="000A72B1" w:rsidP="0092233A">
            <w:pPr>
              <w:spacing w:line="240" w:lineRule="atLeast"/>
              <w:jc w:val="right"/>
              <w:rPr>
                <w:rFonts w:ascii="Tahoma" w:hAnsi="Tahoma"/>
                <w:color w:val="000000" w:themeColor="text1"/>
                <w:sz w:val="16"/>
                <w:lang w:val="en-GB"/>
              </w:rPr>
            </w:pPr>
            <w:r w:rsidRPr="000A72B1">
              <w:rPr>
                <w:rFonts w:ascii="Tahoma" w:hAnsi="Tahoma"/>
                <w:color w:val="000000" w:themeColor="text1"/>
                <w:sz w:val="16"/>
                <w:lang w:val="en-GB"/>
              </w:rPr>
              <w:t>—</w:t>
            </w:r>
          </w:p>
        </w:tc>
        <w:tc>
          <w:tcPr>
            <w:tcW w:w="1134" w:type="dxa"/>
            <w:shd w:val="clear" w:color="auto" w:fill="auto"/>
            <w:tcMar>
              <w:top w:w="57" w:type="dxa"/>
              <w:left w:w="0" w:type="dxa"/>
              <w:bottom w:w="57" w:type="dxa"/>
              <w:right w:w="0" w:type="dxa"/>
            </w:tcMar>
            <w:vAlign w:val="bottom"/>
          </w:tcPr>
          <w:p w14:paraId="75B3BF2D" w14:textId="77777777" w:rsidR="000A72B1" w:rsidRPr="000A72B1" w:rsidRDefault="000A72B1" w:rsidP="0092233A">
            <w:pPr>
              <w:spacing w:line="240" w:lineRule="atLeast"/>
              <w:jc w:val="right"/>
              <w:rPr>
                <w:rFonts w:ascii="Tahoma" w:hAnsi="Tahoma"/>
                <w:color w:val="000000" w:themeColor="text1"/>
                <w:sz w:val="16"/>
                <w:lang w:val="en-GB"/>
              </w:rPr>
            </w:pPr>
            <w:r w:rsidRPr="000A72B1">
              <w:rPr>
                <w:rFonts w:ascii="Tahoma" w:hAnsi="Tahoma"/>
                <w:color w:val="000000" w:themeColor="text1"/>
                <w:sz w:val="16"/>
                <w:lang w:val="en-GB"/>
              </w:rPr>
              <w:t>27</w:t>
            </w:r>
          </w:p>
        </w:tc>
        <w:tc>
          <w:tcPr>
            <w:tcW w:w="1275" w:type="dxa"/>
            <w:shd w:val="clear" w:color="auto" w:fill="auto"/>
            <w:tcMar>
              <w:top w:w="57" w:type="dxa"/>
              <w:left w:w="0" w:type="dxa"/>
              <w:bottom w:w="57" w:type="dxa"/>
              <w:right w:w="0" w:type="dxa"/>
            </w:tcMar>
            <w:vAlign w:val="bottom"/>
          </w:tcPr>
          <w:p w14:paraId="0BBA2A8B" w14:textId="77777777" w:rsidR="000A72B1" w:rsidRPr="000A72B1" w:rsidRDefault="000A72B1" w:rsidP="0092233A">
            <w:pPr>
              <w:spacing w:line="240" w:lineRule="atLeast"/>
              <w:jc w:val="right"/>
              <w:rPr>
                <w:rFonts w:ascii="Tahoma" w:hAnsi="Tahoma"/>
                <w:color w:val="000000" w:themeColor="text1"/>
                <w:sz w:val="16"/>
                <w:lang w:val="en-GB"/>
              </w:rPr>
            </w:pPr>
            <w:r w:rsidRPr="000A72B1">
              <w:rPr>
                <w:rFonts w:ascii="Tahoma" w:hAnsi="Tahoma"/>
                <w:color w:val="000000" w:themeColor="text1"/>
                <w:sz w:val="16"/>
                <w:lang w:val="en-GB"/>
              </w:rPr>
              <w:t>—</w:t>
            </w:r>
          </w:p>
        </w:tc>
      </w:tr>
      <w:tr w:rsidR="00615190" w:rsidRPr="000A72B1" w14:paraId="657697F1" w14:textId="77777777" w:rsidTr="006E4C30">
        <w:trPr>
          <w:trHeight w:val="60"/>
        </w:trPr>
        <w:tc>
          <w:tcPr>
            <w:tcW w:w="397" w:type="dxa"/>
            <w:shd w:val="clear" w:color="auto" w:fill="auto"/>
            <w:tcMar>
              <w:top w:w="57" w:type="dxa"/>
              <w:left w:w="0" w:type="dxa"/>
              <w:bottom w:w="57" w:type="dxa"/>
              <w:right w:w="0" w:type="dxa"/>
            </w:tcMar>
            <w:vAlign w:val="bottom"/>
          </w:tcPr>
          <w:p w14:paraId="6FF58054" w14:textId="77777777" w:rsidR="000A72B1" w:rsidRPr="000A72B1" w:rsidRDefault="000A72B1" w:rsidP="00615190">
            <w:pPr>
              <w:spacing w:line="240" w:lineRule="atLeast"/>
              <w:rPr>
                <w:rFonts w:ascii="Tahoma" w:hAnsi="Tahoma"/>
                <w:color w:val="000000" w:themeColor="text1"/>
                <w:sz w:val="16"/>
                <w:lang w:val="en-GB"/>
              </w:rPr>
            </w:pPr>
          </w:p>
        </w:tc>
        <w:tc>
          <w:tcPr>
            <w:tcW w:w="5132" w:type="dxa"/>
            <w:shd w:val="clear" w:color="auto" w:fill="auto"/>
            <w:tcMar>
              <w:top w:w="57" w:type="dxa"/>
              <w:left w:w="0" w:type="dxa"/>
              <w:bottom w:w="57" w:type="dxa"/>
              <w:right w:w="0" w:type="dxa"/>
            </w:tcMar>
            <w:vAlign w:val="bottom"/>
          </w:tcPr>
          <w:p w14:paraId="38490DBA" w14:textId="77777777" w:rsidR="000A72B1" w:rsidRPr="000A72B1" w:rsidRDefault="000A72B1" w:rsidP="00615190">
            <w:pPr>
              <w:spacing w:line="240" w:lineRule="atLeast"/>
              <w:rPr>
                <w:rFonts w:ascii="Tahoma" w:hAnsi="Tahoma"/>
                <w:color w:val="000000" w:themeColor="text1"/>
                <w:sz w:val="16"/>
                <w:lang w:val="en-GB"/>
              </w:rPr>
            </w:pPr>
            <w:r w:rsidRPr="000A72B1">
              <w:rPr>
                <w:rFonts w:ascii="Tahoma" w:hAnsi="Tahoma"/>
                <w:color w:val="000000" w:themeColor="text1"/>
                <w:sz w:val="16"/>
                <w:lang w:val="en-GB"/>
              </w:rPr>
              <w:t>Derivatives contained in lease agreements</w:t>
            </w:r>
          </w:p>
        </w:tc>
        <w:tc>
          <w:tcPr>
            <w:tcW w:w="992" w:type="dxa"/>
            <w:shd w:val="clear" w:color="auto" w:fill="auto"/>
            <w:tcMar>
              <w:top w:w="57" w:type="dxa"/>
              <w:left w:w="0" w:type="dxa"/>
              <w:bottom w:w="57" w:type="dxa"/>
              <w:right w:w="0" w:type="dxa"/>
            </w:tcMar>
            <w:vAlign w:val="bottom"/>
          </w:tcPr>
          <w:p w14:paraId="65A0721C" w14:textId="77777777" w:rsidR="000A72B1" w:rsidRPr="000A72B1" w:rsidRDefault="000A72B1" w:rsidP="0092233A">
            <w:pPr>
              <w:spacing w:line="240" w:lineRule="atLeast"/>
              <w:jc w:val="right"/>
              <w:rPr>
                <w:rFonts w:ascii="Tahoma" w:hAnsi="Tahoma"/>
                <w:color w:val="000000" w:themeColor="text1"/>
                <w:sz w:val="16"/>
                <w:lang w:val="en-GB"/>
              </w:rPr>
            </w:pPr>
            <w:r w:rsidRPr="000A72B1">
              <w:rPr>
                <w:rFonts w:ascii="Tahoma" w:hAnsi="Tahoma"/>
                <w:color w:val="000000" w:themeColor="text1"/>
                <w:sz w:val="16"/>
                <w:lang w:val="en-GB"/>
              </w:rPr>
              <w:t>11</w:t>
            </w:r>
          </w:p>
        </w:tc>
        <w:tc>
          <w:tcPr>
            <w:tcW w:w="1276" w:type="dxa"/>
            <w:shd w:val="clear" w:color="auto" w:fill="auto"/>
            <w:tcMar>
              <w:top w:w="57" w:type="dxa"/>
              <w:left w:w="0" w:type="dxa"/>
              <w:bottom w:w="57" w:type="dxa"/>
              <w:right w:w="0" w:type="dxa"/>
            </w:tcMar>
            <w:vAlign w:val="bottom"/>
          </w:tcPr>
          <w:p w14:paraId="57467855" w14:textId="77777777" w:rsidR="000A72B1" w:rsidRPr="000A72B1" w:rsidRDefault="000A72B1" w:rsidP="0092233A">
            <w:pPr>
              <w:spacing w:line="240" w:lineRule="atLeast"/>
              <w:jc w:val="right"/>
              <w:rPr>
                <w:rFonts w:ascii="Tahoma" w:hAnsi="Tahoma"/>
                <w:color w:val="000000" w:themeColor="text1"/>
                <w:sz w:val="16"/>
                <w:lang w:val="en-GB"/>
              </w:rPr>
            </w:pPr>
            <w:r w:rsidRPr="000A72B1">
              <w:rPr>
                <w:rFonts w:ascii="Tahoma" w:hAnsi="Tahoma"/>
                <w:color w:val="000000" w:themeColor="text1"/>
                <w:sz w:val="16"/>
                <w:lang w:val="en-GB"/>
              </w:rPr>
              <w:t>—</w:t>
            </w:r>
          </w:p>
        </w:tc>
        <w:tc>
          <w:tcPr>
            <w:tcW w:w="1134" w:type="dxa"/>
            <w:shd w:val="clear" w:color="auto" w:fill="auto"/>
            <w:tcMar>
              <w:top w:w="57" w:type="dxa"/>
              <w:left w:w="0" w:type="dxa"/>
              <w:bottom w:w="57" w:type="dxa"/>
              <w:right w:w="0" w:type="dxa"/>
            </w:tcMar>
            <w:vAlign w:val="bottom"/>
          </w:tcPr>
          <w:p w14:paraId="45833EC1" w14:textId="77777777" w:rsidR="000A72B1" w:rsidRPr="000A72B1" w:rsidRDefault="000A72B1" w:rsidP="0092233A">
            <w:pPr>
              <w:spacing w:line="240" w:lineRule="atLeast"/>
              <w:jc w:val="right"/>
              <w:rPr>
                <w:rFonts w:ascii="Tahoma" w:hAnsi="Tahoma"/>
                <w:color w:val="000000" w:themeColor="text1"/>
                <w:sz w:val="16"/>
                <w:lang w:val="en-GB"/>
              </w:rPr>
            </w:pPr>
            <w:r w:rsidRPr="000A72B1">
              <w:rPr>
                <w:rFonts w:ascii="Tahoma" w:hAnsi="Tahoma"/>
                <w:color w:val="000000" w:themeColor="text1"/>
                <w:sz w:val="16"/>
                <w:lang w:val="en-GB"/>
              </w:rPr>
              <w:t>—</w:t>
            </w:r>
          </w:p>
        </w:tc>
        <w:tc>
          <w:tcPr>
            <w:tcW w:w="1275" w:type="dxa"/>
            <w:shd w:val="clear" w:color="auto" w:fill="auto"/>
            <w:tcMar>
              <w:top w:w="57" w:type="dxa"/>
              <w:left w:w="0" w:type="dxa"/>
              <w:bottom w:w="57" w:type="dxa"/>
              <w:right w:w="0" w:type="dxa"/>
            </w:tcMar>
            <w:vAlign w:val="bottom"/>
          </w:tcPr>
          <w:p w14:paraId="570B3ED7" w14:textId="77777777" w:rsidR="000A72B1" w:rsidRPr="000A72B1" w:rsidRDefault="000A72B1" w:rsidP="0092233A">
            <w:pPr>
              <w:spacing w:line="240" w:lineRule="atLeast"/>
              <w:jc w:val="right"/>
              <w:rPr>
                <w:rFonts w:ascii="Tahoma" w:hAnsi="Tahoma"/>
                <w:color w:val="000000" w:themeColor="text1"/>
                <w:sz w:val="16"/>
                <w:lang w:val="en-GB"/>
              </w:rPr>
            </w:pPr>
            <w:r w:rsidRPr="000A72B1">
              <w:rPr>
                <w:rFonts w:ascii="Tahoma" w:hAnsi="Tahoma"/>
                <w:color w:val="000000" w:themeColor="text1"/>
                <w:sz w:val="16"/>
                <w:lang w:val="en-GB"/>
              </w:rPr>
              <w:t>11</w:t>
            </w:r>
          </w:p>
        </w:tc>
      </w:tr>
      <w:tr w:rsidR="00615190" w:rsidRPr="000A72B1" w14:paraId="008E5243" w14:textId="77777777" w:rsidTr="006E4C30">
        <w:trPr>
          <w:trHeight w:val="60"/>
        </w:trPr>
        <w:tc>
          <w:tcPr>
            <w:tcW w:w="397" w:type="dxa"/>
            <w:shd w:val="clear" w:color="auto" w:fill="auto"/>
            <w:tcMar>
              <w:top w:w="57" w:type="dxa"/>
              <w:left w:w="0" w:type="dxa"/>
              <w:bottom w:w="57" w:type="dxa"/>
              <w:right w:w="0" w:type="dxa"/>
            </w:tcMar>
            <w:vAlign w:val="bottom"/>
          </w:tcPr>
          <w:p w14:paraId="11AFF097" w14:textId="77777777" w:rsidR="000A72B1" w:rsidRPr="000A72B1" w:rsidRDefault="000A72B1" w:rsidP="00615190">
            <w:pPr>
              <w:spacing w:line="240" w:lineRule="atLeast"/>
              <w:rPr>
                <w:rFonts w:ascii="Tahoma" w:hAnsi="Tahoma"/>
                <w:color w:val="000000" w:themeColor="text1"/>
                <w:sz w:val="16"/>
                <w:lang w:val="en-GB"/>
              </w:rPr>
            </w:pPr>
          </w:p>
        </w:tc>
        <w:tc>
          <w:tcPr>
            <w:tcW w:w="5132" w:type="dxa"/>
            <w:shd w:val="clear" w:color="auto" w:fill="auto"/>
            <w:tcMar>
              <w:top w:w="57" w:type="dxa"/>
              <w:left w:w="0" w:type="dxa"/>
              <w:bottom w:w="57" w:type="dxa"/>
              <w:right w:w="0" w:type="dxa"/>
            </w:tcMar>
            <w:vAlign w:val="bottom"/>
          </w:tcPr>
          <w:p w14:paraId="25AD83E2" w14:textId="77777777" w:rsidR="000A72B1" w:rsidRPr="000A72B1" w:rsidRDefault="000A72B1" w:rsidP="00615190">
            <w:pPr>
              <w:spacing w:line="240" w:lineRule="atLeast"/>
              <w:rPr>
                <w:rFonts w:ascii="Tahoma" w:hAnsi="Tahoma"/>
                <w:color w:val="000000" w:themeColor="text1"/>
                <w:sz w:val="16"/>
                <w:lang w:val="en-GB"/>
              </w:rPr>
            </w:pPr>
            <w:r w:rsidRPr="000A72B1">
              <w:rPr>
                <w:rFonts w:ascii="Tahoma" w:hAnsi="Tahoma"/>
                <w:color w:val="000000" w:themeColor="text1"/>
                <w:sz w:val="16"/>
                <w:lang w:val="en-GB"/>
              </w:rPr>
              <w:t>Derivatives contained in acquisition agreements</w:t>
            </w:r>
          </w:p>
        </w:tc>
        <w:tc>
          <w:tcPr>
            <w:tcW w:w="992" w:type="dxa"/>
            <w:shd w:val="clear" w:color="auto" w:fill="auto"/>
            <w:tcMar>
              <w:top w:w="57" w:type="dxa"/>
              <w:left w:w="0" w:type="dxa"/>
              <w:bottom w:w="57" w:type="dxa"/>
              <w:right w:w="0" w:type="dxa"/>
            </w:tcMar>
            <w:vAlign w:val="bottom"/>
          </w:tcPr>
          <w:p w14:paraId="0CA94355" w14:textId="77777777" w:rsidR="000A72B1" w:rsidRPr="000A72B1" w:rsidRDefault="000A72B1" w:rsidP="0092233A">
            <w:pPr>
              <w:spacing w:line="240" w:lineRule="atLeast"/>
              <w:jc w:val="right"/>
              <w:rPr>
                <w:rFonts w:ascii="Tahoma" w:hAnsi="Tahoma"/>
                <w:color w:val="000000" w:themeColor="text1"/>
                <w:sz w:val="16"/>
                <w:lang w:val="en-GB"/>
              </w:rPr>
            </w:pPr>
            <w:r w:rsidRPr="000A72B1">
              <w:rPr>
                <w:rFonts w:ascii="Tahoma" w:hAnsi="Tahoma"/>
                <w:color w:val="000000" w:themeColor="text1"/>
                <w:sz w:val="16"/>
                <w:lang w:val="en-GB"/>
              </w:rPr>
              <w:t>—</w:t>
            </w:r>
          </w:p>
        </w:tc>
        <w:tc>
          <w:tcPr>
            <w:tcW w:w="1276" w:type="dxa"/>
            <w:shd w:val="clear" w:color="auto" w:fill="auto"/>
            <w:tcMar>
              <w:top w:w="57" w:type="dxa"/>
              <w:left w:w="0" w:type="dxa"/>
              <w:bottom w:w="57" w:type="dxa"/>
              <w:right w:w="0" w:type="dxa"/>
            </w:tcMar>
            <w:vAlign w:val="bottom"/>
          </w:tcPr>
          <w:p w14:paraId="5488B944" w14:textId="77777777" w:rsidR="000A72B1" w:rsidRPr="000A72B1" w:rsidRDefault="000A72B1" w:rsidP="0092233A">
            <w:pPr>
              <w:spacing w:line="240" w:lineRule="atLeast"/>
              <w:jc w:val="right"/>
              <w:rPr>
                <w:rFonts w:ascii="Tahoma" w:hAnsi="Tahoma"/>
                <w:color w:val="000000" w:themeColor="text1"/>
                <w:sz w:val="16"/>
                <w:lang w:val="en-GB"/>
              </w:rPr>
            </w:pPr>
            <w:r w:rsidRPr="000A72B1">
              <w:rPr>
                <w:rFonts w:ascii="Tahoma" w:hAnsi="Tahoma"/>
                <w:color w:val="000000" w:themeColor="text1"/>
                <w:sz w:val="16"/>
                <w:lang w:val="en-GB"/>
              </w:rPr>
              <w:t>—</w:t>
            </w:r>
          </w:p>
        </w:tc>
        <w:tc>
          <w:tcPr>
            <w:tcW w:w="1134" w:type="dxa"/>
            <w:shd w:val="clear" w:color="auto" w:fill="auto"/>
            <w:tcMar>
              <w:top w:w="57" w:type="dxa"/>
              <w:left w:w="0" w:type="dxa"/>
              <w:bottom w:w="57" w:type="dxa"/>
              <w:right w:w="0" w:type="dxa"/>
            </w:tcMar>
            <w:vAlign w:val="bottom"/>
          </w:tcPr>
          <w:p w14:paraId="1C38580C" w14:textId="77777777" w:rsidR="000A72B1" w:rsidRPr="000A72B1" w:rsidRDefault="000A72B1" w:rsidP="0092233A">
            <w:pPr>
              <w:spacing w:line="240" w:lineRule="atLeast"/>
              <w:jc w:val="right"/>
              <w:rPr>
                <w:rFonts w:ascii="Tahoma" w:hAnsi="Tahoma"/>
                <w:color w:val="000000" w:themeColor="text1"/>
                <w:sz w:val="16"/>
                <w:lang w:val="en-GB"/>
              </w:rPr>
            </w:pPr>
            <w:r w:rsidRPr="000A72B1">
              <w:rPr>
                <w:rFonts w:ascii="Tahoma" w:hAnsi="Tahoma"/>
                <w:color w:val="000000" w:themeColor="text1"/>
                <w:sz w:val="16"/>
                <w:lang w:val="en-GB"/>
              </w:rPr>
              <w:t>—</w:t>
            </w:r>
          </w:p>
        </w:tc>
        <w:tc>
          <w:tcPr>
            <w:tcW w:w="1275" w:type="dxa"/>
            <w:shd w:val="clear" w:color="auto" w:fill="auto"/>
            <w:tcMar>
              <w:top w:w="57" w:type="dxa"/>
              <w:left w:w="0" w:type="dxa"/>
              <w:bottom w:w="57" w:type="dxa"/>
              <w:right w:w="0" w:type="dxa"/>
            </w:tcMar>
            <w:vAlign w:val="bottom"/>
          </w:tcPr>
          <w:p w14:paraId="38967EE1" w14:textId="77777777" w:rsidR="000A72B1" w:rsidRPr="000A72B1" w:rsidRDefault="000A72B1" w:rsidP="0092233A">
            <w:pPr>
              <w:spacing w:line="240" w:lineRule="atLeast"/>
              <w:jc w:val="right"/>
              <w:rPr>
                <w:rFonts w:ascii="Tahoma" w:hAnsi="Tahoma"/>
                <w:color w:val="000000" w:themeColor="text1"/>
                <w:sz w:val="16"/>
                <w:lang w:val="en-GB"/>
              </w:rPr>
            </w:pPr>
            <w:r w:rsidRPr="000A72B1">
              <w:rPr>
                <w:rFonts w:ascii="Tahoma" w:hAnsi="Tahoma"/>
                <w:color w:val="000000" w:themeColor="text1"/>
                <w:sz w:val="16"/>
                <w:lang w:val="en-GB"/>
              </w:rPr>
              <w:t>—</w:t>
            </w:r>
          </w:p>
        </w:tc>
      </w:tr>
      <w:tr w:rsidR="00615190" w:rsidRPr="000A72B1" w14:paraId="3A7D9E44" w14:textId="77777777" w:rsidTr="006E4C30">
        <w:trPr>
          <w:trHeight w:val="60"/>
        </w:trPr>
        <w:tc>
          <w:tcPr>
            <w:tcW w:w="397" w:type="dxa"/>
            <w:shd w:val="clear" w:color="auto" w:fill="auto"/>
            <w:tcMar>
              <w:top w:w="57" w:type="dxa"/>
              <w:left w:w="0" w:type="dxa"/>
              <w:bottom w:w="57" w:type="dxa"/>
              <w:right w:w="0" w:type="dxa"/>
            </w:tcMar>
            <w:vAlign w:val="bottom"/>
          </w:tcPr>
          <w:p w14:paraId="6EF6839E" w14:textId="77777777" w:rsidR="000A72B1" w:rsidRPr="000A72B1" w:rsidRDefault="000A72B1" w:rsidP="00615190">
            <w:pPr>
              <w:spacing w:line="240" w:lineRule="atLeast"/>
              <w:rPr>
                <w:rFonts w:ascii="Tahoma" w:hAnsi="Tahoma"/>
                <w:color w:val="000000" w:themeColor="text1"/>
                <w:sz w:val="16"/>
                <w:lang w:val="en-GB"/>
              </w:rPr>
            </w:pPr>
          </w:p>
        </w:tc>
        <w:tc>
          <w:tcPr>
            <w:tcW w:w="5132" w:type="dxa"/>
            <w:shd w:val="clear" w:color="auto" w:fill="auto"/>
            <w:tcMar>
              <w:top w:w="57" w:type="dxa"/>
              <w:left w:w="0" w:type="dxa"/>
              <w:bottom w:w="57" w:type="dxa"/>
              <w:right w:w="0" w:type="dxa"/>
            </w:tcMar>
            <w:vAlign w:val="bottom"/>
          </w:tcPr>
          <w:p w14:paraId="022435D8" w14:textId="77777777" w:rsidR="000A72B1" w:rsidRPr="000A72B1" w:rsidRDefault="000A72B1" w:rsidP="00615190">
            <w:pPr>
              <w:spacing w:line="240" w:lineRule="atLeast"/>
              <w:rPr>
                <w:rFonts w:ascii="Tahoma" w:hAnsi="Tahoma"/>
                <w:color w:val="000000" w:themeColor="text1"/>
                <w:sz w:val="16"/>
                <w:lang w:val="en-GB"/>
              </w:rPr>
            </w:pPr>
            <w:r w:rsidRPr="000A72B1">
              <w:rPr>
                <w:rFonts w:ascii="Tahoma" w:hAnsi="Tahoma"/>
                <w:color w:val="000000" w:themeColor="text1"/>
                <w:sz w:val="16"/>
                <w:lang w:val="en-GB"/>
              </w:rPr>
              <w:t>Cross-currency interest rate swap</w:t>
            </w:r>
          </w:p>
        </w:tc>
        <w:tc>
          <w:tcPr>
            <w:tcW w:w="992" w:type="dxa"/>
            <w:shd w:val="clear" w:color="auto" w:fill="auto"/>
            <w:tcMar>
              <w:top w:w="57" w:type="dxa"/>
              <w:left w:w="0" w:type="dxa"/>
              <w:bottom w:w="57" w:type="dxa"/>
              <w:right w:w="0" w:type="dxa"/>
            </w:tcMar>
            <w:vAlign w:val="bottom"/>
          </w:tcPr>
          <w:p w14:paraId="42325EA2" w14:textId="77777777" w:rsidR="000A72B1" w:rsidRPr="000A72B1" w:rsidRDefault="000A72B1" w:rsidP="0092233A">
            <w:pPr>
              <w:spacing w:line="240" w:lineRule="atLeast"/>
              <w:jc w:val="right"/>
              <w:rPr>
                <w:rFonts w:ascii="Tahoma" w:hAnsi="Tahoma"/>
                <w:color w:val="000000" w:themeColor="text1"/>
                <w:sz w:val="16"/>
                <w:lang w:val="en-GB"/>
              </w:rPr>
            </w:pPr>
            <w:r w:rsidRPr="000A72B1">
              <w:rPr>
                <w:rFonts w:ascii="Tahoma" w:hAnsi="Tahoma"/>
                <w:color w:val="000000" w:themeColor="text1"/>
                <w:sz w:val="16"/>
                <w:lang w:val="en-GB"/>
              </w:rPr>
              <w:t>2</w:t>
            </w:r>
          </w:p>
        </w:tc>
        <w:tc>
          <w:tcPr>
            <w:tcW w:w="1276" w:type="dxa"/>
            <w:shd w:val="clear" w:color="auto" w:fill="auto"/>
            <w:tcMar>
              <w:top w:w="57" w:type="dxa"/>
              <w:left w:w="0" w:type="dxa"/>
              <w:bottom w:w="57" w:type="dxa"/>
              <w:right w:w="0" w:type="dxa"/>
            </w:tcMar>
            <w:vAlign w:val="bottom"/>
          </w:tcPr>
          <w:p w14:paraId="21654B6A" w14:textId="77777777" w:rsidR="000A72B1" w:rsidRPr="000A72B1" w:rsidRDefault="000A72B1" w:rsidP="0092233A">
            <w:pPr>
              <w:spacing w:line="240" w:lineRule="atLeast"/>
              <w:jc w:val="right"/>
              <w:rPr>
                <w:rFonts w:ascii="Tahoma" w:hAnsi="Tahoma"/>
                <w:color w:val="000000" w:themeColor="text1"/>
                <w:sz w:val="16"/>
                <w:lang w:val="en-GB"/>
              </w:rPr>
            </w:pPr>
            <w:r w:rsidRPr="000A72B1">
              <w:rPr>
                <w:rFonts w:ascii="Tahoma" w:hAnsi="Tahoma"/>
                <w:color w:val="000000" w:themeColor="text1"/>
                <w:sz w:val="16"/>
                <w:lang w:val="en-GB"/>
              </w:rPr>
              <w:t>—</w:t>
            </w:r>
          </w:p>
        </w:tc>
        <w:tc>
          <w:tcPr>
            <w:tcW w:w="1134" w:type="dxa"/>
            <w:shd w:val="clear" w:color="auto" w:fill="auto"/>
            <w:tcMar>
              <w:top w:w="57" w:type="dxa"/>
              <w:left w:w="0" w:type="dxa"/>
              <w:bottom w:w="57" w:type="dxa"/>
              <w:right w:w="0" w:type="dxa"/>
            </w:tcMar>
            <w:vAlign w:val="bottom"/>
          </w:tcPr>
          <w:p w14:paraId="460AF4D4" w14:textId="77777777" w:rsidR="000A72B1" w:rsidRPr="000A72B1" w:rsidRDefault="000A72B1" w:rsidP="0092233A">
            <w:pPr>
              <w:spacing w:line="240" w:lineRule="atLeast"/>
              <w:jc w:val="right"/>
              <w:rPr>
                <w:rFonts w:ascii="Tahoma" w:hAnsi="Tahoma"/>
                <w:color w:val="000000" w:themeColor="text1"/>
                <w:sz w:val="16"/>
                <w:lang w:val="en-GB"/>
              </w:rPr>
            </w:pPr>
            <w:r w:rsidRPr="000A72B1">
              <w:rPr>
                <w:rFonts w:ascii="Tahoma" w:hAnsi="Tahoma"/>
                <w:color w:val="000000" w:themeColor="text1"/>
                <w:sz w:val="16"/>
                <w:lang w:val="en-GB"/>
              </w:rPr>
              <w:t>2</w:t>
            </w:r>
          </w:p>
        </w:tc>
        <w:tc>
          <w:tcPr>
            <w:tcW w:w="1275" w:type="dxa"/>
            <w:shd w:val="clear" w:color="auto" w:fill="auto"/>
            <w:tcMar>
              <w:top w:w="57" w:type="dxa"/>
              <w:left w:w="0" w:type="dxa"/>
              <w:bottom w:w="57" w:type="dxa"/>
              <w:right w:w="0" w:type="dxa"/>
            </w:tcMar>
            <w:vAlign w:val="bottom"/>
          </w:tcPr>
          <w:p w14:paraId="2D5F4242" w14:textId="77777777" w:rsidR="000A72B1" w:rsidRPr="000A72B1" w:rsidRDefault="000A72B1" w:rsidP="0092233A">
            <w:pPr>
              <w:spacing w:line="240" w:lineRule="atLeast"/>
              <w:jc w:val="right"/>
              <w:rPr>
                <w:rFonts w:ascii="Tahoma" w:hAnsi="Tahoma"/>
                <w:color w:val="000000" w:themeColor="text1"/>
                <w:sz w:val="16"/>
                <w:lang w:val="en-GB"/>
              </w:rPr>
            </w:pPr>
            <w:r w:rsidRPr="000A72B1">
              <w:rPr>
                <w:rFonts w:ascii="Tahoma" w:hAnsi="Tahoma"/>
                <w:color w:val="000000" w:themeColor="text1"/>
                <w:sz w:val="16"/>
                <w:lang w:val="en-GB"/>
              </w:rPr>
              <w:t>—</w:t>
            </w:r>
          </w:p>
        </w:tc>
      </w:tr>
      <w:tr w:rsidR="00615190" w:rsidRPr="000A72B1" w14:paraId="50D490B4" w14:textId="77777777" w:rsidTr="006E4C30">
        <w:trPr>
          <w:trHeight w:val="60"/>
        </w:trPr>
        <w:tc>
          <w:tcPr>
            <w:tcW w:w="397" w:type="dxa"/>
            <w:shd w:val="clear" w:color="auto" w:fill="auto"/>
            <w:tcMar>
              <w:top w:w="57" w:type="dxa"/>
              <w:left w:w="0" w:type="dxa"/>
              <w:bottom w:w="57" w:type="dxa"/>
              <w:right w:w="0" w:type="dxa"/>
            </w:tcMar>
            <w:vAlign w:val="bottom"/>
          </w:tcPr>
          <w:p w14:paraId="002D6AB4" w14:textId="77777777" w:rsidR="000A72B1" w:rsidRPr="000A72B1" w:rsidRDefault="000A72B1" w:rsidP="00615190">
            <w:pPr>
              <w:spacing w:line="240" w:lineRule="atLeast"/>
              <w:rPr>
                <w:rFonts w:ascii="Tahoma" w:hAnsi="Tahoma"/>
                <w:color w:val="000000" w:themeColor="text1"/>
                <w:sz w:val="16"/>
                <w:lang w:val="en-GB"/>
              </w:rPr>
            </w:pPr>
          </w:p>
        </w:tc>
        <w:tc>
          <w:tcPr>
            <w:tcW w:w="5132" w:type="dxa"/>
            <w:shd w:val="clear" w:color="auto" w:fill="auto"/>
            <w:tcMar>
              <w:top w:w="57" w:type="dxa"/>
              <w:left w:w="0" w:type="dxa"/>
              <w:bottom w:w="57" w:type="dxa"/>
              <w:right w:w="0" w:type="dxa"/>
            </w:tcMar>
            <w:vAlign w:val="bottom"/>
          </w:tcPr>
          <w:p w14:paraId="69632041" w14:textId="77777777" w:rsidR="000A72B1" w:rsidRPr="000A72B1" w:rsidRDefault="000A72B1" w:rsidP="00615190">
            <w:pPr>
              <w:spacing w:line="240" w:lineRule="atLeast"/>
              <w:rPr>
                <w:rFonts w:ascii="Tahoma" w:hAnsi="Tahoma"/>
                <w:color w:val="000000" w:themeColor="text1"/>
                <w:sz w:val="16"/>
                <w:lang w:val="en-GB"/>
              </w:rPr>
            </w:pPr>
            <w:r w:rsidRPr="000A72B1">
              <w:rPr>
                <w:rFonts w:ascii="Tahoma" w:hAnsi="Tahoma"/>
                <w:color w:val="000000" w:themeColor="text1"/>
                <w:sz w:val="16"/>
                <w:lang w:val="en-GB"/>
              </w:rPr>
              <w:t>Cash and cash equivalents</w:t>
            </w:r>
            <w:r w:rsidRPr="002F078E">
              <w:rPr>
                <w:rFonts w:ascii="Tahoma" w:hAnsi="Tahoma"/>
                <w:color w:val="000000" w:themeColor="text1"/>
                <w:sz w:val="16"/>
                <w:vertAlign w:val="superscript"/>
                <w:lang w:val="en-GB"/>
              </w:rPr>
              <w:t>1</w:t>
            </w:r>
          </w:p>
        </w:tc>
        <w:tc>
          <w:tcPr>
            <w:tcW w:w="992" w:type="dxa"/>
            <w:shd w:val="clear" w:color="auto" w:fill="auto"/>
            <w:tcMar>
              <w:top w:w="57" w:type="dxa"/>
              <w:left w:w="0" w:type="dxa"/>
              <w:bottom w:w="57" w:type="dxa"/>
              <w:right w:w="0" w:type="dxa"/>
            </w:tcMar>
            <w:vAlign w:val="bottom"/>
          </w:tcPr>
          <w:p w14:paraId="1AD9458B" w14:textId="77777777" w:rsidR="000A72B1" w:rsidRPr="000A72B1" w:rsidRDefault="000A72B1" w:rsidP="0092233A">
            <w:pPr>
              <w:spacing w:line="240" w:lineRule="atLeast"/>
              <w:jc w:val="right"/>
              <w:rPr>
                <w:rFonts w:ascii="Tahoma" w:hAnsi="Tahoma"/>
                <w:color w:val="000000" w:themeColor="text1"/>
                <w:sz w:val="16"/>
                <w:lang w:val="en-GB"/>
              </w:rPr>
            </w:pPr>
            <w:r w:rsidRPr="000A72B1">
              <w:rPr>
                <w:rFonts w:ascii="Tahoma" w:hAnsi="Tahoma"/>
                <w:color w:val="000000" w:themeColor="text1"/>
                <w:sz w:val="16"/>
                <w:lang w:val="en-GB"/>
              </w:rPr>
              <w:t>928</w:t>
            </w:r>
          </w:p>
        </w:tc>
        <w:tc>
          <w:tcPr>
            <w:tcW w:w="1276" w:type="dxa"/>
            <w:shd w:val="clear" w:color="auto" w:fill="auto"/>
            <w:tcMar>
              <w:top w:w="57" w:type="dxa"/>
              <w:left w:w="0" w:type="dxa"/>
              <w:bottom w:w="57" w:type="dxa"/>
              <w:right w:w="0" w:type="dxa"/>
            </w:tcMar>
            <w:vAlign w:val="bottom"/>
          </w:tcPr>
          <w:p w14:paraId="1C4DA4E3" w14:textId="77777777" w:rsidR="000A72B1" w:rsidRPr="000A72B1" w:rsidRDefault="000A72B1" w:rsidP="0092233A">
            <w:pPr>
              <w:spacing w:line="240" w:lineRule="atLeast"/>
              <w:jc w:val="right"/>
              <w:rPr>
                <w:rFonts w:ascii="Tahoma" w:hAnsi="Tahoma"/>
                <w:color w:val="000000" w:themeColor="text1"/>
                <w:sz w:val="16"/>
                <w:lang w:val="en-GB"/>
              </w:rPr>
            </w:pPr>
            <w:r w:rsidRPr="000A72B1">
              <w:rPr>
                <w:rFonts w:ascii="Tahoma" w:hAnsi="Tahoma"/>
                <w:color w:val="000000" w:themeColor="text1"/>
                <w:sz w:val="16"/>
                <w:lang w:val="en-GB"/>
              </w:rPr>
              <w:t>—</w:t>
            </w:r>
          </w:p>
        </w:tc>
        <w:tc>
          <w:tcPr>
            <w:tcW w:w="1134" w:type="dxa"/>
            <w:shd w:val="clear" w:color="auto" w:fill="auto"/>
            <w:tcMar>
              <w:top w:w="57" w:type="dxa"/>
              <w:left w:w="0" w:type="dxa"/>
              <w:bottom w:w="57" w:type="dxa"/>
              <w:right w:w="0" w:type="dxa"/>
            </w:tcMar>
            <w:vAlign w:val="bottom"/>
          </w:tcPr>
          <w:p w14:paraId="69BB6590" w14:textId="77777777" w:rsidR="000A72B1" w:rsidRPr="000A72B1" w:rsidRDefault="000A72B1" w:rsidP="0092233A">
            <w:pPr>
              <w:spacing w:line="240" w:lineRule="atLeast"/>
              <w:jc w:val="right"/>
              <w:rPr>
                <w:rFonts w:ascii="Tahoma" w:hAnsi="Tahoma"/>
                <w:color w:val="000000" w:themeColor="text1"/>
                <w:sz w:val="16"/>
                <w:lang w:val="en-GB"/>
              </w:rPr>
            </w:pPr>
            <w:r w:rsidRPr="000A72B1">
              <w:rPr>
                <w:rFonts w:ascii="Tahoma" w:hAnsi="Tahoma"/>
                <w:color w:val="000000" w:themeColor="text1"/>
                <w:sz w:val="16"/>
                <w:lang w:val="en-GB"/>
              </w:rPr>
              <w:t>928</w:t>
            </w:r>
          </w:p>
        </w:tc>
        <w:tc>
          <w:tcPr>
            <w:tcW w:w="1275" w:type="dxa"/>
            <w:shd w:val="clear" w:color="auto" w:fill="auto"/>
            <w:tcMar>
              <w:top w:w="57" w:type="dxa"/>
              <w:left w:w="0" w:type="dxa"/>
              <w:bottom w:w="57" w:type="dxa"/>
              <w:right w:w="0" w:type="dxa"/>
            </w:tcMar>
            <w:vAlign w:val="bottom"/>
          </w:tcPr>
          <w:p w14:paraId="553441FE" w14:textId="77777777" w:rsidR="000A72B1" w:rsidRPr="000A72B1" w:rsidRDefault="000A72B1" w:rsidP="0092233A">
            <w:pPr>
              <w:spacing w:line="240" w:lineRule="atLeast"/>
              <w:jc w:val="right"/>
              <w:rPr>
                <w:rFonts w:ascii="Tahoma" w:hAnsi="Tahoma"/>
                <w:color w:val="000000" w:themeColor="text1"/>
                <w:sz w:val="16"/>
                <w:lang w:val="en-GB"/>
              </w:rPr>
            </w:pPr>
            <w:r w:rsidRPr="000A72B1">
              <w:rPr>
                <w:rFonts w:ascii="Tahoma" w:hAnsi="Tahoma"/>
                <w:color w:val="000000" w:themeColor="text1"/>
                <w:sz w:val="16"/>
                <w:lang w:val="en-GB"/>
              </w:rPr>
              <w:t>—</w:t>
            </w:r>
          </w:p>
        </w:tc>
      </w:tr>
      <w:tr w:rsidR="00615190" w:rsidRPr="000A72B1" w14:paraId="4C67ABF1" w14:textId="77777777" w:rsidTr="006E4C30">
        <w:trPr>
          <w:trHeight w:val="60"/>
        </w:trPr>
        <w:tc>
          <w:tcPr>
            <w:tcW w:w="397" w:type="dxa"/>
            <w:shd w:val="clear" w:color="auto" w:fill="auto"/>
            <w:tcMar>
              <w:top w:w="57" w:type="dxa"/>
              <w:left w:w="0" w:type="dxa"/>
              <w:bottom w:w="57" w:type="dxa"/>
              <w:right w:w="0" w:type="dxa"/>
            </w:tcMar>
            <w:vAlign w:val="bottom"/>
          </w:tcPr>
          <w:p w14:paraId="05C024A8" w14:textId="77777777" w:rsidR="000A72B1" w:rsidRPr="000A72B1" w:rsidRDefault="000A72B1" w:rsidP="00615190">
            <w:pPr>
              <w:spacing w:line="240" w:lineRule="atLeast"/>
              <w:rPr>
                <w:rFonts w:ascii="Tahoma" w:hAnsi="Tahoma"/>
                <w:color w:val="000000" w:themeColor="text1"/>
                <w:sz w:val="16"/>
                <w:lang w:val="en-GB"/>
              </w:rPr>
            </w:pPr>
          </w:p>
        </w:tc>
        <w:tc>
          <w:tcPr>
            <w:tcW w:w="5132" w:type="dxa"/>
            <w:shd w:val="clear" w:color="auto" w:fill="auto"/>
            <w:tcMar>
              <w:top w:w="57" w:type="dxa"/>
              <w:left w:w="0" w:type="dxa"/>
              <w:bottom w:w="57" w:type="dxa"/>
              <w:right w:w="0" w:type="dxa"/>
            </w:tcMar>
            <w:vAlign w:val="bottom"/>
          </w:tcPr>
          <w:p w14:paraId="374AFDA6" w14:textId="77777777" w:rsidR="000A72B1" w:rsidRPr="000A72B1" w:rsidRDefault="000A72B1" w:rsidP="00615190">
            <w:pPr>
              <w:spacing w:line="240" w:lineRule="atLeast"/>
              <w:rPr>
                <w:rFonts w:ascii="Tahoma" w:hAnsi="Tahoma"/>
                <w:b/>
                <w:bCs/>
                <w:color w:val="000000" w:themeColor="text1"/>
                <w:sz w:val="16"/>
                <w:lang w:val="en-GB"/>
              </w:rPr>
            </w:pPr>
            <w:r w:rsidRPr="000A72B1">
              <w:rPr>
                <w:rFonts w:ascii="Tahoma" w:hAnsi="Tahoma"/>
                <w:b/>
                <w:bCs/>
                <w:color w:val="000000" w:themeColor="text1"/>
                <w:sz w:val="16"/>
                <w:lang w:val="en-GB"/>
              </w:rPr>
              <w:t>Liabilities</w:t>
            </w:r>
          </w:p>
        </w:tc>
        <w:tc>
          <w:tcPr>
            <w:tcW w:w="992" w:type="dxa"/>
            <w:shd w:val="clear" w:color="auto" w:fill="auto"/>
            <w:tcMar>
              <w:top w:w="57" w:type="dxa"/>
              <w:left w:w="0" w:type="dxa"/>
              <w:bottom w:w="57" w:type="dxa"/>
              <w:right w:w="0" w:type="dxa"/>
            </w:tcMar>
            <w:vAlign w:val="bottom"/>
          </w:tcPr>
          <w:p w14:paraId="52F1A11F" w14:textId="77777777" w:rsidR="000A72B1" w:rsidRPr="000A72B1" w:rsidRDefault="000A72B1" w:rsidP="0092233A">
            <w:pPr>
              <w:spacing w:line="240" w:lineRule="atLeast"/>
              <w:jc w:val="right"/>
              <w:rPr>
                <w:rFonts w:ascii="Tahoma" w:hAnsi="Tahoma"/>
                <w:color w:val="000000" w:themeColor="text1"/>
                <w:sz w:val="16"/>
                <w:lang w:val="en-GB"/>
              </w:rPr>
            </w:pPr>
          </w:p>
        </w:tc>
        <w:tc>
          <w:tcPr>
            <w:tcW w:w="1276" w:type="dxa"/>
            <w:shd w:val="clear" w:color="auto" w:fill="auto"/>
            <w:tcMar>
              <w:top w:w="57" w:type="dxa"/>
              <w:left w:w="0" w:type="dxa"/>
              <w:bottom w:w="57" w:type="dxa"/>
              <w:right w:w="0" w:type="dxa"/>
            </w:tcMar>
            <w:vAlign w:val="bottom"/>
          </w:tcPr>
          <w:p w14:paraId="1ABEF79C" w14:textId="77777777" w:rsidR="000A72B1" w:rsidRPr="000A72B1" w:rsidRDefault="000A72B1" w:rsidP="0092233A">
            <w:pPr>
              <w:spacing w:line="240" w:lineRule="atLeast"/>
              <w:jc w:val="right"/>
              <w:rPr>
                <w:rFonts w:ascii="Tahoma" w:hAnsi="Tahoma"/>
                <w:color w:val="000000" w:themeColor="text1"/>
                <w:sz w:val="16"/>
                <w:lang w:val="en-GB"/>
              </w:rPr>
            </w:pPr>
          </w:p>
        </w:tc>
        <w:tc>
          <w:tcPr>
            <w:tcW w:w="1134" w:type="dxa"/>
            <w:shd w:val="clear" w:color="auto" w:fill="auto"/>
            <w:tcMar>
              <w:top w:w="57" w:type="dxa"/>
              <w:left w:w="0" w:type="dxa"/>
              <w:bottom w:w="57" w:type="dxa"/>
              <w:right w:w="0" w:type="dxa"/>
            </w:tcMar>
            <w:vAlign w:val="bottom"/>
          </w:tcPr>
          <w:p w14:paraId="2B2DCAE1" w14:textId="77777777" w:rsidR="000A72B1" w:rsidRPr="000A72B1" w:rsidRDefault="000A72B1" w:rsidP="0092233A">
            <w:pPr>
              <w:spacing w:line="240" w:lineRule="atLeast"/>
              <w:jc w:val="right"/>
              <w:rPr>
                <w:rFonts w:ascii="Tahoma" w:hAnsi="Tahoma"/>
                <w:color w:val="000000" w:themeColor="text1"/>
                <w:sz w:val="16"/>
                <w:lang w:val="en-GB"/>
              </w:rPr>
            </w:pPr>
          </w:p>
        </w:tc>
        <w:tc>
          <w:tcPr>
            <w:tcW w:w="1275" w:type="dxa"/>
            <w:shd w:val="clear" w:color="auto" w:fill="auto"/>
            <w:tcMar>
              <w:top w:w="57" w:type="dxa"/>
              <w:left w:w="0" w:type="dxa"/>
              <w:bottom w:w="57" w:type="dxa"/>
              <w:right w:w="0" w:type="dxa"/>
            </w:tcMar>
            <w:vAlign w:val="bottom"/>
          </w:tcPr>
          <w:p w14:paraId="16CCDDDA" w14:textId="77777777" w:rsidR="000A72B1" w:rsidRPr="000A72B1" w:rsidRDefault="000A72B1" w:rsidP="0092233A">
            <w:pPr>
              <w:spacing w:line="240" w:lineRule="atLeast"/>
              <w:jc w:val="right"/>
              <w:rPr>
                <w:rFonts w:ascii="Tahoma" w:hAnsi="Tahoma"/>
                <w:color w:val="000000" w:themeColor="text1"/>
                <w:sz w:val="16"/>
                <w:lang w:val="en-GB"/>
              </w:rPr>
            </w:pPr>
          </w:p>
        </w:tc>
      </w:tr>
      <w:tr w:rsidR="00615190" w:rsidRPr="000A72B1" w14:paraId="33AC8348" w14:textId="77777777" w:rsidTr="006E4C30">
        <w:trPr>
          <w:trHeight w:val="60"/>
        </w:trPr>
        <w:tc>
          <w:tcPr>
            <w:tcW w:w="397" w:type="dxa"/>
            <w:shd w:val="clear" w:color="auto" w:fill="auto"/>
            <w:tcMar>
              <w:top w:w="57" w:type="dxa"/>
              <w:left w:w="0" w:type="dxa"/>
              <w:bottom w:w="57" w:type="dxa"/>
              <w:right w:w="0" w:type="dxa"/>
            </w:tcMar>
            <w:vAlign w:val="bottom"/>
          </w:tcPr>
          <w:p w14:paraId="403C1BC9" w14:textId="77777777" w:rsidR="000A72B1" w:rsidRPr="000A72B1" w:rsidRDefault="000A72B1" w:rsidP="00615190">
            <w:pPr>
              <w:spacing w:line="240" w:lineRule="atLeast"/>
              <w:rPr>
                <w:rFonts w:ascii="Tahoma" w:hAnsi="Tahoma"/>
                <w:color w:val="000000" w:themeColor="text1"/>
                <w:sz w:val="16"/>
                <w:lang w:val="en-GB"/>
              </w:rPr>
            </w:pPr>
          </w:p>
        </w:tc>
        <w:tc>
          <w:tcPr>
            <w:tcW w:w="5132" w:type="dxa"/>
            <w:shd w:val="clear" w:color="auto" w:fill="auto"/>
            <w:tcMar>
              <w:top w:w="57" w:type="dxa"/>
              <w:left w:w="0" w:type="dxa"/>
              <w:bottom w:w="57" w:type="dxa"/>
              <w:right w:w="0" w:type="dxa"/>
            </w:tcMar>
            <w:vAlign w:val="bottom"/>
          </w:tcPr>
          <w:p w14:paraId="5D02C2B0" w14:textId="77777777" w:rsidR="000A72B1" w:rsidRPr="000A72B1" w:rsidRDefault="000A72B1" w:rsidP="00615190">
            <w:pPr>
              <w:spacing w:line="240" w:lineRule="atLeast"/>
              <w:rPr>
                <w:rFonts w:ascii="Tahoma" w:hAnsi="Tahoma"/>
                <w:color w:val="000000" w:themeColor="text1"/>
                <w:sz w:val="16"/>
                <w:lang w:val="en-GB"/>
              </w:rPr>
            </w:pPr>
            <w:r w:rsidRPr="000A72B1">
              <w:rPr>
                <w:rFonts w:ascii="Tahoma" w:hAnsi="Tahoma"/>
                <w:color w:val="000000" w:themeColor="text1"/>
                <w:sz w:val="16"/>
                <w:lang w:val="en-GB"/>
              </w:rPr>
              <w:t>Forward exchange contracts</w:t>
            </w:r>
          </w:p>
        </w:tc>
        <w:tc>
          <w:tcPr>
            <w:tcW w:w="992" w:type="dxa"/>
            <w:shd w:val="clear" w:color="auto" w:fill="auto"/>
            <w:tcMar>
              <w:top w:w="57" w:type="dxa"/>
              <w:left w:w="0" w:type="dxa"/>
              <w:bottom w:w="57" w:type="dxa"/>
              <w:right w:w="0" w:type="dxa"/>
            </w:tcMar>
            <w:vAlign w:val="bottom"/>
          </w:tcPr>
          <w:p w14:paraId="4DF3BD84" w14:textId="77777777" w:rsidR="000A72B1" w:rsidRPr="000A72B1" w:rsidRDefault="000A72B1" w:rsidP="0092233A">
            <w:pPr>
              <w:spacing w:line="240" w:lineRule="atLeast"/>
              <w:jc w:val="right"/>
              <w:rPr>
                <w:rFonts w:ascii="Tahoma" w:hAnsi="Tahoma"/>
                <w:color w:val="000000" w:themeColor="text1"/>
                <w:sz w:val="16"/>
                <w:lang w:val="en-GB"/>
              </w:rPr>
            </w:pPr>
            <w:r w:rsidRPr="000A72B1">
              <w:rPr>
                <w:rFonts w:ascii="Tahoma" w:hAnsi="Tahoma"/>
                <w:color w:val="000000" w:themeColor="text1"/>
                <w:sz w:val="16"/>
                <w:lang w:val="en-GB"/>
              </w:rPr>
              <w:t>18</w:t>
            </w:r>
          </w:p>
        </w:tc>
        <w:tc>
          <w:tcPr>
            <w:tcW w:w="1276" w:type="dxa"/>
            <w:shd w:val="clear" w:color="auto" w:fill="auto"/>
            <w:tcMar>
              <w:top w:w="57" w:type="dxa"/>
              <w:left w:w="0" w:type="dxa"/>
              <w:bottom w:w="57" w:type="dxa"/>
              <w:right w:w="0" w:type="dxa"/>
            </w:tcMar>
            <w:vAlign w:val="bottom"/>
          </w:tcPr>
          <w:p w14:paraId="1ABA5A28" w14:textId="77777777" w:rsidR="000A72B1" w:rsidRPr="000A72B1" w:rsidRDefault="000A72B1" w:rsidP="0092233A">
            <w:pPr>
              <w:spacing w:line="240" w:lineRule="atLeast"/>
              <w:jc w:val="right"/>
              <w:rPr>
                <w:rFonts w:ascii="Tahoma" w:hAnsi="Tahoma"/>
                <w:color w:val="000000" w:themeColor="text1"/>
                <w:sz w:val="16"/>
                <w:lang w:val="en-GB"/>
              </w:rPr>
            </w:pPr>
            <w:r w:rsidRPr="000A72B1">
              <w:rPr>
                <w:rFonts w:ascii="Tahoma" w:hAnsi="Tahoma"/>
                <w:color w:val="000000" w:themeColor="text1"/>
                <w:sz w:val="16"/>
                <w:lang w:val="en-GB"/>
              </w:rPr>
              <w:t>—</w:t>
            </w:r>
          </w:p>
        </w:tc>
        <w:tc>
          <w:tcPr>
            <w:tcW w:w="1134" w:type="dxa"/>
            <w:shd w:val="clear" w:color="auto" w:fill="auto"/>
            <w:tcMar>
              <w:top w:w="57" w:type="dxa"/>
              <w:left w:w="0" w:type="dxa"/>
              <w:bottom w:w="57" w:type="dxa"/>
              <w:right w:w="0" w:type="dxa"/>
            </w:tcMar>
            <w:vAlign w:val="bottom"/>
          </w:tcPr>
          <w:p w14:paraId="7A2164E7" w14:textId="77777777" w:rsidR="000A72B1" w:rsidRPr="000A72B1" w:rsidRDefault="000A72B1" w:rsidP="0092233A">
            <w:pPr>
              <w:spacing w:line="240" w:lineRule="atLeast"/>
              <w:jc w:val="right"/>
              <w:rPr>
                <w:rFonts w:ascii="Tahoma" w:hAnsi="Tahoma"/>
                <w:color w:val="000000" w:themeColor="text1"/>
                <w:sz w:val="16"/>
                <w:lang w:val="en-GB"/>
              </w:rPr>
            </w:pPr>
            <w:r w:rsidRPr="000A72B1">
              <w:rPr>
                <w:rFonts w:ascii="Tahoma" w:hAnsi="Tahoma"/>
                <w:color w:val="000000" w:themeColor="text1"/>
                <w:sz w:val="16"/>
                <w:lang w:val="en-GB"/>
              </w:rPr>
              <w:t>18</w:t>
            </w:r>
          </w:p>
        </w:tc>
        <w:tc>
          <w:tcPr>
            <w:tcW w:w="1275" w:type="dxa"/>
            <w:shd w:val="clear" w:color="auto" w:fill="auto"/>
            <w:tcMar>
              <w:top w:w="57" w:type="dxa"/>
              <w:left w:w="0" w:type="dxa"/>
              <w:bottom w:w="57" w:type="dxa"/>
              <w:right w:w="0" w:type="dxa"/>
            </w:tcMar>
            <w:vAlign w:val="bottom"/>
          </w:tcPr>
          <w:p w14:paraId="6E28F0D8" w14:textId="77777777" w:rsidR="000A72B1" w:rsidRPr="000A72B1" w:rsidRDefault="000A72B1" w:rsidP="0092233A">
            <w:pPr>
              <w:spacing w:line="240" w:lineRule="atLeast"/>
              <w:jc w:val="right"/>
              <w:rPr>
                <w:rFonts w:ascii="Tahoma" w:hAnsi="Tahoma"/>
                <w:color w:val="000000" w:themeColor="text1"/>
                <w:sz w:val="16"/>
                <w:lang w:val="en-GB"/>
              </w:rPr>
            </w:pPr>
            <w:r w:rsidRPr="000A72B1">
              <w:rPr>
                <w:rFonts w:ascii="Tahoma" w:hAnsi="Tahoma"/>
                <w:color w:val="000000" w:themeColor="text1"/>
                <w:sz w:val="16"/>
                <w:lang w:val="en-GB"/>
              </w:rPr>
              <w:t>—</w:t>
            </w:r>
          </w:p>
        </w:tc>
      </w:tr>
      <w:tr w:rsidR="00615190" w:rsidRPr="000A72B1" w14:paraId="3026B819" w14:textId="77777777" w:rsidTr="00C85486">
        <w:trPr>
          <w:trHeight w:val="60"/>
        </w:trPr>
        <w:tc>
          <w:tcPr>
            <w:tcW w:w="397" w:type="dxa"/>
            <w:shd w:val="clear" w:color="auto" w:fill="auto"/>
            <w:tcMar>
              <w:top w:w="57" w:type="dxa"/>
              <w:left w:w="0" w:type="dxa"/>
              <w:bottom w:w="57" w:type="dxa"/>
              <w:right w:w="0" w:type="dxa"/>
            </w:tcMar>
            <w:vAlign w:val="bottom"/>
          </w:tcPr>
          <w:p w14:paraId="7C3541E3" w14:textId="77777777" w:rsidR="000A72B1" w:rsidRPr="000A72B1" w:rsidRDefault="000A72B1" w:rsidP="00615190">
            <w:pPr>
              <w:spacing w:line="240" w:lineRule="atLeast"/>
              <w:rPr>
                <w:rFonts w:ascii="Tahoma" w:hAnsi="Tahoma"/>
                <w:color w:val="000000" w:themeColor="text1"/>
                <w:sz w:val="16"/>
                <w:lang w:val="en-GB"/>
              </w:rPr>
            </w:pPr>
          </w:p>
        </w:tc>
        <w:tc>
          <w:tcPr>
            <w:tcW w:w="5132" w:type="dxa"/>
            <w:shd w:val="clear" w:color="auto" w:fill="auto"/>
            <w:tcMar>
              <w:top w:w="57" w:type="dxa"/>
              <w:left w:w="0" w:type="dxa"/>
              <w:bottom w:w="57" w:type="dxa"/>
              <w:right w:w="0" w:type="dxa"/>
            </w:tcMar>
            <w:vAlign w:val="bottom"/>
          </w:tcPr>
          <w:p w14:paraId="222D8E6A" w14:textId="77777777" w:rsidR="000A72B1" w:rsidRPr="000A72B1" w:rsidRDefault="000A72B1" w:rsidP="00615190">
            <w:pPr>
              <w:spacing w:line="240" w:lineRule="atLeast"/>
              <w:rPr>
                <w:rFonts w:ascii="Tahoma" w:hAnsi="Tahoma"/>
                <w:color w:val="000000" w:themeColor="text1"/>
                <w:sz w:val="16"/>
                <w:lang w:val="en-GB"/>
              </w:rPr>
            </w:pPr>
            <w:r w:rsidRPr="000A72B1">
              <w:rPr>
                <w:rFonts w:ascii="Tahoma" w:hAnsi="Tahoma"/>
                <w:color w:val="000000" w:themeColor="text1"/>
                <w:sz w:val="16"/>
                <w:lang w:val="en-GB"/>
              </w:rPr>
              <w:t>Earn-out obligations</w:t>
            </w:r>
          </w:p>
        </w:tc>
        <w:tc>
          <w:tcPr>
            <w:tcW w:w="992" w:type="dxa"/>
            <w:shd w:val="clear" w:color="auto" w:fill="auto"/>
            <w:tcMar>
              <w:top w:w="57" w:type="dxa"/>
              <w:left w:w="0" w:type="dxa"/>
              <w:bottom w:w="57" w:type="dxa"/>
              <w:right w:w="0" w:type="dxa"/>
            </w:tcMar>
            <w:vAlign w:val="bottom"/>
          </w:tcPr>
          <w:p w14:paraId="48BD302E" w14:textId="77777777" w:rsidR="000A72B1" w:rsidRPr="000A72B1" w:rsidRDefault="000A72B1" w:rsidP="0092233A">
            <w:pPr>
              <w:spacing w:line="240" w:lineRule="atLeast"/>
              <w:jc w:val="right"/>
              <w:rPr>
                <w:rFonts w:ascii="Tahoma" w:hAnsi="Tahoma"/>
                <w:color w:val="000000" w:themeColor="text1"/>
                <w:sz w:val="16"/>
                <w:lang w:val="en-GB"/>
              </w:rPr>
            </w:pPr>
            <w:r w:rsidRPr="000A72B1">
              <w:rPr>
                <w:rFonts w:ascii="Tahoma" w:hAnsi="Tahoma"/>
                <w:color w:val="000000" w:themeColor="text1"/>
                <w:sz w:val="16"/>
                <w:lang w:val="en-GB"/>
              </w:rPr>
              <w:t>20</w:t>
            </w:r>
          </w:p>
        </w:tc>
        <w:tc>
          <w:tcPr>
            <w:tcW w:w="1276" w:type="dxa"/>
            <w:shd w:val="clear" w:color="auto" w:fill="auto"/>
            <w:tcMar>
              <w:top w:w="57" w:type="dxa"/>
              <w:left w:w="0" w:type="dxa"/>
              <w:bottom w:w="57" w:type="dxa"/>
              <w:right w:w="0" w:type="dxa"/>
            </w:tcMar>
            <w:vAlign w:val="bottom"/>
          </w:tcPr>
          <w:p w14:paraId="1CEE2CFB" w14:textId="77777777" w:rsidR="000A72B1" w:rsidRPr="000A72B1" w:rsidRDefault="000A72B1" w:rsidP="0092233A">
            <w:pPr>
              <w:spacing w:line="240" w:lineRule="atLeast"/>
              <w:jc w:val="right"/>
              <w:rPr>
                <w:rFonts w:ascii="Tahoma" w:hAnsi="Tahoma"/>
                <w:color w:val="000000" w:themeColor="text1"/>
                <w:sz w:val="16"/>
                <w:lang w:val="en-GB"/>
              </w:rPr>
            </w:pPr>
            <w:r w:rsidRPr="000A72B1">
              <w:rPr>
                <w:rFonts w:ascii="Tahoma" w:hAnsi="Tahoma"/>
                <w:color w:val="000000" w:themeColor="text1"/>
                <w:sz w:val="16"/>
                <w:lang w:val="en-GB"/>
              </w:rPr>
              <w:t>—</w:t>
            </w:r>
          </w:p>
        </w:tc>
        <w:tc>
          <w:tcPr>
            <w:tcW w:w="1134" w:type="dxa"/>
            <w:shd w:val="clear" w:color="auto" w:fill="auto"/>
            <w:tcMar>
              <w:top w:w="57" w:type="dxa"/>
              <w:left w:w="0" w:type="dxa"/>
              <w:bottom w:w="57" w:type="dxa"/>
              <w:right w:w="0" w:type="dxa"/>
            </w:tcMar>
            <w:vAlign w:val="bottom"/>
          </w:tcPr>
          <w:p w14:paraId="78404B9B" w14:textId="77777777" w:rsidR="000A72B1" w:rsidRPr="000A72B1" w:rsidRDefault="000A72B1" w:rsidP="0092233A">
            <w:pPr>
              <w:spacing w:line="240" w:lineRule="atLeast"/>
              <w:jc w:val="right"/>
              <w:rPr>
                <w:rFonts w:ascii="Tahoma" w:hAnsi="Tahoma"/>
                <w:color w:val="000000" w:themeColor="text1"/>
                <w:sz w:val="16"/>
                <w:lang w:val="en-GB"/>
              </w:rPr>
            </w:pPr>
            <w:r w:rsidRPr="000A72B1">
              <w:rPr>
                <w:rFonts w:ascii="Tahoma" w:hAnsi="Tahoma"/>
                <w:color w:val="000000" w:themeColor="text1"/>
                <w:sz w:val="16"/>
                <w:lang w:val="en-GB"/>
              </w:rPr>
              <w:t>—</w:t>
            </w:r>
          </w:p>
        </w:tc>
        <w:tc>
          <w:tcPr>
            <w:tcW w:w="1275" w:type="dxa"/>
            <w:shd w:val="clear" w:color="auto" w:fill="auto"/>
            <w:tcMar>
              <w:top w:w="57" w:type="dxa"/>
              <w:left w:w="0" w:type="dxa"/>
              <w:bottom w:w="57" w:type="dxa"/>
              <w:right w:w="0" w:type="dxa"/>
            </w:tcMar>
            <w:vAlign w:val="bottom"/>
          </w:tcPr>
          <w:p w14:paraId="55A182E0" w14:textId="77777777" w:rsidR="000A72B1" w:rsidRPr="000A72B1" w:rsidRDefault="000A72B1" w:rsidP="0092233A">
            <w:pPr>
              <w:spacing w:line="240" w:lineRule="atLeast"/>
              <w:jc w:val="right"/>
              <w:rPr>
                <w:rFonts w:ascii="Tahoma" w:hAnsi="Tahoma"/>
                <w:color w:val="000000" w:themeColor="text1"/>
                <w:sz w:val="16"/>
                <w:lang w:val="en-GB"/>
              </w:rPr>
            </w:pPr>
            <w:r w:rsidRPr="000A72B1">
              <w:rPr>
                <w:rFonts w:ascii="Tahoma" w:hAnsi="Tahoma"/>
                <w:color w:val="000000" w:themeColor="text1"/>
                <w:sz w:val="16"/>
                <w:lang w:val="en-GB"/>
              </w:rPr>
              <w:t>20</w:t>
            </w:r>
          </w:p>
        </w:tc>
      </w:tr>
      <w:tr w:rsidR="00615190" w:rsidRPr="000A72B1" w14:paraId="764F364C" w14:textId="77777777" w:rsidTr="00C85486">
        <w:trPr>
          <w:trHeight w:val="60"/>
        </w:trPr>
        <w:tc>
          <w:tcPr>
            <w:tcW w:w="397" w:type="dxa"/>
            <w:shd w:val="clear" w:color="auto" w:fill="auto"/>
            <w:tcMar>
              <w:top w:w="57" w:type="dxa"/>
              <w:left w:w="0" w:type="dxa"/>
              <w:bottom w:w="85" w:type="dxa"/>
              <w:right w:w="0" w:type="dxa"/>
            </w:tcMar>
            <w:vAlign w:val="bottom"/>
          </w:tcPr>
          <w:p w14:paraId="58716010" w14:textId="77777777" w:rsidR="000A72B1" w:rsidRPr="000A72B1" w:rsidRDefault="000A72B1" w:rsidP="00615190">
            <w:pPr>
              <w:spacing w:line="240" w:lineRule="atLeast"/>
              <w:rPr>
                <w:rFonts w:ascii="Tahoma" w:hAnsi="Tahoma"/>
                <w:color w:val="000000" w:themeColor="text1"/>
                <w:sz w:val="16"/>
                <w:lang w:val="en-GB"/>
              </w:rPr>
            </w:pPr>
          </w:p>
        </w:tc>
        <w:tc>
          <w:tcPr>
            <w:tcW w:w="5132" w:type="dxa"/>
            <w:tcBorders>
              <w:bottom w:val="single" w:sz="12" w:space="0" w:color="auto"/>
            </w:tcBorders>
            <w:shd w:val="clear" w:color="auto" w:fill="auto"/>
            <w:tcMar>
              <w:top w:w="57" w:type="dxa"/>
              <w:left w:w="0" w:type="dxa"/>
              <w:bottom w:w="85" w:type="dxa"/>
              <w:right w:w="0" w:type="dxa"/>
            </w:tcMar>
            <w:vAlign w:val="bottom"/>
          </w:tcPr>
          <w:p w14:paraId="107F1C82" w14:textId="77777777" w:rsidR="000A72B1" w:rsidRPr="000A72B1" w:rsidRDefault="000A72B1" w:rsidP="00615190">
            <w:pPr>
              <w:spacing w:line="240" w:lineRule="atLeast"/>
              <w:rPr>
                <w:rFonts w:ascii="Tahoma" w:hAnsi="Tahoma"/>
                <w:color w:val="000000" w:themeColor="text1"/>
                <w:sz w:val="16"/>
                <w:lang w:val="en-GB"/>
              </w:rPr>
            </w:pPr>
            <w:r w:rsidRPr="000A72B1">
              <w:rPr>
                <w:rFonts w:ascii="Tahoma" w:hAnsi="Tahoma"/>
                <w:color w:val="000000" w:themeColor="text1"/>
                <w:sz w:val="16"/>
                <w:lang w:val="en-GB"/>
              </w:rPr>
              <w:t>Derivatives contained in lease agreements</w:t>
            </w:r>
          </w:p>
        </w:tc>
        <w:tc>
          <w:tcPr>
            <w:tcW w:w="992" w:type="dxa"/>
            <w:tcBorders>
              <w:bottom w:val="single" w:sz="12" w:space="0" w:color="auto"/>
            </w:tcBorders>
            <w:shd w:val="clear" w:color="auto" w:fill="auto"/>
            <w:tcMar>
              <w:top w:w="57" w:type="dxa"/>
              <w:left w:w="0" w:type="dxa"/>
              <w:bottom w:w="85" w:type="dxa"/>
              <w:right w:w="0" w:type="dxa"/>
            </w:tcMar>
            <w:vAlign w:val="bottom"/>
          </w:tcPr>
          <w:p w14:paraId="777560C5" w14:textId="77777777" w:rsidR="000A72B1" w:rsidRPr="000A72B1" w:rsidRDefault="000A72B1" w:rsidP="0092233A">
            <w:pPr>
              <w:spacing w:line="240" w:lineRule="atLeast"/>
              <w:jc w:val="right"/>
              <w:rPr>
                <w:rFonts w:ascii="Tahoma" w:hAnsi="Tahoma"/>
                <w:color w:val="000000" w:themeColor="text1"/>
                <w:sz w:val="16"/>
                <w:lang w:val="en-GB"/>
              </w:rPr>
            </w:pPr>
            <w:r w:rsidRPr="000A72B1">
              <w:rPr>
                <w:rFonts w:ascii="Tahoma" w:hAnsi="Tahoma"/>
                <w:color w:val="000000" w:themeColor="text1"/>
                <w:sz w:val="16"/>
                <w:lang w:val="en-GB"/>
              </w:rPr>
              <w:t>2</w:t>
            </w:r>
          </w:p>
        </w:tc>
        <w:tc>
          <w:tcPr>
            <w:tcW w:w="1276" w:type="dxa"/>
            <w:tcBorders>
              <w:bottom w:val="single" w:sz="12" w:space="0" w:color="auto"/>
            </w:tcBorders>
            <w:shd w:val="clear" w:color="auto" w:fill="auto"/>
            <w:tcMar>
              <w:top w:w="57" w:type="dxa"/>
              <w:left w:w="0" w:type="dxa"/>
              <w:bottom w:w="85" w:type="dxa"/>
              <w:right w:w="0" w:type="dxa"/>
            </w:tcMar>
            <w:vAlign w:val="bottom"/>
          </w:tcPr>
          <w:p w14:paraId="6D0E5296" w14:textId="77777777" w:rsidR="000A72B1" w:rsidRPr="000A72B1" w:rsidRDefault="000A72B1" w:rsidP="0092233A">
            <w:pPr>
              <w:spacing w:line="240" w:lineRule="atLeast"/>
              <w:jc w:val="right"/>
              <w:rPr>
                <w:rFonts w:ascii="Tahoma" w:hAnsi="Tahoma"/>
                <w:color w:val="000000" w:themeColor="text1"/>
                <w:sz w:val="16"/>
                <w:lang w:val="en-GB"/>
              </w:rPr>
            </w:pPr>
            <w:r w:rsidRPr="000A72B1">
              <w:rPr>
                <w:rFonts w:ascii="Tahoma" w:hAnsi="Tahoma"/>
                <w:color w:val="000000" w:themeColor="text1"/>
                <w:sz w:val="16"/>
                <w:lang w:val="en-GB"/>
              </w:rPr>
              <w:t>—</w:t>
            </w:r>
          </w:p>
        </w:tc>
        <w:tc>
          <w:tcPr>
            <w:tcW w:w="1134" w:type="dxa"/>
            <w:tcBorders>
              <w:bottom w:val="single" w:sz="12" w:space="0" w:color="auto"/>
            </w:tcBorders>
            <w:shd w:val="clear" w:color="auto" w:fill="auto"/>
            <w:tcMar>
              <w:top w:w="57" w:type="dxa"/>
              <w:left w:w="0" w:type="dxa"/>
              <w:bottom w:w="85" w:type="dxa"/>
              <w:right w:w="0" w:type="dxa"/>
            </w:tcMar>
            <w:vAlign w:val="bottom"/>
          </w:tcPr>
          <w:p w14:paraId="5983296B" w14:textId="77777777" w:rsidR="000A72B1" w:rsidRPr="000A72B1" w:rsidRDefault="000A72B1" w:rsidP="0092233A">
            <w:pPr>
              <w:spacing w:line="240" w:lineRule="atLeast"/>
              <w:jc w:val="right"/>
              <w:rPr>
                <w:rFonts w:ascii="Tahoma" w:hAnsi="Tahoma"/>
                <w:color w:val="000000" w:themeColor="text1"/>
                <w:sz w:val="16"/>
                <w:lang w:val="en-GB"/>
              </w:rPr>
            </w:pPr>
            <w:r w:rsidRPr="000A72B1">
              <w:rPr>
                <w:rFonts w:ascii="Tahoma" w:hAnsi="Tahoma"/>
                <w:color w:val="000000" w:themeColor="text1"/>
                <w:sz w:val="16"/>
                <w:lang w:val="en-GB"/>
              </w:rPr>
              <w:t>—</w:t>
            </w:r>
          </w:p>
        </w:tc>
        <w:tc>
          <w:tcPr>
            <w:tcW w:w="1275" w:type="dxa"/>
            <w:tcBorders>
              <w:bottom w:val="single" w:sz="12" w:space="0" w:color="auto"/>
            </w:tcBorders>
            <w:shd w:val="clear" w:color="auto" w:fill="auto"/>
            <w:tcMar>
              <w:top w:w="57" w:type="dxa"/>
              <w:left w:w="0" w:type="dxa"/>
              <w:bottom w:w="85" w:type="dxa"/>
              <w:right w:w="0" w:type="dxa"/>
            </w:tcMar>
            <w:vAlign w:val="bottom"/>
          </w:tcPr>
          <w:p w14:paraId="17D8E17D" w14:textId="77777777" w:rsidR="000A72B1" w:rsidRPr="000A72B1" w:rsidRDefault="000A72B1" w:rsidP="0092233A">
            <w:pPr>
              <w:spacing w:line="240" w:lineRule="atLeast"/>
              <w:jc w:val="right"/>
              <w:rPr>
                <w:rFonts w:ascii="Tahoma" w:hAnsi="Tahoma"/>
                <w:color w:val="000000" w:themeColor="text1"/>
                <w:sz w:val="16"/>
                <w:lang w:val="en-GB"/>
              </w:rPr>
            </w:pPr>
            <w:r w:rsidRPr="000A72B1">
              <w:rPr>
                <w:rFonts w:ascii="Tahoma" w:hAnsi="Tahoma"/>
                <w:color w:val="000000" w:themeColor="text1"/>
                <w:sz w:val="16"/>
                <w:lang w:val="en-GB"/>
              </w:rPr>
              <w:t>2</w:t>
            </w:r>
          </w:p>
        </w:tc>
      </w:tr>
      <w:tr w:rsidR="00615190" w:rsidRPr="000A72B1" w14:paraId="1A8DDB17" w14:textId="77777777" w:rsidTr="00C85486">
        <w:trPr>
          <w:trHeight w:val="60"/>
        </w:trPr>
        <w:tc>
          <w:tcPr>
            <w:tcW w:w="397" w:type="dxa"/>
            <w:shd w:val="clear" w:color="auto" w:fill="auto"/>
            <w:tcMar>
              <w:top w:w="85" w:type="dxa"/>
              <w:left w:w="0" w:type="dxa"/>
              <w:bottom w:w="57" w:type="dxa"/>
              <w:right w:w="0" w:type="dxa"/>
            </w:tcMar>
            <w:vAlign w:val="bottom"/>
          </w:tcPr>
          <w:p w14:paraId="57E30329" w14:textId="77777777" w:rsidR="000A72B1" w:rsidRPr="000A72B1" w:rsidRDefault="000A72B1" w:rsidP="00615190">
            <w:pPr>
              <w:spacing w:line="240" w:lineRule="atLeast"/>
              <w:rPr>
                <w:rFonts w:ascii="Tahoma" w:hAnsi="Tahoma"/>
                <w:color w:val="000000" w:themeColor="text1"/>
                <w:sz w:val="16"/>
                <w:lang w:val="en-GB"/>
              </w:rPr>
            </w:pPr>
          </w:p>
        </w:tc>
        <w:tc>
          <w:tcPr>
            <w:tcW w:w="9809" w:type="dxa"/>
            <w:gridSpan w:val="5"/>
            <w:tcBorders>
              <w:top w:val="single" w:sz="12" w:space="0" w:color="auto"/>
            </w:tcBorders>
            <w:shd w:val="clear" w:color="auto" w:fill="auto"/>
            <w:tcMar>
              <w:top w:w="85" w:type="dxa"/>
              <w:left w:w="0" w:type="dxa"/>
              <w:bottom w:w="57" w:type="dxa"/>
              <w:right w:w="0" w:type="dxa"/>
            </w:tcMar>
            <w:vAlign w:val="bottom"/>
          </w:tcPr>
          <w:p w14:paraId="3AFD17FB" w14:textId="77777777" w:rsidR="000A72B1" w:rsidRPr="000A72B1" w:rsidRDefault="000A72B1" w:rsidP="00E715C0">
            <w:pPr>
              <w:pStyle w:val="FootnotesProsus2022FrontStylesProsus2022"/>
            </w:pPr>
            <w:r w:rsidRPr="000A72B1">
              <w:t>1</w:t>
            </w:r>
            <w:r w:rsidRPr="000A72B1">
              <w:tab/>
              <w:t xml:space="preserve">Relates to short-term bank deposits which are money-market investments held with major banking groups and high-quality institutions that have AAA money-market fund credit ratings from internationally recognised rating agencies. </w:t>
            </w:r>
          </w:p>
        </w:tc>
      </w:tr>
      <w:tr w:rsidR="00615190" w:rsidRPr="000A72B1" w14:paraId="190AEE41" w14:textId="77777777" w:rsidTr="006E4C30">
        <w:trPr>
          <w:trHeight w:val="60"/>
        </w:trPr>
        <w:tc>
          <w:tcPr>
            <w:tcW w:w="397" w:type="dxa"/>
            <w:shd w:val="clear" w:color="auto" w:fill="auto"/>
            <w:tcMar>
              <w:top w:w="142" w:type="dxa"/>
              <w:left w:w="0" w:type="dxa"/>
              <w:bottom w:w="57" w:type="dxa"/>
              <w:right w:w="0" w:type="dxa"/>
            </w:tcMar>
            <w:vAlign w:val="bottom"/>
          </w:tcPr>
          <w:p w14:paraId="4F1AD234" w14:textId="77777777" w:rsidR="000A72B1" w:rsidRPr="000A72B1" w:rsidRDefault="000A72B1" w:rsidP="00615190">
            <w:pPr>
              <w:spacing w:line="240" w:lineRule="atLeast"/>
              <w:rPr>
                <w:rFonts w:ascii="Tahoma" w:hAnsi="Tahoma"/>
                <w:color w:val="000000" w:themeColor="text1"/>
                <w:sz w:val="16"/>
                <w:lang w:val="en-GB"/>
              </w:rPr>
            </w:pPr>
          </w:p>
        </w:tc>
        <w:tc>
          <w:tcPr>
            <w:tcW w:w="9809" w:type="dxa"/>
            <w:gridSpan w:val="5"/>
            <w:shd w:val="clear" w:color="auto" w:fill="auto"/>
            <w:tcMar>
              <w:top w:w="142" w:type="dxa"/>
              <w:left w:w="0" w:type="dxa"/>
              <w:bottom w:w="57" w:type="dxa"/>
              <w:right w:w="0" w:type="dxa"/>
            </w:tcMar>
            <w:vAlign w:val="bottom"/>
          </w:tcPr>
          <w:p w14:paraId="52FEEE5B" w14:textId="77777777" w:rsidR="000A72B1" w:rsidRPr="000A72B1" w:rsidRDefault="000A72B1" w:rsidP="00615190">
            <w:pPr>
              <w:spacing w:line="240" w:lineRule="atLeast"/>
              <w:rPr>
                <w:rFonts w:ascii="Tahoma" w:hAnsi="Tahoma"/>
                <w:color w:val="000000" w:themeColor="text1"/>
                <w:sz w:val="16"/>
                <w:lang w:val="en-GB"/>
              </w:rPr>
            </w:pPr>
            <w:r w:rsidRPr="000A72B1">
              <w:rPr>
                <w:rFonts w:ascii="Tahoma" w:hAnsi="Tahoma"/>
                <w:color w:val="000000" w:themeColor="text1"/>
                <w:sz w:val="16"/>
                <w:lang w:val="en-GB"/>
              </w:rPr>
              <w:t>There have been no transfers between levels 1, 2 or 3 during the reporting period, nor were there any significant changes to the valuation techniques and inputs used in measuring fair value.</w:t>
            </w:r>
          </w:p>
        </w:tc>
      </w:tr>
      <w:tr w:rsidR="00615190" w:rsidRPr="000A72B1" w14:paraId="103E3D86" w14:textId="77777777" w:rsidTr="006E4C30">
        <w:trPr>
          <w:trHeight w:val="60"/>
        </w:trPr>
        <w:tc>
          <w:tcPr>
            <w:tcW w:w="397" w:type="dxa"/>
            <w:shd w:val="clear" w:color="auto" w:fill="auto"/>
            <w:tcMar>
              <w:top w:w="142" w:type="dxa"/>
              <w:left w:w="0" w:type="dxa"/>
              <w:bottom w:w="57" w:type="dxa"/>
              <w:right w:w="0" w:type="dxa"/>
            </w:tcMar>
            <w:vAlign w:val="bottom"/>
          </w:tcPr>
          <w:p w14:paraId="5362FB3E" w14:textId="77777777" w:rsidR="000A72B1" w:rsidRPr="000A72B1" w:rsidRDefault="000A72B1" w:rsidP="00615190">
            <w:pPr>
              <w:spacing w:line="240" w:lineRule="atLeast"/>
              <w:rPr>
                <w:rFonts w:ascii="Tahoma" w:hAnsi="Tahoma"/>
                <w:color w:val="000000" w:themeColor="text1"/>
                <w:sz w:val="16"/>
                <w:lang w:val="en-GB"/>
              </w:rPr>
            </w:pPr>
          </w:p>
        </w:tc>
        <w:tc>
          <w:tcPr>
            <w:tcW w:w="9809" w:type="dxa"/>
            <w:gridSpan w:val="5"/>
            <w:shd w:val="clear" w:color="auto" w:fill="auto"/>
            <w:tcMar>
              <w:top w:w="142" w:type="dxa"/>
              <w:left w:w="0" w:type="dxa"/>
              <w:bottom w:w="57" w:type="dxa"/>
              <w:right w:w="0" w:type="dxa"/>
            </w:tcMar>
            <w:vAlign w:val="bottom"/>
          </w:tcPr>
          <w:p w14:paraId="174D6C3E" w14:textId="77777777" w:rsidR="000A72B1" w:rsidRPr="000A72B1" w:rsidRDefault="000A72B1" w:rsidP="00615190">
            <w:pPr>
              <w:spacing w:line="240" w:lineRule="atLeast"/>
              <w:rPr>
                <w:rFonts w:ascii="Tahoma" w:hAnsi="Tahoma"/>
                <w:color w:val="000000" w:themeColor="text1"/>
                <w:sz w:val="16"/>
                <w:lang w:val="en-GB"/>
              </w:rPr>
            </w:pPr>
            <w:r w:rsidRPr="000A72B1">
              <w:rPr>
                <w:rFonts w:ascii="Tahoma" w:hAnsi="Tahoma"/>
                <w:color w:val="000000" w:themeColor="text1"/>
                <w:sz w:val="16"/>
                <w:lang w:val="en-GB"/>
              </w:rPr>
              <w:t>Valuation techniques and key inputs used to measure significant level 2 and level 3 fair values:</w:t>
            </w:r>
          </w:p>
        </w:tc>
      </w:tr>
      <w:tr w:rsidR="00615190" w:rsidRPr="000A72B1" w14:paraId="2DB71722" w14:textId="77777777" w:rsidTr="006E4C30">
        <w:trPr>
          <w:trHeight w:val="60"/>
        </w:trPr>
        <w:tc>
          <w:tcPr>
            <w:tcW w:w="397" w:type="dxa"/>
            <w:shd w:val="clear" w:color="auto" w:fill="auto"/>
            <w:tcMar>
              <w:top w:w="142" w:type="dxa"/>
              <w:left w:w="0" w:type="dxa"/>
              <w:bottom w:w="57" w:type="dxa"/>
              <w:right w:w="0" w:type="dxa"/>
            </w:tcMar>
            <w:vAlign w:val="bottom"/>
          </w:tcPr>
          <w:p w14:paraId="3ECAFD98" w14:textId="77777777" w:rsidR="000A72B1" w:rsidRPr="000A72B1" w:rsidRDefault="000A72B1" w:rsidP="00615190">
            <w:pPr>
              <w:spacing w:line="240" w:lineRule="atLeast"/>
              <w:rPr>
                <w:rFonts w:ascii="Tahoma" w:hAnsi="Tahoma"/>
                <w:color w:val="000000" w:themeColor="text1"/>
                <w:sz w:val="16"/>
                <w:lang w:val="en-GB"/>
              </w:rPr>
            </w:pPr>
          </w:p>
        </w:tc>
        <w:tc>
          <w:tcPr>
            <w:tcW w:w="9809" w:type="dxa"/>
            <w:gridSpan w:val="5"/>
            <w:shd w:val="clear" w:color="auto" w:fill="auto"/>
            <w:tcMar>
              <w:top w:w="142" w:type="dxa"/>
              <w:left w:w="0" w:type="dxa"/>
              <w:bottom w:w="57" w:type="dxa"/>
              <w:right w:w="0" w:type="dxa"/>
            </w:tcMar>
            <w:vAlign w:val="bottom"/>
          </w:tcPr>
          <w:p w14:paraId="0C6F87BD" w14:textId="77777777" w:rsidR="000A72B1" w:rsidRPr="000A72B1" w:rsidRDefault="000A72B1" w:rsidP="00615190">
            <w:pPr>
              <w:spacing w:line="240" w:lineRule="atLeast"/>
              <w:rPr>
                <w:rFonts w:ascii="Tahoma" w:hAnsi="Tahoma"/>
                <w:b/>
                <w:bCs/>
                <w:color w:val="000000" w:themeColor="text1"/>
                <w:sz w:val="16"/>
                <w:lang w:val="en-GB"/>
              </w:rPr>
            </w:pPr>
            <w:r w:rsidRPr="000A72B1">
              <w:rPr>
                <w:rFonts w:ascii="Tahoma" w:hAnsi="Tahoma"/>
                <w:b/>
                <w:bCs/>
                <w:color w:val="000000" w:themeColor="text1"/>
                <w:sz w:val="16"/>
                <w:lang w:val="en-GB"/>
              </w:rPr>
              <w:t>Level 2 fair-value measurement</w:t>
            </w:r>
          </w:p>
        </w:tc>
      </w:tr>
      <w:tr w:rsidR="00615190" w:rsidRPr="000A72B1" w14:paraId="0BD5F982" w14:textId="77777777" w:rsidTr="006E4C30">
        <w:trPr>
          <w:trHeight w:val="60"/>
        </w:trPr>
        <w:tc>
          <w:tcPr>
            <w:tcW w:w="397" w:type="dxa"/>
            <w:shd w:val="clear" w:color="auto" w:fill="auto"/>
            <w:tcMar>
              <w:top w:w="57" w:type="dxa"/>
              <w:left w:w="0" w:type="dxa"/>
              <w:bottom w:w="57" w:type="dxa"/>
              <w:right w:w="0" w:type="dxa"/>
            </w:tcMar>
            <w:vAlign w:val="bottom"/>
          </w:tcPr>
          <w:p w14:paraId="63FF330A" w14:textId="77777777" w:rsidR="000A72B1" w:rsidRPr="000A72B1" w:rsidRDefault="000A72B1" w:rsidP="00615190">
            <w:pPr>
              <w:spacing w:line="240" w:lineRule="atLeast"/>
              <w:rPr>
                <w:rFonts w:ascii="Tahoma" w:hAnsi="Tahoma"/>
                <w:color w:val="000000" w:themeColor="text1"/>
                <w:sz w:val="16"/>
                <w:lang w:val="en-GB"/>
              </w:rPr>
            </w:pPr>
          </w:p>
        </w:tc>
        <w:tc>
          <w:tcPr>
            <w:tcW w:w="9809" w:type="dxa"/>
            <w:gridSpan w:val="5"/>
            <w:shd w:val="clear" w:color="auto" w:fill="auto"/>
            <w:tcMar>
              <w:top w:w="57" w:type="dxa"/>
              <w:left w:w="0" w:type="dxa"/>
              <w:bottom w:w="57" w:type="dxa"/>
              <w:right w:w="0" w:type="dxa"/>
            </w:tcMar>
            <w:vAlign w:val="bottom"/>
          </w:tcPr>
          <w:p w14:paraId="5055EF9B" w14:textId="77777777" w:rsidR="000A72B1" w:rsidRPr="000A72B1" w:rsidRDefault="000A72B1" w:rsidP="00615190">
            <w:pPr>
              <w:spacing w:line="240" w:lineRule="atLeast"/>
              <w:rPr>
                <w:rFonts w:ascii="Tahoma" w:hAnsi="Tahoma"/>
                <w:color w:val="000000" w:themeColor="text1"/>
                <w:sz w:val="16"/>
                <w:lang w:val="en-GB"/>
              </w:rPr>
            </w:pPr>
            <w:r w:rsidRPr="000A72B1">
              <w:rPr>
                <w:rFonts w:ascii="Tahoma" w:hAnsi="Tahoma"/>
                <w:color w:val="000000" w:themeColor="text1"/>
                <w:sz w:val="16"/>
                <w:lang w:val="en-GB"/>
              </w:rPr>
              <w:t>Forward exchange contracts – in measuring the fair value of forward exchange contracts, the group makes use of market observable quotes of forward foreign exchange rates on instruments that have a maturity similar to the maturity profile of the group’s forward exchange contracts. Key inputs used in measuring the fair value of forward exchange contracts include: current spot exchange rates, market forward exchange rates and the term of the group’s forward exchange contracts.</w:t>
            </w:r>
          </w:p>
        </w:tc>
      </w:tr>
    </w:tbl>
    <w:p w14:paraId="2AD1AECB" w14:textId="77777777" w:rsidR="000A72B1" w:rsidRPr="00615190" w:rsidRDefault="000A72B1" w:rsidP="00615190">
      <w:pPr>
        <w:spacing w:line="240" w:lineRule="atLeast"/>
        <w:rPr>
          <w:rFonts w:ascii="Tahoma" w:hAnsi="Tahoma"/>
          <w:color w:val="000000" w:themeColor="text1"/>
          <w:sz w:val="16"/>
        </w:rPr>
      </w:pPr>
    </w:p>
    <w:p w14:paraId="492B6EEC" w14:textId="77777777" w:rsidR="00353E69" w:rsidRPr="00501182" w:rsidRDefault="00353E69" w:rsidP="00353E69">
      <w:pPr>
        <w:spacing w:line="240" w:lineRule="atLeast"/>
        <w:ind w:left="426"/>
        <w:rPr>
          <w:rFonts w:ascii="Tahoma" w:hAnsi="Tahoma"/>
          <w:color w:val="000000" w:themeColor="text1"/>
          <w:sz w:val="16"/>
          <w:lang w:val="en-GB"/>
        </w:rPr>
      </w:pPr>
      <w:r w:rsidRPr="00501182">
        <w:rPr>
          <w:rFonts w:ascii="Tahoma" w:hAnsi="Tahoma"/>
          <w:color w:val="000000" w:themeColor="text1"/>
          <w:sz w:val="16"/>
          <w:lang w:val="en-GB"/>
        </w:rPr>
        <w:t>Cross-currency interest rate swap – the fair value of the group’s interest rate and cross-currency swaps is determined through the use of discounted cash flow techniques using only market observable information. Key inputs used in measuring the fair value of interest rate and cross-currency swaps include: spot market interest rates, contractually fixed interest rates, foreign exchange rates, counterparty credit spreads, notional amounts on which interest rate swaps are based, payment intervals, risk-free interest rates as well as the duration of the relevant interest rate and cross-currency swap arrangement.</w:t>
      </w:r>
    </w:p>
    <w:p w14:paraId="224B3106" w14:textId="77777777" w:rsidR="00353E69" w:rsidRPr="00501182" w:rsidRDefault="00353E69" w:rsidP="00353E69">
      <w:pPr>
        <w:spacing w:line="240" w:lineRule="atLeast"/>
        <w:ind w:left="426" w:hanging="426"/>
        <w:rPr>
          <w:rFonts w:ascii="Tahoma" w:hAnsi="Tahoma"/>
          <w:color w:val="000000" w:themeColor="text1"/>
          <w:sz w:val="16"/>
          <w:lang w:val="en-GB"/>
        </w:rPr>
      </w:pPr>
    </w:p>
    <w:p w14:paraId="39A46C20" w14:textId="77777777" w:rsidR="00353E69" w:rsidRPr="00501182" w:rsidRDefault="00353E69" w:rsidP="00353E69">
      <w:pPr>
        <w:spacing w:line="240" w:lineRule="atLeast"/>
        <w:ind w:left="426"/>
        <w:rPr>
          <w:rFonts w:ascii="Tahoma" w:hAnsi="Tahoma"/>
          <w:color w:val="000000" w:themeColor="text1"/>
          <w:sz w:val="16"/>
          <w:lang w:val="en-GB"/>
        </w:rPr>
      </w:pPr>
      <w:r w:rsidRPr="00501182">
        <w:rPr>
          <w:rFonts w:ascii="Tahoma" w:hAnsi="Tahoma"/>
          <w:color w:val="000000" w:themeColor="text1"/>
          <w:sz w:val="16"/>
          <w:lang w:val="en-GB"/>
        </w:rPr>
        <w:t>Cash and cash equivalents – relate to short-term bank deposits which are money-market investments held with major banking groups and high-quality institutions that have AAA money-market fund credit ratings from internationally recognised rating agencies. The fair value of these deposits is determined by the amounts deposited and the gains or losses generated by the funds as detailed in the statements provided by these institutions. The gains/losses are recognised in the income statement.</w:t>
      </w:r>
    </w:p>
    <w:p w14:paraId="73D4E342" w14:textId="77777777" w:rsidR="00353E69" w:rsidRPr="00501182" w:rsidRDefault="00353E69" w:rsidP="00353E69">
      <w:pPr>
        <w:spacing w:line="240" w:lineRule="atLeast"/>
        <w:ind w:left="426" w:hanging="426"/>
        <w:rPr>
          <w:rFonts w:ascii="Tahoma" w:hAnsi="Tahoma"/>
          <w:color w:val="000000" w:themeColor="text1"/>
          <w:sz w:val="16"/>
          <w:lang w:val="en-GB"/>
        </w:rPr>
      </w:pPr>
    </w:p>
    <w:p w14:paraId="491F60CC" w14:textId="77777777" w:rsidR="00353E69" w:rsidRPr="00501182" w:rsidRDefault="00353E69" w:rsidP="00353E69">
      <w:pPr>
        <w:spacing w:line="240" w:lineRule="atLeast"/>
        <w:ind w:left="426"/>
        <w:rPr>
          <w:rFonts w:ascii="Tahoma" w:hAnsi="Tahoma"/>
          <w:color w:val="000000" w:themeColor="text1"/>
          <w:sz w:val="16"/>
          <w:lang w:val="en-GB"/>
        </w:rPr>
      </w:pPr>
      <w:r w:rsidRPr="00501182">
        <w:rPr>
          <w:rFonts w:ascii="Tahoma" w:hAnsi="Tahoma"/>
          <w:color w:val="000000" w:themeColor="text1"/>
          <w:sz w:val="16"/>
          <w:lang w:val="en-GB"/>
        </w:rPr>
        <w:t>Financial assets at fair value – relate to a contractual right to receive shares or cash. The fair value is based on a listed share price on the date the transaction was entered into.</w:t>
      </w:r>
    </w:p>
    <w:p w14:paraId="53D15BD5" w14:textId="77777777" w:rsidR="00541790" w:rsidRDefault="00541790">
      <w:pPr>
        <w:rPr>
          <w:rFonts w:ascii="Tahoma" w:hAnsi="Tahoma"/>
          <w:b/>
          <w:bCs/>
          <w:color w:val="000000" w:themeColor="text1"/>
          <w:sz w:val="16"/>
          <w:lang w:val="en-GB"/>
        </w:rPr>
      </w:pPr>
      <w:r>
        <w:rPr>
          <w:rFonts w:ascii="Tahoma" w:hAnsi="Tahoma"/>
          <w:b/>
          <w:bCs/>
          <w:color w:val="000000" w:themeColor="text1"/>
          <w:sz w:val="16"/>
          <w:lang w:val="en-GB"/>
        </w:rPr>
        <w:br w:type="page"/>
      </w:r>
    </w:p>
    <w:p w14:paraId="21BCDF89" w14:textId="77777777" w:rsidR="00353E69" w:rsidRDefault="00353E69" w:rsidP="00353E69">
      <w:pPr>
        <w:spacing w:line="240" w:lineRule="atLeast"/>
        <w:ind w:left="426" w:hanging="426"/>
        <w:rPr>
          <w:rFonts w:ascii="Tahoma" w:hAnsi="Tahoma"/>
          <w:b/>
          <w:bCs/>
          <w:color w:val="000000" w:themeColor="text1"/>
          <w:sz w:val="16"/>
          <w:lang w:val="en-GB"/>
        </w:rPr>
      </w:pPr>
    </w:p>
    <w:p w14:paraId="65D8467C" w14:textId="77777777" w:rsidR="00353E69" w:rsidRPr="000A72B1" w:rsidRDefault="00353E69" w:rsidP="00353E69">
      <w:pPr>
        <w:spacing w:line="240" w:lineRule="atLeast"/>
        <w:ind w:left="426" w:hanging="426"/>
        <w:rPr>
          <w:rFonts w:ascii="Tahoma" w:hAnsi="Tahoma"/>
          <w:b/>
          <w:bCs/>
          <w:color w:val="000000" w:themeColor="text1"/>
          <w:sz w:val="16"/>
          <w:lang w:val="en-GB"/>
        </w:rPr>
      </w:pPr>
      <w:r w:rsidRPr="0056228C">
        <w:rPr>
          <w:rFonts w:ascii="Tahoma" w:hAnsi="Tahoma"/>
          <w:b/>
          <w:bCs/>
          <w:color w:val="000000" w:themeColor="text1"/>
          <w:sz w:val="16"/>
          <w:lang w:val="en-GB"/>
        </w:rPr>
        <w:t>17.</w:t>
      </w:r>
      <w:r>
        <w:rPr>
          <w:rFonts w:ascii="Tahoma" w:hAnsi="Tahoma"/>
          <w:b/>
          <w:bCs/>
          <w:color w:val="000000" w:themeColor="text1"/>
          <w:sz w:val="16"/>
          <w:lang w:val="en-GB"/>
        </w:rPr>
        <w:tab/>
      </w:r>
      <w:r w:rsidRPr="0056228C">
        <w:rPr>
          <w:rFonts w:ascii="Tahoma" w:hAnsi="Tahoma"/>
          <w:b/>
          <w:bCs/>
          <w:color w:val="000000" w:themeColor="text1"/>
          <w:sz w:val="16"/>
          <w:lang w:val="en-GB"/>
        </w:rPr>
        <w:t>FINANCIAL INSTRUMENTS (continued)</w:t>
      </w:r>
    </w:p>
    <w:p w14:paraId="3514FA55" w14:textId="77777777" w:rsidR="00353E69" w:rsidRPr="00353E69" w:rsidRDefault="00353E69" w:rsidP="00353E69">
      <w:pPr>
        <w:spacing w:line="240" w:lineRule="atLeast"/>
        <w:ind w:left="426"/>
        <w:rPr>
          <w:rFonts w:ascii="Tahoma" w:hAnsi="Tahoma"/>
          <w:b/>
          <w:bCs/>
          <w:color w:val="000000" w:themeColor="text1"/>
          <w:sz w:val="16"/>
          <w:lang w:val="en-GB"/>
        </w:rPr>
      </w:pPr>
      <w:r w:rsidRPr="00501182">
        <w:rPr>
          <w:rFonts w:ascii="Tahoma" w:hAnsi="Tahoma"/>
          <w:b/>
          <w:bCs/>
          <w:color w:val="000000" w:themeColor="text1"/>
          <w:sz w:val="16"/>
          <w:lang w:val="en-GB"/>
        </w:rPr>
        <w:t>Level 3 fair-value measurements</w:t>
      </w:r>
    </w:p>
    <w:p w14:paraId="00D46F51" w14:textId="77777777" w:rsidR="00353E69" w:rsidRPr="00501182" w:rsidRDefault="00353E69" w:rsidP="00353E69">
      <w:pPr>
        <w:spacing w:line="240" w:lineRule="atLeast"/>
        <w:ind w:left="426"/>
        <w:rPr>
          <w:rFonts w:ascii="Tahoma" w:hAnsi="Tahoma"/>
          <w:color w:val="000000" w:themeColor="text1"/>
          <w:sz w:val="16"/>
          <w:lang w:val="en-GB"/>
        </w:rPr>
      </w:pPr>
      <w:r w:rsidRPr="00501182">
        <w:rPr>
          <w:rFonts w:ascii="Tahoma" w:hAnsi="Tahoma"/>
          <w:color w:val="000000" w:themeColor="text1"/>
          <w:sz w:val="16"/>
          <w:lang w:val="en-GB"/>
        </w:rPr>
        <w:t>Financial assets at fair value – relate predominantly to unlisted equity investments and the residual interest in the Naspers group. The fair value of unlisted equity investments is based on either the most recent funding transactions for these investments or a weighted-income and market approach using a discounted cash flow calculation and market multiples. The fair value of the investment in the Edtech segment was determined using the weighted-income and market approach and the following unobservable inputs were used:</w:t>
      </w:r>
    </w:p>
    <w:p w14:paraId="70BF2122" w14:textId="77777777" w:rsidR="00353E69" w:rsidRPr="00501182" w:rsidRDefault="00353E69" w:rsidP="00353E69">
      <w:pPr>
        <w:spacing w:line="240" w:lineRule="atLeast"/>
        <w:ind w:left="426" w:hanging="426"/>
        <w:rPr>
          <w:rFonts w:ascii="Tahoma" w:hAnsi="Tahoma"/>
          <w:color w:val="000000" w:themeColor="text1"/>
          <w:sz w:val="16"/>
          <w:lang w:val="en-GB"/>
        </w:rPr>
      </w:pPr>
    </w:p>
    <w:p w14:paraId="6F6703B8" w14:textId="77777777" w:rsidR="00353E69" w:rsidRPr="00BD4BF0" w:rsidRDefault="00353E69" w:rsidP="00BD4BF0">
      <w:pPr>
        <w:spacing w:line="240" w:lineRule="atLeast"/>
        <w:ind w:left="426"/>
        <w:rPr>
          <w:rFonts w:ascii="Tahoma" w:hAnsi="Tahoma"/>
          <w:b/>
          <w:bCs/>
          <w:color w:val="7F7F7F" w:themeColor="text1" w:themeTint="80"/>
          <w:sz w:val="16"/>
          <w:lang w:val="en-GB"/>
        </w:rPr>
      </w:pPr>
      <w:r w:rsidRPr="00501182">
        <w:rPr>
          <w:rFonts w:ascii="Tahoma" w:hAnsi="Tahoma"/>
          <w:b/>
          <w:bCs/>
          <w:color w:val="7F7F7F" w:themeColor="text1" w:themeTint="80"/>
          <w:sz w:val="16"/>
          <w:lang w:val="en-GB"/>
        </w:rPr>
        <w:t>Revenue growth rates and EBITDA margins</w:t>
      </w:r>
    </w:p>
    <w:p w14:paraId="5E06A4A6" w14:textId="77777777" w:rsidR="00353E69" w:rsidRPr="00501182" w:rsidRDefault="00353E69" w:rsidP="00BD4BF0">
      <w:pPr>
        <w:spacing w:line="240" w:lineRule="atLeast"/>
        <w:ind w:left="426"/>
        <w:rPr>
          <w:rFonts w:ascii="Tahoma" w:hAnsi="Tahoma"/>
          <w:color w:val="000000" w:themeColor="text1"/>
          <w:sz w:val="16"/>
          <w:lang w:val="en-GB"/>
        </w:rPr>
      </w:pPr>
      <w:r w:rsidRPr="00501182">
        <w:rPr>
          <w:rFonts w:ascii="Tahoma" w:hAnsi="Tahoma"/>
          <w:color w:val="000000" w:themeColor="text1"/>
          <w:sz w:val="16"/>
          <w:lang w:val="en-GB"/>
        </w:rPr>
        <w:t>Revenue growth rates and EBITDA margins are based on past experience and management’s future expectations of business performance.</w:t>
      </w:r>
    </w:p>
    <w:p w14:paraId="3FE7696B" w14:textId="77777777" w:rsidR="00353E69" w:rsidRPr="00501182" w:rsidRDefault="00353E69" w:rsidP="00353E69">
      <w:pPr>
        <w:spacing w:line="240" w:lineRule="atLeast"/>
        <w:ind w:left="426" w:hanging="426"/>
        <w:rPr>
          <w:rFonts w:ascii="Tahoma" w:hAnsi="Tahoma"/>
          <w:color w:val="000000" w:themeColor="text1"/>
          <w:sz w:val="16"/>
          <w:lang w:val="en-GB"/>
        </w:rPr>
      </w:pPr>
    </w:p>
    <w:p w14:paraId="2BC4040A" w14:textId="77777777" w:rsidR="00353E69" w:rsidRPr="00BD4BF0" w:rsidRDefault="00353E69" w:rsidP="00BD4BF0">
      <w:pPr>
        <w:spacing w:line="240" w:lineRule="atLeast"/>
        <w:ind w:left="426"/>
        <w:rPr>
          <w:rFonts w:ascii="Tahoma" w:hAnsi="Tahoma"/>
          <w:b/>
          <w:bCs/>
          <w:color w:val="7F7F7F" w:themeColor="text1" w:themeTint="80"/>
          <w:sz w:val="16"/>
          <w:lang w:val="en-GB"/>
        </w:rPr>
      </w:pPr>
      <w:r w:rsidRPr="00501182">
        <w:rPr>
          <w:rFonts w:ascii="Tahoma" w:hAnsi="Tahoma"/>
          <w:b/>
          <w:bCs/>
          <w:color w:val="7F7F7F" w:themeColor="text1" w:themeTint="80"/>
          <w:sz w:val="16"/>
          <w:lang w:val="en-GB"/>
        </w:rPr>
        <w:t>Long-term growth rate</w:t>
      </w:r>
    </w:p>
    <w:p w14:paraId="19DBC921" w14:textId="77777777" w:rsidR="00353E69" w:rsidRPr="00501182" w:rsidRDefault="00353E69" w:rsidP="00BD4BF0">
      <w:pPr>
        <w:spacing w:line="240" w:lineRule="atLeast"/>
        <w:ind w:left="426"/>
        <w:rPr>
          <w:rFonts w:ascii="Tahoma" w:hAnsi="Tahoma"/>
          <w:color w:val="000000" w:themeColor="text1"/>
          <w:sz w:val="16"/>
          <w:lang w:val="en-GB"/>
        </w:rPr>
      </w:pPr>
      <w:r w:rsidRPr="00501182">
        <w:rPr>
          <w:rFonts w:ascii="Tahoma" w:hAnsi="Tahoma"/>
          <w:color w:val="000000" w:themeColor="text1"/>
          <w:sz w:val="16"/>
          <w:lang w:val="en-GB"/>
        </w:rPr>
        <w:t>The long-term growth rate is based on expectations for inflation in the regions in which the business operates, the data is sourced from publicly available information. The long-term growth rate spread over a 10-year forecast period fell within the range of 2% to 5%.</w:t>
      </w:r>
    </w:p>
    <w:p w14:paraId="1FBFB422" w14:textId="77777777" w:rsidR="00353E69" w:rsidRPr="00501182" w:rsidRDefault="00353E69" w:rsidP="00353E69">
      <w:pPr>
        <w:spacing w:line="240" w:lineRule="atLeast"/>
        <w:ind w:left="426" w:hanging="426"/>
        <w:rPr>
          <w:rFonts w:ascii="Tahoma" w:hAnsi="Tahoma"/>
          <w:color w:val="000000" w:themeColor="text1"/>
          <w:sz w:val="16"/>
          <w:lang w:val="en-GB"/>
        </w:rPr>
      </w:pPr>
    </w:p>
    <w:p w14:paraId="186E3839" w14:textId="77777777" w:rsidR="00353E69" w:rsidRPr="00501182" w:rsidRDefault="00353E69" w:rsidP="00BD4BF0">
      <w:pPr>
        <w:spacing w:line="240" w:lineRule="atLeast"/>
        <w:ind w:left="426"/>
        <w:rPr>
          <w:rFonts w:ascii="Tahoma" w:hAnsi="Tahoma"/>
          <w:b/>
          <w:bCs/>
          <w:color w:val="7F7F7F" w:themeColor="text1" w:themeTint="80"/>
          <w:sz w:val="16"/>
          <w:lang w:val="en-GB"/>
        </w:rPr>
      </w:pPr>
      <w:r w:rsidRPr="00501182">
        <w:rPr>
          <w:rFonts w:ascii="Tahoma" w:hAnsi="Tahoma"/>
          <w:b/>
          <w:bCs/>
          <w:color w:val="7F7F7F" w:themeColor="text1" w:themeTint="80"/>
          <w:sz w:val="16"/>
          <w:lang w:val="en-GB"/>
        </w:rPr>
        <w:t>Discount rate</w:t>
      </w:r>
    </w:p>
    <w:p w14:paraId="576F9B34" w14:textId="77777777" w:rsidR="00353E69" w:rsidRPr="00501182" w:rsidRDefault="00353E69" w:rsidP="00BD4BF0">
      <w:pPr>
        <w:spacing w:line="240" w:lineRule="atLeast"/>
        <w:ind w:left="426"/>
        <w:rPr>
          <w:rFonts w:ascii="Tahoma" w:hAnsi="Tahoma"/>
          <w:color w:val="000000" w:themeColor="text1"/>
          <w:sz w:val="16"/>
          <w:lang w:val="en-GB"/>
        </w:rPr>
      </w:pPr>
      <w:r w:rsidRPr="00501182">
        <w:rPr>
          <w:rFonts w:ascii="Tahoma" w:hAnsi="Tahoma"/>
          <w:color w:val="000000" w:themeColor="text1"/>
          <w:sz w:val="16"/>
          <w:lang w:val="en-GB"/>
        </w:rPr>
        <w:t>The discount rate used is a weighted average cost of capital. The weighted average cost of capital takes into account the cost of equity and cost of debt. The cost of equity is based on a risk-free rate adjusted for specific risks such as a country risk and equity risk premium. The cost of debt is based on the pre-tax cost of debt adjusted with a sovereign spread premium net of tax. The weighted average cost of capital fell within the range of 10% to 19%.</w:t>
      </w:r>
    </w:p>
    <w:p w14:paraId="6FA1F214" w14:textId="77777777" w:rsidR="00353E69" w:rsidRPr="00501182" w:rsidRDefault="00353E69" w:rsidP="00353E69">
      <w:pPr>
        <w:spacing w:line="240" w:lineRule="atLeast"/>
        <w:ind w:left="426" w:hanging="426"/>
        <w:rPr>
          <w:rFonts w:ascii="Tahoma" w:hAnsi="Tahoma"/>
          <w:color w:val="000000" w:themeColor="text1"/>
          <w:sz w:val="16"/>
          <w:lang w:val="en-GB"/>
        </w:rPr>
      </w:pPr>
    </w:p>
    <w:p w14:paraId="32D0E174" w14:textId="77777777" w:rsidR="00353E69" w:rsidRPr="00501182" w:rsidRDefault="00353E69" w:rsidP="00A35A9B">
      <w:pPr>
        <w:spacing w:line="240" w:lineRule="atLeast"/>
        <w:ind w:left="426"/>
        <w:rPr>
          <w:rFonts w:ascii="Tahoma" w:hAnsi="Tahoma"/>
          <w:b/>
          <w:bCs/>
          <w:color w:val="7F7F7F" w:themeColor="text1" w:themeTint="80"/>
          <w:sz w:val="16"/>
          <w:lang w:val="en-GB"/>
        </w:rPr>
      </w:pPr>
      <w:r w:rsidRPr="00501182">
        <w:rPr>
          <w:rFonts w:ascii="Tahoma" w:hAnsi="Tahoma"/>
          <w:b/>
          <w:bCs/>
          <w:color w:val="7F7F7F" w:themeColor="text1" w:themeTint="80"/>
          <w:sz w:val="16"/>
          <w:lang w:val="en-GB"/>
        </w:rPr>
        <w:t>Terminal growth rate</w:t>
      </w:r>
    </w:p>
    <w:p w14:paraId="1265E01B" w14:textId="77777777" w:rsidR="00353E69" w:rsidRPr="00501182" w:rsidRDefault="00353E69" w:rsidP="00A35A9B">
      <w:pPr>
        <w:spacing w:line="240" w:lineRule="atLeast"/>
        <w:ind w:left="426"/>
        <w:rPr>
          <w:rFonts w:ascii="Tahoma" w:hAnsi="Tahoma"/>
          <w:color w:val="000000" w:themeColor="text1"/>
          <w:sz w:val="16"/>
          <w:lang w:val="en-GB"/>
        </w:rPr>
      </w:pPr>
      <w:r w:rsidRPr="00501182">
        <w:rPr>
          <w:rFonts w:ascii="Tahoma" w:hAnsi="Tahoma"/>
          <w:color w:val="000000" w:themeColor="text1"/>
          <w:sz w:val="16"/>
          <w:lang w:val="en-GB"/>
        </w:rPr>
        <w:t>The terminal growth rate considered the steady growth rates that would appropriately extrapolate cash flows beyond the forecast periods once the business segment has assumed to reach maturity. The terminal value assumes that free cash flow in the terminal period grows at the long-term growth rate and is then calculated using the Gordon Growth Model.</w:t>
      </w:r>
    </w:p>
    <w:p w14:paraId="695331CA" w14:textId="77777777" w:rsidR="00353E69" w:rsidRPr="00501182" w:rsidRDefault="00353E69" w:rsidP="00353E69">
      <w:pPr>
        <w:spacing w:line="240" w:lineRule="atLeast"/>
        <w:ind w:left="426" w:hanging="426"/>
        <w:rPr>
          <w:rFonts w:ascii="Tahoma" w:hAnsi="Tahoma"/>
          <w:color w:val="000000" w:themeColor="text1"/>
          <w:sz w:val="16"/>
          <w:lang w:val="en-GB"/>
        </w:rPr>
      </w:pPr>
    </w:p>
    <w:p w14:paraId="37AA0540" w14:textId="77777777" w:rsidR="00353E69" w:rsidRPr="00501182" w:rsidRDefault="00353E69" w:rsidP="00A35A9B">
      <w:pPr>
        <w:spacing w:line="240" w:lineRule="atLeast"/>
        <w:ind w:left="426"/>
        <w:rPr>
          <w:rFonts w:ascii="Tahoma" w:hAnsi="Tahoma"/>
          <w:color w:val="000000" w:themeColor="text1"/>
          <w:sz w:val="16"/>
          <w:lang w:val="en-GB"/>
        </w:rPr>
      </w:pPr>
      <w:r w:rsidRPr="00501182">
        <w:rPr>
          <w:rFonts w:ascii="Tahoma" w:hAnsi="Tahoma"/>
          <w:color w:val="000000" w:themeColor="text1"/>
          <w:sz w:val="16"/>
          <w:lang w:val="en-GB"/>
        </w:rPr>
        <w:t xml:space="preserve">A 1% increase in the discount rates would result in a decrease in the valuation of this investment by US$63.6m. </w:t>
      </w:r>
    </w:p>
    <w:p w14:paraId="10982D30" w14:textId="77777777" w:rsidR="00353E69" w:rsidRPr="00501182" w:rsidRDefault="00353E69" w:rsidP="00353E69">
      <w:pPr>
        <w:spacing w:line="240" w:lineRule="atLeast"/>
        <w:ind w:left="426" w:hanging="426"/>
        <w:rPr>
          <w:rFonts w:ascii="Tahoma" w:hAnsi="Tahoma"/>
          <w:color w:val="000000" w:themeColor="text1"/>
          <w:sz w:val="16"/>
          <w:lang w:val="en-GB"/>
        </w:rPr>
      </w:pPr>
    </w:p>
    <w:p w14:paraId="390A421C" w14:textId="77777777" w:rsidR="00353E69" w:rsidRPr="00501182" w:rsidRDefault="00353E69" w:rsidP="00A35A9B">
      <w:pPr>
        <w:spacing w:line="240" w:lineRule="atLeast"/>
        <w:ind w:left="426"/>
        <w:rPr>
          <w:rFonts w:ascii="Tahoma" w:hAnsi="Tahoma"/>
          <w:color w:val="000000" w:themeColor="text1"/>
          <w:sz w:val="16"/>
          <w:lang w:val="en-GB"/>
        </w:rPr>
      </w:pPr>
      <w:r w:rsidRPr="00501182">
        <w:rPr>
          <w:rFonts w:ascii="Tahoma" w:hAnsi="Tahoma"/>
          <w:color w:val="000000" w:themeColor="text1"/>
          <w:sz w:val="16"/>
          <w:lang w:val="en-GB"/>
        </w:rPr>
        <w:t xml:space="preserve">The fair value of the residual interest in the Naspers group was assessed based on the sum of the parts considering the fair value of the underlying components on a marketable and controlling basis, applying a consistent valuation model. The group further applied a marketability discount (45%) to arrive at the fair value of the residual interest on a non-marketable and non-controlling basis (unit of account). A marketability discount factors in the indirect interest in the residual assets as </w:t>
      </w:r>
      <w:proofErr w:type="spellStart"/>
      <w:r w:rsidRPr="00501182">
        <w:rPr>
          <w:rFonts w:ascii="Tahoma" w:hAnsi="Tahoma"/>
          <w:color w:val="000000" w:themeColor="text1"/>
          <w:sz w:val="16"/>
          <w:lang w:val="en-GB"/>
        </w:rPr>
        <w:t>Prosus</w:t>
      </w:r>
      <w:proofErr w:type="spellEnd"/>
      <w:r w:rsidRPr="00501182">
        <w:rPr>
          <w:rFonts w:ascii="Tahoma" w:hAnsi="Tahoma"/>
          <w:color w:val="000000" w:themeColor="text1"/>
          <w:sz w:val="16"/>
          <w:lang w:val="en-GB"/>
        </w:rPr>
        <w:t xml:space="preserve"> cannot directly or indirectly dispose of any Naspers shares without Naspers’s approval, and cannot direct the activities or decide on the distributions (be it dividends or the actual shares) from the residual interest in Naspers to its shareholders. A movement in the marketability discount rate of 1% will result in an increase or decrease of US$4m.</w:t>
      </w:r>
    </w:p>
    <w:p w14:paraId="59970470" w14:textId="77777777" w:rsidR="00353E69" w:rsidRPr="00501182" w:rsidRDefault="00353E69" w:rsidP="00353E69">
      <w:pPr>
        <w:spacing w:line="240" w:lineRule="atLeast"/>
        <w:ind w:left="426" w:hanging="426"/>
        <w:rPr>
          <w:rFonts w:ascii="Tahoma" w:hAnsi="Tahoma"/>
          <w:color w:val="000000" w:themeColor="text1"/>
          <w:sz w:val="16"/>
          <w:lang w:val="en-GB"/>
        </w:rPr>
      </w:pPr>
    </w:p>
    <w:p w14:paraId="1192157B" w14:textId="77777777" w:rsidR="00353E69" w:rsidRPr="00501182" w:rsidRDefault="00353E69" w:rsidP="00675752">
      <w:pPr>
        <w:spacing w:line="240" w:lineRule="atLeast"/>
        <w:ind w:left="426"/>
        <w:rPr>
          <w:rFonts w:ascii="Tahoma" w:hAnsi="Tahoma"/>
          <w:color w:val="000000" w:themeColor="text1"/>
          <w:sz w:val="16"/>
          <w:lang w:val="en-GB"/>
        </w:rPr>
      </w:pPr>
      <w:r w:rsidRPr="00501182">
        <w:rPr>
          <w:rFonts w:ascii="Tahoma" w:hAnsi="Tahoma"/>
          <w:color w:val="000000" w:themeColor="text1"/>
          <w:sz w:val="16"/>
          <w:lang w:val="en-GB"/>
        </w:rPr>
        <w:t>Derivatives contained in lease agreements – relate to foreign currency forwards embedded in lease contracts. The fair value of the derivatives is based on forward foreign exchange rates that have a maturity similar to the lease contracts and the contractually specified lease payments.</w:t>
      </w:r>
    </w:p>
    <w:p w14:paraId="2C4ECC87" w14:textId="77777777" w:rsidR="00353E69" w:rsidRPr="00501182" w:rsidRDefault="00353E69" w:rsidP="00353E69">
      <w:pPr>
        <w:spacing w:line="240" w:lineRule="atLeast"/>
        <w:ind w:left="426" w:hanging="426"/>
        <w:rPr>
          <w:rFonts w:ascii="Tahoma" w:hAnsi="Tahoma"/>
          <w:color w:val="000000" w:themeColor="text1"/>
          <w:sz w:val="16"/>
          <w:lang w:val="en-GB"/>
        </w:rPr>
      </w:pPr>
    </w:p>
    <w:p w14:paraId="66091D66" w14:textId="77777777" w:rsidR="00353E69" w:rsidRPr="00501182" w:rsidRDefault="00353E69" w:rsidP="00675752">
      <w:pPr>
        <w:spacing w:line="240" w:lineRule="atLeast"/>
        <w:ind w:left="426"/>
        <w:rPr>
          <w:rFonts w:ascii="Tahoma" w:hAnsi="Tahoma"/>
          <w:color w:val="000000" w:themeColor="text1"/>
          <w:sz w:val="16"/>
          <w:lang w:val="en-GB"/>
        </w:rPr>
      </w:pPr>
      <w:r w:rsidRPr="00501182">
        <w:rPr>
          <w:rFonts w:ascii="Tahoma" w:hAnsi="Tahoma"/>
          <w:color w:val="000000" w:themeColor="text1"/>
          <w:sz w:val="16"/>
          <w:lang w:val="en-GB"/>
        </w:rPr>
        <w:t>Earn-out obligations – relate to amounts that are payable to the former owners of businesses now controlled by the group, provided that contractually stipulated post-combination performance criteria are met. These are remeasured to fair value at the end of each reporting period. Key inputs used in measuring fair value include: current forecasts of the extent to which management believes performance criteria will be met, discount rates reflecting the time value of money and contractually specified earn-out payments.</w:t>
      </w:r>
    </w:p>
    <w:p w14:paraId="06B9C167" w14:textId="77777777" w:rsidR="00B40B56" w:rsidRDefault="00B40B56">
      <w:pPr>
        <w:rPr>
          <w:rFonts w:ascii="Tahoma" w:hAnsi="Tahoma"/>
          <w:color w:val="000000" w:themeColor="text1"/>
          <w:sz w:val="16"/>
        </w:rPr>
      </w:pPr>
      <w:r>
        <w:rPr>
          <w:rFonts w:ascii="Tahoma" w:hAnsi="Tahoma"/>
          <w:color w:val="000000" w:themeColor="text1"/>
          <w:sz w:val="16"/>
        </w:rPr>
        <w:br w:type="page"/>
      </w:r>
    </w:p>
    <w:p w14:paraId="1F3D3CC0" w14:textId="77777777" w:rsidR="00501182" w:rsidRPr="00615190" w:rsidRDefault="00501182" w:rsidP="00353E69">
      <w:pPr>
        <w:spacing w:line="240" w:lineRule="atLeast"/>
        <w:ind w:firstLine="426"/>
        <w:rPr>
          <w:rFonts w:ascii="Tahoma" w:hAnsi="Tahoma"/>
          <w:color w:val="000000" w:themeColor="text1"/>
          <w:sz w:val="16"/>
        </w:rPr>
      </w:pPr>
    </w:p>
    <w:tbl>
      <w:tblPr>
        <w:tblW w:w="10206" w:type="dxa"/>
        <w:tblInd w:w="-8" w:type="dxa"/>
        <w:tblLayout w:type="fixed"/>
        <w:tblCellMar>
          <w:left w:w="0" w:type="dxa"/>
          <w:right w:w="0" w:type="dxa"/>
        </w:tblCellMar>
        <w:tblLook w:val="0000" w:firstRow="0" w:lastRow="0" w:firstColumn="0" w:lastColumn="0" w:noHBand="0" w:noVBand="0"/>
      </w:tblPr>
      <w:tblGrid>
        <w:gridCol w:w="397"/>
        <w:gridCol w:w="4565"/>
        <w:gridCol w:w="1283"/>
        <w:gridCol w:w="1268"/>
        <w:gridCol w:w="1418"/>
        <w:gridCol w:w="1275"/>
      </w:tblGrid>
      <w:tr w:rsidR="00E425CB" w:rsidRPr="00080694" w14:paraId="27843A8F" w14:textId="77777777" w:rsidTr="00F96150">
        <w:trPr>
          <w:trHeight w:val="60"/>
        </w:trPr>
        <w:tc>
          <w:tcPr>
            <w:tcW w:w="397" w:type="dxa"/>
            <w:shd w:val="clear" w:color="auto" w:fill="auto"/>
            <w:tcMar>
              <w:top w:w="0" w:type="dxa"/>
              <w:left w:w="0" w:type="dxa"/>
              <w:bottom w:w="57" w:type="dxa"/>
              <w:right w:w="0" w:type="dxa"/>
            </w:tcMar>
            <w:vAlign w:val="bottom"/>
          </w:tcPr>
          <w:p w14:paraId="0B504B4C" w14:textId="77777777" w:rsidR="00E425CB" w:rsidRPr="000A72B1" w:rsidRDefault="00E425CB" w:rsidP="0098732C">
            <w:pPr>
              <w:contextualSpacing/>
              <w:rPr>
                <w:rFonts w:ascii="Tahoma" w:hAnsi="Tahoma"/>
                <w:b/>
                <w:bCs/>
                <w:color w:val="000000" w:themeColor="text1"/>
                <w:sz w:val="16"/>
                <w:lang w:val="en-GB"/>
              </w:rPr>
            </w:pPr>
            <w:r w:rsidRPr="0056228C">
              <w:rPr>
                <w:rFonts w:ascii="Tahoma" w:hAnsi="Tahoma"/>
                <w:b/>
                <w:bCs/>
                <w:color w:val="000000" w:themeColor="text1"/>
                <w:sz w:val="16"/>
                <w:lang w:val="en-GB"/>
              </w:rPr>
              <w:t>17.</w:t>
            </w:r>
          </w:p>
        </w:tc>
        <w:tc>
          <w:tcPr>
            <w:tcW w:w="9809" w:type="dxa"/>
            <w:gridSpan w:val="5"/>
            <w:shd w:val="clear" w:color="auto" w:fill="auto"/>
            <w:tcMar>
              <w:top w:w="0" w:type="dxa"/>
              <w:left w:w="0" w:type="dxa"/>
              <w:bottom w:w="57" w:type="dxa"/>
              <w:right w:w="0" w:type="dxa"/>
            </w:tcMar>
            <w:vAlign w:val="bottom"/>
          </w:tcPr>
          <w:p w14:paraId="22656945" w14:textId="77777777" w:rsidR="00E425CB" w:rsidRPr="000A72B1" w:rsidRDefault="00E425CB" w:rsidP="0098732C">
            <w:pPr>
              <w:contextualSpacing/>
              <w:rPr>
                <w:rFonts w:ascii="Tahoma" w:hAnsi="Tahoma"/>
                <w:b/>
                <w:bCs/>
                <w:color w:val="000000" w:themeColor="text1"/>
                <w:sz w:val="16"/>
                <w:lang w:val="en-GB"/>
              </w:rPr>
            </w:pPr>
            <w:r w:rsidRPr="0056228C">
              <w:rPr>
                <w:rFonts w:ascii="Tahoma" w:hAnsi="Tahoma"/>
                <w:b/>
                <w:bCs/>
                <w:color w:val="000000" w:themeColor="text1"/>
                <w:sz w:val="16"/>
                <w:lang w:val="en-GB"/>
              </w:rPr>
              <w:t>FINANCIAL INSTRUMENTS (continued)</w:t>
            </w:r>
          </w:p>
        </w:tc>
      </w:tr>
      <w:tr w:rsidR="00615190" w:rsidRPr="00080694" w14:paraId="7949CF1E" w14:textId="77777777" w:rsidTr="00F96150">
        <w:trPr>
          <w:trHeight w:val="60"/>
        </w:trPr>
        <w:tc>
          <w:tcPr>
            <w:tcW w:w="397" w:type="dxa"/>
            <w:shd w:val="clear" w:color="auto" w:fill="auto"/>
            <w:tcMar>
              <w:top w:w="57" w:type="dxa"/>
              <w:left w:w="0" w:type="dxa"/>
              <w:bottom w:w="57" w:type="dxa"/>
              <w:right w:w="0" w:type="dxa"/>
            </w:tcMar>
            <w:vAlign w:val="bottom"/>
          </w:tcPr>
          <w:p w14:paraId="16C74629" w14:textId="77777777" w:rsidR="00080694" w:rsidRPr="00080694" w:rsidRDefault="00080694" w:rsidP="0098732C">
            <w:pPr>
              <w:contextualSpacing/>
              <w:rPr>
                <w:rFonts w:ascii="Tahoma" w:hAnsi="Tahoma"/>
                <w:color w:val="000000" w:themeColor="text1"/>
                <w:sz w:val="16"/>
                <w:lang w:val="en-GB"/>
              </w:rPr>
            </w:pPr>
          </w:p>
        </w:tc>
        <w:tc>
          <w:tcPr>
            <w:tcW w:w="9809" w:type="dxa"/>
            <w:gridSpan w:val="5"/>
            <w:shd w:val="clear" w:color="auto" w:fill="auto"/>
            <w:tcMar>
              <w:top w:w="57" w:type="dxa"/>
              <w:left w:w="0" w:type="dxa"/>
              <w:bottom w:w="57" w:type="dxa"/>
              <w:right w:w="0" w:type="dxa"/>
            </w:tcMar>
            <w:vAlign w:val="bottom"/>
          </w:tcPr>
          <w:p w14:paraId="75DB4DEF" w14:textId="77777777" w:rsidR="00080694" w:rsidRPr="00080694" w:rsidRDefault="00080694" w:rsidP="0098732C">
            <w:pPr>
              <w:contextualSpacing/>
              <w:rPr>
                <w:rFonts w:ascii="Tahoma" w:hAnsi="Tahoma"/>
                <w:b/>
                <w:bCs/>
                <w:color w:val="000000" w:themeColor="text1"/>
                <w:sz w:val="16"/>
                <w:lang w:val="en-GB"/>
              </w:rPr>
            </w:pPr>
            <w:r w:rsidRPr="00080694">
              <w:rPr>
                <w:rFonts w:ascii="Tahoma" w:hAnsi="Tahoma"/>
                <w:b/>
                <w:bCs/>
                <w:color w:val="000000" w:themeColor="text1"/>
                <w:sz w:val="16"/>
                <w:lang w:val="en-GB"/>
              </w:rPr>
              <w:t>Level 3 fair-value measurements (continued)</w:t>
            </w:r>
          </w:p>
        </w:tc>
      </w:tr>
      <w:tr w:rsidR="00615190" w:rsidRPr="00080694" w14:paraId="00C73D4A" w14:textId="77777777" w:rsidTr="00F96150">
        <w:trPr>
          <w:trHeight w:val="60"/>
        </w:trPr>
        <w:tc>
          <w:tcPr>
            <w:tcW w:w="397" w:type="dxa"/>
            <w:shd w:val="clear" w:color="auto" w:fill="auto"/>
            <w:tcMar>
              <w:top w:w="57" w:type="dxa"/>
              <w:left w:w="0" w:type="dxa"/>
              <w:bottom w:w="113" w:type="dxa"/>
              <w:right w:w="0" w:type="dxa"/>
            </w:tcMar>
            <w:vAlign w:val="bottom"/>
          </w:tcPr>
          <w:p w14:paraId="1F9BB77F" w14:textId="77777777" w:rsidR="00080694" w:rsidRPr="00080694" w:rsidRDefault="00080694" w:rsidP="0098732C">
            <w:pPr>
              <w:contextualSpacing/>
              <w:rPr>
                <w:rFonts w:ascii="Tahoma" w:hAnsi="Tahoma"/>
                <w:color w:val="000000" w:themeColor="text1"/>
                <w:sz w:val="16"/>
                <w:lang w:val="en-GB"/>
              </w:rPr>
            </w:pPr>
          </w:p>
        </w:tc>
        <w:tc>
          <w:tcPr>
            <w:tcW w:w="9809" w:type="dxa"/>
            <w:gridSpan w:val="5"/>
            <w:shd w:val="clear" w:color="auto" w:fill="auto"/>
            <w:tcMar>
              <w:top w:w="57" w:type="dxa"/>
              <w:left w:w="0" w:type="dxa"/>
              <w:bottom w:w="113" w:type="dxa"/>
              <w:right w:w="0" w:type="dxa"/>
            </w:tcMar>
            <w:vAlign w:val="bottom"/>
          </w:tcPr>
          <w:p w14:paraId="33DB57E2" w14:textId="77777777" w:rsidR="00080694" w:rsidRPr="00080694" w:rsidRDefault="00080694" w:rsidP="0098732C">
            <w:pPr>
              <w:contextualSpacing/>
              <w:rPr>
                <w:rFonts w:ascii="Tahoma" w:hAnsi="Tahoma"/>
                <w:color w:val="000000" w:themeColor="text1"/>
                <w:sz w:val="16"/>
                <w:lang w:val="en-GB"/>
              </w:rPr>
            </w:pPr>
            <w:r w:rsidRPr="00080694">
              <w:rPr>
                <w:rFonts w:ascii="Tahoma" w:hAnsi="Tahoma"/>
                <w:color w:val="000000" w:themeColor="text1"/>
                <w:sz w:val="16"/>
                <w:lang w:val="en-GB"/>
              </w:rPr>
              <w:t>The following table shows a reconciliation of the group’s level 3 financial instruments:</w:t>
            </w:r>
          </w:p>
        </w:tc>
      </w:tr>
      <w:tr w:rsidR="00615190" w:rsidRPr="00080694" w14:paraId="6A3586E5" w14:textId="77777777" w:rsidTr="00FC65B4">
        <w:trPr>
          <w:trHeight w:val="60"/>
        </w:trPr>
        <w:tc>
          <w:tcPr>
            <w:tcW w:w="397" w:type="dxa"/>
            <w:shd w:val="clear" w:color="auto" w:fill="auto"/>
            <w:tcMar>
              <w:top w:w="85" w:type="dxa"/>
              <w:left w:w="0" w:type="dxa"/>
              <w:bottom w:w="85" w:type="dxa"/>
              <w:right w:w="0" w:type="dxa"/>
            </w:tcMar>
            <w:vAlign w:val="bottom"/>
          </w:tcPr>
          <w:p w14:paraId="7686FE98" w14:textId="77777777" w:rsidR="00080694" w:rsidRPr="00080694" w:rsidRDefault="00080694" w:rsidP="0098732C">
            <w:pPr>
              <w:contextualSpacing/>
              <w:rPr>
                <w:rFonts w:ascii="Tahoma" w:hAnsi="Tahoma"/>
                <w:color w:val="000000" w:themeColor="text1"/>
                <w:sz w:val="16"/>
                <w:lang w:val="en-GB"/>
              </w:rPr>
            </w:pPr>
          </w:p>
        </w:tc>
        <w:tc>
          <w:tcPr>
            <w:tcW w:w="4565" w:type="dxa"/>
            <w:shd w:val="clear" w:color="auto" w:fill="auto"/>
            <w:tcMar>
              <w:top w:w="85" w:type="dxa"/>
              <w:left w:w="0" w:type="dxa"/>
              <w:bottom w:w="85" w:type="dxa"/>
              <w:right w:w="0" w:type="dxa"/>
            </w:tcMar>
            <w:vAlign w:val="bottom"/>
          </w:tcPr>
          <w:p w14:paraId="33E20EB2" w14:textId="77777777" w:rsidR="00080694" w:rsidRPr="00080694" w:rsidRDefault="00080694" w:rsidP="0098732C">
            <w:pPr>
              <w:contextualSpacing/>
              <w:rPr>
                <w:rFonts w:ascii="Tahoma" w:hAnsi="Tahoma"/>
                <w:color w:val="000000" w:themeColor="text1"/>
                <w:sz w:val="16"/>
                <w:lang w:val="en-GB"/>
              </w:rPr>
            </w:pPr>
          </w:p>
        </w:tc>
        <w:tc>
          <w:tcPr>
            <w:tcW w:w="5244" w:type="dxa"/>
            <w:gridSpan w:val="4"/>
            <w:shd w:val="clear" w:color="auto" w:fill="auto"/>
            <w:tcMar>
              <w:top w:w="85" w:type="dxa"/>
              <w:left w:w="0" w:type="dxa"/>
              <w:bottom w:w="85" w:type="dxa"/>
              <w:right w:w="0" w:type="dxa"/>
            </w:tcMar>
            <w:vAlign w:val="bottom"/>
          </w:tcPr>
          <w:p w14:paraId="025AA340" w14:textId="77777777" w:rsidR="00080694" w:rsidRPr="00080694" w:rsidRDefault="00080694" w:rsidP="0098732C">
            <w:pPr>
              <w:contextualSpacing/>
              <w:jc w:val="center"/>
              <w:rPr>
                <w:rFonts w:ascii="Tahoma" w:hAnsi="Tahoma"/>
                <w:b/>
                <w:bCs/>
                <w:color w:val="000000" w:themeColor="text1"/>
                <w:sz w:val="16"/>
                <w:lang w:val="en-GB"/>
              </w:rPr>
            </w:pPr>
            <w:r w:rsidRPr="00080694">
              <w:rPr>
                <w:rFonts w:ascii="Tahoma" w:hAnsi="Tahoma"/>
                <w:b/>
                <w:bCs/>
                <w:color w:val="000000" w:themeColor="text1"/>
                <w:sz w:val="16"/>
                <w:lang w:val="en-GB"/>
              </w:rPr>
              <w:t>30 September 2022</w:t>
            </w:r>
          </w:p>
        </w:tc>
      </w:tr>
      <w:tr w:rsidR="00615190" w:rsidRPr="00080694" w14:paraId="06A6AB20" w14:textId="77777777" w:rsidTr="002F078E">
        <w:trPr>
          <w:trHeight w:val="60"/>
        </w:trPr>
        <w:tc>
          <w:tcPr>
            <w:tcW w:w="397" w:type="dxa"/>
            <w:shd w:val="clear" w:color="auto" w:fill="auto"/>
            <w:tcMar>
              <w:top w:w="113" w:type="dxa"/>
              <w:left w:w="0" w:type="dxa"/>
              <w:bottom w:w="113" w:type="dxa"/>
              <w:right w:w="0" w:type="dxa"/>
            </w:tcMar>
            <w:vAlign w:val="bottom"/>
          </w:tcPr>
          <w:p w14:paraId="2284E553" w14:textId="77777777" w:rsidR="00080694" w:rsidRPr="00080694" w:rsidRDefault="00080694" w:rsidP="0098732C">
            <w:pPr>
              <w:contextualSpacing/>
              <w:rPr>
                <w:rFonts w:ascii="Tahoma" w:hAnsi="Tahoma"/>
                <w:color w:val="000000" w:themeColor="text1"/>
                <w:sz w:val="16"/>
                <w:lang w:val="en-GB"/>
              </w:rPr>
            </w:pPr>
          </w:p>
        </w:tc>
        <w:tc>
          <w:tcPr>
            <w:tcW w:w="4565" w:type="dxa"/>
            <w:tcBorders>
              <w:bottom w:val="single" w:sz="12" w:space="0" w:color="auto"/>
            </w:tcBorders>
            <w:shd w:val="clear" w:color="auto" w:fill="auto"/>
            <w:tcMar>
              <w:top w:w="113" w:type="dxa"/>
              <w:left w:w="0" w:type="dxa"/>
              <w:bottom w:w="113" w:type="dxa"/>
              <w:right w:w="0" w:type="dxa"/>
            </w:tcMar>
            <w:vAlign w:val="bottom"/>
          </w:tcPr>
          <w:p w14:paraId="5F5E5B5F" w14:textId="77777777" w:rsidR="00080694" w:rsidRPr="00080694" w:rsidRDefault="00080694" w:rsidP="0098732C">
            <w:pPr>
              <w:contextualSpacing/>
              <w:rPr>
                <w:rFonts w:ascii="Tahoma" w:hAnsi="Tahoma"/>
                <w:color w:val="000000" w:themeColor="text1"/>
                <w:sz w:val="16"/>
                <w:lang w:val="en-GB"/>
              </w:rPr>
            </w:pPr>
          </w:p>
        </w:tc>
        <w:tc>
          <w:tcPr>
            <w:tcW w:w="1283" w:type="dxa"/>
            <w:tcBorders>
              <w:bottom w:val="single" w:sz="12" w:space="0" w:color="auto"/>
            </w:tcBorders>
            <w:shd w:val="clear" w:color="auto" w:fill="auto"/>
            <w:tcMar>
              <w:top w:w="113" w:type="dxa"/>
              <w:left w:w="0" w:type="dxa"/>
              <w:bottom w:w="113" w:type="dxa"/>
              <w:right w:w="0" w:type="dxa"/>
            </w:tcMar>
            <w:vAlign w:val="bottom"/>
          </w:tcPr>
          <w:p w14:paraId="41E42A85" w14:textId="77777777" w:rsidR="00080694" w:rsidRPr="00080694" w:rsidRDefault="00080694" w:rsidP="0098732C">
            <w:pPr>
              <w:contextualSpacing/>
              <w:jc w:val="right"/>
              <w:rPr>
                <w:rFonts w:ascii="Tahoma" w:hAnsi="Tahoma"/>
                <w:b/>
                <w:bCs/>
                <w:color w:val="000000" w:themeColor="text1"/>
                <w:sz w:val="16"/>
                <w:lang w:val="en-GB"/>
              </w:rPr>
            </w:pPr>
            <w:r w:rsidRPr="00080694">
              <w:rPr>
                <w:rFonts w:ascii="Tahoma" w:hAnsi="Tahoma"/>
                <w:b/>
                <w:bCs/>
                <w:color w:val="000000" w:themeColor="text1"/>
                <w:sz w:val="16"/>
                <w:lang w:val="en-GB"/>
              </w:rPr>
              <w:t xml:space="preserve">Financial </w:t>
            </w:r>
          </w:p>
          <w:p w14:paraId="69401671" w14:textId="77777777" w:rsidR="00080694" w:rsidRPr="00080694" w:rsidRDefault="00080694" w:rsidP="0098732C">
            <w:pPr>
              <w:contextualSpacing/>
              <w:jc w:val="right"/>
              <w:rPr>
                <w:rFonts w:ascii="Tahoma" w:hAnsi="Tahoma"/>
                <w:b/>
                <w:bCs/>
                <w:color w:val="000000" w:themeColor="text1"/>
                <w:sz w:val="16"/>
                <w:lang w:val="en-GB"/>
              </w:rPr>
            </w:pPr>
            <w:r w:rsidRPr="00080694">
              <w:rPr>
                <w:rFonts w:ascii="Tahoma" w:hAnsi="Tahoma"/>
                <w:b/>
                <w:bCs/>
                <w:color w:val="000000" w:themeColor="text1"/>
                <w:sz w:val="16"/>
                <w:lang w:val="en-GB"/>
              </w:rPr>
              <w:t xml:space="preserve">assets at </w:t>
            </w:r>
          </w:p>
          <w:p w14:paraId="5AA9DCFE" w14:textId="77777777" w:rsidR="00080694" w:rsidRPr="00080694" w:rsidRDefault="00080694" w:rsidP="0098732C">
            <w:pPr>
              <w:contextualSpacing/>
              <w:jc w:val="right"/>
              <w:rPr>
                <w:rFonts w:ascii="Tahoma" w:hAnsi="Tahoma"/>
                <w:b/>
                <w:bCs/>
                <w:color w:val="000000" w:themeColor="text1"/>
                <w:sz w:val="16"/>
                <w:lang w:val="en-GB"/>
              </w:rPr>
            </w:pPr>
            <w:r w:rsidRPr="00080694">
              <w:rPr>
                <w:rFonts w:ascii="Tahoma" w:hAnsi="Tahoma"/>
                <w:b/>
                <w:bCs/>
                <w:color w:val="000000" w:themeColor="text1"/>
                <w:sz w:val="16"/>
                <w:lang w:val="en-GB"/>
              </w:rPr>
              <w:t>FVOCI</w:t>
            </w:r>
            <w:r w:rsidRPr="002F078E">
              <w:rPr>
                <w:rFonts w:ascii="Tahoma" w:hAnsi="Tahoma"/>
                <w:b/>
                <w:bCs/>
                <w:color w:val="000000" w:themeColor="text1"/>
                <w:sz w:val="16"/>
                <w:vertAlign w:val="superscript"/>
                <w:lang w:val="en-GB"/>
              </w:rPr>
              <w:t>1</w:t>
            </w:r>
          </w:p>
          <w:p w14:paraId="418FE459" w14:textId="77777777" w:rsidR="00080694" w:rsidRPr="00080694" w:rsidRDefault="00080694" w:rsidP="0098732C">
            <w:pPr>
              <w:contextualSpacing/>
              <w:jc w:val="right"/>
              <w:rPr>
                <w:rFonts w:ascii="Tahoma" w:hAnsi="Tahoma"/>
                <w:b/>
                <w:bCs/>
                <w:color w:val="000000" w:themeColor="text1"/>
                <w:sz w:val="16"/>
                <w:lang w:val="en-GB"/>
              </w:rPr>
            </w:pPr>
            <w:proofErr w:type="spellStart"/>
            <w:r w:rsidRPr="00080694">
              <w:rPr>
                <w:rFonts w:ascii="Tahoma" w:hAnsi="Tahoma"/>
                <w:b/>
                <w:bCs/>
                <w:color w:val="000000" w:themeColor="text1"/>
                <w:sz w:val="16"/>
                <w:lang w:val="en-GB"/>
              </w:rPr>
              <w:t>US$’m</w:t>
            </w:r>
            <w:proofErr w:type="spellEnd"/>
          </w:p>
        </w:tc>
        <w:tc>
          <w:tcPr>
            <w:tcW w:w="1268" w:type="dxa"/>
            <w:tcBorders>
              <w:bottom w:val="single" w:sz="12" w:space="0" w:color="auto"/>
            </w:tcBorders>
            <w:shd w:val="clear" w:color="auto" w:fill="auto"/>
            <w:tcMar>
              <w:top w:w="113" w:type="dxa"/>
              <w:left w:w="0" w:type="dxa"/>
              <w:bottom w:w="113" w:type="dxa"/>
              <w:right w:w="0" w:type="dxa"/>
            </w:tcMar>
            <w:vAlign w:val="bottom"/>
          </w:tcPr>
          <w:p w14:paraId="48380FA3" w14:textId="77777777" w:rsidR="00080694" w:rsidRPr="00080694" w:rsidRDefault="00080694" w:rsidP="0098732C">
            <w:pPr>
              <w:contextualSpacing/>
              <w:jc w:val="right"/>
              <w:rPr>
                <w:rFonts w:ascii="Tahoma" w:hAnsi="Tahoma"/>
                <w:b/>
                <w:bCs/>
                <w:color w:val="000000" w:themeColor="text1"/>
                <w:sz w:val="16"/>
                <w:lang w:val="en-GB"/>
              </w:rPr>
            </w:pPr>
            <w:r w:rsidRPr="00080694">
              <w:rPr>
                <w:rFonts w:ascii="Tahoma" w:hAnsi="Tahoma"/>
                <w:b/>
                <w:bCs/>
                <w:color w:val="000000" w:themeColor="text1"/>
                <w:sz w:val="16"/>
                <w:lang w:val="en-GB"/>
              </w:rPr>
              <w:t>Financial</w:t>
            </w:r>
          </w:p>
          <w:p w14:paraId="29BCA9DF" w14:textId="77777777" w:rsidR="00080694" w:rsidRPr="00080694" w:rsidRDefault="00080694" w:rsidP="0098732C">
            <w:pPr>
              <w:contextualSpacing/>
              <w:jc w:val="right"/>
              <w:rPr>
                <w:rFonts w:ascii="Tahoma" w:hAnsi="Tahoma"/>
                <w:b/>
                <w:bCs/>
                <w:color w:val="000000" w:themeColor="text1"/>
                <w:sz w:val="16"/>
                <w:lang w:val="en-GB"/>
              </w:rPr>
            </w:pPr>
            <w:r w:rsidRPr="00080694">
              <w:rPr>
                <w:rFonts w:ascii="Tahoma" w:hAnsi="Tahoma"/>
                <w:b/>
                <w:bCs/>
                <w:color w:val="000000" w:themeColor="text1"/>
                <w:sz w:val="16"/>
                <w:lang w:val="en-GB"/>
              </w:rPr>
              <w:t>assets at</w:t>
            </w:r>
          </w:p>
          <w:p w14:paraId="45CD98B1" w14:textId="77777777" w:rsidR="00080694" w:rsidRPr="00080694" w:rsidRDefault="00080694" w:rsidP="0098732C">
            <w:pPr>
              <w:contextualSpacing/>
              <w:jc w:val="right"/>
              <w:rPr>
                <w:rFonts w:ascii="Tahoma" w:hAnsi="Tahoma"/>
                <w:b/>
                <w:bCs/>
                <w:color w:val="000000" w:themeColor="text1"/>
                <w:sz w:val="16"/>
                <w:lang w:val="en-GB"/>
              </w:rPr>
            </w:pPr>
            <w:r w:rsidRPr="00080694">
              <w:rPr>
                <w:rFonts w:ascii="Tahoma" w:hAnsi="Tahoma"/>
                <w:b/>
                <w:bCs/>
                <w:color w:val="000000" w:themeColor="text1"/>
                <w:sz w:val="16"/>
                <w:lang w:val="en-GB"/>
              </w:rPr>
              <w:t>FVPL</w:t>
            </w:r>
            <w:r w:rsidRPr="002F078E">
              <w:rPr>
                <w:rFonts w:ascii="Tahoma" w:hAnsi="Tahoma"/>
                <w:b/>
                <w:bCs/>
                <w:color w:val="000000" w:themeColor="text1"/>
                <w:sz w:val="16"/>
                <w:vertAlign w:val="superscript"/>
                <w:lang w:val="en-GB"/>
              </w:rPr>
              <w:t>2</w:t>
            </w:r>
          </w:p>
          <w:p w14:paraId="7B679F7B" w14:textId="77777777" w:rsidR="00080694" w:rsidRPr="00080694" w:rsidRDefault="00080694" w:rsidP="0098732C">
            <w:pPr>
              <w:contextualSpacing/>
              <w:jc w:val="right"/>
              <w:rPr>
                <w:rFonts w:ascii="Tahoma" w:hAnsi="Tahoma"/>
                <w:b/>
                <w:bCs/>
                <w:color w:val="000000" w:themeColor="text1"/>
                <w:sz w:val="16"/>
                <w:lang w:val="en-GB"/>
              </w:rPr>
            </w:pPr>
            <w:proofErr w:type="spellStart"/>
            <w:r w:rsidRPr="00080694">
              <w:rPr>
                <w:rFonts w:ascii="Tahoma" w:hAnsi="Tahoma"/>
                <w:b/>
                <w:bCs/>
                <w:color w:val="000000" w:themeColor="text1"/>
                <w:sz w:val="16"/>
                <w:lang w:val="en-GB"/>
              </w:rPr>
              <w:t>US$’m</w:t>
            </w:r>
            <w:proofErr w:type="spellEnd"/>
          </w:p>
        </w:tc>
        <w:tc>
          <w:tcPr>
            <w:tcW w:w="1418" w:type="dxa"/>
            <w:tcBorders>
              <w:bottom w:val="single" w:sz="12" w:space="0" w:color="auto"/>
            </w:tcBorders>
            <w:shd w:val="clear" w:color="auto" w:fill="auto"/>
            <w:tcMar>
              <w:top w:w="113" w:type="dxa"/>
              <w:left w:w="0" w:type="dxa"/>
              <w:bottom w:w="113" w:type="dxa"/>
              <w:right w:w="0" w:type="dxa"/>
            </w:tcMar>
            <w:vAlign w:val="bottom"/>
          </w:tcPr>
          <w:p w14:paraId="515E2213" w14:textId="77777777" w:rsidR="00080694" w:rsidRPr="00080694" w:rsidRDefault="00080694" w:rsidP="0098732C">
            <w:pPr>
              <w:contextualSpacing/>
              <w:jc w:val="right"/>
              <w:rPr>
                <w:rFonts w:ascii="Tahoma" w:hAnsi="Tahoma"/>
                <w:b/>
                <w:bCs/>
                <w:color w:val="000000" w:themeColor="text1"/>
                <w:sz w:val="16"/>
                <w:lang w:val="en-GB"/>
              </w:rPr>
            </w:pPr>
            <w:r w:rsidRPr="00080694">
              <w:rPr>
                <w:rFonts w:ascii="Tahoma" w:hAnsi="Tahoma"/>
                <w:b/>
                <w:bCs/>
                <w:color w:val="000000" w:themeColor="text1"/>
                <w:sz w:val="16"/>
                <w:lang w:val="en-GB"/>
              </w:rPr>
              <w:t>Earn-out</w:t>
            </w:r>
          </w:p>
          <w:p w14:paraId="234E1E6D" w14:textId="77777777" w:rsidR="00080694" w:rsidRPr="00080694" w:rsidRDefault="00080694" w:rsidP="0098732C">
            <w:pPr>
              <w:contextualSpacing/>
              <w:jc w:val="right"/>
              <w:rPr>
                <w:rFonts w:ascii="Tahoma" w:hAnsi="Tahoma"/>
                <w:b/>
                <w:bCs/>
                <w:color w:val="000000" w:themeColor="text1"/>
                <w:sz w:val="16"/>
                <w:lang w:val="en-GB"/>
              </w:rPr>
            </w:pPr>
            <w:r w:rsidRPr="00080694">
              <w:rPr>
                <w:rFonts w:ascii="Tahoma" w:hAnsi="Tahoma"/>
                <w:b/>
                <w:bCs/>
                <w:color w:val="000000" w:themeColor="text1"/>
                <w:sz w:val="16"/>
                <w:lang w:val="en-GB"/>
              </w:rPr>
              <w:t>obligations</w:t>
            </w:r>
          </w:p>
          <w:p w14:paraId="06F2082E" w14:textId="77777777" w:rsidR="00080694" w:rsidRPr="00080694" w:rsidRDefault="00080694" w:rsidP="0098732C">
            <w:pPr>
              <w:contextualSpacing/>
              <w:jc w:val="right"/>
              <w:rPr>
                <w:rFonts w:ascii="Tahoma" w:hAnsi="Tahoma"/>
                <w:b/>
                <w:bCs/>
                <w:color w:val="000000" w:themeColor="text1"/>
                <w:sz w:val="16"/>
                <w:lang w:val="en-GB"/>
              </w:rPr>
            </w:pPr>
            <w:proofErr w:type="spellStart"/>
            <w:r w:rsidRPr="00080694">
              <w:rPr>
                <w:rFonts w:ascii="Tahoma" w:hAnsi="Tahoma"/>
                <w:b/>
                <w:bCs/>
                <w:color w:val="000000" w:themeColor="text1"/>
                <w:sz w:val="16"/>
                <w:lang w:val="en-GB"/>
              </w:rPr>
              <w:t>US$’m</w:t>
            </w:r>
            <w:proofErr w:type="spellEnd"/>
          </w:p>
        </w:tc>
        <w:tc>
          <w:tcPr>
            <w:tcW w:w="1275" w:type="dxa"/>
            <w:tcBorders>
              <w:bottom w:val="single" w:sz="12" w:space="0" w:color="auto"/>
            </w:tcBorders>
            <w:shd w:val="clear" w:color="auto" w:fill="auto"/>
            <w:tcMar>
              <w:top w:w="113" w:type="dxa"/>
              <w:left w:w="0" w:type="dxa"/>
              <w:bottom w:w="113" w:type="dxa"/>
              <w:right w:w="0" w:type="dxa"/>
            </w:tcMar>
            <w:vAlign w:val="bottom"/>
          </w:tcPr>
          <w:p w14:paraId="0E307241" w14:textId="77777777" w:rsidR="00080694" w:rsidRPr="00080694" w:rsidRDefault="00080694" w:rsidP="0098732C">
            <w:pPr>
              <w:contextualSpacing/>
              <w:jc w:val="right"/>
              <w:rPr>
                <w:rFonts w:ascii="Tahoma" w:hAnsi="Tahoma"/>
                <w:b/>
                <w:bCs/>
                <w:color w:val="000000" w:themeColor="text1"/>
                <w:sz w:val="16"/>
                <w:lang w:val="en-GB"/>
              </w:rPr>
            </w:pPr>
            <w:r w:rsidRPr="00080694">
              <w:rPr>
                <w:rFonts w:ascii="Tahoma" w:hAnsi="Tahoma"/>
                <w:b/>
                <w:bCs/>
                <w:color w:val="000000" w:themeColor="text1"/>
                <w:sz w:val="16"/>
                <w:lang w:val="en-GB"/>
              </w:rPr>
              <w:t>Derivatives</w:t>
            </w:r>
          </w:p>
          <w:p w14:paraId="739BDB29" w14:textId="77777777" w:rsidR="00080694" w:rsidRPr="00080694" w:rsidRDefault="00080694" w:rsidP="0098732C">
            <w:pPr>
              <w:contextualSpacing/>
              <w:jc w:val="right"/>
              <w:rPr>
                <w:rFonts w:ascii="Tahoma" w:hAnsi="Tahoma"/>
                <w:b/>
                <w:bCs/>
                <w:color w:val="000000" w:themeColor="text1"/>
                <w:sz w:val="16"/>
                <w:lang w:val="en-GB"/>
              </w:rPr>
            </w:pPr>
            <w:r w:rsidRPr="00080694">
              <w:rPr>
                <w:rFonts w:ascii="Tahoma" w:hAnsi="Tahoma"/>
                <w:b/>
                <w:bCs/>
                <w:color w:val="000000" w:themeColor="text1"/>
                <w:sz w:val="16"/>
                <w:lang w:val="en-GB"/>
              </w:rPr>
              <w:t>embedded</w:t>
            </w:r>
          </w:p>
          <w:p w14:paraId="3D33B2E6" w14:textId="77777777" w:rsidR="00080694" w:rsidRPr="00080694" w:rsidRDefault="00080694" w:rsidP="0098732C">
            <w:pPr>
              <w:contextualSpacing/>
              <w:jc w:val="right"/>
              <w:rPr>
                <w:rFonts w:ascii="Tahoma" w:hAnsi="Tahoma"/>
                <w:b/>
                <w:bCs/>
                <w:color w:val="000000" w:themeColor="text1"/>
                <w:sz w:val="16"/>
                <w:lang w:val="en-GB"/>
              </w:rPr>
            </w:pPr>
            <w:r w:rsidRPr="00080694">
              <w:rPr>
                <w:rFonts w:ascii="Tahoma" w:hAnsi="Tahoma"/>
                <w:b/>
                <w:bCs/>
                <w:color w:val="000000" w:themeColor="text1"/>
                <w:sz w:val="16"/>
                <w:lang w:val="en-GB"/>
              </w:rPr>
              <w:t>in leases</w:t>
            </w:r>
          </w:p>
          <w:p w14:paraId="0362F6E7" w14:textId="77777777" w:rsidR="00080694" w:rsidRPr="00080694" w:rsidRDefault="00080694" w:rsidP="0098732C">
            <w:pPr>
              <w:contextualSpacing/>
              <w:jc w:val="right"/>
              <w:rPr>
                <w:rFonts w:ascii="Tahoma" w:hAnsi="Tahoma"/>
                <w:b/>
                <w:bCs/>
                <w:color w:val="000000" w:themeColor="text1"/>
                <w:sz w:val="16"/>
                <w:lang w:val="en-GB"/>
              </w:rPr>
            </w:pPr>
            <w:proofErr w:type="spellStart"/>
            <w:r w:rsidRPr="00080694">
              <w:rPr>
                <w:rFonts w:ascii="Tahoma" w:hAnsi="Tahoma"/>
                <w:b/>
                <w:bCs/>
                <w:color w:val="000000" w:themeColor="text1"/>
                <w:sz w:val="16"/>
                <w:lang w:val="en-GB"/>
              </w:rPr>
              <w:t>US$’m</w:t>
            </w:r>
            <w:proofErr w:type="spellEnd"/>
          </w:p>
        </w:tc>
      </w:tr>
      <w:tr w:rsidR="00615190" w:rsidRPr="00080694" w14:paraId="7EBF3B12" w14:textId="77777777" w:rsidTr="002F078E">
        <w:trPr>
          <w:trHeight w:val="60"/>
        </w:trPr>
        <w:tc>
          <w:tcPr>
            <w:tcW w:w="397" w:type="dxa"/>
            <w:shd w:val="clear" w:color="auto" w:fill="auto"/>
            <w:tcMar>
              <w:top w:w="142" w:type="dxa"/>
              <w:left w:w="0" w:type="dxa"/>
              <w:bottom w:w="57" w:type="dxa"/>
              <w:right w:w="0" w:type="dxa"/>
            </w:tcMar>
            <w:vAlign w:val="bottom"/>
          </w:tcPr>
          <w:p w14:paraId="42FFAEBC" w14:textId="77777777" w:rsidR="00080694" w:rsidRPr="00080694" w:rsidRDefault="00080694" w:rsidP="0098732C">
            <w:pPr>
              <w:contextualSpacing/>
              <w:rPr>
                <w:rFonts w:ascii="Tahoma" w:hAnsi="Tahoma"/>
                <w:color w:val="000000" w:themeColor="text1"/>
                <w:sz w:val="16"/>
                <w:lang w:val="en-GB"/>
              </w:rPr>
            </w:pPr>
          </w:p>
        </w:tc>
        <w:tc>
          <w:tcPr>
            <w:tcW w:w="4565" w:type="dxa"/>
            <w:tcBorders>
              <w:top w:val="single" w:sz="12" w:space="0" w:color="auto"/>
            </w:tcBorders>
            <w:shd w:val="clear" w:color="auto" w:fill="auto"/>
            <w:tcMar>
              <w:top w:w="142" w:type="dxa"/>
              <w:left w:w="0" w:type="dxa"/>
              <w:bottom w:w="57" w:type="dxa"/>
              <w:right w:w="0" w:type="dxa"/>
            </w:tcMar>
            <w:vAlign w:val="bottom"/>
          </w:tcPr>
          <w:p w14:paraId="65DF4068" w14:textId="77777777" w:rsidR="00080694" w:rsidRPr="00080694" w:rsidRDefault="00080694" w:rsidP="0098732C">
            <w:pPr>
              <w:contextualSpacing/>
              <w:rPr>
                <w:rFonts w:ascii="Tahoma" w:hAnsi="Tahoma"/>
                <w:b/>
                <w:bCs/>
                <w:color w:val="000000" w:themeColor="text1"/>
                <w:sz w:val="16"/>
                <w:lang w:val="en-GB"/>
              </w:rPr>
            </w:pPr>
            <w:r w:rsidRPr="00080694">
              <w:rPr>
                <w:rFonts w:ascii="Tahoma" w:hAnsi="Tahoma"/>
                <w:b/>
                <w:bCs/>
                <w:color w:val="000000" w:themeColor="text1"/>
                <w:sz w:val="16"/>
                <w:lang w:val="en-GB"/>
              </w:rPr>
              <w:t>Balance at 1 April 2021</w:t>
            </w:r>
          </w:p>
        </w:tc>
        <w:tc>
          <w:tcPr>
            <w:tcW w:w="1283" w:type="dxa"/>
            <w:tcBorders>
              <w:top w:val="single" w:sz="12" w:space="0" w:color="auto"/>
            </w:tcBorders>
            <w:shd w:val="clear" w:color="auto" w:fill="auto"/>
            <w:tcMar>
              <w:top w:w="142" w:type="dxa"/>
              <w:left w:w="0" w:type="dxa"/>
              <w:bottom w:w="57" w:type="dxa"/>
              <w:right w:w="0" w:type="dxa"/>
            </w:tcMar>
            <w:vAlign w:val="bottom"/>
          </w:tcPr>
          <w:p w14:paraId="40B6B504" w14:textId="77777777" w:rsidR="00080694" w:rsidRPr="00080694" w:rsidRDefault="00080694" w:rsidP="0098732C">
            <w:pPr>
              <w:contextualSpacing/>
              <w:jc w:val="right"/>
              <w:rPr>
                <w:rFonts w:ascii="Tahoma" w:hAnsi="Tahoma"/>
                <w:b/>
                <w:bCs/>
                <w:color w:val="000000" w:themeColor="text1"/>
                <w:sz w:val="16"/>
                <w:lang w:val="en-GB"/>
              </w:rPr>
            </w:pPr>
            <w:r w:rsidRPr="00080694">
              <w:rPr>
                <w:rFonts w:ascii="Tahoma" w:hAnsi="Tahoma"/>
                <w:b/>
                <w:bCs/>
                <w:color w:val="000000" w:themeColor="text1"/>
                <w:sz w:val="16"/>
                <w:lang w:val="en-GB"/>
              </w:rPr>
              <w:t>1 153</w:t>
            </w:r>
          </w:p>
        </w:tc>
        <w:tc>
          <w:tcPr>
            <w:tcW w:w="1268" w:type="dxa"/>
            <w:tcBorders>
              <w:top w:val="single" w:sz="12" w:space="0" w:color="auto"/>
            </w:tcBorders>
            <w:shd w:val="clear" w:color="auto" w:fill="auto"/>
            <w:tcMar>
              <w:top w:w="142" w:type="dxa"/>
              <w:left w:w="0" w:type="dxa"/>
              <w:bottom w:w="57" w:type="dxa"/>
              <w:right w:w="0" w:type="dxa"/>
            </w:tcMar>
            <w:vAlign w:val="bottom"/>
          </w:tcPr>
          <w:p w14:paraId="3C4B2F1F" w14:textId="77777777" w:rsidR="00080694" w:rsidRPr="00080694" w:rsidRDefault="00080694" w:rsidP="0098732C">
            <w:pPr>
              <w:contextualSpacing/>
              <w:jc w:val="right"/>
              <w:rPr>
                <w:rFonts w:ascii="Tahoma" w:hAnsi="Tahoma"/>
                <w:b/>
                <w:bCs/>
                <w:color w:val="000000" w:themeColor="text1"/>
                <w:sz w:val="16"/>
                <w:lang w:val="en-GB"/>
              </w:rPr>
            </w:pPr>
            <w:r w:rsidRPr="00080694">
              <w:rPr>
                <w:rFonts w:ascii="Tahoma" w:hAnsi="Tahoma"/>
                <w:b/>
                <w:bCs/>
                <w:color w:val="000000" w:themeColor="text1"/>
                <w:sz w:val="16"/>
                <w:lang w:val="en-GB"/>
              </w:rPr>
              <w:t>44</w:t>
            </w:r>
          </w:p>
        </w:tc>
        <w:tc>
          <w:tcPr>
            <w:tcW w:w="1418" w:type="dxa"/>
            <w:tcBorders>
              <w:top w:val="single" w:sz="12" w:space="0" w:color="auto"/>
            </w:tcBorders>
            <w:shd w:val="clear" w:color="auto" w:fill="auto"/>
            <w:tcMar>
              <w:top w:w="142" w:type="dxa"/>
              <w:left w:w="0" w:type="dxa"/>
              <w:bottom w:w="57" w:type="dxa"/>
              <w:right w:w="0" w:type="dxa"/>
            </w:tcMar>
            <w:vAlign w:val="bottom"/>
          </w:tcPr>
          <w:p w14:paraId="2B5B9BD8" w14:textId="77777777" w:rsidR="00080694" w:rsidRPr="00080694" w:rsidRDefault="00080694" w:rsidP="0098732C">
            <w:pPr>
              <w:contextualSpacing/>
              <w:jc w:val="right"/>
              <w:rPr>
                <w:rFonts w:ascii="Tahoma" w:hAnsi="Tahoma"/>
                <w:b/>
                <w:bCs/>
                <w:color w:val="000000" w:themeColor="text1"/>
                <w:sz w:val="16"/>
                <w:lang w:val="en-GB"/>
              </w:rPr>
            </w:pPr>
            <w:r w:rsidRPr="00080694">
              <w:rPr>
                <w:rFonts w:ascii="Tahoma" w:hAnsi="Tahoma"/>
                <w:b/>
                <w:bCs/>
                <w:color w:val="000000" w:themeColor="text1"/>
                <w:sz w:val="16"/>
                <w:lang w:val="en-GB"/>
              </w:rPr>
              <w:t>(20)</w:t>
            </w:r>
          </w:p>
        </w:tc>
        <w:tc>
          <w:tcPr>
            <w:tcW w:w="1275" w:type="dxa"/>
            <w:tcBorders>
              <w:top w:val="single" w:sz="12" w:space="0" w:color="auto"/>
            </w:tcBorders>
            <w:shd w:val="clear" w:color="auto" w:fill="auto"/>
            <w:tcMar>
              <w:top w:w="142" w:type="dxa"/>
              <w:left w:w="0" w:type="dxa"/>
              <w:bottom w:w="57" w:type="dxa"/>
              <w:right w:w="0" w:type="dxa"/>
            </w:tcMar>
            <w:vAlign w:val="bottom"/>
          </w:tcPr>
          <w:p w14:paraId="7476704D" w14:textId="77777777" w:rsidR="00080694" w:rsidRPr="00080694" w:rsidRDefault="00080694" w:rsidP="0098732C">
            <w:pPr>
              <w:contextualSpacing/>
              <w:jc w:val="right"/>
              <w:rPr>
                <w:rFonts w:ascii="Tahoma" w:hAnsi="Tahoma"/>
                <w:b/>
                <w:bCs/>
                <w:color w:val="000000" w:themeColor="text1"/>
                <w:sz w:val="16"/>
                <w:lang w:val="en-GB"/>
              </w:rPr>
            </w:pPr>
            <w:r w:rsidRPr="00080694">
              <w:rPr>
                <w:rFonts w:ascii="Tahoma" w:hAnsi="Tahoma"/>
                <w:b/>
                <w:bCs/>
                <w:color w:val="000000" w:themeColor="text1"/>
                <w:sz w:val="16"/>
                <w:lang w:val="en-GB"/>
              </w:rPr>
              <w:t>9</w:t>
            </w:r>
          </w:p>
        </w:tc>
      </w:tr>
      <w:tr w:rsidR="00615190" w:rsidRPr="00080694" w14:paraId="5CE394A4" w14:textId="77777777" w:rsidTr="002F078E">
        <w:trPr>
          <w:trHeight w:val="60"/>
        </w:trPr>
        <w:tc>
          <w:tcPr>
            <w:tcW w:w="397" w:type="dxa"/>
            <w:shd w:val="clear" w:color="auto" w:fill="auto"/>
            <w:tcMar>
              <w:top w:w="57" w:type="dxa"/>
              <w:left w:w="0" w:type="dxa"/>
              <w:bottom w:w="57" w:type="dxa"/>
              <w:right w:w="0" w:type="dxa"/>
            </w:tcMar>
            <w:vAlign w:val="bottom"/>
          </w:tcPr>
          <w:p w14:paraId="094A208C" w14:textId="77777777" w:rsidR="00080694" w:rsidRPr="00080694" w:rsidRDefault="00080694" w:rsidP="0098732C">
            <w:pPr>
              <w:contextualSpacing/>
              <w:rPr>
                <w:rFonts w:ascii="Tahoma" w:hAnsi="Tahoma"/>
                <w:color w:val="000000" w:themeColor="text1"/>
                <w:sz w:val="16"/>
                <w:lang w:val="en-GB"/>
              </w:rPr>
            </w:pPr>
          </w:p>
        </w:tc>
        <w:tc>
          <w:tcPr>
            <w:tcW w:w="4565" w:type="dxa"/>
            <w:shd w:val="clear" w:color="auto" w:fill="auto"/>
            <w:tcMar>
              <w:top w:w="57" w:type="dxa"/>
              <w:left w:w="0" w:type="dxa"/>
              <w:bottom w:w="57" w:type="dxa"/>
              <w:right w:w="0" w:type="dxa"/>
            </w:tcMar>
            <w:vAlign w:val="bottom"/>
          </w:tcPr>
          <w:p w14:paraId="7BCF49D6" w14:textId="77777777" w:rsidR="00080694" w:rsidRPr="00080694" w:rsidRDefault="00080694" w:rsidP="0098732C">
            <w:pPr>
              <w:contextualSpacing/>
              <w:rPr>
                <w:rFonts w:ascii="Tahoma" w:hAnsi="Tahoma"/>
                <w:color w:val="000000" w:themeColor="text1"/>
                <w:sz w:val="16"/>
                <w:lang w:val="en-GB"/>
              </w:rPr>
            </w:pPr>
            <w:r w:rsidRPr="00080694">
              <w:rPr>
                <w:rFonts w:ascii="Tahoma" w:hAnsi="Tahoma"/>
                <w:color w:val="000000" w:themeColor="text1"/>
                <w:sz w:val="16"/>
                <w:lang w:val="en-GB"/>
              </w:rPr>
              <w:t>Additions</w:t>
            </w:r>
            <w:r w:rsidRPr="00080694">
              <w:rPr>
                <w:rFonts w:ascii="Tahoma" w:hAnsi="Tahoma"/>
                <w:color w:val="000000" w:themeColor="text1"/>
                <w:sz w:val="16"/>
                <w:vertAlign w:val="superscript"/>
                <w:lang w:val="en-GB"/>
              </w:rPr>
              <w:t>3</w:t>
            </w:r>
          </w:p>
        </w:tc>
        <w:tc>
          <w:tcPr>
            <w:tcW w:w="1283" w:type="dxa"/>
            <w:shd w:val="clear" w:color="auto" w:fill="auto"/>
            <w:tcMar>
              <w:top w:w="57" w:type="dxa"/>
              <w:left w:w="0" w:type="dxa"/>
              <w:bottom w:w="57" w:type="dxa"/>
              <w:right w:w="0" w:type="dxa"/>
            </w:tcMar>
            <w:vAlign w:val="bottom"/>
          </w:tcPr>
          <w:p w14:paraId="5A5092AC" w14:textId="77777777" w:rsidR="00080694" w:rsidRPr="00080694" w:rsidRDefault="00080694" w:rsidP="0098732C">
            <w:pPr>
              <w:contextualSpacing/>
              <w:jc w:val="right"/>
              <w:rPr>
                <w:rFonts w:ascii="Tahoma" w:hAnsi="Tahoma"/>
                <w:b/>
                <w:bCs/>
                <w:color w:val="000000" w:themeColor="text1"/>
                <w:sz w:val="16"/>
                <w:lang w:val="en-GB"/>
              </w:rPr>
            </w:pPr>
            <w:r w:rsidRPr="00080694">
              <w:rPr>
                <w:rFonts w:ascii="Tahoma" w:hAnsi="Tahoma"/>
                <w:b/>
                <w:bCs/>
                <w:color w:val="000000" w:themeColor="text1"/>
                <w:sz w:val="16"/>
                <w:lang w:val="en-GB"/>
              </w:rPr>
              <w:t>680</w:t>
            </w:r>
          </w:p>
        </w:tc>
        <w:tc>
          <w:tcPr>
            <w:tcW w:w="1268" w:type="dxa"/>
            <w:shd w:val="clear" w:color="auto" w:fill="auto"/>
            <w:tcMar>
              <w:top w:w="57" w:type="dxa"/>
              <w:left w:w="0" w:type="dxa"/>
              <w:bottom w:w="57" w:type="dxa"/>
              <w:right w:w="0" w:type="dxa"/>
            </w:tcMar>
            <w:vAlign w:val="bottom"/>
          </w:tcPr>
          <w:p w14:paraId="6017BB1B" w14:textId="77777777" w:rsidR="00080694" w:rsidRPr="00080694" w:rsidRDefault="00080694" w:rsidP="0098732C">
            <w:pPr>
              <w:contextualSpacing/>
              <w:jc w:val="right"/>
              <w:rPr>
                <w:rFonts w:ascii="Tahoma" w:hAnsi="Tahoma"/>
                <w:b/>
                <w:bCs/>
                <w:color w:val="000000" w:themeColor="text1"/>
                <w:sz w:val="16"/>
                <w:lang w:val="en-GB"/>
              </w:rPr>
            </w:pPr>
            <w:r w:rsidRPr="00080694">
              <w:rPr>
                <w:rFonts w:ascii="Tahoma" w:hAnsi="Tahoma"/>
                <w:b/>
                <w:bCs/>
                <w:color w:val="000000" w:themeColor="text1"/>
                <w:sz w:val="16"/>
                <w:lang w:val="en-GB"/>
              </w:rPr>
              <w:t>41</w:t>
            </w:r>
          </w:p>
        </w:tc>
        <w:tc>
          <w:tcPr>
            <w:tcW w:w="1418" w:type="dxa"/>
            <w:shd w:val="clear" w:color="auto" w:fill="auto"/>
            <w:tcMar>
              <w:top w:w="57" w:type="dxa"/>
              <w:left w:w="0" w:type="dxa"/>
              <w:bottom w:w="57" w:type="dxa"/>
              <w:right w:w="0" w:type="dxa"/>
            </w:tcMar>
            <w:vAlign w:val="bottom"/>
          </w:tcPr>
          <w:p w14:paraId="0971E6DC" w14:textId="77777777" w:rsidR="00080694" w:rsidRPr="00080694" w:rsidRDefault="00080694" w:rsidP="0098732C">
            <w:pPr>
              <w:contextualSpacing/>
              <w:jc w:val="right"/>
              <w:rPr>
                <w:rFonts w:ascii="Tahoma" w:hAnsi="Tahoma"/>
                <w:b/>
                <w:bCs/>
                <w:color w:val="000000" w:themeColor="text1"/>
                <w:sz w:val="16"/>
                <w:lang w:val="en-GB"/>
              </w:rPr>
            </w:pPr>
            <w:r w:rsidRPr="00080694">
              <w:rPr>
                <w:rFonts w:ascii="Tahoma" w:hAnsi="Tahoma"/>
                <w:b/>
                <w:bCs/>
                <w:color w:val="000000" w:themeColor="text1"/>
                <w:sz w:val="16"/>
                <w:lang w:val="en-GB"/>
              </w:rPr>
              <w:t>(5)</w:t>
            </w:r>
          </w:p>
        </w:tc>
        <w:tc>
          <w:tcPr>
            <w:tcW w:w="1275" w:type="dxa"/>
            <w:shd w:val="clear" w:color="auto" w:fill="auto"/>
            <w:tcMar>
              <w:top w:w="57" w:type="dxa"/>
              <w:left w:w="0" w:type="dxa"/>
              <w:bottom w:w="57" w:type="dxa"/>
              <w:right w:w="0" w:type="dxa"/>
            </w:tcMar>
            <w:vAlign w:val="bottom"/>
          </w:tcPr>
          <w:p w14:paraId="71B2368C" w14:textId="77777777" w:rsidR="00080694" w:rsidRPr="00080694" w:rsidRDefault="00080694" w:rsidP="0098732C">
            <w:pPr>
              <w:contextualSpacing/>
              <w:jc w:val="right"/>
              <w:rPr>
                <w:rFonts w:ascii="Tahoma" w:hAnsi="Tahoma"/>
                <w:b/>
                <w:bCs/>
                <w:color w:val="000000" w:themeColor="text1"/>
                <w:sz w:val="16"/>
                <w:lang w:val="en-GB"/>
              </w:rPr>
            </w:pPr>
            <w:r w:rsidRPr="00080694">
              <w:rPr>
                <w:rFonts w:ascii="Tahoma" w:hAnsi="Tahoma"/>
                <w:b/>
                <w:bCs/>
                <w:color w:val="000000" w:themeColor="text1"/>
                <w:sz w:val="16"/>
                <w:lang w:val="en-GB"/>
              </w:rPr>
              <w:t>—</w:t>
            </w:r>
          </w:p>
        </w:tc>
      </w:tr>
      <w:tr w:rsidR="00615190" w:rsidRPr="00080694" w14:paraId="003AD142" w14:textId="77777777" w:rsidTr="002F078E">
        <w:trPr>
          <w:trHeight w:val="60"/>
        </w:trPr>
        <w:tc>
          <w:tcPr>
            <w:tcW w:w="397" w:type="dxa"/>
            <w:shd w:val="clear" w:color="auto" w:fill="auto"/>
            <w:tcMar>
              <w:top w:w="57" w:type="dxa"/>
              <w:left w:w="0" w:type="dxa"/>
              <w:bottom w:w="57" w:type="dxa"/>
              <w:right w:w="0" w:type="dxa"/>
            </w:tcMar>
            <w:vAlign w:val="bottom"/>
          </w:tcPr>
          <w:p w14:paraId="21CA341E" w14:textId="77777777" w:rsidR="00080694" w:rsidRPr="00080694" w:rsidRDefault="00080694" w:rsidP="0098732C">
            <w:pPr>
              <w:contextualSpacing/>
              <w:rPr>
                <w:rFonts w:ascii="Tahoma" w:hAnsi="Tahoma"/>
                <w:color w:val="000000" w:themeColor="text1"/>
                <w:sz w:val="16"/>
                <w:lang w:val="en-GB"/>
              </w:rPr>
            </w:pPr>
          </w:p>
        </w:tc>
        <w:tc>
          <w:tcPr>
            <w:tcW w:w="4565" w:type="dxa"/>
            <w:shd w:val="clear" w:color="auto" w:fill="auto"/>
            <w:tcMar>
              <w:top w:w="57" w:type="dxa"/>
              <w:left w:w="0" w:type="dxa"/>
              <w:bottom w:w="57" w:type="dxa"/>
              <w:right w:w="0" w:type="dxa"/>
            </w:tcMar>
            <w:vAlign w:val="bottom"/>
          </w:tcPr>
          <w:p w14:paraId="653E22E3" w14:textId="77777777" w:rsidR="00080694" w:rsidRPr="00080694" w:rsidRDefault="00080694" w:rsidP="0098732C">
            <w:pPr>
              <w:contextualSpacing/>
              <w:rPr>
                <w:rFonts w:ascii="Tahoma" w:hAnsi="Tahoma"/>
                <w:color w:val="000000" w:themeColor="text1"/>
                <w:sz w:val="16"/>
                <w:lang w:val="en-GB"/>
              </w:rPr>
            </w:pPr>
            <w:r w:rsidRPr="00080694">
              <w:rPr>
                <w:rFonts w:ascii="Tahoma" w:hAnsi="Tahoma"/>
                <w:color w:val="000000" w:themeColor="text1"/>
                <w:sz w:val="16"/>
                <w:lang w:val="en-GB"/>
              </w:rPr>
              <w:t>Total losses recognised in other comprehensive income</w:t>
            </w:r>
          </w:p>
        </w:tc>
        <w:tc>
          <w:tcPr>
            <w:tcW w:w="1283" w:type="dxa"/>
            <w:shd w:val="clear" w:color="auto" w:fill="auto"/>
            <w:tcMar>
              <w:top w:w="57" w:type="dxa"/>
              <w:left w:w="0" w:type="dxa"/>
              <w:bottom w:w="57" w:type="dxa"/>
              <w:right w:w="0" w:type="dxa"/>
            </w:tcMar>
            <w:vAlign w:val="bottom"/>
          </w:tcPr>
          <w:p w14:paraId="1BCD3CF4" w14:textId="77777777" w:rsidR="00080694" w:rsidRPr="00080694" w:rsidRDefault="00080694" w:rsidP="0098732C">
            <w:pPr>
              <w:contextualSpacing/>
              <w:jc w:val="right"/>
              <w:rPr>
                <w:rFonts w:ascii="Tahoma" w:hAnsi="Tahoma"/>
                <w:b/>
                <w:bCs/>
                <w:color w:val="000000" w:themeColor="text1"/>
                <w:sz w:val="16"/>
                <w:lang w:val="en-GB"/>
              </w:rPr>
            </w:pPr>
            <w:r w:rsidRPr="00080694">
              <w:rPr>
                <w:rFonts w:ascii="Tahoma" w:hAnsi="Tahoma"/>
                <w:b/>
                <w:bCs/>
                <w:color w:val="000000" w:themeColor="text1"/>
                <w:sz w:val="16"/>
                <w:lang w:val="en-GB"/>
              </w:rPr>
              <w:t>(91)</w:t>
            </w:r>
          </w:p>
        </w:tc>
        <w:tc>
          <w:tcPr>
            <w:tcW w:w="1268" w:type="dxa"/>
            <w:shd w:val="clear" w:color="auto" w:fill="auto"/>
            <w:tcMar>
              <w:top w:w="57" w:type="dxa"/>
              <w:left w:w="0" w:type="dxa"/>
              <w:bottom w:w="57" w:type="dxa"/>
              <w:right w:w="0" w:type="dxa"/>
            </w:tcMar>
            <w:vAlign w:val="bottom"/>
          </w:tcPr>
          <w:p w14:paraId="2BA811FE" w14:textId="77777777" w:rsidR="00080694" w:rsidRPr="00080694" w:rsidRDefault="00080694" w:rsidP="0098732C">
            <w:pPr>
              <w:contextualSpacing/>
              <w:jc w:val="right"/>
              <w:rPr>
                <w:rFonts w:ascii="Tahoma" w:hAnsi="Tahoma"/>
                <w:b/>
                <w:bCs/>
                <w:color w:val="000000" w:themeColor="text1"/>
                <w:sz w:val="16"/>
                <w:lang w:val="en-GB"/>
              </w:rPr>
            </w:pPr>
            <w:r w:rsidRPr="00080694">
              <w:rPr>
                <w:rFonts w:ascii="Tahoma" w:hAnsi="Tahoma"/>
                <w:b/>
                <w:bCs/>
                <w:color w:val="000000" w:themeColor="text1"/>
                <w:sz w:val="16"/>
                <w:lang w:val="en-GB"/>
              </w:rPr>
              <w:t>—</w:t>
            </w:r>
          </w:p>
        </w:tc>
        <w:tc>
          <w:tcPr>
            <w:tcW w:w="1418" w:type="dxa"/>
            <w:shd w:val="clear" w:color="auto" w:fill="auto"/>
            <w:tcMar>
              <w:top w:w="57" w:type="dxa"/>
              <w:left w:w="0" w:type="dxa"/>
              <w:bottom w:w="57" w:type="dxa"/>
              <w:right w:w="0" w:type="dxa"/>
            </w:tcMar>
            <w:vAlign w:val="bottom"/>
          </w:tcPr>
          <w:p w14:paraId="69C6FD56" w14:textId="77777777" w:rsidR="00080694" w:rsidRPr="00080694" w:rsidRDefault="00080694" w:rsidP="0098732C">
            <w:pPr>
              <w:contextualSpacing/>
              <w:jc w:val="right"/>
              <w:rPr>
                <w:rFonts w:ascii="Tahoma" w:hAnsi="Tahoma"/>
                <w:b/>
                <w:bCs/>
                <w:color w:val="000000" w:themeColor="text1"/>
                <w:sz w:val="16"/>
                <w:lang w:val="en-GB"/>
              </w:rPr>
            </w:pPr>
            <w:r w:rsidRPr="00080694">
              <w:rPr>
                <w:rFonts w:ascii="Tahoma" w:hAnsi="Tahoma"/>
                <w:b/>
                <w:bCs/>
                <w:color w:val="000000" w:themeColor="text1"/>
                <w:sz w:val="16"/>
                <w:lang w:val="en-GB"/>
              </w:rPr>
              <w:t>—</w:t>
            </w:r>
          </w:p>
        </w:tc>
        <w:tc>
          <w:tcPr>
            <w:tcW w:w="1275" w:type="dxa"/>
            <w:shd w:val="clear" w:color="auto" w:fill="auto"/>
            <w:tcMar>
              <w:top w:w="57" w:type="dxa"/>
              <w:left w:w="0" w:type="dxa"/>
              <w:bottom w:w="57" w:type="dxa"/>
              <w:right w:w="0" w:type="dxa"/>
            </w:tcMar>
            <w:vAlign w:val="bottom"/>
          </w:tcPr>
          <w:p w14:paraId="11F1B1B3" w14:textId="77777777" w:rsidR="00080694" w:rsidRPr="00080694" w:rsidRDefault="00080694" w:rsidP="0098732C">
            <w:pPr>
              <w:contextualSpacing/>
              <w:jc w:val="right"/>
              <w:rPr>
                <w:rFonts w:ascii="Tahoma" w:hAnsi="Tahoma"/>
                <w:b/>
                <w:bCs/>
                <w:color w:val="000000" w:themeColor="text1"/>
                <w:sz w:val="16"/>
                <w:lang w:val="en-GB"/>
              </w:rPr>
            </w:pPr>
            <w:r w:rsidRPr="00080694">
              <w:rPr>
                <w:rFonts w:ascii="Tahoma" w:hAnsi="Tahoma"/>
                <w:b/>
                <w:bCs/>
                <w:color w:val="000000" w:themeColor="text1"/>
                <w:sz w:val="16"/>
                <w:lang w:val="en-GB"/>
              </w:rPr>
              <w:t>—</w:t>
            </w:r>
          </w:p>
        </w:tc>
      </w:tr>
      <w:tr w:rsidR="00615190" w:rsidRPr="00080694" w14:paraId="22F75075" w14:textId="77777777" w:rsidTr="002F078E">
        <w:trPr>
          <w:trHeight w:val="60"/>
        </w:trPr>
        <w:tc>
          <w:tcPr>
            <w:tcW w:w="397" w:type="dxa"/>
            <w:shd w:val="clear" w:color="auto" w:fill="auto"/>
            <w:tcMar>
              <w:top w:w="57" w:type="dxa"/>
              <w:left w:w="0" w:type="dxa"/>
              <w:bottom w:w="57" w:type="dxa"/>
              <w:right w:w="0" w:type="dxa"/>
            </w:tcMar>
            <w:vAlign w:val="bottom"/>
          </w:tcPr>
          <w:p w14:paraId="6B7A916A" w14:textId="77777777" w:rsidR="00080694" w:rsidRPr="00080694" w:rsidRDefault="00080694" w:rsidP="0098732C">
            <w:pPr>
              <w:contextualSpacing/>
              <w:rPr>
                <w:rFonts w:ascii="Tahoma" w:hAnsi="Tahoma"/>
                <w:color w:val="000000" w:themeColor="text1"/>
                <w:sz w:val="16"/>
                <w:lang w:val="en-GB"/>
              </w:rPr>
            </w:pPr>
          </w:p>
        </w:tc>
        <w:tc>
          <w:tcPr>
            <w:tcW w:w="4565" w:type="dxa"/>
            <w:shd w:val="clear" w:color="auto" w:fill="auto"/>
            <w:tcMar>
              <w:top w:w="57" w:type="dxa"/>
              <w:left w:w="0" w:type="dxa"/>
              <w:bottom w:w="57" w:type="dxa"/>
              <w:right w:w="0" w:type="dxa"/>
            </w:tcMar>
            <w:vAlign w:val="bottom"/>
          </w:tcPr>
          <w:p w14:paraId="58297170" w14:textId="77777777" w:rsidR="00080694" w:rsidRPr="00080694" w:rsidRDefault="00080694" w:rsidP="0098732C">
            <w:pPr>
              <w:contextualSpacing/>
              <w:rPr>
                <w:rFonts w:ascii="Tahoma" w:hAnsi="Tahoma"/>
                <w:color w:val="000000" w:themeColor="text1"/>
                <w:sz w:val="16"/>
                <w:lang w:val="en-GB"/>
              </w:rPr>
            </w:pPr>
            <w:r w:rsidRPr="00080694">
              <w:rPr>
                <w:rFonts w:ascii="Tahoma" w:hAnsi="Tahoma"/>
                <w:color w:val="000000" w:themeColor="text1"/>
                <w:sz w:val="16"/>
                <w:lang w:val="en-GB"/>
              </w:rPr>
              <w:t>Total gains recognised in the income statement</w:t>
            </w:r>
          </w:p>
        </w:tc>
        <w:tc>
          <w:tcPr>
            <w:tcW w:w="1283" w:type="dxa"/>
            <w:shd w:val="clear" w:color="auto" w:fill="auto"/>
            <w:tcMar>
              <w:top w:w="57" w:type="dxa"/>
              <w:left w:w="0" w:type="dxa"/>
              <w:bottom w:w="57" w:type="dxa"/>
              <w:right w:w="0" w:type="dxa"/>
            </w:tcMar>
            <w:vAlign w:val="bottom"/>
          </w:tcPr>
          <w:p w14:paraId="48F1CD7F" w14:textId="77777777" w:rsidR="00080694" w:rsidRPr="00080694" w:rsidRDefault="00080694" w:rsidP="0098732C">
            <w:pPr>
              <w:contextualSpacing/>
              <w:jc w:val="right"/>
              <w:rPr>
                <w:rFonts w:ascii="Tahoma" w:hAnsi="Tahoma"/>
                <w:b/>
                <w:bCs/>
                <w:color w:val="000000" w:themeColor="text1"/>
                <w:sz w:val="16"/>
                <w:lang w:val="en-GB"/>
              </w:rPr>
            </w:pPr>
            <w:r w:rsidRPr="00080694">
              <w:rPr>
                <w:rFonts w:ascii="Tahoma" w:hAnsi="Tahoma"/>
                <w:b/>
                <w:bCs/>
                <w:color w:val="000000" w:themeColor="text1"/>
                <w:sz w:val="16"/>
                <w:lang w:val="en-GB"/>
              </w:rPr>
              <w:t>—</w:t>
            </w:r>
          </w:p>
        </w:tc>
        <w:tc>
          <w:tcPr>
            <w:tcW w:w="1268" w:type="dxa"/>
            <w:shd w:val="clear" w:color="auto" w:fill="auto"/>
            <w:tcMar>
              <w:top w:w="57" w:type="dxa"/>
              <w:left w:w="0" w:type="dxa"/>
              <w:bottom w:w="57" w:type="dxa"/>
              <w:right w:w="0" w:type="dxa"/>
            </w:tcMar>
            <w:vAlign w:val="bottom"/>
          </w:tcPr>
          <w:p w14:paraId="7F656BFB" w14:textId="77777777" w:rsidR="00080694" w:rsidRPr="00080694" w:rsidRDefault="00080694" w:rsidP="0098732C">
            <w:pPr>
              <w:contextualSpacing/>
              <w:jc w:val="right"/>
              <w:rPr>
                <w:rFonts w:ascii="Tahoma" w:hAnsi="Tahoma"/>
                <w:b/>
                <w:bCs/>
                <w:color w:val="000000" w:themeColor="text1"/>
                <w:sz w:val="16"/>
                <w:lang w:val="en-GB"/>
              </w:rPr>
            </w:pPr>
            <w:r w:rsidRPr="00080694">
              <w:rPr>
                <w:rFonts w:ascii="Tahoma" w:hAnsi="Tahoma"/>
                <w:b/>
                <w:bCs/>
                <w:color w:val="000000" w:themeColor="text1"/>
                <w:sz w:val="16"/>
                <w:lang w:val="en-GB"/>
              </w:rPr>
              <w:t>3</w:t>
            </w:r>
          </w:p>
        </w:tc>
        <w:tc>
          <w:tcPr>
            <w:tcW w:w="1418" w:type="dxa"/>
            <w:shd w:val="clear" w:color="auto" w:fill="auto"/>
            <w:tcMar>
              <w:top w:w="57" w:type="dxa"/>
              <w:left w:w="0" w:type="dxa"/>
              <w:bottom w:w="57" w:type="dxa"/>
              <w:right w:w="0" w:type="dxa"/>
            </w:tcMar>
            <w:vAlign w:val="bottom"/>
          </w:tcPr>
          <w:p w14:paraId="70EC7D22" w14:textId="77777777" w:rsidR="00080694" w:rsidRPr="00080694" w:rsidRDefault="00080694" w:rsidP="0098732C">
            <w:pPr>
              <w:contextualSpacing/>
              <w:jc w:val="right"/>
              <w:rPr>
                <w:rFonts w:ascii="Tahoma" w:hAnsi="Tahoma"/>
                <w:b/>
                <w:bCs/>
                <w:color w:val="000000" w:themeColor="text1"/>
                <w:sz w:val="16"/>
                <w:lang w:val="en-GB"/>
              </w:rPr>
            </w:pPr>
            <w:r w:rsidRPr="00080694">
              <w:rPr>
                <w:rFonts w:ascii="Tahoma" w:hAnsi="Tahoma"/>
                <w:b/>
                <w:bCs/>
                <w:color w:val="000000" w:themeColor="text1"/>
                <w:sz w:val="16"/>
                <w:lang w:val="en-GB"/>
              </w:rPr>
              <w:t>1</w:t>
            </w:r>
          </w:p>
        </w:tc>
        <w:tc>
          <w:tcPr>
            <w:tcW w:w="1275" w:type="dxa"/>
            <w:shd w:val="clear" w:color="auto" w:fill="auto"/>
            <w:tcMar>
              <w:top w:w="57" w:type="dxa"/>
              <w:left w:w="0" w:type="dxa"/>
              <w:bottom w:w="57" w:type="dxa"/>
              <w:right w:w="0" w:type="dxa"/>
            </w:tcMar>
            <w:vAlign w:val="bottom"/>
          </w:tcPr>
          <w:p w14:paraId="3B89726B" w14:textId="77777777" w:rsidR="00080694" w:rsidRPr="00080694" w:rsidRDefault="00080694" w:rsidP="0098732C">
            <w:pPr>
              <w:contextualSpacing/>
              <w:jc w:val="right"/>
              <w:rPr>
                <w:rFonts w:ascii="Tahoma" w:hAnsi="Tahoma"/>
                <w:b/>
                <w:bCs/>
                <w:color w:val="000000" w:themeColor="text1"/>
                <w:sz w:val="16"/>
                <w:lang w:val="en-GB"/>
              </w:rPr>
            </w:pPr>
            <w:r w:rsidRPr="00080694">
              <w:rPr>
                <w:rFonts w:ascii="Tahoma" w:hAnsi="Tahoma"/>
                <w:b/>
                <w:bCs/>
                <w:color w:val="000000" w:themeColor="text1"/>
                <w:sz w:val="16"/>
                <w:lang w:val="en-GB"/>
              </w:rPr>
              <w:t>—</w:t>
            </w:r>
          </w:p>
        </w:tc>
      </w:tr>
      <w:tr w:rsidR="00615190" w:rsidRPr="00080694" w14:paraId="32F5687E" w14:textId="77777777" w:rsidTr="002F078E">
        <w:trPr>
          <w:trHeight w:val="60"/>
        </w:trPr>
        <w:tc>
          <w:tcPr>
            <w:tcW w:w="397" w:type="dxa"/>
            <w:shd w:val="clear" w:color="auto" w:fill="auto"/>
            <w:tcMar>
              <w:top w:w="57" w:type="dxa"/>
              <w:left w:w="0" w:type="dxa"/>
              <w:bottom w:w="57" w:type="dxa"/>
              <w:right w:w="0" w:type="dxa"/>
            </w:tcMar>
            <w:vAlign w:val="bottom"/>
          </w:tcPr>
          <w:p w14:paraId="04D66D54" w14:textId="77777777" w:rsidR="00080694" w:rsidRPr="00080694" w:rsidRDefault="00080694" w:rsidP="0098732C">
            <w:pPr>
              <w:contextualSpacing/>
              <w:rPr>
                <w:rFonts w:ascii="Tahoma" w:hAnsi="Tahoma"/>
                <w:color w:val="000000" w:themeColor="text1"/>
                <w:sz w:val="16"/>
                <w:lang w:val="en-GB"/>
              </w:rPr>
            </w:pPr>
          </w:p>
        </w:tc>
        <w:tc>
          <w:tcPr>
            <w:tcW w:w="4565" w:type="dxa"/>
            <w:shd w:val="clear" w:color="auto" w:fill="auto"/>
            <w:tcMar>
              <w:top w:w="57" w:type="dxa"/>
              <w:left w:w="0" w:type="dxa"/>
              <w:bottom w:w="57" w:type="dxa"/>
              <w:right w:w="0" w:type="dxa"/>
            </w:tcMar>
            <w:vAlign w:val="bottom"/>
          </w:tcPr>
          <w:p w14:paraId="312CD44F" w14:textId="77777777" w:rsidR="00080694" w:rsidRPr="00080694" w:rsidRDefault="00080694" w:rsidP="0098732C">
            <w:pPr>
              <w:contextualSpacing/>
              <w:rPr>
                <w:rFonts w:ascii="Tahoma" w:hAnsi="Tahoma"/>
                <w:color w:val="000000" w:themeColor="text1"/>
                <w:sz w:val="16"/>
                <w:lang w:val="en-GB"/>
              </w:rPr>
            </w:pPr>
            <w:r w:rsidRPr="00080694">
              <w:rPr>
                <w:rFonts w:ascii="Tahoma" w:hAnsi="Tahoma"/>
                <w:color w:val="000000" w:themeColor="text1"/>
                <w:sz w:val="16"/>
                <w:lang w:val="en-GB"/>
              </w:rPr>
              <w:t>Settlements/disposals</w:t>
            </w:r>
          </w:p>
        </w:tc>
        <w:tc>
          <w:tcPr>
            <w:tcW w:w="1283" w:type="dxa"/>
            <w:shd w:val="clear" w:color="auto" w:fill="auto"/>
            <w:tcMar>
              <w:top w:w="57" w:type="dxa"/>
              <w:left w:w="0" w:type="dxa"/>
              <w:bottom w:w="57" w:type="dxa"/>
              <w:right w:w="0" w:type="dxa"/>
            </w:tcMar>
            <w:vAlign w:val="bottom"/>
          </w:tcPr>
          <w:p w14:paraId="1FD9954C" w14:textId="77777777" w:rsidR="00080694" w:rsidRPr="00080694" w:rsidRDefault="00080694" w:rsidP="0098732C">
            <w:pPr>
              <w:contextualSpacing/>
              <w:jc w:val="right"/>
              <w:rPr>
                <w:rFonts w:ascii="Tahoma" w:hAnsi="Tahoma"/>
                <w:b/>
                <w:bCs/>
                <w:color w:val="000000" w:themeColor="text1"/>
                <w:sz w:val="16"/>
                <w:lang w:val="en-GB"/>
              </w:rPr>
            </w:pPr>
            <w:r w:rsidRPr="00080694">
              <w:rPr>
                <w:rFonts w:ascii="Tahoma" w:hAnsi="Tahoma"/>
                <w:b/>
                <w:bCs/>
                <w:color w:val="000000" w:themeColor="text1"/>
                <w:sz w:val="16"/>
                <w:lang w:val="en-GB"/>
              </w:rPr>
              <w:t>(62)</w:t>
            </w:r>
          </w:p>
        </w:tc>
        <w:tc>
          <w:tcPr>
            <w:tcW w:w="1268" w:type="dxa"/>
            <w:shd w:val="clear" w:color="auto" w:fill="auto"/>
            <w:tcMar>
              <w:top w:w="57" w:type="dxa"/>
              <w:left w:w="0" w:type="dxa"/>
              <w:bottom w:w="57" w:type="dxa"/>
              <w:right w:w="0" w:type="dxa"/>
            </w:tcMar>
            <w:vAlign w:val="bottom"/>
          </w:tcPr>
          <w:p w14:paraId="794139BB" w14:textId="77777777" w:rsidR="00080694" w:rsidRPr="00080694" w:rsidRDefault="00080694" w:rsidP="0098732C">
            <w:pPr>
              <w:contextualSpacing/>
              <w:jc w:val="right"/>
              <w:rPr>
                <w:rFonts w:ascii="Tahoma" w:hAnsi="Tahoma"/>
                <w:b/>
                <w:bCs/>
                <w:color w:val="000000" w:themeColor="text1"/>
                <w:sz w:val="16"/>
                <w:lang w:val="en-GB"/>
              </w:rPr>
            </w:pPr>
            <w:r w:rsidRPr="00080694">
              <w:rPr>
                <w:rFonts w:ascii="Tahoma" w:hAnsi="Tahoma"/>
                <w:b/>
                <w:bCs/>
                <w:color w:val="000000" w:themeColor="text1"/>
                <w:sz w:val="16"/>
                <w:lang w:val="en-GB"/>
              </w:rPr>
              <w:t>—</w:t>
            </w:r>
          </w:p>
        </w:tc>
        <w:tc>
          <w:tcPr>
            <w:tcW w:w="1418" w:type="dxa"/>
            <w:shd w:val="clear" w:color="auto" w:fill="auto"/>
            <w:tcMar>
              <w:top w:w="57" w:type="dxa"/>
              <w:left w:w="0" w:type="dxa"/>
              <w:bottom w:w="57" w:type="dxa"/>
              <w:right w:w="0" w:type="dxa"/>
            </w:tcMar>
            <w:vAlign w:val="bottom"/>
          </w:tcPr>
          <w:p w14:paraId="5650B2D1" w14:textId="77777777" w:rsidR="00080694" w:rsidRPr="00080694" w:rsidRDefault="00080694" w:rsidP="0098732C">
            <w:pPr>
              <w:contextualSpacing/>
              <w:jc w:val="right"/>
              <w:rPr>
                <w:rFonts w:ascii="Tahoma" w:hAnsi="Tahoma"/>
                <w:b/>
                <w:bCs/>
                <w:color w:val="000000" w:themeColor="text1"/>
                <w:sz w:val="16"/>
                <w:lang w:val="en-GB"/>
              </w:rPr>
            </w:pPr>
            <w:r w:rsidRPr="00080694">
              <w:rPr>
                <w:rFonts w:ascii="Tahoma" w:hAnsi="Tahoma"/>
                <w:b/>
                <w:bCs/>
                <w:color w:val="000000" w:themeColor="text1"/>
                <w:sz w:val="16"/>
                <w:lang w:val="en-GB"/>
              </w:rPr>
              <w:t>—</w:t>
            </w:r>
          </w:p>
        </w:tc>
        <w:tc>
          <w:tcPr>
            <w:tcW w:w="1275" w:type="dxa"/>
            <w:shd w:val="clear" w:color="auto" w:fill="auto"/>
            <w:tcMar>
              <w:top w:w="57" w:type="dxa"/>
              <w:left w:w="0" w:type="dxa"/>
              <w:bottom w:w="57" w:type="dxa"/>
              <w:right w:w="0" w:type="dxa"/>
            </w:tcMar>
            <w:vAlign w:val="bottom"/>
          </w:tcPr>
          <w:p w14:paraId="70E8EDBD" w14:textId="77777777" w:rsidR="00080694" w:rsidRPr="00080694" w:rsidRDefault="00080694" w:rsidP="0098732C">
            <w:pPr>
              <w:contextualSpacing/>
              <w:jc w:val="right"/>
              <w:rPr>
                <w:rFonts w:ascii="Tahoma" w:hAnsi="Tahoma"/>
                <w:b/>
                <w:bCs/>
                <w:color w:val="000000" w:themeColor="text1"/>
                <w:sz w:val="16"/>
                <w:lang w:val="en-GB"/>
              </w:rPr>
            </w:pPr>
            <w:r w:rsidRPr="00080694">
              <w:rPr>
                <w:rFonts w:ascii="Tahoma" w:hAnsi="Tahoma"/>
                <w:b/>
                <w:bCs/>
                <w:color w:val="000000" w:themeColor="text1"/>
                <w:sz w:val="16"/>
                <w:lang w:val="en-GB"/>
              </w:rPr>
              <w:t>(9)</w:t>
            </w:r>
          </w:p>
        </w:tc>
      </w:tr>
      <w:tr w:rsidR="00615190" w:rsidRPr="00080694" w14:paraId="5F8FA481" w14:textId="77777777" w:rsidTr="002F078E">
        <w:trPr>
          <w:trHeight w:val="60"/>
        </w:trPr>
        <w:tc>
          <w:tcPr>
            <w:tcW w:w="397" w:type="dxa"/>
            <w:shd w:val="clear" w:color="auto" w:fill="auto"/>
            <w:tcMar>
              <w:top w:w="57" w:type="dxa"/>
              <w:left w:w="0" w:type="dxa"/>
              <w:bottom w:w="57" w:type="dxa"/>
              <w:right w:w="0" w:type="dxa"/>
            </w:tcMar>
            <w:vAlign w:val="bottom"/>
          </w:tcPr>
          <w:p w14:paraId="0BB674EE" w14:textId="77777777" w:rsidR="00080694" w:rsidRPr="00080694" w:rsidRDefault="00080694" w:rsidP="0098732C">
            <w:pPr>
              <w:contextualSpacing/>
              <w:rPr>
                <w:rFonts w:ascii="Tahoma" w:hAnsi="Tahoma"/>
                <w:color w:val="000000" w:themeColor="text1"/>
                <w:sz w:val="16"/>
                <w:lang w:val="en-GB"/>
              </w:rPr>
            </w:pPr>
          </w:p>
        </w:tc>
        <w:tc>
          <w:tcPr>
            <w:tcW w:w="4565" w:type="dxa"/>
            <w:shd w:val="clear" w:color="auto" w:fill="auto"/>
            <w:tcMar>
              <w:top w:w="57" w:type="dxa"/>
              <w:left w:w="0" w:type="dxa"/>
              <w:bottom w:w="57" w:type="dxa"/>
              <w:right w:w="0" w:type="dxa"/>
            </w:tcMar>
            <w:vAlign w:val="bottom"/>
          </w:tcPr>
          <w:p w14:paraId="71B0890D" w14:textId="77777777" w:rsidR="00080694" w:rsidRPr="00080694" w:rsidRDefault="00080694" w:rsidP="0098732C">
            <w:pPr>
              <w:contextualSpacing/>
              <w:rPr>
                <w:rFonts w:ascii="Tahoma" w:hAnsi="Tahoma"/>
                <w:color w:val="000000" w:themeColor="text1"/>
                <w:sz w:val="16"/>
                <w:lang w:val="en-GB"/>
              </w:rPr>
            </w:pPr>
            <w:r w:rsidRPr="00080694">
              <w:rPr>
                <w:rFonts w:ascii="Tahoma" w:hAnsi="Tahoma"/>
                <w:color w:val="000000" w:themeColor="text1"/>
                <w:sz w:val="16"/>
                <w:lang w:val="en-GB"/>
              </w:rPr>
              <w:t>Transfer to held for sale</w:t>
            </w:r>
          </w:p>
        </w:tc>
        <w:tc>
          <w:tcPr>
            <w:tcW w:w="1283" w:type="dxa"/>
            <w:shd w:val="clear" w:color="auto" w:fill="auto"/>
            <w:tcMar>
              <w:top w:w="57" w:type="dxa"/>
              <w:left w:w="0" w:type="dxa"/>
              <w:bottom w:w="57" w:type="dxa"/>
              <w:right w:w="0" w:type="dxa"/>
            </w:tcMar>
            <w:vAlign w:val="bottom"/>
          </w:tcPr>
          <w:p w14:paraId="1C86B993" w14:textId="77777777" w:rsidR="00080694" w:rsidRPr="00080694" w:rsidRDefault="00080694" w:rsidP="0098732C">
            <w:pPr>
              <w:contextualSpacing/>
              <w:jc w:val="right"/>
              <w:rPr>
                <w:rFonts w:ascii="Tahoma" w:hAnsi="Tahoma"/>
                <w:b/>
                <w:bCs/>
                <w:color w:val="000000" w:themeColor="text1"/>
                <w:sz w:val="16"/>
                <w:lang w:val="en-GB"/>
              </w:rPr>
            </w:pPr>
            <w:r w:rsidRPr="00080694">
              <w:rPr>
                <w:rFonts w:ascii="Tahoma" w:hAnsi="Tahoma"/>
                <w:b/>
                <w:bCs/>
                <w:color w:val="000000" w:themeColor="text1"/>
                <w:sz w:val="16"/>
                <w:lang w:val="en-GB"/>
              </w:rPr>
              <w:t>—</w:t>
            </w:r>
          </w:p>
        </w:tc>
        <w:tc>
          <w:tcPr>
            <w:tcW w:w="1268" w:type="dxa"/>
            <w:shd w:val="clear" w:color="auto" w:fill="auto"/>
            <w:tcMar>
              <w:top w:w="57" w:type="dxa"/>
              <w:left w:w="0" w:type="dxa"/>
              <w:bottom w:w="57" w:type="dxa"/>
              <w:right w:w="0" w:type="dxa"/>
            </w:tcMar>
            <w:vAlign w:val="bottom"/>
          </w:tcPr>
          <w:p w14:paraId="778A0DFF" w14:textId="77777777" w:rsidR="00080694" w:rsidRPr="00080694" w:rsidRDefault="00080694" w:rsidP="0098732C">
            <w:pPr>
              <w:contextualSpacing/>
              <w:jc w:val="right"/>
              <w:rPr>
                <w:rFonts w:ascii="Tahoma" w:hAnsi="Tahoma"/>
                <w:b/>
                <w:bCs/>
                <w:color w:val="000000" w:themeColor="text1"/>
                <w:sz w:val="16"/>
                <w:lang w:val="en-GB"/>
              </w:rPr>
            </w:pPr>
            <w:r w:rsidRPr="00080694">
              <w:rPr>
                <w:rFonts w:ascii="Tahoma" w:hAnsi="Tahoma"/>
                <w:b/>
                <w:bCs/>
                <w:color w:val="000000" w:themeColor="text1"/>
                <w:sz w:val="16"/>
                <w:lang w:val="en-GB"/>
              </w:rPr>
              <w:t>(9)</w:t>
            </w:r>
          </w:p>
        </w:tc>
        <w:tc>
          <w:tcPr>
            <w:tcW w:w="1418" w:type="dxa"/>
            <w:shd w:val="clear" w:color="auto" w:fill="auto"/>
            <w:tcMar>
              <w:top w:w="57" w:type="dxa"/>
              <w:left w:w="0" w:type="dxa"/>
              <w:bottom w:w="57" w:type="dxa"/>
              <w:right w:w="0" w:type="dxa"/>
            </w:tcMar>
            <w:vAlign w:val="bottom"/>
          </w:tcPr>
          <w:p w14:paraId="0647E86D" w14:textId="77777777" w:rsidR="00080694" w:rsidRPr="00080694" w:rsidRDefault="00080694" w:rsidP="0098732C">
            <w:pPr>
              <w:contextualSpacing/>
              <w:jc w:val="right"/>
              <w:rPr>
                <w:rFonts w:ascii="Tahoma" w:hAnsi="Tahoma"/>
                <w:b/>
                <w:bCs/>
                <w:color w:val="000000" w:themeColor="text1"/>
                <w:sz w:val="16"/>
                <w:lang w:val="en-GB"/>
              </w:rPr>
            </w:pPr>
            <w:r w:rsidRPr="00080694">
              <w:rPr>
                <w:rFonts w:ascii="Tahoma" w:hAnsi="Tahoma"/>
                <w:b/>
                <w:bCs/>
                <w:color w:val="000000" w:themeColor="text1"/>
                <w:sz w:val="16"/>
                <w:lang w:val="en-GB"/>
              </w:rPr>
              <w:t>—</w:t>
            </w:r>
          </w:p>
        </w:tc>
        <w:tc>
          <w:tcPr>
            <w:tcW w:w="1275" w:type="dxa"/>
            <w:shd w:val="clear" w:color="auto" w:fill="auto"/>
            <w:tcMar>
              <w:top w:w="57" w:type="dxa"/>
              <w:left w:w="0" w:type="dxa"/>
              <w:bottom w:w="57" w:type="dxa"/>
              <w:right w:w="0" w:type="dxa"/>
            </w:tcMar>
            <w:vAlign w:val="bottom"/>
          </w:tcPr>
          <w:p w14:paraId="0FAC4995" w14:textId="77777777" w:rsidR="00080694" w:rsidRPr="00080694" w:rsidRDefault="00080694" w:rsidP="0098732C">
            <w:pPr>
              <w:contextualSpacing/>
              <w:jc w:val="right"/>
              <w:rPr>
                <w:rFonts w:ascii="Tahoma" w:hAnsi="Tahoma"/>
                <w:b/>
                <w:bCs/>
                <w:color w:val="000000" w:themeColor="text1"/>
                <w:sz w:val="16"/>
                <w:lang w:val="en-GB"/>
              </w:rPr>
            </w:pPr>
            <w:r w:rsidRPr="00080694">
              <w:rPr>
                <w:rFonts w:ascii="Tahoma" w:hAnsi="Tahoma"/>
                <w:b/>
                <w:bCs/>
                <w:color w:val="000000" w:themeColor="text1"/>
                <w:sz w:val="16"/>
                <w:lang w:val="en-GB"/>
              </w:rPr>
              <w:t>—</w:t>
            </w:r>
          </w:p>
        </w:tc>
      </w:tr>
      <w:tr w:rsidR="00615190" w:rsidRPr="00080694" w14:paraId="26230598" w14:textId="77777777" w:rsidTr="002F078E">
        <w:trPr>
          <w:trHeight w:val="60"/>
        </w:trPr>
        <w:tc>
          <w:tcPr>
            <w:tcW w:w="397" w:type="dxa"/>
            <w:shd w:val="clear" w:color="auto" w:fill="auto"/>
            <w:tcMar>
              <w:top w:w="57" w:type="dxa"/>
              <w:left w:w="0" w:type="dxa"/>
              <w:bottom w:w="85" w:type="dxa"/>
              <w:right w:w="0" w:type="dxa"/>
            </w:tcMar>
            <w:vAlign w:val="bottom"/>
          </w:tcPr>
          <w:p w14:paraId="24A6DEBA" w14:textId="77777777" w:rsidR="00080694" w:rsidRPr="00080694" w:rsidRDefault="00080694" w:rsidP="0098732C">
            <w:pPr>
              <w:contextualSpacing/>
              <w:rPr>
                <w:rFonts w:ascii="Tahoma" w:hAnsi="Tahoma"/>
                <w:color w:val="000000" w:themeColor="text1"/>
                <w:sz w:val="16"/>
                <w:lang w:val="en-GB"/>
              </w:rPr>
            </w:pPr>
          </w:p>
        </w:tc>
        <w:tc>
          <w:tcPr>
            <w:tcW w:w="4565" w:type="dxa"/>
            <w:tcBorders>
              <w:bottom w:val="single" w:sz="4" w:space="0" w:color="auto"/>
            </w:tcBorders>
            <w:shd w:val="clear" w:color="auto" w:fill="auto"/>
            <w:tcMar>
              <w:top w:w="57" w:type="dxa"/>
              <w:left w:w="0" w:type="dxa"/>
              <w:bottom w:w="85" w:type="dxa"/>
              <w:right w:w="0" w:type="dxa"/>
            </w:tcMar>
            <w:vAlign w:val="bottom"/>
          </w:tcPr>
          <w:p w14:paraId="30BB54B2" w14:textId="77777777" w:rsidR="00080694" w:rsidRPr="00080694" w:rsidRDefault="00080694" w:rsidP="0098732C">
            <w:pPr>
              <w:contextualSpacing/>
              <w:rPr>
                <w:rFonts w:ascii="Tahoma" w:hAnsi="Tahoma"/>
                <w:color w:val="000000" w:themeColor="text1"/>
                <w:sz w:val="16"/>
                <w:lang w:val="en-GB"/>
              </w:rPr>
            </w:pPr>
            <w:r w:rsidRPr="00080694">
              <w:rPr>
                <w:rFonts w:ascii="Tahoma" w:hAnsi="Tahoma"/>
                <w:color w:val="000000" w:themeColor="text1"/>
                <w:sz w:val="16"/>
                <w:lang w:val="en-GB"/>
              </w:rPr>
              <w:t>Foreign currency translation effects</w:t>
            </w:r>
          </w:p>
        </w:tc>
        <w:tc>
          <w:tcPr>
            <w:tcW w:w="1283" w:type="dxa"/>
            <w:tcBorders>
              <w:bottom w:val="single" w:sz="4" w:space="0" w:color="auto"/>
            </w:tcBorders>
            <w:shd w:val="clear" w:color="auto" w:fill="auto"/>
            <w:tcMar>
              <w:top w:w="57" w:type="dxa"/>
              <w:left w:w="0" w:type="dxa"/>
              <w:bottom w:w="85" w:type="dxa"/>
              <w:right w:w="0" w:type="dxa"/>
            </w:tcMar>
            <w:vAlign w:val="bottom"/>
          </w:tcPr>
          <w:p w14:paraId="1DAD0350" w14:textId="77777777" w:rsidR="00080694" w:rsidRPr="00080694" w:rsidRDefault="00080694" w:rsidP="0098732C">
            <w:pPr>
              <w:contextualSpacing/>
              <w:jc w:val="right"/>
              <w:rPr>
                <w:rFonts w:ascii="Tahoma" w:hAnsi="Tahoma"/>
                <w:b/>
                <w:bCs/>
                <w:color w:val="000000" w:themeColor="text1"/>
                <w:sz w:val="16"/>
                <w:lang w:val="en-GB"/>
              </w:rPr>
            </w:pPr>
            <w:r w:rsidRPr="00080694">
              <w:rPr>
                <w:rFonts w:ascii="Tahoma" w:hAnsi="Tahoma"/>
                <w:b/>
                <w:bCs/>
                <w:color w:val="000000" w:themeColor="text1"/>
                <w:sz w:val="16"/>
                <w:lang w:val="en-GB"/>
              </w:rPr>
              <w:t>(6)</w:t>
            </w:r>
          </w:p>
        </w:tc>
        <w:tc>
          <w:tcPr>
            <w:tcW w:w="1268" w:type="dxa"/>
            <w:tcBorders>
              <w:bottom w:val="single" w:sz="4" w:space="0" w:color="auto"/>
            </w:tcBorders>
            <w:shd w:val="clear" w:color="auto" w:fill="auto"/>
            <w:tcMar>
              <w:top w:w="57" w:type="dxa"/>
              <w:left w:w="0" w:type="dxa"/>
              <w:bottom w:w="85" w:type="dxa"/>
              <w:right w:w="0" w:type="dxa"/>
            </w:tcMar>
            <w:vAlign w:val="bottom"/>
          </w:tcPr>
          <w:p w14:paraId="1164D4F4" w14:textId="77777777" w:rsidR="00080694" w:rsidRPr="00080694" w:rsidRDefault="00080694" w:rsidP="0098732C">
            <w:pPr>
              <w:contextualSpacing/>
              <w:jc w:val="right"/>
              <w:rPr>
                <w:rFonts w:ascii="Tahoma" w:hAnsi="Tahoma"/>
                <w:b/>
                <w:bCs/>
                <w:color w:val="000000" w:themeColor="text1"/>
                <w:sz w:val="16"/>
                <w:lang w:val="en-GB"/>
              </w:rPr>
            </w:pPr>
            <w:r w:rsidRPr="00080694">
              <w:rPr>
                <w:rFonts w:ascii="Tahoma" w:hAnsi="Tahoma"/>
                <w:b/>
                <w:bCs/>
                <w:color w:val="000000" w:themeColor="text1"/>
                <w:sz w:val="16"/>
                <w:lang w:val="en-GB"/>
              </w:rPr>
              <w:t>—</w:t>
            </w:r>
          </w:p>
        </w:tc>
        <w:tc>
          <w:tcPr>
            <w:tcW w:w="1418" w:type="dxa"/>
            <w:tcBorders>
              <w:bottom w:val="single" w:sz="4" w:space="0" w:color="auto"/>
            </w:tcBorders>
            <w:shd w:val="clear" w:color="auto" w:fill="auto"/>
            <w:tcMar>
              <w:top w:w="57" w:type="dxa"/>
              <w:left w:w="0" w:type="dxa"/>
              <w:bottom w:w="85" w:type="dxa"/>
              <w:right w:w="0" w:type="dxa"/>
            </w:tcMar>
            <w:vAlign w:val="bottom"/>
          </w:tcPr>
          <w:p w14:paraId="644A53A7" w14:textId="77777777" w:rsidR="00080694" w:rsidRPr="00080694" w:rsidRDefault="00080694" w:rsidP="0098732C">
            <w:pPr>
              <w:contextualSpacing/>
              <w:jc w:val="right"/>
              <w:rPr>
                <w:rFonts w:ascii="Tahoma" w:hAnsi="Tahoma"/>
                <w:b/>
                <w:bCs/>
                <w:color w:val="000000" w:themeColor="text1"/>
                <w:sz w:val="16"/>
                <w:lang w:val="en-GB"/>
              </w:rPr>
            </w:pPr>
            <w:r w:rsidRPr="00080694">
              <w:rPr>
                <w:rFonts w:ascii="Tahoma" w:hAnsi="Tahoma"/>
                <w:b/>
                <w:bCs/>
                <w:color w:val="000000" w:themeColor="text1"/>
                <w:sz w:val="16"/>
                <w:lang w:val="en-GB"/>
              </w:rPr>
              <w:t>2</w:t>
            </w:r>
          </w:p>
        </w:tc>
        <w:tc>
          <w:tcPr>
            <w:tcW w:w="1275" w:type="dxa"/>
            <w:tcBorders>
              <w:bottom w:val="single" w:sz="4" w:space="0" w:color="auto"/>
            </w:tcBorders>
            <w:shd w:val="clear" w:color="auto" w:fill="auto"/>
            <w:tcMar>
              <w:top w:w="57" w:type="dxa"/>
              <w:left w:w="0" w:type="dxa"/>
              <w:bottom w:w="85" w:type="dxa"/>
              <w:right w:w="0" w:type="dxa"/>
            </w:tcMar>
            <w:vAlign w:val="bottom"/>
          </w:tcPr>
          <w:p w14:paraId="127824A8" w14:textId="77777777" w:rsidR="00080694" w:rsidRPr="00080694" w:rsidRDefault="00080694" w:rsidP="0098732C">
            <w:pPr>
              <w:contextualSpacing/>
              <w:jc w:val="right"/>
              <w:rPr>
                <w:rFonts w:ascii="Tahoma" w:hAnsi="Tahoma"/>
                <w:b/>
                <w:bCs/>
                <w:color w:val="000000" w:themeColor="text1"/>
                <w:sz w:val="16"/>
                <w:lang w:val="en-GB"/>
              </w:rPr>
            </w:pPr>
            <w:r w:rsidRPr="00080694">
              <w:rPr>
                <w:rFonts w:ascii="Tahoma" w:hAnsi="Tahoma"/>
                <w:b/>
                <w:bCs/>
                <w:color w:val="000000" w:themeColor="text1"/>
                <w:sz w:val="16"/>
                <w:lang w:val="en-GB"/>
              </w:rPr>
              <w:t>—</w:t>
            </w:r>
          </w:p>
        </w:tc>
      </w:tr>
      <w:tr w:rsidR="00615190" w:rsidRPr="00080694" w14:paraId="1F7EC66E" w14:textId="77777777" w:rsidTr="002F078E">
        <w:trPr>
          <w:trHeight w:val="60"/>
        </w:trPr>
        <w:tc>
          <w:tcPr>
            <w:tcW w:w="397" w:type="dxa"/>
            <w:shd w:val="clear" w:color="auto" w:fill="auto"/>
            <w:tcMar>
              <w:top w:w="85" w:type="dxa"/>
              <w:left w:w="0" w:type="dxa"/>
              <w:bottom w:w="85" w:type="dxa"/>
              <w:right w:w="0" w:type="dxa"/>
            </w:tcMar>
            <w:vAlign w:val="bottom"/>
          </w:tcPr>
          <w:p w14:paraId="289A536A" w14:textId="77777777" w:rsidR="00080694" w:rsidRPr="00080694" w:rsidRDefault="00080694" w:rsidP="0098732C">
            <w:pPr>
              <w:contextualSpacing/>
              <w:rPr>
                <w:rFonts w:ascii="Tahoma" w:hAnsi="Tahoma"/>
                <w:color w:val="000000" w:themeColor="text1"/>
                <w:sz w:val="16"/>
                <w:lang w:val="en-GB"/>
              </w:rPr>
            </w:pPr>
          </w:p>
        </w:tc>
        <w:tc>
          <w:tcPr>
            <w:tcW w:w="4565"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437ED004" w14:textId="77777777" w:rsidR="00080694" w:rsidRPr="00080694" w:rsidRDefault="00080694" w:rsidP="0098732C">
            <w:pPr>
              <w:contextualSpacing/>
              <w:rPr>
                <w:rFonts w:ascii="Tahoma" w:hAnsi="Tahoma"/>
                <w:b/>
                <w:bCs/>
                <w:color w:val="000000" w:themeColor="text1"/>
                <w:sz w:val="16"/>
                <w:lang w:val="en-GB"/>
              </w:rPr>
            </w:pPr>
            <w:r w:rsidRPr="00080694">
              <w:rPr>
                <w:rFonts w:ascii="Tahoma" w:hAnsi="Tahoma"/>
                <w:b/>
                <w:bCs/>
                <w:color w:val="000000" w:themeColor="text1"/>
                <w:sz w:val="16"/>
                <w:lang w:val="en-GB"/>
              </w:rPr>
              <w:t>Balance at 30 September 2022</w:t>
            </w:r>
          </w:p>
        </w:tc>
        <w:tc>
          <w:tcPr>
            <w:tcW w:w="1283"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72FF005E" w14:textId="77777777" w:rsidR="00080694" w:rsidRPr="00080694" w:rsidRDefault="00080694" w:rsidP="0098732C">
            <w:pPr>
              <w:contextualSpacing/>
              <w:jc w:val="right"/>
              <w:rPr>
                <w:rFonts w:ascii="Tahoma" w:hAnsi="Tahoma"/>
                <w:b/>
                <w:bCs/>
                <w:color w:val="000000" w:themeColor="text1"/>
                <w:sz w:val="16"/>
                <w:lang w:val="en-GB"/>
              </w:rPr>
            </w:pPr>
            <w:r w:rsidRPr="00080694">
              <w:rPr>
                <w:rFonts w:ascii="Tahoma" w:hAnsi="Tahoma"/>
                <w:b/>
                <w:bCs/>
                <w:color w:val="000000" w:themeColor="text1"/>
                <w:sz w:val="16"/>
                <w:lang w:val="en-GB"/>
              </w:rPr>
              <w:t>1 674</w:t>
            </w:r>
          </w:p>
        </w:tc>
        <w:tc>
          <w:tcPr>
            <w:tcW w:w="1268"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3BBE0AF6" w14:textId="77777777" w:rsidR="00080694" w:rsidRPr="00080694" w:rsidRDefault="00080694" w:rsidP="0098732C">
            <w:pPr>
              <w:contextualSpacing/>
              <w:jc w:val="right"/>
              <w:rPr>
                <w:rFonts w:ascii="Tahoma" w:hAnsi="Tahoma"/>
                <w:b/>
                <w:bCs/>
                <w:color w:val="000000" w:themeColor="text1"/>
                <w:sz w:val="16"/>
                <w:lang w:val="en-GB"/>
              </w:rPr>
            </w:pPr>
            <w:r w:rsidRPr="00080694">
              <w:rPr>
                <w:rFonts w:ascii="Tahoma" w:hAnsi="Tahoma"/>
                <w:b/>
                <w:bCs/>
                <w:color w:val="000000" w:themeColor="text1"/>
                <w:sz w:val="16"/>
                <w:lang w:val="en-GB"/>
              </w:rPr>
              <w:t>79</w:t>
            </w:r>
          </w:p>
        </w:tc>
        <w:tc>
          <w:tcPr>
            <w:tcW w:w="1418"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04B7601B" w14:textId="77777777" w:rsidR="00080694" w:rsidRPr="00080694" w:rsidRDefault="00080694" w:rsidP="0098732C">
            <w:pPr>
              <w:contextualSpacing/>
              <w:jc w:val="right"/>
              <w:rPr>
                <w:rFonts w:ascii="Tahoma" w:hAnsi="Tahoma"/>
                <w:b/>
                <w:bCs/>
                <w:color w:val="000000" w:themeColor="text1"/>
                <w:sz w:val="16"/>
                <w:lang w:val="en-GB"/>
              </w:rPr>
            </w:pPr>
            <w:r w:rsidRPr="00080694">
              <w:rPr>
                <w:rFonts w:ascii="Tahoma" w:hAnsi="Tahoma"/>
                <w:b/>
                <w:bCs/>
                <w:color w:val="000000" w:themeColor="text1"/>
                <w:sz w:val="16"/>
                <w:lang w:val="en-GB"/>
              </w:rPr>
              <w:t>(22)</w:t>
            </w:r>
          </w:p>
        </w:tc>
        <w:tc>
          <w:tcPr>
            <w:tcW w:w="1275"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09EE8C08" w14:textId="77777777" w:rsidR="00080694" w:rsidRPr="00080694" w:rsidRDefault="00080694" w:rsidP="0098732C">
            <w:pPr>
              <w:contextualSpacing/>
              <w:jc w:val="right"/>
              <w:rPr>
                <w:rFonts w:ascii="Tahoma" w:hAnsi="Tahoma"/>
                <w:b/>
                <w:bCs/>
                <w:color w:val="000000" w:themeColor="text1"/>
                <w:sz w:val="16"/>
                <w:lang w:val="en-GB"/>
              </w:rPr>
            </w:pPr>
            <w:r w:rsidRPr="00080694">
              <w:rPr>
                <w:rFonts w:ascii="Tahoma" w:hAnsi="Tahoma"/>
                <w:b/>
                <w:bCs/>
                <w:color w:val="000000" w:themeColor="text1"/>
                <w:sz w:val="16"/>
                <w:lang w:val="en-GB"/>
              </w:rPr>
              <w:t>—</w:t>
            </w:r>
          </w:p>
        </w:tc>
      </w:tr>
      <w:tr w:rsidR="00615190" w:rsidRPr="00080694" w14:paraId="7C628276" w14:textId="77777777" w:rsidTr="00605924">
        <w:trPr>
          <w:trHeight w:hRule="exact" w:val="226"/>
        </w:trPr>
        <w:tc>
          <w:tcPr>
            <w:tcW w:w="397" w:type="dxa"/>
            <w:shd w:val="clear" w:color="auto" w:fill="auto"/>
            <w:tcMar>
              <w:top w:w="57" w:type="dxa"/>
              <w:left w:w="0" w:type="dxa"/>
              <w:bottom w:w="57" w:type="dxa"/>
              <w:right w:w="0" w:type="dxa"/>
            </w:tcMar>
            <w:vAlign w:val="bottom"/>
          </w:tcPr>
          <w:p w14:paraId="5D8F344A" w14:textId="77777777" w:rsidR="00080694" w:rsidRPr="00080694" w:rsidRDefault="00080694" w:rsidP="0098732C">
            <w:pPr>
              <w:contextualSpacing/>
              <w:rPr>
                <w:rFonts w:ascii="Tahoma" w:hAnsi="Tahoma"/>
                <w:color w:val="000000" w:themeColor="text1"/>
                <w:sz w:val="16"/>
                <w:lang w:val="en-GB"/>
              </w:rPr>
            </w:pPr>
          </w:p>
        </w:tc>
        <w:tc>
          <w:tcPr>
            <w:tcW w:w="9809" w:type="dxa"/>
            <w:gridSpan w:val="5"/>
            <w:tcBorders>
              <w:top w:val="single" w:sz="12" w:space="0" w:color="auto"/>
            </w:tcBorders>
            <w:shd w:val="clear" w:color="auto" w:fill="auto"/>
            <w:tcMar>
              <w:top w:w="57" w:type="dxa"/>
              <w:left w:w="0" w:type="dxa"/>
              <w:bottom w:w="57" w:type="dxa"/>
              <w:right w:w="0" w:type="dxa"/>
            </w:tcMar>
            <w:vAlign w:val="bottom"/>
          </w:tcPr>
          <w:p w14:paraId="59D5DBEA" w14:textId="77777777" w:rsidR="00080694" w:rsidRPr="00080694" w:rsidRDefault="00080694" w:rsidP="0098732C">
            <w:pPr>
              <w:contextualSpacing/>
              <w:rPr>
                <w:rFonts w:ascii="Tahoma" w:hAnsi="Tahoma"/>
                <w:color w:val="000000" w:themeColor="text1"/>
                <w:sz w:val="16"/>
                <w:lang w:val="en-GB"/>
              </w:rPr>
            </w:pPr>
          </w:p>
        </w:tc>
      </w:tr>
      <w:tr w:rsidR="00615190" w:rsidRPr="00080694" w14:paraId="33E7412F" w14:textId="77777777" w:rsidTr="00F35171">
        <w:trPr>
          <w:trHeight w:val="60"/>
        </w:trPr>
        <w:tc>
          <w:tcPr>
            <w:tcW w:w="397" w:type="dxa"/>
            <w:shd w:val="clear" w:color="auto" w:fill="auto"/>
            <w:tcMar>
              <w:top w:w="85" w:type="dxa"/>
              <w:left w:w="0" w:type="dxa"/>
              <w:bottom w:w="85" w:type="dxa"/>
              <w:right w:w="0" w:type="dxa"/>
            </w:tcMar>
            <w:vAlign w:val="bottom"/>
          </w:tcPr>
          <w:p w14:paraId="6A33DCA1" w14:textId="77777777" w:rsidR="00080694" w:rsidRPr="00080694" w:rsidRDefault="00080694" w:rsidP="0098732C">
            <w:pPr>
              <w:contextualSpacing/>
              <w:rPr>
                <w:rFonts w:ascii="Tahoma" w:hAnsi="Tahoma"/>
                <w:color w:val="000000" w:themeColor="text1"/>
                <w:sz w:val="16"/>
                <w:lang w:val="en-GB"/>
              </w:rPr>
            </w:pPr>
          </w:p>
        </w:tc>
        <w:tc>
          <w:tcPr>
            <w:tcW w:w="4565" w:type="dxa"/>
            <w:shd w:val="clear" w:color="auto" w:fill="auto"/>
            <w:tcMar>
              <w:top w:w="85" w:type="dxa"/>
              <w:left w:w="0" w:type="dxa"/>
              <w:bottom w:w="85" w:type="dxa"/>
              <w:right w:w="0" w:type="dxa"/>
            </w:tcMar>
            <w:vAlign w:val="bottom"/>
          </w:tcPr>
          <w:p w14:paraId="62A3FEC1" w14:textId="77777777" w:rsidR="00080694" w:rsidRPr="00080694" w:rsidRDefault="00080694" w:rsidP="0098732C">
            <w:pPr>
              <w:contextualSpacing/>
              <w:rPr>
                <w:rFonts w:ascii="Tahoma" w:hAnsi="Tahoma"/>
                <w:color w:val="000000" w:themeColor="text1"/>
                <w:sz w:val="16"/>
                <w:lang w:val="en-GB"/>
              </w:rPr>
            </w:pPr>
          </w:p>
        </w:tc>
        <w:tc>
          <w:tcPr>
            <w:tcW w:w="5244" w:type="dxa"/>
            <w:gridSpan w:val="4"/>
            <w:shd w:val="clear" w:color="auto" w:fill="auto"/>
            <w:tcMar>
              <w:top w:w="85" w:type="dxa"/>
              <w:left w:w="0" w:type="dxa"/>
              <w:bottom w:w="85" w:type="dxa"/>
              <w:right w:w="0" w:type="dxa"/>
            </w:tcMar>
            <w:vAlign w:val="bottom"/>
          </w:tcPr>
          <w:p w14:paraId="48710C07" w14:textId="77777777" w:rsidR="00080694" w:rsidRPr="00080694" w:rsidRDefault="00080694" w:rsidP="0098732C">
            <w:pPr>
              <w:contextualSpacing/>
              <w:jc w:val="center"/>
              <w:rPr>
                <w:rFonts w:ascii="Tahoma" w:hAnsi="Tahoma"/>
                <w:b/>
                <w:bCs/>
                <w:color w:val="000000" w:themeColor="text1"/>
                <w:sz w:val="16"/>
                <w:lang w:val="en-GB"/>
              </w:rPr>
            </w:pPr>
            <w:r w:rsidRPr="00080694">
              <w:rPr>
                <w:rFonts w:ascii="Tahoma" w:hAnsi="Tahoma"/>
                <w:b/>
                <w:bCs/>
                <w:color w:val="000000" w:themeColor="text1"/>
                <w:sz w:val="16"/>
                <w:lang w:val="en-GB"/>
              </w:rPr>
              <w:t>31 March 2022</w:t>
            </w:r>
          </w:p>
        </w:tc>
      </w:tr>
      <w:tr w:rsidR="00615190" w:rsidRPr="00080694" w14:paraId="50B0D695" w14:textId="77777777" w:rsidTr="002F078E">
        <w:trPr>
          <w:trHeight w:val="60"/>
        </w:trPr>
        <w:tc>
          <w:tcPr>
            <w:tcW w:w="397" w:type="dxa"/>
            <w:shd w:val="clear" w:color="auto" w:fill="auto"/>
            <w:tcMar>
              <w:top w:w="113" w:type="dxa"/>
              <w:left w:w="0" w:type="dxa"/>
              <w:bottom w:w="113" w:type="dxa"/>
              <w:right w:w="0" w:type="dxa"/>
            </w:tcMar>
            <w:vAlign w:val="bottom"/>
          </w:tcPr>
          <w:p w14:paraId="49BC7D58" w14:textId="77777777" w:rsidR="00080694" w:rsidRPr="00080694" w:rsidRDefault="00080694" w:rsidP="0098732C">
            <w:pPr>
              <w:contextualSpacing/>
              <w:rPr>
                <w:rFonts w:ascii="Tahoma" w:hAnsi="Tahoma"/>
                <w:color w:val="000000" w:themeColor="text1"/>
                <w:sz w:val="16"/>
                <w:lang w:val="en-GB"/>
              </w:rPr>
            </w:pPr>
          </w:p>
        </w:tc>
        <w:tc>
          <w:tcPr>
            <w:tcW w:w="4565" w:type="dxa"/>
            <w:tcBorders>
              <w:bottom w:val="single" w:sz="12" w:space="0" w:color="auto"/>
            </w:tcBorders>
            <w:shd w:val="clear" w:color="auto" w:fill="auto"/>
            <w:tcMar>
              <w:top w:w="113" w:type="dxa"/>
              <w:left w:w="0" w:type="dxa"/>
              <w:bottom w:w="113" w:type="dxa"/>
              <w:right w:w="0" w:type="dxa"/>
            </w:tcMar>
            <w:vAlign w:val="bottom"/>
          </w:tcPr>
          <w:p w14:paraId="5F216791" w14:textId="77777777" w:rsidR="00080694" w:rsidRPr="00080694" w:rsidRDefault="00080694" w:rsidP="0098732C">
            <w:pPr>
              <w:contextualSpacing/>
              <w:rPr>
                <w:rFonts w:ascii="Tahoma" w:hAnsi="Tahoma"/>
                <w:color w:val="000000" w:themeColor="text1"/>
                <w:sz w:val="16"/>
                <w:lang w:val="en-GB"/>
              </w:rPr>
            </w:pPr>
          </w:p>
        </w:tc>
        <w:tc>
          <w:tcPr>
            <w:tcW w:w="1283" w:type="dxa"/>
            <w:tcBorders>
              <w:bottom w:val="single" w:sz="12" w:space="0" w:color="auto"/>
            </w:tcBorders>
            <w:shd w:val="clear" w:color="auto" w:fill="auto"/>
            <w:tcMar>
              <w:top w:w="113" w:type="dxa"/>
              <w:left w:w="0" w:type="dxa"/>
              <w:bottom w:w="113" w:type="dxa"/>
              <w:right w:w="0" w:type="dxa"/>
            </w:tcMar>
            <w:vAlign w:val="bottom"/>
          </w:tcPr>
          <w:p w14:paraId="1F8F1446" w14:textId="77777777" w:rsidR="00080694" w:rsidRPr="00080694" w:rsidRDefault="00080694" w:rsidP="0098732C">
            <w:pPr>
              <w:contextualSpacing/>
              <w:jc w:val="right"/>
              <w:rPr>
                <w:rFonts w:ascii="Tahoma" w:hAnsi="Tahoma"/>
                <w:color w:val="000000" w:themeColor="text1"/>
                <w:sz w:val="16"/>
                <w:lang w:val="en-GB"/>
              </w:rPr>
            </w:pPr>
            <w:r w:rsidRPr="00080694">
              <w:rPr>
                <w:rFonts w:ascii="Tahoma" w:hAnsi="Tahoma"/>
                <w:color w:val="000000" w:themeColor="text1"/>
                <w:sz w:val="16"/>
                <w:lang w:val="en-GB"/>
              </w:rPr>
              <w:t xml:space="preserve">Financial </w:t>
            </w:r>
          </w:p>
          <w:p w14:paraId="4F0978CD" w14:textId="77777777" w:rsidR="00080694" w:rsidRPr="00080694" w:rsidRDefault="00080694" w:rsidP="0098732C">
            <w:pPr>
              <w:contextualSpacing/>
              <w:jc w:val="right"/>
              <w:rPr>
                <w:rFonts w:ascii="Tahoma" w:hAnsi="Tahoma"/>
                <w:color w:val="000000" w:themeColor="text1"/>
                <w:sz w:val="16"/>
                <w:lang w:val="en-GB"/>
              </w:rPr>
            </w:pPr>
            <w:r w:rsidRPr="00080694">
              <w:rPr>
                <w:rFonts w:ascii="Tahoma" w:hAnsi="Tahoma"/>
                <w:color w:val="000000" w:themeColor="text1"/>
                <w:sz w:val="16"/>
                <w:lang w:val="en-GB"/>
              </w:rPr>
              <w:t xml:space="preserve">assets at </w:t>
            </w:r>
          </w:p>
          <w:p w14:paraId="396C333B" w14:textId="77777777" w:rsidR="00080694" w:rsidRPr="00080694" w:rsidRDefault="00080694" w:rsidP="0098732C">
            <w:pPr>
              <w:contextualSpacing/>
              <w:jc w:val="right"/>
              <w:rPr>
                <w:rFonts w:ascii="Tahoma" w:hAnsi="Tahoma"/>
                <w:color w:val="000000" w:themeColor="text1"/>
                <w:sz w:val="16"/>
                <w:lang w:val="en-GB"/>
              </w:rPr>
            </w:pPr>
            <w:r w:rsidRPr="00080694">
              <w:rPr>
                <w:rFonts w:ascii="Tahoma" w:hAnsi="Tahoma"/>
                <w:color w:val="000000" w:themeColor="text1"/>
                <w:sz w:val="16"/>
                <w:lang w:val="en-GB"/>
              </w:rPr>
              <w:t>FVOCI</w:t>
            </w:r>
            <w:r w:rsidRPr="002F078E">
              <w:rPr>
                <w:rFonts w:ascii="Tahoma" w:hAnsi="Tahoma"/>
                <w:color w:val="000000" w:themeColor="text1"/>
                <w:sz w:val="16"/>
                <w:vertAlign w:val="superscript"/>
                <w:lang w:val="en-GB"/>
              </w:rPr>
              <w:t>1</w:t>
            </w:r>
          </w:p>
          <w:p w14:paraId="06F62159" w14:textId="77777777" w:rsidR="00080694" w:rsidRPr="00080694" w:rsidRDefault="00080694" w:rsidP="0098732C">
            <w:pPr>
              <w:contextualSpacing/>
              <w:jc w:val="right"/>
              <w:rPr>
                <w:rFonts w:ascii="Tahoma" w:hAnsi="Tahoma"/>
                <w:color w:val="000000" w:themeColor="text1"/>
                <w:sz w:val="16"/>
                <w:lang w:val="en-GB"/>
              </w:rPr>
            </w:pPr>
            <w:proofErr w:type="spellStart"/>
            <w:r w:rsidRPr="00080694">
              <w:rPr>
                <w:rFonts w:ascii="Tahoma" w:hAnsi="Tahoma"/>
                <w:color w:val="000000" w:themeColor="text1"/>
                <w:sz w:val="16"/>
                <w:lang w:val="en-GB"/>
              </w:rPr>
              <w:t>US$’m</w:t>
            </w:r>
            <w:proofErr w:type="spellEnd"/>
          </w:p>
        </w:tc>
        <w:tc>
          <w:tcPr>
            <w:tcW w:w="1268" w:type="dxa"/>
            <w:tcBorders>
              <w:bottom w:val="single" w:sz="12" w:space="0" w:color="auto"/>
            </w:tcBorders>
            <w:shd w:val="clear" w:color="auto" w:fill="auto"/>
            <w:tcMar>
              <w:top w:w="113" w:type="dxa"/>
              <w:left w:w="0" w:type="dxa"/>
              <w:bottom w:w="113" w:type="dxa"/>
              <w:right w:w="0" w:type="dxa"/>
            </w:tcMar>
            <w:vAlign w:val="bottom"/>
          </w:tcPr>
          <w:p w14:paraId="2B6A0EAD" w14:textId="77777777" w:rsidR="00080694" w:rsidRPr="00080694" w:rsidRDefault="00080694" w:rsidP="0098732C">
            <w:pPr>
              <w:contextualSpacing/>
              <w:jc w:val="right"/>
              <w:rPr>
                <w:rFonts w:ascii="Tahoma" w:hAnsi="Tahoma"/>
                <w:color w:val="000000" w:themeColor="text1"/>
                <w:sz w:val="16"/>
                <w:lang w:val="en-GB"/>
              </w:rPr>
            </w:pPr>
            <w:r w:rsidRPr="00080694">
              <w:rPr>
                <w:rFonts w:ascii="Tahoma" w:hAnsi="Tahoma"/>
                <w:color w:val="000000" w:themeColor="text1"/>
                <w:sz w:val="16"/>
                <w:lang w:val="en-GB"/>
              </w:rPr>
              <w:t>Financial</w:t>
            </w:r>
          </w:p>
          <w:p w14:paraId="1EC1D74B" w14:textId="77777777" w:rsidR="00080694" w:rsidRPr="00080694" w:rsidRDefault="00080694" w:rsidP="0098732C">
            <w:pPr>
              <w:contextualSpacing/>
              <w:jc w:val="right"/>
              <w:rPr>
                <w:rFonts w:ascii="Tahoma" w:hAnsi="Tahoma"/>
                <w:color w:val="000000" w:themeColor="text1"/>
                <w:sz w:val="16"/>
                <w:lang w:val="en-GB"/>
              </w:rPr>
            </w:pPr>
            <w:r w:rsidRPr="00080694">
              <w:rPr>
                <w:rFonts w:ascii="Tahoma" w:hAnsi="Tahoma"/>
                <w:color w:val="000000" w:themeColor="text1"/>
                <w:sz w:val="16"/>
                <w:lang w:val="en-GB"/>
              </w:rPr>
              <w:t>assets at</w:t>
            </w:r>
          </w:p>
          <w:p w14:paraId="0D6D26ED" w14:textId="77777777" w:rsidR="00080694" w:rsidRPr="00080694" w:rsidRDefault="00080694" w:rsidP="0098732C">
            <w:pPr>
              <w:contextualSpacing/>
              <w:jc w:val="right"/>
              <w:rPr>
                <w:rFonts w:ascii="Tahoma" w:hAnsi="Tahoma"/>
                <w:color w:val="000000" w:themeColor="text1"/>
                <w:sz w:val="16"/>
                <w:lang w:val="en-GB"/>
              </w:rPr>
            </w:pPr>
            <w:r w:rsidRPr="00080694">
              <w:rPr>
                <w:rFonts w:ascii="Tahoma" w:hAnsi="Tahoma"/>
                <w:color w:val="000000" w:themeColor="text1"/>
                <w:sz w:val="16"/>
                <w:lang w:val="en-GB"/>
              </w:rPr>
              <w:t>FVPL</w:t>
            </w:r>
            <w:r w:rsidRPr="002F078E">
              <w:rPr>
                <w:rFonts w:ascii="Tahoma" w:hAnsi="Tahoma"/>
                <w:color w:val="000000" w:themeColor="text1"/>
                <w:sz w:val="16"/>
                <w:vertAlign w:val="superscript"/>
                <w:lang w:val="en-GB"/>
              </w:rPr>
              <w:t>2</w:t>
            </w:r>
          </w:p>
          <w:p w14:paraId="2F7AFAEF" w14:textId="77777777" w:rsidR="00080694" w:rsidRPr="00080694" w:rsidRDefault="00080694" w:rsidP="0098732C">
            <w:pPr>
              <w:contextualSpacing/>
              <w:jc w:val="right"/>
              <w:rPr>
                <w:rFonts w:ascii="Tahoma" w:hAnsi="Tahoma"/>
                <w:color w:val="000000" w:themeColor="text1"/>
                <w:sz w:val="16"/>
                <w:lang w:val="en-GB"/>
              </w:rPr>
            </w:pPr>
            <w:proofErr w:type="spellStart"/>
            <w:r w:rsidRPr="00080694">
              <w:rPr>
                <w:rFonts w:ascii="Tahoma" w:hAnsi="Tahoma"/>
                <w:color w:val="000000" w:themeColor="text1"/>
                <w:sz w:val="16"/>
                <w:lang w:val="en-GB"/>
              </w:rPr>
              <w:t>US$’m</w:t>
            </w:r>
            <w:proofErr w:type="spellEnd"/>
          </w:p>
        </w:tc>
        <w:tc>
          <w:tcPr>
            <w:tcW w:w="1418" w:type="dxa"/>
            <w:tcBorders>
              <w:bottom w:val="single" w:sz="12" w:space="0" w:color="auto"/>
            </w:tcBorders>
            <w:shd w:val="clear" w:color="auto" w:fill="auto"/>
            <w:tcMar>
              <w:top w:w="113" w:type="dxa"/>
              <w:left w:w="0" w:type="dxa"/>
              <w:bottom w:w="113" w:type="dxa"/>
              <w:right w:w="0" w:type="dxa"/>
            </w:tcMar>
            <w:vAlign w:val="bottom"/>
          </w:tcPr>
          <w:p w14:paraId="1BF97C71" w14:textId="77777777" w:rsidR="00080694" w:rsidRPr="00080694" w:rsidRDefault="00080694" w:rsidP="0098732C">
            <w:pPr>
              <w:contextualSpacing/>
              <w:jc w:val="right"/>
              <w:rPr>
                <w:rFonts w:ascii="Tahoma" w:hAnsi="Tahoma"/>
                <w:color w:val="000000" w:themeColor="text1"/>
                <w:sz w:val="16"/>
                <w:lang w:val="en-GB"/>
              </w:rPr>
            </w:pPr>
            <w:r w:rsidRPr="00080694">
              <w:rPr>
                <w:rFonts w:ascii="Tahoma" w:hAnsi="Tahoma"/>
                <w:color w:val="000000" w:themeColor="text1"/>
                <w:sz w:val="16"/>
                <w:lang w:val="en-GB"/>
              </w:rPr>
              <w:t>Earn-out</w:t>
            </w:r>
          </w:p>
          <w:p w14:paraId="4D27B7D1" w14:textId="77777777" w:rsidR="00080694" w:rsidRPr="00080694" w:rsidRDefault="00080694" w:rsidP="0098732C">
            <w:pPr>
              <w:contextualSpacing/>
              <w:jc w:val="right"/>
              <w:rPr>
                <w:rFonts w:ascii="Tahoma" w:hAnsi="Tahoma"/>
                <w:color w:val="000000" w:themeColor="text1"/>
                <w:sz w:val="16"/>
                <w:lang w:val="en-GB"/>
              </w:rPr>
            </w:pPr>
            <w:r w:rsidRPr="00080694">
              <w:rPr>
                <w:rFonts w:ascii="Tahoma" w:hAnsi="Tahoma"/>
                <w:color w:val="000000" w:themeColor="text1"/>
                <w:sz w:val="16"/>
                <w:lang w:val="en-GB"/>
              </w:rPr>
              <w:t>obligations</w:t>
            </w:r>
          </w:p>
          <w:p w14:paraId="07C3B2AF" w14:textId="77777777" w:rsidR="00080694" w:rsidRPr="00080694" w:rsidRDefault="00080694" w:rsidP="0098732C">
            <w:pPr>
              <w:contextualSpacing/>
              <w:jc w:val="right"/>
              <w:rPr>
                <w:rFonts w:ascii="Tahoma" w:hAnsi="Tahoma"/>
                <w:color w:val="000000" w:themeColor="text1"/>
                <w:sz w:val="16"/>
                <w:lang w:val="en-GB"/>
              </w:rPr>
            </w:pPr>
            <w:proofErr w:type="spellStart"/>
            <w:r w:rsidRPr="00080694">
              <w:rPr>
                <w:rFonts w:ascii="Tahoma" w:hAnsi="Tahoma"/>
                <w:color w:val="000000" w:themeColor="text1"/>
                <w:sz w:val="16"/>
                <w:lang w:val="en-GB"/>
              </w:rPr>
              <w:t>US$’m</w:t>
            </w:r>
            <w:proofErr w:type="spellEnd"/>
          </w:p>
        </w:tc>
        <w:tc>
          <w:tcPr>
            <w:tcW w:w="1275" w:type="dxa"/>
            <w:tcBorders>
              <w:bottom w:val="single" w:sz="12" w:space="0" w:color="auto"/>
            </w:tcBorders>
            <w:shd w:val="clear" w:color="auto" w:fill="auto"/>
            <w:tcMar>
              <w:top w:w="113" w:type="dxa"/>
              <w:left w:w="0" w:type="dxa"/>
              <w:bottom w:w="113" w:type="dxa"/>
              <w:right w:w="0" w:type="dxa"/>
            </w:tcMar>
            <w:vAlign w:val="bottom"/>
          </w:tcPr>
          <w:p w14:paraId="79AA8A4F" w14:textId="77777777" w:rsidR="00080694" w:rsidRPr="00080694" w:rsidRDefault="00080694" w:rsidP="0098732C">
            <w:pPr>
              <w:contextualSpacing/>
              <w:jc w:val="right"/>
              <w:rPr>
                <w:rFonts w:ascii="Tahoma" w:hAnsi="Tahoma"/>
                <w:color w:val="000000" w:themeColor="text1"/>
                <w:sz w:val="16"/>
                <w:lang w:val="en-GB"/>
              </w:rPr>
            </w:pPr>
            <w:r w:rsidRPr="00080694">
              <w:rPr>
                <w:rFonts w:ascii="Tahoma" w:hAnsi="Tahoma"/>
                <w:color w:val="000000" w:themeColor="text1"/>
                <w:sz w:val="16"/>
                <w:lang w:val="en-GB"/>
              </w:rPr>
              <w:t>Derivatives</w:t>
            </w:r>
          </w:p>
          <w:p w14:paraId="1E88F562" w14:textId="77777777" w:rsidR="00080694" w:rsidRPr="00080694" w:rsidRDefault="00080694" w:rsidP="0098732C">
            <w:pPr>
              <w:contextualSpacing/>
              <w:jc w:val="right"/>
              <w:rPr>
                <w:rFonts w:ascii="Tahoma" w:hAnsi="Tahoma"/>
                <w:color w:val="000000" w:themeColor="text1"/>
                <w:sz w:val="16"/>
                <w:lang w:val="en-GB"/>
              </w:rPr>
            </w:pPr>
            <w:r w:rsidRPr="00080694">
              <w:rPr>
                <w:rFonts w:ascii="Tahoma" w:hAnsi="Tahoma"/>
                <w:color w:val="000000" w:themeColor="text1"/>
                <w:sz w:val="16"/>
                <w:lang w:val="en-GB"/>
              </w:rPr>
              <w:t>embedded</w:t>
            </w:r>
          </w:p>
          <w:p w14:paraId="073A6DAC" w14:textId="77777777" w:rsidR="00080694" w:rsidRPr="00080694" w:rsidRDefault="00080694" w:rsidP="0098732C">
            <w:pPr>
              <w:contextualSpacing/>
              <w:jc w:val="right"/>
              <w:rPr>
                <w:rFonts w:ascii="Tahoma" w:hAnsi="Tahoma"/>
                <w:color w:val="000000" w:themeColor="text1"/>
                <w:sz w:val="16"/>
                <w:lang w:val="en-GB"/>
              </w:rPr>
            </w:pPr>
            <w:r w:rsidRPr="00080694">
              <w:rPr>
                <w:rFonts w:ascii="Tahoma" w:hAnsi="Tahoma"/>
                <w:color w:val="000000" w:themeColor="text1"/>
                <w:sz w:val="16"/>
                <w:lang w:val="en-GB"/>
              </w:rPr>
              <w:t>in leases</w:t>
            </w:r>
          </w:p>
          <w:p w14:paraId="678E1462" w14:textId="77777777" w:rsidR="00080694" w:rsidRPr="00080694" w:rsidRDefault="00080694" w:rsidP="0098732C">
            <w:pPr>
              <w:contextualSpacing/>
              <w:jc w:val="right"/>
              <w:rPr>
                <w:rFonts w:ascii="Tahoma" w:hAnsi="Tahoma"/>
                <w:color w:val="000000" w:themeColor="text1"/>
                <w:sz w:val="16"/>
                <w:lang w:val="en-GB"/>
              </w:rPr>
            </w:pPr>
            <w:proofErr w:type="spellStart"/>
            <w:r w:rsidRPr="00080694">
              <w:rPr>
                <w:rFonts w:ascii="Tahoma" w:hAnsi="Tahoma"/>
                <w:color w:val="000000" w:themeColor="text1"/>
                <w:sz w:val="16"/>
                <w:lang w:val="en-GB"/>
              </w:rPr>
              <w:t>US$’m</w:t>
            </w:r>
            <w:proofErr w:type="spellEnd"/>
          </w:p>
        </w:tc>
      </w:tr>
      <w:tr w:rsidR="00615190" w:rsidRPr="00080694" w14:paraId="1ECF4F4C" w14:textId="77777777" w:rsidTr="002F078E">
        <w:trPr>
          <w:trHeight w:val="60"/>
        </w:trPr>
        <w:tc>
          <w:tcPr>
            <w:tcW w:w="397" w:type="dxa"/>
            <w:shd w:val="clear" w:color="auto" w:fill="auto"/>
            <w:tcMar>
              <w:top w:w="142" w:type="dxa"/>
              <w:left w:w="0" w:type="dxa"/>
              <w:bottom w:w="57" w:type="dxa"/>
              <w:right w:w="0" w:type="dxa"/>
            </w:tcMar>
            <w:vAlign w:val="bottom"/>
          </w:tcPr>
          <w:p w14:paraId="2B24E9F2" w14:textId="77777777" w:rsidR="00080694" w:rsidRPr="00080694" w:rsidRDefault="00080694" w:rsidP="0098732C">
            <w:pPr>
              <w:contextualSpacing/>
              <w:rPr>
                <w:rFonts w:ascii="Tahoma" w:hAnsi="Tahoma"/>
                <w:color w:val="000000" w:themeColor="text1"/>
                <w:sz w:val="16"/>
                <w:lang w:val="en-GB"/>
              </w:rPr>
            </w:pPr>
          </w:p>
        </w:tc>
        <w:tc>
          <w:tcPr>
            <w:tcW w:w="4565" w:type="dxa"/>
            <w:tcBorders>
              <w:top w:val="single" w:sz="12" w:space="0" w:color="auto"/>
            </w:tcBorders>
            <w:shd w:val="clear" w:color="auto" w:fill="auto"/>
            <w:tcMar>
              <w:top w:w="142" w:type="dxa"/>
              <w:left w:w="0" w:type="dxa"/>
              <w:bottom w:w="57" w:type="dxa"/>
              <w:right w:w="0" w:type="dxa"/>
            </w:tcMar>
            <w:vAlign w:val="bottom"/>
          </w:tcPr>
          <w:p w14:paraId="422FBE42" w14:textId="77777777" w:rsidR="00080694" w:rsidRPr="00080694" w:rsidRDefault="00080694" w:rsidP="0098732C">
            <w:pPr>
              <w:contextualSpacing/>
              <w:rPr>
                <w:rFonts w:ascii="Tahoma" w:hAnsi="Tahoma"/>
                <w:b/>
                <w:bCs/>
                <w:color w:val="000000" w:themeColor="text1"/>
                <w:sz w:val="16"/>
                <w:lang w:val="en-GB"/>
              </w:rPr>
            </w:pPr>
            <w:r w:rsidRPr="00080694">
              <w:rPr>
                <w:rFonts w:ascii="Tahoma" w:hAnsi="Tahoma"/>
                <w:b/>
                <w:bCs/>
                <w:color w:val="000000" w:themeColor="text1"/>
                <w:sz w:val="16"/>
                <w:lang w:val="en-GB"/>
              </w:rPr>
              <w:t>Balance at 1 April 2021</w:t>
            </w:r>
          </w:p>
        </w:tc>
        <w:tc>
          <w:tcPr>
            <w:tcW w:w="1283" w:type="dxa"/>
            <w:tcBorders>
              <w:top w:val="single" w:sz="12" w:space="0" w:color="auto"/>
            </w:tcBorders>
            <w:shd w:val="clear" w:color="auto" w:fill="auto"/>
            <w:tcMar>
              <w:top w:w="142" w:type="dxa"/>
              <w:left w:w="0" w:type="dxa"/>
              <w:bottom w:w="57" w:type="dxa"/>
              <w:right w:w="0" w:type="dxa"/>
            </w:tcMar>
            <w:vAlign w:val="bottom"/>
          </w:tcPr>
          <w:p w14:paraId="3CA2BF8C" w14:textId="77777777" w:rsidR="00080694" w:rsidRPr="00080694" w:rsidRDefault="00080694" w:rsidP="0098732C">
            <w:pPr>
              <w:contextualSpacing/>
              <w:jc w:val="right"/>
              <w:rPr>
                <w:rFonts w:ascii="Tahoma" w:hAnsi="Tahoma"/>
                <w:color w:val="000000" w:themeColor="text1"/>
                <w:sz w:val="16"/>
                <w:lang w:val="en-GB"/>
              </w:rPr>
            </w:pPr>
            <w:r w:rsidRPr="00080694">
              <w:rPr>
                <w:rFonts w:ascii="Tahoma" w:hAnsi="Tahoma"/>
                <w:color w:val="000000" w:themeColor="text1"/>
                <w:sz w:val="16"/>
                <w:lang w:val="en-GB"/>
              </w:rPr>
              <w:t>133</w:t>
            </w:r>
          </w:p>
        </w:tc>
        <w:tc>
          <w:tcPr>
            <w:tcW w:w="1268" w:type="dxa"/>
            <w:tcBorders>
              <w:top w:val="single" w:sz="12" w:space="0" w:color="auto"/>
            </w:tcBorders>
            <w:shd w:val="clear" w:color="auto" w:fill="auto"/>
            <w:tcMar>
              <w:top w:w="142" w:type="dxa"/>
              <w:left w:w="0" w:type="dxa"/>
              <w:bottom w:w="57" w:type="dxa"/>
              <w:right w:w="0" w:type="dxa"/>
            </w:tcMar>
            <w:vAlign w:val="bottom"/>
          </w:tcPr>
          <w:p w14:paraId="4A9B21F8" w14:textId="77777777" w:rsidR="00080694" w:rsidRPr="00080694" w:rsidRDefault="00080694" w:rsidP="0098732C">
            <w:pPr>
              <w:contextualSpacing/>
              <w:jc w:val="right"/>
              <w:rPr>
                <w:rFonts w:ascii="Tahoma" w:hAnsi="Tahoma"/>
                <w:color w:val="000000" w:themeColor="text1"/>
                <w:sz w:val="16"/>
                <w:lang w:val="en-GB"/>
              </w:rPr>
            </w:pPr>
            <w:r w:rsidRPr="00080694">
              <w:rPr>
                <w:rFonts w:ascii="Tahoma" w:hAnsi="Tahoma"/>
                <w:color w:val="000000" w:themeColor="text1"/>
                <w:sz w:val="16"/>
                <w:lang w:val="en-GB"/>
              </w:rPr>
              <w:t>16</w:t>
            </w:r>
          </w:p>
        </w:tc>
        <w:tc>
          <w:tcPr>
            <w:tcW w:w="1418" w:type="dxa"/>
            <w:tcBorders>
              <w:top w:val="single" w:sz="12" w:space="0" w:color="auto"/>
            </w:tcBorders>
            <w:shd w:val="clear" w:color="auto" w:fill="auto"/>
            <w:tcMar>
              <w:top w:w="142" w:type="dxa"/>
              <w:left w:w="0" w:type="dxa"/>
              <w:bottom w:w="57" w:type="dxa"/>
              <w:right w:w="0" w:type="dxa"/>
            </w:tcMar>
            <w:vAlign w:val="bottom"/>
          </w:tcPr>
          <w:p w14:paraId="3C730534" w14:textId="77777777" w:rsidR="00080694" w:rsidRPr="00080694" w:rsidRDefault="00080694" w:rsidP="0098732C">
            <w:pPr>
              <w:contextualSpacing/>
              <w:jc w:val="right"/>
              <w:rPr>
                <w:rFonts w:ascii="Tahoma" w:hAnsi="Tahoma"/>
                <w:color w:val="000000" w:themeColor="text1"/>
                <w:sz w:val="16"/>
                <w:lang w:val="en-GB"/>
              </w:rPr>
            </w:pPr>
            <w:r w:rsidRPr="00080694">
              <w:rPr>
                <w:rFonts w:ascii="Tahoma" w:hAnsi="Tahoma"/>
                <w:color w:val="000000" w:themeColor="text1"/>
                <w:sz w:val="16"/>
                <w:lang w:val="en-GB"/>
              </w:rPr>
              <w:t>(13)</w:t>
            </w:r>
          </w:p>
        </w:tc>
        <w:tc>
          <w:tcPr>
            <w:tcW w:w="1275" w:type="dxa"/>
            <w:tcBorders>
              <w:top w:val="single" w:sz="12" w:space="0" w:color="auto"/>
            </w:tcBorders>
            <w:shd w:val="clear" w:color="auto" w:fill="auto"/>
            <w:tcMar>
              <w:top w:w="142" w:type="dxa"/>
              <w:left w:w="0" w:type="dxa"/>
              <w:bottom w:w="57" w:type="dxa"/>
              <w:right w:w="0" w:type="dxa"/>
            </w:tcMar>
            <w:vAlign w:val="bottom"/>
          </w:tcPr>
          <w:p w14:paraId="239B7B20" w14:textId="77777777" w:rsidR="00080694" w:rsidRPr="00080694" w:rsidRDefault="00080694" w:rsidP="0098732C">
            <w:pPr>
              <w:contextualSpacing/>
              <w:jc w:val="right"/>
              <w:rPr>
                <w:rFonts w:ascii="Tahoma" w:hAnsi="Tahoma"/>
                <w:color w:val="000000" w:themeColor="text1"/>
                <w:sz w:val="16"/>
                <w:lang w:val="en-GB"/>
              </w:rPr>
            </w:pPr>
            <w:r w:rsidRPr="00080694">
              <w:rPr>
                <w:rFonts w:ascii="Tahoma" w:hAnsi="Tahoma"/>
                <w:color w:val="000000" w:themeColor="text1"/>
                <w:sz w:val="16"/>
                <w:lang w:val="en-GB"/>
              </w:rPr>
              <w:t>7</w:t>
            </w:r>
          </w:p>
        </w:tc>
      </w:tr>
      <w:tr w:rsidR="00615190" w:rsidRPr="00080694" w14:paraId="6B493879" w14:textId="77777777" w:rsidTr="002F078E">
        <w:trPr>
          <w:trHeight w:val="60"/>
        </w:trPr>
        <w:tc>
          <w:tcPr>
            <w:tcW w:w="397" w:type="dxa"/>
            <w:shd w:val="clear" w:color="auto" w:fill="auto"/>
            <w:tcMar>
              <w:top w:w="57" w:type="dxa"/>
              <w:left w:w="0" w:type="dxa"/>
              <w:bottom w:w="57" w:type="dxa"/>
              <w:right w:w="0" w:type="dxa"/>
            </w:tcMar>
            <w:vAlign w:val="bottom"/>
          </w:tcPr>
          <w:p w14:paraId="1221D3D4" w14:textId="77777777" w:rsidR="00080694" w:rsidRPr="00080694" w:rsidRDefault="00080694" w:rsidP="0098732C">
            <w:pPr>
              <w:contextualSpacing/>
              <w:rPr>
                <w:rFonts w:ascii="Tahoma" w:hAnsi="Tahoma"/>
                <w:color w:val="000000" w:themeColor="text1"/>
                <w:sz w:val="16"/>
                <w:lang w:val="en-GB"/>
              </w:rPr>
            </w:pPr>
          </w:p>
        </w:tc>
        <w:tc>
          <w:tcPr>
            <w:tcW w:w="4565" w:type="dxa"/>
            <w:shd w:val="clear" w:color="auto" w:fill="auto"/>
            <w:tcMar>
              <w:top w:w="57" w:type="dxa"/>
              <w:left w:w="0" w:type="dxa"/>
              <w:bottom w:w="57" w:type="dxa"/>
              <w:right w:w="0" w:type="dxa"/>
            </w:tcMar>
            <w:vAlign w:val="bottom"/>
          </w:tcPr>
          <w:p w14:paraId="36C82EDA" w14:textId="77777777" w:rsidR="00080694" w:rsidRPr="00080694" w:rsidRDefault="00080694" w:rsidP="0098732C">
            <w:pPr>
              <w:contextualSpacing/>
              <w:rPr>
                <w:rFonts w:ascii="Tahoma" w:hAnsi="Tahoma"/>
                <w:color w:val="000000" w:themeColor="text1"/>
                <w:sz w:val="16"/>
                <w:lang w:val="en-GB"/>
              </w:rPr>
            </w:pPr>
            <w:r w:rsidRPr="00080694">
              <w:rPr>
                <w:rFonts w:ascii="Tahoma" w:hAnsi="Tahoma"/>
                <w:color w:val="000000" w:themeColor="text1"/>
                <w:sz w:val="16"/>
                <w:lang w:val="en-GB"/>
              </w:rPr>
              <w:t>Additions</w:t>
            </w:r>
            <w:r w:rsidRPr="00080694">
              <w:rPr>
                <w:rFonts w:ascii="Tahoma" w:hAnsi="Tahoma"/>
                <w:color w:val="000000" w:themeColor="text1"/>
                <w:sz w:val="16"/>
                <w:vertAlign w:val="superscript"/>
                <w:lang w:val="en-GB"/>
              </w:rPr>
              <w:t>3</w:t>
            </w:r>
          </w:p>
        </w:tc>
        <w:tc>
          <w:tcPr>
            <w:tcW w:w="1283" w:type="dxa"/>
            <w:shd w:val="clear" w:color="auto" w:fill="auto"/>
            <w:tcMar>
              <w:top w:w="57" w:type="dxa"/>
              <w:left w:w="0" w:type="dxa"/>
              <w:bottom w:w="57" w:type="dxa"/>
              <w:right w:w="0" w:type="dxa"/>
            </w:tcMar>
            <w:vAlign w:val="bottom"/>
          </w:tcPr>
          <w:p w14:paraId="38BA3BEF" w14:textId="77777777" w:rsidR="00080694" w:rsidRPr="00080694" w:rsidRDefault="00080694" w:rsidP="0098732C">
            <w:pPr>
              <w:contextualSpacing/>
              <w:jc w:val="right"/>
              <w:rPr>
                <w:rFonts w:ascii="Tahoma" w:hAnsi="Tahoma"/>
                <w:color w:val="000000" w:themeColor="text1"/>
                <w:sz w:val="16"/>
                <w:lang w:val="en-GB"/>
              </w:rPr>
            </w:pPr>
            <w:r w:rsidRPr="00080694">
              <w:rPr>
                <w:rFonts w:ascii="Tahoma" w:hAnsi="Tahoma"/>
                <w:color w:val="000000" w:themeColor="text1"/>
                <w:sz w:val="16"/>
                <w:lang w:val="en-GB"/>
              </w:rPr>
              <w:t>967</w:t>
            </w:r>
          </w:p>
        </w:tc>
        <w:tc>
          <w:tcPr>
            <w:tcW w:w="1268" w:type="dxa"/>
            <w:shd w:val="clear" w:color="auto" w:fill="auto"/>
            <w:tcMar>
              <w:top w:w="57" w:type="dxa"/>
              <w:left w:w="0" w:type="dxa"/>
              <w:bottom w:w="57" w:type="dxa"/>
              <w:right w:w="0" w:type="dxa"/>
            </w:tcMar>
            <w:vAlign w:val="bottom"/>
          </w:tcPr>
          <w:p w14:paraId="5B9A1863" w14:textId="77777777" w:rsidR="00080694" w:rsidRPr="00080694" w:rsidRDefault="00080694" w:rsidP="0098732C">
            <w:pPr>
              <w:contextualSpacing/>
              <w:jc w:val="right"/>
              <w:rPr>
                <w:rFonts w:ascii="Tahoma" w:hAnsi="Tahoma"/>
                <w:color w:val="000000" w:themeColor="text1"/>
                <w:sz w:val="16"/>
                <w:lang w:val="en-GB"/>
              </w:rPr>
            </w:pPr>
            <w:r w:rsidRPr="00080694">
              <w:rPr>
                <w:rFonts w:ascii="Tahoma" w:hAnsi="Tahoma"/>
                <w:color w:val="000000" w:themeColor="text1"/>
                <w:sz w:val="16"/>
                <w:lang w:val="en-GB"/>
              </w:rPr>
              <w:t>22</w:t>
            </w:r>
          </w:p>
        </w:tc>
        <w:tc>
          <w:tcPr>
            <w:tcW w:w="1418" w:type="dxa"/>
            <w:shd w:val="clear" w:color="auto" w:fill="auto"/>
            <w:tcMar>
              <w:top w:w="57" w:type="dxa"/>
              <w:left w:w="0" w:type="dxa"/>
              <w:bottom w:w="57" w:type="dxa"/>
              <w:right w:w="0" w:type="dxa"/>
            </w:tcMar>
            <w:vAlign w:val="bottom"/>
          </w:tcPr>
          <w:p w14:paraId="41A682A1" w14:textId="77777777" w:rsidR="00080694" w:rsidRPr="00080694" w:rsidRDefault="00080694" w:rsidP="0098732C">
            <w:pPr>
              <w:contextualSpacing/>
              <w:jc w:val="right"/>
              <w:rPr>
                <w:rFonts w:ascii="Tahoma" w:hAnsi="Tahoma"/>
                <w:color w:val="000000" w:themeColor="text1"/>
                <w:sz w:val="16"/>
                <w:lang w:val="en-GB"/>
              </w:rPr>
            </w:pPr>
            <w:r w:rsidRPr="00080694">
              <w:rPr>
                <w:rFonts w:ascii="Tahoma" w:hAnsi="Tahoma"/>
                <w:color w:val="000000" w:themeColor="text1"/>
                <w:sz w:val="16"/>
                <w:lang w:val="en-GB"/>
              </w:rPr>
              <w:t>—</w:t>
            </w:r>
          </w:p>
        </w:tc>
        <w:tc>
          <w:tcPr>
            <w:tcW w:w="1275" w:type="dxa"/>
            <w:shd w:val="clear" w:color="auto" w:fill="auto"/>
            <w:tcMar>
              <w:top w:w="57" w:type="dxa"/>
              <w:left w:w="0" w:type="dxa"/>
              <w:bottom w:w="57" w:type="dxa"/>
              <w:right w:w="0" w:type="dxa"/>
            </w:tcMar>
            <w:vAlign w:val="bottom"/>
          </w:tcPr>
          <w:p w14:paraId="2BEE2D36" w14:textId="77777777" w:rsidR="00080694" w:rsidRPr="00080694" w:rsidRDefault="00080694" w:rsidP="0098732C">
            <w:pPr>
              <w:contextualSpacing/>
              <w:jc w:val="right"/>
              <w:rPr>
                <w:rFonts w:ascii="Tahoma" w:hAnsi="Tahoma"/>
                <w:color w:val="000000" w:themeColor="text1"/>
                <w:sz w:val="16"/>
                <w:lang w:val="en-GB"/>
              </w:rPr>
            </w:pPr>
            <w:r w:rsidRPr="00080694">
              <w:rPr>
                <w:rFonts w:ascii="Tahoma" w:hAnsi="Tahoma"/>
                <w:color w:val="000000" w:themeColor="text1"/>
                <w:sz w:val="16"/>
                <w:lang w:val="en-GB"/>
              </w:rPr>
              <w:t>—</w:t>
            </w:r>
          </w:p>
        </w:tc>
      </w:tr>
      <w:tr w:rsidR="00615190" w:rsidRPr="00080694" w14:paraId="51B5776C" w14:textId="77777777" w:rsidTr="002F078E">
        <w:trPr>
          <w:trHeight w:val="60"/>
        </w:trPr>
        <w:tc>
          <w:tcPr>
            <w:tcW w:w="397" w:type="dxa"/>
            <w:shd w:val="clear" w:color="auto" w:fill="auto"/>
            <w:tcMar>
              <w:top w:w="57" w:type="dxa"/>
              <w:left w:w="0" w:type="dxa"/>
              <w:bottom w:w="57" w:type="dxa"/>
              <w:right w:w="0" w:type="dxa"/>
            </w:tcMar>
            <w:vAlign w:val="bottom"/>
          </w:tcPr>
          <w:p w14:paraId="73085B36" w14:textId="77777777" w:rsidR="00080694" w:rsidRPr="00080694" w:rsidRDefault="00080694" w:rsidP="0098732C">
            <w:pPr>
              <w:contextualSpacing/>
              <w:rPr>
                <w:rFonts w:ascii="Tahoma" w:hAnsi="Tahoma"/>
                <w:color w:val="000000" w:themeColor="text1"/>
                <w:sz w:val="16"/>
                <w:lang w:val="en-GB"/>
              </w:rPr>
            </w:pPr>
          </w:p>
        </w:tc>
        <w:tc>
          <w:tcPr>
            <w:tcW w:w="4565" w:type="dxa"/>
            <w:shd w:val="clear" w:color="auto" w:fill="auto"/>
            <w:tcMar>
              <w:top w:w="57" w:type="dxa"/>
              <w:left w:w="0" w:type="dxa"/>
              <w:bottom w:w="57" w:type="dxa"/>
              <w:right w:w="0" w:type="dxa"/>
            </w:tcMar>
            <w:vAlign w:val="bottom"/>
          </w:tcPr>
          <w:p w14:paraId="22A01E21" w14:textId="77777777" w:rsidR="00080694" w:rsidRPr="00080694" w:rsidRDefault="00080694" w:rsidP="0098732C">
            <w:pPr>
              <w:contextualSpacing/>
              <w:rPr>
                <w:rFonts w:ascii="Tahoma" w:hAnsi="Tahoma"/>
                <w:color w:val="000000" w:themeColor="text1"/>
                <w:sz w:val="16"/>
                <w:lang w:val="en-GB"/>
              </w:rPr>
            </w:pPr>
            <w:r w:rsidRPr="00080694">
              <w:rPr>
                <w:rFonts w:ascii="Tahoma" w:hAnsi="Tahoma"/>
                <w:color w:val="000000" w:themeColor="text1"/>
                <w:sz w:val="16"/>
                <w:lang w:val="en-GB"/>
              </w:rPr>
              <w:t>Total gains/(losses) recognised in the income statement</w:t>
            </w:r>
          </w:p>
        </w:tc>
        <w:tc>
          <w:tcPr>
            <w:tcW w:w="1283" w:type="dxa"/>
            <w:shd w:val="clear" w:color="auto" w:fill="auto"/>
            <w:tcMar>
              <w:top w:w="57" w:type="dxa"/>
              <w:left w:w="0" w:type="dxa"/>
              <w:bottom w:w="57" w:type="dxa"/>
              <w:right w:w="0" w:type="dxa"/>
            </w:tcMar>
            <w:vAlign w:val="bottom"/>
          </w:tcPr>
          <w:p w14:paraId="73B0A709" w14:textId="77777777" w:rsidR="00080694" w:rsidRPr="00080694" w:rsidRDefault="00080694" w:rsidP="0098732C">
            <w:pPr>
              <w:contextualSpacing/>
              <w:jc w:val="right"/>
              <w:rPr>
                <w:rFonts w:ascii="Tahoma" w:hAnsi="Tahoma"/>
                <w:color w:val="000000" w:themeColor="text1"/>
                <w:sz w:val="16"/>
                <w:lang w:val="en-GB"/>
              </w:rPr>
            </w:pPr>
            <w:r w:rsidRPr="00080694">
              <w:rPr>
                <w:rFonts w:ascii="Tahoma" w:hAnsi="Tahoma"/>
                <w:color w:val="000000" w:themeColor="text1"/>
                <w:sz w:val="16"/>
                <w:lang w:val="en-GB"/>
              </w:rPr>
              <w:t>—</w:t>
            </w:r>
          </w:p>
        </w:tc>
        <w:tc>
          <w:tcPr>
            <w:tcW w:w="1268" w:type="dxa"/>
            <w:shd w:val="clear" w:color="auto" w:fill="auto"/>
            <w:tcMar>
              <w:top w:w="57" w:type="dxa"/>
              <w:left w:w="0" w:type="dxa"/>
              <w:bottom w:w="57" w:type="dxa"/>
              <w:right w:w="0" w:type="dxa"/>
            </w:tcMar>
            <w:vAlign w:val="bottom"/>
          </w:tcPr>
          <w:p w14:paraId="5B04F64F" w14:textId="77777777" w:rsidR="00080694" w:rsidRPr="00080694" w:rsidRDefault="00080694" w:rsidP="0098732C">
            <w:pPr>
              <w:contextualSpacing/>
              <w:jc w:val="right"/>
              <w:rPr>
                <w:rFonts w:ascii="Tahoma" w:hAnsi="Tahoma"/>
                <w:color w:val="000000" w:themeColor="text1"/>
                <w:sz w:val="16"/>
                <w:lang w:val="en-GB"/>
              </w:rPr>
            </w:pPr>
            <w:r w:rsidRPr="00080694">
              <w:rPr>
                <w:rFonts w:ascii="Tahoma" w:hAnsi="Tahoma"/>
                <w:color w:val="000000" w:themeColor="text1"/>
                <w:sz w:val="16"/>
                <w:lang w:val="en-GB"/>
              </w:rPr>
              <w:t>6</w:t>
            </w:r>
          </w:p>
        </w:tc>
        <w:tc>
          <w:tcPr>
            <w:tcW w:w="1418" w:type="dxa"/>
            <w:shd w:val="clear" w:color="auto" w:fill="auto"/>
            <w:tcMar>
              <w:top w:w="57" w:type="dxa"/>
              <w:left w:w="0" w:type="dxa"/>
              <w:bottom w:w="57" w:type="dxa"/>
              <w:right w:w="0" w:type="dxa"/>
            </w:tcMar>
            <w:vAlign w:val="bottom"/>
          </w:tcPr>
          <w:p w14:paraId="686A2038" w14:textId="77777777" w:rsidR="00080694" w:rsidRPr="00080694" w:rsidRDefault="00080694" w:rsidP="0098732C">
            <w:pPr>
              <w:contextualSpacing/>
              <w:jc w:val="right"/>
              <w:rPr>
                <w:rFonts w:ascii="Tahoma" w:hAnsi="Tahoma"/>
                <w:color w:val="000000" w:themeColor="text1"/>
                <w:sz w:val="16"/>
                <w:lang w:val="en-GB"/>
              </w:rPr>
            </w:pPr>
            <w:r w:rsidRPr="00080694">
              <w:rPr>
                <w:rFonts w:ascii="Tahoma" w:hAnsi="Tahoma"/>
                <w:color w:val="000000" w:themeColor="text1"/>
                <w:sz w:val="16"/>
                <w:lang w:val="en-GB"/>
              </w:rPr>
              <w:t>(9)</w:t>
            </w:r>
          </w:p>
        </w:tc>
        <w:tc>
          <w:tcPr>
            <w:tcW w:w="1275" w:type="dxa"/>
            <w:shd w:val="clear" w:color="auto" w:fill="auto"/>
            <w:tcMar>
              <w:top w:w="57" w:type="dxa"/>
              <w:left w:w="0" w:type="dxa"/>
              <w:bottom w:w="57" w:type="dxa"/>
              <w:right w:w="0" w:type="dxa"/>
            </w:tcMar>
            <w:vAlign w:val="bottom"/>
          </w:tcPr>
          <w:p w14:paraId="4A62F749" w14:textId="77777777" w:rsidR="00080694" w:rsidRPr="00080694" w:rsidRDefault="00080694" w:rsidP="0098732C">
            <w:pPr>
              <w:contextualSpacing/>
              <w:jc w:val="right"/>
              <w:rPr>
                <w:rFonts w:ascii="Tahoma" w:hAnsi="Tahoma"/>
                <w:color w:val="000000" w:themeColor="text1"/>
                <w:sz w:val="16"/>
                <w:lang w:val="en-GB"/>
              </w:rPr>
            </w:pPr>
            <w:r w:rsidRPr="00080694">
              <w:rPr>
                <w:rFonts w:ascii="Tahoma" w:hAnsi="Tahoma"/>
                <w:color w:val="000000" w:themeColor="text1"/>
                <w:sz w:val="16"/>
                <w:lang w:val="en-GB"/>
              </w:rPr>
              <w:t>2</w:t>
            </w:r>
          </w:p>
        </w:tc>
      </w:tr>
      <w:tr w:rsidR="00615190" w:rsidRPr="00080694" w14:paraId="7297DE41" w14:textId="77777777" w:rsidTr="002F078E">
        <w:trPr>
          <w:trHeight w:val="60"/>
        </w:trPr>
        <w:tc>
          <w:tcPr>
            <w:tcW w:w="397" w:type="dxa"/>
            <w:shd w:val="clear" w:color="auto" w:fill="auto"/>
            <w:tcMar>
              <w:top w:w="57" w:type="dxa"/>
              <w:left w:w="0" w:type="dxa"/>
              <w:bottom w:w="57" w:type="dxa"/>
              <w:right w:w="0" w:type="dxa"/>
            </w:tcMar>
            <w:vAlign w:val="bottom"/>
          </w:tcPr>
          <w:p w14:paraId="39B34426" w14:textId="77777777" w:rsidR="00080694" w:rsidRPr="00080694" w:rsidRDefault="00080694" w:rsidP="0098732C">
            <w:pPr>
              <w:contextualSpacing/>
              <w:rPr>
                <w:rFonts w:ascii="Tahoma" w:hAnsi="Tahoma"/>
                <w:color w:val="000000" w:themeColor="text1"/>
                <w:sz w:val="16"/>
                <w:lang w:val="en-GB"/>
              </w:rPr>
            </w:pPr>
          </w:p>
        </w:tc>
        <w:tc>
          <w:tcPr>
            <w:tcW w:w="4565" w:type="dxa"/>
            <w:shd w:val="clear" w:color="auto" w:fill="auto"/>
            <w:tcMar>
              <w:top w:w="57" w:type="dxa"/>
              <w:left w:w="0" w:type="dxa"/>
              <w:bottom w:w="57" w:type="dxa"/>
              <w:right w:w="0" w:type="dxa"/>
            </w:tcMar>
            <w:vAlign w:val="bottom"/>
          </w:tcPr>
          <w:p w14:paraId="2D4A3E72" w14:textId="77777777" w:rsidR="00080694" w:rsidRPr="00080694" w:rsidRDefault="00080694" w:rsidP="0098732C">
            <w:pPr>
              <w:contextualSpacing/>
              <w:rPr>
                <w:rFonts w:ascii="Tahoma" w:hAnsi="Tahoma"/>
                <w:color w:val="000000" w:themeColor="text1"/>
                <w:sz w:val="16"/>
                <w:lang w:val="en-GB"/>
              </w:rPr>
            </w:pPr>
            <w:r w:rsidRPr="00080694">
              <w:rPr>
                <w:rFonts w:ascii="Tahoma" w:hAnsi="Tahoma"/>
                <w:color w:val="000000" w:themeColor="text1"/>
                <w:sz w:val="16"/>
                <w:lang w:val="en-GB"/>
              </w:rPr>
              <w:t>Total gains recognised in other comprehensive income</w:t>
            </w:r>
          </w:p>
        </w:tc>
        <w:tc>
          <w:tcPr>
            <w:tcW w:w="1283" w:type="dxa"/>
            <w:shd w:val="clear" w:color="auto" w:fill="auto"/>
            <w:tcMar>
              <w:top w:w="57" w:type="dxa"/>
              <w:left w:w="0" w:type="dxa"/>
              <w:bottom w:w="57" w:type="dxa"/>
              <w:right w:w="0" w:type="dxa"/>
            </w:tcMar>
            <w:vAlign w:val="bottom"/>
          </w:tcPr>
          <w:p w14:paraId="144A70AF" w14:textId="77777777" w:rsidR="00080694" w:rsidRPr="00080694" w:rsidRDefault="00080694" w:rsidP="0098732C">
            <w:pPr>
              <w:contextualSpacing/>
              <w:jc w:val="right"/>
              <w:rPr>
                <w:rFonts w:ascii="Tahoma" w:hAnsi="Tahoma"/>
                <w:color w:val="000000" w:themeColor="text1"/>
                <w:sz w:val="16"/>
                <w:lang w:val="en-GB"/>
              </w:rPr>
            </w:pPr>
            <w:r w:rsidRPr="00080694">
              <w:rPr>
                <w:rFonts w:ascii="Tahoma" w:hAnsi="Tahoma"/>
                <w:color w:val="000000" w:themeColor="text1"/>
                <w:sz w:val="16"/>
                <w:lang w:val="en-GB"/>
              </w:rPr>
              <w:t>107</w:t>
            </w:r>
          </w:p>
        </w:tc>
        <w:tc>
          <w:tcPr>
            <w:tcW w:w="1268" w:type="dxa"/>
            <w:shd w:val="clear" w:color="auto" w:fill="auto"/>
            <w:tcMar>
              <w:top w:w="57" w:type="dxa"/>
              <w:left w:w="0" w:type="dxa"/>
              <w:bottom w:w="57" w:type="dxa"/>
              <w:right w:w="0" w:type="dxa"/>
            </w:tcMar>
            <w:vAlign w:val="bottom"/>
          </w:tcPr>
          <w:p w14:paraId="06D1B82E" w14:textId="77777777" w:rsidR="00080694" w:rsidRPr="00080694" w:rsidRDefault="00080694" w:rsidP="0098732C">
            <w:pPr>
              <w:contextualSpacing/>
              <w:jc w:val="right"/>
              <w:rPr>
                <w:rFonts w:ascii="Tahoma" w:hAnsi="Tahoma"/>
                <w:color w:val="000000" w:themeColor="text1"/>
                <w:sz w:val="16"/>
                <w:lang w:val="en-GB"/>
              </w:rPr>
            </w:pPr>
            <w:r w:rsidRPr="00080694">
              <w:rPr>
                <w:rFonts w:ascii="Tahoma" w:hAnsi="Tahoma"/>
                <w:color w:val="000000" w:themeColor="text1"/>
                <w:sz w:val="16"/>
                <w:lang w:val="en-GB"/>
              </w:rPr>
              <w:t>—</w:t>
            </w:r>
          </w:p>
        </w:tc>
        <w:tc>
          <w:tcPr>
            <w:tcW w:w="1418" w:type="dxa"/>
            <w:shd w:val="clear" w:color="auto" w:fill="auto"/>
            <w:tcMar>
              <w:top w:w="57" w:type="dxa"/>
              <w:left w:w="0" w:type="dxa"/>
              <w:bottom w:w="57" w:type="dxa"/>
              <w:right w:w="0" w:type="dxa"/>
            </w:tcMar>
            <w:vAlign w:val="bottom"/>
          </w:tcPr>
          <w:p w14:paraId="36935E94" w14:textId="77777777" w:rsidR="00080694" w:rsidRPr="00080694" w:rsidRDefault="00080694" w:rsidP="0098732C">
            <w:pPr>
              <w:contextualSpacing/>
              <w:jc w:val="right"/>
              <w:rPr>
                <w:rFonts w:ascii="Tahoma" w:hAnsi="Tahoma"/>
                <w:color w:val="000000" w:themeColor="text1"/>
                <w:sz w:val="16"/>
                <w:lang w:val="en-GB"/>
              </w:rPr>
            </w:pPr>
            <w:r w:rsidRPr="00080694">
              <w:rPr>
                <w:rFonts w:ascii="Tahoma" w:hAnsi="Tahoma"/>
                <w:color w:val="000000" w:themeColor="text1"/>
                <w:sz w:val="16"/>
                <w:lang w:val="en-GB"/>
              </w:rPr>
              <w:t>—</w:t>
            </w:r>
          </w:p>
        </w:tc>
        <w:tc>
          <w:tcPr>
            <w:tcW w:w="1275" w:type="dxa"/>
            <w:shd w:val="clear" w:color="auto" w:fill="auto"/>
            <w:tcMar>
              <w:top w:w="57" w:type="dxa"/>
              <w:left w:w="0" w:type="dxa"/>
              <w:bottom w:w="57" w:type="dxa"/>
              <w:right w:w="0" w:type="dxa"/>
            </w:tcMar>
            <w:vAlign w:val="bottom"/>
          </w:tcPr>
          <w:p w14:paraId="4EA03180" w14:textId="77777777" w:rsidR="00080694" w:rsidRPr="00080694" w:rsidRDefault="00080694" w:rsidP="0098732C">
            <w:pPr>
              <w:contextualSpacing/>
              <w:jc w:val="right"/>
              <w:rPr>
                <w:rFonts w:ascii="Tahoma" w:hAnsi="Tahoma"/>
                <w:color w:val="000000" w:themeColor="text1"/>
                <w:sz w:val="16"/>
                <w:lang w:val="en-GB"/>
              </w:rPr>
            </w:pPr>
            <w:r w:rsidRPr="00080694">
              <w:rPr>
                <w:rFonts w:ascii="Tahoma" w:hAnsi="Tahoma"/>
                <w:color w:val="000000" w:themeColor="text1"/>
                <w:sz w:val="16"/>
                <w:lang w:val="en-GB"/>
              </w:rPr>
              <w:t>—</w:t>
            </w:r>
          </w:p>
        </w:tc>
      </w:tr>
      <w:tr w:rsidR="00615190" w:rsidRPr="00080694" w14:paraId="626A2B4C" w14:textId="77777777" w:rsidTr="002F078E">
        <w:trPr>
          <w:trHeight w:val="60"/>
        </w:trPr>
        <w:tc>
          <w:tcPr>
            <w:tcW w:w="397" w:type="dxa"/>
            <w:shd w:val="clear" w:color="auto" w:fill="auto"/>
            <w:tcMar>
              <w:top w:w="57" w:type="dxa"/>
              <w:left w:w="0" w:type="dxa"/>
              <w:bottom w:w="57" w:type="dxa"/>
              <w:right w:w="0" w:type="dxa"/>
            </w:tcMar>
            <w:vAlign w:val="bottom"/>
          </w:tcPr>
          <w:p w14:paraId="47364CE3" w14:textId="77777777" w:rsidR="00080694" w:rsidRPr="00080694" w:rsidRDefault="00080694" w:rsidP="0098732C">
            <w:pPr>
              <w:contextualSpacing/>
              <w:rPr>
                <w:rFonts w:ascii="Tahoma" w:hAnsi="Tahoma"/>
                <w:color w:val="000000" w:themeColor="text1"/>
                <w:sz w:val="16"/>
                <w:lang w:val="en-GB"/>
              </w:rPr>
            </w:pPr>
          </w:p>
        </w:tc>
        <w:tc>
          <w:tcPr>
            <w:tcW w:w="4565" w:type="dxa"/>
            <w:shd w:val="clear" w:color="auto" w:fill="auto"/>
            <w:tcMar>
              <w:top w:w="57" w:type="dxa"/>
              <w:left w:w="0" w:type="dxa"/>
              <w:bottom w:w="57" w:type="dxa"/>
              <w:right w:w="0" w:type="dxa"/>
            </w:tcMar>
            <w:vAlign w:val="bottom"/>
          </w:tcPr>
          <w:p w14:paraId="09308240" w14:textId="77777777" w:rsidR="00080694" w:rsidRPr="00080694" w:rsidRDefault="00080694" w:rsidP="0098732C">
            <w:pPr>
              <w:contextualSpacing/>
              <w:rPr>
                <w:rFonts w:ascii="Tahoma" w:hAnsi="Tahoma"/>
                <w:color w:val="000000" w:themeColor="text1"/>
                <w:sz w:val="16"/>
                <w:lang w:val="en-GB"/>
              </w:rPr>
            </w:pPr>
            <w:r w:rsidRPr="00080694">
              <w:rPr>
                <w:rFonts w:ascii="Tahoma" w:hAnsi="Tahoma"/>
                <w:color w:val="000000" w:themeColor="text1"/>
                <w:sz w:val="16"/>
                <w:lang w:val="en-GB"/>
              </w:rPr>
              <w:t>Settlements/disposals</w:t>
            </w:r>
          </w:p>
        </w:tc>
        <w:tc>
          <w:tcPr>
            <w:tcW w:w="1283" w:type="dxa"/>
            <w:shd w:val="clear" w:color="auto" w:fill="auto"/>
            <w:tcMar>
              <w:top w:w="57" w:type="dxa"/>
              <w:left w:w="0" w:type="dxa"/>
              <w:bottom w:w="57" w:type="dxa"/>
              <w:right w:w="0" w:type="dxa"/>
            </w:tcMar>
            <w:vAlign w:val="bottom"/>
          </w:tcPr>
          <w:p w14:paraId="2501864D" w14:textId="77777777" w:rsidR="00080694" w:rsidRPr="00080694" w:rsidRDefault="00080694" w:rsidP="0098732C">
            <w:pPr>
              <w:contextualSpacing/>
              <w:jc w:val="right"/>
              <w:rPr>
                <w:rFonts w:ascii="Tahoma" w:hAnsi="Tahoma"/>
                <w:color w:val="000000" w:themeColor="text1"/>
                <w:sz w:val="16"/>
                <w:lang w:val="en-GB"/>
              </w:rPr>
            </w:pPr>
            <w:r w:rsidRPr="00080694">
              <w:rPr>
                <w:rFonts w:ascii="Tahoma" w:hAnsi="Tahoma"/>
                <w:color w:val="000000" w:themeColor="text1"/>
                <w:sz w:val="16"/>
                <w:lang w:val="en-GB"/>
              </w:rPr>
              <w:t>(46)</w:t>
            </w:r>
          </w:p>
        </w:tc>
        <w:tc>
          <w:tcPr>
            <w:tcW w:w="1268" w:type="dxa"/>
            <w:shd w:val="clear" w:color="auto" w:fill="auto"/>
            <w:tcMar>
              <w:top w:w="57" w:type="dxa"/>
              <w:left w:w="0" w:type="dxa"/>
              <w:bottom w:w="57" w:type="dxa"/>
              <w:right w:w="0" w:type="dxa"/>
            </w:tcMar>
            <w:vAlign w:val="bottom"/>
          </w:tcPr>
          <w:p w14:paraId="468A0287" w14:textId="77777777" w:rsidR="00080694" w:rsidRPr="00080694" w:rsidRDefault="00080694" w:rsidP="0098732C">
            <w:pPr>
              <w:contextualSpacing/>
              <w:jc w:val="right"/>
              <w:rPr>
                <w:rFonts w:ascii="Tahoma" w:hAnsi="Tahoma"/>
                <w:color w:val="000000" w:themeColor="text1"/>
                <w:sz w:val="16"/>
                <w:lang w:val="en-GB"/>
              </w:rPr>
            </w:pPr>
            <w:r w:rsidRPr="00080694">
              <w:rPr>
                <w:rFonts w:ascii="Tahoma" w:hAnsi="Tahoma"/>
                <w:color w:val="000000" w:themeColor="text1"/>
                <w:sz w:val="16"/>
                <w:lang w:val="en-GB"/>
              </w:rPr>
              <w:t>—</w:t>
            </w:r>
          </w:p>
        </w:tc>
        <w:tc>
          <w:tcPr>
            <w:tcW w:w="1418" w:type="dxa"/>
            <w:shd w:val="clear" w:color="auto" w:fill="auto"/>
            <w:tcMar>
              <w:top w:w="57" w:type="dxa"/>
              <w:left w:w="0" w:type="dxa"/>
              <w:bottom w:w="57" w:type="dxa"/>
              <w:right w:w="0" w:type="dxa"/>
            </w:tcMar>
            <w:vAlign w:val="bottom"/>
          </w:tcPr>
          <w:p w14:paraId="378FC49E" w14:textId="77777777" w:rsidR="00080694" w:rsidRPr="00080694" w:rsidRDefault="00080694" w:rsidP="0098732C">
            <w:pPr>
              <w:contextualSpacing/>
              <w:jc w:val="right"/>
              <w:rPr>
                <w:rFonts w:ascii="Tahoma" w:hAnsi="Tahoma"/>
                <w:color w:val="000000" w:themeColor="text1"/>
                <w:sz w:val="16"/>
                <w:lang w:val="en-GB"/>
              </w:rPr>
            </w:pPr>
            <w:r w:rsidRPr="00080694">
              <w:rPr>
                <w:rFonts w:ascii="Tahoma" w:hAnsi="Tahoma"/>
                <w:color w:val="000000" w:themeColor="text1"/>
                <w:sz w:val="16"/>
                <w:lang w:val="en-GB"/>
              </w:rPr>
              <w:t>1</w:t>
            </w:r>
          </w:p>
        </w:tc>
        <w:tc>
          <w:tcPr>
            <w:tcW w:w="1275" w:type="dxa"/>
            <w:shd w:val="clear" w:color="auto" w:fill="auto"/>
            <w:tcMar>
              <w:top w:w="57" w:type="dxa"/>
              <w:left w:w="0" w:type="dxa"/>
              <w:bottom w:w="57" w:type="dxa"/>
              <w:right w:w="0" w:type="dxa"/>
            </w:tcMar>
            <w:vAlign w:val="bottom"/>
          </w:tcPr>
          <w:p w14:paraId="2176B77E" w14:textId="77777777" w:rsidR="00080694" w:rsidRPr="00080694" w:rsidRDefault="00080694" w:rsidP="0098732C">
            <w:pPr>
              <w:contextualSpacing/>
              <w:jc w:val="right"/>
              <w:rPr>
                <w:rFonts w:ascii="Tahoma" w:hAnsi="Tahoma"/>
                <w:color w:val="000000" w:themeColor="text1"/>
                <w:sz w:val="16"/>
                <w:lang w:val="en-GB"/>
              </w:rPr>
            </w:pPr>
            <w:r w:rsidRPr="00080694">
              <w:rPr>
                <w:rFonts w:ascii="Tahoma" w:hAnsi="Tahoma"/>
                <w:color w:val="000000" w:themeColor="text1"/>
                <w:sz w:val="16"/>
                <w:lang w:val="en-GB"/>
              </w:rPr>
              <w:t>—</w:t>
            </w:r>
          </w:p>
        </w:tc>
      </w:tr>
      <w:tr w:rsidR="00615190" w:rsidRPr="00080694" w14:paraId="60C21BE5" w14:textId="77777777" w:rsidTr="002F078E">
        <w:trPr>
          <w:trHeight w:val="60"/>
        </w:trPr>
        <w:tc>
          <w:tcPr>
            <w:tcW w:w="397" w:type="dxa"/>
            <w:shd w:val="clear" w:color="auto" w:fill="auto"/>
            <w:tcMar>
              <w:top w:w="57" w:type="dxa"/>
              <w:left w:w="0" w:type="dxa"/>
              <w:bottom w:w="57" w:type="dxa"/>
              <w:right w:w="0" w:type="dxa"/>
            </w:tcMar>
            <w:vAlign w:val="bottom"/>
          </w:tcPr>
          <w:p w14:paraId="1E0BEA3D" w14:textId="77777777" w:rsidR="00080694" w:rsidRPr="00080694" w:rsidRDefault="00080694" w:rsidP="0098732C">
            <w:pPr>
              <w:contextualSpacing/>
              <w:rPr>
                <w:rFonts w:ascii="Tahoma" w:hAnsi="Tahoma"/>
                <w:color w:val="000000" w:themeColor="text1"/>
                <w:sz w:val="16"/>
                <w:lang w:val="en-GB"/>
              </w:rPr>
            </w:pPr>
          </w:p>
        </w:tc>
        <w:tc>
          <w:tcPr>
            <w:tcW w:w="4565" w:type="dxa"/>
            <w:shd w:val="clear" w:color="auto" w:fill="auto"/>
            <w:tcMar>
              <w:top w:w="57" w:type="dxa"/>
              <w:left w:w="0" w:type="dxa"/>
              <w:bottom w:w="57" w:type="dxa"/>
              <w:right w:w="0" w:type="dxa"/>
            </w:tcMar>
            <w:vAlign w:val="bottom"/>
          </w:tcPr>
          <w:p w14:paraId="4A25E1A7" w14:textId="77777777" w:rsidR="00080694" w:rsidRPr="00080694" w:rsidRDefault="00080694" w:rsidP="0098732C">
            <w:pPr>
              <w:contextualSpacing/>
              <w:rPr>
                <w:rFonts w:ascii="Tahoma" w:hAnsi="Tahoma"/>
                <w:color w:val="000000" w:themeColor="text1"/>
                <w:sz w:val="16"/>
                <w:lang w:val="en-GB"/>
              </w:rPr>
            </w:pPr>
            <w:r w:rsidRPr="00080694">
              <w:rPr>
                <w:rFonts w:ascii="Tahoma" w:hAnsi="Tahoma"/>
                <w:color w:val="000000" w:themeColor="text1"/>
                <w:sz w:val="16"/>
                <w:lang w:val="en-GB"/>
              </w:rPr>
              <w:t>Transfers</w:t>
            </w:r>
          </w:p>
        </w:tc>
        <w:tc>
          <w:tcPr>
            <w:tcW w:w="1283" w:type="dxa"/>
            <w:shd w:val="clear" w:color="auto" w:fill="auto"/>
            <w:tcMar>
              <w:top w:w="57" w:type="dxa"/>
              <w:left w:w="0" w:type="dxa"/>
              <w:bottom w:w="57" w:type="dxa"/>
              <w:right w:w="0" w:type="dxa"/>
            </w:tcMar>
            <w:vAlign w:val="bottom"/>
          </w:tcPr>
          <w:p w14:paraId="2A4EA60D" w14:textId="77777777" w:rsidR="00080694" w:rsidRPr="00080694" w:rsidRDefault="00080694" w:rsidP="0098732C">
            <w:pPr>
              <w:contextualSpacing/>
              <w:jc w:val="right"/>
              <w:rPr>
                <w:rFonts w:ascii="Tahoma" w:hAnsi="Tahoma"/>
                <w:color w:val="000000" w:themeColor="text1"/>
                <w:sz w:val="16"/>
                <w:lang w:val="en-GB"/>
              </w:rPr>
            </w:pPr>
            <w:r w:rsidRPr="00080694">
              <w:rPr>
                <w:rFonts w:ascii="Tahoma" w:hAnsi="Tahoma"/>
                <w:color w:val="000000" w:themeColor="text1"/>
                <w:sz w:val="16"/>
                <w:lang w:val="en-GB"/>
              </w:rPr>
              <w:t>(10)</w:t>
            </w:r>
          </w:p>
        </w:tc>
        <w:tc>
          <w:tcPr>
            <w:tcW w:w="1268" w:type="dxa"/>
            <w:shd w:val="clear" w:color="auto" w:fill="auto"/>
            <w:tcMar>
              <w:top w:w="57" w:type="dxa"/>
              <w:left w:w="0" w:type="dxa"/>
              <w:bottom w:w="57" w:type="dxa"/>
              <w:right w:w="0" w:type="dxa"/>
            </w:tcMar>
            <w:vAlign w:val="bottom"/>
          </w:tcPr>
          <w:p w14:paraId="26450728" w14:textId="77777777" w:rsidR="00080694" w:rsidRPr="00080694" w:rsidRDefault="00080694" w:rsidP="0098732C">
            <w:pPr>
              <w:contextualSpacing/>
              <w:jc w:val="right"/>
              <w:rPr>
                <w:rFonts w:ascii="Tahoma" w:hAnsi="Tahoma"/>
                <w:color w:val="000000" w:themeColor="text1"/>
                <w:sz w:val="16"/>
                <w:lang w:val="en-GB"/>
              </w:rPr>
            </w:pPr>
            <w:r w:rsidRPr="00080694">
              <w:rPr>
                <w:rFonts w:ascii="Tahoma" w:hAnsi="Tahoma"/>
                <w:color w:val="000000" w:themeColor="text1"/>
                <w:sz w:val="16"/>
                <w:lang w:val="en-GB"/>
              </w:rPr>
              <w:t>—</w:t>
            </w:r>
          </w:p>
        </w:tc>
        <w:tc>
          <w:tcPr>
            <w:tcW w:w="1418" w:type="dxa"/>
            <w:shd w:val="clear" w:color="auto" w:fill="auto"/>
            <w:tcMar>
              <w:top w:w="57" w:type="dxa"/>
              <w:left w:w="0" w:type="dxa"/>
              <w:bottom w:w="57" w:type="dxa"/>
              <w:right w:w="0" w:type="dxa"/>
            </w:tcMar>
            <w:vAlign w:val="bottom"/>
          </w:tcPr>
          <w:p w14:paraId="4130597B" w14:textId="77777777" w:rsidR="00080694" w:rsidRPr="00080694" w:rsidRDefault="00080694" w:rsidP="0098732C">
            <w:pPr>
              <w:contextualSpacing/>
              <w:jc w:val="right"/>
              <w:rPr>
                <w:rFonts w:ascii="Tahoma" w:hAnsi="Tahoma"/>
                <w:color w:val="000000" w:themeColor="text1"/>
                <w:sz w:val="16"/>
                <w:lang w:val="en-GB"/>
              </w:rPr>
            </w:pPr>
            <w:r w:rsidRPr="00080694">
              <w:rPr>
                <w:rFonts w:ascii="Tahoma" w:hAnsi="Tahoma"/>
                <w:color w:val="000000" w:themeColor="text1"/>
                <w:sz w:val="16"/>
                <w:lang w:val="en-GB"/>
              </w:rPr>
              <w:t>—</w:t>
            </w:r>
          </w:p>
        </w:tc>
        <w:tc>
          <w:tcPr>
            <w:tcW w:w="1275" w:type="dxa"/>
            <w:shd w:val="clear" w:color="auto" w:fill="auto"/>
            <w:tcMar>
              <w:top w:w="57" w:type="dxa"/>
              <w:left w:w="0" w:type="dxa"/>
              <w:bottom w:w="57" w:type="dxa"/>
              <w:right w:w="0" w:type="dxa"/>
            </w:tcMar>
            <w:vAlign w:val="bottom"/>
          </w:tcPr>
          <w:p w14:paraId="76E59640" w14:textId="77777777" w:rsidR="00080694" w:rsidRPr="00080694" w:rsidRDefault="00080694" w:rsidP="0098732C">
            <w:pPr>
              <w:contextualSpacing/>
              <w:jc w:val="right"/>
              <w:rPr>
                <w:rFonts w:ascii="Tahoma" w:hAnsi="Tahoma"/>
                <w:color w:val="000000" w:themeColor="text1"/>
                <w:sz w:val="16"/>
                <w:lang w:val="en-GB"/>
              </w:rPr>
            </w:pPr>
            <w:r w:rsidRPr="00080694">
              <w:rPr>
                <w:rFonts w:ascii="Tahoma" w:hAnsi="Tahoma"/>
                <w:color w:val="000000" w:themeColor="text1"/>
                <w:sz w:val="16"/>
                <w:lang w:val="en-GB"/>
              </w:rPr>
              <w:t>—</w:t>
            </w:r>
          </w:p>
        </w:tc>
      </w:tr>
      <w:tr w:rsidR="00615190" w:rsidRPr="00080694" w14:paraId="32460BC3" w14:textId="77777777" w:rsidTr="002F078E">
        <w:trPr>
          <w:trHeight w:val="60"/>
        </w:trPr>
        <w:tc>
          <w:tcPr>
            <w:tcW w:w="397" w:type="dxa"/>
            <w:shd w:val="clear" w:color="auto" w:fill="auto"/>
            <w:tcMar>
              <w:top w:w="57" w:type="dxa"/>
              <w:left w:w="0" w:type="dxa"/>
              <w:bottom w:w="85" w:type="dxa"/>
              <w:right w:w="0" w:type="dxa"/>
            </w:tcMar>
            <w:vAlign w:val="bottom"/>
          </w:tcPr>
          <w:p w14:paraId="11B509C5" w14:textId="77777777" w:rsidR="00080694" w:rsidRPr="00080694" w:rsidRDefault="00080694" w:rsidP="0098732C">
            <w:pPr>
              <w:contextualSpacing/>
              <w:rPr>
                <w:rFonts w:ascii="Tahoma" w:hAnsi="Tahoma"/>
                <w:color w:val="000000" w:themeColor="text1"/>
                <w:sz w:val="16"/>
                <w:lang w:val="en-GB"/>
              </w:rPr>
            </w:pPr>
          </w:p>
        </w:tc>
        <w:tc>
          <w:tcPr>
            <w:tcW w:w="4565" w:type="dxa"/>
            <w:tcBorders>
              <w:bottom w:val="single" w:sz="4" w:space="0" w:color="auto"/>
            </w:tcBorders>
            <w:shd w:val="clear" w:color="auto" w:fill="auto"/>
            <w:tcMar>
              <w:top w:w="57" w:type="dxa"/>
              <w:left w:w="0" w:type="dxa"/>
              <w:bottom w:w="85" w:type="dxa"/>
              <w:right w:w="0" w:type="dxa"/>
            </w:tcMar>
            <w:vAlign w:val="bottom"/>
          </w:tcPr>
          <w:p w14:paraId="69447B6B" w14:textId="77777777" w:rsidR="00080694" w:rsidRPr="00080694" w:rsidRDefault="00080694" w:rsidP="0098732C">
            <w:pPr>
              <w:contextualSpacing/>
              <w:rPr>
                <w:rFonts w:ascii="Tahoma" w:hAnsi="Tahoma"/>
                <w:color w:val="000000" w:themeColor="text1"/>
                <w:sz w:val="16"/>
                <w:lang w:val="en-GB"/>
              </w:rPr>
            </w:pPr>
            <w:r w:rsidRPr="00080694">
              <w:rPr>
                <w:rFonts w:ascii="Tahoma" w:hAnsi="Tahoma"/>
                <w:color w:val="000000" w:themeColor="text1"/>
                <w:sz w:val="16"/>
                <w:lang w:val="en-GB"/>
              </w:rPr>
              <w:t>Foreign currency translation effects</w:t>
            </w:r>
          </w:p>
        </w:tc>
        <w:tc>
          <w:tcPr>
            <w:tcW w:w="1283" w:type="dxa"/>
            <w:tcBorders>
              <w:bottom w:val="single" w:sz="4" w:space="0" w:color="auto"/>
            </w:tcBorders>
            <w:shd w:val="clear" w:color="auto" w:fill="auto"/>
            <w:tcMar>
              <w:top w:w="57" w:type="dxa"/>
              <w:left w:w="0" w:type="dxa"/>
              <w:bottom w:w="85" w:type="dxa"/>
              <w:right w:w="0" w:type="dxa"/>
            </w:tcMar>
            <w:vAlign w:val="bottom"/>
          </w:tcPr>
          <w:p w14:paraId="033FA233" w14:textId="77777777" w:rsidR="00080694" w:rsidRPr="00080694" w:rsidRDefault="00080694" w:rsidP="0098732C">
            <w:pPr>
              <w:contextualSpacing/>
              <w:jc w:val="right"/>
              <w:rPr>
                <w:rFonts w:ascii="Tahoma" w:hAnsi="Tahoma"/>
                <w:color w:val="000000" w:themeColor="text1"/>
                <w:sz w:val="16"/>
                <w:lang w:val="en-GB"/>
              </w:rPr>
            </w:pPr>
            <w:r w:rsidRPr="00080694">
              <w:rPr>
                <w:rFonts w:ascii="Tahoma" w:hAnsi="Tahoma"/>
                <w:color w:val="000000" w:themeColor="text1"/>
                <w:sz w:val="16"/>
                <w:lang w:val="en-GB"/>
              </w:rPr>
              <w:t>2</w:t>
            </w:r>
          </w:p>
        </w:tc>
        <w:tc>
          <w:tcPr>
            <w:tcW w:w="1268" w:type="dxa"/>
            <w:tcBorders>
              <w:bottom w:val="single" w:sz="4" w:space="0" w:color="auto"/>
            </w:tcBorders>
            <w:shd w:val="clear" w:color="auto" w:fill="auto"/>
            <w:tcMar>
              <w:top w:w="57" w:type="dxa"/>
              <w:left w:w="0" w:type="dxa"/>
              <w:bottom w:w="85" w:type="dxa"/>
              <w:right w:w="0" w:type="dxa"/>
            </w:tcMar>
            <w:vAlign w:val="bottom"/>
          </w:tcPr>
          <w:p w14:paraId="3B3E2857" w14:textId="77777777" w:rsidR="00080694" w:rsidRPr="00080694" w:rsidRDefault="00080694" w:rsidP="0098732C">
            <w:pPr>
              <w:contextualSpacing/>
              <w:jc w:val="right"/>
              <w:rPr>
                <w:rFonts w:ascii="Tahoma" w:hAnsi="Tahoma"/>
                <w:color w:val="000000" w:themeColor="text1"/>
                <w:sz w:val="16"/>
                <w:lang w:val="en-GB"/>
              </w:rPr>
            </w:pPr>
            <w:r w:rsidRPr="00080694">
              <w:rPr>
                <w:rFonts w:ascii="Tahoma" w:hAnsi="Tahoma"/>
                <w:color w:val="000000" w:themeColor="text1"/>
                <w:sz w:val="16"/>
                <w:lang w:val="en-GB"/>
              </w:rPr>
              <w:t>—</w:t>
            </w:r>
          </w:p>
        </w:tc>
        <w:tc>
          <w:tcPr>
            <w:tcW w:w="1418" w:type="dxa"/>
            <w:tcBorders>
              <w:bottom w:val="single" w:sz="4" w:space="0" w:color="auto"/>
            </w:tcBorders>
            <w:shd w:val="clear" w:color="auto" w:fill="auto"/>
            <w:tcMar>
              <w:top w:w="57" w:type="dxa"/>
              <w:left w:w="0" w:type="dxa"/>
              <w:bottom w:w="85" w:type="dxa"/>
              <w:right w:w="0" w:type="dxa"/>
            </w:tcMar>
            <w:vAlign w:val="bottom"/>
          </w:tcPr>
          <w:p w14:paraId="5A9E52B8" w14:textId="77777777" w:rsidR="00080694" w:rsidRPr="00080694" w:rsidRDefault="00080694" w:rsidP="0098732C">
            <w:pPr>
              <w:contextualSpacing/>
              <w:jc w:val="right"/>
              <w:rPr>
                <w:rFonts w:ascii="Tahoma" w:hAnsi="Tahoma"/>
                <w:color w:val="000000" w:themeColor="text1"/>
                <w:sz w:val="16"/>
                <w:lang w:val="en-GB"/>
              </w:rPr>
            </w:pPr>
            <w:r w:rsidRPr="00080694">
              <w:rPr>
                <w:rFonts w:ascii="Tahoma" w:hAnsi="Tahoma"/>
                <w:color w:val="000000" w:themeColor="text1"/>
                <w:sz w:val="16"/>
                <w:lang w:val="en-GB"/>
              </w:rPr>
              <w:t>1</w:t>
            </w:r>
          </w:p>
        </w:tc>
        <w:tc>
          <w:tcPr>
            <w:tcW w:w="1275" w:type="dxa"/>
            <w:tcBorders>
              <w:bottom w:val="single" w:sz="4" w:space="0" w:color="auto"/>
            </w:tcBorders>
            <w:shd w:val="clear" w:color="auto" w:fill="auto"/>
            <w:tcMar>
              <w:top w:w="57" w:type="dxa"/>
              <w:left w:w="0" w:type="dxa"/>
              <w:bottom w:w="85" w:type="dxa"/>
              <w:right w:w="0" w:type="dxa"/>
            </w:tcMar>
            <w:vAlign w:val="bottom"/>
          </w:tcPr>
          <w:p w14:paraId="06D847C5" w14:textId="77777777" w:rsidR="00080694" w:rsidRPr="00080694" w:rsidRDefault="00080694" w:rsidP="0098732C">
            <w:pPr>
              <w:contextualSpacing/>
              <w:jc w:val="right"/>
              <w:rPr>
                <w:rFonts w:ascii="Tahoma" w:hAnsi="Tahoma"/>
                <w:color w:val="000000" w:themeColor="text1"/>
                <w:sz w:val="16"/>
                <w:lang w:val="en-GB"/>
              </w:rPr>
            </w:pPr>
            <w:r w:rsidRPr="00080694">
              <w:rPr>
                <w:rFonts w:ascii="Tahoma" w:hAnsi="Tahoma"/>
                <w:color w:val="000000" w:themeColor="text1"/>
                <w:sz w:val="16"/>
                <w:lang w:val="en-GB"/>
              </w:rPr>
              <w:t>—</w:t>
            </w:r>
          </w:p>
        </w:tc>
      </w:tr>
      <w:tr w:rsidR="00615190" w:rsidRPr="00080694" w14:paraId="10BC7A64" w14:textId="77777777" w:rsidTr="002F078E">
        <w:trPr>
          <w:trHeight w:val="60"/>
        </w:trPr>
        <w:tc>
          <w:tcPr>
            <w:tcW w:w="397" w:type="dxa"/>
            <w:shd w:val="clear" w:color="auto" w:fill="auto"/>
            <w:tcMar>
              <w:top w:w="85" w:type="dxa"/>
              <w:left w:w="0" w:type="dxa"/>
              <w:bottom w:w="85" w:type="dxa"/>
              <w:right w:w="0" w:type="dxa"/>
            </w:tcMar>
            <w:vAlign w:val="bottom"/>
          </w:tcPr>
          <w:p w14:paraId="443DFE59" w14:textId="77777777" w:rsidR="00080694" w:rsidRPr="00080694" w:rsidRDefault="00080694" w:rsidP="0098732C">
            <w:pPr>
              <w:contextualSpacing/>
              <w:rPr>
                <w:rFonts w:ascii="Tahoma" w:hAnsi="Tahoma"/>
                <w:color w:val="000000" w:themeColor="text1"/>
                <w:sz w:val="16"/>
                <w:lang w:val="en-GB"/>
              </w:rPr>
            </w:pPr>
          </w:p>
        </w:tc>
        <w:tc>
          <w:tcPr>
            <w:tcW w:w="4565"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19537340" w14:textId="77777777" w:rsidR="00080694" w:rsidRPr="00080694" w:rsidRDefault="00080694" w:rsidP="0098732C">
            <w:pPr>
              <w:contextualSpacing/>
              <w:rPr>
                <w:rFonts w:ascii="Tahoma" w:hAnsi="Tahoma"/>
                <w:b/>
                <w:bCs/>
                <w:color w:val="000000" w:themeColor="text1"/>
                <w:sz w:val="16"/>
                <w:lang w:val="en-GB"/>
              </w:rPr>
            </w:pPr>
            <w:r w:rsidRPr="00080694">
              <w:rPr>
                <w:rFonts w:ascii="Tahoma" w:hAnsi="Tahoma"/>
                <w:b/>
                <w:bCs/>
                <w:color w:val="000000" w:themeColor="text1"/>
                <w:sz w:val="16"/>
                <w:lang w:val="en-GB"/>
              </w:rPr>
              <w:t>Balance at 31 March 2022</w:t>
            </w:r>
          </w:p>
        </w:tc>
        <w:tc>
          <w:tcPr>
            <w:tcW w:w="1283"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31792CB3" w14:textId="77777777" w:rsidR="00080694" w:rsidRPr="00080694" w:rsidRDefault="00080694" w:rsidP="0098732C">
            <w:pPr>
              <w:contextualSpacing/>
              <w:jc w:val="right"/>
              <w:rPr>
                <w:rFonts w:ascii="Tahoma" w:hAnsi="Tahoma"/>
                <w:color w:val="000000" w:themeColor="text1"/>
                <w:sz w:val="16"/>
                <w:lang w:val="en-GB"/>
              </w:rPr>
            </w:pPr>
            <w:r w:rsidRPr="00080694">
              <w:rPr>
                <w:rFonts w:ascii="Tahoma" w:hAnsi="Tahoma"/>
                <w:color w:val="000000" w:themeColor="text1"/>
                <w:sz w:val="16"/>
                <w:lang w:val="en-GB"/>
              </w:rPr>
              <w:t>1 153</w:t>
            </w:r>
          </w:p>
        </w:tc>
        <w:tc>
          <w:tcPr>
            <w:tcW w:w="1268"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10B4AFB0" w14:textId="77777777" w:rsidR="00080694" w:rsidRPr="00080694" w:rsidRDefault="00080694" w:rsidP="0098732C">
            <w:pPr>
              <w:contextualSpacing/>
              <w:jc w:val="right"/>
              <w:rPr>
                <w:rFonts w:ascii="Tahoma" w:hAnsi="Tahoma"/>
                <w:color w:val="000000" w:themeColor="text1"/>
                <w:sz w:val="16"/>
                <w:lang w:val="en-GB"/>
              </w:rPr>
            </w:pPr>
            <w:r w:rsidRPr="00080694">
              <w:rPr>
                <w:rFonts w:ascii="Tahoma" w:hAnsi="Tahoma"/>
                <w:color w:val="000000" w:themeColor="text1"/>
                <w:sz w:val="16"/>
                <w:lang w:val="en-GB"/>
              </w:rPr>
              <w:t>44</w:t>
            </w:r>
          </w:p>
        </w:tc>
        <w:tc>
          <w:tcPr>
            <w:tcW w:w="1418"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7EC4B28C" w14:textId="77777777" w:rsidR="00080694" w:rsidRPr="00080694" w:rsidRDefault="00080694" w:rsidP="0098732C">
            <w:pPr>
              <w:contextualSpacing/>
              <w:jc w:val="right"/>
              <w:rPr>
                <w:rFonts w:ascii="Tahoma" w:hAnsi="Tahoma"/>
                <w:color w:val="000000" w:themeColor="text1"/>
                <w:sz w:val="16"/>
                <w:lang w:val="en-GB"/>
              </w:rPr>
            </w:pPr>
            <w:r w:rsidRPr="00080694">
              <w:rPr>
                <w:rFonts w:ascii="Tahoma" w:hAnsi="Tahoma"/>
                <w:color w:val="000000" w:themeColor="text1"/>
                <w:sz w:val="16"/>
                <w:lang w:val="en-GB"/>
              </w:rPr>
              <w:t>(20)</w:t>
            </w:r>
          </w:p>
        </w:tc>
        <w:tc>
          <w:tcPr>
            <w:tcW w:w="1275"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5B02AD3A" w14:textId="77777777" w:rsidR="00080694" w:rsidRPr="00080694" w:rsidRDefault="00080694" w:rsidP="0098732C">
            <w:pPr>
              <w:contextualSpacing/>
              <w:jc w:val="right"/>
              <w:rPr>
                <w:rFonts w:ascii="Tahoma" w:hAnsi="Tahoma"/>
                <w:color w:val="000000" w:themeColor="text1"/>
                <w:sz w:val="16"/>
                <w:lang w:val="en-GB"/>
              </w:rPr>
            </w:pPr>
            <w:r w:rsidRPr="00080694">
              <w:rPr>
                <w:rFonts w:ascii="Tahoma" w:hAnsi="Tahoma"/>
                <w:color w:val="000000" w:themeColor="text1"/>
                <w:sz w:val="16"/>
                <w:lang w:val="en-GB"/>
              </w:rPr>
              <w:t>9</w:t>
            </w:r>
          </w:p>
        </w:tc>
      </w:tr>
      <w:tr w:rsidR="00615190" w:rsidRPr="00080694" w14:paraId="1E57F7B9" w14:textId="77777777" w:rsidTr="00C6683C">
        <w:trPr>
          <w:trHeight w:val="60"/>
        </w:trPr>
        <w:tc>
          <w:tcPr>
            <w:tcW w:w="397" w:type="dxa"/>
            <w:shd w:val="clear" w:color="auto" w:fill="auto"/>
            <w:tcMar>
              <w:top w:w="85" w:type="dxa"/>
              <w:left w:w="0" w:type="dxa"/>
              <w:bottom w:w="57" w:type="dxa"/>
              <w:right w:w="0" w:type="dxa"/>
            </w:tcMar>
            <w:vAlign w:val="bottom"/>
          </w:tcPr>
          <w:p w14:paraId="29B00C85" w14:textId="77777777" w:rsidR="00080694" w:rsidRPr="00080694" w:rsidRDefault="00080694" w:rsidP="0098732C">
            <w:pPr>
              <w:contextualSpacing/>
              <w:rPr>
                <w:rFonts w:ascii="Tahoma" w:hAnsi="Tahoma"/>
                <w:color w:val="000000" w:themeColor="text1"/>
                <w:sz w:val="16"/>
                <w:lang w:val="en-GB"/>
              </w:rPr>
            </w:pPr>
          </w:p>
        </w:tc>
        <w:tc>
          <w:tcPr>
            <w:tcW w:w="9809" w:type="dxa"/>
            <w:gridSpan w:val="5"/>
            <w:tcBorders>
              <w:top w:val="single" w:sz="12" w:space="0" w:color="auto"/>
            </w:tcBorders>
            <w:shd w:val="clear" w:color="auto" w:fill="auto"/>
            <w:tcMar>
              <w:top w:w="85" w:type="dxa"/>
              <w:left w:w="0" w:type="dxa"/>
              <w:bottom w:w="57" w:type="dxa"/>
              <w:right w:w="0" w:type="dxa"/>
            </w:tcMar>
            <w:vAlign w:val="bottom"/>
          </w:tcPr>
          <w:p w14:paraId="61DD1B03" w14:textId="77777777" w:rsidR="00080694" w:rsidRPr="00080694" w:rsidRDefault="00080694" w:rsidP="0098732C">
            <w:pPr>
              <w:pStyle w:val="FootnotesProsus2022FrontStylesProsus2022"/>
              <w:spacing w:line="240" w:lineRule="auto"/>
              <w:contextualSpacing/>
            </w:pPr>
            <w:r w:rsidRPr="00080694">
              <w:t>1</w:t>
            </w:r>
            <w:r w:rsidRPr="00080694">
              <w:tab/>
              <w:t xml:space="preserve">Financial </w:t>
            </w:r>
            <w:proofErr w:type="gramStart"/>
            <w:r w:rsidRPr="00080694">
              <w:t>assets</w:t>
            </w:r>
            <w:proofErr w:type="gramEnd"/>
            <w:r w:rsidRPr="00080694">
              <w:t xml:space="preserve"> at fair value through other comprehensive income.</w:t>
            </w:r>
          </w:p>
          <w:p w14:paraId="7A6233FA" w14:textId="77777777" w:rsidR="00080694" w:rsidRPr="00080694" w:rsidRDefault="00080694" w:rsidP="0098732C">
            <w:pPr>
              <w:pStyle w:val="FootnotesProsus2022FrontStylesProsus2022"/>
              <w:spacing w:line="240" w:lineRule="auto"/>
              <w:contextualSpacing/>
            </w:pPr>
            <w:r w:rsidRPr="00080694">
              <w:t>2</w:t>
            </w:r>
            <w:r w:rsidRPr="00080694">
              <w:tab/>
              <w:t>Financial assets at fair value through profit or loss.</w:t>
            </w:r>
          </w:p>
          <w:p w14:paraId="2471019F" w14:textId="77777777" w:rsidR="00080694" w:rsidRPr="00080694" w:rsidRDefault="00080694" w:rsidP="0098732C">
            <w:pPr>
              <w:pStyle w:val="FootnotesProsus2022FrontStylesProsus2022"/>
              <w:spacing w:line="240" w:lineRule="auto"/>
              <w:contextualSpacing/>
            </w:pPr>
            <w:r w:rsidRPr="00080694">
              <w:t>3</w:t>
            </w:r>
            <w:r w:rsidRPr="00080694">
              <w:tab/>
              <w:t xml:space="preserve">Significant movement in the current period relates to an investment in the Edtech segment. At 31 March 2022, significant movement relates to the recognition of the residual interest </w:t>
            </w:r>
            <w:proofErr w:type="spellStart"/>
            <w:r w:rsidRPr="00080694">
              <w:t>Prosus</w:t>
            </w:r>
            <w:proofErr w:type="spellEnd"/>
            <w:r w:rsidRPr="00080694">
              <w:t xml:space="preserve"> holds in the Naspers group.</w:t>
            </w:r>
          </w:p>
        </w:tc>
      </w:tr>
    </w:tbl>
    <w:p w14:paraId="2FC72835" w14:textId="77777777" w:rsidR="00080694" w:rsidRPr="00615190" w:rsidRDefault="00080694" w:rsidP="000E23E6">
      <w:pPr>
        <w:rPr>
          <w:rFonts w:ascii="Tahoma" w:hAnsi="Tahoma"/>
          <w:color w:val="000000" w:themeColor="text1"/>
          <w:sz w:val="16"/>
        </w:rPr>
      </w:pPr>
    </w:p>
    <w:tbl>
      <w:tblPr>
        <w:tblW w:w="10206" w:type="dxa"/>
        <w:tblInd w:w="-8" w:type="dxa"/>
        <w:tblLayout w:type="fixed"/>
        <w:tblCellMar>
          <w:left w:w="0" w:type="dxa"/>
          <w:right w:w="0" w:type="dxa"/>
        </w:tblCellMar>
        <w:tblLook w:val="0000" w:firstRow="0" w:lastRow="0" w:firstColumn="0" w:lastColumn="0" w:noHBand="0" w:noVBand="0"/>
      </w:tblPr>
      <w:tblGrid>
        <w:gridCol w:w="397"/>
        <w:gridCol w:w="4565"/>
        <w:gridCol w:w="1275"/>
        <w:gridCol w:w="1276"/>
        <w:gridCol w:w="1418"/>
        <w:gridCol w:w="1275"/>
      </w:tblGrid>
      <w:tr w:rsidR="00615190" w:rsidRPr="0086507E" w14:paraId="5C64EB70" w14:textId="77777777" w:rsidTr="009229E0">
        <w:trPr>
          <w:trHeight w:val="60"/>
        </w:trPr>
        <w:tc>
          <w:tcPr>
            <w:tcW w:w="397" w:type="dxa"/>
            <w:shd w:val="clear" w:color="auto" w:fill="auto"/>
            <w:tcMar>
              <w:top w:w="57" w:type="dxa"/>
              <w:left w:w="0" w:type="dxa"/>
              <w:bottom w:w="113" w:type="dxa"/>
              <w:right w:w="0" w:type="dxa"/>
            </w:tcMar>
            <w:vAlign w:val="bottom"/>
          </w:tcPr>
          <w:p w14:paraId="065E5558" w14:textId="77777777" w:rsidR="0086507E" w:rsidRPr="0086507E" w:rsidRDefault="0086507E" w:rsidP="00615190">
            <w:pPr>
              <w:spacing w:line="240" w:lineRule="atLeast"/>
              <w:rPr>
                <w:rFonts w:ascii="Tahoma" w:hAnsi="Tahoma"/>
                <w:color w:val="000000" w:themeColor="text1"/>
                <w:sz w:val="16"/>
                <w:lang w:val="en-GB"/>
              </w:rPr>
            </w:pPr>
          </w:p>
        </w:tc>
        <w:tc>
          <w:tcPr>
            <w:tcW w:w="9809" w:type="dxa"/>
            <w:gridSpan w:val="5"/>
            <w:shd w:val="clear" w:color="auto" w:fill="auto"/>
            <w:tcMar>
              <w:top w:w="57" w:type="dxa"/>
              <w:left w:w="0" w:type="dxa"/>
              <w:bottom w:w="113" w:type="dxa"/>
              <w:right w:w="0" w:type="dxa"/>
            </w:tcMar>
            <w:vAlign w:val="bottom"/>
          </w:tcPr>
          <w:p w14:paraId="6BFCCD82" w14:textId="77777777" w:rsidR="0086507E" w:rsidRPr="0086507E" w:rsidRDefault="0086507E" w:rsidP="00E23E96">
            <w:pPr>
              <w:spacing w:line="240" w:lineRule="atLeast"/>
              <w:contextualSpacing/>
              <w:rPr>
                <w:rFonts w:ascii="Tahoma" w:hAnsi="Tahoma"/>
                <w:color w:val="000000" w:themeColor="text1"/>
                <w:sz w:val="16"/>
                <w:lang w:val="en-GB"/>
              </w:rPr>
            </w:pPr>
            <w:r w:rsidRPr="0086507E">
              <w:rPr>
                <w:rFonts w:ascii="Tahoma" w:hAnsi="Tahoma"/>
                <w:color w:val="000000" w:themeColor="text1"/>
                <w:sz w:val="16"/>
                <w:lang w:val="en-GB"/>
              </w:rPr>
              <w:t>The carrying value of financial instruments is a reasonable approximation of their fair value, except for the publicly traded bonds detailed below:</w:t>
            </w:r>
          </w:p>
        </w:tc>
      </w:tr>
      <w:tr w:rsidR="00615190" w:rsidRPr="0086507E" w14:paraId="31C88170" w14:textId="77777777" w:rsidTr="00BB63B9">
        <w:trPr>
          <w:trHeight w:val="27"/>
        </w:trPr>
        <w:tc>
          <w:tcPr>
            <w:tcW w:w="397" w:type="dxa"/>
            <w:shd w:val="clear" w:color="auto" w:fill="auto"/>
            <w:tcMar>
              <w:top w:w="85" w:type="dxa"/>
              <w:left w:w="0" w:type="dxa"/>
              <w:bottom w:w="85" w:type="dxa"/>
              <w:right w:w="0" w:type="dxa"/>
            </w:tcMar>
            <w:vAlign w:val="bottom"/>
          </w:tcPr>
          <w:p w14:paraId="26A9013B" w14:textId="77777777" w:rsidR="0086507E" w:rsidRPr="0086507E" w:rsidRDefault="0086507E" w:rsidP="00615190">
            <w:pPr>
              <w:spacing w:line="240" w:lineRule="atLeast"/>
              <w:rPr>
                <w:rFonts w:ascii="Tahoma" w:hAnsi="Tahoma"/>
                <w:color w:val="000000" w:themeColor="text1"/>
                <w:sz w:val="16"/>
                <w:lang w:val="en-GB"/>
              </w:rPr>
            </w:pPr>
          </w:p>
        </w:tc>
        <w:tc>
          <w:tcPr>
            <w:tcW w:w="4565" w:type="dxa"/>
            <w:shd w:val="clear" w:color="auto" w:fill="auto"/>
            <w:tcMar>
              <w:top w:w="85" w:type="dxa"/>
              <w:left w:w="0" w:type="dxa"/>
              <w:bottom w:w="85" w:type="dxa"/>
              <w:right w:w="0" w:type="dxa"/>
            </w:tcMar>
            <w:vAlign w:val="bottom"/>
          </w:tcPr>
          <w:p w14:paraId="3CA0EA3C" w14:textId="77777777" w:rsidR="0086507E" w:rsidRPr="0086507E" w:rsidRDefault="0086507E" w:rsidP="00E23E96">
            <w:pPr>
              <w:spacing w:line="240" w:lineRule="atLeast"/>
              <w:contextualSpacing/>
              <w:rPr>
                <w:rFonts w:ascii="Tahoma" w:hAnsi="Tahoma"/>
                <w:color w:val="000000" w:themeColor="text1"/>
                <w:sz w:val="16"/>
                <w:lang w:val="en-GB"/>
              </w:rPr>
            </w:pPr>
          </w:p>
        </w:tc>
        <w:tc>
          <w:tcPr>
            <w:tcW w:w="2551" w:type="dxa"/>
            <w:gridSpan w:val="2"/>
            <w:shd w:val="clear" w:color="auto" w:fill="auto"/>
            <w:tcMar>
              <w:top w:w="85" w:type="dxa"/>
              <w:left w:w="0" w:type="dxa"/>
              <w:bottom w:w="85" w:type="dxa"/>
              <w:right w:w="0" w:type="dxa"/>
            </w:tcMar>
            <w:vAlign w:val="bottom"/>
          </w:tcPr>
          <w:p w14:paraId="0446C350" w14:textId="77777777" w:rsidR="0086507E" w:rsidRPr="0086507E" w:rsidRDefault="0086507E" w:rsidP="0018481C">
            <w:pPr>
              <w:spacing w:line="240" w:lineRule="atLeast"/>
              <w:ind w:left="569"/>
              <w:contextualSpacing/>
              <w:jc w:val="center"/>
              <w:rPr>
                <w:rFonts w:ascii="Tahoma" w:hAnsi="Tahoma"/>
                <w:b/>
                <w:bCs/>
                <w:color w:val="000000" w:themeColor="text1"/>
                <w:sz w:val="16"/>
                <w:lang w:val="en-GB"/>
              </w:rPr>
            </w:pPr>
            <w:r w:rsidRPr="0086507E">
              <w:rPr>
                <w:rFonts w:ascii="Tahoma" w:hAnsi="Tahoma"/>
                <w:b/>
                <w:bCs/>
                <w:color w:val="000000" w:themeColor="text1"/>
                <w:sz w:val="16"/>
                <w:lang w:val="en-GB"/>
              </w:rPr>
              <w:t>30 September 2022</w:t>
            </w:r>
          </w:p>
        </w:tc>
        <w:tc>
          <w:tcPr>
            <w:tcW w:w="2693" w:type="dxa"/>
            <w:gridSpan w:val="2"/>
            <w:shd w:val="clear" w:color="auto" w:fill="auto"/>
            <w:tcMar>
              <w:top w:w="85" w:type="dxa"/>
              <w:left w:w="0" w:type="dxa"/>
              <w:bottom w:w="85" w:type="dxa"/>
              <w:right w:w="0" w:type="dxa"/>
            </w:tcMar>
            <w:vAlign w:val="bottom"/>
          </w:tcPr>
          <w:p w14:paraId="29BF7A6D" w14:textId="77777777" w:rsidR="0086507E" w:rsidRPr="0086507E" w:rsidRDefault="0086507E" w:rsidP="0018481C">
            <w:pPr>
              <w:spacing w:line="240" w:lineRule="atLeast"/>
              <w:ind w:left="573"/>
              <w:contextualSpacing/>
              <w:jc w:val="center"/>
              <w:rPr>
                <w:rFonts w:ascii="Tahoma" w:hAnsi="Tahoma"/>
                <w:color w:val="000000" w:themeColor="text1"/>
                <w:sz w:val="16"/>
                <w:lang w:val="en-GB"/>
              </w:rPr>
            </w:pPr>
            <w:r w:rsidRPr="0086507E">
              <w:rPr>
                <w:rFonts w:ascii="Tahoma" w:hAnsi="Tahoma"/>
                <w:color w:val="000000" w:themeColor="text1"/>
                <w:sz w:val="16"/>
                <w:lang w:val="en-GB"/>
              </w:rPr>
              <w:t>31 March 2022</w:t>
            </w:r>
          </w:p>
        </w:tc>
      </w:tr>
      <w:tr w:rsidR="00615190" w:rsidRPr="0086507E" w14:paraId="57ABB1E9" w14:textId="77777777" w:rsidTr="00BB63B9">
        <w:trPr>
          <w:trHeight w:val="60"/>
        </w:trPr>
        <w:tc>
          <w:tcPr>
            <w:tcW w:w="397" w:type="dxa"/>
            <w:shd w:val="clear" w:color="auto" w:fill="auto"/>
            <w:tcMar>
              <w:top w:w="113" w:type="dxa"/>
              <w:left w:w="0" w:type="dxa"/>
              <w:bottom w:w="113" w:type="dxa"/>
              <w:right w:w="0" w:type="dxa"/>
            </w:tcMar>
            <w:vAlign w:val="bottom"/>
          </w:tcPr>
          <w:p w14:paraId="741A775B" w14:textId="77777777" w:rsidR="0086507E" w:rsidRPr="0086507E" w:rsidRDefault="0086507E" w:rsidP="00615190">
            <w:pPr>
              <w:spacing w:line="240" w:lineRule="atLeast"/>
              <w:rPr>
                <w:rFonts w:ascii="Tahoma" w:hAnsi="Tahoma"/>
                <w:color w:val="000000" w:themeColor="text1"/>
                <w:sz w:val="16"/>
                <w:lang w:val="en-GB"/>
              </w:rPr>
            </w:pPr>
          </w:p>
        </w:tc>
        <w:tc>
          <w:tcPr>
            <w:tcW w:w="4565" w:type="dxa"/>
            <w:tcBorders>
              <w:bottom w:val="single" w:sz="12" w:space="0" w:color="auto"/>
            </w:tcBorders>
            <w:shd w:val="clear" w:color="auto" w:fill="auto"/>
            <w:tcMar>
              <w:top w:w="113" w:type="dxa"/>
              <w:left w:w="0" w:type="dxa"/>
              <w:bottom w:w="113" w:type="dxa"/>
              <w:right w:w="0" w:type="dxa"/>
            </w:tcMar>
            <w:vAlign w:val="bottom"/>
          </w:tcPr>
          <w:p w14:paraId="3661DDD0" w14:textId="77777777" w:rsidR="0086507E" w:rsidRPr="0086507E" w:rsidRDefault="0086507E" w:rsidP="00E23E96">
            <w:pPr>
              <w:spacing w:line="240" w:lineRule="atLeast"/>
              <w:contextualSpacing/>
              <w:rPr>
                <w:rFonts w:ascii="Tahoma" w:hAnsi="Tahoma"/>
                <w:color w:val="000000" w:themeColor="text1"/>
                <w:sz w:val="16"/>
                <w:lang w:val="en-GB"/>
              </w:rPr>
            </w:pPr>
          </w:p>
        </w:tc>
        <w:tc>
          <w:tcPr>
            <w:tcW w:w="1275" w:type="dxa"/>
            <w:tcBorders>
              <w:bottom w:val="single" w:sz="12" w:space="0" w:color="auto"/>
            </w:tcBorders>
            <w:shd w:val="clear" w:color="auto" w:fill="auto"/>
            <w:tcMar>
              <w:top w:w="113" w:type="dxa"/>
              <w:left w:w="0" w:type="dxa"/>
              <w:bottom w:w="113" w:type="dxa"/>
              <w:right w:w="0" w:type="dxa"/>
            </w:tcMar>
            <w:vAlign w:val="bottom"/>
          </w:tcPr>
          <w:p w14:paraId="638742DC" w14:textId="77777777" w:rsidR="0086507E" w:rsidRPr="0086507E" w:rsidRDefault="0086507E" w:rsidP="00E23E96">
            <w:pPr>
              <w:spacing w:line="240" w:lineRule="atLeast"/>
              <w:contextualSpacing/>
              <w:jc w:val="right"/>
              <w:rPr>
                <w:rFonts w:ascii="Tahoma" w:hAnsi="Tahoma"/>
                <w:b/>
                <w:bCs/>
                <w:color w:val="000000" w:themeColor="text1"/>
                <w:sz w:val="16"/>
                <w:lang w:val="en-GB"/>
              </w:rPr>
            </w:pPr>
            <w:r w:rsidRPr="0086507E">
              <w:rPr>
                <w:rFonts w:ascii="Tahoma" w:hAnsi="Tahoma"/>
                <w:b/>
                <w:bCs/>
                <w:color w:val="000000" w:themeColor="text1"/>
                <w:sz w:val="16"/>
                <w:lang w:val="en-GB"/>
              </w:rPr>
              <w:t>Carrying</w:t>
            </w:r>
          </w:p>
          <w:p w14:paraId="571CEB01" w14:textId="77777777" w:rsidR="0086507E" w:rsidRPr="0086507E" w:rsidRDefault="0086507E" w:rsidP="00E23E96">
            <w:pPr>
              <w:spacing w:line="240" w:lineRule="atLeast"/>
              <w:contextualSpacing/>
              <w:jc w:val="right"/>
              <w:rPr>
                <w:rFonts w:ascii="Tahoma" w:hAnsi="Tahoma"/>
                <w:b/>
                <w:bCs/>
                <w:color w:val="000000" w:themeColor="text1"/>
                <w:sz w:val="16"/>
                <w:lang w:val="en-GB"/>
              </w:rPr>
            </w:pPr>
            <w:r w:rsidRPr="0086507E">
              <w:rPr>
                <w:rFonts w:ascii="Tahoma" w:hAnsi="Tahoma"/>
                <w:b/>
                <w:bCs/>
                <w:color w:val="000000" w:themeColor="text1"/>
                <w:sz w:val="16"/>
                <w:lang w:val="en-GB"/>
              </w:rPr>
              <w:t>value</w:t>
            </w:r>
          </w:p>
          <w:p w14:paraId="0B707396" w14:textId="77777777" w:rsidR="0086507E" w:rsidRPr="0086507E" w:rsidRDefault="0086507E" w:rsidP="00E23E96">
            <w:pPr>
              <w:spacing w:line="240" w:lineRule="atLeast"/>
              <w:contextualSpacing/>
              <w:jc w:val="right"/>
              <w:rPr>
                <w:rFonts w:ascii="Tahoma" w:hAnsi="Tahoma"/>
                <w:b/>
                <w:bCs/>
                <w:color w:val="000000" w:themeColor="text1"/>
                <w:sz w:val="16"/>
                <w:lang w:val="en-GB"/>
              </w:rPr>
            </w:pPr>
            <w:proofErr w:type="spellStart"/>
            <w:r w:rsidRPr="0086507E">
              <w:rPr>
                <w:rFonts w:ascii="Tahoma" w:hAnsi="Tahoma"/>
                <w:b/>
                <w:bCs/>
                <w:color w:val="000000" w:themeColor="text1"/>
                <w:sz w:val="16"/>
                <w:lang w:val="en-GB"/>
              </w:rPr>
              <w:t>US$’m</w:t>
            </w:r>
            <w:proofErr w:type="spellEnd"/>
          </w:p>
        </w:tc>
        <w:tc>
          <w:tcPr>
            <w:tcW w:w="1276" w:type="dxa"/>
            <w:tcBorders>
              <w:bottom w:val="single" w:sz="12" w:space="0" w:color="auto"/>
            </w:tcBorders>
            <w:shd w:val="clear" w:color="auto" w:fill="auto"/>
            <w:tcMar>
              <w:top w:w="113" w:type="dxa"/>
              <w:left w:w="0" w:type="dxa"/>
              <w:bottom w:w="113" w:type="dxa"/>
              <w:right w:w="0" w:type="dxa"/>
            </w:tcMar>
            <w:vAlign w:val="bottom"/>
          </w:tcPr>
          <w:p w14:paraId="740EFC62" w14:textId="77777777" w:rsidR="0086507E" w:rsidRPr="0086507E" w:rsidRDefault="0086507E" w:rsidP="00E23E96">
            <w:pPr>
              <w:spacing w:line="240" w:lineRule="atLeast"/>
              <w:contextualSpacing/>
              <w:jc w:val="right"/>
              <w:rPr>
                <w:rFonts w:ascii="Tahoma" w:hAnsi="Tahoma"/>
                <w:b/>
                <w:bCs/>
                <w:color w:val="000000" w:themeColor="text1"/>
                <w:sz w:val="16"/>
                <w:lang w:val="en-GB"/>
              </w:rPr>
            </w:pPr>
            <w:r w:rsidRPr="0086507E">
              <w:rPr>
                <w:rFonts w:ascii="Tahoma" w:hAnsi="Tahoma"/>
                <w:b/>
                <w:bCs/>
                <w:color w:val="000000" w:themeColor="text1"/>
                <w:sz w:val="16"/>
                <w:lang w:val="en-GB"/>
              </w:rPr>
              <w:t>Fair</w:t>
            </w:r>
          </w:p>
          <w:p w14:paraId="7DF532F5" w14:textId="77777777" w:rsidR="0086507E" w:rsidRPr="0086507E" w:rsidRDefault="0086507E" w:rsidP="00E23E96">
            <w:pPr>
              <w:spacing w:line="240" w:lineRule="atLeast"/>
              <w:contextualSpacing/>
              <w:jc w:val="right"/>
              <w:rPr>
                <w:rFonts w:ascii="Tahoma" w:hAnsi="Tahoma"/>
                <w:b/>
                <w:bCs/>
                <w:color w:val="000000" w:themeColor="text1"/>
                <w:sz w:val="16"/>
                <w:lang w:val="en-GB"/>
              </w:rPr>
            </w:pPr>
            <w:r w:rsidRPr="0086507E">
              <w:rPr>
                <w:rFonts w:ascii="Tahoma" w:hAnsi="Tahoma"/>
                <w:b/>
                <w:bCs/>
                <w:color w:val="000000" w:themeColor="text1"/>
                <w:sz w:val="16"/>
                <w:lang w:val="en-GB"/>
              </w:rPr>
              <w:t>value</w:t>
            </w:r>
          </w:p>
          <w:p w14:paraId="42B0EED8" w14:textId="77777777" w:rsidR="0086507E" w:rsidRPr="0086507E" w:rsidRDefault="0086507E" w:rsidP="00E23E96">
            <w:pPr>
              <w:spacing w:line="240" w:lineRule="atLeast"/>
              <w:contextualSpacing/>
              <w:jc w:val="right"/>
              <w:rPr>
                <w:rFonts w:ascii="Tahoma" w:hAnsi="Tahoma"/>
                <w:b/>
                <w:bCs/>
                <w:color w:val="000000" w:themeColor="text1"/>
                <w:sz w:val="16"/>
                <w:lang w:val="en-GB"/>
              </w:rPr>
            </w:pPr>
            <w:proofErr w:type="spellStart"/>
            <w:r w:rsidRPr="0086507E">
              <w:rPr>
                <w:rFonts w:ascii="Tahoma" w:hAnsi="Tahoma"/>
                <w:b/>
                <w:bCs/>
                <w:color w:val="000000" w:themeColor="text1"/>
                <w:sz w:val="16"/>
                <w:lang w:val="en-GB"/>
              </w:rPr>
              <w:t>US$’m</w:t>
            </w:r>
            <w:proofErr w:type="spellEnd"/>
          </w:p>
        </w:tc>
        <w:tc>
          <w:tcPr>
            <w:tcW w:w="1418" w:type="dxa"/>
            <w:tcBorders>
              <w:bottom w:val="single" w:sz="12" w:space="0" w:color="auto"/>
            </w:tcBorders>
            <w:shd w:val="clear" w:color="auto" w:fill="auto"/>
            <w:tcMar>
              <w:top w:w="113" w:type="dxa"/>
              <w:left w:w="0" w:type="dxa"/>
              <w:bottom w:w="113" w:type="dxa"/>
              <w:right w:w="0" w:type="dxa"/>
            </w:tcMar>
            <w:vAlign w:val="bottom"/>
          </w:tcPr>
          <w:p w14:paraId="18C7A877" w14:textId="77777777" w:rsidR="0086507E" w:rsidRPr="0086507E" w:rsidRDefault="0086507E" w:rsidP="00E23E96">
            <w:pPr>
              <w:spacing w:line="240" w:lineRule="atLeast"/>
              <w:contextualSpacing/>
              <w:jc w:val="right"/>
              <w:rPr>
                <w:rFonts w:ascii="Tahoma" w:hAnsi="Tahoma"/>
                <w:color w:val="000000" w:themeColor="text1"/>
                <w:sz w:val="16"/>
                <w:lang w:val="en-GB"/>
              </w:rPr>
            </w:pPr>
            <w:r w:rsidRPr="0086507E">
              <w:rPr>
                <w:rFonts w:ascii="Tahoma" w:hAnsi="Tahoma"/>
                <w:color w:val="000000" w:themeColor="text1"/>
                <w:sz w:val="16"/>
                <w:lang w:val="en-GB"/>
              </w:rPr>
              <w:t>Carrying</w:t>
            </w:r>
          </w:p>
          <w:p w14:paraId="3E96A875" w14:textId="77777777" w:rsidR="0086507E" w:rsidRPr="0086507E" w:rsidRDefault="0086507E" w:rsidP="00E23E96">
            <w:pPr>
              <w:spacing w:line="240" w:lineRule="atLeast"/>
              <w:contextualSpacing/>
              <w:jc w:val="right"/>
              <w:rPr>
                <w:rFonts w:ascii="Tahoma" w:hAnsi="Tahoma"/>
                <w:color w:val="000000" w:themeColor="text1"/>
                <w:sz w:val="16"/>
                <w:lang w:val="en-GB"/>
              </w:rPr>
            </w:pPr>
            <w:r w:rsidRPr="0086507E">
              <w:rPr>
                <w:rFonts w:ascii="Tahoma" w:hAnsi="Tahoma"/>
                <w:color w:val="000000" w:themeColor="text1"/>
                <w:sz w:val="16"/>
                <w:lang w:val="en-GB"/>
              </w:rPr>
              <w:t>value</w:t>
            </w:r>
          </w:p>
          <w:p w14:paraId="34C9786E" w14:textId="77777777" w:rsidR="0086507E" w:rsidRPr="0086507E" w:rsidRDefault="0086507E" w:rsidP="00E23E96">
            <w:pPr>
              <w:spacing w:line="240" w:lineRule="atLeast"/>
              <w:contextualSpacing/>
              <w:jc w:val="right"/>
              <w:rPr>
                <w:rFonts w:ascii="Tahoma" w:hAnsi="Tahoma"/>
                <w:color w:val="000000" w:themeColor="text1"/>
                <w:sz w:val="16"/>
                <w:lang w:val="en-GB"/>
              </w:rPr>
            </w:pPr>
            <w:proofErr w:type="spellStart"/>
            <w:r w:rsidRPr="0086507E">
              <w:rPr>
                <w:rFonts w:ascii="Tahoma" w:hAnsi="Tahoma"/>
                <w:color w:val="000000" w:themeColor="text1"/>
                <w:sz w:val="16"/>
                <w:lang w:val="en-GB"/>
              </w:rPr>
              <w:t>US$’m</w:t>
            </w:r>
            <w:proofErr w:type="spellEnd"/>
          </w:p>
        </w:tc>
        <w:tc>
          <w:tcPr>
            <w:tcW w:w="1275" w:type="dxa"/>
            <w:tcBorders>
              <w:bottom w:val="single" w:sz="12" w:space="0" w:color="auto"/>
            </w:tcBorders>
            <w:shd w:val="clear" w:color="auto" w:fill="auto"/>
            <w:tcMar>
              <w:top w:w="113" w:type="dxa"/>
              <w:left w:w="0" w:type="dxa"/>
              <w:bottom w:w="113" w:type="dxa"/>
              <w:right w:w="0" w:type="dxa"/>
            </w:tcMar>
            <w:vAlign w:val="bottom"/>
          </w:tcPr>
          <w:p w14:paraId="301DEB54" w14:textId="77777777" w:rsidR="0086507E" w:rsidRPr="0086507E" w:rsidRDefault="0086507E" w:rsidP="00E23E96">
            <w:pPr>
              <w:spacing w:line="240" w:lineRule="atLeast"/>
              <w:contextualSpacing/>
              <w:jc w:val="right"/>
              <w:rPr>
                <w:rFonts w:ascii="Tahoma" w:hAnsi="Tahoma"/>
                <w:color w:val="000000" w:themeColor="text1"/>
                <w:sz w:val="16"/>
                <w:lang w:val="en-GB"/>
              </w:rPr>
            </w:pPr>
            <w:r w:rsidRPr="0086507E">
              <w:rPr>
                <w:rFonts w:ascii="Tahoma" w:hAnsi="Tahoma"/>
                <w:color w:val="000000" w:themeColor="text1"/>
                <w:sz w:val="16"/>
                <w:lang w:val="en-GB"/>
              </w:rPr>
              <w:t>Fair</w:t>
            </w:r>
          </w:p>
          <w:p w14:paraId="06D9C76B" w14:textId="77777777" w:rsidR="0086507E" w:rsidRPr="0086507E" w:rsidRDefault="0086507E" w:rsidP="00E23E96">
            <w:pPr>
              <w:spacing w:line="240" w:lineRule="atLeast"/>
              <w:contextualSpacing/>
              <w:jc w:val="right"/>
              <w:rPr>
                <w:rFonts w:ascii="Tahoma" w:hAnsi="Tahoma"/>
                <w:color w:val="000000" w:themeColor="text1"/>
                <w:sz w:val="16"/>
                <w:lang w:val="en-GB"/>
              </w:rPr>
            </w:pPr>
            <w:r w:rsidRPr="0086507E">
              <w:rPr>
                <w:rFonts w:ascii="Tahoma" w:hAnsi="Tahoma"/>
                <w:color w:val="000000" w:themeColor="text1"/>
                <w:sz w:val="16"/>
                <w:lang w:val="en-GB"/>
              </w:rPr>
              <w:t>value</w:t>
            </w:r>
          </w:p>
          <w:p w14:paraId="6BC3F570" w14:textId="77777777" w:rsidR="0086507E" w:rsidRPr="0086507E" w:rsidRDefault="0086507E" w:rsidP="00E23E96">
            <w:pPr>
              <w:spacing w:line="240" w:lineRule="atLeast"/>
              <w:contextualSpacing/>
              <w:jc w:val="right"/>
              <w:rPr>
                <w:rFonts w:ascii="Tahoma" w:hAnsi="Tahoma"/>
                <w:color w:val="000000" w:themeColor="text1"/>
                <w:sz w:val="16"/>
                <w:lang w:val="en-GB"/>
              </w:rPr>
            </w:pPr>
            <w:proofErr w:type="spellStart"/>
            <w:r w:rsidRPr="0086507E">
              <w:rPr>
                <w:rFonts w:ascii="Tahoma" w:hAnsi="Tahoma"/>
                <w:color w:val="000000" w:themeColor="text1"/>
                <w:sz w:val="16"/>
                <w:lang w:val="en-GB"/>
              </w:rPr>
              <w:t>US$’m</w:t>
            </w:r>
            <w:proofErr w:type="spellEnd"/>
          </w:p>
        </w:tc>
      </w:tr>
      <w:tr w:rsidR="00615190" w:rsidRPr="0086507E" w14:paraId="3913609C" w14:textId="77777777" w:rsidTr="00B73D54">
        <w:trPr>
          <w:trHeight w:val="60"/>
        </w:trPr>
        <w:tc>
          <w:tcPr>
            <w:tcW w:w="397" w:type="dxa"/>
            <w:shd w:val="clear" w:color="auto" w:fill="auto"/>
            <w:tcMar>
              <w:top w:w="142" w:type="dxa"/>
              <w:left w:w="0" w:type="dxa"/>
              <w:bottom w:w="57" w:type="dxa"/>
              <w:right w:w="0" w:type="dxa"/>
            </w:tcMar>
            <w:vAlign w:val="bottom"/>
          </w:tcPr>
          <w:p w14:paraId="70D52AF5" w14:textId="77777777" w:rsidR="0086507E" w:rsidRPr="0086507E" w:rsidRDefault="0086507E" w:rsidP="00615190">
            <w:pPr>
              <w:spacing w:line="240" w:lineRule="atLeast"/>
              <w:rPr>
                <w:rFonts w:ascii="Tahoma" w:hAnsi="Tahoma"/>
                <w:color w:val="000000" w:themeColor="text1"/>
                <w:sz w:val="16"/>
                <w:lang w:val="en-GB"/>
              </w:rPr>
            </w:pPr>
          </w:p>
        </w:tc>
        <w:tc>
          <w:tcPr>
            <w:tcW w:w="4565" w:type="dxa"/>
            <w:tcBorders>
              <w:top w:val="single" w:sz="12" w:space="0" w:color="auto"/>
            </w:tcBorders>
            <w:shd w:val="clear" w:color="auto" w:fill="auto"/>
            <w:tcMar>
              <w:top w:w="142" w:type="dxa"/>
              <w:left w:w="0" w:type="dxa"/>
              <w:bottom w:w="57" w:type="dxa"/>
              <w:right w:w="0" w:type="dxa"/>
            </w:tcMar>
            <w:vAlign w:val="bottom"/>
          </w:tcPr>
          <w:p w14:paraId="3CDDE7C0" w14:textId="77777777" w:rsidR="0086507E" w:rsidRPr="0086507E" w:rsidRDefault="0086507E" w:rsidP="00E23E96">
            <w:pPr>
              <w:spacing w:line="240" w:lineRule="atLeast"/>
              <w:contextualSpacing/>
              <w:rPr>
                <w:rFonts w:ascii="Tahoma" w:hAnsi="Tahoma"/>
                <w:b/>
                <w:bCs/>
                <w:color w:val="000000" w:themeColor="text1"/>
                <w:sz w:val="16"/>
                <w:lang w:val="en-GB"/>
              </w:rPr>
            </w:pPr>
            <w:r w:rsidRPr="0086507E">
              <w:rPr>
                <w:rFonts w:ascii="Tahoma" w:hAnsi="Tahoma"/>
                <w:b/>
                <w:bCs/>
                <w:color w:val="000000" w:themeColor="text1"/>
                <w:sz w:val="16"/>
                <w:lang w:val="en-GB"/>
              </w:rPr>
              <w:t>Financial liabilities</w:t>
            </w:r>
          </w:p>
        </w:tc>
        <w:tc>
          <w:tcPr>
            <w:tcW w:w="1275" w:type="dxa"/>
            <w:tcBorders>
              <w:top w:val="single" w:sz="12" w:space="0" w:color="auto"/>
            </w:tcBorders>
            <w:shd w:val="clear" w:color="auto" w:fill="auto"/>
            <w:tcMar>
              <w:top w:w="142" w:type="dxa"/>
              <w:left w:w="0" w:type="dxa"/>
              <w:bottom w:w="57" w:type="dxa"/>
              <w:right w:w="0" w:type="dxa"/>
            </w:tcMar>
            <w:vAlign w:val="bottom"/>
          </w:tcPr>
          <w:p w14:paraId="28107636" w14:textId="77777777" w:rsidR="0086507E" w:rsidRPr="0086507E" w:rsidRDefault="0086507E" w:rsidP="00E23E96">
            <w:pPr>
              <w:spacing w:line="240" w:lineRule="atLeast"/>
              <w:contextualSpacing/>
              <w:jc w:val="right"/>
              <w:rPr>
                <w:rFonts w:ascii="Tahoma" w:hAnsi="Tahoma"/>
                <w:b/>
                <w:bCs/>
                <w:color w:val="000000" w:themeColor="text1"/>
                <w:sz w:val="16"/>
                <w:lang w:val="en-GB"/>
              </w:rPr>
            </w:pPr>
          </w:p>
        </w:tc>
        <w:tc>
          <w:tcPr>
            <w:tcW w:w="1276" w:type="dxa"/>
            <w:tcBorders>
              <w:top w:val="single" w:sz="12" w:space="0" w:color="auto"/>
            </w:tcBorders>
            <w:shd w:val="clear" w:color="auto" w:fill="auto"/>
            <w:tcMar>
              <w:top w:w="142" w:type="dxa"/>
              <w:left w:w="0" w:type="dxa"/>
              <w:bottom w:w="57" w:type="dxa"/>
              <w:right w:w="0" w:type="dxa"/>
            </w:tcMar>
            <w:vAlign w:val="bottom"/>
          </w:tcPr>
          <w:p w14:paraId="1A93B7B5" w14:textId="77777777" w:rsidR="0086507E" w:rsidRPr="0086507E" w:rsidRDefault="0086507E" w:rsidP="00E23E96">
            <w:pPr>
              <w:spacing w:line="240" w:lineRule="atLeast"/>
              <w:contextualSpacing/>
              <w:jc w:val="right"/>
              <w:rPr>
                <w:rFonts w:ascii="Tahoma" w:hAnsi="Tahoma"/>
                <w:b/>
                <w:bCs/>
                <w:color w:val="000000" w:themeColor="text1"/>
                <w:sz w:val="16"/>
                <w:lang w:val="en-GB"/>
              </w:rPr>
            </w:pPr>
          </w:p>
        </w:tc>
        <w:tc>
          <w:tcPr>
            <w:tcW w:w="1418" w:type="dxa"/>
            <w:tcBorders>
              <w:top w:val="single" w:sz="12" w:space="0" w:color="auto"/>
            </w:tcBorders>
            <w:shd w:val="clear" w:color="auto" w:fill="auto"/>
            <w:tcMar>
              <w:top w:w="142" w:type="dxa"/>
              <w:left w:w="0" w:type="dxa"/>
              <w:bottom w:w="57" w:type="dxa"/>
              <w:right w:w="0" w:type="dxa"/>
            </w:tcMar>
            <w:vAlign w:val="bottom"/>
          </w:tcPr>
          <w:p w14:paraId="2FFB562C" w14:textId="77777777" w:rsidR="0086507E" w:rsidRPr="0086507E" w:rsidRDefault="0086507E" w:rsidP="00E23E96">
            <w:pPr>
              <w:spacing w:line="240" w:lineRule="atLeast"/>
              <w:contextualSpacing/>
              <w:jc w:val="right"/>
              <w:rPr>
                <w:rFonts w:ascii="Tahoma" w:hAnsi="Tahoma"/>
                <w:color w:val="000000" w:themeColor="text1"/>
                <w:sz w:val="16"/>
                <w:lang w:val="en-GB"/>
              </w:rPr>
            </w:pPr>
          </w:p>
        </w:tc>
        <w:tc>
          <w:tcPr>
            <w:tcW w:w="1275" w:type="dxa"/>
            <w:tcBorders>
              <w:top w:val="single" w:sz="12" w:space="0" w:color="auto"/>
            </w:tcBorders>
            <w:shd w:val="clear" w:color="auto" w:fill="auto"/>
            <w:tcMar>
              <w:top w:w="142" w:type="dxa"/>
              <w:left w:w="0" w:type="dxa"/>
              <w:bottom w:w="57" w:type="dxa"/>
              <w:right w:w="0" w:type="dxa"/>
            </w:tcMar>
            <w:vAlign w:val="bottom"/>
          </w:tcPr>
          <w:p w14:paraId="5825B165" w14:textId="77777777" w:rsidR="0086507E" w:rsidRPr="0086507E" w:rsidRDefault="0086507E" w:rsidP="00E23E96">
            <w:pPr>
              <w:spacing w:line="240" w:lineRule="atLeast"/>
              <w:contextualSpacing/>
              <w:jc w:val="right"/>
              <w:rPr>
                <w:rFonts w:ascii="Tahoma" w:hAnsi="Tahoma"/>
                <w:color w:val="000000" w:themeColor="text1"/>
                <w:sz w:val="16"/>
                <w:lang w:val="en-GB"/>
              </w:rPr>
            </w:pPr>
          </w:p>
        </w:tc>
      </w:tr>
      <w:tr w:rsidR="00615190" w:rsidRPr="0086507E" w14:paraId="4558A3EB" w14:textId="77777777" w:rsidTr="00B73D54">
        <w:trPr>
          <w:trHeight w:val="60"/>
        </w:trPr>
        <w:tc>
          <w:tcPr>
            <w:tcW w:w="397" w:type="dxa"/>
            <w:shd w:val="clear" w:color="auto" w:fill="auto"/>
            <w:tcMar>
              <w:top w:w="57" w:type="dxa"/>
              <w:left w:w="0" w:type="dxa"/>
              <w:bottom w:w="85" w:type="dxa"/>
              <w:right w:w="0" w:type="dxa"/>
            </w:tcMar>
            <w:vAlign w:val="bottom"/>
          </w:tcPr>
          <w:p w14:paraId="376E103F" w14:textId="77777777" w:rsidR="0086507E" w:rsidRPr="0086507E" w:rsidRDefault="0086507E" w:rsidP="00615190">
            <w:pPr>
              <w:spacing w:line="240" w:lineRule="atLeast"/>
              <w:rPr>
                <w:rFonts w:ascii="Tahoma" w:hAnsi="Tahoma"/>
                <w:color w:val="000000" w:themeColor="text1"/>
                <w:sz w:val="16"/>
                <w:lang w:val="en-GB"/>
              </w:rPr>
            </w:pPr>
          </w:p>
        </w:tc>
        <w:tc>
          <w:tcPr>
            <w:tcW w:w="4565" w:type="dxa"/>
            <w:tcBorders>
              <w:bottom w:val="single" w:sz="12" w:space="0" w:color="auto"/>
            </w:tcBorders>
            <w:shd w:val="clear" w:color="auto" w:fill="auto"/>
            <w:tcMar>
              <w:top w:w="57" w:type="dxa"/>
              <w:left w:w="0" w:type="dxa"/>
              <w:bottom w:w="85" w:type="dxa"/>
              <w:right w:w="0" w:type="dxa"/>
            </w:tcMar>
            <w:vAlign w:val="bottom"/>
          </w:tcPr>
          <w:p w14:paraId="147216FB" w14:textId="77777777" w:rsidR="0086507E" w:rsidRPr="0086507E" w:rsidRDefault="0086507E" w:rsidP="00E23E96">
            <w:pPr>
              <w:spacing w:line="240" w:lineRule="atLeast"/>
              <w:contextualSpacing/>
              <w:rPr>
                <w:rFonts w:ascii="Tahoma" w:hAnsi="Tahoma"/>
                <w:color w:val="000000" w:themeColor="text1"/>
                <w:sz w:val="16"/>
                <w:lang w:val="en-GB"/>
              </w:rPr>
            </w:pPr>
            <w:r w:rsidRPr="0086507E">
              <w:rPr>
                <w:rFonts w:ascii="Tahoma" w:hAnsi="Tahoma"/>
                <w:color w:val="000000" w:themeColor="text1"/>
                <w:sz w:val="16"/>
                <w:lang w:val="en-GB"/>
              </w:rPr>
              <w:t>Publicly traded bonds</w:t>
            </w:r>
          </w:p>
        </w:tc>
        <w:tc>
          <w:tcPr>
            <w:tcW w:w="1275" w:type="dxa"/>
            <w:tcBorders>
              <w:bottom w:val="single" w:sz="12" w:space="0" w:color="auto"/>
            </w:tcBorders>
            <w:shd w:val="clear" w:color="auto" w:fill="auto"/>
            <w:tcMar>
              <w:top w:w="57" w:type="dxa"/>
              <w:left w:w="0" w:type="dxa"/>
              <w:bottom w:w="85" w:type="dxa"/>
              <w:right w:w="0" w:type="dxa"/>
            </w:tcMar>
            <w:vAlign w:val="bottom"/>
          </w:tcPr>
          <w:p w14:paraId="77E869B5" w14:textId="77777777" w:rsidR="0086507E" w:rsidRPr="0086507E" w:rsidRDefault="0086507E" w:rsidP="00E23E96">
            <w:pPr>
              <w:spacing w:line="240" w:lineRule="atLeast"/>
              <w:contextualSpacing/>
              <w:jc w:val="right"/>
              <w:rPr>
                <w:rFonts w:ascii="Tahoma" w:hAnsi="Tahoma"/>
                <w:b/>
                <w:bCs/>
                <w:color w:val="000000" w:themeColor="text1"/>
                <w:sz w:val="16"/>
                <w:lang w:val="en-GB"/>
              </w:rPr>
            </w:pPr>
            <w:r w:rsidRPr="0086507E">
              <w:rPr>
                <w:rFonts w:ascii="Tahoma" w:hAnsi="Tahoma"/>
                <w:b/>
                <w:bCs/>
                <w:color w:val="000000" w:themeColor="text1"/>
                <w:sz w:val="16"/>
                <w:lang w:val="en-GB"/>
              </w:rPr>
              <w:t>14 819</w:t>
            </w:r>
          </w:p>
        </w:tc>
        <w:tc>
          <w:tcPr>
            <w:tcW w:w="1276" w:type="dxa"/>
            <w:tcBorders>
              <w:bottom w:val="single" w:sz="12" w:space="0" w:color="auto"/>
            </w:tcBorders>
            <w:shd w:val="clear" w:color="auto" w:fill="auto"/>
            <w:tcMar>
              <w:top w:w="57" w:type="dxa"/>
              <w:left w:w="0" w:type="dxa"/>
              <w:bottom w:w="85" w:type="dxa"/>
              <w:right w:w="0" w:type="dxa"/>
            </w:tcMar>
            <w:vAlign w:val="bottom"/>
          </w:tcPr>
          <w:p w14:paraId="2A2C2C62" w14:textId="77777777" w:rsidR="0086507E" w:rsidRPr="0086507E" w:rsidRDefault="0086507E" w:rsidP="00E23E96">
            <w:pPr>
              <w:spacing w:line="240" w:lineRule="atLeast"/>
              <w:contextualSpacing/>
              <w:jc w:val="right"/>
              <w:rPr>
                <w:rFonts w:ascii="Tahoma" w:hAnsi="Tahoma"/>
                <w:b/>
                <w:bCs/>
                <w:color w:val="000000" w:themeColor="text1"/>
                <w:sz w:val="16"/>
                <w:lang w:val="en-GB"/>
              </w:rPr>
            </w:pPr>
            <w:r w:rsidRPr="0086507E">
              <w:rPr>
                <w:rFonts w:ascii="Tahoma" w:hAnsi="Tahoma"/>
                <w:b/>
                <w:bCs/>
                <w:color w:val="000000" w:themeColor="text1"/>
                <w:sz w:val="16"/>
                <w:lang w:val="en-GB"/>
              </w:rPr>
              <w:t>10 384</w:t>
            </w:r>
          </w:p>
        </w:tc>
        <w:tc>
          <w:tcPr>
            <w:tcW w:w="1418" w:type="dxa"/>
            <w:tcBorders>
              <w:bottom w:val="single" w:sz="12" w:space="0" w:color="auto"/>
            </w:tcBorders>
            <w:shd w:val="clear" w:color="auto" w:fill="auto"/>
            <w:tcMar>
              <w:top w:w="57" w:type="dxa"/>
              <w:left w:w="0" w:type="dxa"/>
              <w:bottom w:w="85" w:type="dxa"/>
              <w:right w:w="0" w:type="dxa"/>
            </w:tcMar>
            <w:vAlign w:val="bottom"/>
          </w:tcPr>
          <w:p w14:paraId="7BAF672B" w14:textId="77777777" w:rsidR="0086507E" w:rsidRPr="0086507E" w:rsidRDefault="0086507E" w:rsidP="00E23E96">
            <w:pPr>
              <w:spacing w:line="240" w:lineRule="atLeast"/>
              <w:contextualSpacing/>
              <w:jc w:val="right"/>
              <w:rPr>
                <w:rFonts w:ascii="Tahoma" w:hAnsi="Tahoma"/>
                <w:color w:val="000000" w:themeColor="text1"/>
                <w:sz w:val="16"/>
                <w:lang w:val="en-GB"/>
              </w:rPr>
            </w:pPr>
            <w:r w:rsidRPr="0086507E">
              <w:rPr>
                <w:rFonts w:ascii="Tahoma" w:hAnsi="Tahoma"/>
                <w:color w:val="000000" w:themeColor="text1"/>
                <w:sz w:val="16"/>
                <w:lang w:val="en-GB"/>
              </w:rPr>
              <w:t>15 368</w:t>
            </w:r>
          </w:p>
        </w:tc>
        <w:tc>
          <w:tcPr>
            <w:tcW w:w="1275" w:type="dxa"/>
            <w:tcBorders>
              <w:bottom w:val="single" w:sz="12" w:space="0" w:color="auto"/>
            </w:tcBorders>
            <w:shd w:val="clear" w:color="auto" w:fill="auto"/>
            <w:tcMar>
              <w:top w:w="57" w:type="dxa"/>
              <w:left w:w="0" w:type="dxa"/>
              <w:bottom w:w="85" w:type="dxa"/>
              <w:right w:w="0" w:type="dxa"/>
            </w:tcMar>
            <w:vAlign w:val="bottom"/>
          </w:tcPr>
          <w:p w14:paraId="1315C5F9" w14:textId="77777777" w:rsidR="0086507E" w:rsidRPr="0086507E" w:rsidRDefault="0086507E" w:rsidP="00E23E96">
            <w:pPr>
              <w:spacing w:line="240" w:lineRule="atLeast"/>
              <w:contextualSpacing/>
              <w:jc w:val="right"/>
              <w:rPr>
                <w:rFonts w:ascii="Tahoma" w:hAnsi="Tahoma"/>
                <w:color w:val="000000" w:themeColor="text1"/>
                <w:sz w:val="16"/>
                <w:lang w:val="en-GB"/>
              </w:rPr>
            </w:pPr>
            <w:r w:rsidRPr="0086507E">
              <w:rPr>
                <w:rFonts w:ascii="Tahoma" w:hAnsi="Tahoma"/>
                <w:color w:val="000000" w:themeColor="text1"/>
                <w:sz w:val="16"/>
                <w:lang w:val="en-GB"/>
              </w:rPr>
              <w:t>13 056</w:t>
            </w:r>
          </w:p>
        </w:tc>
      </w:tr>
      <w:tr w:rsidR="00615190" w:rsidRPr="0086507E" w14:paraId="6DDE84E5" w14:textId="77777777" w:rsidTr="00B73D54">
        <w:trPr>
          <w:trHeight w:val="60"/>
        </w:trPr>
        <w:tc>
          <w:tcPr>
            <w:tcW w:w="397" w:type="dxa"/>
            <w:shd w:val="clear" w:color="auto" w:fill="auto"/>
            <w:tcMar>
              <w:top w:w="142" w:type="dxa"/>
              <w:left w:w="0" w:type="dxa"/>
              <w:bottom w:w="85" w:type="dxa"/>
              <w:right w:w="0" w:type="dxa"/>
            </w:tcMar>
            <w:vAlign w:val="bottom"/>
          </w:tcPr>
          <w:p w14:paraId="74954CA1" w14:textId="77777777" w:rsidR="0086507E" w:rsidRPr="0086507E" w:rsidRDefault="0086507E" w:rsidP="00615190">
            <w:pPr>
              <w:spacing w:line="240" w:lineRule="atLeast"/>
              <w:rPr>
                <w:rFonts w:ascii="Tahoma" w:hAnsi="Tahoma"/>
                <w:color w:val="000000" w:themeColor="text1"/>
                <w:sz w:val="16"/>
                <w:lang w:val="en-GB"/>
              </w:rPr>
            </w:pPr>
          </w:p>
        </w:tc>
        <w:tc>
          <w:tcPr>
            <w:tcW w:w="9809" w:type="dxa"/>
            <w:gridSpan w:val="5"/>
            <w:tcBorders>
              <w:top w:val="single" w:sz="12" w:space="0" w:color="auto"/>
            </w:tcBorders>
            <w:shd w:val="clear" w:color="auto" w:fill="auto"/>
            <w:tcMar>
              <w:top w:w="142" w:type="dxa"/>
              <w:left w:w="0" w:type="dxa"/>
              <w:bottom w:w="85" w:type="dxa"/>
              <w:right w:w="0" w:type="dxa"/>
            </w:tcMar>
            <w:vAlign w:val="bottom"/>
          </w:tcPr>
          <w:p w14:paraId="1EA9A9A9" w14:textId="77777777" w:rsidR="0086507E" w:rsidRPr="0086507E" w:rsidRDefault="0086507E" w:rsidP="00615190">
            <w:pPr>
              <w:spacing w:line="240" w:lineRule="atLeast"/>
              <w:rPr>
                <w:rFonts w:ascii="Tahoma" w:hAnsi="Tahoma"/>
                <w:color w:val="000000" w:themeColor="text1"/>
                <w:sz w:val="16"/>
                <w:lang w:val="en-GB"/>
              </w:rPr>
            </w:pPr>
            <w:r w:rsidRPr="0086507E">
              <w:rPr>
                <w:rFonts w:ascii="Tahoma" w:hAnsi="Tahoma"/>
                <w:color w:val="000000" w:themeColor="text1"/>
                <w:sz w:val="16"/>
                <w:lang w:val="en-GB"/>
              </w:rPr>
              <w:t>The fair values of the publicly traded bonds have been determined with reference to the listed prices of the instruments as at the end of the reporting period. The fair values of the publicly traded bonds are level 2 financial instruments. The publicly traded bonds are listed on the Irish Stock Exchange (Euronext Dublin).</w:t>
            </w:r>
          </w:p>
        </w:tc>
      </w:tr>
    </w:tbl>
    <w:p w14:paraId="0C9D307E" w14:textId="77777777" w:rsidR="00AD05D8" w:rsidRDefault="00AD05D8" w:rsidP="00615190">
      <w:pPr>
        <w:spacing w:line="240" w:lineRule="atLeast"/>
        <w:rPr>
          <w:rFonts w:ascii="Tahoma" w:hAnsi="Tahoma"/>
          <w:color w:val="000000" w:themeColor="text1"/>
          <w:sz w:val="16"/>
        </w:rPr>
      </w:pPr>
    </w:p>
    <w:p w14:paraId="055A0973" w14:textId="77777777" w:rsidR="00AD05D8" w:rsidRDefault="00AD05D8">
      <w:pPr>
        <w:rPr>
          <w:rFonts w:ascii="Tahoma" w:hAnsi="Tahoma"/>
          <w:color w:val="000000" w:themeColor="text1"/>
          <w:sz w:val="16"/>
        </w:rPr>
      </w:pPr>
      <w:r>
        <w:rPr>
          <w:rFonts w:ascii="Tahoma" w:hAnsi="Tahoma"/>
          <w:color w:val="000000" w:themeColor="text1"/>
          <w:sz w:val="16"/>
        </w:rPr>
        <w:br w:type="page"/>
      </w:r>
    </w:p>
    <w:p w14:paraId="6A2932AD" w14:textId="77777777" w:rsidR="0086507E" w:rsidRPr="00615190" w:rsidRDefault="0086507E" w:rsidP="00615190">
      <w:pPr>
        <w:spacing w:line="240" w:lineRule="atLeast"/>
        <w:rPr>
          <w:rFonts w:ascii="Tahoma" w:hAnsi="Tahoma"/>
          <w:color w:val="000000" w:themeColor="text1"/>
          <w:sz w:val="16"/>
        </w:rPr>
      </w:pPr>
    </w:p>
    <w:tbl>
      <w:tblPr>
        <w:tblW w:w="10206" w:type="dxa"/>
        <w:tblInd w:w="-8" w:type="dxa"/>
        <w:tblLayout w:type="fixed"/>
        <w:tblCellMar>
          <w:left w:w="0" w:type="dxa"/>
          <w:right w:w="0" w:type="dxa"/>
        </w:tblCellMar>
        <w:tblLook w:val="0000" w:firstRow="0" w:lastRow="0" w:firstColumn="0" w:lastColumn="0" w:noHBand="0" w:noVBand="0"/>
      </w:tblPr>
      <w:tblGrid>
        <w:gridCol w:w="397"/>
        <w:gridCol w:w="7258"/>
        <w:gridCol w:w="1417"/>
        <w:gridCol w:w="1134"/>
      </w:tblGrid>
      <w:tr w:rsidR="00615190" w:rsidRPr="000A4FD8" w14:paraId="721E749C" w14:textId="77777777" w:rsidTr="002935AE">
        <w:trPr>
          <w:trHeight w:val="60"/>
        </w:trPr>
        <w:tc>
          <w:tcPr>
            <w:tcW w:w="397" w:type="dxa"/>
            <w:shd w:val="clear" w:color="auto" w:fill="auto"/>
            <w:tcMar>
              <w:top w:w="142" w:type="dxa"/>
              <w:left w:w="0" w:type="dxa"/>
              <w:bottom w:w="57" w:type="dxa"/>
              <w:right w:w="0" w:type="dxa"/>
            </w:tcMar>
            <w:vAlign w:val="bottom"/>
          </w:tcPr>
          <w:p w14:paraId="498A1600" w14:textId="77777777" w:rsidR="000A4FD8" w:rsidRPr="000A4FD8" w:rsidRDefault="001A4382" w:rsidP="00615190">
            <w:pPr>
              <w:spacing w:line="240" w:lineRule="atLeast"/>
              <w:rPr>
                <w:rFonts w:ascii="Tahoma" w:hAnsi="Tahoma"/>
                <w:b/>
                <w:bCs/>
                <w:color w:val="000000" w:themeColor="text1"/>
                <w:sz w:val="16"/>
                <w:lang w:val="en-GB"/>
              </w:rPr>
            </w:pPr>
            <w:r w:rsidRPr="001A4382">
              <w:rPr>
                <w:rFonts w:ascii="Tahoma" w:hAnsi="Tahoma"/>
                <w:b/>
                <w:bCs/>
                <w:color w:val="000000" w:themeColor="text1"/>
                <w:sz w:val="16"/>
                <w:lang w:val="en-GB"/>
              </w:rPr>
              <w:t>18.</w:t>
            </w:r>
          </w:p>
        </w:tc>
        <w:tc>
          <w:tcPr>
            <w:tcW w:w="9809" w:type="dxa"/>
            <w:gridSpan w:val="3"/>
            <w:shd w:val="clear" w:color="auto" w:fill="auto"/>
            <w:tcMar>
              <w:top w:w="142" w:type="dxa"/>
              <w:left w:w="0" w:type="dxa"/>
              <w:bottom w:w="57" w:type="dxa"/>
              <w:right w:w="0" w:type="dxa"/>
            </w:tcMar>
            <w:vAlign w:val="bottom"/>
          </w:tcPr>
          <w:p w14:paraId="517AE134" w14:textId="77777777" w:rsidR="000A4FD8" w:rsidRPr="000A4FD8" w:rsidRDefault="001A4382" w:rsidP="00615190">
            <w:pPr>
              <w:spacing w:line="240" w:lineRule="atLeast"/>
              <w:rPr>
                <w:rFonts w:ascii="Tahoma" w:hAnsi="Tahoma"/>
                <w:b/>
                <w:bCs/>
                <w:color w:val="000000" w:themeColor="text1"/>
                <w:sz w:val="16"/>
                <w:lang w:val="en-GB"/>
              </w:rPr>
            </w:pPr>
            <w:r w:rsidRPr="001A4382">
              <w:rPr>
                <w:rFonts w:ascii="Tahoma" w:hAnsi="Tahoma"/>
                <w:b/>
                <w:bCs/>
                <w:color w:val="000000" w:themeColor="text1"/>
                <w:sz w:val="16"/>
                <w:lang w:val="en-GB"/>
              </w:rPr>
              <w:t>RELATED PARTY TRANSACTIONS AND BALANCES</w:t>
            </w:r>
          </w:p>
        </w:tc>
      </w:tr>
      <w:tr w:rsidR="00615190" w:rsidRPr="000A4FD8" w14:paraId="5D64EF17" w14:textId="77777777" w:rsidTr="001D3437">
        <w:trPr>
          <w:trHeight w:val="60"/>
        </w:trPr>
        <w:tc>
          <w:tcPr>
            <w:tcW w:w="397" w:type="dxa"/>
            <w:shd w:val="clear" w:color="auto" w:fill="auto"/>
            <w:tcMar>
              <w:top w:w="57" w:type="dxa"/>
              <w:left w:w="0" w:type="dxa"/>
              <w:bottom w:w="113" w:type="dxa"/>
              <w:right w:w="0" w:type="dxa"/>
            </w:tcMar>
            <w:vAlign w:val="bottom"/>
          </w:tcPr>
          <w:p w14:paraId="156C7405" w14:textId="77777777" w:rsidR="000A4FD8" w:rsidRPr="000A4FD8" w:rsidRDefault="000A4FD8" w:rsidP="00615190">
            <w:pPr>
              <w:spacing w:line="240" w:lineRule="atLeast"/>
              <w:rPr>
                <w:rFonts w:ascii="Tahoma" w:hAnsi="Tahoma"/>
                <w:color w:val="000000" w:themeColor="text1"/>
                <w:sz w:val="16"/>
                <w:lang w:val="en-GB"/>
              </w:rPr>
            </w:pPr>
          </w:p>
        </w:tc>
        <w:tc>
          <w:tcPr>
            <w:tcW w:w="9809" w:type="dxa"/>
            <w:gridSpan w:val="3"/>
            <w:shd w:val="clear" w:color="auto" w:fill="auto"/>
            <w:tcMar>
              <w:top w:w="57" w:type="dxa"/>
              <w:left w:w="0" w:type="dxa"/>
              <w:bottom w:w="113" w:type="dxa"/>
              <w:right w:w="0" w:type="dxa"/>
            </w:tcMar>
            <w:vAlign w:val="bottom"/>
          </w:tcPr>
          <w:p w14:paraId="7CAB944B" w14:textId="77777777" w:rsidR="000A4FD8" w:rsidRPr="000A4FD8" w:rsidRDefault="000A4FD8" w:rsidP="00615190">
            <w:pPr>
              <w:spacing w:line="240" w:lineRule="atLeast"/>
              <w:rPr>
                <w:rFonts w:ascii="Tahoma" w:hAnsi="Tahoma"/>
                <w:color w:val="000000" w:themeColor="text1"/>
                <w:sz w:val="16"/>
                <w:lang w:val="en-GB"/>
              </w:rPr>
            </w:pPr>
            <w:r w:rsidRPr="000A4FD8">
              <w:rPr>
                <w:rFonts w:ascii="Tahoma" w:hAnsi="Tahoma"/>
                <w:color w:val="000000" w:themeColor="text1"/>
                <w:sz w:val="16"/>
                <w:lang w:val="en-GB"/>
              </w:rPr>
              <w:t>The group entered into various related party transactions in the ordinary course of business with a number of related parties, including associates and joint ventures. Transactions that are eliminated on consolidation as well as gains or losses eliminated through the application of the equity method are not included. The transactions and balances with related parties are summarised below:</w:t>
            </w:r>
          </w:p>
        </w:tc>
      </w:tr>
      <w:tr w:rsidR="00615190" w:rsidRPr="000A4FD8" w14:paraId="5673F113" w14:textId="77777777" w:rsidTr="001D3437">
        <w:trPr>
          <w:trHeight w:val="60"/>
        </w:trPr>
        <w:tc>
          <w:tcPr>
            <w:tcW w:w="397" w:type="dxa"/>
            <w:shd w:val="clear" w:color="auto" w:fill="auto"/>
            <w:tcMar>
              <w:top w:w="0" w:type="dxa"/>
              <w:left w:w="0" w:type="dxa"/>
              <w:bottom w:w="113" w:type="dxa"/>
              <w:right w:w="0" w:type="dxa"/>
            </w:tcMar>
            <w:vAlign w:val="bottom"/>
          </w:tcPr>
          <w:p w14:paraId="04352A4A" w14:textId="77777777" w:rsidR="000A4FD8" w:rsidRPr="000A4FD8" w:rsidRDefault="000A4FD8" w:rsidP="00615190">
            <w:pPr>
              <w:spacing w:line="240" w:lineRule="atLeast"/>
              <w:rPr>
                <w:rFonts w:ascii="Tahoma" w:hAnsi="Tahoma"/>
                <w:color w:val="000000" w:themeColor="text1"/>
                <w:sz w:val="16"/>
                <w:lang w:val="en-GB"/>
              </w:rPr>
            </w:pPr>
          </w:p>
        </w:tc>
        <w:tc>
          <w:tcPr>
            <w:tcW w:w="7258" w:type="dxa"/>
            <w:tcBorders>
              <w:bottom w:val="single" w:sz="12" w:space="0" w:color="auto"/>
            </w:tcBorders>
            <w:shd w:val="clear" w:color="auto" w:fill="auto"/>
            <w:tcMar>
              <w:top w:w="0" w:type="dxa"/>
              <w:left w:w="0" w:type="dxa"/>
              <w:bottom w:w="113" w:type="dxa"/>
              <w:right w:w="0" w:type="dxa"/>
            </w:tcMar>
            <w:vAlign w:val="bottom"/>
          </w:tcPr>
          <w:p w14:paraId="06A3FFB3" w14:textId="77777777" w:rsidR="000A4FD8" w:rsidRPr="000A4FD8" w:rsidRDefault="000A4FD8" w:rsidP="00615190">
            <w:pPr>
              <w:spacing w:line="240" w:lineRule="atLeast"/>
              <w:rPr>
                <w:rFonts w:ascii="Tahoma" w:hAnsi="Tahoma"/>
                <w:color w:val="000000" w:themeColor="text1"/>
                <w:sz w:val="16"/>
                <w:lang w:val="en-GB"/>
              </w:rPr>
            </w:pPr>
          </w:p>
        </w:tc>
        <w:tc>
          <w:tcPr>
            <w:tcW w:w="1417" w:type="dxa"/>
            <w:tcBorders>
              <w:bottom w:val="single" w:sz="12" w:space="0" w:color="auto"/>
            </w:tcBorders>
            <w:shd w:val="clear" w:color="auto" w:fill="auto"/>
            <w:tcMar>
              <w:top w:w="0" w:type="dxa"/>
              <w:left w:w="0" w:type="dxa"/>
              <w:bottom w:w="113" w:type="dxa"/>
              <w:right w:w="0" w:type="dxa"/>
            </w:tcMar>
            <w:vAlign w:val="bottom"/>
          </w:tcPr>
          <w:p w14:paraId="5C952CF3" w14:textId="77777777" w:rsidR="000A4FD8" w:rsidRPr="000A4FD8" w:rsidRDefault="000A4FD8" w:rsidP="00466F39">
            <w:pPr>
              <w:spacing w:line="240" w:lineRule="atLeast"/>
              <w:jc w:val="right"/>
              <w:rPr>
                <w:rFonts w:ascii="Tahoma" w:hAnsi="Tahoma"/>
                <w:b/>
                <w:bCs/>
                <w:color w:val="000000" w:themeColor="text1"/>
                <w:sz w:val="16"/>
                <w:lang w:val="en-GB"/>
              </w:rPr>
            </w:pPr>
            <w:r w:rsidRPr="000A4FD8">
              <w:rPr>
                <w:rFonts w:ascii="Tahoma" w:hAnsi="Tahoma"/>
                <w:b/>
                <w:bCs/>
                <w:color w:val="000000" w:themeColor="text1"/>
                <w:sz w:val="16"/>
                <w:lang w:val="en-GB"/>
              </w:rPr>
              <w:t xml:space="preserve">Six months </w:t>
            </w:r>
          </w:p>
          <w:p w14:paraId="61EA4596" w14:textId="77777777" w:rsidR="000A4FD8" w:rsidRPr="000A4FD8" w:rsidRDefault="000A4FD8" w:rsidP="00466F39">
            <w:pPr>
              <w:spacing w:line="240" w:lineRule="atLeast"/>
              <w:jc w:val="right"/>
              <w:rPr>
                <w:rFonts w:ascii="Tahoma" w:hAnsi="Tahoma"/>
                <w:b/>
                <w:bCs/>
                <w:color w:val="000000" w:themeColor="text1"/>
                <w:sz w:val="16"/>
                <w:lang w:val="en-GB"/>
              </w:rPr>
            </w:pPr>
            <w:r w:rsidRPr="000A4FD8">
              <w:rPr>
                <w:rFonts w:ascii="Tahoma" w:hAnsi="Tahoma"/>
                <w:b/>
                <w:bCs/>
                <w:color w:val="000000" w:themeColor="text1"/>
                <w:sz w:val="16"/>
                <w:lang w:val="en-GB"/>
              </w:rPr>
              <w:t>ended</w:t>
            </w:r>
          </w:p>
          <w:p w14:paraId="737C6720" w14:textId="77777777" w:rsidR="000A4FD8" w:rsidRPr="000A4FD8" w:rsidRDefault="000A4FD8" w:rsidP="00466F39">
            <w:pPr>
              <w:spacing w:line="240" w:lineRule="atLeast"/>
              <w:jc w:val="right"/>
              <w:rPr>
                <w:rFonts w:ascii="Tahoma" w:hAnsi="Tahoma"/>
                <w:b/>
                <w:bCs/>
                <w:color w:val="000000" w:themeColor="text1"/>
                <w:sz w:val="16"/>
                <w:lang w:val="en-GB"/>
              </w:rPr>
            </w:pPr>
            <w:r w:rsidRPr="000A4FD8">
              <w:rPr>
                <w:rFonts w:ascii="Tahoma" w:hAnsi="Tahoma"/>
                <w:b/>
                <w:bCs/>
                <w:color w:val="000000" w:themeColor="text1"/>
                <w:sz w:val="16"/>
                <w:lang w:val="en-GB"/>
              </w:rPr>
              <w:t>30 September</w:t>
            </w:r>
          </w:p>
          <w:p w14:paraId="068D3C73" w14:textId="77777777" w:rsidR="000A4FD8" w:rsidRPr="000A4FD8" w:rsidRDefault="000A4FD8" w:rsidP="00466F39">
            <w:pPr>
              <w:spacing w:line="240" w:lineRule="atLeast"/>
              <w:jc w:val="right"/>
              <w:rPr>
                <w:rFonts w:ascii="Tahoma" w:hAnsi="Tahoma"/>
                <w:b/>
                <w:bCs/>
                <w:color w:val="000000" w:themeColor="text1"/>
                <w:sz w:val="16"/>
                <w:lang w:val="en-GB"/>
              </w:rPr>
            </w:pPr>
            <w:r w:rsidRPr="000A4FD8">
              <w:rPr>
                <w:rFonts w:ascii="Tahoma" w:hAnsi="Tahoma"/>
                <w:b/>
                <w:bCs/>
                <w:color w:val="000000" w:themeColor="text1"/>
                <w:sz w:val="16"/>
                <w:lang w:val="en-GB"/>
              </w:rPr>
              <w:t>2022</w:t>
            </w:r>
          </w:p>
          <w:p w14:paraId="7354CB23" w14:textId="77777777" w:rsidR="000A4FD8" w:rsidRPr="000A4FD8" w:rsidRDefault="000A4FD8" w:rsidP="00466F39">
            <w:pPr>
              <w:spacing w:line="240" w:lineRule="atLeast"/>
              <w:jc w:val="right"/>
              <w:rPr>
                <w:rFonts w:ascii="Tahoma" w:hAnsi="Tahoma"/>
                <w:b/>
                <w:bCs/>
                <w:color w:val="000000" w:themeColor="text1"/>
                <w:sz w:val="16"/>
                <w:lang w:val="en-GB"/>
              </w:rPr>
            </w:pPr>
            <w:proofErr w:type="spellStart"/>
            <w:r w:rsidRPr="000A4FD8">
              <w:rPr>
                <w:rFonts w:ascii="Tahoma" w:hAnsi="Tahoma"/>
                <w:b/>
                <w:bCs/>
                <w:color w:val="000000" w:themeColor="text1"/>
                <w:sz w:val="16"/>
                <w:lang w:val="en-GB"/>
              </w:rPr>
              <w:t>US$’m</w:t>
            </w:r>
            <w:proofErr w:type="spellEnd"/>
          </w:p>
        </w:tc>
        <w:tc>
          <w:tcPr>
            <w:tcW w:w="1134" w:type="dxa"/>
            <w:tcBorders>
              <w:bottom w:val="single" w:sz="12" w:space="0" w:color="auto"/>
            </w:tcBorders>
            <w:shd w:val="clear" w:color="auto" w:fill="auto"/>
            <w:tcMar>
              <w:top w:w="0" w:type="dxa"/>
              <w:left w:w="0" w:type="dxa"/>
              <w:bottom w:w="113" w:type="dxa"/>
              <w:right w:w="0" w:type="dxa"/>
            </w:tcMar>
            <w:vAlign w:val="bottom"/>
          </w:tcPr>
          <w:p w14:paraId="1701E2DF" w14:textId="77777777" w:rsidR="000A4FD8" w:rsidRPr="000A4FD8" w:rsidRDefault="000A4FD8" w:rsidP="00466F39">
            <w:pPr>
              <w:spacing w:line="240" w:lineRule="atLeast"/>
              <w:jc w:val="right"/>
              <w:rPr>
                <w:rFonts w:ascii="Tahoma" w:hAnsi="Tahoma"/>
                <w:color w:val="000000" w:themeColor="text1"/>
                <w:sz w:val="16"/>
                <w:lang w:val="en-GB"/>
              </w:rPr>
            </w:pPr>
            <w:r w:rsidRPr="000A4FD8">
              <w:rPr>
                <w:rFonts w:ascii="Tahoma" w:hAnsi="Tahoma"/>
                <w:color w:val="000000" w:themeColor="text1"/>
                <w:sz w:val="16"/>
                <w:lang w:val="en-GB"/>
              </w:rPr>
              <w:t>Year</w:t>
            </w:r>
          </w:p>
          <w:p w14:paraId="3E6940E1" w14:textId="77777777" w:rsidR="000A4FD8" w:rsidRPr="000A4FD8" w:rsidRDefault="000A4FD8" w:rsidP="00466F39">
            <w:pPr>
              <w:spacing w:line="240" w:lineRule="atLeast"/>
              <w:jc w:val="right"/>
              <w:rPr>
                <w:rFonts w:ascii="Tahoma" w:hAnsi="Tahoma"/>
                <w:color w:val="000000" w:themeColor="text1"/>
                <w:sz w:val="16"/>
                <w:lang w:val="en-GB"/>
              </w:rPr>
            </w:pPr>
            <w:r w:rsidRPr="000A4FD8">
              <w:rPr>
                <w:rFonts w:ascii="Tahoma" w:hAnsi="Tahoma"/>
                <w:color w:val="000000" w:themeColor="text1"/>
                <w:sz w:val="16"/>
                <w:lang w:val="en-GB"/>
              </w:rPr>
              <w:t>ended</w:t>
            </w:r>
          </w:p>
          <w:p w14:paraId="66EAD698" w14:textId="77777777" w:rsidR="000A4FD8" w:rsidRPr="000A4FD8" w:rsidRDefault="000A4FD8" w:rsidP="00466F39">
            <w:pPr>
              <w:spacing w:line="240" w:lineRule="atLeast"/>
              <w:jc w:val="right"/>
              <w:rPr>
                <w:rFonts w:ascii="Tahoma" w:hAnsi="Tahoma"/>
                <w:color w:val="000000" w:themeColor="text1"/>
                <w:sz w:val="16"/>
                <w:lang w:val="en-GB"/>
              </w:rPr>
            </w:pPr>
            <w:r w:rsidRPr="000A4FD8">
              <w:rPr>
                <w:rFonts w:ascii="Tahoma" w:hAnsi="Tahoma"/>
                <w:color w:val="000000" w:themeColor="text1"/>
                <w:sz w:val="16"/>
                <w:lang w:val="en-GB"/>
              </w:rPr>
              <w:t>31 March</w:t>
            </w:r>
          </w:p>
          <w:p w14:paraId="5A3783C5" w14:textId="77777777" w:rsidR="000A4FD8" w:rsidRPr="000A4FD8" w:rsidRDefault="000A4FD8" w:rsidP="00466F39">
            <w:pPr>
              <w:spacing w:line="240" w:lineRule="atLeast"/>
              <w:jc w:val="right"/>
              <w:rPr>
                <w:rFonts w:ascii="Tahoma" w:hAnsi="Tahoma"/>
                <w:color w:val="000000" w:themeColor="text1"/>
                <w:sz w:val="16"/>
                <w:lang w:val="en-GB"/>
              </w:rPr>
            </w:pPr>
            <w:r w:rsidRPr="000A4FD8">
              <w:rPr>
                <w:rFonts w:ascii="Tahoma" w:hAnsi="Tahoma"/>
                <w:color w:val="000000" w:themeColor="text1"/>
                <w:sz w:val="16"/>
                <w:lang w:val="en-GB"/>
              </w:rPr>
              <w:t>2022</w:t>
            </w:r>
          </w:p>
          <w:p w14:paraId="1EC714C1" w14:textId="77777777" w:rsidR="000A4FD8" w:rsidRPr="000A4FD8" w:rsidRDefault="000A4FD8" w:rsidP="00466F39">
            <w:pPr>
              <w:spacing w:line="240" w:lineRule="atLeast"/>
              <w:jc w:val="right"/>
              <w:rPr>
                <w:rFonts w:ascii="Tahoma" w:hAnsi="Tahoma"/>
                <w:color w:val="000000" w:themeColor="text1"/>
                <w:sz w:val="16"/>
                <w:lang w:val="en-GB"/>
              </w:rPr>
            </w:pPr>
            <w:proofErr w:type="spellStart"/>
            <w:r w:rsidRPr="000A4FD8">
              <w:rPr>
                <w:rFonts w:ascii="Tahoma" w:hAnsi="Tahoma"/>
                <w:color w:val="000000" w:themeColor="text1"/>
                <w:sz w:val="16"/>
                <w:lang w:val="en-GB"/>
              </w:rPr>
              <w:t>US$’m</w:t>
            </w:r>
            <w:proofErr w:type="spellEnd"/>
          </w:p>
        </w:tc>
      </w:tr>
      <w:tr w:rsidR="00615190" w:rsidRPr="000A4FD8" w14:paraId="715196F4" w14:textId="77777777" w:rsidTr="001D3437">
        <w:trPr>
          <w:trHeight w:val="60"/>
        </w:trPr>
        <w:tc>
          <w:tcPr>
            <w:tcW w:w="397" w:type="dxa"/>
            <w:shd w:val="clear" w:color="auto" w:fill="auto"/>
            <w:tcMar>
              <w:top w:w="142" w:type="dxa"/>
              <w:left w:w="0" w:type="dxa"/>
              <w:bottom w:w="57" w:type="dxa"/>
              <w:right w:w="0" w:type="dxa"/>
            </w:tcMar>
            <w:vAlign w:val="bottom"/>
          </w:tcPr>
          <w:p w14:paraId="38F45240" w14:textId="77777777" w:rsidR="000A4FD8" w:rsidRPr="000A4FD8" w:rsidRDefault="000A4FD8" w:rsidP="00615190">
            <w:pPr>
              <w:spacing w:line="240" w:lineRule="atLeast"/>
              <w:rPr>
                <w:rFonts w:ascii="Tahoma" w:hAnsi="Tahoma"/>
                <w:color w:val="000000" w:themeColor="text1"/>
                <w:sz w:val="16"/>
                <w:lang w:val="en-GB"/>
              </w:rPr>
            </w:pPr>
          </w:p>
        </w:tc>
        <w:tc>
          <w:tcPr>
            <w:tcW w:w="7258" w:type="dxa"/>
            <w:tcBorders>
              <w:top w:val="single" w:sz="12" w:space="0" w:color="auto"/>
            </w:tcBorders>
            <w:shd w:val="clear" w:color="auto" w:fill="auto"/>
            <w:tcMar>
              <w:top w:w="142" w:type="dxa"/>
              <w:left w:w="0" w:type="dxa"/>
              <w:bottom w:w="57" w:type="dxa"/>
              <w:right w:w="0" w:type="dxa"/>
            </w:tcMar>
            <w:vAlign w:val="bottom"/>
          </w:tcPr>
          <w:p w14:paraId="10042DC1" w14:textId="77777777" w:rsidR="000A4FD8" w:rsidRPr="000A4FD8" w:rsidRDefault="000A4FD8" w:rsidP="00615190">
            <w:pPr>
              <w:spacing w:line="240" w:lineRule="atLeast"/>
              <w:rPr>
                <w:rFonts w:ascii="Tahoma" w:hAnsi="Tahoma"/>
                <w:b/>
                <w:bCs/>
                <w:color w:val="000000" w:themeColor="text1"/>
                <w:sz w:val="16"/>
                <w:lang w:val="en-GB"/>
              </w:rPr>
            </w:pPr>
            <w:r w:rsidRPr="000A4FD8">
              <w:rPr>
                <w:rFonts w:ascii="Tahoma" w:hAnsi="Tahoma"/>
                <w:b/>
                <w:bCs/>
                <w:color w:val="000000" w:themeColor="text1"/>
                <w:sz w:val="16"/>
                <w:lang w:val="en-GB"/>
              </w:rPr>
              <w:t>Sale of goods and services to related parties</w:t>
            </w:r>
            <w:r w:rsidRPr="000A4FD8">
              <w:rPr>
                <w:rFonts w:ascii="Tahoma" w:hAnsi="Tahoma"/>
                <w:b/>
                <w:bCs/>
                <w:color w:val="000000" w:themeColor="text1"/>
                <w:sz w:val="16"/>
                <w:vertAlign w:val="superscript"/>
                <w:lang w:val="en-GB"/>
              </w:rPr>
              <w:t>1</w:t>
            </w:r>
          </w:p>
        </w:tc>
        <w:tc>
          <w:tcPr>
            <w:tcW w:w="1417" w:type="dxa"/>
            <w:tcBorders>
              <w:top w:val="single" w:sz="12" w:space="0" w:color="auto"/>
            </w:tcBorders>
            <w:shd w:val="clear" w:color="auto" w:fill="auto"/>
            <w:tcMar>
              <w:top w:w="142" w:type="dxa"/>
              <w:left w:w="0" w:type="dxa"/>
              <w:bottom w:w="57" w:type="dxa"/>
              <w:right w:w="0" w:type="dxa"/>
            </w:tcMar>
            <w:vAlign w:val="bottom"/>
          </w:tcPr>
          <w:p w14:paraId="0B5C0A0D" w14:textId="77777777" w:rsidR="000A4FD8" w:rsidRPr="000A4FD8" w:rsidRDefault="000A4FD8" w:rsidP="00466F39">
            <w:pPr>
              <w:spacing w:line="240" w:lineRule="atLeast"/>
              <w:jc w:val="right"/>
              <w:rPr>
                <w:rFonts w:ascii="Tahoma" w:hAnsi="Tahoma"/>
                <w:b/>
                <w:bCs/>
                <w:color w:val="000000" w:themeColor="text1"/>
                <w:sz w:val="16"/>
                <w:lang w:val="en-GB"/>
              </w:rPr>
            </w:pPr>
          </w:p>
        </w:tc>
        <w:tc>
          <w:tcPr>
            <w:tcW w:w="1134" w:type="dxa"/>
            <w:tcBorders>
              <w:top w:val="single" w:sz="12" w:space="0" w:color="auto"/>
            </w:tcBorders>
            <w:shd w:val="clear" w:color="auto" w:fill="auto"/>
            <w:tcMar>
              <w:top w:w="142" w:type="dxa"/>
              <w:left w:w="0" w:type="dxa"/>
              <w:bottom w:w="57" w:type="dxa"/>
              <w:right w:w="0" w:type="dxa"/>
            </w:tcMar>
            <w:vAlign w:val="bottom"/>
          </w:tcPr>
          <w:p w14:paraId="64FA4C64" w14:textId="77777777" w:rsidR="000A4FD8" w:rsidRPr="000A4FD8" w:rsidRDefault="000A4FD8" w:rsidP="00466F39">
            <w:pPr>
              <w:spacing w:line="240" w:lineRule="atLeast"/>
              <w:jc w:val="right"/>
              <w:rPr>
                <w:rFonts w:ascii="Tahoma" w:hAnsi="Tahoma"/>
                <w:color w:val="000000" w:themeColor="text1"/>
                <w:sz w:val="16"/>
                <w:lang w:val="en-GB"/>
              </w:rPr>
            </w:pPr>
          </w:p>
        </w:tc>
      </w:tr>
      <w:tr w:rsidR="00615190" w:rsidRPr="000A4FD8" w14:paraId="7942DE13" w14:textId="77777777" w:rsidTr="002935AE">
        <w:trPr>
          <w:trHeight w:val="60"/>
        </w:trPr>
        <w:tc>
          <w:tcPr>
            <w:tcW w:w="397" w:type="dxa"/>
            <w:shd w:val="clear" w:color="auto" w:fill="auto"/>
            <w:tcMar>
              <w:top w:w="57" w:type="dxa"/>
              <w:left w:w="0" w:type="dxa"/>
              <w:bottom w:w="57" w:type="dxa"/>
              <w:right w:w="0" w:type="dxa"/>
            </w:tcMar>
            <w:vAlign w:val="bottom"/>
          </w:tcPr>
          <w:p w14:paraId="62190DCB" w14:textId="77777777" w:rsidR="000A4FD8" w:rsidRPr="000A4FD8" w:rsidRDefault="000A4FD8" w:rsidP="00615190">
            <w:pPr>
              <w:spacing w:line="240" w:lineRule="atLeast"/>
              <w:rPr>
                <w:rFonts w:ascii="Tahoma" w:hAnsi="Tahoma"/>
                <w:color w:val="000000" w:themeColor="text1"/>
                <w:sz w:val="16"/>
                <w:lang w:val="en-GB"/>
              </w:rPr>
            </w:pPr>
          </w:p>
        </w:tc>
        <w:tc>
          <w:tcPr>
            <w:tcW w:w="7258" w:type="dxa"/>
            <w:shd w:val="clear" w:color="auto" w:fill="auto"/>
            <w:tcMar>
              <w:top w:w="57" w:type="dxa"/>
              <w:left w:w="0" w:type="dxa"/>
              <w:bottom w:w="57" w:type="dxa"/>
              <w:right w:w="0" w:type="dxa"/>
            </w:tcMar>
            <w:vAlign w:val="bottom"/>
          </w:tcPr>
          <w:p w14:paraId="76330806" w14:textId="77777777" w:rsidR="000A4FD8" w:rsidRPr="000A4FD8" w:rsidRDefault="000A4FD8" w:rsidP="00615190">
            <w:pPr>
              <w:spacing w:line="240" w:lineRule="atLeast"/>
              <w:rPr>
                <w:rFonts w:ascii="Tahoma" w:hAnsi="Tahoma"/>
                <w:color w:val="000000" w:themeColor="text1"/>
                <w:sz w:val="16"/>
                <w:lang w:val="en-GB"/>
              </w:rPr>
            </w:pPr>
            <w:r w:rsidRPr="000A4FD8">
              <w:rPr>
                <w:rFonts w:ascii="Tahoma" w:hAnsi="Tahoma"/>
                <w:color w:val="000000" w:themeColor="text1"/>
                <w:sz w:val="16"/>
                <w:lang w:val="en-GB"/>
              </w:rPr>
              <w:t>Skillsoft Corp</w:t>
            </w:r>
          </w:p>
        </w:tc>
        <w:tc>
          <w:tcPr>
            <w:tcW w:w="1417" w:type="dxa"/>
            <w:shd w:val="clear" w:color="auto" w:fill="auto"/>
            <w:tcMar>
              <w:top w:w="57" w:type="dxa"/>
              <w:left w:w="0" w:type="dxa"/>
              <w:bottom w:w="57" w:type="dxa"/>
              <w:right w:w="0" w:type="dxa"/>
            </w:tcMar>
            <w:vAlign w:val="bottom"/>
          </w:tcPr>
          <w:p w14:paraId="1EC7C1DF" w14:textId="77777777" w:rsidR="000A4FD8" w:rsidRPr="000A4FD8" w:rsidRDefault="000A4FD8" w:rsidP="00466F39">
            <w:pPr>
              <w:spacing w:line="240" w:lineRule="atLeast"/>
              <w:jc w:val="right"/>
              <w:rPr>
                <w:rFonts w:ascii="Tahoma" w:hAnsi="Tahoma"/>
                <w:b/>
                <w:bCs/>
                <w:color w:val="000000" w:themeColor="text1"/>
                <w:sz w:val="16"/>
                <w:lang w:val="en-GB"/>
              </w:rPr>
            </w:pPr>
            <w:r w:rsidRPr="000A4FD8">
              <w:rPr>
                <w:rFonts w:ascii="Tahoma" w:hAnsi="Tahoma"/>
                <w:b/>
                <w:bCs/>
                <w:color w:val="000000" w:themeColor="text1"/>
                <w:sz w:val="16"/>
                <w:lang w:val="en-GB"/>
              </w:rPr>
              <w:t>7</w:t>
            </w:r>
          </w:p>
        </w:tc>
        <w:tc>
          <w:tcPr>
            <w:tcW w:w="1134" w:type="dxa"/>
            <w:shd w:val="clear" w:color="auto" w:fill="auto"/>
            <w:tcMar>
              <w:top w:w="57" w:type="dxa"/>
              <w:left w:w="0" w:type="dxa"/>
              <w:bottom w:w="57" w:type="dxa"/>
              <w:right w:w="0" w:type="dxa"/>
            </w:tcMar>
            <w:vAlign w:val="bottom"/>
          </w:tcPr>
          <w:p w14:paraId="70654CDE" w14:textId="77777777" w:rsidR="000A4FD8" w:rsidRPr="000A4FD8" w:rsidRDefault="000A4FD8" w:rsidP="00466F39">
            <w:pPr>
              <w:spacing w:line="240" w:lineRule="atLeast"/>
              <w:jc w:val="right"/>
              <w:rPr>
                <w:rFonts w:ascii="Tahoma" w:hAnsi="Tahoma"/>
                <w:color w:val="000000" w:themeColor="text1"/>
                <w:sz w:val="16"/>
                <w:lang w:val="en-GB"/>
              </w:rPr>
            </w:pPr>
            <w:r w:rsidRPr="000A4FD8">
              <w:rPr>
                <w:rFonts w:ascii="Tahoma" w:hAnsi="Tahoma"/>
                <w:color w:val="000000" w:themeColor="text1"/>
                <w:sz w:val="16"/>
                <w:lang w:val="en-GB"/>
              </w:rPr>
              <w:t>34</w:t>
            </w:r>
          </w:p>
        </w:tc>
      </w:tr>
      <w:tr w:rsidR="00615190" w:rsidRPr="000A4FD8" w14:paraId="055E49F9" w14:textId="77777777" w:rsidTr="002935AE">
        <w:trPr>
          <w:trHeight w:val="60"/>
        </w:trPr>
        <w:tc>
          <w:tcPr>
            <w:tcW w:w="397" w:type="dxa"/>
            <w:shd w:val="clear" w:color="auto" w:fill="auto"/>
            <w:tcMar>
              <w:top w:w="57" w:type="dxa"/>
              <w:left w:w="0" w:type="dxa"/>
              <w:bottom w:w="57" w:type="dxa"/>
              <w:right w:w="0" w:type="dxa"/>
            </w:tcMar>
            <w:vAlign w:val="bottom"/>
          </w:tcPr>
          <w:p w14:paraId="154E81CE" w14:textId="77777777" w:rsidR="000A4FD8" w:rsidRPr="000A4FD8" w:rsidRDefault="000A4FD8" w:rsidP="00615190">
            <w:pPr>
              <w:spacing w:line="240" w:lineRule="atLeast"/>
              <w:rPr>
                <w:rFonts w:ascii="Tahoma" w:hAnsi="Tahoma"/>
                <w:color w:val="000000" w:themeColor="text1"/>
                <w:sz w:val="16"/>
                <w:lang w:val="en-GB"/>
              </w:rPr>
            </w:pPr>
          </w:p>
        </w:tc>
        <w:tc>
          <w:tcPr>
            <w:tcW w:w="7258" w:type="dxa"/>
            <w:shd w:val="clear" w:color="auto" w:fill="auto"/>
            <w:tcMar>
              <w:top w:w="57" w:type="dxa"/>
              <w:left w:w="0" w:type="dxa"/>
              <w:bottom w:w="57" w:type="dxa"/>
              <w:right w:w="0" w:type="dxa"/>
            </w:tcMar>
            <w:vAlign w:val="bottom"/>
          </w:tcPr>
          <w:p w14:paraId="7FD67BE5" w14:textId="77777777" w:rsidR="000A4FD8" w:rsidRPr="000A4FD8" w:rsidRDefault="000A4FD8" w:rsidP="00615190">
            <w:pPr>
              <w:spacing w:line="240" w:lineRule="atLeast"/>
              <w:rPr>
                <w:rFonts w:ascii="Tahoma" w:hAnsi="Tahoma"/>
                <w:color w:val="000000" w:themeColor="text1"/>
                <w:sz w:val="16"/>
                <w:lang w:val="en-GB"/>
              </w:rPr>
            </w:pPr>
            <w:r w:rsidRPr="000A4FD8">
              <w:rPr>
                <w:rFonts w:ascii="Tahoma" w:hAnsi="Tahoma"/>
                <w:color w:val="000000" w:themeColor="text1"/>
                <w:sz w:val="16"/>
                <w:lang w:val="en-GB"/>
              </w:rPr>
              <w:t>EMPG Holdings Limited</w:t>
            </w:r>
          </w:p>
        </w:tc>
        <w:tc>
          <w:tcPr>
            <w:tcW w:w="1417" w:type="dxa"/>
            <w:shd w:val="clear" w:color="auto" w:fill="auto"/>
            <w:tcMar>
              <w:top w:w="57" w:type="dxa"/>
              <w:left w:w="0" w:type="dxa"/>
              <w:bottom w:w="57" w:type="dxa"/>
              <w:right w:w="0" w:type="dxa"/>
            </w:tcMar>
            <w:vAlign w:val="bottom"/>
          </w:tcPr>
          <w:p w14:paraId="625C0C01" w14:textId="77777777" w:rsidR="000A4FD8" w:rsidRPr="000A4FD8" w:rsidRDefault="000A4FD8" w:rsidP="00466F39">
            <w:pPr>
              <w:spacing w:line="240" w:lineRule="atLeast"/>
              <w:jc w:val="right"/>
              <w:rPr>
                <w:rFonts w:ascii="Tahoma" w:hAnsi="Tahoma"/>
                <w:b/>
                <w:bCs/>
                <w:color w:val="000000" w:themeColor="text1"/>
                <w:sz w:val="16"/>
                <w:lang w:val="en-GB"/>
              </w:rPr>
            </w:pPr>
            <w:r w:rsidRPr="000A4FD8">
              <w:rPr>
                <w:rFonts w:ascii="Tahoma" w:hAnsi="Tahoma"/>
                <w:b/>
                <w:bCs/>
                <w:color w:val="000000" w:themeColor="text1"/>
                <w:sz w:val="16"/>
                <w:lang w:val="en-GB"/>
              </w:rPr>
              <w:t>2</w:t>
            </w:r>
          </w:p>
        </w:tc>
        <w:tc>
          <w:tcPr>
            <w:tcW w:w="1134" w:type="dxa"/>
            <w:shd w:val="clear" w:color="auto" w:fill="auto"/>
            <w:tcMar>
              <w:top w:w="57" w:type="dxa"/>
              <w:left w:w="0" w:type="dxa"/>
              <w:bottom w:w="57" w:type="dxa"/>
              <w:right w:w="0" w:type="dxa"/>
            </w:tcMar>
            <w:vAlign w:val="bottom"/>
          </w:tcPr>
          <w:p w14:paraId="00458079" w14:textId="77777777" w:rsidR="000A4FD8" w:rsidRPr="000A4FD8" w:rsidRDefault="000A4FD8" w:rsidP="00466F39">
            <w:pPr>
              <w:spacing w:line="240" w:lineRule="atLeast"/>
              <w:jc w:val="right"/>
              <w:rPr>
                <w:rFonts w:ascii="Tahoma" w:hAnsi="Tahoma"/>
                <w:color w:val="000000" w:themeColor="text1"/>
                <w:sz w:val="16"/>
                <w:lang w:val="en-GB"/>
              </w:rPr>
            </w:pPr>
            <w:r w:rsidRPr="000A4FD8">
              <w:rPr>
                <w:rFonts w:ascii="Tahoma" w:hAnsi="Tahoma"/>
                <w:color w:val="000000" w:themeColor="text1"/>
                <w:sz w:val="16"/>
                <w:lang w:val="en-GB"/>
              </w:rPr>
              <w:t>12</w:t>
            </w:r>
          </w:p>
        </w:tc>
      </w:tr>
      <w:tr w:rsidR="00615190" w:rsidRPr="000A4FD8" w14:paraId="517C0565" w14:textId="77777777" w:rsidTr="002935AE">
        <w:trPr>
          <w:trHeight w:val="60"/>
        </w:trPr>
        <w:tc>
          <w:tcPr>
            <w:tcW w:w="397" w:type="dxa"/>
            <w:shd w:val="clear" w:color="auto" w:fill="auto"/>
            <w:tcMar>
              <w:top w:w="57" w:type="dxa"/>
              <w:left w:w="0" w:type="dxa"/>
              <w:bottom w:w="57" w:type="dxa"/>
              <w:right w:w="0" w:type="dxa"/>
            </w:tcMar>
            <w:vAlign w:val="bottom"/>
          </w:tcPr>
          <w:p w14:paraId="0D4888CA" w14:textId="77777777" w:rsidR="000A4FD8" w:rsidRPr="000A4FD8" w:rsidRDefault="000A4FD8" w:rsidP="00615190">
            <w:pPr>
              <w:spacing w:line="240" w:lineRule="atLeast"/>
              <w:rPr>
                <w:rFonts w:ascii="Tahoma" w:hAnsi="Tahoma"/>
                <w:color w:val="000000" w:themeColor="text1"/>
                <w:sz w:val="16"/>
                <w:lang w:val="en-GB"/>
              </w:rPr>
            </w:pPr>
          </w:p>
        </w:tc>
        <w:tc>
          <w:tcPr>
            <w:tcW w:w="7258" w:type="dxa"/>
            <w:shd w:val="clear" w:color="auto" w:fill="auto"/>
            <w:tcMar>
              <w:top w:w="57" w:type="dxa"/>
              <w:left w:w="0" w:type="dxa"/>
              <w:bottom w:w="57" w:type="dxa"/>
              <w:right w:w="0" w:type="dxa"/>
            </w:tcMar>
            <w:vAlign w:val="bottom"/>
          </w:tcPr>
          <w:p w14:paraId="32B45921" w14:textId="77777777" w:rsidR="000A4FD8" w:rsidRPr="000A4FD8" w:rsidRDefault="000A4FD8" w:rsidP="00615190">
            <w:pPr>
              <w:spacing w:line="240" w:lineRule="atLeast"/>
              <w:rPr>
                <w:rFonts w:ascii="Tahoma" w:hAnsi="Tahoma"/>
                <w:color w:val="000000" w:themeColor="text1"/>
                <w:sz w:val="16"/>
                <w:lang w:val="en-GB"/>
              </w:rPr>
            </w:pPr>
            <w:r w:rsidRPr="000A4FD8">
              <w:rPr>
                <w:rFonts w:ascii="Tahoma" w:hAnsi="Tahoma"/>
                <w:color w:val="000000" w:themeColor="text1"/>
                <w:sz w:val="16"/>
                <w:lang w:val="en-GB"/>
              </w:rPr>
              <w:t>MIH Holdings Proprietary Limited</w:t>
            </w:r>
          </w:p>
        </w:tc>
        <w:tc>
          <w:tcPr>
            <w:tcW w:w="1417" w:type="dxa"/>
            <w:shd w:val="clear" w:color="auto" w:fill="auto"/>
            <w:tcMar>
              <w:top w:w="57" w:type="dxa"/>
              <w:left w:w="0" w:type="dxa"/>
              <w:bottom w:w="57" w:type="dxa"/>
              <w:right w:w="0" w:type="dxa"/>
            </w:tcMar>
            <w:vAlign w:val="bottom"/>
          </w:tcPr>
          <w:p w14:paraId="4BCC0CEF" w14:textId="77777777" w:rsidR="000A4FD8" w:rsidRPr="000A4FD8" w:rsidRDefault="000A4FD8" w:rsidP="00466F39">
            <w:pPr>
              <w:spacing w:line="240" w:lineRule="atLeast"/>
              <w:jc w:val="right"/>
              <w:rPr>
                <w:rFonts w:ascii="Tahoma" w:hAnsi="Tahoma"/>
                <w:b/>
                <w:bCs/>
                <w:color w:val="000000" w:themeColor="text1"/>
                <w:sz w:val="16"/>
                <w:lang w:val="en-GB"/>
              </w:rPr>
            </w:pPr>
            <w:r w:rsidRPr="000A4FD8">
              <w:rPr>
                <w:rFonts w:ascii="Tahoma" w:hAnsi="Tahoma"/>
                <w:b/>
                <w:bCs/>
                <w:color w:val="000000" w:themeColor="text1"/>
                <w:sz w:val="16"/>
                <w:lang w:val="en-GB"/>
              </w:rPr>
              <w:t>5</w:t>
            </w:r>
          </w:p>
        </w:tc>
        <w:tc>
          <w:tcPr>
            <w:tcW w:w="1134" w:type="dxa"/>
            <w:shd w:val="clear" w:color="auto" w:fill="auto"/>
            <w:tcMar>
              <w:top w:w="57" w:type="dxa"/>
              <w:left w:w="0" w:type="dxa"/>
              <w:bottom w:w="57" w:type="dxa"/>
              <w:right w:w="0" w:type="dxa"/>
            </w:tcMar>
            <w:vAlign w:val="bottom"/>
          </w:tcPr>
          <w:p w14:paraId="6E190905" w14:textId="77777777" w:rsidR="000A4FD8" w:rsidRPr="000A4FD8" w:rsidRDefault="000A4FD8" w:rsidP="00466F39">
            <w:pPr>
              <w:spacing w:line="240" w:lineRule="atLeast"/>
              <w:jc w:val="right"/>
              <w:rPr>
                <w:rFonts w:ascii="Tahoma" w:hAnsi="Tahoma"/>
                <w:color w:val="000000" w:themeColor="text1"/>
                <w:sz w:val="16"/>
                <w:lang w:val="en-GB"/>
              </w:rPr>
            </w:pPr>
            <w:r w:rsidRPr="000A4FD8">
              <w:rPr>
                <w:rFonts w:ascii="Tahoma" w:hAnsi="Tahoma"/>
                <w:color w:val="000000" w:themeColor="text1"/>
                <w:sz w:val="16"/>
                <w:lang w:val="en-GB"/>
              </w:rPr>
              <w:t>12</w:t>
            </w:r>
          </w:p>
        </w:tc>
      </w:tr>
      <w:tr w:rsidR="00615190" w:rsidRPr="000A4FD8" w14:paraId="7941952A" w14:textId="77777777" w:rsidTr="006965E5">
        <w:trPr>
          <w:trHeight w:val="60"/>
        </w:trPr>
        <w:tc>
          <w:tcPr>
            <w:tcW w:w="397" w:type="dxa"/>
            <w:shd w:val="clear" w:color="auto" w:fill="auto"/>
            <w:tcMar>
              <w:top w:w="57" w:type="dxa"/>
              <w:left w:w="0" w:type="dxa"/>
              <w:bottom w:w="57" w:type="dxa"/>
              <w:right w:w="0" w:type="dxa"/>
            </w:tcMar>
            <w:vAlign w:val="bottom"/>
          </w:tcPr>
          <w:p w14:paraId="1DE7C1D8" w14:textId="77777777" w:rsidR="000A4FD8" w:rsidRPr="000A4FD8" w:rsidRDefault="000A4FD8" w:rsidP="00615190">
            <w:pPr>
              <w:spacing w:line="240" w:lineRule="atLeast"/>
              <w:rPr>
                <w:rFonts w:ascii="Tahoma" w:hAnsi="Tahoma"/>
                <w:color w:val="000000" w:themeColor="text1"/>
                <w:sz w:val="16"/>
                <w:lang w:val="en-GB"/>
              </w:rPr>
            </w:pPr>
          </w:p>
        </w:tc>
        <w:tc>
          <w:tcPr>
            <w:tcW w:w="7258" w:type="dxa"/>
            <w:shd w:val="clear" w:color="auto" w:fill="auto"/>
            <w:tcMar>
              <w:top w:w="57" w:type="dxa"/>
              <w:left w:w="0" w:type="dxa"/>
              <w:bottom w:w="57" w:type="dxa"/>
              <w:right w:w="0" w:type="dxa"/>
            </w:tcMar>
            <w:vAlign w:val="bottom"/>
          </w:tcPr>
          <w:p w14:paraId="5F044040" w14:textId="77777777" w:rsidR="000A4FD8" w:rsidRPr="000A4FD8" w:rsidRDefault="000A4FD8" w:rsidP="00615190">
            <w:pPr>
              <w:spacing w:line="240" w:lineRule="atLeast"/>
              <w:rPr>
                <w:rFonts w:ascii="Tahoma" w:hAnsi="Tahoma"/>
                <w:color w:val="000000" w:themeColor="text1"/>
                <w:sz w:val="16"/>
                <w:lang w:val="en-GB"/>
              </w:rPr>
            </w:pPr>
            <w:r w:rsidRPr="000A4FD8">
              <w:rPr>
                <w:rFonts w:ascii="Tahoma" w:hAnsi="Tahoma"/>
                <w:color w:val="000000" w:themeColor="text1"/>
                <w:sz w:val="16"/>
                <w:lang w:val="en-GB"/>
              </w:rPr>
              <w:t xml:space="preserve">Bom </w:t>
            </w:r>
            <w:proofErr w:type="spellStart"/>
            <w:r w:rsidRPr="000A4FD8">
              <w:rPr>
                <w:rFonts w:ascii="Tahoma" w:hAnsi="Tahoma"/>
                <w:color w:val="000000" w:themeColor="text1"/>
                <w:sz w:val="16"/>
                <w:lang w:val="en-GB"/>
              </w:rPr>
              <w:t>Negócio</w:t>
            </w:r>
            <w:proofErr w:type="spellEnd"/>
            <w:r w:rsidRPr="000A4FD8">
              <w:rPr>
                <w:rFonts w:ascii="Tahoma" w:hAnsi="Tahoma"/>
                <w:color w:val="000000" w:themeColor="text1"/>
                <w:sz w:val="16"/>
                <w:lang w:val="en-GB"/>
              </w:rPr>
              <w:t xml:space="preserve"> </w:t>
            </w:r>
            <w:proofErr w:type="spellStart"/>
            <w:r w:rsidRPr="000A4FD8">
              <w:rPr>
                <w:rFonts w:ascii="Tahoma" w:hAnsi="Tahoma"/>
                <w:color w:val="000000" w:themeColor="text1"/>
                <w:sz w:val="16"/>
                <w:lang w:val="en-GB"/>
              </w:rPr>
              <w:t>Atividades</w:t>
            </w:r>
            <w:proofErr w:type="spellEnd"/>
            <w:r w:rsidRPr="000A4FD8">
              <w:rPr>
                <w:rFonts w:ascii="Tahoma" w:hAnsi="Tahoma"/>
                <w:color w:val="000000" w:themeColor="text1"/>
                <w:sz w:val="16"/>
                <w:lang w:val="en-GB"/>
              </w:rPr>
              <w:t xml:space="preserve"> de Internet </w:t>
            </w:r>
            <w:proofErr w:type="spellStart"/>
            <w:r w:rsidRPr="000A4FD8">
              <w:rPr>
                <w:rFonts w:ascii="Tahoma" w:hAnsi="Tahoma"/>
                <w:color w:val="000000" w:themeColor="text1"/>
                <w:sz w:val="16"/>
                <w:lang w:val="en-GB"/>
              </w:rPr>
              <w:t>Limitada</w:t>
            </w:r>
            <w:proofErr w:type="spellEnd"/>
            <w:r w:rsidRPr="000A4FD8">
              <w:rPr>
                <w:rFonts w:ascii="Tahoma" w:hAnsi="Tahoma"/>
                <w:color w:val="000000" w:themeColor="text1"/>
                <w:sz w:val="16"/>
                <w:lang w:val="en-GB"/>
              </w:rPr>
              <w:t xml:space="preserve"> (OLX Brazil)</w:t>
            </w:r>
          </w:p>
        </w:tc>
        <w:tc>
          <w:tcPr>
            <w:tcW w:w="1417" w:type="dxa"/>
            <w:shd w:val="clear" w:color="auto" w:fill="auto"/>
            <w:tcMar>
              <w:top w:w="57" w:type="dxa"/>
              <w:left w:w="0" w:type="dxa"/>
              <w:bottom w:w="57" w:type="dxa"/>
              <w:right w:w="0" w:type="dxa"/>
            </w:tcMar>
            <w:vAlign w:val="bottom"/>
          </w:tcPr>
          <w:p w14:paraId="4121CDB6" w14:textId="77777777" w:rsidR="000A4FD8" w:rsidRPr="000A4FD8" w:rsidRDefault="000A4FD8" w:rsidP="00466F39">
            <w:pPr>
              <w:spacing w:line="240" w:lineRule="atLeast"/>
              <w:jc w:val="right"/>
              <w:rPr>
                <w:rFonts w:ascii="Tahoma" w:hAnsi="Tahoma"/>
                <w:b/>
                <w:bCs/>
                <w:color w:val="000000" w:themeColor="text1"/>
                <w:sz w:val="16"/>
                <w:lang w:val="en-GB"/>
              </w:rPr>
            </w:pPr>
            <w:r w:rsidRPr="000A4FD8">
              <w:rPr>
                <w:rFonts w:ascii="Tahoma" w:hAnsi="Tahoma"/>
                <w:b/>
                <w:bCs/>
                <w:color w:val="000000" w:themeColor="text1"/>
                <w:sz w:val="16"/>
                <w:lang w:val="en-GB"/>
              </w:rPr>
              <w:t>13</w:t>
            </w:r>
          </w:p>
        </w:tc>
        <w:tc>
          <w:tcPr>
            <w:tcW w:w="1134" w:type="dxa"/>
            <w:shd w:val="clear" w:color="auto" w:fill="auto"/>
            <w:tcMar>
              <w:top w:w="57" w:type="dxa"/>
              <w:left w:w="0" w:type="dxa"/>
              <w:bottom w:w="57" w:type="dxa"/>
              <w:right w:w="0" w:type="dxa"/>
            </w:tcMar>
            <w:vAlign w:val="bottom"/>
          </w:tcPr>
          <w:p w14:paraId="48DD9FA0" w14:textId="77777777" w:rsidR="000A4FD8" w:rsidRPr="000A4FD8" w:rsidRDefault="000A4FD8" w:rsidP="00466F39">
            <w:pPr>
              <w:spacing w:line="240" w:lineRule="atLeast"/>
              <w:jc w:val="right"/>
              <w:rPr>
                <w:rFonts w:ascii="Tahoma" w:hAnsi="Tahoma"/>
                <w:color w:val="000000" w:themeColor="text1"/>
                <w:sz w:val="16"/>
                <w:lang w:val="en-GB"/>
              </w:rPr>
            </w:pPr>
            <w:r w:rsidRPr="000A4FD8">
              <w:rPr>
                <w:rFonts w:ascii="Tahoma" w:hAnsi="Tahoma"/>
                <w:color w:val="000000" w:themeColor="text1"/>
                <w:sz w:val="16"/>
                <w:lang w:val="en-GB"/>
              </w:rPr>
              <w:t>14</w:t>
            </w:r>
          </w:p>
        </w:tc>
      </w:tr>
      <w:tr w:rsidR="00615190" w:rsidRPr="000A4FD8" w14:paraId="59D67653" w14:textId="77777777" w:rsidTr="006965E5">
        <w:trPr>
          <w:trHeight w:val="60"/>
        </w:trPr>
        <w:tc>
          <w:tcPr>
            <w:tcW w:w="397" w:type="dxa"/>
            <w:shd w:val="clear" w:color="auto" w:fill="auto"/>
            <w:tcMar>
              <w:top w:w="57" w:type="dxa"/>
              <w:left w:w="0" w:type="dxa"/>
              <w:bottom w:w="85" w:type="dxa"/>
              <w:right w:w="0" w:type="dxa"/>
            </w:tcMar>
            <w:vAlign w:val="bottom"/>
          </w:tcPr>
          <w:p w14:paraId="64045681" w14:textId="77777777" w:rsidR="000A4FD8" w:rsidRPr="000A4FD8" w:rsidRDefault="000A4FD8" w:rsidP="00615190">
            <w:pPr>
              <w:spacing w:line="240" w:lineRule="atLeast"/>
              <w:rPr>
                <w:rFonts w:ascii="Tahoma" w:hAnsi="Tahoma"/>
                <w:color w:val="000000" w:themeColor="text1"/>
                <w:sz w:val="16"/>
                <w:lang w:val="en-GB"/>
              </w:rPr>
            </w:pPr>
          </w:p>
        </w:tc>
        <w:tc>
          <w:tcPr>
            <w:tcW w:w="7258" w:type="dxa"/>
            <w:tcBorders>
              <w:bottom w:val="single" w:sz="4" w:space="0" w:color="auto"/>
            </w:tcBorders>
            <w:shd w:val="clear" w:color="auto" w:fill="auto"/>
            <w:tcMar>
              <w:top w:w="57" w:type="dxa"/>
              <w:left w:w="0" w:type="dxa"/>
              <w:bottom w:w="85" w:type="dxa"/>
              <w:right w:w="0" w:type="dxa"/>
            </w:tcMar>
            <w:vAlign w:val="bottom"/>
          </w:tcPr>
          <w:p w14:paraId="15778296" w14:textId="77777777" w:rsidR="000A4FD8" w:rsidRPr="000A4FD8" w:rsidRDefault="000A4FD8" w:rsidP="00615190">
            <w:pPr>
              <w:spacing w:line="240" w:lineRule="atLeast"/>
              <w:rPr>
                <w:rFonts w:ascii="Tahoma" w:hAnsi="Tahoma"/>
                <w:color w:val="000000" w:themeColor="text1"/>
                <w:sz w:val="16"/>
                <w:lang w:val="en-GB"/>
              </w:rPr>
            </w:pPr>
            <w:r w:rsidRPr="000A4FD8">
              <w:rPr>
                <w:rFonts w:ascii="Tahoma" w:hAnsi="Tahoma"/>
                <w:color w:val="000000" w:themeColor="text1"/>
                <w:sz w:val="16"/>
                <w:lang w:val="en-GB"/>
              </w:rPr>
              <w:t>Various other related parties</w:t>
            </w:r>
          </w:p>
        </w:tc>
        <w:tc>
          <w:tcPr>
            <w:tcW w:w="1417" w:type="dxa"/>
            <w:tcBorders>
              <w:bottom w:val="single" w:sz="4" w:space="0" w:color="auto"/>
            </w:tcBorders>
            <w:shd w:val="clear" w:color="auto" w:fill="auto"/>
            <w:tcMar>
              <w:top w:w="57" w:type="dxa"/>
              <w:left w:w="0" w:type="dxa"/>
              <w:bottom w:w="85" w:type="dxa"/>
              <w:right w:w="0" w:type="dxa"/>
            </w:tcMar>
            <w:vAlign w:val="bottom"/>
          </w:tcPr>
          <w:p w14:paraId="24D9614D" w14:textId="77777777" w:rsidR="000A4FD8" w:rsidRPr="000A4FD8" w:rsidRDefault="000A4FD8" w:rsidP="00466F39">
            <w:pPr>
              <w:spacing w:line="240" w:lineRule="atLeast"/>
              <w:jc w:val="right"/>
              <w:rPr>
                <w:rFonts w:ascii="Tahoma" w:hAnsi="Tahoma"/>
                <w:b/>
                <w:bCs/>
                <w:color w:val="000000" w:themeColor="text1"/>
                <w:sz w:val="16"/>
                <w:lang w:val="en-GB"/>
              </w:rPr>
            </w:pPr>
            <w:r w:rsidRPr="000A4FD8">
              <w:rPr>
                <w:rFonts w:ascii="Tahoma" w:hAnsi="Tahoma"/>
                <w:b/>
                <w:bCs/>
                <w:color w:val="000000" w:themeColor="text1"/>
                <w:sz w:val="16"/>
                <w:lang w:val="en-GB"/>
              </w:rPr>
              <w:t>1</w:t>
            </w:r>
          </w:p>
        </w:tc>
        <w:tc>
          <w:tcPr>
            <w:tcW w:w="1134" w:type="dxa"/>
            <w:tcBorders>
              <w:bottom w:val="single" w:sz="4" w:space="0" w:color="auto"/>
            </w:tcBorders>
            <w:shd w:val="clear" w:color="auto" w:fill="auto"/>
            <w:tcMar>
              <w:top w:w="57" w:type="dxa"/>
              <w:left w:w="0" w:type="dxa"/>
              <w:bottom w:w="85" w:type="dxa"/>
              <w:right w:w="0" w:type="dxa"/>
            </w:tcMar>
            <w:vAlign w:val="bottom"/>
          </w:tcPr>
          <w:p w14:paraId="42769247" w14:textId="77777777" w:rsidR="000A4FD8" w:rsidRPr="000A4FD8" w:rsidRDefault="000A4FD8" w:rsidP="00466F39">
            <w:pPr>
              <w:spacing w:line="240" w:lineRule="atLeast"/>
              <w:jc w:val="right"/>
              <w:rPr>
                <w:rFonts w:ascii="Tahoma" w:hAnsi="Tahoma"/>
                <w:color w:val="000000" w:themeColor="text1"/>
                <w:sz w:val="16"/>
                <w:lang w:val="en-GB"/>
              </w:rPr>
            </w:pPr>
            <w:r w:rsidRPr="000A4FD8">
              <w:rPr>
                <w:rFonts w:ascii="Tahoma" w:hAnsi="Tahoma"/>
                <w:color w:val="000000" w:themeColor="text1"/>
                <w:sz w:val="16"/>
                <w:lang w:val="en-GB"/>
              </w:rPr>
              <w:t>1</w:t>
            </w:r>
          </w:p>
        </w:tc>
      </w:tr>
      <w:tr w:rsidR="00615190" w:rsidRPr="000A4FD8" w14:paraId="12681E99" w14:textId="77777777" w:rsidTr="006965E5">
        <w:trPr>
          <w:trHeight w:val="60"/>
        </w:trPr>
        <w:tc>
          <w:tcPr>
            <w:tcW w:w="397" w:type="dxa"/>
            <w:shd w:val="clear" w:color="auto" w:fill="auto"/>
            <w:tcMar>
              <w:top w:w="85" w:type="dxa"/>
              <w:left w:w="0" w:type="dxa"/>
              <w:bottom w:w="85" w:type="dxa"/>
              <w:right w:w="0" w:type="dxa"/>
            </w:tcMar>
            <w:vAlign w:val="bottom"/>
          </w:tcPr>
          <w:p w14:paraId="13862167" w14:textId="77777777" w:rsidR="000A4FD8" w:rsidRPr="000A4FD8" w:rsidRDefault="000A4FD8" w:rsidP="00615190">
            <w:pPr>
              <w:spacing w:line="240" w:lineRule="atLeast"/>
              <w:rPr>
                <w:rFonts w:ascii="Tahoma" w:hAnsi="Tahoma"/>
                <w:color w:val="000000" w:themeColor="text1"/>
                <w:sz w:val="16"/>
                <w:lang w:val="en-GB"/>
              </w:rPr>
            </w:pPr>
          </w:p>
        </w:tc>
        <w:tc>
          <w:tcPr>
            <w:tcW w:w="7258"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1BBC1854" w14:textId="77777777" w:rsidR="000A4FD8" w:rsidRPr="000A4FD8" w:rsidRDefault="000A4FD8" w:rsidP="00615190">
            <w:pPr>
              <w:spacing w:line="240" w:lineRule="atLeast"/>
              <w:rPr>
                <w:rFonts w:ascii="Tahoma" w:hAnsi="Tahoma"/>
                <w:color w:val="000000" w:themeColor="text1"/>
                <w:sz w:val="16"/>
                <w:lang w:val="en-GB"/>
              </w:rPr>
            </w:pPr>
          </w:p>
        </w:tc>
        <w:tc>
          <w:tcPr>
            <w:tcW w:w="1417"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19FE12EE" w14:textId="77777777" w:rsidR="000A4FD8" w:rsidRPr="000A4FD8" w:rsidRDefault="000A4FD8" w:rsidP="00466F39">
            <w:pPr>
              <w:spacing w:line="240" w:lineRule="atLeast"/>
              <w:jc w:val="right"/>
              <w:rPr>
                <w:rFonts w:ascii="Tahoma" w:hAnsi="Tahoma"/>
                <w:b/>
                <w:bCs/>
                <w:color w:val="000000" w:themeColor="text1"/>
                <w:sz w:val="16"/>
                <w:lang w:val="en-GB"/>
              </w:rPr>
            </w:pPr>
            <w:r w:rsidRPr="000A4FD8">
              <w:rPr>
                <w:rFonts w:ascii="Tahoma" w:hAnsi="Tahoma"/>
                <w:b/>
                <w:bCs/>
                <w:color w:val="000000" w:themeColor="text1"/>
                <w:sz w:val="16"/>
                <w:lang w:val="en-GB"/>
              </w:rPr>
              <w:t>28</w:t>
            </w:r>
          </w:p>
        </w:tc>
        <w:tc>
          <w:tcPr>
            <w:tcW w:w="1134"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4328E1B8" w14:textId="77777777" w:rsidR="000A4FD8" w:rsidRPr="000A4FD8" w:rsidRDefault="000A4FD8" w:rsidP="00466F39">
            <w:pPr>
              <w:spacing w:line="240" w:lineRule="atLeast"/>
              <w:jc w:val="right"/>
              <w:rPr>
                <w:rFonts w:ascii="Tahoma" w:hAnsi="Tahoma"/>
                <w:color w:val="000000" w:themeColor="text1"/>
                <w:sz w:val="16"/>
                <w:lang w:val="en-GB"/>
              </w:rPr>
            </w:pPr>
            <w:r w:rsidRPr="000A4FD8">
              <w:rPr>
                <w:rFonts w:ascii="Tahoma" w:hAnsi="Tahoma"/>
                <w:color w:val="000000" w:themeColor="text1"/>
                <w:sz w:val="16"/>
                <w:lang w:val="en-GB"/>
              </w:rPr>
              <w:t>73</w:t>
            </w:r>
          </w:p>
        </w:tc>
      </w:tr>
      <w:tr w:rsidR="00615190" w:rsidRPr="000A4FD8" w14:paraId="39E56602" w14:textId="77777777" w:rsidTr="00CB1DE5">
        <w:trPr>
          <w:trHeight w:val="60"/>
        </w:trPr>
        <w:tc>
          <w:tcPr>
            <w:tcW w:w="397" w:type="dxa"/>
            <w:shd w:val="clear" w:color="auto" w:fill="auto"/>
            <w:tcMar>
              <w:top w:w="85" w:type="dxa"/>
              <w:left w:w="0" w:type="dxa"/>
              <w:bottom w:w="57" w:type="dxa"/>
              <w:right w:w="0" w:type="dxa"/>
            </w:tcMar>
            <w:vAlign w:val="bottom"/>
          </w:tcPr>
          <w:p w14:paraId="3F6A8363" w14:textId="77777777" w:rsidR="000A4FD8" w:rsidRPr="000A4FD8" w:rsidRDefault="000A4FD8" w:rsidP="00615190">
            <w:pPr>
              <w:spacing w:line="240" w:lineRule="atLeast"/>
              <w:rPr>
                <w:rFonts w:ascii="Tahoma" w:hAnsi="Tahoma"/>
                <w:color w:val="000000" w:themeColor="text1"/>
                <w:sz w:val="16"/>
                <w:lang w:val="en-GB"/>
              </w:rPr>
            </w:pPr>
          </w:p>
        </w:tc>
        <w:tc>
          <w:tcPr>
            <w:tcW w:w="9809" w:type="dxa"/>
            <w:gridSpan w:val="3"/>
            <w:tcBorders>
              <w:top w:val="single" w:sz="12" w:space="0" w:color="auto"/>
            </w:tcBorders>
            <w:shd w:val="clear" w:color="auto" w:fill="auto"/>
            <w:tcMar>
              <w:top w:w="85" w:type="dxa"/>
              <w:left w:w="0" w:type="dxa"/>
              <w:bottom w:w="57" w:type="dxa"/>
              <w:right w:w="0" w:type="dxa"/>
            </w:tcMar>
            <w:vAlign w:val="bottom"/>
          </w:tcPr>
          <w:p w14:paraId="743F4275" w14:textId="77777777" w:rsidR="000A4FD8" w:rsidRPr="00BC3C1F" w:rsidRDefault="000A4FD8" w:rsidP="00BC3C1F">
            <w:pPr>
              <w:pStyle w:val="FootnotesProsus2022FrontStylesProsus2022"/>
            </w:pPr>
            <w:r w:rsidRPr="00BC3C1F">
              <w:t>1</w:t>
            </w:r>
            <w:r w:rsidRPr="00BC3C1F">
              <w:tab/>
              <w:t>The group receives revenue from a number of its related parties in connection with service agreements. The nature of these related party relationships is that of Naspers group subsidiaries, group associates and joint ventures.</w:t>
            </w:r>
          </w:p>
        </w:tc>
      </w:tr>
    </w:tbl>
    <w:p w14:paraId="30873CF5" w14:textId="77777777" w:rsidR="000A4FD8" w:rsidRPr="00615190" w:rsidRDefault="000A4FD8" w:rsidP="00615190">
      <w:pPr>
        <w:spacing w:line="240" w:lineRule="atLeast"/>
        <w:rPr>
          <w:rFonts w:ascii="Tahoma" w:hAnsi="Tahoma"/>
          <w:color w:val="000000" w:themeColor="text1"/>
          <w:sz w:val="16"/>
        </w:rPr>
      </w:pPr>
    </w:p>
    <w:tbl>
      <w:tblPr>
        <w:tblW w:w="10206" w:type="dxa"/>
        <w:tblInd w:w="-8" w:type="dxa"/>
        <w:tblLayout w:type="fixed"/>
        <w:tblCellMar>
          <w:left w:w="0" w:type="dxa"/>
          <w:right w:w="0" w:type="dxa"/>
        </w:tblCellMar>
        <w:tblLook w:val="0000" w:firstRow="0" w:lastRow="0" w:firstColumn="0" w:lastColumn="0" w:noHBand="0" w:noVBand="0"/>
      </w:tblPr>
      <w:tblGrid>
        <w:gridCol w:w="397"/>
        <w:gridCol w:w="7258"/>
        <w:gridCol w:w="1417"/>
        <w:gridCol w:w="1134"/>
      </w:tblGrid>
      <w:tr w:rsidR="00615190" w:rsidRPr="000A4FD8" w14:paraId="09361CF0" w14:textId="77777777" w:rsidTr="00FA72A8">
        <w:trPr>
          <w:trHeight w:val="60"/>
        </w:trPr>
        <w:tc>
          <w:tcPr>
            <w:tcW w:w="397" w:type="dxa"/>
            <w:shd w:val="clear" w:color="auto" w:fill="auto"/>
            <w:tcMar>
              <w:top w:w="0" w:type="dxa"/>
              <w:left w:w="0" w:type="dxa"/>
              <w:bottom w:w="113" w:type="dxa"/>
              <w:right w:w="0" w:type="dxa"/>
            </w:tcMar>
            <w:vAlign w:val="bottom"/>
          </w:tcPr>
          <w:p w14:paraId="4F3A61DD" w14:textId="77777777" w:rsidR="000A4FD8" w:rsidRPr="000A4FD8" w:rsidRDefault="000A4FD8" w:rsidP="00615190">
            <w:pPr>
              <w:spacing w:line="240" w:lineRule="atLeast"/>
              <w:rPr>
                <w:rFonts w:ascii="Tahoma" w:hAnsi="Tahoma"/>
                <w:color w:val="000000" w:themeColor="text1"/>
                <w:sz w:val="16"/>
                <w:lang w:val="en-GB"/>
              </w:rPr>
            </w:pPr>
          </w:p>
        </w:tc>
        <w:tc>
          <w:tcPr>
            <w:tcW w:w="7258" w:type="dxa"/>
            <w:tcBorders>
              <w:bottom w:val="single" w:sz="12" w:space="0" w:color="auto"/>
            </w:tcBorders>
            <w:shd w:val="clear" w:color="auto" w:fill="auto"/>
            <w:tcMar>
              <w:top w:w="0" w:type="dxa"/>
              <w:left w:w="0" w:type="dxa"/>
              <w:bottom w:w="113" w:type="dxa"/>
              <w:right w:w="0" w:type="dxa"/>
            </w:tcMar>
            <w:vAlign w:val="bottom"/>
          </w:tcPr>
          <w:p w14:paraId="0DC9337B" w14:textId="77777777" w:rsidR="000A4FD8" w:rsidRPr="000A4FD8" w:rsidRDefault="000A4FD8" w:rsidP="00615190">
            <w:pPr>
              <w:spacing w:line="240" w:lineRule="atLeast"/>
              <w:rPr>
                <w:rFonts w:ascii="Tahoma" w:hAnsi="Tahoma"/>
                <w:color w:val="000000" w:themeColor="text1"/>
                <w:sz w:val="16"/>
                <w:lang w:val="en-GB"/>
              </w:rPr>
            </w:pPr>
          </w:p>
        </w:tc>
        <w:tc>
          <w:tcPr>
            <w:tcW w:w="1417" w:type="dxa"/>
            <w:tcBorders>
              <w:bottom w:val="single" w:sz="12" w:space="0" w:color="auto"/>
            </w:tcBorders>
            <w:shd w:val="clear" w:color="auto" w:fill="auto"/>
            <w:tcMar>
              <w:top w:w="0" w:type="dxa"/>
              <w:left w:w="0" w:type="dxa"/>
              <w:bottom w:w="113" w:type="dxa"/>
              <w:right w:w="0" w:type="dxa"/>
            </w:tcMar>
            <w:vAlign w:val="bottom"/>
          </w:tcPr>
          <w:p w14:paraId="7AC8A124" w14:textId="77777777" w:rsidR="000A4FD8" w:rsidRPr="000A4FD8" w:rsidRDefault="000A4FD8" w:rsidP="009251B6">
            <w:pPr>
              <w:spacing w:line="240" w:lineRule="atLeast"/>
              <w:jc w:val="right"/>
              <w:rPr>
                <w:rFonts w:ascii="Tahoma" w:hAnsi="Tahoma"/>
                <w:b/>
                <w:bCs/>
                <w:color w:val="000000" w:themeColor="text1"/>
                <w:sz w:val="16"/>
                <w:lang w:val="en-GB"/>
              </w:rPr>
            </w:pPr>
            <w:r w:rsidRPr="000A4FD8">
              <w:rPr>
                <w:rFonts w:ascii="Tahoma" w:hAnsi="Tahoma"/>
                <w:b/>
                <w:bCs/>
                <w:color w:val="000000" w:themeColor="text1"/>
                <w:sz w:val="16"/>
                <w:lang w:val="en-GB"/>
              </w:rPr>
              <w:t>Six months</w:t>
            </w:r>
          </w:p>
          <w:p w14:paraId="7DDAC967" w14:textId="77777777" w:rsidR="000A4FD8" w:rsidRPr="000A4FD8" w:rsidRDefault="000A4FD8" w:rsidP="009251B6">
            <w:pPr>
              <w:spacing w:line="240" w:lineRule="atLeast"/>
              <w:jc w:val="right"/>
              <w:rPr>
                <w:rFonts w:ascii="Tahoma" w:hAnsi="Tahoma"/>
                <w:b/>
                <w:bCs/>
                <w:color w:val="000000" w:themeColor="text1"/>
                <w:sz w:val="16"/>
                <w:lang w:val="en-GB"/>
              </w:rPr>
            </w:pPr>
            <w:r w:rsidRPr="000A4FD8">
              <w:rPr>
                <w:rFonts w:ascii="Tahoma" w:hAnsi="Tahoma"/>
                <w:b/>
                <w:bCs/>
                <w:color w:val="000000" w:themeColor="text1"/>
                <w:sz w:val="16"/>
                <w:lang w:val="en-GB"/>
              </w:rPr>
              <w:t>ended</w:t>
            </w:r>
          </w:p>
          <w:p w14:paraId="4D6D60D7" w14:textId="77777777" w:rsidR="000A4FD8" w:rsidRPr="000A4FD8" w:rsidRDefault="000A4FD8" w:rsidP="009251B6">
            <w:pPr>
              <w:spacing w:line="240" w:lineRule="atLeast"/>
              <w:jc w:val="right"/>
              <w:rPr>
                <w:rFonts w:ascii="Tahoma" w:hAnsi="Tahoma"/>
                <w:b/>
                <w:bCs/>
                <w:color w:val="000000" w:themeColor="text1"/>
                <w:sz w:val="16"/>
                <w:lang w:val="en-GB"/>
              </w:rPr>
            </w:pPr>
            <w:r w:rsidRPr="000A4FD8">
              <w:rPr>
                <w:rFonts w:ascii="Tahoma" w:hAnsi="Tahoma"/>
                <w:b/>
                <w:bCs/>
                <w:color w:val="000000" w:themeColor="text1"/>
                <w:sz w:val="16"/>
                <w:lang w:val="en-GB"/>
              </w:rPr>
              <w:t>30 September</w:t>
            </w:r>
          </w:p>
          <w:p w14:paraId="7828EBA6" w14:textId="77777777" w:rsidR="000A4FD8" w:rsidRPr="000A4FD8" w:rsidRDefault="000A4FD8" w:rsidP="009251B6">
            <w:pPr>
              <w:spacing w:line="240" w:lineRule="atLeast"/>
              <w:jc w:val="right"/>
              <w:rPr>
                <w:rFonts w:ascii="Tahoma" w:hAnsi="Tahoma"/>
                <w:b/>
                <w:bCs/>
                <w:color w:val="000000" w:themeColor="text1"/>
                <w:sz w:val="16"/>
                <w:lang w:val="en-GB"/>
              </w:rPr>
            </w:pPr>
            <w:r w:rsidRPr="000A4FD8">
              <w:rPr>
                <w:rFonts w:ascii="Tahoma" w:hAnsi="Tahoma"/>
                <w:b/>
                <w:bCs/>
                <w:color w:val="000000" w:themeColor="text1"/>
                <w:sz w:val="16"/>
                <w:lang w:val="en-GB"/>
              </w:rPr>
              <w:t>2022</w:t>
            </w:r>
          </w:p>
          <w:p w14:paraId="54E52D73" w14:textId="77777777" w:rsidR="000A4FD8" w:rsidRPr="000A4FD8" w:rsidRDefault="000A4FD8" w:rsidP="009251B6">
            <w:pPr>
              <w:spacing w:line="240" w:lineRule="atLeast"/>
              <w:jc w:val="right"/>
              <w:rPr>
                <w:rFonts w:ascii="Tahoma" w:hAnsi="Tahoma"/>
                <w:b/>
                <w:bCs/>
                <w:color w:val="000000" w:themeColor="text1"/>
                <w:sz w:val="16"/>
                <w:lang w:val="en-GB"/>
              </w:rPr>
            </w:pPr>
            <w:proofErr w:type="spellStart"/>
            <w:r w:rsidRPr="000A4FD8">
              <w:rPr>
                <w:rFonts w:ascii="Tahoma" w:hAnsi="Tahoma"/>
                <w:b/>
                <w:bCs/>
                <w:color w:val="000000" w:themeColor="text1"/>
                <w:sz w:val="16"/>
                <w:lang w:val="en-GB"/>
              </w:rPr>
              <w:t>US$’m</w:t>
            </w:r>
            <w:proofErr w:type="spellEnd"/>
          </w:p>
        </w:tc>
        <w:tc>
          <w:tcPr>
            <w:tcW w:w="1134" w:type="dxa"/>
            <w:tcBorders>
              <w:bottom w:val="single" w:sz="12" w:space="0" w:color="auto"/>
            </w:tcBorders>
            <w:shd w:val="clear" w:color="auto" w:fill="auto"/>
            <w:tcMar>
              <w:top w:w="0" w:type="dxa"/>
              <w:left w:w="0" w:type="dxa"/>
              <w:bottom w:w="113" w:type="dxa"/>
              <w:right w:w="0" w:type="dxa"/>
            </w:tcMar>
            <w:vAlign w:val="bottom"/>
          </w:tcPr>
          <w:p w14:paraId="770D6F36" w14:textId="77777777" w:rsidR="000A4FD8" w:rsidRPr="000A4FD8" w:rsidRDefault="000A4FD8" w:rsidP="009251B6">
            <w:pPr>
              <w:spacing w:line="240" w:lineRule="atLeast"/>
              <w:jc w:val="right"/>
              <w:rPr>
                <w:rFonts w:ascii="Tahoma" w:hAnsi="Tahoma"/>
                <w:color w:val="000000" w:themeColor="text1"/>
                <w:sz w:val="16"/>
                <w:lang w:val="en-GB"/>
              </w:rPr>
            </w:pPr>
            <w:r w:rsidRPr="000A4FD8">
              <w:rPr>
                <w:rFonts w:ascii="Tahoma" w:hAnsi="Tahoma"/>
                <w:color w:val="000000" w:themeColor="text1"/>
                <w:sz w:val="16"/>
                <w:lang w:val="en-GB"/>
              </w:rPr>
              <w:t>Year</w:t>
            </w:r>
          </w:p>
          <w:p w14:paraId="59707409" w14:textId="77777777" w:rsidR="000A4FD8" w:rsidRPr="000A4FD8" w:rsidRDefault="000A4FD8" w:rsidP="009251B6">
            <w:pPr>
              <w:spacing w:line="240" w:lineRule="atLeast"/>
              <w:jc w:val="right"/>
              <w:rPr>
                <w:rFonts w:ascii="Tahoma" w:hAnsi="Tahoma"/>
                <w:color w:val="000000" w:themeColor="text1"/>
                <w:sz w:val="16"/>
                <w:lang w:val="en-GB"/>
              </w:rPr>
            </w:pPr>
            <w:r w:rsidRPr="000A4FD8">
              <w:rPr>
                <w:rFonts w:ascii="Tahoma" w:hAnsi="Tahoma"/>
                <w:color w:val="000000" w:themeColor="text1"/>
                <w:sz w:val="16"/>
                <w:lang w:val="en-GB"/>
              </w:rPr>
              <w:t xml:space="preserve"> ended</w:t>
            </w:r>
          </w:p>
          <w:p w14:paraId="4A205C34" w14:textId="77777777" w:rsidR="000A4FD8" w:rsidRPr="000A4FD8" w:rsidRDefault="000A4FD8" w:rsidP="009251B6">
            <w:pPr>
              <w:spacing w:line="240" w:lineRule="atLeast"/>
              <w:jc w:val="right"/>
              <w:rPr>
                <w:rFonts w:ascii="Tahoma" w:hAnsi="Tahoma"/>
                <w:color w:val="000000" w:themeColor="text1"/>
                <w:sz w:val="16"/>
                <w:lang w:val="en-GB"/>
              </w:rPr>
            </w:pPr>
            <w:r w:rsidRPr="000A4FD8">
              <w:rPr>
                <w:rFonts w:ascii="Tahoma" w:hAnsi="Tahoma"/>
                <w:color w:val="000000" w:themeColor="text1"/>
                <w:sz w:val="16"/>
                <w:lang w:val="en-GB"/>
              </w:rPr>
              <w:t>31 March</w:t>
            </w:r>
          </w:p>
          <w:p w14:paraId="567E160C" w14:textId="77777777" w:rsidR="000A4FD8" w:rsidRPr="000A4FD8" w:rsidRDefault="000A4FD8" w:rsidP="009251B6">
            <w:pPr>
              <w:spacing w:line="240" w:lineRule="atLeast"/>
              <w:jc w:val="right"/>
              <w:rPr>
                <w:rFonts w:ascii="Tahoma" w:hAnsi="Tahoma"/>
                <w:color w:val="000000" w:themeColor="text1"/>
                <w:sz w:val="16"/>
                <w:lang w:val="en-GB"/>
              </w:rPr>
            </w:pPr>
            <w:r w:rsidRPr="000A4FD8">
              <w:rPr>
                <w:rFonts w:ascii="Tahoma" w:hAnsi="Tahoma"/>
                <w:color w:val="000000" w:themeColor="text1"/>
                <w:sz w:val="16"/>
                <w:lang w:val="en-GB"/>
              </w:rPr>
              <w:t>2022</w:t>
            </w:r>
          </w:p>
          <w:p w14:paraId="3E20BE6C" w14:textId="77777777" w:rsidR="000A4FD8" w:rsidRPr="000A4FD8" w:rsidRDefault="000A4FD8" w:rsidP="009251B6">
            <w:pPr>
              <w:spacing w:line="240" w:lineRule="atLeast"/>
              <w:jc w:val="right"/>
              <w:rPr>
                <w:rFonts w:ascii="Tahoma" w:hAnsi="Tahoma"/>
                <w:color w:val="000000" w:themeColor="text1"/>
                <w:sz w:val="16"/>
                <w:lang w:val="en-GB"/>
              </w:rPr>
            </w:pPr>
            <w:proofErr w:type="spellStart"/>
            <w:r w:rsidRPr="000A4FD8">
              <w:rPr>
                <w:rFonts w:ascii="Tahoma" w:hAnsi="Tahoma"/>
                <w:color w:val="000000" w:themeColor="text1"/>
                <w:sz w:val="16"/>
                <w:lang w:val="en-GB"/>
              </w:rPr>
              <w:t>US$’m</w:t>
            </w:r>
            <w:proofErr w:type="spellEnd"/>
          </w:p>
        </w:tc>
      </w:tr>
      <w:tr w:rsidR="00615190" w:rsidRPr="000A4FD8" w14:paraId="57D70B37" w14:textId="77777777" w:rsidTr="00FA72A8">
        <w:trPr>
          <w:trHeight w:val="60"/>
        </w:trPr>
        <w:tc>
          <w:tcPr>
            <w:tcW w:w="397" w:type="dxa"/>
            <w:shd w:val="clear" w:color="auto" w:fill="auto"/>
            <w:tcMar>
              <w:top w:w="142" w:type="dxa"/>
              <w:left w:w="0" w:type="dxa"/>
              <w:bottom w:w="57" w:type="dxa"/>
              <w:right w:w="0" w:type="dxa"/>
            </w:tcMar>
            <w:vAlign w:val="bottom"/>
          </w:tcPr>
          <w:p w14:paraId="7C00E5A5" w14:textId="77777777" w:rsidR="000A4FD8" w:rsidRPr="000A4FD8" w:rsidRDefault="000A4FD8" w:rsidP="00615190">
            <w:pPr>
              <w:spacing w:line="240" w:lineRule="atLeast"/>
              <w:rPr>
                <w:rFonts w:ascii="Tahoma" w:hAnsi="Tahoma"/>
                <w:color w:val="000000" w:themeColor="text1"/>
                <w:sz w:val="16"/>
                <w:lang w:val="en-GB"/>
              </w:rPr>
            </w:pPr>
          </w:p>
        </w:tc>
        <w:tc>
          <w:tcPr>
            <w:tcW w:w="7258" w:type="dxa"/>
            <w:tcBorders>
              <w:top w:val="single" w:sz="12" w:space="0" w:color="auto"/>
            </w:tcBorders>
            <w:shd w:val="clear" w:color="auto" w:fill="auto"/>
            <w:tcMar>
              <w:top w:w="142" w:type="dxa"/>
              <w:left w:w="0" w:type="dxa"/>
              <w:bottom w:w="57" w:type="dxa"/>
              <w:right w:w="0" w:type="dxa"/>
            </w:tcMar>
            <w:vAlign w:val="bottom"/>
          </w:tcPr>
          <w:p w14:paraId="4976EF90" w14:textId="77777777" w:rsidR="000A4FD8" w:rsidRPr="000A4FD8" w:rsidRDefault="000A4FD8" w:rsidP="00615190">
            <w:pPr>
              <w:spacing w:line="240" w:lineRule="atLeast"/>
              <w:rPr>
                <w:rFonts w:ascii="Tahoma" w:hAnsi="Tahoma"/>
                <w:b/>
                <w:bCs/>
                <w:color w:val="000000" w:themeColor="text1"/>
                <w:sz w:val="16"/>
                <w:lang w:val="en-GB"/>
              </w:rPr>
            </w:pPr>
            <w:r w:rsidRPr="000A4FD8">
              <w:rPr>
                <w:rFonts w:ascii="Tahoma" w:hAnsi="Tahoma"/>
                <w:b/>
                <w:bCs/>
                <w:color w:val="000000" w:themeColor="text1"/>
                <w:sz w:val="16"/>
                <w:lang w:val="en-GB"/>
              </w:rPr>
              <w:t>Services received from related parties</w:t>
            </w:r>
            <w:r w:rsidRPr="000A4FD8">
              <w:rPr>
                <w:rFonts w:ascii="Tahoma" w:hAnsi="Tahoma"/>
                <w:b/>
                <w:bCs/>
                <w:color w:val="000000" w:themeColor="text1"/>
                <w:sz w:val="16"/>
                <w:vertAlign w:val="superscript"/>
                <w:lang w:val="en-GB"/>
              </w:rPr>
              <w:t>1</w:t>
            </w:r>
          </w:p>
        </w:tc>
        <w:tc>
          <w:tcPr>
            <w:tcW w:w="1417" w:type="dxa"/>
            <w:tcBorders>
              <w:top w:val="single" w:sz="12" w:space="0" w:color="auto"/>
            </w:tcBorders>
            <w:shd w:val="clear" w:color="auto" w:fill="auto"/>
            <w:tcMar>
              <w:top w:w="142" w:type="dxa"/>
              <w:left w:w="0" w:type="dxa"/>
              <w:bottom w:w="57" w:type="dxa"/>
              <w:right w:w="0" w:type="dxa"/>
            </w:tcMar>
            <w:vAlign w:val="bottom"/>
          </w:tcPr>
          <w:p w14:paraId="72D154A1" w14:textId="77777777" w:rsidR="000A4FD8" w:rsidRPr="000A4FD8" w:rsidRDefault="000A4FD8" w:rsidP="009251B6">
            <w:pPr>
              <w:spacing w:line="240" w:lineRule="atLeast"/>
              <w:jc w:val="right"/>
              <w:rPr>
                <w:rFonts w:ascii="Tahoma" w:hAnsi="Tahoma"/>
                <w:b/>
                <w:bCs/>
                <w:color w:val="000000" w:themeColor="text1"/>
                <w:sz w:val="16"/>
                <w:lang w:val="en-GB"/>
              </w:rPr>
            </w:pPr>
          </w:p>
        </w:tc>
        <w:tc>
          <w:tcPr>
            <w:tcW w:w="1134" w:type="dxa"/>
            <w:tcBorders>
              <w:top w:val="single" w:sz="12" w:space="0" w:color="auto"/>
            </w:tcBorders>
            <w:shd w:val="clear" w:color="auto" w:fill="auto"/>
            <w:tcMar>
              <w:top w:w="142" w:type="dxa"/>
              <w:left w:w="0" w:type="dxa"/>
              <w:bottom w:w="57" w:type="dxa"/>
              <w:right w:w="0" w:type="dxa"/>
            </w:tcMar>
            <w:vAlign w:val="bottom"/>
          </w:tcPr>
          <w:p w14:paraId="63A8A537" w14:textId="77777777" w:rsidR="000A4FD8" w:rsidRPr="000A4FD8" w:rsidRDefault="000A4FD8" w:rsidP="009251B6">
            <w:pPr>
              <w:spacing w:line="240" w:lineRule="atLeast"/>
              <w:jc w:val="right"/>
              <w:rPr>
                <w:rFonts w:ascii="Tahoma" w:hAnsi="Tahoma"/>
                <w:color w:val="000000" w:themeColor="text1"/>
                <w:sz w:val="16"/>
                <w:lang w:val="en-GB"/>
              </w:rPr>
            </w:pPr>
          </w:p>
        </w:tc>
      </w:tr>
      <w:tr w:rsidR="00615190" w:rsidRPr="000A4FD8" w14:paraId="65B41E50" w14:textId="77777777" w:rsidTr="00750149">
        <w:trPr>
          <w:trHeight w:val="60"/>
        </w:trPr>
        <w:tc>
          <w:tcPr>
            <w:tcW w:w="397" w:type="dxa"/>
            <w:shd w:val="clear" w:color="auto" w:fill="auto"/>
            <w:tcMar>
              <w:top w:w="57" w:type="dxa"/>
              <w:left w:w="0" w:type="dxa"/>
              <w:bottom w:w="57" w:type="dxa"/>
              <w:right w:w="0" w:type="dxa"/>
            </w:tcMar>
            <w:vAlign w:val="bottom"/>
          </w:tcPr>
          <w:p w14:paraId="6FD62DD2" w14:textId="77777777" w:rsidR="000A4FD8" w:rsidRPr="000A4FD8" w:rsidRDefault="000A4FD8" w:rsidP="00615190">
            <w:pPr>
              <w:spacing w:line="240" w:lineRule="atLeast"/>
              <w:rPr>
                <w:rFonts w:ascii="Tahoma" w:hAnsi="Tahoma"/>
                <w:color w:val="000000" w:themeColor="text1"/>
                <w:sz w:val="16"/>
                <w:lang w:val="en-GB"/>
              </w:rPr>
            </w:pPr>
          </w:p>
        </w:tc>
        <w:tc>
          <w:tcPr>
            <w:tcW w:w="7258" w:type="dxa"/>
            <w:shd w:val="clear" w:color="auto" w:fill="auto"/>
            <w:tcMar>
              <w:top w:w="57" w:type="dxa"/>
              <w:left w:w="0" w:type="dxa"/>
              <w:bottom w:w="57" w:type="dxa"/>
              <w:right w:w="0" w:type="dxa"/>
            </w:tcMar>
            <w:vAlign w:val="bottom"/>
          </w:tcPr>
          <w:p w14:paraId="06A8C043" w14:textId="77777777" w:rsidR="000A4FD8" w:rsidRPr="000A4FD8" w:rsidRDefault="000A4FD8" w:rsidP="00615190">
            <w:pPr>
              <w:spacing w:line="240" w:lineRule="atLeast"/>
              <w:rPr>
                <w:rFonts w:ascii="Tahoma" w:hAnsi="Tahoma"/>
                <w:color w:val="000000" w:themeColor="text1"/>
                <w:sz w:val="16"/>
                <w:lang w:val="en-GB"/>
              </w:rPr>
            </w:pPr>
            <w:r w:rsidRPr="000A4FD8">
              <w:rPr>
                <w:rFonts w:ascii="Tahoma" w:hAnsi="Tahoma"/>
                <w:color w:val="000000" w:themeColor="text1"/>
                <w:sz w:val="16"/>
                <w:lang w:val="en-GB"/>
              </w:rPr>
              <w:t>MIH Holdings Proprietary Limited</w:t>
            </w:r>
          </w:p>
        </w:tc>
        <w:tc>
          <w:tcPr>
            <w:tcW w:w="1417" w:type="dxa"/>
            <w:shd w:val="clear" w:color="auto" w:fill="auto"/>
            <w:tcMar>
              <w:top w:w="57" w:type="dxa"/>
              <w:left w:w="0" w:type="dxa"/>
              <w:bottom w:w="57" w:type="dxa"/>
              <w:right w:w="0" w:type="dxa"/>
            </w:tcMar>
            <w:vAlign w:val="bottom"/>
          </w:tcPr>
          <w:p w14:paraId="12E47E45" w14:textId="77777777" w:rsidR="000A4FD8" w:rsidRPr="000A4FD8" w:rsidRDefault="000A4FD8" w:rsidP="009251B6">
            <w:pPr>
              <w:spacing w:line="240" w:lineRule="atLeast"/>
              <w:jc w:val="right"/>
              <w:rPr>
                <w:rFonts w:ascii="Tahoma" w:hAnsi="Tahoma"/>
                <w:b/>
                <w:bCs/>
                <w:color w:val="000000" w:themeColor="text1"/>
                <w:sz w:val="16"/>
                <w:lang w:val="en-GB"/>
              </w:rPr>
            </w:pPr>
            <w:r w:rsidRPr="000A4FD8">
              <w:rPr>
                <w:rFonts w:ascii="Tahoma" w:hAnsi="Tahoma"/>
                <w:b/>
                <w:bCs/>
                <w:color w:val="000000" w:themeColor="text1"/>
                <w:sz w:val="16"/>
                <w:lang w:val="en-GB"/>
              </w:rPr>
              <w:t>6</w:t>
            </w:r>
          </w:p>
        </w:tc>
        <w:tc>
          <w:tcPr>
            <w:tcW w:w="1134" w:type="dxa"/>
            <w:shd w:val="clear" w:color="auto" w:fill="auto"/>
            <w:tcMar>
              <w:top w:w="57" w:type="dxa"/>
              <w:left w:w="0" w:type="dxa"/>
              <w:bottom w:w="57" w:type="dxa"/>
              <w:right w:w="0" w:type="dxa"/>
            </w:tcMar>
            <w:vAlign w:val="bottom"/>
          </w:tcPr>
          <w:p w14:paraId="62CCCBD2" w14:textId="77777777" w:rsidR="000A4FD8" w:rsidRPr="000A4FD8" w:rsidRDefault="000A4FD8" w:rsidP="009251B6">
            <w:pPr>
              <w:spacing w:line="240" w:lineRule="atLeast"/>
              <w:jc w:val="right"/>
              <w:rPr>
                <w:rFonts w:ascii="Tahoma" w:hAnsi="Tahoma"/>
                <w:color w:val="000000" w:themeColor="text1"/>
                <w:sz w:val="16"/>
                <w:lang w:val="en-GB"/>
              </w:rPr>
            </w:pPr>
            <w:r w:rsidRPr="000A4FD8">
              <w:rPr>
                <w:rFonts w:ascii="Tahoma" w:hAnsi="Tahoma"/>
                <w:color w:val="000000" w:themeColor="text1"/>
                <w:sz w:val="16"/>
                <w:lang w:val="en-GB"/>
              </w:rPr>
              <w:t>10</w:t>
            </w:r>
          </w:p>
        </w:tc>
      </w:tr>
      <w:tr w:rsidR="00615190" w:rsidRPr="000A4FD8" w14:paraId="0D600C2B" w14:textId="77777777" w:rsidTr="00750149">
        <w:trPr>
          <w:trHeight w:val="60"/>
        </w:trPr>
        <w:tc>
          <w:tcPr>
            <w:tcW w:w="397" w:type="dxa"/>
            <w:shd w:val="clear" w:color="auto" w:fill="auto"/>
            <w:tcMar>
              <w:top w:w="57" w:type="dxa"/>
              <w:left w:w="0" w:type="dxa"/>
              <w:bottom w:w="85" w:type="dxa"/>
              <w:right w:w="0" w:type="dxa"/>
            </w:tcMar>
            <w:vAlign w:val="bottom"/>
          </w:tcPr>
          <w:p w14:paraId="49FBD9E6" w14:textId="77777777" w:rsidR="000A4FD8" w:rsidRPr="000A4FD8" w:rsidRDefault="000A4FD8" w:rsidP="00615190">
            <w:pPr>
              <w:spacing w:line="240" w:lineRule="atLeast"/>
              <w:rPr>
                <w:rFonts w:ascii="Tahoma" w:hAnsi="Tahoma"/>
                <w:color w:val="000000" w:themeColor="text1"/>
                <w:sz w:val="16"/>
                <w:lang w:val="en-GB"/>
              </w:rPr>
            </w:pPr>
          </w:p>
        </w:tc>
        <w:tc>
          <w:tcPr>
            <w:tcW w:w="7258" w:type="dxa"/>
            <w:tcBorders>
              <w:bottom w:val="single" w:sz="4" w:space="0" w:color="auto"/>
            </w:tcBorders>
            <w:shd w:val="clear" w:color="auto" w:fill="auto"/>
            <w:tcMar>
              <w:top w:w="57" w:type="dxa"/>
              <w:left w:w="0" w:type="dxa"/>
              <w:bottom w:w="85" w:type="dxa"/>
              <w:right w:w="0" w:type="dxa"/>
            </w:tcMar>
            <w:vAlign w:val="bottom"/>
          </w:tcPr>
          <w:p w14:paraId="5DE3298A" w14:textId="77777777" w:rsidR="000A4FD8" w:rsidRPr="000A4FD8" w:rsidRDefault="000A4FD8" w:rsidP="00615190">
            <w:pPr>
              <w:spacing w:line="240" w:lineRule="atLeast"/>
              <w:rPr>
                <w:rFonts w:ascii="Tahoma" w:hAnsi="Tahoma"/>
                <w:color w:val="000000" w:themeColor="text1"/>
                <w:sz w:val="16"/>
                <w:lang w:val="en-GB"/>
              </w:rPr>
            </w:pPr>
            <w:r w:rsidRPr="000A4FD8">
              <w:rPr>
                <w:rFonts w:ascii="Tahoma" w:hAnsi="Tahoma"/>
                <w:color w:val="000000" w:themeColor="text1"/>
                <w:sz w:val="16"/>
                <w:lang w:val="en-GB"/>
              </w:rPr>
              <w:t>Various other related parties</w:t>
            </w:r>
          </w:p>
        </w:tc>
        <w:tc>
          <w:tcPr>
            <w:tcW w:w="1417" w:type="dxa"/>
            <w:tcBorders>
              <w:bottom w:val="single" w:sz="4" w:space="0" w:color="auto"/>
            </w:tcBorders>
            <w:shd w:val="clear" w:color="auto" w:fill="auto"/>
            <w:tcMar>
              <w:top w:w="57" w:type="dxa"/>
              <w:left w:w="0" w:type="dxa"/>
              <w:bottom w:w="85" w:type="dxa"/>
              <w:right w:w="0" w:type="dxa"/>
            </w:tcMar>
            <w:vAlign w:val="bottom"/>
          </w:tcPr>
          <w:p w14:paraId="6EBD7CEE" w14:textId="77777777" w:rsidR="000A4FD8" w:rsidRPr="000A4FD8" w:rsidRDefault="000A4FD8" w:rsidP="009251B6">
            <w:pPr>
              <w:spacing w:line="240" w:lineRule="atLeast"/>
              <w:jc w:val="right"/>
              <w:rPr>
                <w:rFonts w:ascii="Tahoma" w:hAnsi="Tahoma"/>
                <w:b/>
                <w:bCs/>
                <w:color w:val="000000" w:themeColor="text1"/>
                <w:sz w:val="16"/>
                <w:lang w:val="en-GB"/>
              </w:rPr>
            </w:pPr>
            <w:r w:rsidRPr="000A4FD8">
              <w:rPr>
                <w:rFonts w:ascii="Tahoma" w:hAnsi="Tahoma"/>
                <w:b/>
                <w:bCs/>
                <w:color w:val="000000" w:themeColor="text1"/>
                <w:sz w:val="16"/>
                <w:lang w:val="en-GB"/>
              </w:rPr>
              <w:t>1</w:t>
            </w:r>
          </w:p>
        </w:tc>
        <w:tc>
          <w:tcPr>
            <w:tcW w:w="1134" w:type="dxa"/>
            <w:tcBorders>
              <w:bottom w:val="single" w:sz="4" w:space="0" w:color="auto"/>
            </w:tcBorders>
            <w:shd w:val="clear" w:color="auto" w:fill="auto"/>
            <w:tcMar>
              <w:top w:w="57" w:type="dxa"/>
              <w:left w:w="0" w:type="dxa"/>
              <w:bottom w:w="85" w:type="dxa"/>
              <w:right w:w="0" w:type="dxa"/>
            </w:tcMar>
            <w:vAlign w:val="bottom"/>
          </w:tcPr>
          <w:p w14:paraId="766EA294" w14:textId="77777777" w:rsidR="000A4FD8" w:rsidRPr="000A4FD8" w:rsidRDefault="000A4FD8" w:rsidP="009251B6">
            <w:pPr>
              <w:spacing w:line="240" w:lineRule="atLeast"/>
              <w:jc w:val="right"/>
              <w:rPr>
                <w:rFonts w:ascii="Tahoma" w:hAnsi="Tahoma"/>
                <w:color w:val="000000" w:themeColor="text1"/>
                <w:sz w:val="16"/>
                <w:lang w:val="en-GB"/>
              </w:rPr>
            </w:pPr>
            <w:r w:rsidRPr="000A4FD8">
              <w:rPr>
                <w:rFonts w:ascii="Tahoma" w:hAnsi="Tahoma"/>
                <w:color w:val="000000" w:themeColor="text1"/>
                <w:sz w:val="16"/>
                <w:lang w:val="en-GB"/>
              </w:rPr>
              <w:t>1</w:t>
            </w:r>
          </w:p>
        </w:tc>
      </w:tr>
      <w:tr w:rsidR="00615190" w:rsidRPr="000A4FD8" w14:paraId="04ACEFBB" w14:textId="77777777" w:rsidTr="00750149">
        <w:trPr>
          <w:trHeight w:val="60"/>
        </w:trPr>
        <w:tc>
          <w:tcPr>
            <w:tcW w:w="397" w:type="dxa"/>
            <w:shd w:val="clear" w:color="auto" w:fill="auto"/>
            <w:tcMar>
              <w:top w:w="85" w:type="dxa"/>
              <w:left w:w="0" w:type="dxa"/>
              <w:bottom w:w="85" w:type="dxa"/>
              <w:right w:w="0" w:type="dxa"/>
            </w:tcMar>
            <w:vAlign w:val="bottom"/>
          </w:tcPr>
          <w:p w14:paraId="38BF7F99" w14:textId="77777777" w:rsidR="000A4FD8" w:rsidRPr="000A4FD8" w:rsidRDefault="000A4FD8" w:rsidP="00615190">
            <w:pPr>
              <w:spacing w:line="240" w:lineRule="atLeast"/>
              <w:rPr>
                <w:rFonts w:ascii="Tahoma" w:hAnsi="Tahoma"/>
                <w:color w:val="000000" w:themeColor="text1"/>
                <w:sz w:val="16"/>
                <w:lang w:val="en-GB"/>
              </w:rPr>
            </w:pPr>
          </w:p>
        </w:tc>
        <w:tc>
          <w:tcPr>
            <w:tcW w:w="7258"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258EF058" w14:textId="77777777" w:rsidR="000A4FD8" w:rsidRPr="000A4FD8" w:rsidRDefault="000A4FD8" w:rsidP="00615190">
            <w:pPr>
              <w:spacing w:line="240" w:lineRule="atLeast"/>
              <w:rPr>
                <w:rFonts w:ascii="Tahoma" w:hAnsi="Tahoma"/>
                <w:color w:val="000000" w:themeColor="text1"/>
                <w:sz w:val="16"/>
                <w:lang w:val="en-GB"/>
              </w:rPr>
            </w:pPr>
          </w:p>
        </w:tc>
        <w:tc>
          <w:tcPr>
            <w:tcW w:w="1417"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77A718B0" w14:textId="77777777" w:rsidR="000A4FD8" w:rsidRPr="000A4FD8" w:rsidRDefault="000A4FD8" w:rsidP="009251B6">
            <w:pPr>
              <w:spacing w:line="240" w:lineRule="atLeast"/>
              <w:jc w:val="right"/>
              <w:rPr>
                <w:rFonts w:ascii="Tahoma" w:hAnsi="Tahoma"/>
                <w:b/>
                <w:bCs/>
                <w:color w:val="000000" w:themeColor="text1"/>
                <w:sz w:val="16"/>
                <w:lang w:val="en-GB"/>
              </w:rPr>
            </w:pPr>
            <w:r w:rsidRPr="000A4FD8">
              <w:rPr>
                <w:rFonts w:ascii="Tahoma" w:hAnsi="Tahoma"/>
                <w:b/>
                <w:bCs/>
                <w:color w:val="000000" w:themeColor="text1"/>
                <w:sz w:val="16"/>
                <w:lang w:val="en-GB"/>
              </w:rPr>
              <w:t>7</w:t>
            </w:r>
          </w:p>
        </w:tc>
        <w:tc>
          <w:tcPr>
            <w:tcW w:w="1134"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606B0508" w14:textId="77777777" w:rsidR="000A4FD8" w:rsidRPr="000A4FD8" w:rsidRDefault="000A4FD8" w:rsidP="009251B6">
            <w:pPr>
              <w:spacing w:line="240" w:lineRule="atLeast"/>
              <w:jc w:val="right"/>
              <w:rPr>
                <w:rFonts w:ascii="Tahoma" w:hAnsi="Tahoma"/>
                <w:color w:val="000000" w:themeColor="text1"/>
                <w:sz w:val="16"/>
                <w:lang w:val="en-GB"/>
              </w:rPr>
            </w:pPr>
            <w:r w:rsidRPr="000A4FD8">
              <w:rPr>
                <w:rFonts w:ascii="Tahoma" w:hAnsi="Tahoma"/>
                <w:color w:val="000000" w:themeColor="text1"/>
                <w:sz w:val="16"/>
                <w:lang w:val="en-GB"/>
              </w:rPr>
              <w:t>11</w:t>
            </w:r>
          </w:p>
        </w:tc>
      </w:tr>
      <w:tr w:rsidR="00615190" w:rsidRPr="000A4FD8" w14:paraId="4AC2F912" w14:textId="77777777" w:rsidTr="00102508">
        <w:trPr>
          <w:trHeight w:val="60"/>
        </w:trPr>
        <w:tc>
          <w:tcPr>
            <w:tcW w:w="397" w:type="dxa"/>
            <w:shd w:val="clear" w:color="auto" w:fill="auto"/>
            <w:tcMar>
              <w:top w:w="85" w:type="dxa"/>
              <w:left w:w="0" w:type="dxa"/>
              <w:bottom w:w="57" w:type="dxa"/>
              <w:right w:w="0" w:type="dxa"/>
            </w:tcMar>
            <w:vAlign w:val="bottom"/>
          </w:tcPr>
          <w:p w14:paraId="79759B04" w14:textId="77777777" w:rsidR="000A4FD8" w:rsidRPr="000A4FD8" w:rsidRDefault="000A4FD8" w:rsidP="00615190">
            <w:pPr>
              <w:spacing w:line="240" w:lineRule="atLeast"/>
              <w:rPr>
                <w:rFonts w:ascii="Tahoma" w:hAnsi="Tahoma"/>
                <w:color w:val="000000" w:themeColor="text1"/>
                <w:sz w:val="16"/>
                <w:lang w:val="en-GB"/>
              </w:rPr>
            </w:pPr>
          </w:p>
        </w:tc>
        <w:tc>
          <w:tcPr>
            <w:tcW w:w="9809" w:type="dxa"/>
            <w:gridSpan w:val="3"/>
            <w:tcBorders>
              <w:top w:val="single" w:sz="12" w:space="0" w:color="auto"/>
            </w:tcBorders>
            <w:shd w:val="clear" w:color="auto" w:fill="auto"/>
            <w:tcMar>
              <w:top w:w="85" w:type="dxa"/>
              <w:left w:w="0" w:type="dxa"/>
              <w:bottom w:w="57" w:type="dxa"/>
              <w:right w:w="0" w:type="dxa"/>
            </w:tcMar>
            <w:vAlign w:val="bottom"/>
          </w:tcPr>
          <w:p w14:paraId="2FC8F099" w14:textId="77777777" w:rsidR="000A4FD8" w:rsidRPr="000A4FD8" w:rsidRDefault="000A4FD8" w:rsidP="00422011">
            <w:pPr>
              <w:pStyle w:val="FootnotesProsus2022FrontStylesProsus2022"/>
            </w:pPr>
            <w:r w:rsidRPr="000A4FD8">
              <w:t>1</w:t>
            </w:r>
            <w:r w:rsidRPr="000A4FD8">
              <w:tab/>
              <w:t>The group receives corporate and other services rendered by a number of its related parties. The nature of these related party relationships is that of entities under the common control of the group’s ultimate controlling parent, Naspers Limited.</w:t>
            </w:r>
          </w:p>
        </w:tc>
      </w:tr>
      <w:tr w:rsidR="00615190" w:rsidRPr="000A4FD8" w14:paraId="63DB552B" w14:textId="77777777" w:rsidTr="008D0D9F">
        <w:trPr>
          <w:trHeight w:val="60"/>
        </w:trPr>
        <w:tc>
          <w:tcPr>
            <w:tcW w:w="397" w:type="dxa"/>
            <w:shd w:val="clear" w:color="auto" w:fill="auto"/>
            <w:tcMar>
              <w:top w:w="142" w:type="dxa"/>
              <w:left w:w="0" w:type="dxa"/>
              <w:bottom w:w="113" w:type="dxa"/>
              <w:right w:w="0" w:type="dxa"/>
            </w:tcMar>
            <w:vAlign w:val="bottom"/>
          </w:tcPr>
          <w:p w14:paraId="34D9F910" w14:textId="77777777" w:rsidR="000A4FD8" w:rsidRPr="000A4FD8" w:rsidRDefault="000A4FD8" w:rsidP="00615190">
            <w:pPr>
              <w:spacing w:line="240" w:lineRule="atLeast"/>
              <w:rPr>
                <w:rFonts w:ascii="Tahoma" w:hAnsi="Tahoma"/>
                <w:color w:val="000000" w:themeColor="text1"/>
                <w:sz w:val="16"/>
                <w:lang w:val="en-GB"/>
              </w:rPr>
            </w:pPr>
          </w:p>
        </w:tc>
        <w:tc>
          <w:tcPr>
            <w:tcW w:w="9809" w:type="dxa"/>
            <w:gridSpan w:val="3"/>
            <w:shd w:val="clear" w:color="auto" w:fill="auto"/>
            <w:tcMar>
              <w:top w:w="142" w:type="dxa"/>
              <w:left w:w="0" w:type="dxa"/>
              <w:bottom w:w="113" w:type="dxa"/>
              <w:right w:w="0" w:type="dxa"/>
            </w:tcMar>
            <w:vAlign w:val="bottom"/>
          </w:tcPr>
          <w:p w14:paraId="2934A644" w14:textId="77777777" w:rsidR="000A4FD8" w:rsidRPr="000A4FD8" w:rsidRDefault="000A4FD8" w:rsidP="00615190">
            <w:pPr>
              <w:spacing w:line="240" w:lineRule="atLeast"/>
              <w:rPr>
                <w:rFonts w:ascii="Tahoma" w:hAnsi="Tahoma"/>
                <w:color w:val="000000" w:themeColor="text1"/>
                <w:sz w:val="16"/>
                <w:lang w:val="en-GB"/>
              </w:rPr>
            </w:pPr>
            <w:r w:rsidRPr="000A4FD8">
              <w:rPr>
                <w:rFonts w:ascii="Tahoma" w:hAnsi="Tahoma"/>
                <w:color w:val="000000" w:themeColor="text1"/>
                <w:sz w:val="16"/>
                <w:lang w:val="en-GB"/>
              </w:rPr>
              <w:t>During the current year, the group recharged US$5.2m (2021: US$12.2m) to Naspers companies in respect of services performed on their behalf. In addition, Naspers recharged costs of US$5.1m (2021: US$10.1m) to the group’s companies.</w:t>
            </w:r>
          </w:p>
        </w:tc>
      </w:tr>
    </w:tbl>
    <w:p w14:paraId="705F43FC" w14:textId="77777777" w:rsidR="000A4FD8" w:rsidRPr="00615190" w:rsidRDefault="000A4FD8" w:rsidP="00615190">
      <w:pPr>
        <w:spacing w:line="240" w:lineRule="atLeast"/>
        <w:rPr>
          <w:rFonts w:ascii="Tahoma" w:hAnsi="Tahoma"/>
          <w:color w:val="000000" w:themeColor="text1"/>
          <w:sz w:val="16"/>
        </w:rPr>
      </w:pPr>
    </w:p>
    <w:tbl>
      <w:tblPr>
        <w:tblW w:w="10206" w:type="dxa"/>
        <w:tblInd w:w="-8" w:type="dxa"/>
        <w:tblLayout w:type="fixed"/>
        <w:tblCellMar>
          <w:left w:w="0" w:type="dxa"/>
          <w:right w:w="0" w:type="dxa"/>
        </w:tblCellMar>
        <w:tblLook w:val="0000" w:firstRow="0" w:lastRow="0" w:firstColumn="0" w:lastColumn="0" w:noHBand="0" w:noVBand="0"/>
      </w:tblPr>
      <w:tblGrid>
        <w:gridCol w:w="397"/>
        <w:gridCol w:w="7266"/>
        <w:gridCol w:w="1409"/>
        <w:gridCol w:w="1134"/>
      </w:tblGrid>
      <w:tr w:rsidR="00615190" w:rsidRPr="000A4FD8" w14:paraId="74A22A5B" w14:textId="77777777" w:rsidTr="00EA7E57">
        <w:trPr>
          <w:trHeight w:val="60"/>
        </w:trPr>
        <w:tc>
          <w:tcPr>
            <w:tcW w:w="397" w:type="dxa"/>
            <w:shd w:val="clear" w:color="auto" w:fill="auto"/>
            <w:tcMar>
              <w:top w:w="0" w:type="dxa"/>
              <w:left w:w="0" w:type="dxa"/>
              <w:bottom w:w="113" w:type="dxa"/>
              <w:right w:w="0" w:type="dxa"/>
            </w:tcMar>
            <w:vAlign w:val="bottom"/>
          </w:tcPr>
          <w:p w14:paraId="11C013EF" w14:textId="77777777" w:rsidR="000A4FD8" w:rsidRPr="000A4FD8" w:rsidRDefault="000A4FD8" w:rsidP="00615190">
            <w:pPr>
              <w:spacing w:line="240" w:lineRule="atLeast"/>
              <w:rPr>
                <w:rFonts w:ascii="Tahoma" w:hAnsi="Tahoma"/>
                <w:color w:val="000000" w:themeColor="text1"/>
                <w:sz w:val="16"/>
                <w:lang w:val="en-GB"/>
              </w:rPr>
            </w:pPr>
          </w:p>
        </w:tc>
        <w:tc>
          <w:tcPr>
            <w:tcW w:w="7266" w:type="dxa"/>
            <w:tcBorders>
              <w:bottom w:val="single" w:sz="12" w:space="0" w:color="auto"/>
            </w:tcBorders>
            <w:shd w:val="clear" w:color="auto" w:fill="auto"/>
            <w:tcMar>
              <w:top w:w="0" w:type="dxa"/>
              <w:left w:w="0" w:type="dxa"/>
              <w:bottom w:w="113" w:type="dxa"/>
              <w:right w:w="0" w:type="dxa"/>
            </w:tcMar>
            <w:vAlign w:val="bottom"/>
          </w:tcPr>
          <w:p w14:paraId="10C97532" w14:textId="77777777" w:rsidR="000A4FD8" w:rsidRPr="000A4FD8" w:rsidRDefault="000A4FD8" w:rsidP="00615190">
            <w:pPr>
              <w:spacing w:line="240" w:lineRule="atLeast"/>
              <w:rPr>
                <w:rFonts w:ascii="Tahoma" w:hAnsi="Tahoma"/>
                <w:color w:val="000000" w:themeColor="text1"/>
                <w:sz w:val="16"/>
                <w:lang w:val="en-GB"/>
              </w:rPr>
            </w:pPr>
          </w:p>
        </w:tc>
        <w:tc>
          <w:tcPr>
            <w:tcW w:w="1409" w:type="dxa"/>
            <w:tcBorders>
              <w:bottom w:val="single" w:sz="12" w:space="0" w:color="auto"/>
            </w:tcBorders>
            <w:shd w:val="clear" w:color="auto" w:fill="auto"/>
            <w:tcMar>
              <w:top w:w="0" w:type="dxa"/>
              <w:left w:w="0" w:type="dxa"/>
              <w:bottom w:w="113" w:type="dxa"/>
              <w:right w:w="0" w:type="dxa"/>
            </w:tcMar>
            <w:vAlign w:val="bottom"/>
          </w:tcPr>
          <w:p w14:paraId="1BA1A993" w14:textId="77777777" w:rsidR="000A4FD8" w:rsidRPr="000A4FD8" w:rsidRDefault="000A4FD8" w:rsidP="00347912">
            <w:pPr>
              <w:spacing w:line="240" w:lineRule="atLeast"/>
              <w:jc w:val="right"/>
              <w:rPr>
                <w:rFonts w:ascii="Tahoma" w:hAnsi="Tahoma"/>
                <w:b/>
                <w:bCs/>
                <w:color w:val="000000" w:themeColor="text1"/>
                <w:sz w:val="16"/>
                <w:lang w:val="en-GB"/>
              </w:rPr>
            </w:pPr>
            <w:r w:rsidRPr="000A4FD8">
              <w:rPr>
                <w:rFonts w:ascii="Tahoma" w:hAnsi="Tahoma"/>
                <w:b/>
                <w:bCs/>
                <w:color w:val="000000" w:themeColor="text1"/>
                <w:sz w:val="16"/>
                <w:lang w:val="en-GB"/>
              </w:rPr>
              <w:t xml:space="preserve">Six months </w:t>
            </w:r>
          </w:p>
          <w:p w14:paraId="23F33EE7" w14:textId="77777777" w:rsidR="000A4FD8" w:rsidRPr="000A4FD8" w:rsidRDefault="000A4FD8" w:rsidP="00347912">
            <w:pPr>
              <w:spacing w:line="240" w:lineRule="atLeast"/>
              <w:jc w:val="right"/>
              <w:rPr>
                <w:rFonts w:ascii="Tahoma" w:hAnsi="Tahoma"/>
                <w:b/>
                <w:bCs/>
                <w:color w:val="000000" w:themeColor="text1"/>
                <w:sz w:val="16"/>
                <w:lang w:val="en-GB"/>
              </w:rPr>
            </w:pPr>
            <w:r w:rsidRPr="000A4FD8">
              <w:rPr>
                <w:rFonts w:ascii="Tahoma" w:hAnsi="Tahoma"/>
                <w:b/>
                <w:bCs/>
                <w:color w:val="000000" w:themeColor="text1"/>
                <w:sz w:val="16"/>
                <w:lang w:val="en-GB"/>
              </w:rPr>
              <w:t>ended</w:t>
            </w:r>
          </w:p>
          <w:p w14:paraId="45C0D6DF" w14:textId="77777777" w:rsidR="000A4FD8" w:rsidRPr="000A4FD8" w:rsidRDefault="000A4FD8" w:rsidP="00347912">
            <w:pPr>
              <w:spacing w:line="240" w:lineRule="atLeast"/>
              <w:jc w:val="right"/>
              <w:rPr>
                <w:rFonts w:ascii="Tahoma" w:hAnsi="Tahoma"/>
                <w:b/>
                <w:bCs/>
                <w:color w:val="000000" w:themeColor="text1"/>
                <w:sz w:val="16"/>
                <w:lang w:val="en-GB"/>
              </w:rPr>
            </w:pPr>
            <w:r w:rsidRPr="000A4FD8">
              <w:rPr>
                <w:rFonts w:ascii="Tahoma" w:hAnsi="Tahoma"/>
                <w:b/>
                <w:bCs/>
                <w:color w:val="000000" w:themeColor="text1"/>
                <w:sz w:val="16"/>
                <w:lang w:val="en-GB"/>
              </w:rPr>
              <w:t>30 September</w:t>
            </w:r>
          </w:p>
          <w:p w14:paraId="11FFF046" w14:textId="77777777" w:rsidR="000A4FD8" w:rsidRPr="000A4FD8" w:rsidRDefault="000A4FD8" w:rsidP="00347912">
            <w:pPr>
              <w:spacing w:line="240" w:lineRule="atLeast"/>
              <w:jc w:val="right"/>
              <w:rPr>
                <w:rFonts w:ascii="Tahoma" w:hAnsi="Tahoma"/>
                <w:b/>
                <w:bCs/>
                <w:color w:val="000000" w:themeColor="text1"/>
                <w:sz w:val="16"/>
                <w:lang w:val="en-GB"/>
              </w:rPr>
            </w:pPr>
            <w:r w:rsidRPr="000A4FD8">
              <w:rPr>
                <w:rFonts w:ascii="Tahoma" w:hAnsi="Tahoma"/>
                <w:b/>
                <w:bCs/>
                <w:color w:val="000000" w:themeColor="text1"/>
                <w:sz w:val="16"/>
                <w:lang w:val="en-GB"/>
              </w:rPr>
              <w:t>2022</w:t>
            </w:r>
          </w:p>
          <w:p w14:paraId="22B156F1" w14:textId="77777777" w:rsidR="000A4FD8" w:rsidRPr="000A4FD8" w:rsidRDefault="000A4FD8" w:rsidP="00347912">
            <w:pPr>
              <w:spacing w:line="240" w:lineRule="atLeast"/>
              <w:jc w:val="right"/>
              <w:rPr>
                <w:rFonts w:ascii="Tahoma" w:hAnsi="Tahoma"/>
                <w:b/>
                <w:bCs/>
                <w:color w:val="000000" w:themeColor="text1"/>
                <w:sz w:val="16"/>
                <w:lang w:val="en-GB"/>
              </w:rPr>
            </w:pPr>
            <w:proofErr w:type="spellStart"/>
            <w:r w:rsidRPr="000A4FD8">
              <w:rPr>
                <w:rFonts w:ascii="Tahoma" w:hAnsi="Tahoma"/>
                <w:b/>
                <w:bCs/>
                <w:color w:val="000000" w:themeColor="text1"/>
                <w:sz w:val="16"/>
                <w:lang w:val="en-GB"/>
              </w:rPr>
              <w:t>US$’m</w:t>
            </w:r>
            <w:proofErr w:type="spellEnd"/>
          </w:p>
        </w:tc>
        <w:tc>
          <w:tcPr>
            <w:tcW w:w="1134" w:type="dxa"/>
            <w:tcBorders>
              <w:bottom w:val="single" w:sz="12" w:space="0" w:color="auto"/>
            </w:tcBorders>
            <w:shd w:val="clear" w:color="auto" w:fill="auto"/>
            <w:tcMar>
              <w:top w:w="0" w:type="dxa"/>
              <w:left w:w="0" w:type="dxa"/>
              <w:bottom w:w="113" w:type="dxa"/>
              <w:right w:w="0" w:type="dxa"/>
            </w:tcMar>
            <w:vAlign w:val="bottom"/>
          </w:tcPr>
          <w:p w14:paraId="08612728" w14:textId="77777777" w:rsidR="000A4FD8" w:rsidRPr="000A4FD8" w:rsidRDefault="000A4FD8" w:rsidP="00347912">
            <w:pPr>
              <w:spacing w:line="240" w:lineRule="atLeast"/>
              <w:jc w:val="right"/>
              <w:rPr>
                <w:rFonts w:ascii="Tahoma" w:hAnsi="Tahoma"/>
                <w:color w:val="000000" w:themeColor="text1"/>
                <w:sz w:val="16"/>
                <w:lang w:val="en-GB"/>
              </w:rPr>
            </w:pPr>
            <w:r w:rsidRPr="000A4FD8">
              <w:rPr>
                <w:rFonts w:ascii="Tahoma" w:hAnsi="Tahoma"/>
                <w:color w:val="000000" w:themeColor="text1"/>
                <w:sz w:val="16"/>
                <w:lang w:val="en-GB"/>
              </w:rPr>
              <w:t>Year</w:t>
            </w:r>
          </w:p>
          <w:p w14:paraId="1227E793" w14:textId="77777777" w:rsidR="000A4FD8" w:rsidRPr="000A4FD8" w:rsidRDefault="000A4FD8" w:rsidP="00347912">
            <w:pPr>
              <w:spacing w:line="240" w:lineRule="atLeast"/>
              <w:jc w:val="right"/>
              <w:rPr>
                <w:rFonts w:ascii="Tahoma" w:hAnsi="Tahoma"/>
                <w:color w:val="000000" w:themeColor="text1"/>
                <w:sz w:val="16"/>
                <w:lang w:val="en-GB"/>
              </w:rPr>
            </w:pPr>
            <w:r w:rsidRPr="000A4FD8">
              <w:rPr>
                <w:rFonts w:ascii="Tahoma" w:hAnsi="Tahoma"/>
                <w:color w:val="000000" w:themeColor="text1"/>
                <w:sz w:val="16"/>
                <w:lang w:val="en-GB"/>
              </w:rPr>
              <w:t xml:space="preserve"> ended</w:t>
            </w:r>
          </w:p>
          <w:p w14:paraId="1FEBB52A" w14:textId="77777777" w:rsidR="000A4FD8" w:rsidRPr="000A4FD8" w:rsidRDefault="000A4FD8" w:rsidP="00347912">
            <w:pPr>
              <w:spacing w:line="240" w:lineRule="atLeast"/>
              <w:jc w:val="right"/>
              <w:rPr>
                <w:rFonts w:ascii="Tahoma" w:hAnsi="Tahoma"/>
                <w:color w:val="000000" w:themeColor="text1"/>
                <w:sz w:val="16"/>
                <w:lang w:val="en-GB"/>
              </w:rPr>
            </w:pPr>
            <w:r w:rsidRPr="000A4FD8">
              <w:rPr>
                <w:rFonts w:ascii="Tahoma" w:hAnsi="Tahoma"/>
                <w:color w:val="000000" w:themeColor="text1"/>
                <w:sz w:val="16"/>
                <w:lang w:val="en-GB"/>
              </w:rPr>
              <w:t>31 March</w:t>
            </w:r>
          </w:p>
          <w:p w14:paraId="3091E007" w14:textId="77777777" w:rsidR="000A4FD8" w:rsidRPr="000A4FD8" w:rsidRDefault="000A4FD8" w:rsidP="00347912">
            <w:pPr>
              <w:spacing w:line="240" w:lineRule="atLeast"/>
              <w:jc w:val="right"/>
              <w:rPr>
                <w:rFonts w:ascii="Tahoma" w:hAnsi="Tahoma"/>
                <w:color w:val="000000" w:themeColor="text1"/>
                <w:sz w:val="16"/>
                <w:lang w:val="en-GB"/>
              </w:rPr>
            </w:pPr>
            <w:r w:rsidRPr="000A4FD8">
              <w:rPr>
                <w:rFonts w:ascii="Tahoma" w:hAnsi="Tahoma"/>
                <w:color w:val="000000" w:themeColor="text1"/>
                <w:sz w:val="16"/>
                <w:lang w:val="en-GB"/>
              </w:rPr>
              <w:t>2022</w:t>
            </w:r>
          </w:p>
          <w:p w14:paraId="674C493A" w14:textId="77777777" w:rsidR="000A4FD8" w:rsidRPr="000A4FD8" w:rsidRDefault="000A4FD8" w:rsidP="00347912">
            <w:pPr>
              <w:spacing w:line="240" w:lineRule="atLeast"/>
              <w:jc w:val="right"/>
              <w:rPr>
                <w:rFonts w:ascii="Tahoma" w:hAnsi="Tahoma"/>
                <w:color w:val="000000" w:themeColor="text1"/>
                <w:sz w:val="16"/>
                <w:lang w:val="en-GB"/>
              </w:rPr>
            </w:pPr>
            <w:proofErr w:type="spellStart"/>
            <w:r w:rsidRPr="000A4FD8">
              <w:rPr>
                <w:rFonts w:ascii="Tahoma" w:hAnsi="Tahoma"/>
                <w:color w:val="000000" w:themeColor="text1"/>
                <w:sz w:val="16"/>
                <w:lang w:val="en-GB"/>
              </w:rPr>
              <w:t>US$’m</w:t>
            </w:r>
            <w:proofErr w:type="spellEnd"/>
          </w:p>
        </w:tc>
      </w:tr>
      <w:tr w:rsidR="00615190" w:rsidRPr="000A4FD8" w14:paraId="2CC05DE4" w14:textId="77777777" w:rsidTr="005145D1">
        <w:trPr>
          <w:trHeight w:val="60"/>
        </w:trPr>
        <w:tc>
          <w:tcPr>
            <w:tcW w:w="397" w:type="dxa"/>
            <w:shd w:val="clear" w:color="auto" w:fill="auto"/>
            <w:tcMar>
              <w:top w:w="142" w:type="dxa"/>
              <w:left w:w="0" w:type="dxa"/>
              <w:bottom w:w="57" w:type="dxa"/>
              <w:right w:w="0" w:type="dxa"/>
            </w:tcMar>
            <w:vAlign w:val="bottom"/>
          </w:tcPr>
          <w:p w14:paraId="0C3FE1AB" w14:textId="77777777" w:rsidR="000A4FD8" w:rsidRPr="000A4FD8" w:rsidRDefault="000A4FD8" w:rsidP="00615190">
            <w:pPr>
              <w:spacing w:line="240" w:lineRule="atLeast"/>
              <w:rPr>
                <w:rFonts w:ascii="Tahoma" w:hAnsi="Tahoma"/>
                <w:color w:val="000000" w:themeColor="text1"/>
                <w:sz w:val="16"/>
                <w:lang w:val="en-GB"/>
              </w:rPr>
            </w:pPr>
          </w:p>
        </w:tc>
        <w:tc>
          <w:tcPr>
            <w:tcW w:w="7266" w:type="dxa"/>
            <w:tcBorders>
              <w:top w:val="single" w:sz="12" w:space="0" w:color="auto"/>
            </w:tcBorders>
            <w:shd w:val="clear" w:color="auto" w:fill="auto"/>
            <w:tcMar>
              <w:top w:w="142" w:type="dxa"/>
              <w:left w:w="0" w:type="dxa"/>
              <w:bottom w:w="57" w:type="dxa"/>
              <w:right w:w="0" w:type="dxa"/>
            </w:tcMar>
            <w:vAlign w:val="bottom"/>
          </w:tcPr>
          <w:p w14:paraId="09C1134C" w14:textId="77777777" w:rsidR="000A4FD8" w:rsidRPr="000A4FD8" w:rsidRDefault="000A4FD8" w:rsidP="00615190">
            <w:pPr>
              <w:spacing w:line="240" w:lineRule="atLeast"/>
              <w:rPr>
                <w:rFonts w:ascii="Tahoma" w:hAnsi="Tahoma"/>
                <w:b/>
                <w:bCs/>
                <w:color w:val="000000" w:themeColor="text1"/>
                <w:sz w:val="16"/>
                <w:lang w:val="en-GB"/>
              </w:rPr>
            </w:pPr>
            <w:r w:rsidRPr="000A4FD8">
              <w:rPr>
                <w:rFonts w:ascii="Tahoma" w:hAnsi="Tahoma"/>
                <w:b/>
                <w:bCs/>
                <w:color w:val="000000" w:themeColor="text1"/>
                <w:sz w:val="16"/>
                <w:lang w:val="en-GB"/>
              </w:rPr>
              <w:t>Dividends paid to holding company</w:t>
            </w:r>
          </w:p>
        </w:tc>
        <w:tc>
          <w:tcPr>
            <w:tcW w:w="1409" w:type="dxa"/>
            <w:tcBorders>
              <w:top w:val="single" w:sz="12" w:space="0" w:color="auto"/>
            </w:tcBorders>
            <w:shd w:val="clear" w:color="auto" w:fill="auto"/>
            <w:tcMar>
              <w:top w:w="142" w:type="dxa"/>
              <w:left w:w="0" w:type="dxa"/>
              <w:bottom w:w="57" w:type="dxa"/>
              <w:right w:w="0" w:type="dxa"/>
            </w:tcMar>
            <w:vAlign w:val="bottom"/>
          </w:tcPr>
          <w:p w14:paraId="4F0E0A99" w14:textId="77777777" w:rsidR="000A4FD8" w:rsidRPr="000A4FD8" w:rsidRDefault="000A4FD8" w:rsidP="00347912">
            <w:pPr>
              <w:spacing w:line="240" w:lineRule="atLeast"/>
              <w:jc w:val="right"/>
              <w:rPr>
                <w:rFonts w:ascii="Tahoma" w:hAnsi="Tahoma"/>
                <w:b/>
                <w:bCs/>
                <w:color w:val="000000" w:themeColor="text1"/>
                <w:sz w:val="16"/>
                <w:lang w:val="en-GB"/>
              </w:rPr>
            </w:pPr>
          </w:p>
        </w:tc>
        <w:tc>
          <w:tcPr>
            <w:tcW w:w="1134" w:type="dxa"/>
            <w:tcBorders>
              <w:top w:val="single" w:sz="12" w:space="0" w:color="auto"/>
            </w:tcBorders>
            <w:shd w:val="clear" w:color="auto" w:fill="auto"/>
            <w:tcMar>
              <w:top w:w="142" w:type="dxa"/>
              <w:left w:w="0" w:type="dxa"/>
              <w:bottom w:w="57" w:type="dxa"/>
              <w:right w:w="0" w:type="dxa"/>
            </w:tcMar>
            <w:vAlign w:val="bottom"/>
          </w:tcPr>
          <w:p w14:paraId="68B96E10" w14:textId="77777777" w:rsidR="000A4FD8" w:rsidRPr="000A4FD8" w:rsidRDefault="000A4FD8" w:rsidP="00347912">
            <w:pPr>
              <w:spacing w:line="240" w:lineRule="atLeast"/>
              <w:jc w:val="right"/>
              <w:rPr>
                <w:rFonts w:ascii="Tahoma" w:hAnsi="Tahoma"/>
                <w:color w:val="000000" w:themeColor="text1"/>
                <w:sz w:val="16"/>
                <w:lang w:val="en-GB"/>
              </w:rPr>
            </w:pPr>
          </w:p>
        </w:tc>
      </w:tr>
      <w:tr w:rsidR="00615190" w:rsidRPr="000A4FD8" w14:paraId="0C485106" w14:textId="77777777" w:rsidTr="005145D1">
        <w:trPr>
          <w:trHeight w:val="60"/>
        </w:trPr>
        <w:tc>
          <w:tcPr>
            <w:tcW w:w="397" w:type="dxa"/>
            <w:shd w:val="clear" w:color="auto" w:fill="auto"/>
            <w:tcMar>
              <w:top w:w="57" w:type="dxa"/>
              <w:left w:w="0" w:type="dxa"/>
              <w:bottom w:w="85" w:type="dxa"/>
              <w:right w:w="0" w:type="dxa"/>
            </w:tcMar>
            <w:vAlign w:val="bottom"/>
          </w:tcPr>
          <w:p w14:paraId="6ADEB3E4" w14:textId="77777777" w:rsidR="000A4FD8" w:rsidRPr="000A4FD8" w:rsidRDefault="000A4FD8" w:rsidP="00615190">
            <w:pPr>
              <w:spacing w:line="240" w:lineRule="atLeast"/>
              <w:rPr>
                <w:rFonts w:ascii="Tahoma" w:hAnsi="Tahoma"/>
                <w:color w:val="000000" w:themeColor="text1"/>
                <w:sz w:val="16"/>
                <w:lang w:val="en-GB"/>
              </w:rPr>
            </w:pPr>
          </w:p>
        </w:tc>
        <w:tc>
          <w:tcPr>
            <w:tcW w:w="7266" w:type="dxa"/>
            <w:tcBorders>
              <w:bottom w:val="single" w:sz="4" w:space="0" w:color="auto"/>
            </w:tcBorders>
            <w:shd w:val="clear" w:color="auto" w:fill="auto"/>
            <w:tcMar>
              <w:top w:w="57" w:type="dxa"/>
              <w:left w:w="0" w:type="dxa"/>
              <w:bottom w:w="85" w:type="dxa"/>
              <w:right w:w="0" w:type="dxa"/>
            </w:tcMar>
            <w:vAlign w:val="bottom"/>
          </w:tcPr>
          <w:p w14:paraId="7CA81747" w14:textId="77777777" w:rsidR="000A4FD8" w:rsidRPr="000A4FD8" w:rsidRDefault="000A4FD8" w:rsidP="00615190">
            <w:pPr>
              <w:spacing w:line="240" w:lineRule="atLeast"/>
              <w:rPr>
                <w:rFonts w:ascii="Tahoma" w:hAnsi="Tahoma"/>
                <w:color w:val="000000" w:themeColor="text1"/>
                <w:sz w:val="16"/>
                <w:lang w:val="en-GB"/>
              </w:rPr>
            </w:pPr>
            <w:r w:rsidRPr="000A4FD8">
              <w:rPr>
                <w:rFonts w:ascii="Tahoma" w:hAnsi="Tahoma"/>
                <w:color w:val="000000" w:themeColor="text1"/>
                <w:sz w:val="16"/>
                <w:lang w:val="en-GB"/>
              </w:rPr>
              <w:t>Naspers Limited</w:t>
            </w:r>
          </w:p>
        </w:tc>
        <w:tc>
          <w:tcPr>
            <w:tcW w:w="1409" w:type="dxa"/>
            <w:tcBorders>
              <w:bottom w:val="single" w:sz="4" w:space="0" w:color="auto"/>
            </w:tcBorders>
            <w:shd w:val="clear" w:color="auto" w:fill="auto"/>
            <w:tcMar>
              <w:top w:w="57" w:type="dxa"/>
              <w:left w:w="0" w:type="dxa"/>
              <w:bottom w:w="85" w:type="dxa"/>
              <w:right w:w="0" w:type="dxa"/>
            </w:tcMar>
            <w:vAlign w:val="bottom"/>
          </w:tcPr>
          <w:p w14:paraId="5791FCE5" w14:textId="77777777" w:rsidR="000A4FD8" w:rsidRPr="000A4FD8" w:rsidRDefault="000A4FD8" w:rsidP="00347912">
            <w:pPr>
              <w:spacing w:line="240" w:lineRule="atLeast"/>
              <w:jc w:val="right"/>
              <w:rPr>
                <w:rFonts w:ascii="Tahoma" w:hAnsi="Tahoma"/>
                <w:b/>
                <w:bCs/>
                <w:color w:val="000000" w:themeColor="text1"/>
                <w:sz w:val="16"/>
                <w:lang w:val="en-GB"/>
              </w:rPr>
            </w:pPr>
            <w:r w:rsidRPr="000A4FD8">
              <w:rPr>
                <w:rFonts w:ascii="Tahoma" w:hAnsi="Tahoma"/>
                <w:b/>
                <w:bCs/>
                <w:color w:val="000000" w:themeColor="text1"/>
                <w:sz w:val="16"/>
                <w:lang w:val="en-GB"/>
              </w:rPr>
              <w:t>82</w:t>
            </w:r>
          </w:p>
        </w:tc>
        <w:tc>
          <w:tcPr>
            <w:tcW w:w="1134" w:type="dxa"/>
            <w:tcBorders>
              <w:bottom w:val="single" w:sz="4" w:space="0" w:color="auto"/>
            </w:tcBorders>
            <w:shd w:val="clear" w:color="auto" w:fill="auto"/>
            <w:tcMar>
              <w:top w:w="57" w:type="dxa"/>
              <w:left w:w="0" w:type="dxa"/>
              <w:bottom w:w="85" w:type="dxa"/>
              <w:right w:w="0" w:type="dxa"/>
            </w:tcMar>
            <w:vAlign w:val="bottom"/>
          </w:tcPr>
          <w:p w14:paraId="169FD202" w14:textId="77777777" w:rsidR="000A4FD8" w:rsidRPr="000A4FD8" w:rsidRDefault="000A4FD8" w:rsidP="00347912">
            <w:pPr>
              <w:spacing w:line="240" w:lineRule="atLeast"/>
              <w:jc w:val="right"/>
              <w:rPr>
                <w:rFonts w:ascii="Tahoma" w:hAnsi="Tahoma"/>
                <w:color w:val="000000" w:themeColor="text1"/>
                <w:sz w:val="16"/>
                <w:lang w:val="en-GB"/>
              </w:rPr>
            </w:pPr>
            <w:r w:rsidRPr="000A4FD8">
              <w:rPr>
                <w:rFonts w:ascii="Tahoma" w:hAnsi="Tahoma"/>
                <w:color w:val="000000" w:themeColor="text1"/>
                <w:sz w:val="16"/>
                <w:lang w:val="en-GB"/>
              </w:rPr>
              <w:t>104</w:t>
            </w:r>
          </w:p>
        </w:tc>
      </w:tr>
      <w:tr w:rsidR="00615190" w:rsidRPr="000A4FD8" w14:paraId="327B7F81" w14:textId="77777777" w:rsidTr="005145D1">
        <w:trPr>
          <w:trHeight w:val="60"/>
        </w:trPr>
        <w:tc>
          <w:tcPr>
            <w:tcW w:w="397" w:type="dxa"/>
            <w:shd w:val="clear" w:color="auto" w:fill="auto"/>
            <w:tcMar>
              <w:top w:w="85" w:type="dxa"/>
              <w:left w:w="0" w:type="dxa"/>
              <w:bottom w:w="85" w:type="dxa"/>
              <w:right w:w="0" w:type="dxa"/>
            </w:tcMar>
            <w:vAlign w:val="bottom"/>
          </w:tcPr>
          <w:p w14:paraId="4D5912CB" w14:textId="77777777" w:rsidR="000A4FD8" w:rsidRPr="000A4FD8" w:rsidRDefault="000A4FD8" w:rsidP="00615190">
            <w:pPr>
              <w:spacing w:line="240" w:lineRule="atLeast"/>
              <w:rPr>
                <w:rFonts w:ascii="Tahoma" w:hAnsi="Tahoma"/>
                <w:color w:val="000000" w:themeColor="text1"/>
                <w:sz w:val="16"/>
                <w:lang w:val="en-GB"/>
              </w:rPr>
            </w:pPr>
          </w:p>
        </w:tc>
        <w:tc>
          <w:tcPr>
            <w:tcW w:w="7266"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6D32D7C0" w14:textId="77777777" w:rsidR="000A4FD8" w:rsidRPr="000A4FD8" w:rsidRDefault="000A4FD8" w:rsidP="00615190">
            <w:pPr>
              <w:spacing w:line="240" w:lineRule="atLeast"/>
              <w:rPr>
                <w:rFonts w:ascii="Tahoma" w:hAnsi="Tahoma"/>
                <w:color w:val="000000" w:themeColor="text1"/>
                <w:sz w:val="16"/>
                <w:lang w:val="en-GB"/>
              </w:rPr>
            </w:pPr>
          </w:p>
        </w:tc>
        <w:tc>
          <w:tcPr>
            <w:tcW w:w="1409"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528BD111" w14:textId="77777777" w:rsidR="000A4FD8" w:rsidRPr="000A4FD8" w:rsidRDefault="000A4FD8" w:rsidP="00347912">
            <w:pPr>
              <w:spacing w:line="240" w:lineRule="atLeast"/>
              <w:jc w:val="right"/>
              <w:rPr>
                <w:rFonts w:ascii="Tahoma" w:hAnsi="Tahoma"/>
                <w:b/>
                <w:bCs/>
                <w:color w:val="000000" w:themeColor="text1"/>
                <w:sz w:val="16"/>
                <w:lang w:val="en-GB"/>
              </w:rPr>
            </w:pPr>
            <w:r w:rsidRPr="000A4FD8">
              <w:rPr>
                <w:rFonts w:ascii="Tahoma" w:hAnsi="Tahoma"/>
                <w:b/>
                <w:bCs/>
                <w:color w:val="000000" w:themeColor="text1"/>
                <w:sz w:val="16"/>
                <w:lang w:val="en-GB"/>
              </w:rPr>
              <w:t>82</w:t>
            </w:r>
          </w:p>
        </w:tc>
        <w:tc>
          <w:tcPr>
            <w:tcW w:w="1134"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58E05DCE" w14:textId="77777777" w:rsidR="000A4FD8" w:rsidRPr="000A4FD8" w:rsidRDefault="000A4FD8" w:rsidP="00347912">
            <w:pPr>
              <w:spacing w:line="240" w:lineRule="atLeast"/>
              <w:jc w:val="right"/>
              <w:rPr>
                <w:rFonts w:ascii="Tahoma" w:hAnsi="Tahoma"/>
                <w:color w:val="000000" w:themeColor="text1"/>
                <w:sz w:val="16"/>
                <w:lang w:val="en-GB"/>
              </w:rPr>
            </w:pPr>
            <w:r w:rsidRPr="000A4FD8">
              <w:rPr>
                <w:rFonts w:ascii="Tahoma" w:hAnsi="Tahoma"/>
                <w:color w:val="000000" w:themeColor="text1"/>
                <w:sz w:val="16"/>
                <w:lang w:val="en-GB"/>
              </w:rPr>
              <w:t>104</w:t>
            </w:r>
          </w:p>
        </w:tc>
      </w:tr>
    </w:tbl>
    <w:p w14:paraId="46D73F45" w14:textId="77777777" w:rsidR="00D247B7" w:rsidRDefault="00D247B7" w:rsidP="00615190">
      <w:pPr>
        <w:spacing w:line="240" w:lineRule="atLeast"/>
        <w:rPr>
          <w:rFonts w:ascii="Tahoma" w:hAnsi="Tahoma"/>
          <w:color w:val="000000" w:themeColor="text1"/>
          <w:sz w:val="16"/>
        </w:rPr>
      </w:pPr>
    </w:p>
    <w:p w14:paraId="4AA317E0" w14:textId="77777777" w:rsidR="00D247B7" w:rsidRDefault="00D247B7">
      <w:pPr>
        <w:rPr>
          <w:rFonts w:ascii="Tahoma" w:hAnsi="Tahoma"/>
          <w:color w:val="000000" w:themeColor="text1"/>
          <w:sz w:val="16"/>
        </w:rPr>
      </w:pPr>
      <w:r>
        <w:rPr>
          <w:rFonts w:ascii="Tahoma" w:hAnsi="Tahoma"/>
          <w:color w:val="000000" w:themeColor="text1"/>
          <w:sz w:val="16"/>
        </w:rPr>
        <w:br w:type="page"/>
      </w:r>
    </w:p>
    <w:p w14:paraId="6DD7D619" w14:textId="77777777" w:rsidR="000A4FD8" w:rsidRPr="00615190" w:rsidRDefault="000A4FD8" w:rsidP="00615190">
      <w:pPr>
        <w:spacing w:line="240" w:lineRule="atLeast"/>
        <w:rPr>
          <w:rFonts w:ascii="Tahoma" w:hAnsi="Tahoma"/>
          <w:color w:val="000000" w:themeColor="text1"/>
          <w:sz w:val="16"/>
        </w:rPr>
      </w:pPr>
    </w:p>
    <w:tbl>
      <w:tblPr>
        <w:tblW w:w="10206" w:type="dxa"/>
        <w:tblInd w:w="-8" w:type="dxa"/>
        <w:tblLayout w:type="fixed"/>
        <w:tblCellMar>
          <w:left w:w="0" w:type="dxa"/>
          <w:right w:w="0" w:type="dxa"/>
        </w:tblCellMar>
        <w:tblLook w:val="0000" w:firstRow="0" w:lastRow="0" w:firstColumn="0" w:lastColumn="0" w:noHBand="0" w:noVBand="0"/>
      </w:tblPr>
      <w:tblGrid>
        <w:gridCol w:w="397"/>
        <w:gridCol w:w="7258"/>
        <w:gridCol w:w="1417"/>
        <w:gridCol w:w="1134"/>
      </w:tblGrid>
      <w:tr w:rsidR="00615190" w:rsidRPr="004528DA" w14:paraId="3CCC3D67" w14:textId="77777777" w:rsidTr="00480C8B">
        <w:trPr>
          <w:trHeight w:val="60"/>
        </w:trPr>
        <w:tc>
          <w:tcPr>
            <w:tcW w:w="397" w:type="dxa"/>
            <w:shd w:val="clear" w:color="auto" w:fill="auto"/>
            <w:tcMar>
              <w:top w:w="0" w:type="dxa"/>
              <w:left w:w="0" w:type="dxa"/>
              <w:bottom w:w="57" w:type="dxa"/>
              <w:right w:w="0" w:type="dxa"/>
            </w:tcMar>
            <w:vAlign w:val="bottom"/>
          </w:tcPr>
          <w:p w14:paraId="0C3D623D" w14:textId="77777777" w:rsidR="0049295D" w:rsidRPr="004528DA" w:rsidRDefault="0049295D" w:rsidP="00615190">
            <w:pPr>
              <w:spacing w:line="240" w:lineRule="atLeast"/>
              <w:rPr>
                <w:rFonts w:ascii="Tahoma" w:hAnsi="Tahoma"/>
                <w:b/>
                <w:bCs/>
                <w:color w:val="000000" w:themeColor="text1"/>
                <w:sz w:val="16"/>
                <w:lang w:val="en-GB"/>
              </w:rPr>
            </w:pPr>
            <w:r w:rsidRPr="004528DA">
              <w:rPr>
                <w:rFonts w:ascii="Tahoma" w:hAnsi="Tahoma"/>
                <w:b/>
                <w:bCs/>
                <w:color w:val="000000" w:themeColor="text1"/>
                <w:sz w:val="16"/>
                <w:lang w:val="en-GB"/>
              </w:rPr>
              <w:t>18.</w:t>
            </w:r>
          </w:p>
        </w:tc>
        <w:tc>
          <w:tcPr>
            <w:tcW w:w="9809" w:type="dxa"/>
            <w:gridSpan w:val="3"/>
            <w:shd w:val="clear" w:color="auto" w:fill="auto"/>
            <w:tcMar>
              <w:top w:w="0" w:type="dxa"/>
              <w:left w:w="0" w:type="dxa"/>
              <w:bottom w:w="57" w:type="dxa"/>
              <w:right w:w="0" w:type="dxa"/>
            </w:tcMar>
            <w:vAlign w:val="bottom"/>
          </w:tcPr>
          <w:p w14:paraId="29EE7A08" w14:textId="77777777" w:rsidR="004528DA" w:rsidRPr="004528DA" w:rsidRDefault="0049295D" w:rsidP="00615190">
            <w:pPr>
              <w:spacing w:line="240" w:lineRule="atLeast"/>
              <w:rPr>
                <w:rFonts w:ascii="Tahoma" w:hAnsi="Tahoma"/>
                <w:b/>
                <w:bCs/>
                <w:color w:val="000000" w:themeColor="text1"/>
                <w:sz w:val="16"/>
                <w:lang w:val="en-GB"/>
              </w:rPr>
            </w:pPr>
            <w:r w:rsidRPr="004528DA">
              <w:rPr>
                <w:rFonts w:ascii="Tahoma" w:hAnsi="Tahoma"/>
                <w:b/>
                <w:bCs/>
                <w:color w:val="000000" w:themeColor="text1"/>
                <w:sz w:val="16"/>
                <w:lang w:val="en-GB"/>
              </w:rPr>
              <w:t xml:space="preserve">RELATED PARTY TRANSACTIONS AND BALANCES </w:t>
            </w:r>
            <w:r w:rsidR="00985986" w:rsidRPr="004528DA">
              <w:rPr>
                <w:rFonts w:ascii="Tahoma" w:hAnsi="Tahoma"/>
                <w:b/>
                <w:bCs/>
                <w:color w:val="000000" w:themeColor="text1"/>
                <w:sz w:val="16"/>
                <w:lang w:val="en-GB"/>
              </w:rPr>
              <w:t>(continued)</w:t>
            </w:r>
          </w:p>
        </w:tc>
      </w:tr>
      <w:tr w:rsidR="00615190" w:rsidRPr="004528DA" w14:paraId="7FF5E319" w14:textId="77777777" w:rsidTr="00C41D2A">
        <w:trPr>
          <w:trHeight w:val="60"/>
        </w:trPr>
        <w:tc>
          <w:tcPr>
            <w:tcW w:w="397" w:type="dxa"/>
            <w:shd w:val="clear" w:color="auto" w:fill="auto"/>
            <w:tcMar>
              <w:top w:w="57" w:type="dxa"/>
              <w:left w:w="0" w:type="dxa"/>
              <w:bottom w:w="113" w:type="dxa"/>
              <w:right w:w="0" w:type="dxa"/>
            </w:tcMar>
            <w:vAlign w:val="bottom"/>
          </w:tcPr>
          <w:p w14:paraId="025C709D" w14:textId="77777777" w:rsidR="004528DA" w:rsidRPr="004528DA" w:rsidRDefault="004528DA" w:rsidP="00615190">
            <w:pPr>
              <w:spacing w:line="240" w:lineRule="atLeast"/>
              <w:rPr>
                <w:rFonts w:ascii="Tahoma" w:hAnsi="Tahoma"/>
                <w:color w:val="000000" w:themeColor="text1"/>
                <w:sz w:val="16"/>
                <w:lang w:val="en-GB"/>
              </w:rPr>
            </w:pPr>
          </w:p>
        </w:tc>
        <w:tc>
          <w:tcPr>
            <w:tcW w:w="9809" w:type="dxa"/>
            <w:gridSpan w:val="3"/>
            <w:shd w:val="clear" w:color="auto" w:fill="auto"/>
            <w:tcMar>
              <w:top w:w="57" w:type="dxa"/>
              <w:left w:w="0" w:type="dxa"/>
              <w:bottom w:w="113" w:type="dxa"/>
              <w:right w:w="0" w:type="dxa"/>
            </w:tcMar>
            <w:vAlign w:val="bottom"/>
          </w:tcPr>
          <w:p w14:paraId="2F58E27F" w14:textId="77777777" w:rsidR="004528DA" w:rsidRPr="004528DA" w:rsidRDefault="004528DA" w:rsidP="00615190">
            <w:pPr>
              <w:spacing w:line="240" w:lineRule="atLeast"/>
              <w:rPr>
                <w:rFonts w:ascii="Tahoma" w:hAnsi="Tahoma"/>
                <w:color w:val="000000" w:themeColor="text1"/>
                <w:sz w:val="16"/>
                <w:lang w:val="en-GB"/>
              </w:rPr>
            </w:pPr>
            <w:r w:rsidRPr="004528DA">
              <w:rPr>
                <w:rFonts w:ascii="Tahoma" w:hAnsi="Tahoma"/>
                <w:color w:val="000000" w:themeColor="text1"/>
                <w:sz w:val="16"/>
                <w:lang w:val="en-GB"/>
              </w:rPr>
              <w:t>The balances of receivables and payables between the group and related parties are as follows:</w:t>
            </w:r>
          </w:p>
        </w:tc>
      </w:tr>
      <w:tr w:rsidR="00615190" w:rsidRPr="004528DA" w14:paraId="0D5C43E1" w14:textId="77777777" w:rsidTr="00C41D2A">
        <w:trPr>
          <w:trHeight w:val="60"/>
        </w:trPr>
        <w:tc>
          <w:tcPr>
            <w:tcW w:w="397" w:type="dxa"/>
            <w:shd w:val="clear" w:color="auto" w:fill="auto"/>
            <w:tcMar>
              <w:top w:w="0" w:type="dxa"/>
              <w:left w:w="0" w:type="dxa"/>
              <w:bottom w:w="113" w:type="dxa"/>
              <w:right w:w="0" w:type="dxa"/>
            </w:tcMar>
            <w:vAlign w:val="bottom"/>
          </w:tcPr>
          <w:p w14:paraId="1716396F" w14:textId="77777777" w:rsidR="004528DA" w:rsidRPr="004528DA" w:rsidRDefault="004528DA" w:rsidP="00615190">
            <w:pPr>
              <w:spacing w:line="240" w:lineRule="atLeast"/>
              <w:rPr>
                <w:rFonts w:ascii="Tahoma" w:hAnsi="Tahoma"/>
                <w:color w:val="000000" w:themeColor="text1"/>
                <w:sz w:val="16"/>
                <w:lang w:val="en-GB"/>
              </w:rPr>
            </w:pPr>
          </w:p>
        </w:tc>
        <w:tc>
          <w:tcPr>
            <w:tcW w:w="7258" w:type="dxa"/>
            <w:tcBorders>
              <w:bottom w:val="single" w:sz="12" w:space="0" w:color="auto"/>
            </w:tcBorders>
            <w:shd w:val="clear" w:color="auto" w:fill="auto"/>
            <w:tcMar>
              <w:top w:w="0" w:type="dxa"/>
              <w:left w:w="0" w:type="dxa"/>
              <w:bottom w:w="113" w:type="dxa"/>
              <w:right w:w="0" w:type="dxa"/>
            </w:tcMar>
            <w:vAlign w:val="bottom"/>
          </w:tcPr>
          <w:p w14:paraId="4AA61AD6" w14:textId="77777777" w:rsidR="004528DA" w:rsidRPr="004528DA" w:rsidRDefault="004528DA" w:rsidP="00615190">
            <w:pPr>
              <w:spacing w:line="240" w:lineRule="atLeast"/>
              <w:rPr>
                <w:rFonts w:ascii="Tahoma" w:hAnsi="Tahoma"/>
                <w:color w:val="000000" w:themeColor="text1"/>
                <w:sz w:val="16"/>
                <w:lang w:val="en-GB"/>
              </w:rPr>
            </w:pPr>
          </w:p>
        </w:tc>
        <w:tc>
          <w:tcPr>
            <w:tcW w:w="1417" w:type="dxa"/>
            <w:tcBorders>
              <w:bottom w:val="single" w:sz="12" w:space="0" w:color="auto"/>
            </w:tcBorders>
            <w:shd w:val="clear" w:color="auto" w:fill="auto"/>
            <w:tcMar>
              <w:top w:w="0" w:type="dxa"/>
              <w:left w:w="0" w:type="dxa"/>
              <w:bottom w:w="113" w:type="dxa"/>
              <w:right w:w="0" w:type="dxa"/>
            </w:tcMar>
            <w:vAlign w:val="bottom"/>
          </w:tcPr>
          <w:p w14:paraId="61605078" w14:textId="77777777" w:rsidR="004528DA" w:rsidRPr="004528DA" w:rsidRDefault="004528DA" w:rsidP="001E1B8D">
            <w:pPr>
              <w:spacing w:line="240" w:lineRule="atLeast"/>
              <w:jc w:val="right"/>
              <w:rPr>
                <w:rFonts w:ascii="Tahoma" w:hAnsi="Tahoma"/>
                <w:b/>
                <w:bCs/>
                <w:color w:val="000000" w:themeColor="text1"/>
                <w:sz w:val="16"/>
                <w:lang w:val="en-GB"/>
              </w:rPr>
            </w:pPr>
            <w:r w:rsidRPr="004528DA">
              <w:rPr>
                <w:rFonts w:ascii="Tahoma" w:hAnsi="Tahoma"/>
                <w:b/>
                <w:bCs/>
                <w:color w:val="000000" w:themeColor="text1"/>
                <w:sz w:val="16"/>
                <w:lang w:val="en-GB"/>
              </w:rPr>
              <w:t>Six months</w:t>
            </w:r>
          </w:p>
          <w:p w14:paraId="46FBE56F" w14:textId="77777777" w:rsidR="004528DA" w:rsidRPr="004528DA" w:rsidRDefault="004528DA" w:rsidP="001E1B8D">
            <w:pPr>
              <w:spacing w:line="240" w:lineRule="atLeast"/>
              <w:jc w:val="right"/>
              <w:rPr>
                <w:rFonts w:ascii="Tahoma" w:hAnsi="Tahoma"/>
                <w:b/>
                <w:bCs/>
                <w:color w:val="000000" w:themeColor="text1"/>
                <w:sz w:val="16"/>
                <w:lang w:val="en-GB"/>
              </w:rPr>
            </w:pPr>
            <w:r w:rsidRPr="004528DA">
              <w:rPr>
                <w:rFonts w:ascii="Tahoma" w:hAnsi="Tahoma"/>
                <w:b/>
                <w:bCs/>
                <w:color w:val="000000" w:themeColor="text1"/>
                <w:sz w:val="16"/>
                <w:lang w:val="en-GB"/>
              </w:rPr>
              <w:t xml:space="preserve"> ended</w:t>
            </w:r>
          </w:p>
          <w:p w14:paraId="489DA4FF" w14:textId="77777777" w:rsidR="004528DA" w:rsidRPr="004528DA" w:rsidRDefault="004528DA" w:rsidP="001E1B8D">
            <w:pPr>
              <w:spacing w:line="240" w:lineRule="atLeast"/>
              <w:jc w:val="right"/>
              <w:rPr>
                <w:rFonts w:ascii="Tahoma" w:hAnsi="Tahoma"/>
                <w:b/>
                <w:bCs/>
                <w:color w:val="000000" w:themeColor="text1"/>
                <w:sz w:val="16"/>
                <w:lang w:val="en-GB"/>
              </w:rPr>
            </w:pPr>
            <w:r w:rsidRPr="004528DA">
              <w:rPr>
                <w:rFonts w:ascii="Tahoma" w:hAnsi="Tahoma"/>
                <w:b/>
                <w:bCs/>
                <w:color w:val="000000" w:themeColor="text1"/>
                <w:sz w:val="16"/>
                <w:lang w:val="en-GB"/>
              </w:rPr>
              <w:t>30 September</w:t>
            </w:r>
          </w:p>
          <w:p w14:paraId="62CFA406" w14:textId="77777777" w:rsidR="004528DA" w:rsidRPr="004528DA" w:rsidRDefault="004528DA" w:rsidP="001E1B8D">
            <w:pPr>
              <w:spacing w:line="240" w:lineRule="atLeast"/>
              <w:jc w:val="right"/>
              <w:rPr>
                <w:rFonts w:ascii="Tahoma" w:hAnsi="Tahoma"/>
                <w:b/>
                <w:bCs/>
                <w:color w:val="000000" w:themeColor="text1"/>
                <w:sz w:val="16"/>
                <w:lang w:val="en-GB"/>
              </w:rPr>
            </w:pPr>
            <w:r w:rsidRPr="004528DA">
              <w:rPr>
                <w:rFonts w:ascii="Tahoma" w:hAnsi="Tahoma"/>
                <w:b/>
                <w:bCs/>
                <w:color w:val="000000" w:themeColor="text1"/>
                <w:sz w:val="16"/>
                <w:lang w:val="en-GB"/>
              </w:rPr>
              <w:t>2022</w:t>
            </w:r>
          </w:p>
          <w:p w14:paraId="52D46EC4" w14:textId="77777777" w:rsidR="004528DA" w:rsidRPr="004528DA" w:rsidRDefault="004528DA" w:rsidP="001E1B8D">
            <w:pPr>
              <w:spacing w:line="240" w:lineRule="atLeast"/>
              <w:jc w:val="right"/>
              <w:rPr>
                <w:rFonts w:ascii="Tahoma" w:hAnsi="Tahoma"/>
                <w:b/>
                <w:bCs/>
                <w:color w:val="000000" w:themeColor="text1"/>
                <w:sz w:val="16"/>
                <w:lang w:val="en-GB"/>
              </w:rPr>
            </w:pPr>
            <w:proofErr w:type="spellStart"/>
            <w:r w:rsidRPr="004528DA">
              <w:rPr>
                <w:rFonts w:ascii="Tahoma" w:hAnsi="Tahoma"/>
                <w:b/>
                <w:bCs/>
                <w:color w:val="000000" w:themeColor="text1"/>
                <w:sz w:val="16"/>
                <w:lang w:val="en-GB"/>
              </w:rPr>
              <w:t>US$’m</w:t>
            </w:r>
            <w:proofErr w:type="spellEnd"/>
          </w:p>
        </w:tc>
        <w:tc>
          <w:tcPr>
            <w:tcW w:w="1134" w:type="dxa"/>
            <w:tcBorders>
              <w:bottom w:val="single" w:sz="12" w:space="0" w:color="auto"/>
            </w:tcBorders>
            <w:shd w:val="clear" w:color="auto" w:fill="auto"/>
            <w:tcMar>
              <w:top w:w="0" w:type="dxa"/>
              <w:left w:w="0" w:type="dxa"/>
              <w:bottom w:w="113" w:type="dxa"/>
              <w:right w:w="0" w:type="dxa"/>
            </w:tcMar>
            <w:vAlign w:val="bottom"/>
          </w:tcPr>
          <w:p w14:paraId="3AAA4752" w14:textId="77777777" w:rsidR="004528DA" w:rsidRPr="004528DA" w:rsidRDefault="004528DA" w:rsidP="001E1B8D">
            <w:pPr>
              <w:spacing w:line="240" w:lineRule="atLeast"/>
              <w:jc w:val="right"/>
              <w:rPr>
                <w:rFonts w:ascii="Tahoma" w:hAnsi="Tahoma"/>
                <w:color w:val="000000" w:themeColor="text1"/>
                <w:sz w:val="16"/>
                <w:lang w:val="en-GB"/>
              </w:rPr>
            </w:pPr>
            <w:r w:rsidRPr="004528DA">
              <w:rPr>
                <w:rFonts w:ascii="Tahoma" w:hAnsi="Tahoma"/>
                <w:color w:val="000000" w:themeColor="text1"/>
                <w:sz w:val="16"/>
                <w:lang w:val="en-GB"/>
              </w:rPr>
              <w:t>Year</w:t>
            </w:r>
          </w:p>
          <w:p w14:paraId="317EE0C4" w14:textId="77777777" w:rsidR="004528DA" w:rsidRPr="004528DA" w:rsidRDefault="004528DA" w:rsidP="001E1B8D">
            <w:pPr>
              <w:spacing w:line="240" w:lineRule="atLeast"/>
              <w:jc w:val="right"/>
              <w:rPr>
                <w:rFonts w:ascii="Tahoma" w:hAnsi="Tahoma"/>
                <w:color w:val="000000" w:themeColor="text1"/>
                <w:sz w:val="16"/>
                <w:lang w:val="en-GB"/>
              </w:rPr>
            </w:pPr>
            <w:r w:rsidRPr="004528DA">
              <w:rPr>
                <w:rFonts w:ascii="Tahoma" w:hAnsi="Tahoma"/>
                <w:color w:val="000000" w:themeColor="text1"/>
                <w:sz w:val="16"/>
                <w:lang w:val="en-GB"/>
              </w:rPr>
              <w:t xml:space="preserve"> ended</w:t>
            </w:r>
          </w:p>
          <w:p w14:paraId="6B81A015" w14:textId="77777777" w:rsidR="004528DA" w:rsidRPr="004528DA" w:rsidRDefault="004528DA" w:rsidP="001E1B8D">
            <w:pPr>
              <w:spacing w:line="240" w:lineRule="atLeast"/>
              <w:jc w:val="right"/>
              <w:rPr>
                <w:rFonts w:ascii="Tahoma" w:hAnsi="Tahoma"/>
                <w:color w:val="000000" w:themeColor="text1"/>
                <w:sz w:val="16"/>
                <w:lang w:val="en-GB"/>
              </w:rPr>
            </w:pPr>
            <w:r w:rsidRPr="004528DA">
              <w:rPr>
                <w:rFonts w:ascii="Tahoma" w:hAnsi="Tahoma"/>
                <w:color w:val="000000" w:themeColor="text1"/>
                <w:sz w:val="16"/>
                <w:lang w:val="en-GB"/>
              </w:rPr>
              <w:t>31 March</w:t>
            </w:r>
          </w:p>
          <w:p w14:paraId="66E74082" w14:textId="77777777" w:rsidR="004528DA" w:rsidRPr="004528DA" w:rsidRDefault="004528DA" w:rsidP="001E1B8D">
            <w:pPr>
              <w:spacing w:line="240" w:lineRule="atLeast"/>
              <w:jc w:val="right"/>
              <w:rPr>
                <w:rFonts w:ascii="Tahoma" w:hAnsi="Tahoma"/>
                <w:color w:val="000000" w:themeColor="text1"/>
                <w:sz w:val="16"/>
                <w:lang w:val="en-GB"/>
              </w:rPr>
            </w:pPr>
            <w:r w:rsidRPr="004528DA">
              <w:rPr>
                <w:rFonts w:ascii="Tahoma" w:hAnsi="Tahoma"/>
                <w:color w:val="000000" w:themeColor="text1"/>
                <w:sz w:val="16"/>
                <w:lang w:val="en-GB"/>
              </w:rPr>
              <w:t>2022</w:t>
            </w:r>
          </w:p>
          <w:p w14:paraId="50A2B73B" w14:textId="77777777" w:rsidR="004528DA" w:rsidRPr="004528DA" w:rsidRDefault="004528DA" w:rsidP="001E1B8D">
            <w:pPr>
              <w:spacing w:line="240" w:lineRule="atLeast"/>
              <w:jc w:val="right"/>
              <w:rPr>
                <w:rFonts w:ascii="Tahoma" w:hAnsi="Tahoma"/>
                <w:color w:val="000000" w:themeColor="text1"/>
                <w:sz w:val="16"/>
                <w:lang w:val="en-GB"/>
              </w:rPr>
            </w:pPr>
            <w:proofErr w:type="spellStart"/>
            <w:r w:rsidRPr="004528DA">
              <w:rPr>
                <w:rFonts w:ascii="Tahoma" w:hAnsi="Tahoma"/>
                <w:color w:val="000000" w:themeColor="text1"/>
                <w:sz w:val="16"/>
                <w:lang w:val="en-GB"/>
              </w:rPr>
              <w:t>US$’m</w:t>
            </w:r>
            <w:proofErr w:type="spellEnd"/>
          </w:p>
        </w:tc>
      </w:tr>
      <w:tr w:rsidR="00615190" w:rsidRPr="004528DA" w14:paraId="5F9F8D48" w14:textId="77777777" w:rsidTr="00C41D2A">
        <w:trPr>
          <w:trHeight w:val="60"/>
        </w:trPr>
        <w:tc>
          <w:tcPr>
            <w:tcW w:w="397" w:type="dxa"/>
            <w:shd w:val="clear" w:color="auto" w:fill="auto"/>
            <w:tcMar>
              <w:top w:w="142" w:type="dxa"/>
              <w:left w:w="0" w:type="dxa"/>
              <w:bottom w:w="57" w:type="dxa"/>
              <w:right w:w="0" w:type="dxa"/>
            </w:tcMar>
            <w:vAlign w:val="bottom"/>
          </w:tcPr>
          <w:p w14:paraId="27A4C25E" w14:textId="77777777" w:rsidR="004528DA" w:rsidRPr="004528DA" w:rsidRDefault="004528DA" w:rsidP="00615190">
            <w:pPr>
              <w:spacing w:line="240" w:lineRule="atLeast"/>
              <w:rPr>
                <w:rFonts w:ascii="Tahoma" w:hAnsi="Tahoma"/>
                <w:color w:val="000000" w:themeColor="text1"/>
                <w:sz w:val="16"/>
                <w:lang w:val="en-GB"/>
              </w:rPr>
            </w:pPr>
          </w:p>
        </w:tc>
        <w:tc>
          <w:tcPr>
            <w:tcW w:w="7258" w:type="dxa"/>
            <w:tcBorders>
              <w:top w:val="single" w:sz="12" w:space="0" w:color="auto"/>
            </w:tcBorders>
            <w:shd w:val="clear" w:color="auto" w:fill="auto"/>
            <w:tcMar>
              <w:top w:w="142" w:type="dxa"/>
              <w:left w:w="0" w:type="dxa"/>
              <w:bottom w:w="57" w:type="dxa"/>
              <w:right w:w="0" w:type="dxa"/>
            </w:tcMar>
            <w:vAlign w:val="bottom"/>
          </w:tcPr>
          <w:p w14:paraId="76C14964" w14:textId="77777777" w:rsidR="004528DA" w:rsidRPr="004528DA" w:rsidRDefault="004528DA" w:rsidP="00615190">
            <w:pPr>
              <w:spacing w:line="240" w:lineRule="atLeast"/>
              <w:rPr>
                <w:rFonts w:ascii="Tahoma" w:hAnsi="Tahoma"/>
                <w:b/>
                <w:bCs/>
                <w:color w:val="000000" w:themeColor="text1"/>
                <w:sz w:val="16"/>
                <w:lang w:val="en-GB"/>
              </w:rPr>
            </w:pPr>
            <w:r w:rsidRPr="004528DA">
              <w:rPr>
                <w:rFonts w:ascii="Tahoma" w:hAnsi="Tahoma"/>
                <w:b/>
                <w:bCs/>
                <w:color w:val="000000" w:themeColor="text1"/>
                <w:sz w:val="16"/>
                <w:lang w:val="en-GB"/>
              </w:rPr>
              <w:t>Loans and receivables</w:t>
            </w:r>
            <w:r w:rsidRPr="004528DA">
              <w:rPr>
                <w:rFonts w:ascii="Tahoma" w:hAnsi="Tahoma"/>
                <w:b/>
                <w:bCs/>
                <w:color w:val="000000" w:themeColor="text1"/>
                <w:sz w:val="16"/>
                <w:vertAlign w:val="superscript"/>
                <w:lang w:val="en-GB"/>
              </w:rPr>
              <w:t>1</w:t>
            </w:r>
          </w:p>
        </w:tc>
        <w:tc>
          <w:tcPr>
            <w:tcW w:w="1417" w:type="dxa"/>
            <w:tcBorders>
              <w:top w:val="single" w:sz="12" w:space="0" w:color="auto"/>
            </w:tcBorders>
            <w:shd w:val="clear" w:color="auto" w:fill="auto"/>
            <w:tcMar>
              <w:top w:w="142" w:type="dxa"/>
              <w:left w:w="0" w:type="dxa"/>
              <w:bottom w:w="57" w:type="dxa"/>
              <w:right w:w="0" w:type="dxa"/>
            </w:tcMar>
            <w:vAlign w:val="bottom"/>
          </w:tcPr>
          <w:p w14:paraId="702978D6" w14:textId="77777777" w:rsidR="004528DA" w:rsidRPr="004528DA" w:rsidRDefault="004528DA" w:rsidP="001E1B8D">
            <w:pPr>
              <w:spacing w:line="240" w:lineRule="atLeast"/>
              <w:jc w:val="right"/>
              <w:rPr>
                <w:rFonts w:ascii="Tahoma" w:hAnsi="Tahoma"/>
                <w:b/>
                <w:bCs/>
                <w:color w:val="000000" w:themeColor="text1"/>
                <w:sz w:val="16"/>
                <w:lang w:val="en-GB"/>
              </w:rPr>
            </w:pPr>
          </w:p>
        </w:tc>
        <w:tc>
          <w:tcPr>
            <w:tcW w:w="1134" w:type="dxa"/>
            <w:tcBorders>
              <w:top w:val="single" w:sz="12" w:space="0" w:color="auto"/>
            </w:tcBorders>
            <w:shd w:val="clear" w:color="auto" w:fill="auto"/>
            <w:tcMar>
              <w:top w:w="142" w:type="dxa"/>
              <w:left w:w="0" w:type="dxa"/>
              <w:bottom w:w="57" w:type="dxa"/>
              <w:right w:w="0" w:type="dxa"/>
            </w:tcMar>
            <w:vAlign w:val="bottom"/>
          </w:tcPr>
          <w:p w14:paraId="020D9F29" w14:textId="77777777" w:rsidR="004528DA" w:rsidRPr="004528DA" w:rsidRDefault="004528DA" w:rsidP="001E1B8D">
            <w:pPr>
              <w:spacing w:line="240" w:lineRule="atLeast"/>
              <w:jc w:val="right"/>
              <w:rPr>
                <w:rFonts w:ascii="Tahoma" w:hAnsi="Tahoma"/>
                <w:color w:val="000000" w:themeColor="text1"/>
                <w:sz w:val="16"/>
                <w:lang w:val="en-GB"/>
              </w:rPr>
            </w:pPr>
          </w:p>
        </w:tc>
      </w:tr>
      <w:tr w:rsidR="00615190" w:rsidRPr="004528DA" w14:paraId="1D359BCC" w14:textId="77777777" w:rsidTr="00480C8B">
        <w:trPr>
          <w:trHeight w:val="60"/>
        </w:trPr>
        <w:tc>
          <w:tcPr>
            <w:tcW w:w="397" w:type="dxa"/>
            <w:shd w:val="clear" w:color="auto" w:fill="auto"/>
            <w:tcMar>
              <w:top w:w="57" w:type="dxa"/>
              <w:left w:w="0" w:type="dxa"/>
              <w:bottom w:w="57" w:type="dxa"/>
              <w:right w:w="0" w:type="dxa"/>
            </w:tcMar>
            <w:vAlign w:val="bottom"/>
          </w:tcPr>
          <w:p w14:paraId="06FBF581" w14:textId="77777777" w:rsidR="004528DA" w:rsidRPr="004528DA" w:rsidRDefault="004528DA" w:rsidP="00615190">
            <w:pPr>
              <w:spacing w:line="240" w:lineRule="atLeast"/>
              <w:rPr>
                <w:rFonts w:ascii="Tahoma" w:hAnsi="Tahoma"/>
                <w:color w:val="000000" w:themeColor="text1"/>
                <w:sz w:val="16"/>
                <w:lang w:val="en-GB"/>
              </w:rPr>
            </w:pPr>
          </w:p>
        </w:tc>
        <w:tc>
          <w:tcPr>
            <w:tcW w:w="7258" w:type="dxa"/>
            <w:shd w:val="clear" w:color="auto" w:fill="auto"/>
            <w:tcMar>
              <w:top w:w="57" w:type="dxa"/>
              <w:left w:w="0" w:type="dxa"/>
              <w:bottom w:w="57" w:type="dxa"/>
              <w:right w:w="0" w:type="dxa"/>
            </w:tcMar>
            <w:vAlign w:val="bottom"/>
          </w:tcPr>
          <w:p w14:paraId="0B060107" w14:textId="77777777" w:rsidR="004528DA" w:rsidRPr="004528DA" w:rsidRDefault="004528DA" w:rsidP="00615190">
            <w:pPr>
              <w:spacing w:line="240" w:lineRule="atLeast"/>
              <w:rPr>
                <w:rFonts w:ascii="Tahoma" w:hAnsi="Tahoma"/>
                <w:color w:val="000000" w:themeColor="text1"/>
                <w:sz w:val="16"/>
                <w:lang w:val="en-GB"/>
              </w:rPr>
            </w:pPr>
            <w:r w:rsidRPr="004528DA">
              <w:rPr>
                <w:rFonts w:ascii="Tahoma" w:hAnsi="Tahoma"/>
                <w:color w:val="000000" w:themeColor="text1"/>
                <w:sz w:val="16"/>
                <w:lang w:val="en-GB"/>
              </w:rPr>
              <w:t>MIH Treasury Services Limited</w:t>
            </w:r>
          </w:p>
        </w:tc>
        <w:tc>
          <w:tcPr>
            <w:tcW w:w="1417" w:type="dxa"/>
            <w:shd w:val="clear" w:color="auto" w:fill="auto"/>
            <w:tcMar>
              <w:top w:w="57" w:type="dxa"/>
              <w:left w:w="0" w:type="dxa"/>
              <w:bottom w:w="57" w:type="dxa"/>
              <w:right w:w="0" w:type="dxa"/>
            </w:tcMar>
            <w:vAlign w:val="bottom"/>
          </w:tcPr>
          <w:p w14:paraId="00620EA3" w14:textId="77777777" w:rsidR="004528DA" w:rsidRPr="004528DA" w:rsidRDefault="004528DA" w:rsidP="001E1B8D">
            <w:pPr>
              <w:spacing w:line="240" w:lineRule="atLeast"/>
              <w:jc w:val="right"/>
              <w:rPr>
                <w:rFonts w:ascii="Tahoma" w:hAnsi="Tahoma"/>
                <w:b/>
                <w:bCs/>
                <w:color w:val="000000" w:themeColor="text1"/>
                <w:sz w:val="16"/>
                <w:lang w:val="en-GB"/>
              </w:rPr>
            </w:pPr>
            <w:r w:rsidRPr="004528DA">
              <w:rPr>
                <w:rFonts w:ascii="Tahoma" w:hAnsi="Tahoma"/>
                <w:b/>
                <w:bCs/>
                <w:color w:val="000000" w:themeColor="text1"/>
                <w:sz w:val="16"/>
                <w:lang w:val="en-GB"/>
              </w:rPr>
              <w:t>1</w:t>
            </w:r>
          </w:p>
        </w:tc>
        <w:tc>
          <w:tcPr>
            <w:tcW w:w="1134" w:type="dxa"/>
            <w:shd w:val="clear" w:color="auto" w:fill="auto"/>
            <w:tcMar>
              <w:top w:w="57" w:type="dxa"/>
              <w:left w:w="0" w:type="dxa"/>
              <w:bottom w:w="57" w:type="dxa"/>
              <w:right w:w="0" w:type="dxa"/>
            </w:tcMar>
            <w:vAlign w:val="bottom"/>
          </w:tcPr>
          <w:p w14:paraId="4CD83351" w14:textId="77777777" w:rsidR="004528DA" w:rsidRPr="004528DA" w:rsidRDefault="004528DA" w:rsidP="001E1B8D">
            <w:pPr>
              <w:spacing w:line="240" w:lineRule="atLeast"/>
              <w:jc w:val="right"/>
              <w:rPr>
                <w:rFonts w:ascii="Tahoma" w:hAnsi="Tahoma"/>
                <w:color w:val="000000" w:themeColor="text1"/>
                <w:sz w:val="16"/>
                <w:lang w:val="en-GB"/>
              </w:rPr>
            </w:pPr>
            <w:r w:rsidRPr="004528DA">
              <w:rPr>
                <w:rFonts w:ascii="Tahoma" w:hAnsi="Tahoma"/>
                <w:color w:val="000000" w:themeColor="text1"/>
                <w:sz w:val="16"/>
                <w:lang w:val="en-GB"/>
              </w:rPr>
              <w:t>16</w:t>
            </w:r>
          </w:p>
        </w:tc>
      </w:tr>
      <w:tr w:rsidR="00615190" w:rsidRPr="004528DA" w14:paraId="2550EF6E" w14:textId="77777777" w:rsidTr="00480C8B">
        <w:trPr>
          <w:trHeight w:val="60"/>
        </w:trPr>
        <w:tc>
          <w:tcPr>
            <w:tcW w:w="397" w:type="dxa"/>
            <w:shd w:val="clear" w:color="auto" w:fill="auto"/>
            <w:tcMar>
              <w:top w:w="57" w:type="dxa"/>
              <w:left w:w="0" w:type="dxa"/>
              <w:bottom w:w="57" w:type="dxa"/>
              <w:right w:w="0" w:type="dxa"/>
            </w:tcMar>
            <w:vAlign w:val="bottom"/>
          </w:tcPr>
          <w:p w14:paraId="2CA69C28" w14:textId="77777777" w:rsidR="004528DA" w:rsidRPr="004528DA" w:rsidRDefault="004528DA" w:rsidP="00615190">
            <w:pPr>
              <w:spacing w:line="240" w:lineRule="atLeast"/>
              <w:rPr>
                <w:rFonts w:ascii="Tahoma" w:hAnsi="Tahoma"/>
                <w:color w:val="000000" w:themeColor="text1"/>
                <w:sz w:val="16"/>
                <w:lang w:val="en-GB"/>
              </w:rPr>
            </w:pPr>
          </w:p>
        </w:tc>
        <w:tc>
          <w:tcPr>
            <w:tcW w:w="7258" w:type="dxa"/>
            <w:shd w:val="clear" w:color="auto" w:fill="auto"/>
            <w:tcMar>
              <w:top w:w="57" w:type="dxa"/>
              <w:left w:w="0" w:type="dxa"/>
              <w:bottom w:w="57" w:type="dxa"/>
              <w:right w:w="0" w:type="dxa"/>
            </w:tcMar>
            <w:vAlign w:val="bottom"/>
          </w:tcPr>
          <w:p w14:paraId="0EC1631B" w14:textId="77777777" w:rsidR="004528DA" w:rsidRPr="004528DA" w:rsidRDefault="004528DA" w:rsidP="00615190">
            <w:pPr>
              <w:spacing w:line="240" w:lineRule="atLeast"/>
              <w:rPr>
                <w:rFonts w:ascii="Tahoma" w:hAnsi="Tahoma"/>
                <w:color w:val="000000" w:themeColor="text1"/>
                <w:sz w:val="16"/>
                <w:lang w:val="en-GB"/>
              </w:rPr>
            </w:pPr>
            <w:r w:rsidRPr="004528DA">
              <w:rPr>
                <w:rFonts w:ascii="Tahoma" w:hAnsi="Tahoma"/>
                <w:color w:val="000000" w:themeColor="text1"/>
                <w:sz w:val="16"/>
                <w:lang w:val="en-GB"/>
              </w:rPr>
              <w:t>Myriad/MIH (Malta) Limited</w:t>
            </w:r>
          </w:p>
        </w:tc>
        <w:tc>
          <w:tcPr>
            <w:tcW w:w="1417" w:type="dxa"/>
            <w:shd w:val="clear" w:color="auto" w:fill="auto"/>
            <w:tcMar>
              <w:top w:w="57" w:type="dxa"/>
              <w:left w:w="0" w:type="dxa"/>
              <w:bottom w:w="57" w:type="dxa"/>
              <w:right w:w="0" w:type="dxa"/>
            </w:tcMar>
            <w:vAlign w:val="bottom"/>
          </w:tcPr>
          <w:p w14:paraId="2C03BB9B" w14:textId="77777777" w:rsidR="004528DA" w:rsidRPr="004528DA" w:rsidRDefault="004528DA" w:rsidP="001E1B8D">
            <w:pPr>
              <w:spacing w:line="240" w:lineRule="atLeast"/>
              <w:jc w:val="right"/>
              <w:rPr>
                <w:rFonts w:ascii="Tahoma" w:hAnsi="Tahoma"/>
                <w:b/>
                <w:bCs/>
                <w:color w:val="000000" w:themeColor="text1"/>
                <w:sz w:val="16"/>
                <w:lang w:val="en-GB"/>
              </w:rPr>
            </w:pPr>
            <w:r w:rsidRPr="004528DA">
              <w:rPr>
                <w:rFonts w:ascii="Tahoma" w:hAnsi="Tahoma"/>
                <w:b/>
                <w:bCs/>
                <w:color w:val="000000" w:themeColor="text1"/>
                <w:sz w:val="16"/>
                <w:lang w:val="en-GB"/>
              </w:rPr>
              <w:t>3</w:t>
            </w:r>
          </w:p>
        </w:tc>
        <w:tc>
          <w:tcPr>
            <w:tcW w:w="1134" w:type="dxa"/>
            <w:shd w:val="clear" w:color="auto" w:fill="auto"/>
            <w:tcMar>
              <w:top w:w="57" w:type="dxa"/>
              <w:left w:w="0" w:type="dxa"/>
              <w:bottom w:w="57" w:type="dxa"/>
              <w:right w:w="0" w:type="dxa"/>
            </w:tcMar>
            <w:vAlign w:val="bottom"/>
          </w:tcPr>
          <w:p w14:paraId="2640F703" w14:textId="77777777" w:rsidR="004528DA" w:rsidRPr="004528DA" w:rsidRDefault="004528DA" w:rsidP="001E1B8D">
            <w:pPr>
              <w:spacing w:line="240" w:lineRule="atLeast"/>
              <w:jc w:val="right"/>
              <w:rPr>
                <w:rFonts w:ascii="Tahoma" w:hAnsi="Tahoma"/>
                <w:color w:val="000000" w:themeColor="text1"/>
                <w:sz w:val="16"/>
                <w:lang w:val="en-GB"/>
              </w:rPr>
            </w:pPr>
            <w:r w:rsidRPr="004528DA">
              <w:rPr>
                <w:rFonts w:ascii="Tahoma" w:hAnsi="Tahoma"/>
                <w:color w:val="000000" w:themeColor="text1"/>
                <w:sz w:val="16"/>
                <w:lang w:val="en-GB"/>
              </w:rPr>
              <w:t>6</w:t>
            </w:r>
          </w:p>
        </w:tc>
      </w:tr>
      <w:tr w:rsidR="00615190" w:rsidRPr="004528DA" w14:paraId="42579DEF" w14:textId="77777777" w:rsidTr="00480C8B">
        <w:trPr>
          <w:trHeight w:val="60"/>
        </w:trPr>
        <w:tc>
          <w:tcPr>
            <w:tcW w:w="397" w:type="dxa"/>
            <w:shd w:val="clear" w:color="auto" w:fill="auto"/>
            <w:tcMar>
              <w:top w:w="57" w:type="dxa"/>
              <w:left w:w="0" w:type="dxa"/>
              <w:bottom w:w="57" w:type="dxa"/>
              <w:right w:w="0" w:type="dxa"/>
            </w:tcMar>
            <w:vAlign w:val="bottom"/>
          </w:tcPr>
          <w:p w14:paraId="2CFE116C" w14:textId="77777777" w:rsidR="004528DA" w:rsidRPr="004528DA" w:rsidRDefault="004528DA" w:rsidP="00615190">
            <w:pPr>
              <w:spacing w:line="240" w:lineRule="atLeast"/>
              <w:rPr>
                <w:rFonts w:ascii="Tahoma" w:hAnsi="Tahoma"/>
                <w:color w:val="000000" w:themeColor="text1"/>
                <w:sz w:val="16"/>
                <w:lang w:val="en-GB"/>
              </w:rPr>
            </w:pPr>
          </w:p>
        </w:tc>
        <w:tc>
          <w:tcPr>
            <w:tcW w:w="7258" w:type="dxa"/>
            <w:shd w:val="clear" w:color="auto" w:fill="auto"/>
            <w:tcMar>
              <w:top w:w="57" w:type="dxa"/>
              <w:left w:w="0" w:type="dxa"/>
              <w:bottom w:w="57" w:type="dxa"/>
              <w:right w:w="0" w:type="dxa"/>
            </w:tcMar>
            <w:vAlign w:val="bottom"/>
          </w:tcPr>
          <w:p w14:paraId="29EF3A7F" w14:textId="77777777" w:rsidR="004528DA" w:rsidRPr="004528DA" w:rsidRDefault="004528DA" w:rsidP="00615190">
            <w:pPr>
              <w:spacing w:line="240" w:lineRule="atLeast"/>
              <w:rPr>
                <w:rFonts w:ascii="Tahoma" w:hAnsi="Tahoma"/>
                <w:color w:val="000000" w:themeColor="text1"/>
                <w:sz w:val="16"/>
                <w:lang w:val="en-GB"/>
              </w:rPr>
            </w:pPr>
            <w:r w:rsidRPr="004528DA">
              <w:rPr>
                <w:rFonts w:ascii="Tahoma" w:hAnsi="Tahoma"/>
                <w:color w:val="000000" w:themeColor="text1"/>
                <w:sz w:val="16"/>
                <w:lang w:val="en-GB"/>
              </w:rPr>
              <w:t>MIH Holdings Proprietary Limited</w:t>
            </w:r>
          </w:p>
        </w:tc>
        <w:tc>
          <w:tcPr>
            <w:tcW w:w="1417" w:type="dxa"/>
            <w:shd w:val="clear" w:color="auto" w:fill="auto"/>
            <w:tcMar>
              <w:top w:w="57" w:type="dxa"/>
              <w:left w:w="0" w:type="dxa"/>
              <w:bottom w:w="57" w:type="dxa"/>
              <w:right w:w="0" w:type="dxa"/>
            </w:tcMar>
            <w:vAlign w:val="bottom"/>
          </w:tcPr>
          <w:p w14:paraId="59A3E0F1" w14:textId="77777777" w:rsidR="004528DA" w:rsidRPr="004528DA" w:rsidRDefault="004528DA" w:rsidP="001E1B8D">
            <w:pPr>
              <w:spacing w:line="240" w:lineRule="atLeast"/>
              <w:jc w:val="right"/>
              <w:rPr>
                <w:rFonts w:ascii="Tahoma" w:hAnsi="Tahoma"/>
                <w:b/>
                <w:bCs/>
                <w:color w:val="000000" w:themeColor="text1"/>
                <w:sz w:val="16"/>
                <w:lang w:val="en-GB"/>
              </w:rPr>
            </w:pPr>
            <w:r w:rsidRPr="004528DA">
              <w:rPr>
                <w:rFonts w:ascii="Tahoma" w:hAnsi="Tahoma"/>
                <w:b/>
                <w:bCs/>
                <w:color w:val="000000" w:themeColor="text1"/>
                <w:sz w:val="16"/>
                <w:lang w:val="en-GB"/>
              </w:rPr>
              <w:t>3</w:t>
            </w:r>
          </w:p>
        </w:tc>
        <w:tc>
          <w:tcPr>
            <w:tcW w:w="1134" w:type="dxa"/>
            <w:shd w:val="clear" w:color="auto" w:fill="auto"/>
            <w:tcMar>
              <w:top w:w="57" w:type="dxa"/>
              <w:left w:w="0" w:type="dxa"/>
              <w:bottom w:w="57" w:type="dxa"/>
              <w:right w:w="0" w:type="dxa"/>
            </w:tcMar>
            <w:vAlign w:val="bottom"/>
          </w:tcPr>
          <w:p w14:paraId="7EF97056" w14:textId="77777777" w:rsidR="004528DA" w:rsidRPr="004528DA" w:rsidRDefault="004528DA" w:rsidP="001E1B8D">
            <w:pPr>
              <w:spacing w:line="240" w:lineRule="atLeast"/>
              <w:jc w:val="right"/>
              <w:rPr>
                <w:rFonts w:ascii="Tahoma" w:hAnsi="Tahoma"/>
                <w:color w:val="000000" w:themeColor="text1"/>
                <w:sz w:val="16"/>
                <w:lang w:val="en-GB"/>
              </w:rPr>
            </w:pPr>
            <w:r w:rsidRPr="004528DA">
              <w:rPr>
                <w:rFonts w:ascii="Tahoma" w:hAnsi="Tahoma"/>
                <w:color w:val="000000" w:themeColor="text1"/>
                <w:sz w:val="16"/>
                <w:lang w:val="en-GB"/>
              </w:rPr>
              <w:t>1</w:t>
            </w:r>
          </w:p>
        </w:tc>
      </w:tr>
      <w:tr w:rsidR="00615190" w:rsidRPr="004528DA" w14:paraId="60C09BD0" w14:textId="77777777" w:rsidTr="00480C8B">
        <w:trPr>
          <w:trHeight w:val="60"/>
        </w:trPr>
        <w:tc>
          <w:tcPr>
            <w:tcW w:w="397" w:type="dxa"/>
            <w:shd w:val="clear" w:color="auto" w:fill="auto"/>
            <w:tcMar>
              <w:top w:w="57" w:type="dxa"/>
              <w:left w:w="0" w:type="dxa"/>
              <w:bottom w:w="57" w:type="dxa"/>
              <w:right w:w="0" w:type="dxa"/>
            </w:tcMar>
            <w:vAlign w:val="bottom"/>
          </w:tcPr>
          <w:p w14:paraId="3652BC0E" w14:textId="77777777" w:rsidR="004528DA" w:rsidRPr="004528DA" w:rsidRDefault="004528DA" w:rsidP="00615190">
            <w:pPr>
              <w:spacing w:line="240" w:lineRule="atLeast"/>
              <w:rPr>
                <w:rFonts w:ascii="Tahoma" w:hAnsi="Tahoma"/>
                <w:color w:val="000000" w:themeColor="text1"/>
                <w:sz w:val="16"/>
                <w:lang w:val="en-GB"/>
              </w:rPr>
            </w:pPr>
          </w:p>
        </w:tc>
        <w:tc>
          <w:tcPr>
            <w:tcW w:w="7258" w:type="dxa"/>
            <w:shd w:val="clear" w:color="auto" w:fill="auto"/>
            <w:tcMar>
              <w:top w:w="57" w:type="dxa"/>
              <w:left w:w="0" w:type="dxa"/>
              <w:bottom w:w="57" w:type="dxa"/>
              <w:right w:w="0" w:type="dxa"/>
            </w:tcMar>
            <w:vAlign w:val="bottom"/>
          </w:tcPr>
          <w:p w14:paraId="1F0543F3" w14:textId="77777777" w:rsidR="004528DA" w:rsidRPr="004528DA" w:rsidRDefault="004528DA" w:rsidP="00615190">
            <w:pPr>
              <w:spacing w:line="240" w:lineRule="atLeast"/>
              <w:rPr>
                <w:rFonts w:ascii="Tahoma" w:hAnsi="Tahoma"/>
                <w:color w:val="000000" w:themeColor="text1"/>
                <w:sz w:val="16"/>
                <w:lang w:val="en-GB"/>
              </w:rPr>
            </w:pPr>
            <w:r w:rsidRPr="004528DA">
              <w:rPr>
                <w:rFonts w:ascii="Tahoma" w:hAnsi="Tahoma"/>
                <w:color w:val="000000" w:themeColor="text1"/>
                <w:sz w:val="16"/>
                <w:lang w:val="en-GB"/>
              </w:rPr>
              <w:t xml:space="preserve">Bom </w:t>
            </w:r>
            <w:proofErr w:type="spellStart"/>
            <w:r w:rsidRPr="004528DA">
              <w:rPr>
                <w:rFonts w:ascii="Tahoma" w:hAnsi="Tahoma"/>
                <w:color w:val="000000" w:themeColor="text1"/>
                <w:sz w:val="16"/>
                <w:lang w:val="en-GB"/>
              </w:rPr>
              <w:t>Negócio</w:t>
            </w:r>
            <w:proofErr w:type="spellEnd"/>
            <w:r w:rsidRPr="004528DA">
              <w:rPr>
                <w:rFonts w:ascii="Tahoma" w:hAnsi="Tahoma"/>
                <w:color w:val="000000" w:themeColor="text1"/>
                <w:sz w:val="16"/>
                <w:lang w:val="en-GB"/>
              </w:rPr>
              <w:t xml:space="preserve"> </w:t>
            </w:r>
            <w:proofErr w:type="spellStart"/>
            <w:r w:rsidRPr="004528DA">
              <w:rPr>
                <w:rFonts w:ascii="Tahoma" w:hAnsi="Tahoma"/>
                <w:color w:val="000000" w:themeColor="text1"/>
                <w:sz w:val="16"/>
                <w:lang w:val="en-GB"/>
              </w:rPr>
              <w:t>Atividades</w:t>
            </w:r>
            <w:proofErr w:type="spellEnd"/>
            <w:r w:rsidRPr="004528DA">
              <w:rPr>
                <w:rFonts w:ascii="Tahoma" w:hAnsi="Tahoma"/>
                <w:color w:val="000000" w:themeColor="text1"/>
                <w:sz w:val="16"/>
                <w:lang w:val="en-GB"/>
              </w:rPr>
              <w:t xml:space="preserve"> de Internet </w:t>
            </w:r>
            <w:proofErr w:type="spellStart"/>
            <w:r w:rsidRPr="004528DA">
              <w:rPr>
                <w:rFonts w:ascii="Tahoma" w:hAnsi="Tahoma"/>
                <w:color w:val="000000" w:themeColor="text1"/>
                <w:sz w:val="16"/>
                <w:lang w:val="en-GB"/>
              </w:rPr>
              <w:t>Limitada</w:t>
            </w:r>
            <w:proofErr w:type="spellEnd"/>
            <w:r w:rsidRPr="004528DA">
              <w:rPr>
                <w:rFonts w:ascii="Tahoma" w:hAnsi="Tahoma"/>
                <w:color w:val="000000" w:themeColor="text1"/>
                <w:sz w:val="16"/>
                <w:lang w:val="en-GB"/>
              </w:rPr>
              <w:t xml:space="preserve"> (OLX Brazil)</w:t>
            </w:r>
          </w:p>
        </w:tc>
        <w:tc>
          <w:tcPr>
            <w:tcW w:w="1417" w:type="dxa"/>
            <w:shd w:val="clear" w:color="auto" w:fill="auto"/>
            <w:tcMar>
              <w:top w:w="57" w:type="dxa"/>
              <w:left w:w="0" w:type="dxa"/>
              <w:bottom w:w="57" w:type="dxa"/>
              <w:right w:w="0" w:type="dxa"/>
            </w:tcMar>
            <w:vAlign w:val="bottom"/>
          </w:tcPr>
          <w:p w14:paraId="280C731B" w14:textId="77777777" w:rsidR="004528DA" w:rsidRPr="004528DA" w:rsidRDefault="004528DA" w:rsidP="001E1B8D">
            <w:pPr>
              <w:spacing w:line="240" w:lineRule="atLeast"/>
              <w:jc w:val="right"/>
              <w:rPr>
                <w:rFonts w:ascii="Tahoma" w:hAnsi="Tahoma"/>
                <w:b/>
                <w:bCs/>
                <w:color w:val="000000" w:themeColor="text1"/>
                <w:sz w:val="16"/>
                <w:lang w:val="en-GB"/>
              </w:rPr>
            </w:pPr>
            <w:r w:rsidRPr="004528DA">
              <w:rPr>
                <w:rFonts w:ascii="Tahoma" w:hAnsi="Tahoma"/>
                <w:b/>
                <w:bCs/>
                <w:color w:val="000000" w:themeColor="text1"/>
                <w:sz w:val="16"/>
                <w:lang w:val="en-GB"/>
              </w:rPr>
              <w:t>204</w:t>
            </w:r>
          </w:p>
        </w:tc>
        <w:tc>
          <w:tcPr>
            <w:tcW w:w="1134" w:type="dxa"/>
            <w:shd w:val="clear" w:color="auto" w:fill="auto"/>
            <w:tcMar>
              <w:top w:w="57" w:type="dxa"/>
              <w:left w:w="0" w:type="dxa"/>
              <w:bottom w:w="57" w:type="dxa"/>
              <w:right w:w="0" w:type="dxa"/>
            </w:tcMar>
            <w:vAlign w:val="bottom"/>
          </w:tcPr>
          <w:p w14:paraId="00A8A4A2" w14:textId="77777777" w:rsidR="004528DA" w:rsidRPr="004528DA" w:rsidRDefault="004528DA" w:rsidP="001E1B8D">
            <w:pPr>
              <w:spacing w:line="240" w:lineRule="atLeast"/>
              <w:jc w:val="right"/>
              <w:rPr>
                <w:rFonts w:ascii="Tahoma" w:hAnsi="Tahoma"/>
                <w:color w:val="000000" w:themeColor="text1"/>
                <w:sz w:val="16"/>
                <w:lang w:val="en-GB"/>
              </w:rPr>
            </w:pPr>
            <w:r w:rsidRPr="004528DA">
              <w:rPr>
                <w:rFonts w:ascii="Tahoma" w:hAnsi="Tahoma"/>
                <w:color w:val="000000" w:themeColor="text1"/>
                <w:sz w:val="16"/>
                <w:lang w:val="en-GB"/>
              </w:rPr>
              <w:t>219</w:t>
            </w:r>
          </w:p>
        </w:tc>
      </w:tr>
      <w:tr w:rsidR="00615190" w:rsidRPr="004528DA" w14:paraId="49C062F4" w14:textId="77777777" w:rsidTr="00480C8B">
        <w:trPr>
          <w:trHeight w:val="60"/>
        </w:trPr>
        <w:tc>
          <w:tcPr>
            <w:tcW w:w="397" w:type="dxa"/>
            <w:shd w:val="clear" w:color="auto" w:fill="auto"/>
            <w:tcMar>
              <w:top w:w="57" w:type="dxa"/>
              <w:left w:w="0" w:type="dxa"/>
              <w:bottom w:w="57" w:type="dxa"/>
              <w:right w:w="0" w:type="dxa"/>
            </w:tcMar>
            <w:vAlign w:val="bottom"/>
          </w:tcPr>
          <w:p w14:paraId="582666E9" w14:textId="77777777" w:rsidR="004528DA" w:rsidRPr="004528DA" w:rsidRDefault="004528DA" w:rsidP="00615190">
            <w:pPr>
              <w:spacing w:line="240" w:lineRule="atLeast"/>
              <w:rPr>
                <w:rFonts w:ascii="Tahoma" w:hAnsi="Tahoma"/>
                <w:color w:val="000000" w:themeColor="text1"/>
                <w:sz w:val="16"/>
                <w:lang w:val="en-GB"/>
              </w:rPr>
            </w:pPr>
          </w:p>
        </w:tc>
        <w:tc>
          <w:tcPr>
            <w:tcW w:w="7258" w:type="dxa"/>
            <w:shd w:val="clear" w:color="auto" w:fill="auto"/>
            <w:tcMar>
              <w:top w:w="57" w:type="dxa"/>
              <w:left w:w="0" w:type="dxa"/>
              <w:bottom w:w="57" w:type="dxa"/>
              <w:right w:w="0" w:type="dxa"/>
            </w:tcMar>
            <w:vAlign w:val="bottom"/>
          </w:tcPr>
          <w:p w14:paraId="5446D09C" w14:textId="77777777" w:rsidR="004528DA" w:rsidRPr="004528DA" w:rsidRDefault="004528DA" w:rsidP="00615190">
            <w:pPr>
              <w:spacing w:line="240" w:lineRule="atLeast"/>
              <w:rPr>
                <w:rFonts w:ascii="Tahoma" w:hAnsi="Tahoma"/>
                <w:color w:val="000000" w:themeColor="text1"/>
                <w:sz w:val="16"/>
                <w:lang w:val="en-GB"/>
              </w:rPr>
            </w:pPr>
            <w:r w:rsidRPr="004528DA">
              <w:rPr>
                <w:rFonts w:ascii="Tahoma" w:hAnsi="Tahoma"/>
                <w:color w:val="000000" w:themeColor="text1"/>
                <w:sz w:val="16"/>
                <w:lang w:val="en-GB"/>
              </w:rPr>
              <w:t>MIH Internet Holdings B.V. Share Trust</w:t>
            </w:r>
            <w:r w:rsidRPr="004528DA">
              <w:rPr>
                <w:rFonts w:ascii="Tahoma" w:hAnsi="Tahoma"/>
                <w:color w:val="000000" w:themeColor="text1"/>
                <w:sz w:val="16"/>
                <w:vertAlign w:val="superscript"/>
                <w:lang w:val="en-GB"/>
              </w:rPr>
              <w:t>2</w:t>
            </w:r>
          </w:p>
        </w:tc>
        <w:tc>
          <w:tcPr>
            <w:tcW w:w="1417" w:type="dxa"/>
            <w:shd w:val="clear" w:color="auto" w:fill="auto"/>
            <w:tcMar>
              <w:top w:w="57" w:type="dxa"/>
              <w:left w:w="0" w:type="dxa"/>
              <w:bottom w:w="57" w:type="dxa"/>
              <w:right w:w="0" w:type="dxa"/>
            </w:tcMar>
            <w:vAlign w:val="bottom"/>
          </w:tcPr>
          <w:p w14:paraId="3BBDD3F4" w14:textId="77777777" w:rsidR="004528DA" w:rsidRPr="004528DA" w:rsidRDefault="004528DA" w:rsidP="001E1B8D">
            <w:pPr>
              <w:spacing w:line="240" w:lineRule="atLeast"/>
              <w:jc w:val="right"/>
              <w:rPr>
                <w:rFonts w:ascii="Tahoma" w:hAnsi="Tahoma"/>
                <w:b/>
                <w:bCs/>
                <w:color w:val="000000" w:themeColor="text1"/>
                <w:sz w:val="16"/>
                <w:lang w:val="en-GB"/>
              </w:rPr>
            </w:pPr>
            <w:r w:rsidRPr="004528DA">
              <w:rPr>
                <w:rFonts w:ascii="Tahoma" w:hAnsi="Tahoma"/>
                <w:b/>
                <w:bCs/>
                <w:color w:val="000000" w:themeColor="text1"/>
                <w:sz w:val="16"/>
                <w:lang w:val="en-GB"/>
              </w:rPr>
              <w:t>161</w:t>
            </w:r>
          </w:p>
        </w:tc>
        <w:tc>
          <w:tcPr>
            <w:tcW w:w="1134" w:type="dxa"/>
            <w:shd w:val="clear" w:color="auto" w:fill="auto"/>
            <w:tcMar>
              <w:top w:w="57" w:type="dxa"/>
              <w:left w:w="0" w:type="dxa"/>
              <w:bottom w:w="57" w:type="dxa"/>
              <w:right w:w="0" w:type="dxa"/>
            </w:tcMar>
            <w:vAlign w:val="bottom"/>
          </w:tcPr>
          <w:p w14:paraId="7C7904F7" w14:textId="77777777" w:rsidR="004528DA" w:rsidRPr="004528DA" w:rsidRDefault="004528DA" w:rsidP="001E1B8D">
            <w:pPr>
              <w:spacing w:line="240" w:lineRule="atLeast"/>
              <w:jc w:val="right"/>
              <w:rPr>
                <w:rFonts w:ascii="Tahoma" w:hAnsi="Tahoma"/>
                <w:color w:val="000000" w:themeColor="text1"/>
                <w:sz w:val="16"/>
                <w:lang w:val="en-GB"/>
              </w:rPr>
            </w:pPr>
            <w:r w:rsidRPr="004528DA">
              <w:rPr>
                <w:rFonts w:ascii="Tahoma" w:hAnsi="Tahoma"/>
                <w:color w:val="000000" w:themeColor="text1"/>
                <w:sz w:val="16"/>
                <w:lang w:val="en-GB"/>
              </w:rPr>
              <w:t>154</w:t>
            </w:r>
          </w:p>
        </w:tc>
      </w:tr>
      <w:tr w:rsidR="00615190" w:rsidRPr="004528DA" w14:paraId="6364FE9D" w14:textId="77777777" w:rsidTr="00480C8B">
        <w:trPr>
          <w:trHeight w:val="60"/>
        </w:trPr>
        <w:tc>
          <w:tcPr>
            <w:tcW w:w="397" w:type="dxa"/>
            <w:shd w:val="clear" w:color="auto" w:fill="auto"/>
            <w:tcMar>
              <w:top w:w="57" w:type="dxa"/>
              <w:left w:w="0" w:type="dxa"/>
              <w:bottom w:w="57" w:type="dxa"/>
              <w:right w:w="0" w:type="dxa"/>
            </w:tcMar>
            <w:vAlign w:val="bottom"/>
          </w:tcPr>
          <w:p w14:paraId="74A101C8" w14:textId="77777777" w:rsidR="004528DA" w:rsidRPr="004528DA" w:rsidRDefault="004528DA" w:rsidP="00615190">
            <w:pPr>
              <w:spacing w:line="240" w:lineRule="atLeast"/>
              <w:rPr>
                <w:rFonts w:ascii="Tahoma" w:hAnsi="Tahoma"/>
                <w:color w:val="000000" w:themeColor="text1"/>
                <w:sz w:val="16"/>
                <w:lang w:val="en-GB"/>
              </w:rPr>
            </w:pPr>
          </w:p>
        </w:tc>
        <w:tc>
          <w:tcPr>
            <w:tcW w:w="7258" w:type="dxa"/>
            <w:shd w:val="clear" w:color="auto" w:fill="auto"/>
            <w:tcMar>
              <w:top w:w="57" w:type="dxa"/>
              <w:left w:w="0" w:type="dxa"/>
              <w:bottom w:w="57" w:type="dxa"/>
              <w:right w:w="0" w:type="dxa"/>
            </w:tcMar>
            <w:vAlign w:val="bottom"/>
          </w:tcPr>
          <w:p w14:paraId="5FCE3902" w14:textId="77777777" w:rsidR="004528DA" w:rsidRPr="004528DA" w:rsidRDefault="004528DA" w:rsidP="00615190">
            <w:pPr>
              <w:spacing w:line="240" w:lineRule="atLeast"/>
              <w:rPr>
                <w:rFonts w:ascii="Tahoma" w:hAnsi="Tahoma"/>
                <w:color w:val="000000" w:themeColor="text1"/>
                <w:sz w:val="16"/>
                <w:lang w:val="en-GB"/>
              </w:rPr>
            </w:pPr>
            <w:proofErr w:type="spellStart"/>
            <w:r w:rsidRPr="004528DA">
              <w:rPr>
                <w:rFonts w:ascii="Tahoma" w:hAnsi="Tahoma"/>
                <w:color w:val="000000" w:themeColor="text1"/>
                <w:sz w:val="16"/>
                <w:lang w:val="en-GB"/>
              </w:rPr>
              <w:t>Inversiones</w:t>
            </w:r>
            <w:proofErr w:type="spellEnd"/>
            <w:r w:rsidRPr="004528DA">
              <w:rPr>
                <w:rFonts w:ascii="Tahoma" w:hAnsi="Tahoma"/>
                <w:color w:val="000000" w:themeColor="text1"/>
                <w:sz w:val="16"/>
                <w:lang w:val="en-GB"/>
              </w:rPr>
              <w:t xml:space="preserve"> CMR S.A.S.</w:t>
            </w:r>
          </w:p>
        </w:tc>
        <w:tc>
          <w:tcPr>
            <w:tcW w:w="1417" w:type="dxa"/>
            <w:shd w:val="clear" w:color="auto" w:fill="auto"/>
            <w:tcMar>
              <w:top w:w="57" w:type="dxa"/>
              <w:left w:w="0" w:type="dxa"/>
              <w:bottom w:w="57" w:type="dxa"/>
              <w:right w:w="0" w:type="dxa"/>
            </w:tcMar>
            <w:vAlign w:val="bottom"/>
          </w:tcPr>
          <w:p w14:paraId="056DFC8A" w14:textId="77777777" w:rsidR="004528DA" w:rsidRPr="004528DA" w:rsidRDefault="004528DA" w:rsidP="001E1B8D">
            <w:pPr>
              <w:spacing w:line="240" w:lineRule="atLeast"/>
              <w:jc w:val="right"/>
              <w:rPr>
                <w:rFonts w:ascii="Tahoma" w:hAnsi="Tahoma"/>
                <w:b/>
                <w:bCs/>
                <w:color w:val="000000" w:themeColor="text1"/>
                <w:sz w:val="16"/>
                <w:lang w:val="en-GB"/>
              </w:rPr>
            </w:pPr>
            <w:r w:rsidRPr="004528DA">
              <w:rPr>
                <w:rFonts w:ascii="Tahoma" w:hAnsi="Tahoma"/>
                <w:b/>
                <w:bCs/>
                <w:color w:val="000000" w:themeColor="text1"/>
                <w:sz w:val="16"/>
                <w:lang w:val="en-GB"/>
              </w:rPr>
              <w:t>25</w:t>
            </w:r>
          </w:p>
        </w:tc>
        <w:tc>
          <w:tcPr>
            <w:tcW w:w="1134" w:type="dxa"/>
            <w:shd w:val="clear" w:color="auto" w:fill="auto"/>
            <w:tcMar>
              <w:top w:w="57" w:type="dxa"/>
              <w:left w:w="0" w:type="dxa"/>
              <w:bottom w:w="57" w:type="dxa"/>
              <w:right w:w="0" w:type="dxa"/>
            </w:tcMar>
            <w:vAlign w:val="bottom"/>
          </w:tcPr>
          <w:p w14:paraId="677DE271" w14:textId="77777777" w:rsidR="004528DA" w:rsidRPr="004528DA" w:rsidRDefault="004528DA" w:rsidP="001E1B8D">
            <w:pPr>
              <w:spacing w:line="240" w:lineRule="atLeast"/>
              <w:jc w:val="right"/>
              <w:rPr>
                <w:rFonts w:ascii="Tahoma" w:hAnsi="Tahoma"/>
                <w:color w:val="000000" w:themeColor="text1"/>
                <w:sz w:val="16"/>
                <w:lang w:val="en-GB"/>
              </w:rPr>
            </w:pPr>
            <w:r w:rsidRPr="004528DA">
              <w:rPr>
                <w:rFonts w:ascii="Tahoma" w:hAnsi="Tahoma"/>
                <w:color w:val="000000" w:themeColor="text1"/>
                <w:sz w:val="16"/>
                <w:lang w:val="en-GB"/>
              </w:rPr>
              <w:t>21</w:t>
            </w:r>
          </w:p>
        </w:tc>
      </w:tr>
      <w:tr w:rsidR="00615190" w:rsidRPr="004528DA" w14:paraId="372BE535" w14:textId="77777777" w:rsidTr="00480C8B">
        <w:trPr>
          <w:trHeight w:val="60"/>
        </w:trPr>
        <w:tc>
          <w:tcPr>
            <w:tcW w:w="397" w:type="dxa"/>
            <w:shd w:val="clear" w:color="auto" w:fill="auto"/>
            <w:tcMar>
              <w:top w:w="57" w:type="dxa"/>
              <w:left w:w="0" w:type="dxa"/>
              <w:bottom w:w="57" w:type="dxa"/>
              <w:right w:w="0" w:type="dxa"/>
            </w:tcMar>
            <w:vAlign w:val="bottom"/>
          </w:tcPr>
          <w:p w14:paraId="3488A6A7" w14:textId="77777777" w:rsidR="004528DA" w:rsidRPr="004528DA" w:rsidRDefault="004528DA" w:rsidP="00615190">
            <w:pPr>
              <w:spacing w:line="240" w:lineRule="atLeast"/>
              <w:rPr>
                <w:rFonts w:ascii="Tahoma" w:hAnsi="Tahoma"/>
                <w:color w:val="000000" w:themeColor="text1"/>
                <w:sz w:val="16"/>
                <w:lang w:val="en-GB"/>
              </w:rPr>
            </w:pPr>
          </w:p>
        </w:tc>
        <w:tc>
          <w:tcPr>
            <w:tcW w:w="7258" w:type="dxa"/>
            <w:shd w:val="clear" w:color="auto" w:fill="auto"/>
            <w:tcMar>
              <w:top w:w="57" w:type="dxa"/>
              <w:left w:w="0" w:type="dxa"/>
              <w:bottom w:w="57" w:type="dxa"/>
              <w:right w:w="0" w:type="dxa"/>
            </w:tcMar>
            <w:vAlign w:val="bottom"/>
          </w:tcPr>
          <w:p w14:paraId="796E116E" w14:textId="77777777" w:rsidR="004528DA" w:rsidRPr="004528DA" w:rsidRDefault="004528DA" w:rsidP="00615190">
            <w:pPr>
              <w:spacing w:line="240" w:lineRule="atLeast"/>
              <w:rPr>
                <w:rFonts w:ascii="Tahoma" w:hAnsi="Tahoma"/>
                <w:color w:val="000000" w:themeColor="text1"/>
                <w:sz w:val="16"/>
                <w:lang w:val="en-GB"/>
              </w:rPr>
            </w:pPr>
            <w:r w:rsidRPr="004528DA">
              <w:rPr>
                <w:rFonts w:ascii="Tahoma" w:hAnsi="Tahoma"/>
                <w:color w:val="000000" w:themeColor="text1"/>
                <w:sz w:val="16"/>
                <w:lang w:val="en-GB"/>
              </w:rPr>
              <w:t>ODA Norway AS</w:t>
            </w:r>
          </w:p>
        </w:tc>
        <w:tc>
          <w:tcPr>
            <w:tcW w:w="1417" w:type="dxa"/>
            <w:shd w:val="clear" w:color="auto" w:fill="auto"/>
            <w:tcMar>
              <w:top w:w="57" w:type="dxa"/>
              <w:left w:w="0" w:type="dxa"/>
              <w:bottom w:w="57" w:type="dxa"/>
              <w:right w:w="0" w:type="dxa"/>
            </w:tcMar>
            <w:vAlign w:val="bottom"/>
          </w:tcPr>
          <w:p w14:paraId="0E9FB515" w14:textId="77777777" w:rsidR="004528DA" w:rsidRPr="004528DA" w:rsidRDefault="004528DA" w:rsidP="001E1B8D">
            <w:pPr>
              <w:spacing w:line="240" w:lineRule="atLeast"/>
              <w:jc w:val="right"/>
              <w:rPr>
                <w:rFonts w:ascii="Tahoma" w:hAnsi="Tahoma"/>
                <w:b/>
                <w:bCs/>
                <w:color w:val="000000" w:themeColor="text1"/>
                <w:sz w:val="16"/>
                <w:lang w:val="en-GB"/>
              </w:rPr>
            </w:pPr>
            <w:r w:rsidRPr="004528DA">
              <w:rPr>
                <w:rFonts w:ascii="Tahoma" w:hAnsi="Tahoma"/>
                <w:b/>
                <w:bCs/>
                <w:color w:val="000000" w:themeColor="text1"/>
                <w:sz w:val="16"/>
                <w:lang w:val="en-GB"/>
              </w:rPr>
              <w:t>22</w:t>
            </w:r>
          </w:p>
        </w:tc>
        <w:tc>
          <w:tcPr>
            <w:tcW w:w="1134" w:type="dxa"/>
            <w:shd w:val="clear" w:color="auto" w:fill="auto"/>
            <w:tcMar>
              <w:top w:w="57" w:type="dxa"/>
              <w:left w:w="0" w:type="dxa"/>
              <w:bottom w:w="57" w:type="dxa"/>
              <w:right w:w="0" w:type="dxa"/>
            </w:tcMar>
            <w:vAlign w:val="bottom"/>
          </w:tcPr>
          <w:p w14:paraId="1FF28D85" w14:textId="77777777" w:rsidR="004528DA" w:rsidRPr="004528DA" w:rsidRDefault="004528DA" w:rsidP="001E1B8D">
            <w:pPr>
              <w:spacing w:line="240" w:lineRule="atLeast"/>
              <w:jc w:val="right"/>
              <w:rPr>
                <w:rFonts w:ascii="Tahoma" w:hAnsi="Tahoma"/>
                <w:color w:val="000000" w:themeColor="text1"/>
                <w:sz w:val="16"/>
                <w:lang w:val="en-GB"/>
              </w:rPr>
            </w:pPr>
            <w:r w:rsidRPr="004528DA">
              <w:rPr>
                <w:rFonts w:ascii="Tahoma" w:hAnsi="Tahoma"/>
                <w:color w:val="000000" w:themeColor="text1"/>
                <w:sz w:val="16"/>
                <w:lang w:val="en-GB"/>
              </w:rPr>
              <w:t>—</w:t>
            </w:r>
          </w:p>
        </w:tc>
      </w:tr>
      <w:tr w:rsidR="00615190" w:rsidRPr="004528DA" w14:paraId="3622EAEF" w14:textId="77777777" w:rsidTr="00480C8B">
        <w:trPr>
          <w:trHeight w:val="60"/>
        </w:trPr>
        <w:tc>
          <w:tcPr>
            <w:tcW w:w="397" w:type="dxa"/>
            <w:shd w:val="clear" w:color="auto" w:fill="auto"/>
            <w:tcMar>
              <w:top w:w="57" w:type="dxa"/>
              <w:left w:w="0" w:type="dxa"/>
              <w:bottom w:w="57" w:type="dxa"/>
              <w:right w:w="0" w:type="dxa"/>
            </w:tcMar>
            <w:vAlign w:val="bottom"/>
          </w:tcPr>
          <w:p w14:paraId="2A04FD71" w14:textId="77777777" w:rsidR="004528DA" w:rsidRPr="004528DA" w:rsidRDefault="004528DA" w:rsidP="00615190">
            <w:pPr>
              <w:spacing w:line="240" w:lineRule="atLeast"/>
              <w:rPr>
                <w:rFonts w:ascii="Tahoma" w:hAnsi="Tahoma"/>
                <w:color w:val="000000" w:themeColor="text1"/>
                <w:sz w:val="16"/>
                <w:lang w:val="en-GB"/>
              </w:rPr>
            </w:pPr>
          </w:p>
        </w:tc>
        <w:tc>
          <w:tcPr>
            <w:tcW w:w="7258" w:type="dxa"/>
            <w:shd w:val="clear" w:color="auto" w:fill="auto"/>
            <w:tcMar>
              <w:top w:w="57" w:type="dxa"/>
              <w:left w:w="0" w:type="dxa"/>
              <w:bottom w:w="57" w:type="dxa"/>
              <w:right w:w="0" w:type="dxa"/>
            </w:tcMar>
            <w:vAlign w:val="bottom"/>
          </w:tcPr>
          <w:p w14:paraId="1C7BB411" w14:textId="77777777" w:rsidR="004528DA" w:rsidRPr="004528DA" w:rsidRDefault="004528DA" w:rsidP="00615190">
            <w:pPr>
              <w:spacing w:line="240" w:lineRule="atLeast"/>
              <w:rPr>
                <w:rFonts w:ascii="Tahoma" w:hAnsi="Tahoma"/>
                <w:color w:val="000000" w:themeColor="text1"/>
                <w:sz w:val="16"/>
                <w:lang w:val="en-GB"/>
              </w:rPr>
            </w:pPr>
            <w:proofErr w:type="spellStart"/>
            <w:r w:rsidRPr="004528DA">
              <w:rPr>
                <w:rFonts w:ascii="Tahoma" w:hAnsi="Tahoma"/>
                <w:color w:val="000000" w:themeColor="text1"/>
                <w:sz w:val="16"/>
                <w:lang w:val="en-GB"/>
              </w:rPr>
              <w:t>GoodGuyz</w:t>
            </w:r>
            <w:proofErr w:type="spellEnd"/>
            <w:r w:rsidRPr="004528DA">
              <w:rPr>
                <w:rFonts w:ascii="Tahoma" w:hAnsi="Tahoma"/>
                <w:color w:val="000000" w:themeColor="text1"/>
                <w:sz w:val="16"/>
                <w:lang w:val="en-GB"/>
              </w:rPr>
              <w:t xml:space="preserve"> Investments B.V.</w:t>
            </w:r>
          </w:p>
        </w:tc>
        <w:tc>
          <w:tcPr>
            <w:tcW w:w="1417" w:type="dxa"/>
            <w:shd w:val="clear" w:color="auto" w:fill="auto"/>
            <w:tcMar>
              <w:top w:w="57" w:type="dxa"/>
              <w:left w:w="0" w:type="dxa"/>
              <w:bottom w:w="57" w:type="dxa"/>
              <w:right w:w="0" w:type="dxa"/>
            </w:tcMar>
            <w:vAlign w:val="bottom"/>
          </w:tcPr>
          <w:p w14:paraId="50B7A5C0" w14:textId="77777777" w:rsidR="004528DA" w:rsidRPr="004528DA" w:rsidRDefault="004528DA" w:rsidP="001E1B8D">
            <w:pPr>
              <w:spacing w:line="240" w:lineRule="atLeast"/>
              <w:jc w:val="right"/>
              <w:rPr>
                <w:rFonts w:ascii="Tahoma" w:hAnsi="Tahoma"/>
                <w:b/>
                <w:bCs/>
                <w:color w:val="000000" w:themeColor="text1"/>
                <w:sz w:val="16"/>
                <w:lang w:val="en-GB"/>
              </w:rPr>
            </w:pPr>
            <w:r w:rsidRPr="004528DA">
              <w:rPr>
                <w:rFonts w:ascii="Tahoma" w:hAnsi="Tahoma"/>
                <w:b/>
                <w:bCs/>
                <w:color w:val="000000" w:themeColor="text1"/>
                <w:sz w:val="16"/>
                <w:lang w:val="en-GB"/>
              </w:rPr>
              <w:t>6</w:t>
            </w:r>
          </w:p>
        </w:tc>
        <w:tc>
          <w:tcPr>
            <w:tcW w:w="1134" w:type="dxa"/>
            <w:shd w:val="clear" w:color="auto" w:fill="auto"/>
            <w:tcMar>
              <w:top w:w="57" w:type="dxa"/>
              <w:left w:w="0" w:type="dxa"/>
              <w:bottom w:w="57" w:type="dxa"/>
              <w:right w:w="0" w:type="dxa"/>
            </w:tcMar>
            <w:vAlign w:val="bottom"/>
          </w:tcPr>
          <w:p w14:paraId="305E8BB8" w14:textId="77777777" w:rsidR="004528DA" w:rsidRPr="004528DA" w:rsidRDefault="004528DA" w:rsidP="001E1B8D">
            <w:pPr>
              <w:spacing w:line="240" w:lineRule="atLeast"/>
              <w:jc w:val="right"/>
              <w:rPr>
                <w:rFonts w:ascii="Tahoma" w:hAnsi="Tahoma"/>
                <w:color w:val="000000" w:themeColor="text1"/>
                <w:sz w:val="16"/>
                <w:lang w:val="en-GB"/>
              </w:rPr>
            </w:pPr>
            <w:r w:rsidRPr="004528DA">
              <w:rPr>
                <w:rFonts w:ascii="Tahoma" w:hAnsi="Tahoma"/>
                <w:color w:val="000000" w:themeColor="text1"/>
                <w:sz w:val="16"/>
                <w:lang w:val="en-GB"/>
              </w:rPr>
              <w:t>6</w:t>
            </w:r>
          </w:p>
        </w:tc>
      </w:tr>
      <w:tr w:rsidR="00615190" w:rsidRPr="004528DA" w14:paraId="5AFE76D8" w14:textId="77777777" w:rsidTr="00480C8B">
        <w:trPr>
          <w:trHeight w:val="60"/>
        </w:trPr>
        <w:tc>
          <w:tcPr>
            <w:tcW w:w="397" w:type="dxa"/>
            <w:shd w:val="clear" w:color="auto" w:fill="auto"/>
            <w:tcMar>
              <w:top w:w="57" w:type="dxa"/>
              <w:left w:w="0" w:type="dxa"/>
              <w:bottom w:w="57" w:type="dxa"/>
              <w:right w:w="0" w:type="dxa"/>
            </w:tcMar>
            <w:vAlign w:val="bottom"/>
          </w:tcPr>
          <w:p w14:paraId="749BAB89" w14:textId="77777777" w:rsidR="004528DA" w:rsidRPr="004528DA" w:rsidRDefault="004528DA" w:rsidP="00615190">
            <w:pPr>
              <w:spacing w:line="240" w:lineRule="atLeast"/>
              <w:rPr>
                <w:rFonts w:ascii="Tahoma" w:hAnsi="Tahoma"/>
                <w:color w:val="000000" w:themeColor="text1"/>
                <w:sz w:val="16"/>
                <w:lang w:val="en-GB"/>
              </w:rPr>
            </w:pPr>
          </w:p>
        </w:tc>
        <w:tc>
          <w:tcPr>
            <w:tcW w:w="7258" w:type="dxa"/>
            <w:shd w:val="clear" w:color="auto" w:fill="auto"/>
            <w:tcMar>
              <w:top w:w="57" w:type="dxa"/>
              <w:left w:w="0" w:type="dxa"/>
              <w:bottom w:w="57" w:type="dxa"/>
              <w:right w:w="0" w:type="dxa"/>
            </w:tcMar>
            <w:vAlign w:val="bottom"/>
          </w:tcPr>
          <w:p w14:paraId="1310A95F" w14:textId="77777777" w:rsidR="004528DA" w:rsidRPr="004528DA" w:rsidRDefault="004528DA" w:rsidP="00615190">
            <w:pPr>
              <w:spacing w:line="240" w:lineRule="atLeast"/>
              <w:rPr>
                <w:rFonts w:ascii="Tahoma" w:hAnsi="Tahoma"/>
                <w:color w:val="000000" w:themeColor="text1"/>
                <w:sz w:val="16"/>
                <w:lang w:val="en-GB"/>
              </w:rPr>
            </w:pPr>
            <w:proofErr w:type="spellStart"/>
            <w:r w:rsidRPr="004528DA">
              <w:rPr>
                <w:rFonts w:ascii="Tahoma" w:hAnsi="Tahoma"/>
                <w:color w:val="000000" w:themeColor="text1"/>
                <w:sz w:val="16"/>
                <w:lang w:val="en-GB"/>
              </w:rPr>
              <w:t>Silvergate</w:t>
            </w:r>
            <w:proofErr w:type="spellEnd"/>
            <w:r w:rsidRPr="004528DA">
              <w:rPr>
                <w:rFonts w:ascii="Tahoma" w:hAnsi="Tahoma"/>
                <w:color w:val="000000" w:themeColor="text1"/>
                <w:sz w:val="16"/>
                <w:lang w:val="en-GB"/>
              </w:rPr>
              <w:t xml:space="preserve"> Capital Corporation</w:t>
            </w:r>
          </w:p>
        </w:tc>
        <w:tc>
          <w:tcPr>
            <w:tcW w:w="1417" w:type="dxa"/>
            <w:shd w:val="clear" w:color="auto" w:fill="auto"/>
            <w:tcMar>
              <w:top w:w="57" w:type="dxa"/>
              <w:left w:w="0" w:type="dxa"/>
              <w:bottom w:w="57" w:type="dxa"/>
              <w:right w:w="0" w:type="dxa"/>
            </w:tcMar>
            <w:vAlign w:val="bottom"/>
          </w:tcPr>
          <w:p w14:paraId="013E6C12" w14:textId="77777777" w:rsidR="004528DA" w:rsidRPr="004528DA" w:rsidRDefault="004528DA" w:rsidP="001E1B8D">
            <w:pPr>
              <w:spacing w:line="240" w:lineRule="atLeast"/>
              <w:jc w:val="right"/>
              <w:rPr>
                <w:rFonts w:ascii="Tahoma" w:hAnsi="Tahoma"/>
                <w:b/>
                <w:bCs/>
                <w:color w:val="000000" w:themeColor="text1"/>
                <w:sz w:val="16"/>
                <w:lang w:val="en-GB"/>
              </w:rPr>
            </w:pPr>
            <w:r w:rsidRPr="004528DA">
              <w:rPr>
                <w:rFonts w:ascii="Tahoma" w:hAnsi="Tahoma"/>
                <w:b/>
                <w:bCs/>
                <w:color w:val="000000" w:themeColor="text1"/>
                <w:sz w:val="16"/>
                <w:lang w:val="en-GB"/>
              </w:rPr>
              <w:t>2</w:t>
            </w:r>
          </w:p>
        </w:tc>
        <w:tc>
          <w:tcPr>
            <w:tcW w:w="1134" w:type="dxa"/>
            <w:shd w:val="clear" w:color="auto" w:fill="auto"/>
            <w:tcMar>
              <w:top w:w="57" w:type="dxa"/>
              <w:left w:w="0" w:type="dxa"/>
              <w:bottom w:w="57" w:type="dxa"/>
              <w:right w:w="0" w:type="dxa"/>
            </w:tcMar>
            <w:vAlign w:val="bottom"/>
          </w:tcPr>
          <w:p w14:paraId="52C497C0" w14:textId="77777777" w:rsidR="004528DA" w:rsidRPr="004528DA" w:rsidRDefault="004528DA" w:rsidP="001E1B8D">
            <w:pPr>
              <w:spacing w:line="240" w:lineRule="atLeast"/>
              <w:jc w:val="right"/>
              <w:rPr>
                <w:rFonts w:ascii="Tahoma" w:hAnsi="Tahoma"/>
                <w:color w:val="000000" w:themeColor="text1"/>
                <w:sz w:val="16"/>
                <w:lang w:val="en-GB"/>
              </w:rPr>
            </w:pPr>
            <w:r w:rsidRPr="004528DA">
              <w:rPr>
                <w:rFonts w:ascii="Tahoma" w:hAnsi="Tahoma"/>
                <w:color w:val="000000" w:themeColor="text1"/>
                <w:sz w:val="16"/>
                <w:lang w:val="en-GB"/>
              </w:rPr>
              <w:t>4</w:t>
            </w:r>
          </w:p>
        </w:tc>
      </w:tr>
      <w:tr w:rsidR="00615190" w:rsidRPr="004528DA" w14:paraId="78C3FCEE" w14:textId="77777777" w:rsidTr="004F7E32">
        <w:trPr>
          <w:trHeight w:val="60"/>
        </w:trPr>
        <w:tc>
          <w:tcPr>
            <w:tcW w:w="397" w:type="dxa"/>
            <w:shd w:val="clear" w:color="auto" w:fill="auto"/>
            <w:tcMar>
              <w:top w:w="57" w:type="dxa"/>
              <w:left w:w="0" w:type="dxa"/>
              <w:bottom w:w="57" w:type="dxa"/>
              <w:right w:w="0" w:type="dxa"/>
            </w:tcMar>
            <w:vAlign w:val="bottom"/>
          </w:tcPr>
          <w:p w14:paraId="6F221674" w14:textId="77777777" w:rsidR="004528DA" w:rsidRPr="004528DA" w:rsidRDefault="004528DA" w:rsidP="00615190">
            <w:pPr>
              <w:spacing w:line="240" w:lineRule="atLeast"/>
              <w:rPr>
                <w:rFonts w:ascii="Tahoma" w:hAnsi="Tahoma"/>
                <w:color w:val="000000" w:themeColor="text1"/>
                <w:sz w:val="16"/>
                <w:lang w:val="en-GB"/>
              </w:rPr>
            </w:pPr>
          </w:p>
        </w:tc>
        <w:tc>
          <w:tcPr>
            <w:tcW w:w="7258" w:type="dxa"/>
            <w:shd w:val="clear" w:color="auto" w:fill="auto"/>
            <w:tcMar>
              <w:top w:w="57" w:type="dxa"/>
              <w:left w:w="0" w:type="dxa"/>
              <w:bottom w:w="57" w:type="dxa"/>
              <w:right w:w="0" w:type="dxa"/>
            </w:tcMar>
            <w:vAlign w:val="bottom"/>
          </w:tcPr>
          <w:p w14:paraId="09C4661E" w14:textId="77777777" w:rsidR="004528DA" w:rsidRPr="004528DA" w:rsidRDefault="004528DA" w:rsidP="00615190">
            <w:pPr>
              <w:spacing w:line="240" w:lineRule="atLeast"/>
              <w:rPr>
                <w:rFonts w:ascii="Tahoma" w:hAnsi="Tahoma"/>
                <w:color w:val="000000" w:themeColor="text1"/>
                <w:sz w:val="16"/>
                <w:lang w:val="en-GB"/>
              </w:rPr>
            </w:pPr>
            <w:r w:rsidRPr="004528DA">
              <w:rPr>
                <w:rFonts w:ascii="Tahoma" w:hAnsi="Tahoma"/>
                <w:color w:val="000000" w:themeColor="text1"/>
                <w:sz w:val="16"/>
                <w:lang w:val="en-GB"/>
              </w:rPr>
              <w:t>Various other related parties</w:t>
            </w:r>
          </w:p>
        </w:tc>
        <w:tc>
          <w:tcPr>
            <w:tcW w:w="1417" w:type="dxa"/>
            <w:shd w:val="clear" w:color="auto" w:fill="auto"/>
            <w:tcMar>
              <w:top w:w="57" w:type="dxa"/>
              <w:left w:w="0" w:type="dxa"/>
              <w:bottom w:w="57" w:type="dxa"/>
              <w:right w:w="0" w:type="dxa"/>
            </w:tcMar>
            <w:vAlign w:val="bottom"/>
          </w:tcPr>
          <w:p w14:paraId="4E8E37AF" w14:textId="77777777" w:rsidR="004528DA" w:rsidRPr="004528DA" w:rsidRDefault="004528DA" w:rsidP="001E1B8D">
            <w:pPr>
              <w:spacing w:line="240" w:lineRule="atLeast"/>
              <w:jc w:val="right"/>
              <w:rPr>
                <w:rFonts w:ascii="Tahoma" w:hAnsi="Tahoma"/>
                <w:b/>
                <w:bCs/>
                <w:color w:val="000000" w:themeColor="text1"/>
                <w:sz w:val="16"/>
                <w:lang w:val="en-GB"/>
              </w:rPr>
            </w:pPr>
            <w:r w:rsidRPr="004528DA">
              <w:rPr>
                <w:rFonts w:ascii="Tahoma" w:hAnsi="Tahoma"/>
                <w:b/>
                <w:bCs/>
                <w:color w:val="000000" w:themeColor="text1"/>
                <w:sz w:val="16"/>
                <w:lang w:val="en-GB"/>
              </w:rPr>
              <w:t>11</w:t>
            </w:r>
          </w:p>
        </w:tc>
        <w:tc>
          <w:tcPr>
            <w:tcW w:w="1134" w:type="dxa"/>
            <w:shd w:val="clear" w:color="auto" w:fill="auto"/>
            <w:tcMar>
              <w:top w:w="57" w:type="dxa"/>
              <w:left w:w="0" w:type="dxa"/>
              <w:bottom w:w="57" w:type="dxa"/>
              <w:right w:w="0" w:type="dxa"/>
            </w:tcMar>
            <w:vAlign w:val="bottom"/>
          </w:tcPr>
          <w:p w14:paraId="40FB038D" w14:textId="77777777" w:rsidR="004528DA" w:rsidRPr="004528DA" w:rsidRDefault="004528DA" w:rsidP="001E1B8D">
            <w:pPr>
              <w:spacing w:line="240" w:lineRule="atLeast"/>
              <w:jc w:val="right"/>
              <w:rPr>
                <w:rFonts w:ascii="Tahoma" w:hAnsi="Tahoma"/>
                <w:color w:val="000000" w:themeColor="text1"/>
                <w:sz w:val="16"/>
                <w:lang w:val="en-GB"/>
              </w:rPr>
            </w:pPr>
            <w:r w:rsidRPr="004528DA">
              <w:rPr>
                <w:rFonts w:ascii="Tahoma" w:hAnsi="Tahoma"/>
                <w:color w:val="000000" w:themeColor="text1"/>
                <w:sz w:val="16"/>
                <w:lang w:val="en-GB"/>
              </w:rPr>
              <w:t>6</w:t>
            </w:r>
          </w:p>
        </w:tc>
      </w:tr>
      <w:tr w:rsidR="00615190" w:rsidRPr="004528DA" w14:paraId="3E5EBA34" w14:textId="77777777" w:rsidTr="004F7E32">
        <w:trPr>
          <w:trHeight w:val="60"/>
        </w:trPr>
        <w:tc>
          <w:tcPr>
            <w:tcW w:w="397" w:type="dxa"/>
            <w:shd w:val="clear" w:color="auto" w:fill="auto"/>
            <w:tcMar>
              <w:top w:w="57" w:type="dxa"/>
              <w:left w:w="0" w:type="dxa"/>
              <w:bottom w:w="85" w:type="dxa"/>
              <w:right w:w="0" w:type="dxa"/>
            </w:tcMar>
            <w:vAlign w:val="bottom"/>
          </w:tcPr>
          <w:p w14:paraId="11CB25F5" w14:textId="77777777" w:rsidR="004528DA" w:rsidRPr="004528DA" w:rsidRDefault="004528DA" w:rsidP="00615190">
            <w:pPr>
              <w:spacing w:line="240" w:lineRule="atLeast"/>
              <w:rPr>
                <w:rFonts w:ascii="Tahoma" w:hAnsi="Tahoma"/>
                <w:color w:val="000000" w:themeColor="text1"/>
                <w:sz w:val="16"/>
                <w:lang w:val="en-GB"/>
              </w:rPr>
            </w:pPr>
          </w:p>
        </w:tc>
        <w:tc>
          <w:tcPr>
            <w:tcW w:w="7258" w:type="dxa"/>
            <w:tcBorders>
              <w:bottom w:val="single" w:sz="4" w:space="0" w:color="auto"/>
            </w:tcBorders>
            <w:shd w:val="clear" w:color="auto" w:fill="auto"/>
            <w:tcMar>
              <w:top w:w="57" w:type="dxa"/>
              <w:left w:w="0" w:type="dxa"/>
              <w:bottom w:w="85" w:type="dxa"/>
              <w:right w:w="0" w:type="dxa"/>
            </w:tcMar>
            <w:vAlign w:val="bottom"/>
          </w:tcPr>
          <w:p w14:paraId="397BE645" w14:textId="77777777" w:rsidR="004528DA" w:rsidRPr="004528DA" w:rsidRDefault="004528DA" w:rsidP="00615190">
            <w:pPr>
              <w:spacing w:line="240" w:lineRule="atLeast"/>
              <w:rPr>
                <w:rFonts w:ascii="Tahoma" w:hAnsi="Tahoma"/>
                <w:color w:val="000000" w:themeColor="text1"/>
                <w:sz w:val="16"/>
                <w:lang w:val="en-GB"/>
              </w:rPr>
            </w:pPr>
            <w:r w:rsidRPr="004528DA">
              <w:rPr>
                <w:rFonts w:ascii="Tahoma" w:hAnsi="Tahoma"/>
                <w:i/>
                <w:iCs/>
                <w:color w:val="000000" w:themeColor="text1"/>
                <w:sz w:val="16"/>
                <w:lang w:val="en-GB"/>
              </w:rPr>
              <w:t>Less</w:t>
            </w:r>
            <w:r w:rsidRPr="004528DA">
              <w:rPr>
                <w:rFonts w:ascii="Tahoma" w:hAnsi="Tahoma"/>
                <w:color w:val="000000" w:themeColor="text1"/>
                <w:sz w:val="16"/>
                <w:lang w:val="en-GB"/>
              </w:rPr>
              <w:t>: Allowance for impairment of loans and receivables</w:t>
            </w:r>
            <w:r w:rsidRPr="004528DA">
              <w:rPr>
                <w:rFonts w:ascii="Tahoma" w:hAnsi="Tahoma"/>
                <w:color w:val="000000" w:themeColor="text1"/>
                <w:sz w:val="16"/>
                <w:vertAlign w:val="superscript"/>
                <w:lang w:val="en-GB"/>
              </w:rPr>
              <w:t>3</w:t>
            </w:r>
          </w:p>
        </w:tc>
        <w:tc>
          <w:tcPr>
            <w:tcW w:w="1417" w:type="dxa"/>
            <w:tcBorders>
              <w:bottom w:val="single" w:sz="4" w:space="0" w:color="auto"/>
            </w:tcBorders>
            <w:shd w:val="clear" w:color="auto" w:fill="auto"/>
            <w:tcMar>
              <w:top w:w="57" w:type="dxa"/>
              <w:left w:w="0" w:type="dxa"/>
              <w:bottom w:w="85" w:type="dxa"/>
              <w:right w:w="0" w:type="dxa"/>
            </w:tcMar>
            <w:vAlign w:val="bottom"/>
          </w:tcPr>
          <w:p w14:paraId="613DBCBB" w14:textId="77777777" w:rsidR="004528DA" w:rsidRPr="004528DA" w:rsidRDefault="004528DA" w:rsidP="001E1B8D">
            <w:pPr>
              <w:spacing w:line="240" w:lineRule="atLeast"/>
              <w:jc w:val="right"/>
              <w:rPr>
                <w:rFonts w:ascii="Tahoma" w:hAnsi="Tahoma"/>
                <w:b/>
                <w:bCs/>
                <w:color w:val="000000" w:themeColor="text1"/>
                <w:sz w:val="16"/>
                <w:lang w:val="en-GB"/>
              </w:rPr>
            </w:pPr>
            <w:r w:rsidRPr="004528DA">
              <w:rPr>
                <w:rFonts w:ascii="Tahoma" w:hAnsi="Tahoma"/>
                <w:b/>
                <w:bCs/>
                <w:color w:val="000000" w:themeColor="text1"/>
                <w:sz w:val="16"/>
                <w:lang w:val="en-GB"/>
              </w:rPr>
              <w:t>—</w:t>
            </w:r>
          </w:p>
        </w:tc>
        <w:tc>
          <w:tcPr>
            <w:tcW w:w="1134" w:type="dxa"/>
            <w:tcBorders>
              <w:bottom w:val="single" w:sz="4" w:space="0" w:color="auto"/>
            </w:tcBorders>
            <w:shd w:val="clear" w:color="auto" w:fill="auto"/>
            <w:tcMar>
              <w:top w:w="57" w:type="dxa"/>
              <w:left w:w="0" w:type="dxa"/>
              <w:bottom w:w="85" w:type="dxa"/>
              <w:right w:w="0" w:type="dxa"/>
            </w:tcMar>
            <w:vAlign w:val="bottom"/>
          </w:tcPr>
          <w:p w14:paraId="187E3FB5" w14:textId="77777777" w:rsidR="004528DA" w:rsidRPr="004528DA" w:rsidRDefault="004528DA" w:rsidP="001E1B8D">
            <w:pPr>
              <w:spacing w:line="240" w:lineRule="atLeast"/>
              <w:jc w:val="right"/>
              <w:rPr>
                <w:rFonts w:ascii="Tahoma" w:hAnsi="Tahoma"/>
                <w:color w:val="000000" w:themeColor="text1"/>
                <w:sz w:val="16"/>
                <w:lang w:val="en-GB"/>
              </w:rPr>
            </w:pPr>
            <w:r w:rsidRPr="004528DA">
              <w:rPr>
                <w:rFonts w:ascii="Tahoma" w:hAnsi="Tahoma"/>
                <w:color w:val="000000" w:themeColor="text1"/>
                <w:sz w:val="16"/>
                <w:lang w:val="en-GB"/>
              </w:rPr>
              <w:t>—</w:t>
            </w:r>
          </w:p>
        </w:tc>
      </w:tr>
      <w:tr w:rsidR="00615190" w:rsidRPr="004528DA" w14:paraId="7D23D7AA" w14:textId="77777777" w:rsidTr="005059C5">
        <w:trPr>
          <w:trHeight w:val="60"/>
        </w:trPr>
        <w:tc>
          <w:tcPr>
            <w:tcW w:w="397" w:type="dxa"/>
            <w:shd w:val="clear" w:color="auto" w:fill="auto"/>
            <w:tcMar>
              <w:top w:w="85" w:type="dxa"/>
              <w:left w:w="0" w:type="dxa"/>
              <w:bottom w:w="57" w:type="dxa"/>
              <w:right w:w="0" w:type="dxa"/>
            </w:tcMar>
            <w:vAlign w:val="bottom"/>
          </w:tcPr>
          <w:p w14:paraId="531A2040" w14:textId="77777777" w:rsidR="004528DA" w:rsidRPr="004528DA" w:rsidRDefault="004528DA" w:rsidP="00615190">
            <w:pPr>
              <w:spacing w:line="240" w:lineRule="atLeast"/>
              <w:rPr>
                <w:rFonts w:ascii="Tahoma" w:hAnsi="Tahoma"/>
                <w:color w:val="000000" w:themeColor="text1"/>
                <w:sz w:val="16"/>
                <w:lang w:val="en-GB"/>
              </w:rPr>
            </w:pPr>
          </w:p>
        </w:tc>
        <w:tc>
          <w:tcPr>
            <w:tcW w:w="7258" w:type="dxa"/>
            <w:tcBorders>
              <w:top w:val="single" w:sz="4" w:space="0" w:color="auto"/>
            </w:tcBorders>
            <w:shd w:val="clear" w:color="auto" w:fill="auto"/>
            <w:tcMar>
              <w:top w:w="85" w:type="dxa"/>
              <w:left w:w="0" w:type="dxa"/>
              <w:bottom w:w="57" w:type="dxa"/>
              <w:right w:w="0" w:type="dxa"/>
            </w:tcMar>
            <w:vAlign w:val="bottom"/>
          </w:tcPr>
          <w:p w14:paraId="2C541C68" w14:textId="77777777" w:rsidR="004528DA" w:rsidRPr="004528DA" w:rsidRDefault="004528DA" w:rsidP="00615190">
            <w:pPr>
              <w:spacing w:line="240" w:lineRule="atLeast"/>
              <w:rPr>
                <w:rFonts w:ascii="Tahoma" w:hAnsi="Tahoma"/>
                <w:b/>
                <w:bCs/>
                <w:color w:val="000000" w:themeColor="text1"/>
                <w:sz w:val="16"/>
                <w:lang w:val="en-GB"/>
              </w:rPr>
            </w:pPr>
            <w:r w:rsidRPr="004528DA">
              <w:rPr>
                <w:rFonts w:ascii="Tahoma" w:hAnsi="Tahoma"/>
                <w:b/>
                <w:bCs/>
                <w:color w:val="000000" w:themeColor="text1"/>
                <w:sz w:val="16"/>
                <w:lang w:val="en-GB"/>
              </w:rPr>
              <w:t>Total related party receivables</w:t>
            </w:r>
          </w:p>
        </w:tc>
        <w:tc>
          <w:tcPr>
            <w:tcW w:w="1417" w:type="dxa"/>
            <w:tcBorders>
              <w:top w:val="single" w:sz="4" w:space="0" w:color="auto"/>
            </w:tcBorders>
            <w:shd w:val="clear" w:color="auto" w:fill="auto"/>
            <w:tcMar>
              <w:top w:w="85" w:type="dxa"/>
              <w:left w:w="0" w:type="dxa"/>
              <w:bottom w:w="57" w:type="dxa"/>
              <w:right w:w="0" w:type="dxa"/>
            </w:tcMar>
            <w:vAlign w:val="bottom"/>
          </w:tcPr>
          <w:p w14:paraId="31D27D80" w14:textId="77777777" w:rsidR="004528DA" w:rsidRPr="004528DA" w:rsidRDefault="004528DA" w:rsidP="001E1B8D">
            <w:pPr>
              <w:spacing w:line="240" w:lineRule="atLeast"/>
              <w:jc w:val="right"/>
              <w:rPr>
                <w:rFonts w:ascii="Tahoma" w:hAnsi="Tahoma"/>
                <w:b/>
                <w:bCs/>
                <w:color w:val="000000" w:themeColor="text1"/>
                <w:sz w:val="16"/>
                <w:lang w:val="en-GB"/>
              </w:rPr>
            </w:pPr>
            <w:r w:rsidRPr="004528DA">
              <w:rPr>
                <w:rFonts w:ascii="Tahoma" w:hAnsi="Tahoma"/>
                <w:b/>
                <w:bCs/>
                <w:color w:val="000000" w:themeColor="text1"/>
                <w:sz w:val="16"/>
                <w:lang w:val="en-GB"/>
              </w:rPr>
              <w:t>438</w:t>
            </w:r>
          </w:p>
        </w:tc>
        <w:tc>
          <w:tcPr>
            <w:tcW w:w="1134" w:type="dxa"/>
            <w:tcBorders>
              <w:top w:val="single" w:sz="4" w:space="0" w:color="auto"/>
            </w:tcBorders>
            <w:shd w:val="clear" w:color="auto" w:fill="auto"/>
            <w:tcMar>
              <w:top w:w="85" w:type="dxa"/>
              <w:left w:w="0" w:type="dxa"/>
              <w:bottom w:w="57" w:type="dxa"/>
              <w:right w:w="0" w:type="dxa"/>
            </w:tcMar>
            <w:vAlign w:val="bottom"/>
          </w:tcPr>
          <w:p w14:paraId="7325686B" w14:textId="77777777" w:rsidR="004528DA" w:rsidRPr="004528DA" w:rsidRDefault="004528DA" w:rsidP="001E1B8D">
            <w:pPr>
              <w:spacing w:line="240" w:lineRule="atLeast"/>
              <w:jc w:val="right"/>
              <w:rPr>
                <w:rFonts w:ascii="Tahoma" w:hAnsi="Tahoma"/>
                <w:color w:val="000000" w:themeColor="text1"/>
                <w:sz w:val="16"/>
                <w:lang w:val="en-GB"/>
              </w:rPr>
            </w:pPr>
            <w:r w:rsidRPr="004528DA">
              <w:rPr>
                <w:rFonts w:ascii="Tahoma" w:hAnsi="Tahoma"/>
                <w:color w:val="000000" w:themeColor="text1"/>
                <w:sz w:val="16"/>
                <w:lang w:val="en-GB"/>
              </w:rPr>
              <w:t>433</w:t>
            </w:r>
          </w:p>
        </w:tc>
      </w:tr>
      <w:tr w:rsidR="00615190" w:rsidRPr="004528DA" w14:paraId="600C9EEE" w14:textId="77777777" w:rsidTr="00724326">
        <w:trPr>
          <w:trHeight w:val="60"/>
        </w:trPr>
        <w:tc>
          <w:tcPr>
            <w:tcW w:w="397" w:type="dxa"/>
            <w:shd w:val="clear" w:color="auto" w:fill="auto"/>
            <w:tcMar>
              <w:top w:w="57" w:type="dxa"/>
              <w:left w:w="0" w:type="dxa"/>
              <w:bottom w:w="85" w:type="dxa"/>
              <w:right w:w="0" w:type="dxa"/>
            </w:tcMar>
            <w:vAlign w:val="bottom"/>
          </w:tcPr>
          <w:p w14:paraId="63158C44" w14:textId="77777777" w:rsidR="004528DA" w:rsidRPr="004528DA" w:rsidRDefault="004528DA" w:rsidP="00615190">
            <w:pPr>
              <w:spacing w:line="240" w:lineRule="atLeast"/>
              <w:rPr>
                <w:rFonts w:ascii="Tahoma" w:hAnsi="Tahoma"/>
                <w:color w:val="000000" w:themeColor="text1"/>
                <w:sz w:val="16"/>
                <w:lang w:val="en-GB"/>
              </w:rPr>
            </w:pPr>
          </w:p>
        </w:tc>
        <w:tc>
          <w:tcPr>
            <w:tcW w:w="7258" w:type="dxa"/>
            <w:tcBorders>
              <w:bottom w:val="single" w:sz="4" w:space="0" w:color="auto"/>
            </w:tcBorders>
            <w:shd w:val="clear" w:color="auto" w:fill="auto"/>
            <w:tcMar>
              <w:top w:w="57" w:type="dxa"/>
              <w:left w:w="0" w:type="dxa"/>
              <w:bottom w:w="85" w:type="dxa"/>
              <w:right w:w="0" w:type="dxa"/>
            </w:tcMar>
            <w:vAlign w:val="bottom"/>
          </w:tcPr>
          <w:p w14:paraId="4CB3021E" w14:textId="77777777" w:rsidR="004528DA" w:rsidRPr="004528DA" w:rsidRDefault="004528DA" w:rsidP="00615190">
            <w:pPr>
              <w:spacing w:line="240" w:lineRule="atLeast"/>
              <w:rPr>
                <w:rFonts w:ascii="Tahoma" w:hAnsi="Tahoma"/>
                <w:color w:val="000000" w:themeColor="text1"/>
                <w:sz w:val="16"/>
                <w:lang w:val="en-GB"/>
              </w:rPr>
            </w:pPr>
            <w:r w:rsidRPr="004528DA">
              <w:rPr>
                <w:rFonts w:ascii="Tahoma" w:hAnsi="Tahoma"/>
                <w:i/>
                <w:iCs/>
                <w:color w:val="000000" w:themeColor="text1"/>
                <w:sz w:val="16"/>
                <w:lang w:val="en-GB"/>
              </w:rPr>
              <w:t>Less</w:t>
            </w:r>
            <w:r w:rsidRPr="004528DA">
              <w:rPr>
                <w:rFonts w:ascii="Tahoma" w:hAnsi="Tahoma"/>
                <w:color w:val="000000" w:themeColor="text1"/>
                <w:sz w:val="16"/>
                <w:lang w:val="en-GB"/>
              </w:rPr>
              <w:t>: Non-current portion of related party receivables</w:t>
            </w:r>
          </w:p>
        </w:tc>
        <w:tc>
          <w:tcPr>
            <w:tcW w:w="1417" w:type="dxa"/>
            <w:tcBorders>
              <w:bottom w:val="single" w:sz="4" w:space="0" w:color="auto"/>
            </w:tcBorders>
            <w:shd w:val="clear" w:color="auto" w:fill="auto"/>
            <w:tcMar>
              <w:top w:w="57" w:type="dxa"/>
              <w:left w:w="0" w:type="dxa"/>
              <w:bottom w:w="85" w:type="dxa"/>
              <w:right w:w="0" w:type="dxa"/>
            </w:tcMar>
            <w:vAlign w:val="bottom"/>
          </w:tcPr>
          <w:p w14:paraId="0A650494" w14:textId="77777777" w:rsidR="004528DA" w:rsidRPr="004528DA" w:rsidRDefault="004528DA" w:rsidP="001E1B8D">
            <w:pPr>
              <w:spacing w:line="240" w:lineRule="atLeast"/>
              <w:jc w:val="right"/>
              <w:rPr>
                <w:rFonts w:ascii="Tahoma" w:hAnsi="Tahoma"/>
                <w:b/>
                <w:bCs/>
                <w:color w:val="000000" w:themeColor="text1"/>
                <w:sz w:val="16"/>
                <w:lang w:val="en-GB"/>
              </w:rPr>
            </w:pPr>
            <w:r w:rsidRPr="004528DA">
              <w:rPr>
                <w:rFonts w:ascii="Tahoma" w:hAnsi="Tahoma"/>
                <w:b/>
                <w:bCs/>
                <w:color w:val="000000" w:themeColor="text1"/>
                <w:sz w:val="16"/>
                <w:lang w:val="en-GB"/>
              </w:rPr>
              <w:t>(404)</w:t>
            </w:r>
          </w:p>
        </w:tc>
        <w:tc>
          <w:tcPr>
            <w:tcW w:w="1134" w:type="dxa"/>
            <w:tcBorders>
              <w:bottom w:val="single" w:sz="4" w:space="0" w:color="auto"/>
            </w:tcBorders>
            <w:shd w:val="clear" w:color="auto" w:fill="auto"/>
            <w:tcMar>
              <w:top w:w="57" w:type="dxa"/>
              <w:left w:w="0" w:type="dxa"/>
              <w:bottom w:w="85" w:type="dxa"/>
              <w:right w:w="0" w:type="dxa"/>
            </w:tcMar>
            <w:vAlign w:val="bottom"/>
          </w:tcPr>
          <w:p w14:paraId="606D66C6" w14:textId="77777777" w:rsidR="004528DA" w:rsidRPr="004528DA" w:rsidRDefault="004528DA" w:rsidP="001E1B8D">
            <w:pPr>
              <w:spacing w:line="240" w:lineRule="atLeast"/>
              <w:jc w:val="right"/>
              <w:rPr>
                <w:rFonts w:ascii="Tahoma" w:hAnsi="Tahoma"/>
                <w:color w:val="000000" w:themeColor="text1"/>
                <w:sz w:val="16"/>
                <w:lang w:val="en-GB"/>
              </w:rPr>
            </w:pPr>
            <w:r w:rsidRPr="004528DA">
              <w:rPr>
                <w:rFonts w:ascii="Tahoma" w:hAnsi="Tahoma"/>
                <w:color w:val="000000" w:themeColor="text1"/>
                <w:sz w:val="16"/>
                <w:lang w:val="en-GB"/>
              </w:rPr>
              <w:t>(416)</w:t>
            </w:r>
          </w:p>
        </w:tc>
      </w:tr>
      <w:tr w:rsidR="00615190" w:rsidRPr="004528DA" w14:paraId="1DF05F72" w14:textId="77777777" w:rsidTr="00724326">
        <w:trPr>
          <w:trHeight w:val="60"/>
        </w:trPr>
        <w:tc>
          <w:tcPr>
            <w:tcW w:w="397" w:type="dxa"/>
            <w:shd w:val="clear" w:color="auto" w:fill="auto"/>
            <w:tcMar>
              <w:top w:w="85" w:type="dxa"/>
              <w:left w:w="0" w:type="dxa"/>
              <w:bottom w:w="85" w:type="dxa"/>
              <w:right w:w="0" w:type="dxa"/>
            </w:tcMar>
            <w:vAlign w:val="bottom"/>
          </w:tcPr>
          <w:p w14:paraId="5F3A0AF8" w14:textId="77777777" w:rsidR="004528DA" w:rsidRPr="004528DA" w:rsidRDefault="004528DA" w:rsidP="00615190">
            <w:pPr>
              <w:spacing w:line="240" w:lineRule="atLeast"/>
              <w:rPr>
                <w:rFonts w:ascii="Tahoma" w:hAnsi="Tahoma"/>
                <w:color w:val="000000" w:themeColor="text1"/>
                <w:sz w:val="16"/>
                <w:lang w:val="en-GB"/>
              </w:rPr>
            </w:pPr>
          </w:p>
        </w:tc>
        <w:tc>
          <w:tcPr>
            <w:tcW w:w="7258"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50C3A542" w14:textId="77777777" w:rsidR="004528DA" w:rsidRPr="004528DA" w:rsidRDefault="004528DA" w:rsidP="00615190">
            <w:pPr>
              <w:spacing w:line="240" w:lineRule="atLeast"/>
              <w:rPr>
                <w:rFonts w:ascii="Tahoma" w:hAnsi="Tahoma"/>
                <w:b/>
                <w:bCs/>
                <w:color w:val="000000" w:themeColor="text1"/>
                <w:sz w:val="16"/>
                <w:lang w:val="en-GB"/>
              </w:rPr>
            </w:pPr>
            <w:r w:rsidRPr="004528DA">
              <w:rPr>
                <w:rFonts w:ascii="Tahoma" w:hAnsi="Tahoma"/>
                <w:b/>
                <w:bCs/>
                <w:color w:val="000000" w:themeColor="text1"/>
                <w:sz w:val="16"/>
                <w:lang w:val="en-GB"/>
              </w:rPr>
              <w:t>Current portion of related party receivables</w:t>
            </w:r>
          </w:p>
        </w:tc>
        <w:tc>
          <w:tcPr>
            <w:tcW w:w="1417"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7CA7B4A8" w14:textId="77777777" w:rsidR="004528DA" w:rsidRPr="004528DA" w:rsidRDefault="004528DA" w:rsidP="001E1B8D">
            <w:pPr>
              <w:spacing w:line="240" w:lineRule="atLeast"/>
              <w:jc w:val="right"/>
              <w:rPr>
                <w:rFonts w:ascii="Tahoma" w:hAnsi="Tahoma"/>
                <w:b/>
                <w:bCs/>
                <w:color w:val="000000" w:themeColor="text1"/>
                <w:sz w:val="16"/>
                <w:lang w:val="en-GB"/>
              </w:rPr>
            </w:pPr>
            <w:r w:rsidRPr="004528DA">
              <w:rPr>
                <w:rFonts w:ascii="Tahoma" w:hAnsi="Tahoma"/>
                <w:b/>
                <w:bCs/>
                <w:color w:val="000000" w:themeColor="text1"/>
                <w:sz w:val="16"/>
                <w:lang w:val="en-GB"/>
              </w:rPr>
              <w:t>34</w:t>
            </w:r>
          </w:p>
        </w:tc>
        <w:tc>
          <w:tcPr>
            <w:tcW w:w="1134"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48CA8F83" w14:textId="77777777" w:rsidR="004528DA" w:rsidRPr="004528DA" w:rsidRDefault="004528DA" w:rsidP="001E1B8D">
            <w:pPr>
              <w:spacing w:line="240" w:lineRule="atLeast"/>
              <w:jc w:val="right"/>
              <w:rPr>
                <w:rFonts w:ascii="Tahoma" w:hAnsi="Tahoma"/>
                <w:color w:val="000000" w:themeColor="text1"/>
                <w:sz w:val="16"/>
                <w:lang w:val="en-GB"/>
              </w:rPr>
            </w:pPr>
            <w:r w:rsidRPr="004528DA">
              <w:rPr>
                <w:rFonts w:ascii="Tahoma" w:hAnsi="Tahoma"/>
                <w:color w:val="000000" w:themeColor="text1"/>
                <w:sz w:val="16"/>
                <w:lang w:val="en-GB"/>
              </w:rPr>
              <w:t>17</w:t>
            </w:r>
          </w:p>
        </w:tc>
      </w:tr>
      <w:tr w:rsidR="00615190" w:rsidRPr="004528DA" w14:paraId="12EAB38E" w14:textId="77777777" w:rsidTr="00724326">
        <w:trPr>
          <w:trHeight w:val="60"/>
        </w:trPr>
        <w:tc>
          <w:tcPr>
            <w:tcW w:w="397" w:type="dxa"/>
            <w:shd w:val="clear" w:color="auto" w:fill="auto"/>
            <w:tcMar>
              <w:top w:w="85" w:type="dxa"/>
              <w:left w:w="0" w:type="dxa"/>
              <w:bottom w:w="57" w:type="dxa"/>
              <w:right w:w="0" w:type="dxa"/>
            </w:tcMar>
            <w:vAlign w:val="bottom"/>
          </w:tcPr>
          <w:p w14:paraId="298A5D80" w14:textId="77777777" w:rsidR="004528DA" w:rsidRPr="004528DA" w:rsidRDefault="004528DA" w:rsidP="00615190">
            <w:pPr>
              <w:spacing w:line="240" w:lineRule="atLeast"/>
              <w:rPr>
                <w:rFonts w:ascii="Tahoma" w:hAnsi="Tahoma"/>
                <w:color w:val="000000" w:themeColor="text1"/>
                <w:sz w:val="16"/>
                <w:lang w:val="en-GB"/>
              </w:rPr>
            </w:pPr>
          </w:p>
        </w:tc>
        <w:tc>
          <w:tcPr>
            <w:tcW w:w="7258" w:type="dxa"/>
            <w:tcBorders>
              <w:top w:val="single" w:sz="12" w:space="0" w:color="auto"/>
            </w:tcBorders>
            <w:shd w:val="clear" w:color="auto" w:fill="auto"/>
            <w:tcMar>
              <w:top w:w="85" w:type="dxa"/>
              <w:left w:w="0" w:type="dxa"/>
              <w:bottom w:w="57" w:type="dxa"/>
              <w:right w:w="0" w:type="dxa"/>
            </w:tcMar>
            <w:vAlign w:val="bottom"/>
          </w:tcPr>
          <w:p w14:paraId="3C31BD1C" w14:textId="77777777" w:rsidR="004528DA" w:rsidRPr="004528DA" w:rsidRDefault="004528DA" w:rsidP="00615190">
            <w:pPr>
              <w:spacing w:line="240" w:lineRule="atLeast"/>
              <w:rPr>
                <w:rFonts w:ascii="Tahoma" w:hAnsi="Tahoma"/>
                <w:b/>
                <w:bCs/>
                <w:color w:val="000000" w:themeColor="text1"/>
                <w:sz w:val="16"/>
                <w:lang w:val="en-GB"/>
              </w:rPr>
            </w:pPr>
            <w:r w:rsidRPr="004528DA">
              <w:rPr>
                <w:rFonts w:ascii="Tahoma" w:hAnsi="Tahoma"/>
                <w:b/>
                <w:bCs/>
                <w:color w:val="000000" w:themeColor="text1"/>
                <w:sz w:val="16"/>
                <w:lang w:val="en-GB"/>
              </w:rPr>
              <w:t>Payables</w:t>
            </w:r>
          </w:p>
        </w:tc>
        <w:tc>
          <w:tcPr>
            <w:tcW w:w="1417" w:type="dxa"/>
            <w:tcBorders>
              <w:top w:val="single" w:sz="12" w:space="0" w:color="auto"/>
            </w:tcBorders>
            <w:shd w:val="clear" w:color="auto" w:fill="auto"/>
            <w:tcMar>
              <w:top w:w="85" w:type="dxa"/>
              <w:left w:w="0" w:type="dxa"/>
              <w:bottom w:w="57" w:type="dxa"/>
              <w:right w:w="0" w:type="dxa"/>
            </w:tcMar>
            <w:vAlign w:val="bottom"/>
          </w:tcPr>
          <w:p w14:paraId="5B30AB32" w14:textId="77777777" w:rsidR="004528DA" w:rsidRPr="004528DA" w:rsidRDefault="004528DA" w:rsidP="001E1B8D">
            <w:pPr>
              <w:spacing w:line="240" w:lineRule="atLeast"/>
              <w:jc w:val="right"/>
              <w:rPr>
                <w:rFonts w:ascii="Tahoma" w:hAnsi="Tahoma"/>
                <w:b/>
                <w:bCs/>
                <w:color w:val="000000" w:themeColor="text1"/>
                <w:sz w:val="16"/>
                <w:lang w:val="en-GB"/>
              </w:rPr>
            </w:pPr>
          </w:p>
        </w:tc>
        <w:tc>
          <w:tcPr>
            <w:tcW w:w="1134" w:type="dxa"/>
            <w:tcBorders>
              <w:top w:val="single" w:sz="12" w:space="0" w:color="auto"/>
            </w:tcBorders>
            <w:shd w:val="clear" w:color="auto" w:fill="auto"/>
            <w:tcMar>
              <w:top w:w="85" w:type="dxa"/>
              <w:left w:w="0" w:type="dxa"/>
              <w:bottom w:w="57" w:type="dxa"/>
              <w:right w:w="0" w:type="dxa"/>
            </w:tcMar>
            <w:vAlign w:val="bottom"/>
          </w:tcPr>
          <w:p w14:paraId="752476B3" w14:textId="77777777" w:rsidR="004528DA" w:rsidRPr="004528DA" w:rsidRDefault="004528DA" w:rsidP="001E1B8D">
            <w:pPr>
              <w:spacing w:line="240" w:lineRule="atLeast"/>
              <w:jc w:val="right"/>
              <w:rPr>
                <w:rFonts w:ascii="Tahoma" w:hAnsi="Tahoma"/>
                <w:color w:val="000000" w:themeColor="text1"/>
                <w:sz w:val="16"/>
                <w:lang w:val="en-GB"/>
              </w:rPr>
            </w:pPr>
          </w:p>
        </w:tc>
      </w:tr>
      <w:tr w:rsidR="00615190" w:rsidRPr="004528DA" w14:paraId="7D872576" w14:textId="77777777" w:rsidTr="00480C8B">
        <w:trPr>
          <w:trHeight w:val="60"/>
        </w:trPr>
        <w:tc>
          <w:tcPr>
            <w:tcW w:w="397" w:type="dxa"/>
            <w:shd w:val="clear" w:color="auto" w:fill="auto"/>
            <w:tcMar>
              <w:top w:w="57" w:type="dxa"/>
              <w:left w:w="0" w:type="dxa"/>
              <w:bottom w:w="57" w:type="dxa"/>
              <w:right w:w="0" w:type="dxa"/>
            </w:tcMar>
            <w:vAlign w:val="bottom"/>
          </w:tcPr>
          <w:p w14:paraId="50F7123F" w14:textId="77777777" w:rsidR="004528DA" w:rsidRPr="004528DA" w:rsidRDefault="004528DA" w:rsidP="00615190">
            <w:pPr>
              <w:spacing w:line="240" w:lineRule="atLeast"/>
              <w:rPr>
                <w:rFonts w:ascii="Tahoma" w:hAnsi="Tahoma"/>
                <w:color w:val="000000" w:themeColor="text1"/>
                <w:sz w:val="16"/>
                <w:lang w:val="en-GB"/>
              </w:rPr>
            </w:pPr>
          </w:p>
        </w:tc>
        <w:tc>
          <w:tcPr>
            <w:tcW w:w="7258" w:type="dxa"/>
            <w:shd w:val="clear" w:color="auto" w:fill="auto"/>
            <w:tcMar>
              <w:top w:w="57" w:type="dxa"/>
              <w:left w:w="0" w:type="dxa"/>
              <w:bottom w:w="57" w:type="dxa"/>
              <w:right w:w="0" w:type="dxa"/>
            </w:tcMar>
            <w:vAlign w:val="bottom"/>
          </w:tcPr>
          <w:p w14:paraId="3183D58D" w14:textId="77777777" w:rsidR="004528DA" w:rsidRPr="004528DA" w:rsidRDefault="004528DA" w:rsidP="00615190">
            <w:pPr>
              <w:spacing w:line="240" w:lineRule="atLeast"/>
              <w:rPr>
                <w:rFonts w:ascii="Tahoma" w:hAnsi="Tahoma"/>
                <w:color w:val="000000" w:themeColor="text1"/>
                <w:sz w:val="16"/>
                <w:lang w:val="en-GB"/>
              </w:rPr>
            </w:pPr>
            <w:r w:rsidRPr="004528DA">
              <w:rPr>
                <w:rFonts w:ascii="Tahoma" w:hAnsi="Tahoma"/>
                <w:color w:val="000000" w:themeColor="text1"/>
                <w:sz w:val="16"/>
                <w:lang w:val="en-GB"/>
              </w:rPr>
              <w:t>MIH Holdings Proprietary Limited</w:t>
            </w:r>
          </w:p>
        </w:tc>
        <w:tc>
          <w:tcPr>
            <w:tcW w:w="1417" w:type="dxa"/>
            <w:shd w:val="clear" w:color="auto" w:fill="auto"/>
            <w:tcMar>
              <w:top w:w="57" w:type="dxa"/>
              <w:left w:w="0" w:type="dxa"/>
              <w:bottom w:w="57" w:type="dxa"/>
              <w:right w:w="0" w:type="dxa"/>
            </w:tcMar>
            <w:vAlign w:val="bottom"/>
          </w:tcPr>
          <w:p w14:paraId="29A453D2" w14:textId="77777777" w:rsidR="004528DA" w:rsidRPr="004528DA" w:rsidRDefault="004528DA" w:rsidP="001E1B8D">
            <w:pPr>
              <w:spacing w:line="240" w:lineRule="atLeast"/>
              <w:jc w:val="right"/>
              <w:rPr>
                <w:rFonts w:ascii="Tahoma" w:hAnsi="Tahoma"/>
                <w:b/>
                <w:bCs/>
                <w:color w:val="000000" w:themeColor="text1"/>
                <w:sz w:val="16"/>
                <w:lang w:val="en-GB"/>
              </w:rPr>
            </w:pPr>
            <w:r w:rsidRPr="004528DA">
              <w:rPr>
                <w:rFonts w:ascii="Tahoma" w:hAnsi="Tahoma"/>
                <w:b/>
                <w:bCs/>
                <w:color w:val="000000" w:themeColor="text1"/>
                <w:sz w:val="16"/>
                <w:lang w:val="en-GB"/>
              </w:rPr>
              <w:t>3</w:t>
            </w:r>
          </w:p>
        </w:tc>
        <w:tc>
          <w:tcPr>
            <w:tcW w:w="1134" w:type="dxa"/>
            <w:shd w:val="clear" w:color="auto" w:fill="auto"/>
            <w:tcMar>
              <w:top w:w="57" w:type="dxa"/>
              <w:left w:w="0" w:type="dxa"/>
              <w:bottom w:w="57" w:type="dxa"/>
              <w:right w:w="0" w:type="dxa"/>
            </w:tcMar>
            <w:vAlign w:val="bottom"/>
          </w:tcPr>
          <w:p w14:paraId="203071B6" w14:textId="77777777" w:rsidR="004528DA" w:rsidRPr="004528DA" w:rsidRDefault="004528DA" w:rsidP="001E1B8D">
            <w:pPr>
              <w:spacing w:line="240" w:lineRule="atLeast"/>
              <w:jc w:val="right"/>
              <w:rPr>
                <w:rFonts w:ascii="Tahoma" w:hAnsi="Tahoma"/>
                <w:color w:val="000000" w:themeColor="text1"/>
                <w:sz w:val="16"/>
                <w:lang w:val="en-GB"/>
              </w:rPr>
            </w:pPr>
            <w:r w:rsidRPr="004528DA">
              <w:rPr>
                <w:rFonts w:ascii="Tahoma" w:hAnsi="Tahoma"/>
                <w:color w:val="000000" w:themeColor="text1"/>
                <w:sz w:val="16"/>
                <w:lang w:val="en-GB"/>
              </w:rPr>
              <w:t>3</w:t>
            </w:r>
          </w:p>
        </w:tc>
      </w:tr>
      <w:tr w:rsidR="00615190" w:rsidRPr="004528DA" w14:paraId="5AB6BD53" w14:textId="77777777" w:rsidTr="00480C8B">
        <w:trPr>
          <w:trHeight w:val="60"/>
        </w:trPr>
        <w:tc>
          <w:tcPr>
            <w:tcW w:w="397" w:type="dxa"/>
            <w:shd w:val="clear" w:color="auto" w:fill="auto"/>
            <w:tcMar>
              <w:top w:w="57" w:type="dxa"/>
              <w:left w:w="0" w:type="dxa"/>
              <w:bottom w:w="57" w:type="dxa"/>
              <w:right w:w="0" w:type="dxa"/>
            </w:tcMar>
            <w:vAlign w:val="bottom"/>
          </w:tcPr>
          <w:p w14:paraId="44B5119C" w14:textId="77777777" w:rsidR="004528DA" w:rsidRPr="004528DA" w:rsidRDefault="004528DA" w:rsidP="00615190">
            <w:pPr>
              <w:spacing w:line="240" w:lineRule="atLeast"/>
              <w:rPr>
                <w:rFonts w:ascii="Tahoma" w:hAnsi="Tahoma"/>
                <w:color w:val="000000" w:themeColor="text1"/>
                <w:sz w:val="16"/>
                <w:lang w:val="en-GB"/>
              </w:rPr>
            </w:pPr>
          </w:p>
        </w:tc>
        <w:tc>
          <w:tcPr>
            <w:tcW w:w="7258" w:type="dxa"/>
            <w:shd w:val="clear" w:color="auto" w:fill="auto"/>
            <w:tcMar>
              <w:top w:w="57" w:type="dxa"/>
              <w:left w:w="0" w:type="dxa"/>
              <w:bottom w:w="57" w:type="dxa"/>
              <w:right w:w="0" w:type="dxa"/>
            </w:tcMar>
            <w:vAlign w:val="bottom"/>
          </w:tcPr>
          <w:p w14:paraId="71715D51" w14:textId="77777777" w:rsidR="004528DA" w:rsidRPr="004528DA" w:rsidRDefault="004528DA" w:rsidP="00615190">
            <w:pPr>
              <w:spacing w:line="240" w:lineRule="atLeast"/>
              <w:rPr>
                <w:rFonts w:ascii="Tahoma" w:hAnsi="Tahoma"/>
                <w:color w:val="000000" w:themeColor="text1"/>
                <w:sz w:val="16"/>
                <w:lang w:val="en-GB"/>
              </w:rPr>
            </w:pPr>
            <w:r w:rsidRPr="004528DA">
              <w:rPr>
                <w:rFonts w:ascii="Tahoma" w:hAnsi="Tahoma"/>
                <w:color w:val="000000" w:themeColor="text1"/>
                <w:sz w:val="16"/>
                <w:lang w:val="en-GB"/>
              </w:rPr>
              <w:t>Myriad/MIH (Malta) Limited</w:t>
            </w:r>
          </w:p>
        </w:tc>
        <w:tc>
          <w:tcPr>
            <w:tcW w:w="1417" w:type="dxa"/>
            <w:shd w:val="clear" w:color="auto" w:fill="auto"/>
            <w:tcMar>
              <w:top w:w="57" w:type="dxa"/>
              <w:left w:w="0" w:type="dxa"/>
              <w:bottom w:w="57" w:type="dxa"/>
              <w:right w:w="0" w:type="dxa"/>
            </w:tcMar>
            <w:vAlign w:val="bottom"/>
          </w:tcPr>
          <w:p w14:paraId="2515EFDA" w14:textId="77777777" w:rsidR="004528DA" w:rsidRPr="004528DA" w:rsidRDefault="004528DA" w:rsidP="001E1B8D">
            <w:pPr>
              <w:spacing w:line="240" w:lineRule="atLeast"/>
              <w:jc w:val="right"/>
              <w:rPr>
                <w:rFonts w:ascii="Tahoma" w:hAnsi="Tahoma"/>
                <w:b/>
                <w:bCs/>
                <w:color w:val="000000" w:themeColor="text1"/>
                <w:sz w:val="16"/>
                <w:lang w:val="en-GB"/>
              </w:rPr>
            </w:pPr>
            <w:r w:rsidRPr="004528DA">
              <w:rPr>
                <w:rFonts w:ascii="Tahoma" w:hAnsi="Tahoma"/>
                <w:b/>
                <w:bCs/>
                <w:color w:val="000000" w:themeColor="text1"/>
                <w:sz w:val="16"/>
                <w:lang w:val="en-GB"/>
              </w:rPr>
              <w:t>—</w:t>
            </w:r>
          </w:p>
        </w:tc>
        <w:tc>
          <w:tcPr>
            <w:tcW w:w="1134" w:type="dxa"/>
            <w:shd w:val="clear" w:color="auto" w:fill="auto"/>
            <w:tcMar>
              <w:top w:w="57" w:type="dxa"/>
              <w:left w:w="0" w:type="dxa"/>
              <w:bottom w:w="57" w:type="dxa"/>
              <w:right w:w="0" w:type="dxa"/>
            </w:tcMar>
            <w:vAlign w:val="bottom"/>
          </w:tcPr>
          <w:p w14:paraId="559F48BF" w14:textId="77777777" w:rsidR="004528DA" w:rsidRPr="004528DA" w:rsidRDefault="004528DA" w:rsidP="001E1B8D">
            <w:pPr>
              <w:spacing w:line="240" w:lineRule="atLeast"/>
              <w:jc w:val="right"/>
              <w:rPr>
                <w:rFonts w:ascii="Tahoma" w:hAnsi="Tahoma"/>
                <w:color w:val="000000" w:themeColor="text1"/>
                <w:sz w:val="16"/>
                <w:lang w:val="en-GB"/>
              </w:rPr>
            </w:pPr>
            <w:r w:rsidRPr="004528DA">
              <w:rPr>
                <w:rFonts w:ascii="Tahoma" w:hAnsi="Tahoma"/>
                <w:color w:val="000000" w:themeColor="text1"/>
                <w:sz w:val="16"/>
                <w:lang w:val="en-GB"/>
              </w:rPr>
              <w:t>2</w:t>
            </w:r>
          </w:p>
        </w:tc>
      </w:tr>
      <w:tr w:rsidR="00615190" w:rsidRPr="004528DA" w14:paraId="540DD19D" w14:textId="77777777" w:rsidTr="007470E1">
        <w:trPr>
          <w:trHeight w:val="60"/>
        </w:trPr>
        <w:tc>
          <w:tcPr>
            <w:tcW w:w="397" w:type="dxa"/>
            <w:shd w:val="clear" w:color="auto" w:fill="auto"/>
            <w:tcMar>
              <w:top w:w="57" w:type="dxa"/>
              <w:left w:w="0" w:type="dxa"/>
              <w:bottom w:w="57" w:type="dxa"/>
              <w:right w:w="0" w:type="dxa"/>
            </w:tcMar>
            <w:vAlign w:val="bottom"/>
          </w:tcPr>
          <w:p w14:paraId="2F89EF3F" w14:textId="77777777" w:rsidR="004528DA" w:rsidRPr="004528DA" w:rsidRDefault="004528DA" w:rsidP="00615190">
            <w:pPr>
              <w:spacing w:line="240" w:lineRule="atLeast"/>
              <w:rPr>
                <w:rFonts w:ascii="Tahoma" w:hAnsi="Tahoma"/>
                <w:color w:val="000000" w:themeColor="text1"/>
                <w:sz w:val="16"/>
                <w:lang w:val="en-GB"/>
              </w:rPr>
            </w:pPr>
          </w:p>
        </w:tc>
        <w:tc>
          <w:tcPr>
            <w:tcW w:w="7258" w:type="dxa"/>
            <w:shd w:val="clear" w:color="auto" w:fill="auto"/>
            <w:tcMar>
              <w:top w:w="57" w:type="dxa"/>
              <w:left w:w="0" w:type="dxa"/>
              <w:bottom w:w="57" w:type="dxa"/>
              <w:right w:w="0" w:type="dxa"/>
            </w:tcMar>
            <w:vAlign w:val="bottom"/>
          </w:tcPr>
          <w:p w14:paraId="59AC1269" w14:textId="77777777" w:rsidR="004528DA" w:rsidRPr="004528DA" w:rsidRDefault="004528DA" w:rsidP="00615190">
            <w:pPr>
              <w:spacing w:line="240" w:lineRule="atLeast"/>
              <w:rPr>
                <w:rFonts w:ascii="Tahoma" w:hAnsi="Tahoma"/>
                <w:color w:val="000000" w:themeColor="text1"/>
                <w:sz w:val="16"/>
                <w:lang w:val="en-GB"/>
              </w:rPr>
            </w:pPr>
            <w:proofErr w:type="spellStart"/>
            <w:r w:rsidRPr="004528DA">
              <w:rPr>
                <w:rFonts w:ascii="Tahoma" w:hAnsi="Tahoma"/>
                <w:color w:val="000000" w:themeColor="text1"/>
                <w:sz w:val="16"/>
                <w:lang w:val="en-GB"/>
              </w:rPr>
              <w:t>Zitec</w:t>
            </w:r>
            <w:proofErr w:type="spellEnd"/>
            <w:r w:rsidRPr="004528DA">
              <w:rPr>
                <w:rFonts w:ascii="Tahoma" w:hAnsi="Tahoma"/>
                <w:color w:val="000000" w:themeColor="text1"/>
                <w:sz w:val="16"/>
                <w:lang w:val="en-GB"/>
              </w:rPr>
              <w:t xml:space="preserve"> Com SRL</w:t>
            </w:r>
          </w:p>
        </w:tc>
        <w:tc>
          <w:tcPr>
            <w:tcW w:w="1417" w:type="dxa"/>
            <w:shd w:val="clear" w:color="auto" w:fill="auto"/>
            <w:tcMar>
              <w:top w:w="57" w:type="dxa"/>
              <w:left w:w="0" w:type="dxa"/>
              <w:bottom w:w="57" w:type="dxa"/>
              <w:right w:w="0" w:type="dxa"/>
            </w:tcMar>
            <w:vAlign w:val="bottom"/>
          </w:tcPr>
          <w:p w14:paraId="394B2DC5" w14:textId="77777777" w:rsidR="004528DA" w:rsidRPr="004528DA" w:rsidRDefault="004528DA" w:rsidP="001E1B8D">
            <w:pPr>
              <w:spacing w:line="240" w:lineRule="atLeast"/>
              <w:jc w:val="right"/>
              <w:rPr>
                <w:rFonts w:ascii="Tahoma" w:hAnsi="Tahoma"/>
                <w:b/>
                <w:bCs/>
                <w:color w:val="000000" w:themeColor="text1"/>
                <w:sz w:val="16"/>
                <w:lang w:val="en-GB"/>
              </w:rPr>
            </w:pPr>
            <w:r w:rsidRPr="004528DA">
              <w:rPr>
                <w:rFonts w:ascii="Tahoma" w:hAnsi="Tahoma"/>
                <w:b/>
                <w:bCs/>
                <w:color w:val="000000" w:themeColor="text1"/>
                <w:sz w:val="16"/>
                <w:lang w:val="en-GB"/>
              </w:rPr>
              <w:t>2</w:t>
            </w:r>
          </w:p>
        </w:tc>
        <w:tc>
          <w:tcPr>
            <w:tcW w:w="1134" w:type="dxa"/>
            <w:shd w:val="clear" w:color="auto" w:fill="auto"/>
            <w:tcMar>
              <w:top w:w="57" w:type="dxa"/>
              <w:left w:w="0" w:type="dxa"/>
              <w:bottom w:w="57" w:type="dxa"/>
              <w:right w:w="0" w:type="dxa"/>
            </w:tcMar>
            <w:vAlign w:val="bottom"/>
          </w:tcPr>
          <w:p w14:paraId="1427C06D" w14:textId="77777777" w:rsidR="004528DA" w:rsidRPr="004528DA" w:rsidRDefault="004528DA" w:rsidP="001E1B8D">
            <w:pPr>
              <w:spacing w:line="240" w:lineRule="atLeast"/>
              <w:jc w:val="right"/>
              <w:rPr>
                <w:rFonts w:ascii="Tahoma" w:hAnsi="Tahoma"/>
                <w:color w:val="000000" w:themeColor="text1"/>
                <w:sz w:val="16"/>
                <w:lang w:val="en-GB"/>
              </w:rPr>
            </w:pPr>
            <w:r w:rsidRPr="004528DA">
              <w:rPr>
                <w:rFonts w:ascii="Tahoma" w:hAnsi="Tahoma"/>
                <w:color w:val="000000" w:themeColor="text1"/>
                <w:sz w:val="16"/>
                <w:lang w:val="en-GB"/>
              </w:rPr>
              <w:t>2</w:t>
            </w:r>
          </w:p>
        </w:tc>
      </w:tr>
      <w:tr w:rsidR="00615190" w:rsidRPr="004528DA" w14:paraId="093CE665" w14:textId="77777777" w:rsidTr="007470E1">
        <w:trPr>
          <w:trHeight w:val="60"/>
        </w:trPr>
        <w:tc>
          <w:tcPr>
            <w:tcW w:w="397" w:type="dxa"/>
            <w:shd w:val="clear" w:color="auto" w:fill="auto"/>
            <w:tcMar>
              <w:top w:w="57" w:type="dxa"/>
              <w:left w:w="0" w:type="dxa"/>
              <w:bottom w:w="85" w:type="dxa"/>
              <w:right w:w="0" w:type="dxa"/>
            </w:tcMar>
            <w:vAlign w:val="bottom"/>
          </w:tcPr>
          <w:p w14:paraId="312F60D5" w14:textId="77777777" w:rsidR="004528DA" w:rsidRPr="004528DA" w:rsidRDefault="004528DA" w:rsidP="00615190">
            <w:pPr>
              <w:spacing w:line="240" w:lineRule="atLeast"/>
              <w:rPr>
                <w:rFonts w:ascii="Tahoma" w:hAnsi="Tahoma"/>
                <w:color w:val="000000" w:themeColor="text1"/>
                <w:sz w:val="16"/>
                <w:lang w:val="en-GB"/>
              </w:rPr>
            </w:pPr>
          </w:p>
        </w:tc>
        <w:tc>
          <w:tcPr>
            <w:tcW w:w="7258" w:type="dxa"/>
            <w:tcBorders>
              <w:bottom w:val="single" w:sz="4" w:space="0" w:color="auto"/>
            </w:tcBorders>
            <w:shd w:val="clear" w:color="auto" w:fill="auto"/>
            <w:tcMar>
              <w:top w:w="57" w:type="dxa"/>
              <w:left w:w="0" w:type="dxa"/>
              <w:bottom w:w="85" w:type="dxa"/>
              <w:right w:w="0" w:type="dxa"/>
            </w:tcMar>
            <w:vAlign w:val="bottom"/>
          </w:tcPr>
          <w:p w14:paraId="01A29B55" w14:textId="77777777" w:rsidR="004528DA" w:rsidRPr="004528DA" w:rsidRDefault="004528DA" w:rsidP="00615190">
            <w:pPr>
              <w:spacing w:line="240" w:lineRule="atLeast"/>
              <w:rPr>
                <w:rFonts w:ascii="Tahoma" w:hAnsi="Tahoma"/>
                <w:color w:val="000000" w:themeColor="text1"/>
                <w:sz w:val="16"/>
                <w:lang w:val="en-GB"/>
              </w:rPr>
            </w:pPr>
            <w:r w:rsidRPr="004528DA">
              <w:rPr>
                <w:rFonts w:ascii="Tahoma" w:hAnsi="Tahoma"/>
                <w:color w:val="000000" w:themeColor="text1"/>
                <w:sz w:val="16"/>
                <w:lang w:val="en-GB"/>
              </w:rPr>
              <w:t>Various other related parties</w:t>
            </w:r>
          </w:p>
        </w:tc>
        <w:tc>
          <w:tcPr>
            <w:tcW w:w="1417" w:type="dxa"/>
            <w:tcBorders>
              <w:bottom w:val="single" w:sz="4" w:space="0" w:color="auto"/>
            </w:tcBorders>
            <w:shd w:val="clear" w:color="auto" w:fill="auto"/>
            <w:tcMar>
              <w:top w:w="57" w:type="dxa"/>
              <w:left w:w="0" w:type="dxa"/>
              <w:bottom w:w="85" w:type="dxa"/>
              <w:right w:w="0" w:type="dxa"/>
            </w:tcMar>
            <w:vAlign w:val="bottom"/>
          </w:tcPr>
          <w:p w14:paraId="562DB816" w14:textId="77777777" w:rsidR="004528DA" w:rsidRPr="004528DA" w:rsidRDefault="004528DA" w:rsidP="001E1B8D">
            <w:pPr>
              <w:spacing w:line="240" w:lineRule="atLeast"/>
              <w:jc w:val="right"/>
              <w:rPr>
                <w:rFonts w:ascii="Tahoma" w:hAnsi="Tahoma"/>
                <w:b/>
                <w:bCs/>
                <w:color w:val="000000" w:themeColor="text1"/>
                <w:sz w:val="16"/>
                <w:lang w:val="en-GB"/>
              </w:rPr>
            </w:pPr>
            <w:r w:rsidRPr="004528DA">
              <w:rPr>
                <w:rFonts w:ascii="Tahoma" w:hAnsi="Tahoma"/>
                <w:b/>
                <w:bCs/>
                <w:color w:val="000000" w:themeColor="text1"/>
                <w:sz w:val="16"/>
                <w:lang w:val="en-GB"/>
              </w:rPr>
              <w:t>4</w:t>
            </w:r>
          </w:p>
        </w:tc>
        <w:tc>
          <w:tcPr>
            <w:tcW w:w="1134" w:type="dxa"/>
            <w:tcBorders>
              <w:bottom w:val="single" w:sz="4" w:space="0" w:color="auto"/>
            </w:tcBorders>
            <w:shd w:val="clear" w:color="auto" w:fill="auto"/>
            <w:tcMar>
              <w:top w:w="57" w:type="dxa"/>
              <w:left w:w="0" w:type="dxa"/>
              <w:bottom w:w="85" w:type="dxa"/>
              <w:right w:w="0" w:type="dxa"/>
            </w:tcMar>
            <w:vAlign w:val="bottom"/>
          </w:tcPr>
          <w:p w14:paraId="32FC0447" w14:textId="77777777" w:rsidR="004528DA" w:rsidRPr="004528DA" w:rsidRDefault="004528DA" w:rsidP="001E1B8D">
            <w:pPr>
              <w:spacing w:line="240" w:lineRule="atLeast"/>
              <w:jc w:val="right"/>
              <w:rPr>
                <w:rFonts w:ascii="Tahoma" w:hAnsi="Tahoma"/>
                <w:color w:val="000000" w:themeColor="text1"/>
                <w:sz w:val="16"/>
                <w:lang w:val="en-GB"/>
              </w:rPr>
            </w:pPr>
            <w:r w:rsidRPr="004528DA">
              <w:rPr>
                <w:rFonts w:ascii="Tahoma" w:hAnsi="Tahoma"/>
                <w:color w:val="000000" w:themeColor="text1"/>
                <w:sz w:val="16"/>
                <w:lang w:val="en-GB"/>
              </w:rPr>
              <w:t>3</w:t>
            </w:r>
          </w:p>
        </w:tc>
      </w:tr>
      <w:tr w:rsidR="00615190" w:rsidRPr="004528DA" w14:paraId="20935343" w14:textId="77777777" w:rsidTr="00BF1495">
        <w:trPr>
          <w:trHeight w:val="60"/>
        </w:trPr>
        <w:tc>
          <w:tcPr>
            <w:tcW w:w="397" w:type="dxa"/>
            <w:shd w:val="clear" w:color="auto" w:fill="auto"/>
            <w:tcMar>
              <w:top w:w="85" w:type="dxa"/>
              <w:left w:w="0" w:type="dxa"/>
              <w:bottom w:w="57" w:type="dxa"/>
              <w:right w:w="0" w:type="dxa"/>
            </w:tcMar>
            <w:vAlign w:val="bottom"/>
          </w:tcPr>
          <w:p w14:paraId="005F78ED" w14:textId="77777777" w:rsidR="004528DA" w:rsidRPr="004528DA" w:rsidRDefault="004528DA" w:rsidP="00615190">
            <w:pPr>
              <w:spacing w:line="240" w:lineRule="atLeast"/>
              <w:rPr>
                <w:rFonts w:ascii="Tahoma" w:hAnsi="Tahoma"/>
                <w:color w:val="000000" w:themeColor="text1"/>
                <w:sz w:val="16"/>
                <w:lang w:val="en-GB"/>
              </w:rPr>
            </w:pPr>
          </w:p>
        </w:tc>
        <w:tc>
          <w:tcPr>
            <w:tcW w:w="7258" w:type="dxa"/>
            <w:tcBorders>
              <w:top w:val="single" w:sz="4" w:space="0" w:color="auto"/>
            </w:tcBorders>
            <w:shd w:val="clear" w:color="auto" w:fill="auto"/>
            <w:tcMar>
              <w:top w:w="85" w:type="dxa"/>
              <w:left w:w="0" w:type="dxa"/>
              <w:bottom w:w="57" w:type="dxa"/>
              <w:right w:w="0" w:type="dxa"/>
            </w:tcMar>
            <w:vAlign w:val="bottom"/>
          </w:tcPr>
          <w:p w14:paraId="69AED378" w14:textId="77777777" w:rsidR="004528DA" w:rsidRPr="004528DA" w:rsidRDefault="004528DA" w:rsidP="00615190">
            <w:pPr>
              <w:spacing w:line="240" w:lineRule="atLeast"/>
              <w:rPr>
                <w:rFonts w:ascii="Tahoma" w:hAnsi="Tahoma"/>
                <w:b/>
                <w:bCs/>
                <w:color w:val="000000" w:themeColor="text1"/>
                <w:sz w:val="16"/>
                <w:lang w:val="en-GB"/>
              </w:rPr>
            </w:pPr>
            <w:r w:rsidRPr="004528DA">
              <w:rPr>
                <w:rFonts w:ascii="Tahoma" w:hAnsi="Tahoma"/>
                <w:b/>
                <w:bCs/>
                <w:color w:val="000000" w:themeColor="text1"/>
                <w:sz w:val="16"/>
                <w:lang w:val="en-GB"/>
              </w:rPr>
              <w:t>Total related party payables</w:t>
            </w:r>
          </w:p>
        </w:tc>
        <w:tc>
          <w:tcPr>
            <w:tcW w:w="1417" w:type="dxa"/>
            <w:tcBorders>
              <w:top w:val="single" w:sz="4" w:space="0" w:color="auto"/>
            </w:tcBorders>
            <w:shd w:val="clear" w:color="auto" w:fill="auto"/>
            <w:tcMar>
              <w:top w:w="85" w:type="dxa"/>
              <w:left w:w="0" w:type="dxa"/>
              <w:bottom w:w="57" w:type="dxa"/>
              <w:right w:w="0" w:type="dxa"/>
            </w:tcMar>
            <w:vAlign w:val="bottom"/>
          </w:tcPr>
          <w:p w14:paraId="72F38559" w14:textId="77777777" w:rsidR="004528DA" w:rsidRPr="004528DA" w:rsidRDefault="004528DA" w:rsidP="001E1B8D">
            <w:pPr>
              <w:spacing w:line="240" w:lineRule="atLeast"/>
              <w:jc w:val="right"/>
              <w:rPr>
                <w:rFonts w:ascii="Tahoma" w:hAnsi="Tahoma"/>
                <w:b/>
                <w:bCs/>
                <w:color w:val="000000" w:themeColor="text1"/>
                <w:sz w:val="16"/>
                <w:lang w:val="en-GB"/>
              </w:rPr>
            </w:pPr>
            <w:r w:rsidRPr="004528DA">
              <w:rPr>
                <w:rFonts w:ascii="Tahoma" w:hAnsi="Tahoma"/>
                <w:b/>
                <w:bCs/>
                <w:color w:val="000000" w:themeColor="text1"/>
                <w:sz w:val="16"/>
                <w:lang w:val="en-GB"/>
              </w:rPr>
              <w:t>9</w:t>
            </w:r>
          </w:p>
        </w:tc>
        <w:tc>
          <w:tcPr>
            <w:tcW w:w="1134" w:type="dxa"/>
            <w:tcBorders>
              <w:top w:val="single" w:sz="4" w:space="0" w:color="auto"/>
            </w:tcBorders>
            <w:shd w:val="clear" w:color="auto" w:fill="auto"/>
            <w:tcMar>
              <w:top w:w="85" w:type="dxa"/>
              <w:left w:w="0" w:type="dxa"/>
              <w:bottom w:w="57" w:type="dxa"/>
              <w:right w:w="0" w:type="dxa"/>
            </w:tcMar>
            <w:vAlign w:val="bottom"/>
          </w:tcPr>
          <w:p w14:paraId="034F9EFF" w14:textId="77777777" w:rsidR="004528DA" w:rsidRPr="004528DA" w:rsidRDefault="004528DA" w:rsidP="001E1B8D">
            <w:pPr>
              <w:spacing w:line="240" w:lineRule="atLeast"/>
              <w:jc w:val="right"/>
              <w:rPr>
                <w:rFonts w:ascii="Tahoma" w:hAnsi="Tahoma"/>
                <w:color w:val="000000" w:themeColor="text1"/>
                <w:sz w:val="16"/>
                <w:lang w:val="en-GB"/>
              </w:rPr>
            </w:pPr>
            <w:r w:rsidRPr="004528DA">
              <w:rPr>
                <w:rFonts w:ascii="Tahoma" w:hAnsi="Tahoma"/>
                <w:color w:val="000000" w:themeColor="text1"/>
                <w:sz w:val="16"/>
                <w:lang w:val="en-GB"/>
              </w:rPr>
              <w:t>10</w:t>
            </w:r>
          </w:p>
        </w:tc>
      </w:tr>
      <w:tr w:rsidR="00615190" w:rsidRPr="004528DA" w14:paraId="5A93942C" w14:textId="77777777" w:rsidTr="00764E3C">
        <w:trPr>
          <w:trHeight w:val="60"/>
        </w:trPr>
        <w:tc>
          <w:tcPr>
            <w:tcW w:w="397" w:type="dxa"/>
            <w:shd w:val="clear" w:color="auto" w:fill="auto"/>
            <w:tcMar>
              <w:top w:w="57" w:type="dxa"/>
              <w:left w:w="0" w:type="dxa"/>
              <w:bottom w:w="85" w:type="dxa"/>
              <w:right w:w="0" w:type="dxa"/>
            </w:tcMar>
            <w:vAlign w:val="bottom"/>
          </w:tcPr>
          <w:p w14:paraId="4EEDF4C7" w14:textId="77777777" w:rsidR="004528DA" w:rsidRPr="004528DA" w:rsidRDefault="004528DA" w:rsidP="00615190">
            <w:pPr>
              <w:spacing w:line="240" w:lineRule="atLeast"/>
              <w:rPr>
                <w:rFonts w:ascii="Tahoma" w:hAnsi="Tahoma"/>
                <w:color w:val="000000" w:themeColor="text1"/>
                <w:sz w:val="16"/>
                <w:lang w:val="en-GB"/>
              </w:rPr>
            </w:pPr>
          </w:p>
        </w:tc>
        <w:tc>
          <w:tcPr>
            <w:tcW w:w="7258" w:type="dxa"/>
            <w:tcBorders>
              <w:bottom w:val="single" w:sz="4" w:space="0" w:color="auto"/>
            </w:tcBorders>
            <w:shd w:val="clear" w:color="auto" w:fill="auto"/>
            <w:tcMar>
              <w:top w:w="57" w:type="dxa"/>
              <w:left w:w="0" w:type="dxa"/>
              <w:bottom w:w="85" w:type="dxa"/>
              <w:right w:w="0" w:type="dxa"/>
            </w:tcMar>
            <w:vAlign w:val="bottom"/>
          </w:tcPr>
          <w:p w14:paraId="19D4530F" w14:textId="77777777" w:rsidR="004528DA" w:rsidRPr="004528DA" w:rsidRDefault="004528DA" w:rsidP="00615190">
            <w:pPr>
              <w:spacing w:line="240" w:lineRule="atLeast"/>
              <w:rPr>
                <w:rFonts w:ascii="Tahoma" w:hAnsi="Tahoma"/>
                <w:color w:val="000000" w:themeColor="text1"/>
                <w:sz w:val="16"/>
                <w:lang w:val="en-GB"/>
              </w:rPr>
            </w:pPr>
            <w:r w:rsidRPr="004528DA">
              <w:rPr>
                <w:rFonts w:ascii="Tahoma" w:hAnsi="Tahoma"/>
                <w:i/>
                <w:iCs/>
                <w:color w:val="000000" w:themeColor="text1"/>
                <w:sz w:val="16"/>
                <w:lang w:val="en-GB"/>
              </w:rPr>
              <w:t>Less</w:t>
            </w:r>
            <w:r w:rsidRPr="004528DA">
              <w:rPr>
                <w:rFonts w:ascii="Tahoma" w:hAnsi="Tahoma"/>
                <w:color w:val="000000" w:themeColor="text1"/>
                <w:sz w:val="16"/>
                <w:lang w:val="en-GB"/>
              </w:rPr>
              <w:t>: Non-current portion of related party payables</w:t>
            </w:r>
          </w:p>
        </w:tc>
        <w:tc>
          <w:tcPr>
            <w:tcW w:w="1417" w:type="dxa"/>
            <w:tcBorders>
              <w:bottom w:val="single" w:sz="4" w:space="0" w:color="auto"/>
            </w:tcBorders>
            <w:shd w:val="clear" w:color="auto" w:fill="auto"/>
            <w:tcMar>
              <w:top w:w="57" w:type="dxa"/>
              <w:left w:w="0" w:type="dxa"/>
              <w:bottom w:w="85" w:type="dxa"/>
              <w:right w:w="0" w:type="dxa"/>
            </w:tcMar>
            <w:vAlign w:val="bottom"/>
          </w:tcPr>
          <w:p w14:paraId="018314FC" w14:textId="77777777" w:rsidR="004528DA" w:rsidRPr="004528DA" w:rsidRDefault="004528DA" w:rsidP="001E1B8D">
            <w:pPr>
              <w:spacing w:line="240" w:lineRule="atLeast"/>
              <w:jc w:val="right"/>
              <w:rPr>
                <w:rFonts w:ascii="Tahoma" w:hAnsi="Tahoma"/>
                <w:b/>
                <w:bCs/>
                <w:color w:val="000000" w:themeColor="text1"/>
                <w:sz w:val="16"/>
                <w:lang w:val="en-GB"/>
              </w:rPr>
            </w:pPr>
            <w:r w:rsidRPr="004528DA">
              <w:rPr>
                <w:rFonts w:ascii="Tahoma" w:hAnsi="Tahoma"/>
                <w:b/>
                <w:bCs/>
                <w:color w:val="000000" w:themeColor="text1"/>
                <w:sz w:val="16"/>
                <w:lang w:val="en-GB"/>
              </w:rPr>
              <w:t>(4)</w:t>
            </w:r>
          </w:p>
        </w:tc>
        <w:tc>
          <w:tcPr>
            <w:tcW w:w="1134" w:type="dxa"/>
            <w:tcBorders>
              <w:bottom w:val="single" w:sz="4" w:space="0" w:color="auto"/>
            </w:tcBorders>
            <w:shd w:val="clear" w:color="auto" w:fill="auto"/>
            <w:tcMar>
              <w:top w:w="57" w:type="dxa"/>
              <w:left w:w="0" w:type="dxa"/>
              <w:bottom w:w="85" w:type="dxa"/>
              <w:right w:w="0" w:type="dxa"/>
            </w:tcMar>
            <w:vAlign w:val="bottom"/>
          </w:tcPr>
          <w:p w14:paraId="1CC8B34F" w14:textId="77777777" w:rsidR="004528DA" w:rsidRPr="004528DA" w:rsidRDefault="004528DA" w:rsidP="001E1B8D">
            <w:pPr>
              <w:spacing w:line="240" w:lineRule="atLeast"/>
              <w:jc w:val="right"/>
              <w:rPr>
                <w:rFonts w:ascii="Tahoma" w:hAnsi="Tahoma"/>
                <w:color w:val="000000" w:themeColor="text1"/>
                <w:sz w:val="16"/>
                <w:lang w:val="en-GB"/>
              </w:rPr>
            </w:pPr>
            <w:r w:rsidRPr="004528DA">
              <w:rPr>
                <w:rFonts w:ascii="Tahoma" w:hAnsi="Tahoma"/>
                <w:color w:val="000000" w:themeColor="text1"/>
                <w:sz w:val="16"/>
                <w:lang w:val="en-GB"/>
              </w:rPr>
              <w:t>(2)</w:t>
            </w:r>
          </w:p>
        </w:tc>
      </w:tr>
      <w:tr w:rsidR="00615190" w:rsidRPr="004528DA" w14:paraId="37F1D6F6" w14:textId="77777777" w:rsidTr="00764E3C">
        <w:trPr>
          <w:trHeight w:val="60"/>
        </w:trPr>
        <w:tc>
          <w:tcPr>
            <w:tcW w:w="397" w:type="dxa"/>
            <w:shd w:val="clear" w:color="auto" w:fill="auto"/>
            <w:tcMar>
              <w:top w:w="85" w:type="dxa"/>
              <w:left w:w="0" w:type="dxa"/>
              <w:bottom w:w="85" w:type="dxa"/>
              <w:right w:w="0" w:type="dxa"/>
            </w:tcMar>
            <w:vAlign w:val="bottom"/>
          </w:tcPr>
          <w:p w14:paraId="6AA84358" w14:textId="77777777" w:rsidR="004528DA" w:rsidRPr="004528DA" w:rsidRDefault="004528DA" w:rsidP="00615190">
            <w:pPr>
              <w:spacing w:line="240" w:lineRule="atLeast"/>
              <w:rPr>
                <w:rFonts w:ascii="Tahoma" w:hAnsi="Tahoma"/>
                <w:color w:val="000000" w:themeColor="text1"/>
                <w:sz w:val="16"/>
                <w:lang w:val="en-GB"/>
              </w:rPr>
            </w:pPr>
          </w:p>
        </w:tc>
        <w:tc>
          <w:tcPr>
            <w:tcW w:w="7258"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542C89F1" w14:textId="77777777" w:rsidR="004528DA" w:rsidRPr="004528DA" w:rsidRDefault="004528DA" w:rsidP="00615190">
            <w:pPr>
              <w:spacing w:line="240" w:lineRule="atLeast"/>
              <w:rPr>
                <w:rFonts w:ascii="Tahoma" w:hAnsi="Tahoma"/>
                <w:b/>
                <w:bCs/>
                <w:color w:val="000000" w:themeColor="text1"/>
                <w:sz w:val="16"/>
                <w:lang w:val="en-GB"/>
              </w:rPr>
            </w:pPr>
            <w:r w:rsidRPr="004528DA">
              <w:rPr>
                <w:rFonts w:ascii="Tahoma" w:hAnsi="Tahoma"/>
                <w:b/>
                <w:bCs/>
                <w:color w:val="000000" w:themeColor="text1"/>
                <w:sz w:val="16"/>
                <w:lang w:val="en-GB"/>
              </w:rPr>
              <w:t>Current portion of related party payables</w:t>
            </w:r>
          </w:p>
        </w:tc>
        <w:tc>
          <w:tcPr>
            <w:tcW w:w="1417"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4BB4CFDF" w14:textId="77777777" w:rsidR="004528DA" w:rsidRPr="004528DA" w:rsidRDefault="004528DA" w:rsidP="001E1B8D">
            <w:pPr>
              <w:spacing w:line="240" w:lineRule="atLeast"/>
              <w:jc w:val="right"/>
              <w:rPr>
                <w:rFonts w:ascii="Tahoma" w:hAnsi="Tahoma"/>
                <w:b/>
                <w:bCs/>
                <w:color w:val="000000" w:themeColor="text1"/>
                <w:sz w:val="16"/>
                <w:lang w:val="en-GB"/>
              </w:rPr>
            </w:pPr>
            <w:r w:rsidRPr="004528DA">
              <w:rPr>
                <w:rFonts w:ascii="Tahoma" w:hAnsi="Tahoma"/>
                <w:b/>
                <w:bCs/>
                <w:color w:val="000000" w:themeColor="text1"/>
                <w:sz w:val="16"/>
                <w:lang w:val="en-GB"/>
              </w:rPr>
              <w:t>5</w:t>
            </w:r>
          </w:p>
        </w:tc>
        <w:tc>
          <w:tcPr>
            <w:tcW w:w="1134"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7297785F" w14:textId="77777777" w:rsidR="004528DA" w:rsidRPr="004528DA" w:rsidRDefault="004528DA" w:rsidP="001E1B8D">
            <w:pPr>
              <w:spacing w:line="240" w:lineRule="atLeast"/>
              <w:jc w:val="right"/>
              <w:rPr>
                <w:rFonts w:ascii="Tahoma" w:hAnsi="Tahoma"/>
                <w:color w:val="000000" w:themeColor="text1"/>
                <w:sz w:val="16"/>
                <w:lang w:val="en-GB"/>
              </w:rPr>
            </w:pPr>
            <w:r w:rsidRPr="004528DA">
              <w:rPr>
                <w:rFonts w:ascii="Tahoma" w:hAnsi="Tahoma"/>
                <w:color w:val="000000" w:themeColor="text1"/>
                <w:sz w:val="16"/>
                <w:lang w:val="en-GB"/>
              </w:rPr>
              <w:t>8</w:t>
            </w:r>
          </w:p>
        </w:tc>
      </w:tr>
      <w:tr w:rsidR="00615190" w:rsidRPr="004528DA" w14:paraId="4E73007C" w14:textId="77777777" w:rsidTr="00764E3C">
        <w:trPr>
          <w:trHeight w:val="60"/>
        </w:trPr>
        <w:tc>
          <w:tcPr>
            <w:tcW w:w="397" w:type="dxa"/>
            <w:shd w:val="clear" w:color="auto" w:fill="auto"/>
            <w:tcMar>
              <w:top w:w="85" w:type="dxa"/>
              <w:left w:w="0" w:type="dxa"/>
              <w:bottom w:w="57" w:type="dxa"/>
              <w:right w:w="0" w:type="dxa"/>
            </w:tcMar>
            <w:vAlign w:val="bottom"/>
          </w:tcPr>
          <w:p w14:paraId="53D07E59" w14:textId="77777777" w:rsidR="004528DA" w:rsidRPr="004528DA" w:rsidRDefault="004528DA" w:rsidP="00615190">
            <w:pPr>
              <w:spacing w:line="240" w:lineRule="atLeast"/>
              <w:rPr>
                <w:rFonts w:ascii="Tahoma" w:hAnsi="Tahoma"/>
                <w:color w:val="000000" w:themeColor="text1"/>
                <w:sz w:val="16"/>
                <w:lang w:val="en-GB"/>
              </w:rPr>
            </w:pPr>
          </w:p>
        </w:tc>
        <w:tc>
          <w:tcPr>
            <w:tcW w:w="9809" w:type="dxa"/>
            <w:gridSpan w:val="3"/>
            <w:tcBorders>
              <w:top w:val="single" w:sz="12" w:space="0" w:color="auto"/>
            </w:tcBorders>
            <w:shd w:val="clear" w:color="auto" w:fill="auto"/>
            <w:tcMar>
              <w:top w:w="85" w:type="dxa"/>
              <w:left w:w="0" w:type="dxa"/>
              <w:bottom w:w="57" w:type="dxa"/>
              <w:right w:w="0" w:type="dxa"/>
            </w:tcMar>
            <w:vAlign w:val="bottom"/>
          </w:tcPr>
          <w:p w14:paraId="008BF427" w14:textId="77777777" w:rsidR="004528DA" w:rsidRPr="004528DA" w:rsidRDefault="004528DA" w:rsidP="0006573B">
            <w:pPr>
              <w:pStyle w:val="FootnotesProsus2022FrontStylesProsus2022"/>
            </w:pPr>
            <w:r w:rsidRPr="004528DA">
              <w:t>1</w:t>
            </w:r>
            <w:r w:rsidRPr="004528DA">
              <w:tab/>
              <w:t>The group provides services and loan funding to a number of its related parties.</w:t>
            </w:r>
          </w:p>
          <w:p w14:paraId="14222B27" w14:textId="77777777" w:rsidR="004528DA" w:rsidRPr="004528DA" w:rsidRDefault="004528DA" w:rsidP="0006573B">
            <w:pPr>
              <w:pStyle w:val="FootnotesProsus2022FrontStylesProsus2022"/>
            </w:pPr>
            <w:r w:rsidRPr="004528DA">
              <w:t>2</w:t>
            </w:r>
            <w:r w:rsidRPr="004528DA">
              <w:tab/>
              <w:t>Relates to related party loan-funding provided to Naspers group share trust for equity compensation plans. The loan is interest-free and repayable in 2031, or upon winding up of the trust, if earlier. Cash flows for this transaction are disclosed as investing activities in the condensed consolidated statement of cash flows.</w:t>
            </w:r>
          </w:p>
          <w:p w14:paraId="7DDE265F" w14:textId="77777777" w:rsidR="004528DA" w:rsidRPr="004528DA" w:rsidRDefault="004528DA" w:rsidP="0006573B">
            <w:pPr>
              <w:pStyle w:val="FootnotesProsus2022FrontStylesProsus2022"/>
            </w:pPr>
            <w:r w:rsidRPr="004528DA">
              <w:t>3</w:t>
            </w:r>
            <w:r w:rsidRPr="004528DA">
              <w:tab/>
              <w:t>Impairment allowance for non-current receivables from related parties is based on a 12-month expected credit loss model and was not material.</w:t>
            </w:r>
          </w:p>
        </w:tc>
      </w:tr>
    </w:tbl>
    <w:p w14:paraId="2CE681EB" w14:textId="77777777" w:rsidR="006C3435" w:rsidRDefault="006C3435" w:rsidP="00615190">
      <w:pPr>
        <w:spacing w:line="240" w:lineRule="atLeast"/>
        <w:rPr>
          <w:rFonts w:ascii="Tahoma" w:hAnsi="Tahoma"/>
          <w:color w:val="000000" w:themeColor="text1"/>
          <w:sz w:val="16"/>
        </w:rPr>
      </w:pPr>
    </w:p>
    <w:p w14:paraId="2212EB4A" w14:textId="77777777" w:rsidR="006C3435" w:rsidRDefault="006C3435">
      <w:pPr>
        <w:rPr>
          <w:rFonts w:ascii="Tahoma" w:hAnsi="Tahoma"/>
          <w:color w:val="000000" w:themeColor="text1"/>
          <w:sz w:val="16"/>
        </w:rPr>
      </w:pPr>
      <w:r>
        <w:rPr>
          <w:rFonts w:ascii="Tahoma" w:hAnsi="Tahoma"/>
          <w:color w:val="000000" w:themeColor="text1"/>
          <w:sz w:val="16"/>
        </w:rPr>
        <w:br w:type="page"/>
      </w:r>
    </w:p>
    <w:p w14:paraId="4AD94455" w14:textId="77777777" w:rsidR="004528DA" w:rsidRPr="00615190" w:rsidRDefault="004528DA" w:rsidP="00615190">
      <w:pPr>
        <w:spacing w:line="240" w:lineRule="atLeast"/>
        <w:rPr>
          <w:rFonts w:ascii="Tahoma" w:hAnsi="Tahoma"/>
          <w:color w:val="000000" w:themeColor="text1"/>
          <w:sz w:val="16"/>
        </w:rPr>
      </w:pPr>
    </w:p>
    <w:tbl>
      <w:tblPr>
        <w:tblW w:w="10206" w:type="dxa"/>
        <w:tblInd w:w="-8" w:type="dxa"/>
        <w:tblLayout w:type="fixed"/>
        <w:tblCellMar>
          <w:left w:w="0" w:type="dxa"/>
          <w:right w:w="0" w:type="dxa"/>
        </w:tblCellMar>
        <w:tblLook w:val="0000" w:firstRow="0" w:lastRow="0" w:firstColumn="0" w:lastColumn="0" w:noHBand="0" w:noVBand="0"/>
      </w:tblPr>
      <w:tblGrid>
        <w:gridCol w:w="397"/>
        <w:gridCol w:w="9809"/>
      </w:tblGrid>
      <w:tr w:rsidR="002E6B6D" w:rsidRPr="001C365A" w14:paraId="7EDFB364" w14:textId="77777777" w:rsidTr="002E6B6D">
        <w:trPr>
          <w:trHeight w:val="60"/>
        </w:trPr>
        <w:tc>
          <w:tcPr>
            <w:tcW w:w="397" w:type="dxa"/>
            <w:tcMar>
              <w:top w:w="0" w:type="dxa"/>
              <w:left w:w="0" w:type="dxa"/>
              <w:bottom w:w="57" w:type="dxa"/>
              <w:right w:w="0" w:type="dxa"/>
            </w:tcMar>
            <w:vAlign w:val="bottom"/>
          </w:tcPr>
          <w:p w14:paraId="0C1F518A" w14:textId="77777777" w:rsidR="002E6B6D" w:rsidRPr="004528DA" w:rsidRDefault="002E6B6D" w:rsidP="002E6B6D">
            <w:pPr>
              <w:spacing w:line="240" w:lineRule="atLeast"/>
              <w:rPr>
                <w:rFonts w:ascii="Tahoma" w:hAnsi="Tahoma"/>
                <w:b/>
                <w:bCs/>
                <w:color w:val="000000" w:themeColor="text1"/>
                <w:sz w:val="16"/>
                <w:lang w:val="en-GB"/>
              </w:rPr>
            </w:pPr>
            <w:r w:rsidRPr="004528DA">
              <w:rPr>
                <w:rFonts w:ascii="Tahoma" w:hAnsi="Tahoma"/>
                <w:b/>
                <w:bCs/>
                <w:color w:val="000000" w:themeColor="text1"/>
                <w:sz w:val="16"/>
                <w:lang w:val="en-GB"/>
              </w:rPr>
              <w:t>18.</w:t>
            </w:r>
          </w:p>
        </w:tc>
        <w:tc>
          <w:tcPr>
            <w:tcW w:w="9809" w:type="dxa"/>
            <w:tcMar>
              <w:top w:w="0" w:type="dxa"/>
              <w:left w:w="0" w:type="dxa"/>
              <w:bottom w:w="57" w:type="dxa"/>
              <w:right w:w="0" w:type="dxa"/>
            </w:tcMar>
            <w:vAlign w:val="bottom"/>
          </w:tcPr>
          <w:p w14:paraId="2887DAC0" w14:textId="77777777" w:rsidR="002E6B6D" w:rsidRPr="004528DA" w:rsidRDefault="002E6B6D" w:rsidP="002E6B6D">
            <w:pPr>
              <w:spacing w:line="240" w:lineRule="atLeast"/>
              <w:rPr>
                <w:rFonts w:ascii="Tahoma" w:hAnsi="Tahoma"/>
                <w:b/>
                <w:bCs/>
                <w:color w:val="000000" w:themeColor="text1"/>
                <w:sz w:val="16"/>
                <w:lang w:val="en-GB"/>
              </w:rPr>
            </w:pPr>
            <w:r w:rsidRPr="004528DA">
              <w:rPr>
                <w:rFonts w:ascii="Tahoma" w:hAnsi="Tahoma"/>
                <w:b/>
                <w:bCs/>
                <w:color w:val="000000" w:themeColor="text1"/>
                <w:sz w:val="16"/>
                <w:lang w:val="en-GB"/>
              </w:rPr>
              <w:t>RELATED PARTY TRANSACTIONS AND BALANCES (continued)</w:t>
            </w:r>
          </w:p>
        </w:tc>
      </w:tr>
      <w:tr w:rsidR="00615190" w:rsidRPr="001C365A" w14:paraId="4E9FE9B4" w14:textId="77777777" w:rsidTr="002E6B6D">
        <w:trPr>
          <w:trHeight w:val="60"/>
        </w:trPr>
        <w:tc>
          <w:tcPr>
            <w:tcW w:w="397" w:type="dxa"/>
            <w:tcMar>
              <w:top w:w="57" w:type="dxa"/>
              <w:left w:w="0" w:type="dxa"/>
              <w:bottom w:w="57" w:type="dxa"/>
              <w:right w:w="0" w:type="dxa"/>
            </w:tcMar>
            <w:vAlign w:val="bottom"/>
          </w:tcPr>
          <w:p w14:paraId="66F1F3A5" w14:textId="77777777" w:rsidR="001C365A" w:rsidRPr="001C365A" w:rsidRDefault="001C365A" w:rsidP="00615190">
            <w:pPr>
              <w:spacing w:line="240" w:lineRule="atLeast"/>
              <w:rPr>
                <w:rFonts w:ascii="Tahoma" w:hAnsi="Tahoma"/>
                <w:color w:val="000000" w:themeColor="text1"/>
                <w:sz w:val="16"/>
                <w:lang w:val="en-GB"/>
              </w:rPr>
            </w:pPr>
          </w:p>
        </w:tc>
        <w:tc>
          <w:tcPr>
            <w:tcW w:w="9809" w:type="dxa"/>
            <w:tcMar>
              <w:top w:w="57" w:type="dxa"/>
              <w:left w:w="0" w:type="dxa"/>
              <w:bottom w:w="57" w:type="dxa"/>
              <w:right w:w="0" w:type="dxa"/>
            </w:tcMar>
            <w:vAlign w:val="bottom"/>
          </w:tcPr>
          <w:p w14:paraId="6B1CE591" w14:textId="77777777" w:rsidR="001C365A" w:rsidRPr="001C365A" w:rsidRDefault="001C365A" w:rsidP="00615190">
            <w:pPr>
              <w:spacing w:line="240" w:lineRule="atLeast"/>
              <w:rPr>
                <w:rFonts w:ascii="Tahoma" w:hAnsi="Tahoma"/>
                <w:b/>
                <w:bCs/>
                <w:color w:val="000000" w:themeColor="text1"/>
                <w:sz w:val="16"/>
                <w:lang w:val="en-GB"/>
              </w:rPr>
            </w:pPr>
            <w:r w:rsidRPr="001C365A">
              <w:rPr>
                <w:rFonts w:ascii="Tahoma" w:hAnsi="Tahoma"/>
                <w:b/>
                <w:bCs/>
                <w:color w:val="000000" w:themeColor="text1"/>
                <w:sz w:val="16"/>
                <w:lang w:val="en-GB"/>
              </w:rPr>
              <w:t>Terms of significant related party current receivables and payables</w:t>
            </w:r>
          </w:p>
        </w:tc>
      </w:tr>
      <w:tr w:rsidR="00615190" w:rsidRPr="001C365A" w14:paraId="42EF5CE5" w14:textId="77777777" w:rsidTr="002E6B6D">
        <w:trPr>
          <w:trHeight w:val="60"/>
        </w:trPr>
        <w:tc>
          <w:tcPr>
            <w:tcW w:w="397" w:type="dxa"/>
            <w:tcMar>
              <w:top w:w="57" w:type="dxa"/>
              <w:left w:w="0" w:type="dxa"/>
              <w:bottom w:w="57" w:type="dxa"/>
              <w:right w:w="0" w:type="dxa"/>
            </w:tcMar>
            <w:vAlign w:val="bottom"/>
          </w:tcPr>
          <w:p w14:paraId="67D58C4F" w14:textId="77777777" w:rsidR="001C365A" w:rsidRPr="001C365A" w:rsidRDefault="001C365A" w:rsidP="00615190">
            <w:pPr>
              <w:spacing w:line="240" w:lineRule="atLeast"/>
              <w:rPr>
                <w:rFonts w:ascii="Tahoma" w:hAnsi="Tahoma"/>
                <w:color w:val="000000" w:themeColor="text1"/>
                <w:sz w:val="16"/>
                <w:lang w:val="en-GB"/>
              </w:rPr>
            </w:pPr>
          </w:p>
        </w:tc>
        <w:tc>
          <w:tcPr>
            <w:tcW w:w="9809" w:type="dxa"/>
            <w:tcMar>
              <w:top w:w="57" w:type="dxa"/>
              <w:left w:w="0" w:type="dxa"/>
              <w:bottom w:w="57" w:type="dxa"/>
              <w:right w:w="0" w:type="dxa"/>
            </w:tcMar>
            <w:vAlign w:val="bottom"/>
          </w:tcPr>
          <w:p w14:paraId="06749E73" w14:textId="77777777" w:rsidR="001C365A" w:rsidRPr="001C365A" w:rsidRDefault="001C365A" w:rsidP="00615190">
            <w:pPr>
              <w:spacing w:line="240" w:lineRule="atLeast"/>
              <w:rPr>
                <w:rFonts w:ascii="Tahoma" w:hAnsi="Tahoma"/>
                <w:color w:val="000000" w:themeColor="text1"/>
                <w:sz w:val="16"/>
                <w:lang w:val="en-GB"/>
              </w:rPr>
            </w:pPr>
            <w:r w:rsidRPr="001C365A">
              <w:rPr>
                <w:rFonts w:ascii="Tahoma" w:hAnsi="Tahoma"/>
                <w:color w:val="000000" w:themeColor="text1"/>
                <w:sz w:val="16"/>
                <w:lang w:val="en-GB"/>
              </w:rPr>
              <w:t>These above current receivables and payables relate primarily to cost recharges to/by entities under the common control of Naspers Limited, the group’s ultimate controlling parent. These current receivables and payables are interest-free.</w:t>
            </w:r>
          </w:p>
        </w:tc>
      </w:tr>
      <w:tr w:rsidR="00615190" w:rsidRPr="001C365A" w14:paraId="406FA2A1" w14:textId="77777777" w:rsidTr="002E6B6D">
        <w:trPr>
          <w:trHeight w:val="60"/>
        </w:trPr>
        <w:tc>
          <w:tcPr>
            <w:tcW w:w="397" w:type="dxa"/>
            <w:tcMar>
              <w:top w:w="142" w:type="dxa"/>
              <w:left w:w="0" w:type="dxa"/>
              <w:bottom w:w="57" w:type="dxa"/>
              <w:right w:w="0" w:type="dxa"/>
            </w:tcMar>
            <w:vAlign w:val="bottom"/>
          </w:tcPr>
          <w:p w14:paraId="73CBA317" w14:textId="77777777" w:rsidR="001C365A" w:rsidRPr="001C365A" w:rsidRDefault="001C365A" w:rsidP="00615190">
            <w:pPr>
              <w:spacing w:line="240" w:lineRule="atLeast"/>
              <w:rPr>
                <w:rFonts w:ascii="Tahoma" w:hAnsi="Tahoma"/>
                <w:color w:val="000000" w:themeColor="text1"/>
                <w:sz w:val="16"/>
                <w:lang w:val="en-GB"/>
              </w:rPr>
            </w:pPr>
          </w:p>
        </w:tc>
        <w:tc>
          <w:tcPr>
            <w:tcW w:w="9809" w:type="dxa"/>
            <w:tcMar>
              <w:top w:w="142" w:type="dxa"/>
              <w:left w:w="0" w:type="dxa"/>
              <w:bottom w:w="57" w:type="dxa"/>
              <w:right w:w="0" w:type="dxa"/>
            </w:tcMar>
            <w:vAlign w:val="bottom"/>
          </w:tcPr>
          <w:p w14:paraId="663CAAC1" w14:textId="77777777" w:rsidR="001C365A" w:rsidRPr="001C365A" w:rsidRDefault="001C365A" w:rsidP="00615190">
            <w:pPr>
              <w:spacing w:line="240" w:lineRule="atLeast"/>
              <w:rPr>
                <w:rFonts w:ascii="Tahoma" w:hAnsi="Tahoma"/>
                <w:b/>
                <w:bCs/>
                <w:color w:val="000000" w:themeColor="text1"/>
                <w:sz w:val="16"/>
                <w:lang w:val="en-GB"/>
              </w:rPr>
            </w:pPr>
            <w:r w:rsidRPr="001C365A">
              <w:rPr>
                <w:rFonts w:ascii="Tahoma" w:hAnsi="Tahoma"/>
                <w:b/>
                <w:bCs/>
                <w:color w:val="000000" w:themeColor="text1"/>
                <w:sz w:val="16"/>
                <w:lang w:val="en-GB"/>
              </w:rPr>
              <w:t>Shares held in holding company</w:t>
            </w:r>
          </w:p>
        </w:tc>
      </w:tr>
      <w:tr w:rsidR="00615190" w:rsidRPr="001C365A" w14:paraId="4ECD0B8D" w14:textId="77777777" w:rsidTr="002E6B6D">
        <w:trPr>
          <w:trHeight w:val="60"/>
        </w:trPr>
        <w:tc>
          <w:tcPr>
            <w:tcW w:w="397" w:type="dxa"/>
            <w:tcMar>
              <w:top w:w="57" w:type="dxa"/>
              <w:left w:w="0" w:type="dxa"/>
              <w:bottom w:w="57" w:type="dxa"/>
              <w:right w:w="0" w:type="dxa"/>
            </w:tcMar>
            <w:vAlign w:val="bottom"/>
          </w:tcPr>
          <w:p w14:paraId="15BEBF46" w14:textId="77777777" w:rsidR="001C365A" w:rsidRPr="001C365A" w:rsidRDefault="001C365A" w:rsidP="00615190">
            <w:pPr>
              <w:spacing w:line="240" w:lineRule="atLeast"/>
              <w:rPr>
                <w:rFonts w:ascii="Tahoma" w:hAnsi="Tahoma"/>
                <w:color w:val="000000" w:themeColor="text1"/>
                <w:sz w:val="16"/>
                <w:lang w:val="en-GB"/>
              </w:rPr>
            </w:pPr>
          </w:p>
        </w:tc>
        <w:tc>
          <w:tcPr>
            <w:tcW w:w="9809" w:type="dxa"/>
            <w:tcMar>
              <w:top w:w="57" w:type="dxa"/>
              <w:left w:w="0" w:type="dxa"/>
              <w:bottom w:w="57" w:type="dxa"/>
              <w:right w:w="0" w:type="dxa"/>
            </w:tcMar>
            <w:vAlign w:val="bottom"/>
          </w:tcPr>
          <w:p w14:paraId="51BCB087" w14:textId="77777777" w:rsidR="001C365A" w:rsidRPr="001C365A" w:rsidRDefault="001C365A" w:rsidP="00615190">
            <w:pPr>
              <w:spacing w:line="240" w:lineRule="atLeast"/>
              <w:rPr>
                <w:rFonts w:ascii="Tahoma" w:hAnsi="Tahoma"/>
                <w:color w:val="000000" w:themeColor="text1"/>
                <w:sz w:val="16"/>
                <w:lang w:val="en-GB"/>
              </w:rPr>
            </w:pPr>
            <w:r w:rsidRPr="001C365A">
              <w:rPr>
                <w:rFonts w:ascii="Tahoma" w:hAnsi="Tahoma"/>
                <w:color w:val="000000" w:themeColor="text1"/>
                <w:sz w:val="16"/>
                <w:lang w:val="en-GB"/>
              </w:rPr>
              <w:t xml:space="preserve">At 31 March 2022, as a result of the share exchange transaction, </w:t>
            </w:r>
            <w:proofErr w:type="spellStart"/>
            <w:r w:rsidRPr="001C365A">
              <w:rPr>
                <w:rFonts w:ascii="Tahoma" w:hAnsi="Tahoma"/>
                <w:color w:val="000000" w:themeColor="text1"/>
                <w:sz w:val="16"/>
                <w:lang w:val="en-GB"/>
              </w:rPr>
              <w:t>Prosus</w:t>
            </w:r>
            <w:proofErr w:type="spellEnd"/>
            <w:r w:rsidRPr="001C365A">
              <w:rPr>
                <w:rFonts w:ascii="Tahoma" w:hAnsi="Tahoma"/>
                <w:color w:val="000000" w:themeColor="text1"/>
                <w:sz w:val="16"/>
                <w:lang w:val="en-GB"/>
              </w:rPr>
              <w:t xml:space="preserve"> held 49.5% fully diluted (49.9% economic interest) in Naspers. Simultaneously with the share exchange transaction, a cross-holding agreement was entered into between Naspers and </w:t>
            </w:r>
            <w:proofErr w:type="spellStart"/>
            <w:r w:rsidRPr="001C365A">
              <w:rPr>
                <w:rFonts w:ascii="Tahoma" w:hAnsi="Tahoma"/>
                <w:color w:val="000000" w:themeColor="text1"/>
                <w:sz w:val="16"/>
                <w:lang w:val="en-GB"/>
              </w:rPr>
              <w:t>Prosus</w:t>
            </w:r>
            <w:proofErr w:type="spellEnd"/>
            <w:r w:rsidRPr="001C365A">
              <w:rPr>
                <w:rFonts w:ascii="Tahoma" w:hAnsi="Tahoma"/>
                <w:color w:val="000000" w:themeColor="text1"/>
                <w:sz w:val="16"/>
                <w:lang w:val="en-GB"/>
              </w:rPr>
              <w:t xml:space="preserve"> which governed how distributions between the two groups would be managed. The transaction was accounted for as a capital restructure and an acquisition of an indirect interest in the residual assets of the Naspers group outside of the </w:t>
            </w:r>
            <w:proofErr w:type="spellStart"/>
            <w:r w:rsidRPr="001C365A">
              <w:rPr>
                <w:rFonts w:ascii="Tahoma" w:hAnsi="Tahoma"/>
                <w:color w:val="000000" w:themeColor="text1"/>
                <w:sz w:val="16"/>
                <w:lang w:val="en-GB"/>
              </w:rPr>
              <w:t>Prosus</w:t>
            </w:r>
            <w:proofErr w:type="spellEnd"/>
            <w:r w:rsidRPr="001C365A">
              <w:rPr>
                <w:rFonts w:ascii="Tahoma" w:hAnsi="Tahoma"/>
                <w:color w:val="000000" w:themeColor="text1"/>
                <w:sz w:val="16"/>
                <w:lang w:val="en-GB"/>
              </w:rPr>
              <w:t xml:space="preserve"> group.</w:t>
            </w:r>
          </w:p>
        </w:tc>
      </w:tr>
      <w:tr w:rsidR="00615190" w:rsidRPr="001C365A" w14:paraId="4FCCC60F" w14:textId="77777777" w:rsidTr="002E6B6D">
        <w:trPr>
          <w:trHeight w:val="60"/>
        </w:trPr>
        <w:tc>
          <w:tcPr>
            <w:tcW w:w="397" w:type="dxa"/>
            <w:tcMar>
              <w:top w:w="142" w:type="dxa"/>
              <w:left w:w="0" w:type="dxa"/>
              <w:bottom w:w="57" w:type="dxa"/>
              <w:right w:w="0" w:type="dxa"/>
            </w:tcMar>
            <w:vAlign w:val="bottom"/>
          </w:tcPr>
          <w:p w14:paraId="2B40F844" w14:textId="77777777" w:rsidR="001C365A" w:rsidRPr="001C365A" w:rsidRDefault="001C365A" w:rsidP="00615190">
            <w:pPr>
              <w:spacing w:line="240" w:lineRule="atLeast"/>
              <w:rPr>
                <w:rFonts w:ascii="Tahoma" w:hAnsi="Tahoma"/>
                <w:color w:val="000000" w:themeColor="text1"/>
                <w:sz w:val="16"/>
                <w:lang w:val="en-GB"/>
              </w:rPr>
            </w:pPr>
          </w:p>
        </w:tc>
        <w:tc>
          <w:tcPr>
            <w:tcW w:w="9809" w:type="dxa"/>
            <w:tcMar>
              <w:top w:w="142" w:type="dxa"/>
              <w:left w:w="0" w:type="dxa"/>
              <w:bottom w:w="57" w:type="dxa"/>
              <w:right w:w="0" w:type="dxa"/>
            </w:tcMar>
            <w:vAlign w:val="bottom"/>
          </w:tcPr>
          <w:p w14:paraId="76810C96" w14:textId="77777777" w:rsidR="001C365A" w:rsidRPr="001C365A" w:rsidRDefault="001C365A" w:rsidP="00615190">
            <w:pPr>
              <w:spacing w:line="240" w:lineRule="atLeast"/>
              <w:rPr>
                <w:rFonts w:ascii="Tahoma" w:hAnsi="Tahoma"/>
                <w:color w:val="000000" w:themeColor="text1"/>
                <w:sz w:val="16"/>
                <w:lang w:val="en-GB"/>
              </w:rPr>
            </w:pPr>
            <w:r w:rsidRPr="001C365A">
              <w:rPr>
                <w:rFonts w:ascii="Tahoma" w:hAnsi="Tahoma"/>
                <w:color w:val="000000" w:themeColor="text1"/>
                <w:sz w:val="16"/>
                <w:lang w:val="en-GB"/>
              </w:rPr>
              <w:t xml:space="preserve">From June 2022, </w:t>
            </w:r>
            <w:proofErr w:type="spellStart"/>
            <w:r w:rsidRPr="001C365A">
              <w:rPr>
                <w:rFonts w:ascii="Tahoma" w:hAnsi="Tahoma"/>
                <w:color w:val="000000" w:themeColor="text1"/>
                <w:sz w:val="16"/>
                <w:lang w:val="en-GB"/>
              </w:rPr>
              <w:t>Prosus</w:t>
            </w:r>
            <w:proofErr w:type="spellEnd"/>
            <w:r w:rsidRPr="001C365A">
              <w:rPr>
                <w:rFonts w:ascii="Tahoma" w:hAnsi="Tahoma"/>
                <w:color w:val="000000" w:themeColor="text1"/>
                <w:sz w:val="16"/>
                <w:lang w:val="en-GB"/>
              </w:rPr>
              <w:t xml:space="preserve"> acquired an additional 4 152 285 Naspers N ordinary shares amounting to US$624.5m. At 30 September 2022, </w:t>
            </w:r>
            <w:proofErr w:type="spellStart"/>
            <w:r w:rsidRPr="001C365A">
              <w:rPr>
                <w:rFonts w:ascii="Tahoma" w:hAnsi="Tahoma"/>
                <w:color w:val="000000" w:themeColor="text1"/>
                <w:sz w:val="16"/>
                <w:lang w:val="en-GB"/>
              </w:rPr>
              <w:t>Prosus</w:t>
            </w:r>
            <w:proofErr w:type="spellEnd"/>
            <w:r w:rsidRPr="001C365A">
              <w:rPr>
                <w:rFonts w:ascii="Tahoma" w:hAnsi="Tahoma"/>
                <w:color w:val="000000" w:themeColor="text1"/>
                <w:sz w:val="16"/>
                <w:lang w:val="en-GB"/>
              </w:rPr>
              <w:t xml:space="preserve"> held a 50.7% fully diluted interest (50.9% economic interest) in Naspers. The accounting treatment for this interest takes into consideration the cross-holding agreement between </w:t>
            </w:r>
            <w:proofErr w:type="spellStart"/>
            <w:r w:rsidRPr="001C365A">
              <w:rPr>
                <w:rFonts w:ascii="Tahoma" w:hAnsi="Tahoma"/>
                <w:color w:val="000000" w:themeColor="text1"/>
                <w:sz w:val="16"/>
                <w:lang w:val="en-GB"/>
              </w:rPr>
              <w:t>Prosus</w:t>
            </w:r>
            <w:proofErr w:type="spellEnd"/>
            <w:r w:rsidRPr="001C365A">
              <w:rPr>
                <w:rFonts w:ascii="Tahoma" w:hAnsi="Tahoma"/>
                <w:color w:val="000000" w:themeColor="text1"/>
                <w:sz w:val="16"/>
                <w:lang w:val="en-GB"/>
              </w:rPr>
              <w:t xml:space="preserve"> and Naspers. </w:t>
            </w:r>
          </w:p>
        </w:tc>
      </w:tr>
      <w:tr w:rsidR="00615190" w:rsidRPr="001C365A" w14:paraId="4BB759F4" w14:textId="77777777" w:rsidTr="002E6B6D">
        <w:trPr>
          <w:trHeight w:val="60"/>
        </w:trPr>
        <w:tc>
          <w:tcPr>
            <w:tcW w:w="397" w:type="dxa"/>
            <w:tcMar>
              <w:top w:w="142" w:type="dxa"/>
              <w:left w:w="0" w:type="dxa"/>
              <w:bottom w:w="57" w:type="dxa"/>
              <w:right w:w="0" w:type="dxa"/>
            </w:tcMar>
            <w:vAlign w:val="bottom"/>
          </w:tcPr>
          <w:p w14:paraId="7DD7191E" w14:textId="77777777" w:rsidR="001C365A" w:rsidRPr="001C365A" w:rsidRDefault="001C365A" w:rsidP="00615190">
            <w:pPr>
              <w:spacing w:line="240" w:lineRule="atLeast"/>
              <w:rPr>
                <w:rFonts w:ascii="Tahoma" w:hAnsi="Tahoma"/>
                <w:color w:val="000000" w:themeColor="text1"/>
                <w:sz w:val="16"/>
                <w:lang w:val="en-GB"/>
              </w:rPr>
            </w:pPr>
          </w:p>
        </w:tc>
        <w:tc>
          <w:tcPr>
            <w:tcW w:w="9809" w:type="dxa"/>
            <w:tcMar>
              <w:top w:w="142" w:type="dxa"/>
              <w:left w:w="0" w:type="dxa"/>
              <w:bottom w:w="57" w:type="dxa"/>
              <w:right w:w="0" w:type="dxa"/>
            </w:tcMar>
            <w:vAlign w:val="bottom"/>
          </w:tcPr>
          <w:p w14:paraId="3FEB94C7" w14:textId="77777777" w:rsidR="001C365A" w:rsidRPr="001C365A" w:rsidRDefault="001C365A" w:rsidP="00615190">
            <w:pPr>
              <w:spacing w:line="240" w:lineRule="atLeast"/>
              <w:rPr>
                <w:rFonts w:ascii="Tahoma" w:hAnsi="Tahoma"/>
                <w:color w:val="000000" w:themeColor="text1"/>
                <w:sz w:val="16"/>
                <w:lang w:val="en-GB"/>
              </w:rPr>
            </w:pPr>
            <w:proofErr w:type="spellStart"/>
            <w:r w:rsidRPr="001C365A">
              <w:rPr>
                <w:rFonts w:ascii="Tahoma" w:hAnsi="Tahoma"/>
                <w:color w:val="000000" w:themeColor="text1"/>
                <w:sz w:val="16"/>
                <w:lang w:val="en-GB"/>
              </w:rPr>
              <w:t>Prosus</w:t>
            </w:r>
            <w:proofErr w:type="spellEnd"/>
            <w:r w:rsidRPr="001C365A">
              <w:rPr>
                <w:rFonts w:ascii="Tahoma" w:hAnsi="Tahoma"/>
                <w:color w:val="000000" w:themeColor="text1"/>
                <w:sz w:val="16"/>
                <w:lang w:val="en-GB"/>
              </w:rPr>
              <w:t xml:space="preserve"> recognised a FVOCI investment amounting to US$281.2m (31 March 2022: US$385m), representing its indirect interest in the residual assets of the Naspers group.</w:t>
            </w:r>
          </w:p>
        </w:tc>
      </w:tr>
      <w:tr w:rsidR="00615190" w:rsidRPr="001C365A" w14:paraId="5426403F" w14:textId="77777777" w:rsidTr="002E6B6D">
        <w:trPr>
          <w:trHeight w:val="60"/>
        </w:trPr>
        <w:tc>
          <w:tcPr>
            <w:tcW w:w="397" w:type="dxa"/>
            <w:tcMar>
              <w:top w:w="142" w:type="dxa"/>
              <w:left w:w="0" w:type="dxa"/>
              <w:bottom w:w="57" w:type="dxa"/>
              <w:right w:w="0" w:type="dxa"/>
            </w:tcMar>
            <w:vAlign w:val="bottom"/>
          </w:tcPr>
          <w:p w14:paraId="5402C04E" w14:textId="77777777" w:rsidR="001C365A" w:rsidRPr="001C365A" w:rsidRDefault="001C365A" w:rsidP="00615190">
            <w:pPr>
              <w:spacing w:line="240" w:lineRule="atLeast"/>
              <w:rPr>
                <w:rFonts w:ascii="Tahoma" w:hAnsi="Tahoma"/>
                <w:color w:val="000000" w:themeColor="text1"/>
                <w:sz w:val="16"/>
                <w:lang w:val="en-GB"/>
              </w:rPr>
            </w:pPr>
          </w:p>
        </w:tc>
        <w:tc>
          <w:tcPr>
            <w:tcW w:w="9809" w:type="dxa"/>
            <w:tcMar>
              <w:top w:w="142" w:type="dxa"/>
              <w:left w:w="0" w:type="dxa"/>
              <w:bottom w:w="57" w:type="dxa"/>
              <w:right w:w="0" w:type="dxa"/>
            </w:tcMar>
            <w:vAlign w:val="bottom"/>
          </w:tcPr>
          <w:p w14:paraId="089841F0" w14:textId="77777777" w:rsidR="001C365A" w:rsidRPr="001C365A" w:rsidRDefault="001C365A" w:rsidP="00615190">
            <w:pPr>
              <w:spacing w:line="240" w:lineRule="atLeast"/>
              <w:rPr>
                <w:rFonts w:ascii="Tahoma" w:hAnsi="Tahoma"/>
                <w:color w:val="000000" w:themeColor="text1"/>
                <w:sz w:val="16"/>
                <w:lang w:val="en-GB"/>
              </w:rPr>
            </w:pPr>
            <w:r w:rsidRPr="001C365A">
              <w:rPr>
                <w:rFonts w:ascii="Tahoma" w:hAnsi="Tahoma"/>
                <w:color w:val="000000" w:themeColor="text1"/>
                <w:sz w:val="16"/>
                <w:lang w:val="en-GB"/>
              </w:rPr>
              <w:t xml:space="preserve">Refer to note 3 for details of the accounting treatment for the above transaction. </w:t>
            </w:r>
          </w:p>
        </w:tc>
      </w:tr>
      <w:tr w:rsidR="00615190" w:rsidRPr="001C365A" w14:paraId="25846DD9" w14:textId="77777777" w:rsidTr="002E6B6D">
        <w:trPr>
          <w:trHeight w:val="60"/>
        </w:trPr>
        <w:tc>
          <w:tcPr>
            <w:tcW w:w="397" w:type="dxa"/>
            <w:tcMar>
              <w:top w:w="142" w:type="dxa"/>
              <w:left w:w="0" w:type="dxa"/>
              <w:bottom w:w="57" w:type="dxa"/>
              <w:right w:w="0" w:type="dxa"/>
            </w:tcMar>
            <w:vAlign w:val="bottom"/>
          </w:tcPr>
          <w:p w14:paraId="5A7B833B" w14:textId="77777777" w:rsidR="001C365A" w:rsidRPr="001C365A" w:rsidRDefault="001C365A" w:rsidP="00615190">
            <w:pPr>
              <w:spacing w:line="240" w:lineRule="atLeast"/>
              <w:rPr>
                <w:rFonts w:ascii="Tahoma" w:hAnsi="Tahoma"/>
                <w:color w:val="000000" w:themeColor="text1"/>
                <w:sz w:val="16"/>
                <w:lang w:val="en-GB"/>
              </w:rPr>
            </w:pPr>
          </w:p>
        </w:tc>
        <w:tc>
          <w:tcPr>
            <w:tcW w:w="9809" w:type="dxa"/>
            <w:tcMar>
              <w:top w:w="142" w:type="dxa"/>
              <w:left w:w="0" w:type="dxa"/>
              <w:bottom w:w="57" w:type="dxa"/>
              <w:right w:w="0" w:type="dxa"/>
            </w:tcMar>
            <w:vAlign w:val="bottom"/>
          </w:tcPr>
          <w:p w14:paraId="4F66602D" w14:textId="77777777" w:rsidR="001C365A" w:rsidRPr="001C365A" w:rsidRDefault="001C365A" w:rsidP="00615190">
            <w:pPr>
              <w:spacing w:line="240" w:lineRule="atLeast"/>
              <w:rPr>
                <w:rFonts w:ascii="Tahoma" w:hAnsi="Tahoma"/>
                <w:b/>
                <w:bCs/>
                <w:color w:val="000000" w:themeColor="text1"/>
                <w:sz w:val="16"/>
                <w:lang w:val="en-GB"/>
              </w:rPr>
            </w:pPr>
            <w:r w:rsidRPr="001C365A">
              <w:rPr>
                <w:rFonts w:ascii="Tahoma" w:hAnsi="Tahoma"/>
                <w:b/>
                <w:bCs/>
                <w:color w:val="000000" w:themeColor="text1"/>
                <w:sz w:val="16"/>
                <w:lang w:val="en-GB"/>
              </w:rPr>
              <w:t>Group contributions to Naspers share trusts</w:t>
            </w:r>
          </w:p>
        </w:tc>
      </w:tr>
      <w:tr w:rsidR="00615190" w:rsidRPr="001C365A" w14:paraId="1815D88F" w14:textId="77777777" w:rsidTr="002E6B6D">
        <w:trPr>
          <w:trHeight w:val="60"/>
        </w:trPr>
        <w:tc>
          <w:tcPr>
            <w:tcW w:w="397" w:type="dxa"/>
            <w:tcMar>
              <w:top w:w="57" w:type="dxa"/>
              <w:left w:w="0" w:type="dxa"/>
              <w:bottom w:w="85" w:type="dxa"/>
              <w:right w:w="0" w:type="dxa"/>
            </w:tcMar>
            <w:vAlign w:val="bottom"/>
          </w:tcPr>
          <w:p w14:paraId="6476ECF4" w14:textId="77777777" w:rsidR="001C365A" w:rsidRPr="001C365A" w:rsidRDefault="001C365A" w:rsidP="00615190">
            <w:pPr>
              <w:spacing w:line="240" w:lineRule="atLeast"/>
              <w:rPr>
                <w:rFonts w:ascii="Tahoma" w:hAnsi="Tahoma"/>
                <w:color w:val="000000" w:themeColor="text1"/>
                <w:sz w:val="16"/>
                <w:lang w:val="en-GB"/>
              </w:rPr>
            </w:pPr>
          </w:p>
        </w:tc>
        <w:tc>
          <w:tcPr>
            <w:tcW w:w="9809" w:type="dxa"/>
            <w:tcMar>
              <w:top w:w="57" w:type="dxa"/>
              <w:left w:w="0" w:type="dxa"/>
              <w:bottom w:w="85" w:type="dxa"/>
              <w:right w:w="0" w:type="dxa"/>
            </w:tcMar>
            <w:vAlign w:val="bottom"/>
          </w:tcPr>
          <w:p w14:paraId="416D45A6" w14:textId="77777777" w:rsidR="001C365A" w:rsidRPr="001C365A" w:rsidRDefault="001C365A" w:rsidP="00615190">
            <w:pPr>
              <w:spacing w:line="240" w:lineRule="atLeast"/>
              <w:rPr>
                <w:rFonts w:ascii="Tahoma" w:hAnsi="Tahoma"/>
                <w:color w:val="000000" w:themeColor="text1"/>
                <w:sz w:val="16"/>
                <w:lang w:val="en-GB"/>
              </w:rPr>
            </w:pPr>
            <w:r w:rsidRPr="001C365A">
              <w:rPr>
                <w:rFonts w:ascii="Tahoma" w:hAnsi="Tahoma"/>
                <w:color w:val="000000" w:themeColor="text1"/>
                <w:sz w:val="16"/>
                <w:lang w:val="en-GB"/>
              </w:rPr>
              <w:t>The group made contributions to Naspers share trusts amounting to US$127.4m (2021: US$151.3m and 31 March 2022: US$190.2m) during the current period.</w:t>
            </w:r>
          </w:p>
        </w:tc>
      </w:tr>
      <w:tr w:rsidR="00615190" w:rsidRPr="001C365A" w14:paraId="4F2A2F9E" w14:textId="77777777" w:rsidTr="002E6B6D">
        <w:trPr>
          <w:trHeight w:val="60"/>
        </w:trPr>
        <w:tc>
          <w:tcPr>
            <w:tcW w:w="397" w:type="dxa"/>
            <w:tcMar>
              <w:top w:w="142" w:type="dxa"/>
              <w:left w:w="0" w:type="dxa"/>
              <w:bottom w:w="57" w:type="dxa"/>
              <w:right w:w="0" w:type="dxa"/>
            </w:tcMar>
            <w:vAlign w:val="bottom"/>
          </w:tcPr>
          <w:p w14:paraId="1921A4F7" w14:textId="77777777" w:rsidR="001C365A" w:rsidRPr="001C365A" w:rsidRDefault="001C365A" w:rsidP="00615190">
            <w:pPr>
              <w:spacing w:line="240" w:lineRule="atLeast"/>
              <w:rPr>
                <w:rFonts w:ascii="Tahoma" w:hAnsi="Tahoma"/>
                <w:color w:val="000000" w:themeColor="text1"/>
                <w:sz w:val="16"/>
                <w:lang w:val="en-GB"/>
              </w:rPr>
            </w:pPr>
          </w:p>
        </w:tc>
        <w:tc>
          <w:tcPr>
            <w:tcW w:w="9809" w:type="dxa"/>
            <w:tcMar>
              <w:top w:w="142" w:type="dxa"/>
              <w:left w:w="0" w:type="dxa"/>
              <w:bottom w:w="57" w:type="dxa"/>
              <w:right w:w="0" w:type="dxa"/>
            </w:tcMar>
            <w:vAlign w:val="bottom"/>
          </w:tcPr>
          <w:p w14:paraId="3AC2685B" w14:textId="77777777" w:rsidR="001C365A" w:rsidRPr="001C365A" w:rsidRDefault="001C365A" w:rsidP="00615190">
            <w:pPr>
              <w:spacing w:line="240" w:lineRule="atLeast"/>
              <w:rPr>
                <w:rFonts w:ascii="Tahoma" w:hAnsi="Tahoma"/>
                <w:color w:val="000000" w:themeColor="text1"/>
                <w:sz w:val="16"/>
                <w:lang w:val="en-GB"/>
              </w:rPr>
            </w:pPr>
          </w:p>
        </w:tc>
      </w:tr>
      <w:tr w:rsidR="00615190" w:rsidRPr="001C365A" w14:paraId="50BD4A82" w14:textId="77777777" w:rsidTr="002E6B6D">
        <w:trPr>
          <w:trHeight w:val="60"/>
        </w:trPr>
        <w:tc>
          <w:tcPr>
            <w:tcW w:w="397" w:type="dxa"/>
            <w:tcMar>
              <w:top w:w="0" w:type="dxa"/>
              <w:left w:w="0" w:type="dxa"/>
              <w:bottom w:w="57" w:type="dxa"/>
              <w:right w:w="0" w:type="dxa"/>
            </w:tcMar>
            <w:vAlign w:val="bottom"/>
          </w:tcPr>
          <w:p w14:paraId="2071A1F5" w14:textId="77777777" w:rsidR="001C365A" w:rsidRPr="001C365A" w:rsidRDefault="00336845" w:rsidP="00615190">
            <w:pPr>
              <w:spacing w:line="240" w:lineRule="atLeast"/>
              <w:rPr>
                <w:rFonts w:ascii="Tahoma" w:hAnsi="Tahoma"/>
                <w:b/>
                <w:bCs/>
                <w:color w:val="000000" w:themeColor="text1"/>
                <w:sz w:val="16"/>
                <w:lang w:val="en-GB"/>
              </w:rPr>
            </w:pPr>
            <w:r w:rsidRPr="001C365A">
              <w:rPr>
                <w:rFonts w:ascii="Tahoma" w:hAnsi="Tahoma"/>
                <w:b/>
                <w:bCs/>
                <w:color w:val="000000" w:themeColor="text1"/>
                <w:sz w:val="16"/>
                <w:lang w:val="en-GB"/>
              </w:rPr>
              <w:t>19.</w:t>
            </w:r>
          </w:p>
        </w:tc>
        <w:tc>
          <w:tcPr>
            <w:tcW w:w="9809" w:type="dxa"/>
            <w:tcMar>
              <w:top w:w="0" w:type="dxa"/>
              <w:left w:w="0" w:type="dxa"/>
              <w:bottom w:w="57" w:type="dxa"/>
              <w:right w:w="0" w:type="dxa"/>
            </w:tcMar>
            <w:vAlign w:val="bottom"/>
          </w:tcPr>
          <w:p w14:paraId="425EFA83" w14:textId="77777777" w:rsidR="001C365A" w:rsidRPr="001C365A" w:rsidRDefault="00336845" w:rsidP="00615190">
            <w:pPr>
              <w:spacing w:line="240" w:lineRule="atLeast"/>
              <w:rPr>
                <w:rFonts w:ascii="Tahoma" w:hAnsi="Tahoma"/>
                <w:b/>
                <w:bCs/>
                <w:color w:val="000000" w:themeColor="text1"/>
                <w:sz w:val="16"/>
                <w:lang w:val="en-GB"/>
              </w:rPr>
            </w:pPr>
            <w:r w:rsidRPr="001C365A">
              <w:rPr>
                <w:rFonts w:ascii="Tahoma" w:hAnsi="Tahoma"/>
                <w:b/>
                <w:bCs/>
                <w:color w:val="000000" w:themeColor="text1"/>
                <w:sz w:val="16"/>
                <w:lang w:val="en-GB"/>
              </w:rPr>
              <w:t>EVENTS AFTER THE REPORTING PERIOD</w:t>
            </w:r>
          </w:p>
        </w:tc>
      </w:tr>
      <w:tr w:rsidR="00615190" w:rsidRPr="001C365A" w14:paraId="476776D7" w14:textId="77777777" w:rsidTr="002E6B6D">
        <w:trPr>
          <w:trHeight w:val="60"/>
        </w:trPr>
        <w:tc>
          <w:tcPr>
            <w:tcW w:w="397" w:type="dxa"/>
            <w:tcMar>
              <w:top w:w="57" w:type="dxa"/>
              <w:left w:w="0" w:type="dxa"/>
              <w:bottom w:w="57" w:type="dxa"/>
              <w:right w:w="0" w:type="dxa"/>
            </w:tcMar>
            <w:vAlign w:val="bottom"/>
          </w:tcPr>
          <w:p w14:paraId="08E02BAE" w14:textId="77777777" w:rsidR="001C365A" w:rsidRPr="001C365A" w:rsidRDefault="001C365A" w:rsidP="00615190">
            <w:pPr>
              <w:spacing w:line="240" w:lineRule="atLeast"/>
              <w:rPr>
                <w:rFonts w:ascii="Tahoma" w:hAnsi="Tahoma"/>
                <w:color w:val="000000" w:themeColor="text1"/>
                <w:sz w:val="16"/>
                <w:lang w:val="en-GB"/>
              </w:rPr>
            </w:pPr>
          </w:p>
        </w:tc>
        <w:tc>
          <w:tcPr>
            <w:tcW w:w="9809" w:type="dxa"/>
            <w:tcMar>
              <w:top w:w="57" w:type="dxa"/>
              <w:left w:w="0" w:type="dxa"/>
              <w:bottom w:w="57" w:type="dxa"/>
              <w:right w:w="0" w:type="dxa"/>
            </w:tcMar>
            <w:vAlign w:val="bottom"/>
          </w:tcPr>
          <w:p w14:paraId="1AF86C82" w14:textId="77777777" w:rsidR="001C365A" w:rsidRPr="001C365A" w:rsidRDefault="001C365A" w:rsidP="00615190">
            <w:pPr>
              <w:spacing w:line="240" w:lineRule="atLeast"/>
              <w:rPr>
                <w:rFonts w:ascii="Tahoma" w:hAnsi="Tahoma"/>
                <w:color w:val="000000" w:themeColor="text1"/>
                <w:sz w:val="16"/>
                <w:lang w:val="en-GB"/>
              </w:rPr>
            </w:pPr>
            <w:r w:rsidRPr="001C365A">
              <w:rPr>
                <w:rFonts w:ascii="Tahoma" w:hAnsi="Tahoma"/>
                <w:color w:val="000000" w:themeColor="text1"/>
                <w:sz w:val="16"/>
                <w:lang w:val="en-GB"/>
              </w:rPr>
              <w:t>In August 2021, the group entered into an agreement with the shareholders of the Indian digital payments provider Indialdeas.com Limited (</w:t>
            </w:r>
            <w:proofErr w:type="spellStart"/>
            <w:r w:rsidRPr="001C365A">
              <w:rPr>
                <w:rFonts w:ascii="Tahoma" w:hAnsi="Tahoma"/>
                <w:color w:val="000000" w:themeColor="text1"/>
                <w:sz w:val="16"/>
                <w:lang w:val="en-GB"/>
              </w:rPr>
              <w:t>BillDesk</w:t>
            </w:r>
            <w:proofErr w:type="spellEnd"/>
            <w:r w:rsidRPr="001C365A">
              <w:rPr>
                <w:rFonts w:ascii="Tahoma" w:hAnsi="Tahoma"/>
                <w:color w:val="000000" w:themeColor="text1"/>
                <w:sz w:val="16"/>
                <w:lang w:val="en-GB"/>
              </w:rPr>
              <w:t xml:space="preserve">) to acquire 100% of the equity in </w:t>
            </w:r>
            <w:proofErr w:type="spellStart"/>
            <w:r w:rsidRPr="001C365A">
              <w:rPr>
                <w:rFonts w:ascii="Tahoma" w:hAnsi="Tahoma"/>
                <w:color w:val="000000" w:themeColor="text1"/>
                <w:sz w:val="16"/>
                <w:lang w:val="en-GB"/>
              </w:rPr>
              <w:t>BillDesk</w:t>
            </w:r>
            <w:proofErr w:type="spellEnd"/>
            <w:r w:rsidRPr="001C365A">
              <w:rPr>
                <w:rFonts w:ascii="Tahoma" w:hAnsi="Tahoma"/>
                <w:color w:val="000000" w:themeColor="text1"/>
                <w:sz w:val="16"/>
                <w:lang w:val="en-GB"/>
              </w:rPr>
              <w:t xml:space="preserve"> for a consideration of approximately US$4.7bn (INR345bn). The closing of the transaction was subject to the fulfilment of various conditions precedent, including approval by the Competition Commission of India, which was secured on 5 September 2022. However, certain conditions precedent in the agreement were not fulfilled by the long-stop date of 30 September 2022. This resulted in the automatic termination of the agreement in October 2022 and, accordingly, the proposed transaction was not implemented.</w:t>
            </w:r>
          </w:p>
        </w:tc>
      </w:tr>
      <w:tr w:rsidR="00615190" w:rsidRPr="001C365A" w14:paraId="7F35B1F6" w14:textId="77777777" w:rsidTr="002E6B6D">
        <w:trPr>
          <w:trHeight w:val="60"/>
        </w:trPr>
        <w:tc>
          <w:tcPr>
            <w:tcW w:w="397" w:type="dxa"/>
            <w:tcMar>
              <w:top w:w="142" w:type="dxa"/>
              <w:left w:w="0" w:type="dxa"/>
              <w:bottom w:w="57" w:type="dxa"/>
              <w:right w:w="0" w:type="dxa"/>
            </w:tcMar>
            <w:vAlign w:val="bottom"/>
          </w:tcPr>
          <w:p w14:paraId="6746F81C" w14:textId="77777777" w:rsidR="001C365A" w:rsidRPr="001C365A" w:rsidRDefault="001C365A" w:rsidP="00615190">
            <w:pPr>
              <w:spacing w:line="240" w:lineRule="atLeast"/>
              <w:rPr>
                <w:rFonts w:ascii="Tahoma" w:hAnsi="Tahoma"/>
                <w:color w:val="000000" w:themeColor="text1"/>
                <w:sz w:val="16"/>
                <w:lang w:val="en-GB"/>
              </w:rPr>
            </w:pPr>
          </w:p>
        </w:tc>
        <w:tc>
          <w:tcPr>
            <w:tcW w:w="9809" w:type="dxa"/>
            <w:tcMar>
              <w:top w:w="142" w:type="dxa"/>
              <w:left w:w="0" w:type="dxa"/>
              <w:bottom w:w="57" w:type="dxa"/>
              <w:right w:w="0" w:type="dxa"/>
            </w:tcMar>
            <w:vAlign w:val="bottom"/>
          </w:tcPr>
          <w:p w14:paraId="28A93A7E" w14:textId="4F22B210" w:rsidR="001C365A" w:rsidRPr="001C365A" w:rsidRDefault="001C365A" w:rsidP="00615190">
            <w:pPr>
              <w:spacing w:line="240" w:lineRule="atLeast"/>
              <w:rPr>
                <w:rFonts w:ascii="Tahoma" w:hAnsi="Tahoma"/>
                <w:color w:val="000000" w:themeColor="text1"/>
                <w:sz w:val="16"/>
                <w:lang w:val="en-GB"/>
              </w:rPr>
            </w:pPr>
            <w:r w:rsidRPr="001C365A">
              <w:rPr>
                <w:rFonts w:ascii="Tahoma" w:hAnsi="Tahoma"/>
                <w:color w:val="000000" w:themeColor="text1"/>
                <w:sz w:val="16"/>
                <w:lang w:val="en-GB"/>
              </w:rPr>
              <w:t xml:space="preserve">In August 2022, the group entered into an agreement through its subsidiary MIH </w:t>
            </w:r>
            <w:proofErr w:type="spellStart"/>
            <w:r w:rsidRPr="001C365A">
              <w:rPr>
                <w:rFonts w:ascii="Tahoma" w:hAnsi="Tahoma"/>
                <w:color w:val="000000" w:themeColor="text1"/>
                <w:sz w:val="16"/>
                <w:lang w:val="en-GB"/>
              </w:rPr>
              <w:t>Movile</w:t>
            </w:r>
            <w:proofErr w:type="spellEnd"/>
            <w:r w:rsidRPr="001C365A">
              <w:rPr>
                <w:rFonts w:ascii="Tahoma" w:hAnsi="Tahoma"/>
                <w:color w:val="000000" w:themeColor="text1"/>
                <w:sz w:val="16"/>
                <w:lang w:val="en-GB"/>
              </w:rPr>
              <w:t xml:space="preserve"> Holdings B.V. (</w:t>
            </w:r>
            <w:proofErr w:type="spellStart"/>
            <w:r w:rsidRPr="001C365A">
              <w:rPr>
                <w:rFonts w:ascii="Tahoma" w:hAnsi="Tahoma"/>
                <w:color w:val="000000" w:themeColor="text1"/>
                <w:sz w:val="16"/>
                <w:lang w:val="en-GB"/>
              </w:rPr>
              <w:t>Movile</w:t>
            </w:r>
            <w:proofErr w:type="spellEnd"/>
            <w:r w:rsidRPr="001C365A">
              <w:rPr>
                <w:rFonts w:ascii="Tahoma" w:hAnsi="Tahoma"/>
                <w:color w:val="000000" w:themeColor="text1"/>
                <w:sz w:val="16"/>
                <w:lang w:val="en-GB"/>
              </w:rPr>
              <w:t xml:space="preserve">) to acquire the remaining 33.3% stake in </w:t>
            </w:r>
            <w:proofErr w:type="spellStart"/>
            <w:r w:rsidRPr="001C365A">
              <w:rPr>
                <w:rFonts w:ascii="Tahoma" w:hAnsi="Tahoma"/>
                <w:color w:val="000000" w:themeColor="text1"/>
                <w:sz w:val="16"/>
                <w:lang w:val="en-GB"/>
              </w:rPr>
              <w:t>iFood</w:t>
            </w:r>
            <w:proofErr w:type="spellEnd"/>
            <w:r w:rsidRPr="001C365A">
              <w:rPr>
                <w:rFonts w:ascii="Tahoma" w:hAnsi="Tahoma"/>
                <w:color w:val="000000" w:themeColor="text1"/>
                <w:sz w:val="16"/>
                <w:lang w:val="en-GB"/>
              </w:rPr>
              <w:t xml:space="preserve"> Holdings B.V. (</w:t>
            </w:r>
            <w:proofErr w:type="spellStart"/>
            <w:r w:rsidRPr="001C365A">
              <w:rPr>
                <w:rFonts w:ascii="Tahoma" w:hAnsi="Tahoma"/>
                <w:color w:val="000000" w:themeColor="text1"/>
                <w:sz w:val="16"/>
                <w:lang w:val="en-GB"/>
              </w:rPr>
              <w:t>iFood</w:t>
            </w:r>
            <w:proofErr w:type="spellEnd"/>
            <w:r w:rsidRPr="001C365A">
              <w:rPr>
                <w:rFonts w:ascii="Tahoma" w:hAnsi="Tahoma"/>
                <w:color w:val="000000" w:themeColor="text1"/>
                <w:sz w:val="16"/>
                <w:lang w:val="en-GB"/>
              </w:rPr>
              <w:t xml:space="preserve">) and IF-JE Holdings B.V., from non-controlling shareholder Just Eat Holding Limited (Just Eat) for €1.5bn in cash, plus a contingent consideration of up to a maximum of €300m at a future date. The transaction was approved by Just Eat Takeaway shareholders in November 2022. The transaction will result in the settlement of the US$1.55bn liability recognised as at </w:t>
            </w:r>
            <w:r w:rsidR="002571CB">
              <w:rPr>
                <w:rFonts w:ascii="Tahoma" w:hAnsi="Tahoma"/>
                <w:color w:val="000000" w:themeColor="text1"/>
                <w:sz w:val="16"/>
                <w:lang w:val="en-GB"/>
              </w:rPr>
              <w:br/>
            </w:r>
            <w:r w:rsidRPr="001C365A">
              <w:rPr>
                <w:rFonts w:ascii="Tahoma" w:hAnsi="Tahoma"/>
                <w:color w:val="000000" w:themeColor="text1"/>
                <w:sz w:val="16"/>
                <w:lang w:val="en-GB"/>
              </w:rPr>
              <w:t>30 September 2022 and will be accounted for in equity as a transaction with non-controlling shareholders.</w:t>
            </w:r>
          </w:p>
        </w:tc>
      </w:tr>
      <w:tr w:rsidR="00615190" w:rsidRPr="001C365A" w14:paraId="6E472CB7" w14:textId="77777777" w:rsidTr="002E6B6D">
        <w:trPr>
          <w:trHeight w:val="60"/>
        </w:trPr>
        <w:tc>
          <w:tcPr>
            <w:tcW w:w="397" w:type="dxa"/>
            <w:tcMar>
              <w:top w:w="142" w:type="dxa"/>
              <w:left w:w="0" w:type="dxa"/>
              <w:bottom w:w="57" w:type="dxa"/>
              <w:right w:w="0" w:type="dxa"/>
            </w:tcMar>
            <w:vAlign w:val="bottom"/>
          </w:tcPr>
          <w:p w14:paraId="49F9216E" w14:textId="77777777" w:rsidR="001C365A" w:rsidRPr="001C365A" w:rsidRDefault="001C365A" w:rsidP="00615190">
            <w:pPr>
              <w:spacing w:line="240" w:lineRule="atLeast"/>
              <w:rPr>
                <w:rFonts w:ascii="Tahoma" w:hAnsi="Tahoma"/>
                <w:color w:val="000000" w:themeColor="text1"/>
                <w:sz w:val="16"/>
                <w:lang w:val="en-GB"/>
              </w:rPr>
            </w:pPr>
          </w:p>
        </w:tc>
        <w:tc>
          <w:tcPr>
            <w:tcW w:w="9809" w:type="dxa"/>
            <w:tcMar>
              <w:top w:w="142" w:type="dxa"/>
              <w:left w:w="0" w:type="dxa"/>
              <w:bottom w:w="57" w:type="dxa"/>
              <w:right w:w="0" w:type="dxa"/>
            </w:tcMar>
            <w:vAlign w:val="bottom"/>
          </w:tcPr>
          <w:p w14:paraId="75844490" w14:textId="12E818DD" w:rsidR="001C365A" w:rsidRPr="001C365A" w:rsidRDefault="001C365A" w:rsidP="00615190">
            <w:pPr>
              <w:spacing w:line="240" w:lineRule="atLeast"/>
              <w:rPr>
                <w:rFonts w:ascii="Tahoma" w:hAnsi="Tahoma"/>
                <w:color w:val="000000" w:themeColor="text1"/>
                <w:sz w:val="16"/>
                <w:lang w:val="en-GB"/>
              </w:rPr>
            </w:pPr>
            <w:r w:rsidRPr="001C365A">
              <w:rPr>
                <w:rFonts w:ascii="Tahoma" w:hAnsi="Tahoma"/>
                <w:color w:val="000000" w:themeColor="text1"/>
                <w:sz w:val="16"/>
                <w:lang w:val="en-GB"/>
              </w:rPr>
              <w:t xml:space="preserve">In October 2022, the group sold its investment in </w:t>
            </w:r>
            <w:proofErr w:type="spellStart"/>
            <w:r w:rsidRPr="001C365A">
              <w:rPr>
                <w:rFonts w:ascii="Tahoma" w:hAnsi="Tahoma"/>
                <w:color w:val="000000" w:themeColor="text1"/>
                <w:sz w:val="16"/>
                <w:lang w:val="en-GB"/>
              </w:rPr>
              <w:t>Avito</w:t>
            </w:r>
            <w:proofErr w:type="spellEnd"/>
            <w:r w:rsidRPr="001C365A">
              <w:rPr>
                <w:rFonts w:ascii="Tahoma" w:hAnsi="Tahoma"/>
                <w:color w:val="000000" w:themeColor="text1"/>
                <w:sz w:val="16"/>
                <w:lang w:val="en-GB"/>
              </w:rPr>
              <w:t xml:space="preserve"> to Kismet Capital Group (Kismet) for a total cash consideration of US$2.4bn. </w:t>
            </w:r>
            <w:r w:rsidR="009C5DCC" w:rsidRPr="009C5DCC">
              <w:rPr>
                <w:rFonts w:ascii="Tahoma" w:hAnsi="Tahoma"/>
                <w:color w:val="000000" w:themeColor="text1"/>
                <w:sz w:val="16"/>
                <w:lang w:val="en-GB"/>
              </w:rPr>
              <w:t>The group will recognise a gain on disposal of this investment and a reclassification of the accumulated foreign currency translation losses.</w:t>
            </w:r>
          </w:p>
        </w:tc>
      </w:tr>
      <w:tr w:rsidR="00615190" w:rsidRPr="001C365A" w14:paraId="5B6F6AD2" w14:textId="77777777" w:rsidTr="002E6B6D">
        <w:trPr>
          <w:trHeight w:val="60"/>
        </w:trPr>
        <w:tc>
          <w:tcPr>
            <w:tcW w:w="397" w:type="dxa"/>
            <w:tcMar>
              <w:top w:w="142" w:type="dxa"/>
              <w:left w:w="0" w:type="dxa"/>
              <w:bottom w:w="57" w:type="dxa"/>
              <w:right w:w="0" w:type="dxa"/>
            </w:tcMar>
            <w:vAlign w:val="bottom"/>
          </w:tcPr>
          <w:p w14:paraId="3B8B519B" w14:textId="77777777" w:rsidR="001C365A" w:rsidRPr="001C365A" w:rsidRDefault="001C365A" w:rsidP="00615190">
            <w:pPr>
              <w:spacing w:line="240" w:lineRule="atLeast"/>
              <w:rPr>
                <w:rFonts w:ascii="Tahoma" w:hAnsi="Tahoma"/>
                <w:color w:val="000000" w:themeColor="text1"/>
                <w:sz w:val="16"/>
                <w:lang w:val="en-GB"/>
              </w:rPr>
            </w:pPr>
          </w:p>
        </w:tc>
        <w:tc>
          <w:tcPr>
            <w:tcW w:w="9809" w:type="dxa"/>
            <w:tcMar>
              <w:top w:w="142" w:type="dxa"/>
              <w:left w:w="0" w:type="dxa"/>
              <w:bottom w:w="57" w:type="dxa"/>
              <w:right w:w="0" w:type="dxa"/>
            </w:tcMar>
            <w:vAlign w:val="bottom"/>
          </w:tcPr>
          <w:p w14:paraId="6AC67B27" w14:textId="77777777" w:rsidR="001C365A" w:rsidRPr="001C365A" w:rsidRDefault="001C365A" w:rsidP="00615190">
            <w:pPr>
              <w:spacing w:line="240" w:lineRule="atLeast"/>
              <w:rPr>
                <w:rFonts w:ascii="Tahoma" w:hAnsi="Tahoma"/>
                <w:color w:val="000000" w:themeColor="text1"/>
                <w:sz w:val="16"/>
                <w:lang w:val="en-GB"/>
              </w:rPr>
            </w:pPr>
            <w:r w:rsidRPr="001C365A">
              <w:rPr>
                <w:rFonts w:ascii="Tahoma" w:hAnsi="Tahoma"/>
                <w:color w:val="000000" w:themeColor="text1"/>
                <w:sz w:val="16"/>
                <w:lang w:val="en-GB"/>
              </w:rPr>
              <w:t xml:space="preserve">In November 2022, the group signed an agreement with VK Company Limited (VK) to renounce all VK shares and shareholder rights for no consideration. </w:t>
            </w:r>
          </w:p>
        </w:tc>
      </w:tr>
      <w:tr w:rsidR="00615190" w:rsidRPr="001C365A" w14:paraId="3C638EFC" w14:textId="77777777" w:rsidTr="002E6B6D">
        <w:trPr>
          <w:trHeight w:val="60"/>
        </w:trPr>
        <w:tc>
          <w:tcPr>
            <w:tcW w:w="397" w:type="dxa"/>
            <w:tcMar>
              <w:top w:w="142" w:type="dxa"/>
              <w:left w:w="0" w:type="dxa"/>
              <w:bottom w:w="57" w:type="dxa"/>
              <w:right w:w="0" w:type="dxa"/>
            </w:tcMar>
            <w:vAlign w:val="bottom"/>
          </w:tcPr>
          <w:p w14:paraId="5C61EA9B" w14:textId="77777777" w:rsidR="001C365A" w:rsidRPr="001C365A" w:rsidRDefault="001C365A" w:rsidP="00615190">
            <w:pPr>
              <w:spacing w:line="240" w:lineRule="atLeast"/>
              <w:rPr>
                <w:rFonts w:ascii="Tahoma" w:hAnsi="Tahoma"/>
                <w:color w:val="000000" w:themeColor="text1"/>
                <w:sz w:val="16"/>
                <w:lang w:val="en-GB"/>
              </w:rPr>
            </w:pPr>
          </w:p>
        </w:tc>
        <w:tc>
          <w:tcPr>
            <w:tcW w:w="9809" w:type="dxa"/>
            <w:tcMar>
              <w:top w:w="142" w:type="dxa"/>
              <w:left w:w="0" w:type="dxa"/>
              <w:bottom w:w="57" w:type="dxa"/>
              <w:right w:w="0" w:type="dxa"/>
            </w:tcMar>
            <w:vAlign w:val="bottom"/>
          </w:tcPr>
          <w:p w14:paraId="337220DD" w14:textId="77777777" w:rsidR="001C365A" w:rsidRPr="001C365A" w:rsidRDefault="001C365A" w:rsidP="00615190">
            <w:pPr>
              <w:spacing w:line="240" w:lineRule="atLeast"/>
              <w:rPr>
                <w:rFonts w:ascii="Tahoma" w:hAnsi="Tahoma"/>
                <w:color w:val="000000" w:themeColor="text1"/>
                <w:sz w:val="16"/>
                <w:lang w:val="en-GB"/>
              </w:rPr>
            </w:pPr>
            <w:r w:rsidRPr="001C365A">
              <w:rPr>
                <w:rFonts w:ascii="Tahoma" w:hAnsi="Tahoma"/>
                <w:color w:val="000000" w:themeColor="text1"/>
                <w:sz w:val="16"/>
                <w:lang w:val="en-GB"/>
              </w:rPr>
              <w:t xml:space="preserve">In November, Tencent declared a special interim dividend in the form of a distribution in specie of its shares </w:t>
            </w:r>
            <w:proofErr w:type="spellStart"/>
            <w:r w:rsidRPr="001C365A">
              <w:rPr>
                <w:rFonts w:ascii="Tahoma" w:hAnsi="Tahoma"/>
                <w:color w:val="000000" w:themeColor="text1"/>
                <w:sz w:val="16"/>
                <w:lang w:val="en-GB"/>
              </w:rPr>
              <w:t>Meituan</w:t>
            </w:r>
            <w:proofErr w:type="spellEnd"/>
            <w:r w:rsidRPr="001C365A">
              <w:rPr>
                <w:rFonts w:ascii="Tahoma" w:hAnsi="Tahoma"/>
                <w:color w:val="000000" w:themeColor="text1"/>
                <w:sz w:val="16"/>
                <w:lang w:val="en-GB"/>
              </w:rPr>
              <w:t xml:space="preserve">. Tencent declared a distribution of 1 Class B ordinary share in </w:t>
            </w:r>
            <w:proofErr w:type="spellStart"/>
            <w:r w:rsidRPr="001C365A">
              <w:rPr>
                <w:rFonts w:ascii="Tahoma" w:hAnsi="Tahoma"/>
                <w:color w:val="000000" w:themeColor="text1"/>
                <w:sz w:val="16"/>
                <w:lang w:val="en-GB"/>
              </w:rPr>
              <w:t>Meituan</w:t>
            </w:r>
            <w:proofErr w:type="spellEnd"/>
            <w:r w:rsidRPr="001C365A">
              <w:rPr>
                <w:rFonts w:ascii="Tahoma" w:hAnsi="Tahoma"/>
                <w:color w:val="000000" w:themeColor="text1"/>
                <w:sz w:val="16"/>
                <w:lang w:val="en-GB"/>
              </w:rPr>
              <w:t xml:space="preserve"> for every 10 shares held by shareholders on 10 January 2023. </w:t>
            </w:r>
          </w:p>
        </w:tc>
      </w:tr>
      <w:tr w:rsidR="00615190" w:rsidRPr="001C365A" w14:paraId="22F9FB7D" w14:textId="77777777" w:rsidTr="002E6B6D">
        <w:trPr>
          <w:trHeight w:val="60"/>
        </w:trPr>
        <w:tc>
          <w:tcPr>
            <w:tcW w:w="397" w:type="dxa"/>
            <w:tcMar>
              <w:top w:w="142" w:type="dxa"/>
              <w:left w:w="0" w:type="dxa"/>
              <w:bottom w:w="57" w:type="dxa"/>
              <w:right w:w="0" w:type="dxa"/>
            </w:tcMar>
            <w:vAlign w:val="bottom"/>
          </w:tcPr>
          <w:p w14:paraId="52712513" w14:textId="77777777" w:rsidR="001C365A" w:rsidRPr="001C365A" w:rsidRDefault="001C365A" w:rsidP="00615190">
            <w:pPr>
              <w:spacing w:line="240" w:lineRule="atLeast"/>
              <w:rPr>
                <w:rFonts w:ascii="Tahoma" w:hAnsi="Tahoma"/>
                <w:color w:val="000000" w:themeColor="text1"/>
                <w:sz w:val="16"/>
                <w:lang w:val="en-GB"/>
              </w:rPr>
            </w:pPr>
          </w:p>
        </w:tc>
        <w:tc>
          <w:tcPr>
            <w:tcW w:w="9809" w:type="dxa"/>
            <w:tcMar>
              <w:top w:w="142" w:type="dxa"/>
              <w:left w:w="0" w:type="dxa"/>
              <w:bottom w:w="57" w:type="dxa"/>
              <w:right w:w="0" w:type="dxa"/>
            </w:tcMar>
            <w:vAlign w:val="bottom"/>
          </w:tcPr>
          <w:p w14:paraId="59A82756" w14:textId="77777777" w:rsidR="001C365A" w:rsidRPr="001C365A" w:rsidRDefault="001C365A" w:rsidP="00615190">
            <w:pPr>
              <w:spacing w:line="240" w:lineRule="atLeast"/>
              <w:rPr>
                <w:rFonts w:ascii="Tahoma" w:hAnsi="Tahoma"/>
                <w:color w:val="000000" w:themeColor="text1"/>
                <w:sz w:val="16"/>
                <w:lang w:val="en-GB"/>
              </w:rPr>
            </w:pPr>
            <w:r w:rsidRPr="001C365A">
              <w:rPr>
                <w:rFonts w:ascii="Tahoma" w:hAnsi="Tahoma"/>
                <w:color w:val="000000" w:themeColor="text1"/>
                <w:sz w:val="16"/>
                <w:lang w:val="en-GB"/>
              </w:rPr>
              <w:t xml:space="preserve">As part of the share repurchase programme announced in June 2022, </w:t>
            </w:r>
            <w:proofErr w:type="spellStart"/>
            <w:r w:rsidRPr="001C365A">
              <w:rPr>
                <w:rFonts w:ascii="Tahoma" w:hAnsi="Tahoma"/>
                <w:color w:val="000000" w:themeColor="text1"/>
                <w:sz w:val="16"/>
                <w:lang w:val="en-GB"/>
              </w:rPr>
              <w:t>Prosus</w:t>
            </w:r>
            <w:proofErr w:type="spellEnd"/>
            <w:r w:rsidRPr="001C365A">
              <w:rPr>
                <w:rFonts w:ascii="Tahoma" w:hAnsi="Tahoma"/>
                <w:color w:val="000000" w:themeColor="text1"/>
                <w:sz w:val="16"/>
                <w:lang w:val="en-GB"/>
              </w:rPr>
              <w:t xml:space="preserve"> acquired 33 472 350 </w:t>
            </w:r>
            <w:proofErr w:type="spellStart"/>
            <w:r w:rsidRPr="001C365A">
              <w:rPr>
                <w:rFonts w:ascii="Tahoma" w:hAnsi="Tahoma"/>
                <w:color w:val="000000" w:themeColor="text1"/>
                <w:sz w:val="16"/>
                <w:lang w:val="en-GB"/>
              </w:rPr>
              <w:t>Prosus</w:t>
            </w:r>
            <w:proofErr w:type="spellEnd"/>
            <w:r w:rsidRPr="001C365A">
              <w:rPr>
                <w:rFonts w:ascii="Tahoma" w:hAnsi="Tahoma"/>
                <w:color w:val="000000" w:themeColor="text1"/>
                <w:sz w:val="16"/>
                <w:lang w:val="en-GB"/>
              </w:rPr>
              <w:t xml:space="preserve"> ordinary shares N for US$1.71bn and Naspers acquired a further 4 765 666 Naspers N ordinary shares for US$569m between October and 18 November 2022. Furthermore, Naspers disposed of 15 221 638 </w:t>
            </w:r>
            <w:proofErr w:type="spellStart"/>
            <w:r w:rsidRPr="001C365A">
              <w:rPr>
                <w:rFonts w:ascii="Tahoma" w:hAnsi="Tahoma"/>
                <w:color w:val="000000" w:themeColor="text1"/>
                <w:sz w:val="16"/>
                <w:lang w:val="en-GB"/>
              </w:rPr>
              <w:t>Prosus</w:t>
            </w:r>
            <w:proofErr w:type="spellEnd"/>
            <w:r w:rsidRPr="001C365A">
              <w:rPr>
                <w:rFonts w:ascii="Tahoma" w:hAnsi="Tahoma"/>
                <w:color w:val="000000" w:themeColor="text1"/>
                <w:sz w:val="16"/>
                <w:lang w:val="en-GB"/>
              </w:rPr>
              <w:t xml:space="preserve"> ordinary shares N for US$771m between October and 18 November 2022. The group will account for this transaction in the same manner that it was accounted for in the period ended 30 September 2022.</w:t>
            </w:r>
          </w:p>
        </w:tc>
      </w:tr>
      <w:tr w:rsidR="00615190" w:rsidRPr="001C365A" w14:paraId="5DE35086" w14:textId="77777777" w:rsidTr="002E6B6D">
        <w:trPr>
          <w:trHeight w:val="60"/>
        </w:trPr>
        <w:tc>
          <w:tcPr>
            <w:tcW w:w="397" w:type="dxa"/>
            <w:tcMar>
              <w:top w:w="142" w:type="dxa"/>
              <w:left w:w="0" w:type="dxa"/>
              <w:bottom w:w="85" w:type="dxa"/>
              <w:right w:w="0" w:type="dxa"/>
            </w:tcMar>
            <w:vAlign w:val="bottom"/>
          </w:tcPr>
          <w:p w14:paraId="6B31BDCE" w14:textId="77777777" w:rsidR="001C365A" w:rsidRPr="001C365A" w:rsidRDefault="001C365A" w:rsidP="00615190">
            <w:pPr>
              <w:spacing w:line="240" w:lineRule="atLeast"/>
              <w:rPr>
                <w:rFonts w:ascii="Tahoma" w:hAnsi="Tahoma"/>
                <w:color w:val="000000" w:themeColor="text1"/>
                <w:sz w:val="16"/>
                <w:lang w:val="en-GB"/>
              </w:rPr>
            </w:pPr>
          </w:p>
        </w:tc>
        <w:tc>
          <w:tcPr>
            <w:tcW w:w="9809" w:type="dxa"/>
            <w:tcMar>
              <w:top w:w="142" w:type="dxa"/>
              <w:left w:w="0" w:type="dxa"/>
              <w:bottom w:w="85" w:type="dxa"/>
              <w:right w:w="0" w:type="dxa"/>
            </w:tcMar>
            <w:vAlign w:val="bottom"/>
          </w:tcPr>
          <w:p w14:paraId="6E4B680B" w14:textId="77777777" w:rsidR="001C365A" w:rsidRPr="001C365A" w:rsidRDefault="001C365A" w:rsidP="00615190">
            <w:pPr>
              <w:spacing w:line="240" w:lineRule="atLeast"/>
              <w:rPr>
                <w:rFonts w:ascii="Tahoma" w:hAnsi="Tahoma"/>
                <w:color w:val="000000" w:themeColor="text1"/>
                <w:sz w:val="16"/>
                <w:lang w:val="en-GB"/>
              </w:rPr>
            </w:pPr>
            <w:r w:rsidRPr="001C365A">
              <w:rPr>
                <w:rFonts w:ascii="Tahoma" w:hAnsi="Tahoma"/>
                <w:color w:val="000000" w:themeColor="text1"/>
                <w:sz w:val="16"/>
                <w:lang w:val="en-GB"/>
              </w:rPr>
              <w:t xml:space="preserve">The group sold 60 955 200 shares of Tencent Holdings Limited (Tencent) between October and 18 November 2022 yielding US$1.91bn in proceeds. An accurate estimate for the gain on disposal of these shares cannot be made until the corresponding equity-accounted results for the period have been finalised. </w:t>
            </w:r>
          </w:p>
        </w:tc>
      </w:tr>
    </w:tbl>
    <w:p w14:paraId="74951F7C" w14:textId="77777777" w:rsidR="001C365A" w:rsidRPr="00615190" w:rsidRDefault="001C365A" w:rsidP="00615190">
      <w:pPr>
        <w:spacing w:line="240" w:lineRule="atLeast"/>
        <w:rPr>
          <w:rFonts w:ascii="Tahoma" w:hAnsi="Tahoma"/>
          <w:color w:val="000000" w:themeColor="text1"/>
          <w:sz w:val="16"/>
        </w:rPr>
      </w:pPr>
    </w:p>
    <w:p w14:paraId="17E5CD16" w14:textId="77777777" w:rsidR="00E472D1" w:rsidRDefault="00E472D1">
      <w:pPr>
        <w:rPr>
          <w:rFonts w:ascii="Tahoma" w:hAnsi="Tahoma"/>
          <w:color w:val="000000" w:themeColor="text1"/>
          <w:sz w:val="16"/>
        </w:rPr>
      </w:pPr>
      <w:r>
        <w:rPr>
          <w:rFonts w:ascii="Tahoma" w:hAnsi="Tahoma"/>
          <w:color w:val="000000" w:themeColor="text1"/>
          <w:sz w:val="16"/>
        </w:rPr>
        <w:br w:type="page"/>
      </w:r>
    </w:p>
    <w:p w14:paraId="65F99457" w14:textId="77777777" w:rsidR="001C365A" w:rsidRPr="00615190" w:rsidRDefault="001C365A" w:rsidP="00615190">
      <w:pPr>
        <w:spacing w:line="240" w:lineRule="atLeast"/>
        <w:rPr>
          <w:rFonts w:ascii="Tahoma" w:hAnsi="Tahoma"/>
          <w:color w:val="000000" w:themeColor="text1"/>
          <w:sz w:val="16"/>
        </w:rPr>
      </w:pPr>
    </w:p>
    <w:p w14:paraId="32BCB528" w14:textId="77777777" w:rsidR="00984A76" w:rsidRDefault="00522057" w:rsidP="00615190">
      <w:pPr>
        <w:spacing w:line="240" w:lineRule="atLeast"/>
        <w:rPr>
          <w:rFonts w:ascii="Tahoma" w:hAnsi="Tahoma"/>
          <w:b/>
          <w:bCs/>
          <w:color w:val="000000" w:themeColor="text1"/>
          <w:sz w:val="20"/>
          <w:szCs w:val="20"/>
        </w:rPr>
      </w:pPr>
      <w:r w:rsidRPr="002923D8">
        <w:rPr>
          <w:rFonts w:ascii="Tahoma" w:hAnsi="Tahoma"/>
          <w:b/>
          <w:bCs/>
          <w:color w:val="000000" w:themeColor="text1"/>
          <w:sz w:val="20"/>
          <w:szCs w:val="20"/>
        </w:rPr>
        <w:t xml:space="preserve">INDEPENDENT AUDITOR’S REVIEW </w:t>
      </w:r>
    </w:p>
    <w:p w14:paraId="0C7E9A6C" w14:textId="77777777" w:rsidR="00EA589B" w:rsidRPr="002923D8" w:rsidRDefault="00522057" w:rsidP="00615190">
      <w:pPr>
        <w:spacing w:line="240" w:lineRule="atLeast"/>
        <w:rPr>
          <w:rFonts w:ascii="Tahoma" w:hAnsi="Tahoma"/>
          <w:b/>
          <w:bCs/>
          <w:color w:val="000000" w:themeColor="text1"/>
          <w:sz w:val="20"/>
          <w:szCs w:val="20"/>
        </w:rPr>
      </w:pPr>
      <w:r w:rsidRPr="002923D8">
        <w:rPr>
          <w:rFonts w:ascii="Tahoma" w:hAnsi="Tahoma"/>
          <w:b/>
          <w:bCs/>
          <w:color w:val="000000" w:themeColor="text1"/>
          <w:sz w:val="20"/>
          <w:szCs w:val="20"/>
        </w:rPr>
        <w:t>REPORT ON THE CONDENSED CONSOLIDATED INTERIM FINANCIAL STATEMENTS</w:t>
      </w:r>
    </w:p>
    <w:p w14:paraId="6FF6E15F" w14:textId="77777777" w:rsidR="00EA589B" w:rsidRPr="00615190" w:rsidRDefault="00EA589B" w:rsidP="00615190">
      <w:pPr>
        <w:spacing w:line="240" w:lineRule="atLeast"/>
        <w:rPr>
          <w:rFonts w:ascii="Tahoma" w:hAnsi="Tahoma"/>
          <w:color w:val="000000" w:themeColor="text1"/>
          <w:sz w:val="16"/>
        </w:rPr>
      </w:pPr>
    </w:p>
    <w:p w14:paraId="29422095" w14:textId="77777777" w:rsidR="008C55BB" w:rsidRDefault="008C55BB" w:rsidP="00615190">
      <w:pPr>
        <w:spacing w:line="240" w:lineRule="atLeast"/>
        <w:rPr>
          <w:rFonts w:ascii="Tahoma" w:hAnsi="Tahoma"/>
          <w:b/>
          <w:bCs/>
          <w:color w:val="000000" w:themeColor="text1"/>
          <w:sz w:val="20"/>
          <w:szCs w:val="20"/>
        </w:rPr>
      </w:pPr>
      <w:r>
        <w:rPr>
          <w:rFonts w:ascii="Tahoma" w:hAnsi="Tahoma"/>
          <w:b/>
          <w:bCs/>
          <w:color w:val="000000" w:themeColor="text1"/>
          <w:sz w:val="20"/>
          <w:szCs w:val="20"/>
        </w:rPr>
        <w:t>Review report</w:t>
      </w:r>
    </w:p>
    <w:p w14:paraId="6D30E5EE" w14:textId="058DBAC1" w:rsidR="00EA589B" w:rsidRPr="005B27B6" w:rsidRDefault="00EA589B" w:rsidP="00615190">
      <w:pPr>
        <w:spacing w:line="240" w:lineRule="atLeast"/>
        <w:rPr>
          <w:rFonts w:ascii="Tahoma" w:hAnsi="Tahoma"/>
          <w:b/>
          <w:bCs/>
          <w:color w:val="000000" w:themeColor="text1"/>
          <w:sz w:val="20"/>
          <w:szCs w:val="20"/>
        </w:rPr>
      </w:pPr>
      <w:r w:rsidRPr="005B27B6">
        <w:rPr>
          <w:rFonts w:ascii="Tahoma" w:hAnsi="Tahoma"/>
          <w:b/>
          <w:bCs/>
          <w:color w:val="000000" w:themeColor="text1"/>
          <w:sz w:val="20"/>
          <w:szCs w:val="20"/>
        </w:rPr>
        <w:t xml:space="preserve">To: the board of directors of </w:t>
      </w:r>
      <w:proofErr w:type="spellStart"/>
      <w:r w:rsidRPr="005B27B6">
        <w:rPr>
          <w:rFonts w:ascii="Tahoma" w:hAnsi="Tahoma"/>
          <w:b/>
          <w:bCs/>
          <w:color w:val="000000" w:themeColor="text1"/>
          <w:sz w:val="20"/>
          <w:szCs w:val="20"/>
        </w:rPr>
        <w:t>Prosus</w:t>
      </w:r>
      <w:proofErr w:type="spellEnd"/>
      <w:r w:rsidRPr="005B27B6">
        <w:rPr>
          <w:rFonts w:ascii="Tahoma" w:hAnsi="Tahoma"/>
          <w:b/>
          <w:bCs/>
          <w:color w:val="000000" w:themeColor="text1"/>
          <w:sz w:val="20"/>
          <w:szCs w:val="20"/>
        </w:rPr>
        <w:t xml:space="preserve"> N.V.</w:t>
      </w:r>
    </w:p>
    <w:p w14:paraId="07F1D55F" w14:textId="77777777" w:rsidR="00EA589B" w:rsidRPr="00615190" w:rsidRDefault="00EA589B" w:rsidP="00615190">
      <w:pPr>
        <w:spacing w:line="240" w:lineRule="atLeast"/>
        <w:rPr>
          <w:rFonts w:ascii="Tahoma" w:hAnsi="Tahoma"/>
          <w:color w:val="000000" w:themeColor="text1"/>
          <w:sz w:val="16"/>
        </w:rPr>
      </w:pPr>
    </w:p>
    <w:p w14:paraId="6393655E" w14:textId="77777777" w:rsidR="00EA589B" w:rsidRPr="009D05E9" w:rsidRDefault="00EA589B" w:rsidP="00615190">
      <w:pPr>
        <w:spacing w:line="240" w:lineRule="atLeast"/>
        <w:rPr>
          <w:rFonts w:ascii="Tahoma" w:hAnsi="Tahoma"/>
          <w:b/>
          <w:bCs/>
          <w:color w:val="000000" w:themeColor="text1"/>
          <w:sz w:val="16"/>
        </w:rPr>
      </w:pPr>
      <w:r w:rsidRPr="009D05E9">
        <w:rPr>
          <w:rFonts w:ascii="Tahoma" w:hAnsi="Tahoma"/>
          <w:b/>
          <w:bCs/>
          <w:color w:val="000000" w:themeColor="text1"/>
          <w:sz w:val="16"/>
        </w:rPr>
        <w:t>Introduction</w:t>
      </w:r>
    </w:p>
    <w:p w14:paraId="28A4A868" w14:textId="77777777" w:rsidR="00EA589B" w:rsidRPr="00615190" w:rsidRDefault="00EA589B" w:rsidP="00615190">
      <w:pPr>
        <w:spacing w:line="240" w:lineRule="atLeast"/>
        <w:rPr>
          <w:rFonts w:ascii="Tahoma" w:hAnsi="Tahoma"/>
          <w:color w:val="000000" w:themeColor="text1"/>
          <w:sz w:val="16"/>
        </w:rPr>
      </w:pPr>
      <w:r w:rsidRPr="00615190">
        <w:rPr>
          <w:rFonts w:ascii="Tahoma" w:hAnsi="Tahoma"/>
          <w:color w:val="000000" w:themeColor="text1"/>
          <w:sz w:val="16"/>
        </w:rPr>
        <w:t xml:space="preserve">We have reviewed the accompanying condensed consolidated interim financial statements for the six months ended 30 September 2022 of </w:t>
      </w:r>
      <w:proofErr w:type="spellStart"/>
      <w:r w:rsidRPr="00615190">
        <w:rPr>
          <w:rFonts w:ascii="Tahoma" w:hAnsi="Tahoma"/>
          <w:color w:val="000000" w:themeColor="text1"/>
          <w:sz w:val="16"/>
        </w:rPr>
        <w:t>Prosus</w:t>
      </w:r>
      <w:proofErr w:type="spellEnd"/>
      <w:r w:rsidRPr="00615190">
        <w:rPr>
          <w:rFonts w:ascii="Tahoma" w:hAnsi="Tahoma"/>
          <w:color w:val="000000" w:themeColor="text1"/>
          <w:sz w:val="16"/>
        </w:rPr>
        <w:t xml:space="preserve"> N.V., Amsterdam, which comprise the condensed consolidated statement of financial position as at 30 September 2022, the condensed consolidated income statement, the condensed consolidated statement of comprehensive income, the condensed consolidated statement of changes in equity, the condensed consolidated statement of cash flows for the six months then ended and the notes to the condensed consolidated interim financial statements. The directors are responsible for the preparation and presentation of these condensed consolidated interim financial statements in accordance with IAS 34, ‘Interim Financial Reporting’ as adopted by the European Union. Our responsibility is to express a conclusion on these condensed consolidated interim financial statements based on our review.</w:t>
      </w:r>
    </w:p>
    <w:p w14:paraId="4FDD6EC7" w14:textId="77777777" w:rsidR="00EA589B" w:rsidRPr="00615190" w:rsidRDefault="00EA589B" w:rsidP="00615190">
      <w:pPr>
        <w:spacing w:line="240" w:lineRule="atLeast"/>
        <w:rPr>
          <w:rFonts w:ascii="Tahoma" w:hAnsi="Tahoma"/>
          <w:color w:val="000000" w:themeColor="text1"/>
          <w:sz w:val="16"/>
        </w:rPr>
      </w:pPr>
    </w:p>
    <w:p w14:paraId="7CEFAFB1" w14:textId="77777777" w:rsidR="00EA589B" w:rsidRPr="00B96896" w:rsidRDefault="00EA589B" w:rsidP="00615190">
      <w:pPr>
        <w:spacing w:line="240" w:lineRule="atLeast"/>
        <w:rPr>
          <w:rFonts w:ascii="Tahoma" w:hAnsi="Tahoma"/>
          <w:b/>
          <w:bCs/>
          <w:color w:val="000000" w:themeColor="text1"/>
          <w:sz w:val="16"/>
        </w:rPr>
      </w:pPr>
      <w:r w:rsidRPr="00B96896">
        <w:rPr>
          <w:rFonts w:ascii="Tahoma" w:hAnsi="Tahoma"/>
          <w:b/>
          <w:bCs/>
          <w:color w:val="000000" w:themeColor="text1"/>
          <w:sz w:val="16"/>
        </w:rPr>
        <w:t>Scope</w:t>
      </w:r>
    </w:p>
    <w:p w14:paraId="12340C9E" w14:textId="77777777" w:rsidR="00EA589B" w:rsidRPr="00615190" w:rsidRDefault="00EA589B" w:rsidP="00615190">
      <w:pPr>
        <w:spacing w:line="240" w:lineRule="atLeast"/>
        <w:rPr>
          <w:rFonts w:ascii="Tahoma" w:hAnsi="Tahoma"/>
          <w:color w:val="000000" w:themeColor="text1"/>
          <w:sz w:val="16"/>
        </w:rPr>
      </w:pPr>
      <w:r w:rsidRPr="00615190">
        <w:rPr>
          <w:rFonts w:ascii="Tahoma" w:hAnsi="Tahoma"/>
          <w:color w:val="000000" w:themeColor="text1"/>
          <w:sz w:val="16"/>
        </w:rPr>
        <w:t>We conducted our review in accordance with Dutch law including standard 2410, Review of Interim Financial Information Performed by the Independent Auditor of the entity. A review of interim financial information consists of making inquiries, primarily of persons responsible for financial and accounting matters,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w:t>
      </w:r>
    </w:p>
    <w:p w14:paraId="71D4D1DA" w14:textId="77777777" w:rsidR="00EA589B" w:rsidRPr="00615190" w:rsidRDefault="00EA589B" w:rsidP="00615190">
      <w:pPr>
        <w:spacing w:line="240" w:lineRule="atLeast"/>
        <w:rPr>
          <w:rFonts w:ascii="Tahoma" w:hAnsi="Tahoma"/>
          <w:color w:val="000000" w:themeColor="text1"/>
          <w:sz w:val="16"/>
        </w:rPr>
      </w:pPr>
    </w:p>
    <w:p w14:paraId="0C838AD7" w14:textId="77777777" w:rsidR="00EA589B" w:rsidRPr="00B66ED3" w:rsidRDefault="00EA589B" w:rsidP="00615190">
      <w:pPr>
        <w:spacing w:line="240" w:lineRule="atLeast"/>
        <w:rPr>
          <w:rFonts w:ascii="Tahoma" w:hAnsi="Tahoma"/>
          <w:b/>
          <w:bCs/>
          <w:color w:val="000000" w:themeColor="text1"/>
          <w:sz w:val="16"/>
        </w:rPr>
      </w:pPr>
      <w:r w:rsidRPr="00B66ED3">
        <w:rPr>
          <w:rFonts w:ascii="Tahoma" w:hAnsi="Tahoma"/>
          <w:b/>
          <w:bCs/>
          <w:color w:val="000000" w:themeColor="text1"/>
          <w:sz w:val="16"/>
        </w:rPr>
        <w:t>Conclusion</w:t>
      </w:r>
    </w:p>
    <w:p w14:paraId="2D720A49" w14:textId="77777777" w:rsidR="00EA589B" w:rsidRPr="00615190" w:rsidRDefault="00EA589B" w:rsidP="00615190">
      <w:pPr>
        <w:spacing w:line="240" w:lineRule="atLeast"/>
        <w:rPr>
          <w:rFonts w:ascii="Tahoma" w:hAnsi="Tahoma"/>
          <w:color w:val="000000" w:themeColor="text1"/>
          <w:sz w:val="16"/>
        </w:rPr>
      </w:pPr>
      <w:r w:rsidRPr="00615190">
        <w:rPr>
          <w:rFonts w:ascii="Tahoma" w:hAnsi="Tahoma"/>
          <w:color w:val="000000" w:themeColor="text1"/>
          <w:sz w:val="16"/>
        </w:rPr>
        <w:t>Based on our review, nothing has come to our attention that causes us to believe that the accompanying condensed consolidated interim financial statements for the six months ended 30 September 2022 are not prepared, in all material respects, in accordance with IAS 34, ‘Interim Financial Reporting’ as adopted by the European Union.</w:t>
      </w:r>
    </w:p>
    <w:p w14:paraId="0B01647F" w14:textId="77777777" w:rsidR="00EA589B" w:rsidRPr="00615190" w:rsidRDefault="00EA589B" w:rsidP="00615190">
      <w:pPr>
        <w:spacing w:line="240" w:lineRule="atLeast"/>
        <w:rPr>
          <w:rFonts w:ascii="Tahoma" w:hAnsi="Tahoma"/>
          <w:color w:val="000000" w:themeColor="text1"/>
          <w:sz w:val="16"/>
        </w:rPr>
      </w:pPr>
    </w:p>
    <w:p w14:paraId="4F7904AC" w14:textId="77777777" w:rsidR="00EA589B" w:rsidRPr="00615190" w:rsidRDefault="00EA589B" w:rsidP="00615190">
      <w:pPr>
        <w:spacing w:line="240" w:lineRule="atLeast"/>
        <w:rPr>
          <w:rFonts w:ascii="Tahoma" w:hAnsi="Tahoma"/>
          <w:color w:val="000000" w:themeColor="text1"/>
          <w:sz w:val="16"/>
        </w:rPr>
      </w:pPr>
      <w:r w:rsidRPr="00615190">
        <w:rPr>
          <w:rFonts w:ascii="Tahoma" w:hAnsi="Tahoma"/>
          <w:color w:val="000000" w:themeColor="text1"/>
          <w:sz w:val="16"/>
        </w:rPr>
        <w:t>Amsterdam, 22 November 2022</w:t>
      </w:r>
    </w:p>
    <w:p w14:paraId="70B51E96" w14:textId="77777777" w:rsidR="00EA589B" w:rsidRPr="00615190" w:rsidRDefault="00EA589B" w:rsidP="00615190">
      <w:pPr>
        <w:spacing w:line="240" w:lineRule="atLeast"/>
        <w:rPr>
          <w:rFonts w:ascii="Tahoma" w:hAnsi="Tahoma"/>
          <w:color w:val="000000" w:themeColor="text1"/>
          <w:sz w:val="16"/>
        </w:rPr>
      </w:pPr>
    </w:p>
    <w:p w14:paraId="6F63541B" w14:textId="77777777" w:rsidR="00EA589B" w:rsidRPr="005F48D7" w:rsidRDefault="00EA589B" w:rsidP="00615190">
      <w:pPr>
        <w:spacing w:line="240" w:lineRule="atLeast"/>
        <w:rPr>
          <w:rFonts w:ascii="Tahoma" w:hAnsi="Tahoma"/>
          <w:b/>
          <w:bCs/>
          <w:color w:val="000000" w:themeColor="text1"/>
          <w:sz w:val="16"/>
        </w:rPr>
      </w:pPr>
      <w:r w:rsidRPr="005F48D7">
        <w:rPr>
          <w:rFonts w:ascii="Tahoma" w:hAnsi="Tahoma"/>
          <w:b/>
          <w:bCs/>
          <w:color w:val="000000" w:themeColor="text1"/>
          <w:sz w:val="16"/>
        </w:rPr>
        <w:t>PricewaterhouseCoopers Accountants N.V.</w:t>
      </w:r>
    </w:p>
    <w:p w14:paraId="509E7423" w14:textId="77777777" w:rsidR="00EA589B" w:rsidRPr="00615190" w:rsidRDefault="00EA589B" w:rsidP="00615190">
      <w:pPr>
        <w:spacing w:line="240" w:lineRule="atLeast"/>
        <w:rPr>
          <w:rFonts w:ascii="Tahoma" w:hAnsi="Tahoma"/>
          <w:color w:val="000000" w:themeColor="text1"/>
          <w:sz w:val="16"/>
        </w:rPr>
      </w:pPr>
    </w:p>
    <w:p w14:paraId="69DA44F2" w14:textId="77777777" w:rsidR="00EA589B" w:rsidRPr="003067F6" w:rsidRDefault="00EA589B" w:rsidP="00615190">
      <w:pPr>
        <w:spacing w:line="240" w:lineRule="atLeast"/>
        <w:rPr>
          <w:rFonts w:ascii="Tahoma" w:hAnsi="Tahoma"/>
          <w:b/>
          <w:bCs/>
          <w:color w:val="7F7F7F" w:themeColor="text1" w:themeTint="80"/>
          <w:sz w:val="16"/>
        </w:rPr>
      </w:pPr>
      <w:r w:rsidRPr="003067F6">
        <w:rPr>
          <w:rFonts w:ascii="Tahoma" w:hAnsi="Tahoma"/>
          <w:b/>
          <w:bCs/>
          <w:color w:val="7F7F7F" w:themeColor="text1" w:themeTint="80"/>
          <w:sz w:val="16"/>
        </w:rPr>
        <w:t xml:space="preserve">Original has been signed by </w:t>
      </w:r>
      <w:proofErr w:type="spellStart"/>
      <w:r w:rsidRPr="003067F6">
        <w:rPr>
          <w:rFonts w:ascii="Tahoma" w:hAnsi="Tahoma"/>
          <w:b/>
          <w:bCs/>
          <w:color w:val="7F7F7F" w:themeColor="text1" w:themeTint="80"/>
          <w:sz w:val="16"/>
        </w:rPr>
        <w:t>Ennèl</w:t>
      </w:r>
      <w:proofErr w:type="spellEnd"/>
      <w:r w:rsidRPr="003067F6">
        <w:rPr>
          <w:rFonts w:ascii="Tahoma" w:hAnsi="Tahoma"/>
          <w:b/>
          <w:bCs/>
          <w:color w:val="7F7F7F" w:themeColor="text1" w:themeTint="80"/>
          <w:sz w:val="16"/>
        </w:rPr>
        <w:t xml:space="preserve"> van </w:t>
      </w:r>
      <w:proofErr w:type="spellStart"/>
      <w:r w:rsidRPr="003067F6">
        <w:rPr>
          <w:rFonts w:ascii="Tahoma" w:hAnsi="Tahoma"/>
          <w:b/>
          <w:bCs/>
          <w:color w:val="7F7F7F" w:themeColor="text1" w:themeTint="80"/>
          <w:sz w:val="16"/>
        </w:rPr>
        <w:t>Eeden</w:t>
      </w:r>
      <w:proofErr w:type="spellEnd"/>
      <w:r w:rsidRPr="003067F6">
        <w:rPr>
          <w:rFonts w:ascii="Tahoma" w:hAnsi="Tahoma"/>
          <w:b/>
          <w:bCs/>
          <w:color w:val="7F7F7F" w:themeColor="text1" w:themeTint="80"/>
          <w:sz w:val="16"/>
        </w:rPr>
        <w:t xml:space="preserve"> RA</w:t>
      </w:r>
    </w:p>
    <w:p w14:paraId="7593D6C5" w14:textId="77777777" w:rsidR="00EA589B" w:rsidRPr="00615190" w:rsidRDefault="00EA589B" w:rsidP="00615190">
      <w:pPr>
        <w:spacing w:line="240" w:lineRule="atLeast"/>
        <w:rPr>
          <w:rFonts w:ascii="Tahoma" w:hAnsi="Tahoma"/>
          <w:color w:val="000000" w:themeColor="text1"/>
          <w:sz w:val="16"/>
        </w:rPr>
      </w:pPr>
    </w:p>
    <w:p w14:paraId="43A3421F" w14:textId="77777777" w:rsidR="00046631" w:rsidRDefault="00046631">
      <w:pPr>
        <w:rPr>
          <w:rFonts w:ascii="Tahoma" w:hAnsi="Tahoma"/>
          <w:color w:val="000000" w:themeColor="text1"/>
          <w:sz w:val="16"/>
        </w:rPr>
      </w:pPr>
      <w:r>
        <w:rPr>
          <w:rFonts w:ascii="Tahoma" w:hAnsi="Tahoma"/>
          <w:color w:val="000000" w:themeColor="text1"/>
          <w:sz w:val="16"/>
        </w:rPr>
        <w:br w:type="page"/>
      </w:r>
    </w:p>
    <w:p w14:paraId="692C7128" w14:textId="77777777" w:rsidR="00B8749C" w:rsidRPr="00615190" w:rsidRDefault="00B8749C" w:rsidP="00615190">
      <w:pPr>
        <w:spacing w:line="240" w:lineRule="atLeast"/>
        <w:rPr>
          <w:rFonts w:ascii="Tahoma" w:hAnsi="Tahoma"/>
          <w:color w:val="000000" w:themeColor="text1"/>
          <w:sz w:val="16"/>
        </w:rPr>
      </w:pPr>
    </w:p>
    <w:p w14:paraId="68FDF9D3" w14:textId="77777777" w:rsidR="00B8749C" w:rsidRPr="006440AE" w:rsidRDefault="00A8314A" w:rsidP="00615190">
      <w:pPr>
        <w:spacing w:line="240" w:lineRule="atLeast"/>
        <w:rPr>
          <w:rFonts w:ascii="Tahoma" w:hAnsi="Tahoma"/>
          <w:b/>
          <w:bCs/>
          <w:color w:val="000000" w:themeColor="text1"/>
          <w:sz w:val="20"/>
          <w:szCs w:val="20"/>
        </w:rPr>
      </w:pPr>
      <w:r w:rsidRPr="00B8749C">
        <w:rPr>
          <w:rFonts w:ascii="Tahoma" w:hAnsi="Tahoma"/>
          <w:b/>
          <w:bCs/>
          <w:color w:val="000000" w:themeColor="text1"/>
          <w:sz w:val="20"/>
          <w:szCs w:val="20"/>
          <w:lang w:val="en-GB"/>
        </w:rPr>
        <w:t xml:space="preserve">OTHER INFORMATION TO THE CONDENSED CONSOLIDATED INTERIM FINANCIAL STATEMENTS </w:t>
      </w:r>
    </w:p>
    <w:p w14:paraId="7265FBE0" w14:textId="77777777" w:rsidR="00B8749C" w:rsidRPr="00B8749C" w:rsidRDefault="00B8749C" w:rsidP="00615190">
      <w:pPr>
        <w:spacing w:line="240" w:lineRule="atLeast"/>
        <w:rPr>
          <w:rFonts w:ascii="Tahoma" w:hAnsi="Tahoma"/>
          <w:color w:val="000000" w:themeColor="text1"/>
          <w:sz w:val="16"/>
          <w:lang w:val="en-GB"/>
        </w:rPr>
      </w:pPr>
      <w:r w:rsidRPr="00B8749C">
        <w:rPr>
          <w:rFonts w:ascii="Tahoma" w:hAnsi="Tahoma"/>
          <w:color w:val="000000" w:themeColor="text1"/>
          <w:sz w:val="16"/>
          <w:lang w:val="en-GB"/>
        </w:rPr>
        <w:t>for the six months ended 30 September 2022</w:t>
      </w:r>
    </w:p>
    <w:p w14:paraId="4D7CB39D" w14:textId="77777777" w:rsidR="00B8749C" w:rsidRPr="00615190" w:rsidRDefault="00B8749C" w:rsidP="00615190">
      <w:pPr>
        <w:spacing w:line="240" w:lineRule="atLeast"/>
        <w:rPr>
          <w:rFonts w:ascii="Tahoma" w:hAnsi="Tahoma"/>
          <w:color w:val="000000" w:themeColor="text1"/>
          <w:sz w:val="16"/>
        </w:rPr>
      </w:pPr>
    </w:p>
    <w:p w14:paraId="440375F6" w14:textId="77777777" w:rsidR="00984B98" w:rsidRPr="00615190" w:rsidRDefault="00984B98" w:rsidP="00615190">
      <w:pPr>
        <w:spacing w:line="240" w:lineRule="atLeast"/>
        <w:rPr>
          <w:rFonts w:ascii="Tahoma" w:hAnsi="Tahoma"/>
          <w:color w:val="000000" w:themeColor="text1"/>
          <w:sz w:val="16"/>
        </w:rPr>
      </w:pPr>
    </w:p>
    <w:tbl>
      <w:tblPr>
        <w:tblW w:w="10206" w:type="dxa"/>
        <w:tblInd w:w="-8" w:type="dxa"/>
        <w:tblLayout w:type="fixed"/>
        <w:tblCellMar>
          <w:left w:w="0" w:type="dxa"/>
          <w:right w:w="0" w:type="dxa"/>
        </w:tblCellMar>
        <w:tblLook w:val="0000" w:firstRow="0" w:lastRow="0" w:firstColumn="0" w:lastColumn="0" w:noHBand="0" w:noVBand="0"/>
      </w:tblPr>
      <w:tblGrid>
        <w:gridCol w:w="397"/>
        <w:gridCol w:w="9809"/>
      </w:tblGrid>
      <w:tr w:rsidR="00615190" w:rsidRPr="00984B98" w14:paraId="5D102918" w14:textId="77777777" w:rsidTr="002B3BB2">
        <w:trPr>
          <w:trHeight w:val="60"/>
        </w:trPr>
        <w:tc>
          <w:tcPr>
            <w:tcW w:w="397" w:type="dxa"/>
            <w:tcMar>
              <w:top w:w="0" w:type="dxa"/>
              <w:left w:w="0" w:type="dxa"/>
              <w:bottom w:w="57" w:type="dxa"/>
              <w:right w:w="0" w:type="dxa"/>
            </w:tcMar>
            <w:vAlign w:val="bottom"/>
          </w:tcPr>
          <w:p w14:paraId="53D135BC" w14:textId="77777777" w:rsidR="00984B98" w:rsidRPr="00984B98" w:rsidRDefault="00420F96" w:rsidP="00615190">
            <w:pPr>
              <w:spacing w:line="240" w:lineRule="atLeast"/>
              <w:rPr>
                <w:rFonts w:ascii="Tahoma" w:hAnsi="Tahoma"/>
                <w:b/>
                <w:bCs/>
                <w:color w:val="000000" w:themeColor="text1"/>
                <w:sz w:val="16"/>
                <w:lang w:val="en-GB"/>
              </w:rPr>
            </w:pPr>
            <w:r w:rsidRPr="00984B98">
              <w:rPr>
                <w:rFonts w:ascii="Tahoma" w:hAnsi="Tahoma"/>
                <w:b/>
                <w:bCs/>
                <w:color w:val="000000" w:themeColor="text1"/>
                <w:sz w:val="16"/>
                <w:lang w:val="en-GB"/>
              </w:rPr>
              <w:t>A.</w:t>
            </w:r>
          </w:p>
        </w:tc>
        <w:tc>
          <w:tcPr>
            <w:tcW w:w="9809" w:type="dxa"/>
            <w:tcMar>
              <w:top w:w="0" w:type="dxa"/>
              <w:left w:w="0" w:type="dxa"/>
              <w:bottom w:w="57" w:type="dxa"/>
              <w:right w:w="0" w:type="dxa"/>
            </w:tcMar>
            <w:vAlign w:val="bottom"/>
          </w:tcPr>
          <w:p w14:paraId="1C073F32" w14:textId="77777777" w:rsidR="00984B98" w:rsidRPr="00984B98" w:rsidRDefault="00420F96" w:rsidP="00615190">
            <w:pPr>
              <w:spacing w:line="240" w:lineRule="atLeast"/>
              <w:rPr>
                <w:rFonts w:ascii="Tahoma" w:hAnsi="Tahoma"/>
                <w:b/>
                <w:bCs/>
                <w:color w:val="000000" w:themeColor="text1"/>
                <w:sz w:val="16"/>
                <w:lang w:val="en-GB"/>
              </w:rPr>
            </w:pPr>
            <w:r w:rsidRPr="00984B98">
              <w:rPr>
                <w:rFonts w:ascii="Tahoma" w:hAnsi="Tahoma"/>
                <w:b/>
                <w:bCs/>
                <w:color w:val="000000" w:themeColor="text1"/>
                <w:sz w:val="16"/>
                <w:lang w:val="en-GB"/>
              </w:rPr>
              <w:t>NON-IFRS FINANCIAL MEASURES AND ALTERNATIVE PERFORMANCE MEASURES</w:t>
            </w:r>
          </w:p>
        </w:tc>
      </w:tr>
      <w:tr w:rsidR="00615190" w:rsidRPr="00984B98" w14:paraId="6F2B4A28" w14:textId="77777777" w:rsidTr="002B3BB2">
        <w:trPr>
          <w:trHeight w:val="60"/>
        </w:trPr>
        <w:tc>
          <w:tcPr>
            <w:tcW w:w="397" w:type="dxa"/>
            <w:tcMar>
              <w:top w:w="57" w:type="dxa"/>
              <w:left w:w="0" w:type="dxa"/>
              <w:bottom w:w="57" w:type="dxa"/>
              <w:right w:w="0" w:type="dxa"/>
            </w:tcMar>
            <w:vAlign w:val="bottom"/>
          </w:tcPr>
          <w:p w14:paraId="500565F1" w14:textId="77777777" w:rsidR="00984B98" w:rsidRPr="00984B98" w:rsidRDefault="00984B98" w:rsidP="00615190">
            <w:pPr>
              <w:spacing w:line="240" w:lineRule="atLeast"/>
              <w:rPr>
                <w:rFonts w:ascii="Tahoma" w:hAnsi="Tahoma"/>
                <w:b/>
                <w:bCs/>
                <w:color w:val="000000" w:themeColor="text1"/>
                <w:sz w:val="16"/>
                <w:lang w:val="en-GB"/>
              </w:rPr>
            </w:pPr>
            <w:r w:rsidRPr="00984B98">
              <w:rPr>
                <w:rFonts w:ascii="Tahoma" w:hAnsi="Tahoma"/>
                <w:b/>
                <w:bCs/>
                <w:color w:val="000000" w:themeColor="text1"/>
                <w:sz w:val="16"/>
                <w:lang w:val="en-GB"/>
              </w:rPr>
              <w:t>A.1</w:t>
            </w:r>
          </w:p>
        </w:tc>
        <w:tc>
          <w:tcPr>
            <w:tcW w:w="9809" w:type="dxa"/>
            <w:tcMar>
              <w:top w:w="57" w:type="dxa"/>
              <w:left w:w="0" w:type="dxa"/>
              <w:bottom w:w="57" w:type="dxa"/>
              <w:right w:w="0" w:type="dxa"/>
            </w:tcMar>
            <w:vAlign w:val="bottom"/>
          </w:tcPr>
          <w:p w14:paraId="7A24C1CA" w14:textId="77777777" w:rsidR="00984B98" w:rsidRPr="00984B98" w:rsidRDefault="00984B98" w:rsidP="00615190">
            <w:pPr>
              <w:spacing w:line="240" w:lineRule="atLeast"/>
              <w:rPr>
                <w:rFonts w:ascii="Tahoma" w:hAnsi="Tahoma"/>
                <w:b/>
                <w:bCs/>
                <w:color w:val="000000" w:themeColor="text1"/>
                <w:sz w:val="16"/>
                <w:lang w:val="en-GB"/>
              </w:rPr>
            </w:pPr>
            <w:r w:rsidRPr="00984B98">
              <w:rPr>
                <w:rFonts w:ascii="Tahoma" w:hAnsi="Tahoma"/>
                <w:b/>
                <w:bCs/>
                <w:color w:val="000000" w:themeColor="text1"/>
                <w:sz w:val="16"/>
                <w:lang w:val="en-GB"/>
              </w:rPr>
              <w:t>Core headline earnings</w:t>
            </w:r>
          </w:p>
        </w:tc>
      </w:tr>
      <w:tr w:rsidR="00615190" w:rsidRPr="00984B98" w14:paraId="6BC88043" w14:textId="77777777" w:rsidTr="002B3BB2">
        <w:trPr>
          <w:trHeight w:val="60"/>
        </w:trPr>
        <w:tc>
          <w:tcPr>
            <w:tcW w:w="397" w:type="dxa"/>
            <w:tcMar>
              <w:top w:w="57" w:type="dxa"/>
              <w:left w:w="0" w:type="dxa"/>
              <w:bottom w:w="57" w:type="dxa"/>
              <w:right w:w="0" w:type="dxa"/>
            </w:tcMar>
            <w:vAlign w:val="bottom"/>
          </w:tcPr>
          <w:p w14:paraId="6AC8D066" w14:textId="77777777" w:rsidR="00984B98" w:rsidRPr="00984B98" w:rsidRDefault="00984B98" w:rsidP="00615190">
            <w:pPr>
              <w:spacing w:line="240" w:lineRule="atLeast"/>
              <w:rPr>
                <w:rFonts w:ascii="Tahoma" w:hAnsi="Tahoma"/>
                <w:color w:val="000000" w:themeColor="text1"/>
                <w:sz w:val="16"/>
                <w:lang w:val="en-GB"/>
              </w:rPr>
            </w:pPr>
          </w:p>
        </w:tc>
        <w:tc>
          <w:tcPr>
            <w:tcW w:w="9809" w:type="dxa"/>
            <w:tcMar>
              <w:top w:w="57" w:type="dxa"/>
              <w:left w:w="0" w:type="dxa"/>
              <w:bottom w:w="57" w:type="dxa"/>
              <w:right w:w="0" w:type="dxa"/>
            </w:tcMar>
            <w:vAlign w:val="bottom"/>
          </w:tcPr>
          <w:p w14:paraId="34EFBA3D" w14:textId="77777777" w:rsidR="00984B98" w:rsidRPr="00984B98" w:rsidRDefault="00984B98" w:rsidP="00615190">
            <w:pPr>
              <w:spacing w:line="240" w:lineRule="atLeast"/>
              <w:rPr>
                <w:rFonts w:ascii="Tahoma" w:hAnsi="Tahoma"/>
                <w:color w:val="000000" w:themeColor="text1"/>
                <w:sz w:val="16"/>
                <w:lang w:val="en-GB"/>
              </w:rPr>
            </w:pPr>
            <w:r w:rsidRPr="00984B98">
              <w:rPr>
                <w:rFonts w:ascii="Tahoma" w:hAnsi="Tahoma"/>
                <w:color w:val="000000" w:themeColor="text1"/>
                <w:sz w:val="16"/>
                <w:lang w:val="en-GB"/>
              </w:rPr>
              <w:t>Core headline earnings, a non-IFRS performance measure, represent headline earnings for the period, excluding certain non-operating items. Specifically, headline earnings are adjusted for the following items to derive core headline earnings: (</w:t>
            </w:r>
            <w:proofErr w:type="spellStart"/>
            <w:r w:rsidRPr="00984B98">
              <w:rPr>
                <w:rFonts w:ascii="Tahoma" w:hAnsi="Tahoma"/>
                <w:color w:val="000000" w:themeColor="text1"/>
                <w:sz w:val="16"/>
                <w:lang w:val="en-GB"/>
              </w:rPr>
              <w:t>i</w:t>
            </w:r>
            <w:proofErr w:type="spellEnd"/>
            <w:r w:rsidRPr="00984B98">
              <w:rPr>
                <w:rFonts w:ascii="Tahoma" w:hAnsi="Tahoma"/>
                <w:color w:val="000000" w:themeColor="text1"/>
                <w:sz w:val="16"/>
                <w:lang w:val="en-GB"/>
              </w:rPr>
              <w:t>) equity-settled share-based payment expenses on transactions where there is no cash cost to us. These include those relating to share-based incentive awards settled by issuing treasury shares, as well as certain share-based payment expenses that are deemed to arise on shareholder transactions; (ii) subsequent fair-value remeasurement of cash-settled share-based incentive expenses; (iii) cash-settled share-based compensation expenses deemed to arise from shareholder transactions by virtue of employment; (iv) deferred taxation income recognised on the first-time recognition of deferred tax assets as this generally relates to multiple prior periods and distorts current-period performance; (v) fair-value adjustments on financial and unrealised currency translation differences, as these items obscure our underlying operating performance; (vi) once-off gains and losses (including acquisition-related costs) resulting from acquisitions and disposals of businesses as these items relate to changes in our composition and are not reflective of our underlying operating performance and (vii) the amortisation of intangible assets recognised in business combinations and acquisitions. These adjustments are made to the earnings of businesses controlled by us, as well as our share of earnings of associates and joint ventures, to the extent that the information is available.</w:t>
            </w:r>
          </w:p>
        </w:tc>
      </w:tr>
    </w:tbl>
    <w:p w14:paraId="05ED7CD6" w14:textId="77777777" w:rsidR="00984B98" w:rsidRPr="00615190" w:rsidRDefault="00984B98" w:rsidP="00615190">
      <w:pPr>
        <w:spacing w:line="240" w:lineRule="atLeast"/>
        <w:rPr>
          <w:rFonts w:ascii="Tahoma" w:hAnsi="Tahoma"/>
          <w:color w:val="000000" w:themeColor="text1"/>
          <w:sz w:val="16"/>
        </w:rPr>
      </w:pPr>
    </w:p>
    <w:tbl>
      <w:tblPr>
        <w:tblW w:w="10206" w:type="dxa"/>
        <w:tblInd w:w="-8" w:type="dxa"/>
        <w:tblLayout w:type="fixed"/>
        <w:tblCellMar>
          <w:left w:w="0" w:type="dxa"/>
          <w:right w:w="0" w:type="dxa"/>
        </w:tblCellMar>
        <w:tblLook w:val="0000" w:firstRow="0" w:lastRow="0" w:firstColumn="0" w:lastColumn="0" w:noHBand="0" w:noVBand="0"/>
      </w:tblPr>
      <w:tblGrid>
        <w:gridCol w:w="397"/>
        <w:gridCol w:w="6407"/>
        <w:gridCol w:w="1134"/>
        <w:gridCol w:w="1134"/>
        <w:gridCol w:w="1134"/>
      </w:tblGrid>
      <w:tr w:rsidR="00615190" w:rsidRPr="0040324C" w14:paraId="61113336" w14:textId="77777777" w:rsidTr="00F16638">
        <w:trPr>
          <w:trHeight w:val="60"/>
        </w:trPr>
        <w:tc>
          <w:tcPr>
            <w:tcW w:w="397" w:type="dxa"/>
            <w:shd w:val="clear" w:color="auto" w:fill="auto"/>
            <w:tcMar>
              <w:top w:w="142" w:type="dxa"/>
              <w:left w:w="0" w:type="dxa"/>
              <w:bottom w:w="113" w:type="dxa"/>
              <w:right w:w="0" w:type="dxa"/>
            </w:tcMar>
            <w:vAlign w:val="bottom"/>
          </w:tcPr>
          <w:p w14:paraId="02DABFD7" w14:textId="77777777" w:rsidR="0040324C" w:rsidRPr="0040324C" w:rsidRDefault="0040324C" w:rsidP="00615190">
            <w:pPr>
              <w:spacing w:line="240" w:lineRule="atLeast"/>
              <w:rPr>
                <w:rFonts w:ascii="Tahoma" w:hAnsi="Tahoma"/>
                <w:color w:val="000000" w:themeColor="text1"/>
                <w:sz w:val="16"/>
                <w:lang w:val="en-GB"/>
              </w:rPr>
            </w:pPr>
          </w:p>
        </w:tc>
        <w:tc>
          <w:tcPr>
            <w:tcW w:w="9809" w:type="dxa"/>
            <w:gridSpan w:val="4"/>
            <w:shd w:val="clear" w:color="auto" w:fill="auto"/>
            <w:tcMar>
              <w:top w:w="142" w:type="dxa"/>
              <w:left w:w="0" w:type="dxa"/>
              <w:bottom w:w="113" w:type="dxa"/>
              <w:right w:w="0" w:type="dxa"/>
            </w:tcMar>
            <w:vAlign w:val="bottom"/>
          </w:tcPr>
          <w:p w14:paraId="1CFE4106" w14:textId="77777777" w:rsidR="0040324C" w:rsidRPr="0040324C" w:rsidRDefault="0040324C" w:rsidP="00615190">
            <w:pPr>
              <w:spacing w:line="240" w:lineRule="atLeast"/>
              <w:rPr>
                <w:rFonts w:ascii="Tahoma" w:hAnsi="Tahoma"/>
                <w:b/>
                <w:bCs/>
                <w:color w:val="7F7F7F" w:themeColor="text1" w:themeTint="80"/>
                <w:sz w:val="16"/>
                <w:lang w:val="en-GB"/>
              </w:rPr>
            </w:pPr>
            <w:r w:rsidRPr="0040324C">
              <w:rPr>
                <w:rFonts w:ascii="Tahoma" w:hAnsi="Tahoma"/>
                <w:b/>
                <w:bCs/>
                <w:color w:val="7F7F7F" w:themeColor="text1" w:themeTint="80"/>
                <w:sz w:val="16"/>
                <w:lang w:val="en-GB"/>
              </w:rPr>
              <w:t>Reconciliation of core headline earnings</w:t>
            </w:r>
          </w:p>
        </w:tc>
      </w:tr>
      <w:tr w:rsidR="00615190" w:rsidRPr="0040324C" w14:paraId="7A94C858" w14:textId="77777777" w:rsidTr="001F17C8">
        <w:trPr>
          <w:trHeight w:val="60"/>
        </w:trPr>
        <w:tc>
          <w:tcPr>
            <w:tcW w:w="397" w:type="dxa"/>
            <w:shd w:val="clear" w:color="auto" w:fill="auto"/>
            <w:tcMar>
              <w:top w:w="85" w:type="dxa"/>
              <w:left w:w="0" w:type="dxa"/>
              <w:bottom w:w="85" w:type="dxa"/>
              <w:right w:w="0" w:type="dxa"/>
            </w:tcMar>
            <w:vAlign w:val="bottom"/>
          </w:tcPr>
          <w:p w14:paraId="6BE679A7" w14:textId="77777777" w:rsidR="0040324C" w:rsidRPr="0040324C" w:rsidRDefault="0040324C" w:rsidP="00615190">
            <w:pPr>
              <w:spacing w:line="240" w:lineRule="atLeast"/>
              <w:rPr>
                <w:rFonts w:ascii="Tahoma" w:hAnsi="Tahoma"/>
                <w:color w:val="000000" w:themeColor="text1"/>
                <w:sz w:val="16"/>
                <w:lang w:val="en-GB"/>
              </w:rPr>
            </w:pPr>
          </w:p>
        </w:tc>
        <w:tc>
          <w:tcPr>
            <w:tcW w:w="6407" w:type="dxa"/>
            <w:shd w:val="clear" w:color="auto" w:fill="auto"/>
            <w:tcMar>
              <w:top w:w="85" w:type="dxa"/>
              <w:left w:w="0" w:type="dxa"/>
              <w:bottom w:w="85" w:type="dxa"/>
              <w:right w:w="0" w:type="dxa"/>
            </w:tcMar>
            <w:vAlign w:val="bottom"/>
          </w:tcPr>
          <w:p w14:paraId="03D5F01C" w14:textId="77777777" w:rsidR="0040324C" w:rsidRPr="0040324C" w:rsidRDefault="0040324C" w:rsidP="00615190">
            <w:pPr>
              <w:spacing w:line="240" w:lineRule="atLeast"/>
              <w:rPr>
                <w:rFonts w:ascii="Tahoma" w:hAnsi="Tahoma"/>
                <w:color w:val="000000" w:themeColor="text1"/>
                <w:sz w:val="16"/>
                <w:lang w:val="en-GB"/>
              </w:rPr>
            </w:pPr>
          </w:p>
        </w:tc>
        <w:tc>
          <w:tcPr>
            <w:tcW w:w="2268" w:type="dxa"/>
            <w:gridSpan w:val="2"/>
            <w:shd w:val="clear" w:color="auto" w:fill="auto"/>
            <w:tcMar>
              <w:top w:w="85" w:type="dxa"/>
              <w:left w:w="0" w:type="dxa"/>
              <w:bottom w:w="85" w:type="dxa"/>
              <w:right w:w="0" w:type="dxa"/>
            </w:tcMar>
            <w:vAlign w:val="bottom"/>
          </w:tcPr>
          <w:p w14:paraId="41692023" w14:textId="77777777" w:rsidR="0040324C" w:rsidRPr="0040324C" w:rsidRDefault="0040324C" w:rsidP="00F16638">
            <w:pPr>
              <w:spacing w:line="240" w:lineRule="atLeast"/>
              <w:jc w:val="center"/>
              <w:rPr>
                <w:rFonts w:ascii="Tahoma" w:hAnsi="Tahoma"/>
                <w:b/>
                <w:bCs/>
                <w:color w:val="000000" w:themeColor="text1"/>
                <w:sz w:val="16"/>
                <w:lang w:val="en-GB"/>
              </w:rPr>
            </w:pPr>
            <w:r w:rsidRPr="0040324C">
              <w:rPr>
                <w:rFonts w:ascii="Tahoma" w:hAnsi="Tahoma"/>
                <w:b/>
                <w:bCs/>
                <w:color w:val="000000" w:themeColor="text1"/>
                <w:sz w:val="16"/>
                <w:lang w:val="en-GB"/>
              </w:rPr>
              <w:t>Six months ended</w:t>
            </w:r>
          </w:p>
          <w:p w14:paraId="7902C0DE" w14:textId="77777777" w:rsidR="0040324C" w:rsidRPr="0040324C" w:rsidRDefault="0040324C" w:rsidP="00F16638">
            <w:pPr>
              <w:spacing w:line="240" w:lineRule="atLeast"/>
              <w:jc w:val="center"/>
              <w:rPr>
                <w:rFonts w:ascii="Tahoma" w:hAnsi="Tahoma"/>
                <w:color w:val="000000" w:themeColor="text1"/>
                <w:sz w:val="16"/>
                <w:lang w:val="en-GB"/>
              </w:rPr>
            </w:pPr>
            <w:r w:rsidRPr="0040324C">
              <w:rPr>
                <w:rFonts w:ascii="Tahoma" w:hAnsi="Tahoma"/>
                <w:b/>
                <w:bCs/>
                <w:color w:val="000000" w:themeColor="text1"/>
                <w:sz w:val="16"/>
                <w:lang w:val="en-GB"/>
              </w:rPr>
              <w:t>30 September</w:t>
            </w:r>
          </w:p>
        </w:tc>
        <w:tc>
          <w:tcPr>
            <w:tcW w:w="1134" w:type="dxa"/>
            <w:shd w:val="clear" w:color="auto" w:fill="auto"/>
            <w:tcMar>
              <w:top w:w="85" w:type="dxa"/>
              <w:left w:w="0" w:type="dxa"/>
              <w:bottom w:w="85" w:type="dxa"/>
              <w:right w:w="0" w:type="dxa"/>
            </w:tcMar>
            <w:vAlign w:val="bottom"/>
          </w:tcPr>
          <w:p w14:paraId="79AE02E6" w14:textId="77777777" w:rsidR="0040324C" w:rsidRPr="0040324C" w:rsidRDefault="0040324C" w:rsidP="00FE4448">
            <w:pPr>
              <w:spacing w:line="240" w:lineRule="atLeast"/>
              <w:jc w:val="right"/>
              <w:rPr>
                <w:rFonts w:ascii="Tahoma" w:hAnsi="Tahoma"/>
                <w:color w:val="000000" w:themeColor="text1"/>
                <w:sz w:val="16"/>
                <w:lang w:val="en-GB"/>
              </w:rPr>
            </w:pPr>
            <w:r w:rsidRPr="0040324C">
              <w:rPr>
                <w:rFonts w:ascii="Tahoma" w:hAnsi="Tahoma"/>
                <w:color w:val="000000" w:themeColor="text1"/>
                <w:sz w:val="16"/>
                <w:lang w:val="en-GB"/>
              </w:rPr>
              <w:t>Year</w:t>
            </w:r>
          </w:p>
          <w:p w14:paraId="23B2344E" w14:textId="77777777" w:rsidR="0040324C" w:rsidRPr="0040324C" w:rsidRDefault="0040324C" w:rsidP="00FE4448">
            <w:pPr>
              <w:spacing w:line="240" w:lineRule="atLeast"/>
              <w:jc w:val="right"/>
              <w:rPr>
                <w:rFonts w:ascii="Tahoma" w:hAnsi="Tahoma"/>
                <w:color w:val="000000" w:themeColor="text1"/>
                <w:sz w:val="16"/>
                <w:lang w:val="en-GB"/>
              </w:rPr>
            </w:pPr>
            <w:r w:rsidRPr="0040324C">
              <w:rPr>
                <w:rFonts w:ascii="Tahoma" w:hAnsi="Tahoma"/>
                <w:color w:val="000000" w:themeColor="text1"/>
                <w:sz w:val="16"/>
                <w:lang w:val="en-GB"/>
              </w:rPr>
              <w:t>ended</w:t>
            </w:r>
          </w:p>
          <w:p w14:paraId="068D6CD5" w14:textId="77777777" w:rsidR="0040324C" w:rsidRPr="0040324C" w:rsidRDefault="0040324C" w:rsidP="00FE4448">
            <w:pPr>
              <w:spacing w:line="240" w:lineRule="atLeast"/>
              <w:jc w:val="right"/>
              <w:rPr>
                <w:rFonts w:ascii="Tahoma" w:hAnsi="Tahoma"/>
                <w:color w:val="000000" w:themeColor="text1"/>
                <w:sz w:val="16"/>
                <w:lang w:val="en-GB"/>
              </w:rPr>
            </w:pPr>
            <w:r w:rsidRPr="0040324C">
              <w:rPr>
                <w:rFonts w:ascii="Tahoma" w:hAnsi="Tahoma"/>
                <w:color w:val="000000" w:themeColor="text1"/>
                <w:sz w:val="16"/>
                <w:lang w:val="en-GB"/>
              </w:rPr>
              <w:t>31 March</w:t>
            </w:r>
          </w:p>
        </w:tc>
      </w:tr>
      <w:tr w:rsidR="00615190" w:rsidRPr="0040324C" w14:paraId="7552C4AD" w14:textId="77777777" w:rsidTr="001F17C8">
        <w:trPr>
          <w:trHeight w:val="60"/>
        </w:trPr>
        <w:tc>
          <w:tcPr>
            <w:tcW w:w="397" w:type="dxa"/>
            <w:shd w:val="clear" w:color="auto" w:fill="auto"/>
            <w:tcMar>
              <w:top w:w="113" w:type="dxa"/>
              <w:left w:w="0" w:type="dxa"/>
              <w:bottom w:w="113" w:type="dxa"/>
              <w:right w:w="0" w:type="dxa"/>
            </w:tcMar>
            <w:vAlign w:val="bottom"/>
          </w:tcPr>
          <w:p w14:paraId="38D6D52D" w14:textId="77777777" w:rsidR="0040324C" w:rsidRPr="0040324C" w:rsidRDefault="0040324C" w:rsidP="00615190">
            <w:pPr>
              <w:spacing w:line="240" w:lineRule="atLeast"/>
              <w:rPr>
                <w:rFonts w:ascii="Tahoma" w:hAnsi="Tahoma"/>
                <w:color w:val="000000" w:themeColor="text1"/>
                <w:sz w:val="16"/>
                <w:lang w:val="en-GB"/>
              </w:rPr>
            </w:pPr>
          </w:p>
        </w:tc>
        <w:tc>
          <w:tcPr>
            <w:tcW w:w="6407" w:type="dxa"/>
            <w:tcBorders>
              <w:bottom w:val="single" w:sz="12" w:space="0" w:color="auto"/>
            </w:tcBorders>
            <w:shd w:val="clear" w:color="auto" w:fill="auto"/>
            <w:tcMar>
              <w:top w:w="113" w:type="dxa"/>
              <w:left w:w="0" w:type="dxa"/>
              <w:bottom w:w="113" w:type="dxa"/>
              <w:right w:w="0" w:type="dxa"/>
            </w:tcMar>
            <w:vAlign w:val="bottom"/>
          </w:tcPr>
          <w:p w14:paraId="24BCE6E8" w14:textId="77777777" w:rsidR="0040324C" w:rsidRPr="0040324C" w:rsidRDefault="0040324C" w:rsidP="00615190">
            <w:pPr>
              <w:spacing w:line="240" w:lineRule="atLeast"/>
              <w:rPr>
                <w:rFonts w:ascii="Tahoma" w:hAnsi="Tahoma"/>
                <w:color w:val="000000" w:themeColor="text1"/>
                <w:sz w:val="16"/>
                <w:lang w:val="en-GB"/>
              </w:rPr>
            </w:pPr>
          </w:p>
        </w:tc>
        <w:tc>
          <w:tcPr>
            <w:tcW w:w="1134" w:type="dxa"/>
            <w:tcBorders>
              <w:bottom w:val="single" w:sz="12" w:space="0" w:color="auto"/>
            </w:tcBorders>
            <w:shd w:val="clear" w:color="auto" w:fill="auto"/>
            <w:tcMar>
              <w:top w:w="113" w:type="dxa"/>
              <w:left w:w="0" w:type="dxa"/>
              <w:bottom w:w="113" w:type="dxa"/>
              <w:right w:w="0" w:type="dxa"/>
            </w:tcMar>
            <w:vAlign w:val="bottom"/>
          </w:tcPr>
          <w:p w14:paraId="7DF317A9" w14:textId="77777777" w:rsidR="0040324C" w:rsidRPr="0040324C" w:rsidRDefault="0040324C" w:rsidP="001F2F92">
            <w:pPr>
              <w:spacing w:line="240" w:lineRule="atLeast"/>
              <w:jc w:val="right"/>
              <w:rPr>
                <w:rFonts w:ascii="Tahoma" w:hAnsi="Tahoma"/>
                <w:b/>
                <w:bCs/>
                <w:color w:val="000000" w:themeColor="text1"/>
                <w:sz w:val="16"/>
                <w:lang w:val="en-GB"/>
              </w:rPr>
            </w:pPr>
            <w:r w:rsidRPr="0040324C">
              <w:rPr>
                <w:rFonts w:ascii="Tahoma" w:hAnsi="Tahoma"/>
                <w:b/>
                <w:bCs/>
                <w:color w:val="000000" w:themeColor="text1"/>
                <w:sz w:val="16"/>
                <w:lang w:val="en-GB"/>
              </w:rPr>
              <w:t>2022</w:t>
            </w:r>
          </w:p>
          <w:p w14:paraId="71DFB63D" w14:textId="77777777" w:rsidR="0040324C" w:rsidRPr="0040324C" w:rsidRDefault="0040324C" w:rsidP="001F2F92">
            <w:pPr>
              <w:spacing w:line="240" w:lineRule="atLeast"/>
              <w:jc w:val="right"/>
              <w:rPr>
                <w:rFonts w:ascii="Tahoma" w:hAnsi="Tahoma"/>
                <w:b/>
                <w:bCs/>
                <w:color w:val="000000" w:themeColor="text1"/>
                <w:sz w:val="16"/>
                <w:lang w:val="en-GB"/>
              </w:rPr>
            </w:pPr>
            <w:proofErr w:type="spellStart"/>
            <w:r w:rsidRPr="0040324C">
              <w:rPr>
                <w:rFonts w:ascii="Tahoma" w:hAnsi="Tahoma"/>
                <w:b/>
                <w:bCs/>
                <w:color w:val="000000" w:themeColor="text1"/>
                <w:sz w:val="16"/>
                <w:lang w:val="en-GB"/>
              </w:rPr>
              <w:t>US$’m</w:t>
            </w:r>
            <w:proofErr w:type="spellEnd"/>
          </w:p>
        </w:tc>
        <w:tc>
          <w:tcPr>
            <w:tcW w:w="1134" w:type="dxa"/>
            <w:tcBorders>
              <w:bottom w:val="single" w:sz="12" w:space="0" w:color="auto"/>
            </w:tcBorders>
            <w:shd w:val="clear" w:color="auto" w:fill="auto"/>
            <w:tcMar>
              <w:top w:w="113" w:type="dxa"/>
              <w:left w:w="0" w:type="dxa"/>
              <w:bottom w:w="113" w:type="dxa"/>
              <w:right w:w="0" w:type="dxa"/>
            </w:tcMar>
            <w:vAlign w:val="bottom"/>
          </w:tcPr>
          <w:p w14:paraId="2E5F2824" w14:textId="77777777" w:rsidR="0040324C" w:rsidRPr="0040324C" w:rsidRDefault="0040324C" w:rsidP="001F2F92">
            <w:pPr>
              <w:spacing w:line="240" w:lineRule="atLeast"/>
              <w:jc w:val="right"/>
              <w:rPr>
                <w:rFonts w:ascii="Tahoma" w:hAnsi="Tahoma"/>
                <w:color w:val="000000" w:themeColor="text1"/>
                <w:sz w:val="16"/>
                <w:lang w:val="en-GB"/>
              </w:rPr>
            </w:pPr>
            <w:r w:rsidRPr="0040324C">
              <w:rPr>
                <w:rFonts w:ascii="Tahoma" w:hAnsi="Tahoma"/>
                <w:color w:val="000000" w:themeColor="text1"/>
                <w:sz w:val="16"/>
                <w:lang w:val="en-GB"/>
              </w:rPr>
              <w:t>2021</w:t>
            </w:r>
          </w:p>
          <w:p w14:paraId="1393A8CD" w14:textId="77777777" w:rsidR="0040324C" w:rsidRPr="0040324C" w:rsidRDefault="0040324C" w:rsidP="001F2F92">
            <w:pPr>
              <w:spacing w:line="240" w:lineRule="atLeast"/>
              <w:jc w:val="right"/>
              <w:rPr>
                <w:rFonts w:ascii="Tahoma" w:hAnsi="Tahoma"/>
                <w:color w:val="000000" w:themeColor="text1"/>
                <w:sz w:val="16"/>
                <w:lang w:val="en-GB"/>
              </w:rPr>
            </w:pPr>
            <w:proofErr w:type="spellStart"/>
            <w:r w:rsidRPr="0040324C">
              <w:rPr>
                <w:rFonts w:ascii="Tahoma" w:hAnsi="Tahoma"/>
                <w:color w:val="000000" w:themeColor="text1"/>
                <w:sz w:val="16"/>
                <w:lang w:val="en-GB"/>
              </w:rPr>
              <w:t>US$’m</w:t>
            </w:r>
            <w:proofErr w:type="spellEnd"/>
          </w:p>
        </w:tc>
        <w:tc>
          <w:tcPr>
            <w:tcW w:w="1134" w:type="dxa"/>
            <w:tcBorders>
              <w:bottom w:val="single" w:sz="12" w:space="0" w:color="auto"/>
            </w:tcBorders>
            <w:shd w:val="clear" w:color="auto" w:fill="auto"/>
            <w:tcMar>
              <w:top w:w="113" w:type="dxa"/>
              <w:left w:w="0" w:type="dxa"/>
              <w:bottom w:w="113" w:type="dxa"/>
              <w:right w:w="0" w:type="dxa"/>
            </w:tcMar>
            <w:vAlign w:val="bottom"/>
          </w:tcPr>
          <w:p w14:paraId="22BF6B09" w14:textId="77777777" w:rsidR="0040324C" w:rsidRPr="0040324C" w:rsidRDefault="0040324C" w:rsidP="00FE4448">
            <w:pPr>
              <w:spacing w:line="240" w:lineRule="atLeast"/>
              <w:jc w:val="right"/>
              <w:rPr>
                <w:rFonts w:ascii="Tahoma" w:hAnsi="Tahoma"/>
                <w:color w:val="000000" w:themeColor="text1"/>
                <w:sz w:val="16"/>
                <w:lang w:val="en-GB"/>
              </w:rPr>
            </w:pPr>
            <w:r w:rsidRPr="0040324C">
              <w:rPr>
                <w:rFonts w:ascii="Tahoma" w:hAnsi="Tahoma"/>
                <w:color w:val="000000" w:themeColor="text1"/>
                <w:sz w:val="16"/>
                <w:lang w:val="en-GB"/>
              </w:rPr>
              <w:t>2022</w:t>
            </w:r>
          </w:p>
          <w:p w14:paraId="2479F257" w14:textId="77777777" w:rsidR="0040324C" w:rsidRPr="0040324C" w:rsidRDefault="0040324C" w:rsidP="00FE4448">
            <w:pPr>
              <w:spacing w:line="240" w:lineRule="atLeast"/>
              <w:jc w:val="right"/>
              <w:rPr>
                <w:rFonts w:ascii="Tahoma" w:hAnsi="Tahoma"/>
                <w:color w:val="000000" w:themeColor="text1"/>
                <w:sz w:val="16"/>
                <w:lang w:val="en-GB"/>
              </w:rPr>
            </w:pPr>
            <w:proofErr w:type="spellStart"/>
            <w:r w:rsidRPr="0040324C">
              <w:rPr>
                <w:rFonts w:ascii="Tahoma" w:hAnsi="Tahoma"/>
                <w:color w:val="000000" w:themeColor="text1"/>
                <w:sz w:val="16"/>
                <w:lang w:val="en-GB"/>
              </w:rPr>
              <w:t>US$’m</w:t>
            </w:r>
            <w:proofErr w:type="spellEnd"/>
          </w:p>
        </w:tc>
      </w:tr>
      <w:tr w:rsidR="00615190" w:rsidRPr="0040324C" w14:paraId="00AB79DB" w14:textId="77777777" w:rsidTr="001F17C8">
        <w:trPr>
          <w:trHeight w:val="60"/>
        </w:trPr>
        <w:tc>
          <w:tcPr>
            <w:tcW w:w="397" w:type="dxa"/>
            <w:shd w:val="clear" w:color="auto" w:fill="auto"/>
            <w:tcMar>
              <w:top w:w="142" w:type="dxa"/>
              <w:left w:w="0" w:type="dxa"/>
              <w:bottom w:w="57" w:type="dxa"/>
              <w:right w:w="0" w:type="dxa"/>
            </w:tcMar>
            <w:vAlign w:val="bottom"/>
          </w:tcPr>
          <w:p w14:paraId="03500F39" w14:textId="77777777" w:rsidR="0040324C" w:rsidRPr="0040324C" w:rsidRDefault="0040324C" w:rsidP="00615190">
            <w:pPr>
              <w:spacing w:line="240" w:lineRule="atLeast"/>
              <w:rPr>
                <w:rFonts w:ascii="Tahoma" w:hAnsi="Tahoma"/>
                <w:color w:val="000000" w:themeColor="text1"/>
                <w:sz w:val="16"/>
                <w:lang w:val="en-GB"/>
              </w:rPr>
            </w:pPr>
          </w:p>
        </w:tc>
        <w:tc>
          <w:tcPr>
            <w:tcW w:w="6407" w:type="dxa"/>
            <w:tcBorders>
              <w:top w:val="single" w:sz="12" w:space="0" w:color="auto"/>
            </w:tcBorders>
            <w:shd w:val="clear" w:color="auto" w:fill="auto"/>
            <w:tcMar>
              <w:top w:w="142" w:type="dxa"/>
              <w:left w:w="0" w:type="dxa"/>
              <w:bottom w:w="57" w:type="dxa"/>
              <w:right w:w="113" w:type="dxa"/>
            </w:tcMar>
            <w:vAlign w:val="bottom"/>
          </w:tcPr>
          <w:p w14:paraId="3164A040" w14:textId="77777777" w:rsidR="0040324C" w:rsidRPr="0040324C" w:rsidRDefault="0040324C" w:rsidP="00615190">
            <w:pPr>
              <w:spacing w:line="240" w:lineRule="atLeast"/>
              <w:rPr>
                <w:rFonts w:ascii="Tahoma" w:hAnsi="Tahoma"/>
                <w:b/>
                <w:bCs/>
                <w:color w:val="000000" w:themeColor="text1"/>
                <w:sz w:val="16"/>
                <w:lang w:val="en-GB"/>
              </w:rPr>
            </w:pPr>
            <w:r w:rsidRPr="0040324C">
              <w:rPr>
                <w:rFonts w:ascii="Tahoma" w:hAnsi="Tahoma"/>
                <w:b/>
                <w:bCs/>
                <w:color w:val="000000" w:themeColor="text1"/>
                <w:sz w:val="16"/>
                <w:lang w:val="en-GB"/>
              </w:rPr>
              <w:t>Headline earnings from continuing operations (refer to note 6)</w:t>
            </w:r>
          </w:p>
        </w:tc>
        <w:tc>
          <w:tcPr>
            <w:tcW w:w="1134" w:type="dxa"/>
            <w:tcBorders>
              <w:top w:val="single" w:sz="12" w:space="0" w:color="auto"/>
            </w:tcBorders>
            <w:shd w:val="clear" w:color="auto" w:fill="auto"/>
            <w:tcMar>
              <w:top w:w="142" w:type="dxa"/>
              <w:left w:w="0" w:type="dxa"/>
              <w:bottom w:w="57" w:type="dxa"/>
              <w:right w:w="0" w:type="dxa"/>
            </w:tcMar>
            <w:vAlign w:val="bottom"/>
          </w:tcPr>
          <w:p w14:paraId="7C6486F9" w14:textId="77777777" w:rsidR="0040324C" w:rsidRPr="0040324C" w:rsidRDefault="0040324C" w:rsidP="001F2F92">
            <w:pPr>
              <w:spacing w:line="240" w:lineRule="atLeast"/>
              <w:jc w:val="right"/>
              <w:rPr>
                <w:rFonts w:ascii="Tahoma" w:hAnsi="Tahoma"/>
                <w:b/>
                <w:bCs/>
                <w:color w:val="000000" w:themeColor="text1"/>
                <w:sz w:val="16"/>
                <w:lang w:val="en-GB"/>
              </w:rPr>
            </w:pPr>
            <w:r w:rsidRPr="0040324C">
              <w:rPr>
                <w:rFonts w:ascii="Tahoma" w:hAnsi="Tahoma"/>
                <w:b/>
                <w:bCs/>
                <w:color w:val="000000" w:themeColor="text1"/>
                <w:sz w:val="16"/>
                <w:lang w:val="en-GB"/>
              </w:rPr>
              <w:t>(6)</w:t>
            </w:r>
          </w:p>
        </w:tc>
        <w:tc>
          <w:tcPr>
            <w:tcW w:w="1134" w:type="dxa"/>
            <w:tcBorders>
              <w:top w:val="single" w:sz="12" w:space="0" w:color="auto"/>
            </w:tcBorders>
            <w:shd w:val="clear" w:color="auto" w:fill="auto"/>
            <w:tcMar>
              <w:top w:w="142" w:type="dxa"/>
              <w:left w:w="0" w:type="dxa"/>
              <w:bottom w:w="57" w:type="dxa"/>
              <w:right w:w="0" w:type="dxa"/>
            </w:tcMar>
            <w:vAlign w:val="bottom"/>
          </w:tcPr>
          <w:p w14:paraId="379AF97D" w14:textId="77777777" w:rsidR="0040324C" w:rsidRPr="0040324C" w:rsidRDefault="0040324C" w:rsidP="001F2F92">
            <w:pPr>
              <w:spacing w:line="240" w:lineRule="atLeast"/>
              <w:jc w:val="right"/>
              <w:rPr>
                <w:rFonts w:ascii="Tahoma" w:hAnsi="Tahoma"/>
                <w:color w:val="000000" w:themeColor="text1"/>
                <w:sz w:val="16"/>
                <w:lang w:val="en-GB"/>
              </w:rPr>
            </w:pPr>
            <w:r w:rsidRPr="0040324C">
              <w:rPr>
                <w:rFonts w:ascii="Tahoma" w:hAnsi="Tahoma"/>
                <w:color w:val="000000" w:themeColor="text1"/>
                <w:sz w:val="16"/>
                <w:lang w:val="en-GB"/>
              </w:rPr>
              <w:t>2 260</w:t>
            </w:r>
          </w:p>
        </w:tc>
        <w:tc>
          <w:tcPr>
            <w:tcW w:w="1134" w:type="dxa"/>
            <w:tcBorders>
              <w:top w:val="single" w:sz="12" w:space="0" w:color="auto"/>
            </w:tcBorders>
            <w:shd w:val="clear" w:color="auto" w:fill="auto"/>
            <w:tcMar>
              <w:top w:w="142" w:type="dxa"/>
              <w:left w:w="0" w:type="dxa"/>
              <w:bottom w:w="57" w:type="dxa"/>
              <w:right w:w="0" w:type="dxa"/>
            </w:tcMar>
            <w:vAlign w:val="bottom"/>
          </w:tcPr>
          <w:p w14:paraId="4F621424" w14:textId="77777777" w:rsidR="0040324C" w:rsidRPr="0040324C" w:rsidRDefault="0040324C" w:rsidP="00FE4448">
            <w:pPr>
              <w:spacing w:line="240" w:lineRule="atLeast"/>
              <w:jc w:val="right"/>
              <w:rPr>
                <w:rFonts w:ascii="Tahoma" w:hAnsi="Tahoma"/>
                <w:color w:val="000000" w:themeColor="text1"/>
                <w:sz w:val="16"/>
                <w:lang w:val="en-GB"/>
              </w:rPr>
            </w:pPr>
            <w:r w:rsidRPr="0040324C">
              <w:rPr>
                <w:rFonts w:ascii="Tahoma" w:hAnsi="Tahoma"/>
                <w:color w:val="000000" w:themeColor="text1"/>
                <w:sz w:val="16"/>
                <w:lang w:val="en-GB"/>
              </w:rPr>
              <w:t>2 921</w:t>
            </w:r>
          </w:p>
        </w:tc>
      </w:tr>
      <w:tr w:rsidR="00615190" w:rsidRPr="0040324C" w14:paraId="2AD5DD88" w14:textId="77777777" w:rsidTr="00F16638">
        <w:trPr>
          <w:trHeight w:val="60"/>
        </w:trPr>
        <w:tc>
          <w:tcPr>
            <w:tcW w:w="397" w:type="dxa"/>
            <w:shd w:val="clear" w:color="auto" w:fill="auto"/>
            <w:tcMar>
              <w:top w:w="57" w:type="dxa"/>
              <w:left w:w="0" w:type="dxa"/>
              <w:bottom w:w="57" w:type="dxa"/>
              <w:right w:w="0" w:type="dxa"/>
            </w:tcMar>
            <w:vAlign w:val="bottom"/>
          </w:tcPr>
          <w:p w14:paraId="4D6E72B1" w14:textId="77777777" w:rsidR="0040324C" w:rsidRPr="0040324C" w:rsidRDefault="0040324C" w:rsidP="00615190">
            <w:pPr>
              <w:spacing w:line="240" w:lineRule="atLeast"/>
              <w:rPr>
                <w:rFonts w:ascii="Tahoma" w:hAnsi="Tahoma"/>
                <w:color w:val="000000" w:themeColor="text1"/>
                <w:sz w:val="16"/>
                <w:lang w:val="en-GB"/>
              </w:rPr>
            </w:pPr>
          </w:p>
        </w:tc>
        <w:tc>
          <w:tcPr>
            <w:tcW w:w="6407" w:type="dxa"/>
            <w:shd w:val="clear" w:color="auto" w:fill="auto"/>
            <w:tcMar>
              <w:top w:w="57" w:type="dxa"/>
              <w:left w:w="0" w:type="dxa"/>
              <w:bottom w:w="57" w:type="dxa"/>
              <w:right w:w="113" w:type="dxa"/>
            </w:tcMar>
            <w:vAlign w:val="bottom"/>
          </w:tcPr>
          <w:p w14:paraId="2132C99E" w14:textId="77777777" w:rsidR="0040324C" w:rsidRPr="002571CB" w:rsidRDefault="0040324C" w:rsidP="00615190">
            <w:pPr>
              <w:spacing w:line="240" w:lineRule="atLeast"/>
              <w:rPr>
                <w:rFonts w:ascii="Tahoma" w:hAnsi="Tahoma"/>
                <w:i/>
                <w:iCs/>
                <w:color w:val="000000" w:themeColor="text1"/>
                <w:sz w:val="16"/>
                <w:lang w:val="en-GB"/>
              </w:rPr>
            </w:pPr>
            <w:r w:rsidRPr="002571CB">
              <w:rPr>
                <w:rFonts w:ascii="Tahoma" w:hAnsi="Tahoma"/>
                <w:i/>
                <w:iCs/>
                <w:color w:val="000000" w:themeColor="text1"/>
                <w:sz w:val="16"/>
                <w:lang w:val="en-GB"/>
              </w:rPr>
              <w:t>Adjusted for:</w:t>
            </w:r>
          </w:p>
        </w:tc>
        <w:tc>
          <w:tcPr>
            <w:tcW w:w="1134" w:type="dxa"/>
            <w:shd w:val="clear" w:color="auto" w:fill="auto"/>
            <w:tcMar>
              <w:top w:w="57" w:type="dxa"/>
              <w:left w:w="0" w:type="dxa"/>
              <w:bottom w:w="57" w:type="dxa"/>
              <w:right w:w="0" w:type="dxa"/>
            </w:tcMar>
            <w:vAlign w:val="bottom"/>
          </w:tcPr>
          <w:p w14:paraId="346D851F" w14:textId="77777777" w:rsidR="0040324C" w:rsidRPr="0040324C" w:rsidRDefault="0040324C" w:rsidP="001F2F92">
            <w:pPr>
              <w:spacing w:line="240" w:lineRule="atLeast"/>
              <w:jc w:val="right"/>
              <w:rPr>
                <w:rFonts w:ascii="Tahoma" w:hAnsi="Tahoma"/>
                <w:b/>
                <w:bCs/>
                <w:color w:val="000000" w:themeColor="text1"/>
                <w:sz w:val="16"/>
                <w:lang w:val="en-GB"/>
              </w:rPr>
            </w:pPr>
          </w:p>
        </w:tc>
        <w:tc>
          <w:tcPr>
            <w:tcW w:w="1134" w:type="dxa"/>
            <w:shd w:val="clear" w:color="auto" w:fill="auto"/>
            <w:tcMar>
              <w:top w:w="57" w:type="dxa"/>
              <w:left w:w="0" w:type="dxa"/>
              <w:bottom w:w="57" w:type="dxa"/>
              <w:right w:w="0" w:type="dxa"/>
            </w:tcMar>
            <w:vAlign w:val="bottom"/>
          </w:tcPr>
          <w:p w14:paraId="6898BE1E" w14:textId="77777777" w:rsidR="0040324C" w:rsidRPr="0040324C" w:rsidRDefault="0040324C" w:rsidP="001F2F92">
            <w:pPr>
              <w:spacing w:line="240" w:lineRule="atLeast"/>
              <w:jc w:val="right"/>
              <w:rPr>
                <w:rFonts w:ascii="Tahoma" w:hAnsi="Tahoma"/>
                <w:color w:val="000000" w:themeColor="text1"/>
                <w:sz w:val="16"/>
                <w:lang w:val="en-GB"/>
              </w:rPr>
            </w:pPr>
          </w:p>
        </w:tc>
        <w:tc>
          <w:tcPr>
            <w:tcW w:w="1134" w:type="dxa"/>
            <w:shd w:val="clear" w:color="auto" w:fill="auto"/>
            <w:tcMar>
              <w:top w:w="57" w:type="dxa"/>
              <w:left w:w="0" w:type="dxa"/>
              <w:bottom w:w="57" w:type="dxa"/>
              <w:right w:w="0" w:type="dxa"/>
            </w:tcMar>
            <w:vAlign w:val="bottom"/>
          </w:tcPr>
          <w:p w14:paraId="46C26628" w14:textId="77777777" w:rsidR="0040324C" w:rsidRPr="0040324C" w:rsidRDefault="0040324C" w:rsidP="00FE4448">
            <w:pPr>
              <w:spacing w:line="240" w:lineRule="atLeast"/>
              <w:jc w:val="right"/>
              <w:rPr>
                <w:rFonts w:ascii="Tahoma" w:hAnsi="Tahoma"/>
                <w:color w:val="000000" w:themeColor="text1"/>
                <w:sz w:val="16"/>
                <w:lang w:val="en-GB"/>
              </w:rPr>
            </w:pPr>
          </w:p>
        </w:tc>
      </w:tr>
      <w:tr w:rsidR="00615190" w:rsidRPr="0040324C" w14:paraId="4DAE254C" w14:textId="77777777" w:rsidTr="00F16638">
        <w:trPr>
          <w:trHeight w:val="60"/>
        </w:trPr>
        <w:tc>
          <w:tcPr>
            <w:tcW w:w="397" w:type="dxa"/>
            <w:shd w:val="clear" w:color="auto" w:fill="auto"/>
            <w:tcMar>
              <w:top w:w="57" w:type="dxa"/>
              <w:left w:w="0" w:type="dxa"/>
              <w:bottom w:w="57" w:type="dxa"/>
              <w:right w:w="0" w:type="dxa"/>
            </w:tcMar>
            <w:vAlign w:val="bottom"/>
          </w:tcPr>
          <w:p w14:paraId="69A06B71" w14:textId="77777777" w:rsidR="0040324C" w:rsidRPr="0040324C" w:rsidRDefault="0040324C" w:rsidP="00615190">
            <w:pPr>
              <w:spacing w:line="240" w:lineRule="atLeast"/>
              <w:rPr>
                <w:rFonts w:ascii="Tahoma" w:hAnsi="Tahoma"/>
                <w:color w:val="000000" w:themeColor="text1"/>
                <w:sz w:val="16"/>
                <w:lang w:val="en-GB"/>
              </w:rPr>
            </w:pPr>
          </w:p>
        </w:tc>
        <w:tc>
          <w:tcPr>
            <w:tcW w:w="6407" w:type="dxa"/>
            <w:shd w:val="clear" w:color="auto" w:fill="auto"/>
            <w:tcMar>
              <w:top w:w="57" w:type="dxa"/>
              <w:left w:w="0" w:type="dxa"/>
              <w:bottom w:w="57" w:type="dxa"/>
              <w:right w:w="113" w:type="dxa"/>
            </w:tcMar>
            <w:vAlign w:val="bottom"/>
          </w:tcPr>
          <w:p w14:paraId="4A46C15D" w14:textId="77777777" w:rsidR="0040324C" w:rsidRPr="0040324C" w:rsidRDefault="0040324C" w:rsidP="00615190">
            <w:pPr>
              <w:spacing w:line="240" w:lineRule="atLeast"/>
              <w:rPr>
                <w:rFonts w:ascii="Tahoma" w:hAnsi="Tahoma"/>
                <w:color w:val="000000" w:themeColor="text1"/>
                <w:sz w:val="16"/>
                <w:lang w:val="en-GB"/>
              </w:rPr>
            </w:pPr>
            <w:r w:rsidRPr="0040324C">
              <w:rPr>
                <w:rFonts w:ascii="Tahoma" w:hAnsi="Tahoma"/>
                <w:color w:val="000000" w:themeColor="text1"/>
                <w:sz w:val="16"/>
                <w:lang w:val="en-GB"/>
              </w:rPr>
              <w:t>– Equity-settled share-based payment expenses</w:t>
            </w:r>
          </w:p>
        </w:tc>
        <w:tc>
          <w:tcPr>
            <w:tcW w:w="1134" w:type="dxa"/>
            <w:shd w:val="clear" w:color="auto" w:fill="auto"/>
            <w:tcMar>
              <w:top w:w="57" w:type="dxa"/>
              <w:left w:w="0" w:type="dxa"/>
              <w:bottom w:w="57" w:type="dxa"/>
              <w:right w:w="0" w:type="dxa"/>
            </w:tcMar>
            <w:vAlign w:val="bottom"/>
          </w:tcPr>
          <w:p w14:paraId="1774FB88" w14:textId="77777777" w:rsidR="0040324C" w:rsidRPr="0040324C" w:rsidRDefault="0040324C" w:rsidP="001F2F92">
            <w:pPr>
              <w:spacing w:line="240" w:lineRule="atLeast"/>
              <w:jc w:val="right"/>
              <w:rPr>
                <w:rFonts w:ascii="Tahoma" w:hAnsi="Tahoma"/>
                <w:b/>
                <w:bCs/>
                <w:color w:val="000000" w:themeColor="text1"/>
                <w:sz w:val="16"/>
                <w:lang w:val="en-GB"/>
              </w:rPr>
            </w:pPr>
            <w:r w:rsidRPr="0040324C">
              <w:rPr>
                <w:rFonts w:ascii="Tahoma" w:hAnsi="Tahoma"/>
                <w:b/>
                <w:bCs/>
                <w:color w:val="000000" w:themeColor="text1"/>
                <w:sz w:val="16"/>
                <w:lang w:val="en-GB"/>
              </w:rPr>
              <w:t>806</w:t>
            </w:r>
          </w:p>
        </w:tc>
        <w:tc>
          <w:tcPr>
            <w:tcW w:w="1134" w:type="dxa"/>
            <w:shd w:val="clear" w:color="auto" w:fill="auto"/>
            <w:tcMar>
              <w:top w:w="57" w:type="dxa"/>
              <w:left w:w="0" w:type="dxa"/>
              <w:bottom w:w="57" w:type="dxa"/>
              <w:right w:w="0" w:type="dxa"/>
            </w:tcMar>
            <w:vAlign w:val="bottom"/>
          </w:tcPr>
          <w:p w14:paraId="7DE255B6" w14:textId="77777777" w:rsidR="0040324C" w:rsidRPr="0040324C" w:rsidRDefault="0040324C" w:rsidP="001F2F92">
            <w:pPr>
              <w:spacing w:line="240" w:lineRule="atLeast"/>
              <w:jc w:val="right"/>
              <w:rPr>
                <w:rFonts w:ascii="Tahoma" w:hAnsi="Tahoma"/>
                <w:color w:val="000000" w:themeColor="text1"/>
                <w:sz w:val="16"/>
                <w:lang w:val="en-GB"/>
              </w:rPr>
            </w:pPr>
            <w:r w:rsidRPr="0040324C">
              <w:rPr>
                <w:rFonts w:ascii="Tahoma" w:hAnsi="Tahoma"/>
                <w:color w:val="000000" w:themeColor="text1"/>
                <w:sz w:val="16"/>
                <w:lang w:val="en-GB"/>
              </w:rPr>
              <w:t>591</w:t>
            </w:r>
          </w:p>
        </w:tc>
        <w:tc>
          <w:tcPr>
            <w:tcW w:w="1134" w:type="dxa"/>
            <w:shd w:val="clear" w:color="auto" w:fill="auto"/>
            <w:tcMar>
              <w:top w:w="57" w:type="dxa"/>
              <w:left w:w="0" w:type="dxa"/>
              <w:bottom w:w="57" w:type="dxa"/>
              <w:right w:w="0" w:type="dxa"/>
            </w:tcMar>
            <w:vAlign w:val="bottom"/>
          </w:tcPr>
          <w:p w14:paraId="6EFF27FE" w14:textId="77777777" w:rsidR="0040324C" w:rsidRPr="0040324C" w:rsidRDefault="0040324C" w:rsidP="00FE4448">
            <w:pPr>
              <w:spacing w:line="240" w:lineRule="atLeast"/>
              <w:jc w:val="right"/>
              <w:rPr>
                <w:rFonts w:ascii="Tahoma" w:hAnsi="Tahoma"/>
                <w:color w:val="000000" w:themeColor="text1"/>
                <w:sz w:val="16"/>
                <w:lang w:val="en-GB"/>
              </w:rPr>
            </w:pPr>
            <w:r w:rsidRPr="0040324C">
              <w:rPr>
                <w:rFonts w:ascii="Tahoma" w:hAnsi="Tahoma"/>
                <w:color w:val="000000" w:themeColor="text1"/>
                <w:sz w:val="16"/>
                <w:lang w:val="en-GB"/>
              </w:rPr>
              <w:t>1 535</w:t>
            </w:r>
          </w:p>
        </w:tc>
      </w:tr>
      <w:tr w:rsidR="00615190" w:rsidRPr="0040324C" w14:paraId="68F40C58" w14:textId="77777777" w:rsidTr="00F16638">
        <w:trPr>
          <w:trHeight w:val="60"/>
        </w:trPr>
        <w:tc>
          <w:tcPr>
            <w:tcW w:w="397" w:type="dxa"/>
            <w:shd w:val="clear" w:color="auto" w:fill="auto"/>
            <w:tcMar>
              <w:top w:w="57" w:type="dxa"/>
              <w:left w:w="0" w:type="dxa"/>
              <w:bottom w:w="57" w:type="dxa"/>
              <w:right w:w="0" w:type="dxa"/>
            </w:tcMar>
            <w:vAlign w:val="bottom"/>
          </w:tcPr>
          <w:p w14:paraId="2CD9AF59" w14:textId="77777777" w:rsidR="0040324C" w:rsidRPr="0040324C" w:rsidRDefault="0040324C" w:rsidP="00615190">
            <w:pPr>
              <w:spacing w:line="240" w:lineRule="atLeast"/>
              <w:rPr>
                <w:rFonts w:ascii="Tahoma" w:hAnsi="Tahoma"/>
                <w:color w:val="000000" w:themeColor="text1"/>
                <w:sz w:val="16"/>
                <w:lang w:val="en-GB"/>
              </w:rPr>
            </w:pPr>
          </w:p>
        </w:tc>
        <w:tc>
          <w:tcPr>
            <w:tcW w:w="6407" w:type="dxa"/>
            <w:shd w:val="clear" w:color="auto" w:fill="auto"/>
            <w:tcMar>
              <w:top w:w="57" w:type="dxa"/>
              <w:left w:w="0" w:type="dxa"/>
              <w:bottom w:w="57" w:type="dxa"/>
              <w:right w:w="113" w:type="dxa"/>
            </w:tcMar>
            <w:vAlign w:val="bottom"/>
          </w:tcPr>
          <w:p w14:paraId="3628C1E6" w14:textId="77777777" w:rsidR="0040324C" w:rsidRPr="0040324C" w:rsidRDefault="0040324C" w:rsidP="00615190">
            <w:pPr>
              <w:spacing w:line="240" w:lineRule="atLeast"/>
              <w:rPr>
                <w:rFonts w:ascii="Tahoma" w:hAnsi="Tahoma"/>
                <w:color w:val="000000" w:themeColor="text1"/>
                <w:sz w:val="16"/>
                <w:lang w:val="en-GB"/>
              </w:rPr>
            </w:pPr>
            <w:r w:rsidRPr="0040324C">
              <w:rPr>
                <w:rFonts w:ascii="Tahoma" w:hAnsi="Tahoma"/>
                <w:color w:val="000000" w:themeColor="text1"/>
                <w:sz w:val="16"/>
                <w:lang w:val="en-GB"/>
              </w:rPr>
              <w:t>– Remeasurement of cash-settled share-based incentive expenses</w:t>
            </w:r>
          </w:p>
        </w:tc>
        <w:tc>
          <w:tcPr>
            <w:tcW w:w="1134" w:type="dxa"/>
            <w:shd w:val="clear" w:color="auto" w:fill="auto"/>
            <w:tcMar>
              <w:top w:w="57" w:type="dxa"/>
              <w:left w:w="0" w:type="dxa"/>
              <w:bottom w:w="57" w:type="dxa"/>
              <w:right w:w="0" w:type="dxa"/>
            </w:tcMar>
            <w:vAlign w:val="bottom"/>
          </w:tcPr>
          <w:p w14:paraId="54A362DB" w14:textId="77777777" w:rsidR="0040324C" w:rsidRPr="0040324C" w:rsidRDefault="0040324C" w:rsidP="001F2F92">
            <w:pPr>
              <w:spacing w:line="240" w:lineRule="atLeast"/>
              <w:jc w:val="right"/>
              <w:rPr>
                <w:rFonts w:ascii="Tahoma" w:hAnsi="Tahoma"/>
                <w:b/>
                <w:bCs/>
                <w:color w:val="000000" w:themeColor="text1"/>
                <w:sz w:val="16"/>
                <w:lang w:val="en-GB"/>
              </w:rPr>
            </w:pPr>
            <w:r w:rsidRPr="0040324C">
              <w:rPr>
                <w:rFonts w:ascii="Tahoma" w:hAnsi="Tahoma"/>
                <w:b/>
                <w:bCs/>
                <w:color w:val="000000" w:themeColor="text1"/>
                <w:sz w:val="16"/>
                <w:lang w:val="en-GB"/>
              </w:rPr>
              <w:t>(249)</w:t>
            </w:r>
          </w:p>
        </w:tc>
        <w:tc>
          <w:tcPr>
            <w:tcW w:w="1134" w:type="dxa"/>
            <w:shd w:val="clear" w:color="auto" w:fill="auto"/>
            <w:tcMar>
              <w:top w:w="57" w:type="dxa"/>
              <w:left w:w="0" w:type="dxa"/>
              <w:bottom w:w="57" w:type="dxa"/>
              <w:right w:w="0" w:type="dxa"/>
            </w:tcMar>
            <w:vAlign w:val="bottom"/>
          </w:tcPr>
          <w:p w14:paraId="1B143E48" w14:textId="77777777" w:rsidR="0040324C" w:rsidRPr="0040324C" w:rsidRDefault="0040324C" w:rsidP="001F2F92">
            <w:pPr>
              <w:spacing w:line="240" w:lineRule="atLeast"/>
              <w:jc w:val="right"/>
              <w:rPr>
                <w:rFonts w:ascii="Tahoma" w:hAnsi="Tahoma"/>
                <w:color w:val="000000" w:themeColor="text1"/>
                <w:sz w:val="16"/>
                <w:lang w:val="en-GB"/>
              </w:rPr>
            </w:pPr>
            <w:r w:rsidRPr="0040324C">
              <w:rPr>
                <w:rFonts w:ascii="Tahoma" w:hAnsi="Tahoma"/>
                <w:color w:val="000000" w:themeColor="text1"/>
                <w:sz w:val="16"/>
                <w:lang w:val="en-GB"/>
              </w:rPr>
              <w:t>118</w:t>
            </w:r>
          </w:p>
        </w:tc>
        <w:tc>
          <w:tcPr>
            <w:tcW w:w="1134" w:type="dxa"/>
            <w:shd w:val="clear" w:color="auto" w:fill="auto"/>
            <w:tcMar>
              <w:top w:w="57" w:type="dxa"/>
              <w:left w:w="0" w:type="dxa"/>
              <w:bottom w:w="57" w:type="dxa"/>
              <w:right w:w="0" w:type="dxa"/>
            </w:tcMar>
            <w:vAlign w:val="bottom"/>
          </w:tcPr>
          <w:p w14:paraId="72A61802" w14:textId="77777777" w:rsidR="0040324C" w:rsidRPr="0040324C" w:rsidRDefault="0040324C" w:rsidP="00FE4448">
            <w:pPr>
              <w:spacing w:line="240" w:lineRule="atLeast"/>
              <w:jc w:val="right"/>
              <w:rPr>
                <w:rFonts w:ascii="Tahoma" w:hAnsi="Tahoma"/>
                <w:color w:val="000000" w:themeColor="text1"/>
                <w:sz w:val="16"/>
                <w:lang w:val="en-GB"/>
              </w:rPr>
            </w:pPr>
            <w:r w:rsidRPr="0040324C">
              <w:rPr>
                <w:rFonts w:ascii="Tahoma" w:hAnsi="Tahoma"/>
                <w:color w:val="000000" w:themeColor="text1"/>
                <w:sz w:val="16"/>
                <w:lang w:val="en-GB"/>
              </w:rPr>
              <w:t>14</w:t>
            </w:r>
          </w:p>
        </w:tc>
      </w:tr>
      <w:tr w:rsidR="00615190" w:rsidRPr="0040324C" w14:paraId="17BA5913" w14:textId="77777777" w:rsidTr="00F16638">
        <w:trPr>
          <w:trHeight w:val="60"/>
        </w:trPr>
        <w:tc>
          <w:tcPr>
            <w:tcW w:w="397" w:type="dxa"/>
            <w:shd w:val="clear" w:color="auto" w:fill="auto"/>
            <w:tcMar>
              <w:top w:w="57" w:type="dxa"/>
              <w:left w:w="0" w:type="dxa"/>
              <w:bottom w:w="57" w:type="dxa"/>
              <w:right w:w="0" w:type="dxa"/>
            </w:tcMar>
            <w:vAlign w:val="bottom"/>
          </w:tcPr>
          <w:p w14:paraId="758A837A" w14:textId="77777777" w:rsidR="0040324C" w:rsidRPr="0040324C" w:rsidRDefault="0040324C" w:rsidP="00615190">
            <w:pPr>
              <w:spacing w:line="240" w:lineRule="atLeast"/>
              <w:rPr>
                <w:rFonts w:ascii="Tahoma" w:hAnsi="Tahoma"/>
                <w:color w:val="000000" w:themeColor="text1"/>
                <w:sz w:val="16"/>
                <w:lang w:val="en-GB"/>
              </w:rPr>
            </w:pPr>
          </w:p>
        </w:tc>
        <w:tc>
          <w:tcPr>
            <w:tcW w:w="6407" w:type="dxa"/>
            <w:shd w:val="clear" w:color="auto" w:fill="auto"/>
            <w:tcMar>
              <w:top w:w="57" w:type="dxa"/>
              <w:left w:w="0" w:type="dxa"/>
              <w:bottom w:w="57" w:type="dxa"/>
              <w:right w:w="113" w:type="dxa"/>
            </w:tcMar>
            <w:vAlign w:val="bottom"/>
          </w:tcPr>
          <w:p w14:paraId="5DE2D4A8" w14:textId="77777777" w:rsidR="0040324C" w:rsidRPr="0040324C" w:rsidRDefault="0040324C" w:rsidP="00615190">
            <w:pPr>
              <w:spacing w:line="240" w:lineRule="atLeast"/>
              <w:rPr>
                <w:rFonts w:ascii="Tahoma" w:hAnsi="Tahoma"/>
                <w:color w:val="000000" w:themeColor="text1"/>
                <w:sz w:val="16"/>
                <w:lang w:val="en-GB"/>
              </w:rPr>
            </w:pPr>
            <w:r w:rsidRPr="0040324C">
              <w:rPr>
                <w:rFonts w:ascii="Tahoma" w:hAnsi="Tahoma"/>
                <w:color w:val="000000" w:themeColor="text1"/>
                <w:sz w:val="16"/>
                <w:lang w:val="en-GB"/>
              </w:rPr>
              <w:t>– Amortisation of other intangible assets</w:t>
            </w:r>
          </w:p>
        </w:tc>
        <w:tc>
          <w:tcPr>
            <w:tcW w:w="1134" w:type="dxa"/>
            <w:shd w:val="clear" w:color="auto" w:fill="auto"/>
            <w:tcMar>
              <w:top w:w="57" w:type="dxa"/>
              <w:left w:w="0" w:type="dxa"/>
              <w:bottom w:w="57" w:type="dxa"/>
              <w:right w:w="0" w:type="dxa"/>
            </w:tcMar>
            <w:vAlign w:val="bottom"/>
          </w:tcPr>
          <w:p w14:paraId="62051C40" w14:textId="77777777" w:rsidR="0040324C" w:rsidRPr="0040324C" w:rsidRDefault="0040324C" w:rsidP="001F2F92">
            <w:pPr>
              <w:spacing w:line="240" w:lineRule="atLeast"/>
              <w:jc w:val="right"/>
              <w:rPr>
                <w:rFonts w:ascii="Tahoma" w:hAnsi="Tahoma"/>
                <w:b/>
                <w:bCs/>
                <w:color w:val="000000" w:themeColor="text1"/>
                <w:sz w:val="16"/>
                <w:lang w:val="en-GB"/>
              </w:rPr>
            </w:pPr>
            <w:r w:rsidRPr="0040324C">
              <w:rPr>
                <w:rFonts w:ascii="Tahoma" w:hAnsi="Tahoma"/>
                <w:b/>
                <w:bCs/>
                <w:color w:val="000000" w:themeColor="text1"/>
                <w:sz w:val="16"/>
                <w:lang w:val="en-GB"/>
              </w:rPr>
              <w:t>352</w:t>
            </w:r>
          </w:p>
        </w:tc>
        <w:tc>
          <w:tcPr>
            <w:tcW w:w="1134" w:type="dxa"/>
            <w:shd w:val="clear" w:color="auto" w:fill="auto"/>
            <w:tcMar>
              <w:top w:w="57" w:type="dxa"/>
              <w:left w:w="0" w:type="dxa"/>
              <w:bottom w:w="57" w:type="dxa"/>
              <w:right w:w="0" w:type="dxa"/>
            </w:tcMar>
            <w:vAlign w:val="bottom"/>
          </w:tcPr>
          <w:p w14:paraId="7919C0AD" w14:textId="77777777" w:rsidR="0040324C" w:rsidRPr="0040324C" w:rsidRDefault="0040324C" w:rsidP="001F2F92">
            <w:pPr>
              <w:spacing w:line="240" w:lineRule="atLeast"/>
              <w:jc w:val="right"/>
              <w:rPr>
                <w:rFonts w:ascii="Tahoma" w:hAnsi="Tahoma"/>
                <w:color w:val="000000" w:themeColor="text1"/>
                <w:sz w:val="16"/>
                <w:lang w:val="en-GB"/>
              </w:rPr>
            </w:pPr>
            <w:r w:rsidRPr="0040324C">
              <w:rPr>
                <w:rFonts w:ascii="Tahoma" w:hAnsi="Tahoma"/>
                <w:color w:val="000000" w:themeColor="text1"/>
                <w:sz w:val="16"/>
                <w:lang w:val="en-GB"/>
              </w:rPr>
              <w:t>313</w:t>
            </w:r>
          </w:p>
        </w:tc>
        <w:tc>
          <w:tcPr>
            <w:tcW w:w="1134" w:type="dxa"/>
            <w:shd w:val="clear" w:color="auto" w:fill="auto"/>
            <w:tcMar>
              <w:top w:w="57" w:type="dxa"/>
              <w:left w:w="0" w:type="dxa"/>
              <w:bottom w:w="57" w:type="dxa"/>
              <w:right w:w="0" w:type="dxa"/>
            </w:tcMar>
            <w:vAlign w:val="bottom"/>
          </w:tcPr>
          <w:p w14:paraId="6C01AF98" w14:textId="77777777" w:rsidR="0040324C" w:rsidRPr="0040324C" w:rsidRDefault="0040324C" w:rsidP="00FE4448">
            <w:pPr>
              <w:spacing w:line="240" w:lineRule="atLeast"/>
              <w:jc w:val="right"/>
              <w:rPr>
                <w:rFonts w:ascii="Tahoma" w:hAnsi="Tahoma"/>
                <w:color w:val="000000" w:themeColor="text1"/>
                <w:sz w:val="16"/>
                <w:lang w:val="en-GB"/>
              </w:rPr>
            </w:pPr>
            <w:r w:rsidRPr="0040324C">
              <w:rPr>
                <w:rFonts w:ascii="Tahoma" w:hAnsi="Tahoma"/>
                <w:color w:val="000000" w:themeColor="text1"/>
                <w:sz w:val="16"/>
                <w:lang w:val="en-GB"/>
              </w:rPr>
              <w:t>701</w:t>
            </w:r>
          </w:p>
        </w:tc>
      </w:tr>
      <w:tr w:rsidR="00615190" w:rsidRPr="0040324C" w14:paraId="118A5CEC" w14:textId="77777777" w:rsidTr="00F16638">
        <w:trPr>
          <w:trHeight w:val="60"/>
        </w:trPr>
        <w:tc>
          <w:tcPr>
            <w:tcW w:w="397" w:type="dxa"/>
            <w:shd w:val="clear" w:color="auto" w:fill="auto"/>
            <w:tcMar>
              <w:top w:w="57" w:type="dxa"/>
              <w:left w:w="0" w:type="dxa"/>
              <w:bottom w:w="57" w:type="dxa"/>
              <w:right w:w="0" w:type="dxa"/>
            </w:tcMar>
            <w:vAlign w:val="bottom"/>
          </w:tcPr>
          <w:p w14:paraId="62F7F54F" w14:textId="77777777" w:rsidR="0040324C" w:rsidRPr="0040324C" w:rsidRDefault="0040324C" w:rsidP="00615190">
            <w:pPr>
              <w:spacing w:line="240" w:lineRule="atLeast"/>
              <w:rPr>
                <w:rFonts w:ascii="Tahoma" w:hAnsi="Tahoma"/>
                <w:color w:val="000000" w:themeColor="text1"/>
                <w:sz w:val="16"/>
                <w:lang w:val="en-GB"/>
              </w:rPr>
            </w:pPr>
          </w:p>
        </w:tc>
        <w:tc>
          <w:tcPr>
            <w:tcW w:w="6407" w:type="dxa"/>
            <w:shd w:val="clear" w:color="auto" w:fill="auto"/>
            <w:tcMar>
              <w:top w:w="57" w:type="dxa"/>
              <w:left w:w="0" w:type="dxa"/>
              <w:bottom w:w="57" w:type="dxa"/>
              <w:right w:w="113" w:type="dxa"/>
            </w:tcMar>
            <w:vAlign w:val="bottom"/>
          </w:tcPr>
          <w:p w14:paraId="5D8AB582" w14:textId="77777777" w:rsidR="0040324C" w:rsidRPr="0040324C" w:rsidRDefault="0040324C" w:rsidP="00615190">
            <w:pPr>
              <w:spacing w:line="240" w:lineRule="atLeast"/>
              <w:rPr>
                <w:rFonts w:ascii="Tahoma" w:hAnsi="Tahoma"/>
                <w:color w:val="000000" w:themeColor="text1"/>
                <w:sz w:val="16"/>
                <w:lang w:val="en-GB"/>
              </w:rPr>
            </w:pPr>
            <w:r w:rsidRPr="0040324C">
              <w:rPr>
                <w:rFonts w:ascii="Tahoma" w:hAnsi="Tahoma"/>
                <w:color w:val="000000" w:themeColor="text1"/>
                <w:sz w:val="16"/>
                <w:lang w:val="en-GB"/>
              </w:rPr>
              <w:t>– Fair-value adjustments and currency translation differences</w:t>
            </w:r>
          </w:p>
        </w:tc>
        <w:tc>
          <w:tcPr>
            <w:tcW w:w="1134" w:type="dxa"/>
            <w:shd w:val="clear" w:color="auto" w:fill="auto"/>
            <w:tcMar>
              <w:top w:w="57" w:type="dxa"/>
              <w:left w:w="0" w:type="dxa"/>
              <w:bottom w:w="57" w:type="dxa"/>
              <w:right w:w="0" w:type="dxa"/>
            </w:tcMar>
            <w:vAlign w:val="bottom"/>
          </w:tcPr>
          <w:p w14:paraId="2D6225F4" w14:textId="77777777" w:rsidR="0040324C" w:rsidRPr="0040324C" w:rsidRDefault="0040324C" w:rsidP="001F2F92">
            <w:pPr>
              <w:spacing w:line="240" w:lineRule="atLeast"/>
              <w:jc w:val="right"/>
              <w:rPr>
                <w:rFonts w:ascii="Tahoma" w:hAnsi="Tahoma"/>
                <w:b/>
                <w:bCs/>
                <w:color w:val="000000" w:themeColor="text1"/>
                <w:sz w:val="16"/>
                <w:lang w:val="en-GB"/>
              </w:rPr>
            </w:pPr>
            <w:r w:rsidRPr="0040324C">
              <w:rPr>
                <w:rFonts w:ascii="Tahoma" w:hAnsi="Tahoma"/>
                <w:b/>
                <w:bCs/>
                <w:color w:val="000000" w:themeColor="text1"/>
                <w:sz w:val="16"/>
                <w:lang w:val="en-GB"/>
              </w:rPr>
              <w:t>(4)</w:t>
            </w:r>
          </w:p>
        </w:tc>
        <w:tc>
          <w:tcPr>
            <w:tcW w:w="1134" w:type="dxa"/>
            <w:shd w:val="clear" w:color="auto" w:fill="auto"/>
            <w:tcMar>
              <w:top w:w="57" w:type="dxa"/>
              <w:left w:w="0" w:type="dxa"/>
              <w:bottom w:w="57" w:type="dxa"/>
              <w:right w:w="0" w:type="dxa"/>
            </w:tcMar>
            <w:vAlign w:val="bottom"/>
          </w:tcPr>
          <w:p w14:paraId="2956C06F" w14:textId="77777777" w:rsidR="0040324C" w:rsidRPr="0040324C" w:rsidRDefault="0040324C" w:rsidP="001F2F92">
            <w:pPr>
              <w:spacing w:line="240" w:lineRule="atLeast"/>
              <w:jc w:val="right"/>
              <w:rPr>
                <w:rFonts w:ascii="Tahoma" w:hAnsi="Tahoma"/>
                <w:color w:val="000000" w:themeColor="text1"/>
                <w:sz w:val="16"/>
                <w:lang w:val="en-GB"/>
              </w:rPr>
            </w:pPr>
            <w:r w:rsidRPr="0040324C">
              <w:rPr>
                <w:rFonts w:ascii="Tahoma" w:hAnsi="Tahoma"/>
                <w:color w:val="000000" w:themeColor="text1"/>
                <w:sz w:val="16"/>
                <w:lang w:val="en-GB"/>
              </w:rPr>
              <w:t>(1 102)</w:t>
            </w:r>
          </w:p>
        </w:tc>
        <w:tc>
          <w:tcPr>
            <w:tcW w:w="1134" w:type="dxa"/>
            <w:shd w:val="clear" w:color="auto" w:fill="auto"/>
            <w:tcMar>
              <w:top w:w="57" w:type="dxa"/>
              <w:left w:w="0" w:type="dxa"/>
              <w:bottom w:w="57" w:type="dxa"/>
              <w:right w:w="0" w:type="dxa"/>
            </w:tcMar>
            <w:vAlign w:val="bottom"/>
          </w:tcPr>
          <w:p w14:paraId="00211E0C" w14:textId="77777777" w:rsidR="0040324C" w:rsidRPr="0040324C" w:rsidRDefault="0040324C" w:rsidP="00FE4448">
            <w:pPr>
              <w:spacing w:line="240" w:lineRule="atLeast"/>
              <w:jc w:val="right"/>
              <w:rPr>
                <w:rFonts w:ascii="Tahoma" w:hAnsi="Tahoma"/>
                <w:color w:val="000000" w:themeColor="text1"/>
                <w:sz w:val="16"/>
                <w:lang w:val="en-GB"/>
              </w:rPr>
            </w:pPr>
            <w:r w:rsidRPr="0040324C">
              <w:rPr>
                <w:rFonts w:ascii="Tahoma" w:hAnsi="Tahoma"/>
                <w:color w:val="000000" w:themeColor="text1"/>
                <w:sz w:val="16"/>
                <w:lang w:val="en-GB"/>
              </w:rPr>
              <w:t>(1 685)</w:t>
            </w:r>
          </w:p>
        </w:tc>
      </w:tr>
      <w:tr w:rsidR="00615190" w:rsidRPr="0040324C" w14:paraId="6128733D" w14:textId="77777777" w:rsidTr="00743676">
        <w:trPr>
          <w:trHeight w:val="60"/>
        </w:trPr>
        <w:tc>
          <w:tcPr>
            <w:tcW w:w="397" w:type="dxa"/>
            <w:shd w:val="clear" w:color="auto" w:fill="auto"/>
            <w:tcMar>
              <w:top w:w="57" w:type="dxa"/>
              <w:left w:w="0" w:type="dxa"/>
              <w:bottom w:w="57" w:type="dxa"/>
              <w:right w:w="0" w:type="dxa"/>
            </w:tcMar>
            <w:vAlign w:val="bottom"/>
          </w:tcPr>
          <w:p w14:paraId="041B83CF" w14:textId="77777777" w:rsidR="0040324C" w:rsidRPr="0040324C" w:rsidRDefault="0040324C" w:rsidP="00615190">
            <w:pPr>
              <w:spacing w:line="240" w:lineRule="atLeast"/>
              <w:rPr>
                <w:rFonts w:ascii="Tahoma" w:hAnsi="Tahoma"/>
                <w:color w:val="000000" w:themeColor="text1"/>
                <w:sz w:val="16"/>
                <w:lang w:val="en-GB"/>
              </w:rPr>
            </w:pPr>
          </w:p>
        </w:tc>
        <w:tc>
          <w:tcPr>
            <w:tcW w:w="6407" w:type="dxa"/>
            <w:shd w:val="clear" w:color="auto" w:fill="auto"/>
            <w:tcMar>
              <w:top w:w="57" w:type="dxa"/>
              <w:left w:w="0" w:type="dxa"/>
              <w:bottom w:w="57" w:type="dxa"/>
              <w:right w:w="113" w:type="dxa"/>
            </w:tcMar>
            <w:vAlign w:val="bottom"/>
          </w:tcPr>
          <w:p w14:paraId="2E9C5547" w14:textId="77777777" w:rsidR="0040324C" w:rsidRPr="0040324C" w:rsidRDefault="0040324C" w:rsidP="00615190">
            <w:pPr>
              <w:spacing w:line="240" w:lineRule="atLeast"/>
              <w:rPr>
                <w:rFonts w:ascii="Tahoma" w:hAnsi="Tahoma"/>
                <w:color w:val="000000" w:themeColor="text1"/>
                <w:sz w:val="16"/>
                <w:lang w:val="en-GB"/>
              </w:rPr>
            </w:pPr>
            <w:r w:rsidRPr="0040324C">
              <w:rPr>
                <w:rFonts w:ascii="Tahoma" w:hAnsi="Tahoma"/>
                <w:color w:val="000000" w:themeColor="text1"/>
                <w:sz w:val="16"/>
                <w:lang w:val="en-GB"/>
              </w:rPr>
              <w:t>– Retention option expense</w:t>
            </w:r>
          </w:p>
        </w:tc>
        <w:tc>
          <w:tcPr>
            <w:tcW w:w="1134" w:type="dxa"/>
            <w:shd w:val="clear" w:color="auto" w:fill="auto"/>
            <w:tcMar>
              <w:top w:w="57" w:type="dxa"/>
              <w:left w:w="0" w:type="dxa"/>
              <w:bottom w:w="57" w:type="dxa"/>
              <w:right w:w="0" w:type="dxa"/>
            </w:tcMar>
            <w:vAlign w:val="bottom"/>
          </w:tcPr>
          <w:p w14:paraId="3E804FDA" w14:textId="77777777" w:rsidR="0040324C" w:rsidRPr="0040324C" w:rsidRDefault="0040324C" w:rsidP="001F2F92">
            <w:pPr>
              <w:spacing w:line="240" w:lineRule="atLeast"/>
              <w:jc w:val="right"/>
              <w:rPr>
                <w:rFonts w:ascii="Tahoma" w:hAnsi="Tahoma"/>
                <w:b/>
                <w:bCs/>
                <w:color w:val="000000" w:themeColor="text1"/>
                <w:sz w:val="16"/>
                <w:lang w:val="en-GB"/>
              </w:rPr>
            </w:pPr>
            <w:r w:rsidRPr="0040324C">
              <w:rPr>
                <w:rFonts w:ascii="Tahoma" w:hAnsi="Tahoma"/>
                <w:b/>
                <w:bCs/>
                <w:color w:val="000000" w:themeColor="text1"/>
                <w:sz w:val="16"/>
                <w:lang w:val="en-GB"/>
              </w:rPr>
              <w:t>(13)</w:t>
            </w:r>
          </w:p>
        </w:tc>
        <w:tc>
          <w:tcPr>
            <w:tcW w:w="1134" w:type="dxa"/>
            <w:shd w:val="clear" w:color="auto" w:fill="auto"/>
            <w:tcMar>
              <w:top w:w="57" w:type="dxa"/>
              <w:left w:w="0" w:type="dxa"/>
              <w:bottom w:w="57" w:type="dxa"/>
              <w:right w:w="0" w:type="dxa"/>
            </w:tcMar>
            <w:vAlign w:val="bottom"/>
          </w:tcPr>
          <w:p w14:paraId="5B84400D" w14:textId="77777777" w:rsidR="0040324C" w:rsidRPr="0040324C" w:rsidRDefault="0040324C" w:rsidP="001F2F92">
            <w:pPr>
              <w:spacing w:line="240" w:lineRule="atLeast"/>
              <w:jc w:val="right"/>
              <w:rPr>
                <w:rFonts w:ascii="Tahoma" w:hAnsi="Tahoma"/>
                <w:color w:val="000000" w:themeColor="text1"/>
                <w:sz w:val="16"/>
                <w:lang w:val="en-GB"/>
              </w:rPr>
            </w:pPr>
            <w:r w:rsidRPr="0040324C">
              <w:rPr>
                <w:rFonts w:ascii="Tahoma" w:hAnsi="Tahoma"/>
                <w:color w:val="000000" w:themeColor="text1"/>
                <w:sz w:val="16"/>
                <w:lang w:val="en-GB"/>
              </w:rPr>
              <w:t>1</w:t>
            </w:r>
          </w:p>
        </w:tc>
        <w:tc>
          <w:tcPr>
            <w:tcW w:w="1134" w:type="dxa"/>
            <w:shd w:val="clear" w:color="auto" w:fill="auto"/>
            <w:tcMar>
              <w:top w:w="57" w:type="dxa"/>
              <w:left w:w="0" w:type="dxa"/>
              <w:bottom w:w="57" w:type="dxa"/>
              <w:right w:w="0" w:type="dxa"/>
            </w:tcMar>
            <w:vAlign w:val="bottom"/>
          </w:tcPr>
          <w:p w14:paraId="7B9A151A" w14:textId="77777777" w:rsidR="0040324C" w:rsidRPr="0040324C" w:rsidRDefault="0040324C" w:rsidP="00FE4448">
            <w:pPr>
              <w:spacing w:line="240" w:lineRule="atLeast"/>
              <w:jc w:val="right"/>
              <w:rPr>
                <w:rFonts w:ascii="Tahoma" w:hAnsi="Tahoma"/>
                <w:color w:val="000000" w:themeColor="text1"/>
                <w:sz w:val="16"/>
                <w:lang w:val="en-GB"/>
              </w:rPr>
            </w:pPr>
            <w:r w:rsidRPr="0040324C">
              <w:rPr>
                <w:rFonts w:ascii="Tahoma" w:hAnsi="Tahoma"/>
                <w:color w:val="000000" w:themeColor="text1"/>
                <w:sz w:val="16"/>
                <w:lang w:val="en-GB"/>
              </w:rPr>
              <w:t>13</w:t>
            </w:r>
          </w:p>
        </w:tc>
      </w:tr>
      <w:tr w:rsidR="00615190" w:rsidRPr="0040324C" w14:paraId="4C6EA674" w14:textId="77777777" w:rsidTr="00743676">
        <w:trPr>
          <w:trHeight w:val="60"/>
        </w:trPr>
        <w:tc>
          <w:tcPr>
            <w:tcW w:w="397" w:type="dxa"/>
            <w:shd w:val="clear" w:color="auto" w:fill="auto"/>
            <w:tcMar>
              <w:top w:w="57" w:type="dxa"/>
              <w:left w:w="0" w:type="dxa"/>
              <w:bottom w:w="85" w:type="dxa"/>
              <w:right w:w="0" w:type="dxa"/>
            </w:tcMar>
            <w:vAlign w:val="bottom"/>
          </w:tcPr>
          <w:p w14:paraId="67D9E178" w14:textId="77777777" w:rsidR="0040324C" w:rsidRPr="0040324C" w:rsidRDefault="0040324C" w:rsidP="00615190">
            <w:pPr>
              <w:spacing w:line="240" w:lineRule="atLeast"/>
              <w:rPr>
                <w:rFonts w:ascii="Tahoma" w:hAnsi="Tahoma"/>
                <w:color w:val="000000" w:themeColor="text1"/>
                <w:sz w:val="16"/>
                <w:lang w:val="en-GB"/>
              </w:rPr>
            </w:pPr>
          </w:p>
        </w:tc>
        <w:tc>
          <w:tcPr>
            <w:tcW w:w="6407" w:type="dxa"/>
            <w:tcBorders>
              <w:bottom w:val="single" w:sz="4" w:space="0" w:color="auto"/>
            </w:tcBorders>
            <w:shd w:val="clear" w:color="auto" w:fill="auto"/>
            <w:tcMar>
              <w:top w:w="57" w:type="dxa"/>
              <w:left w:w="0" w:type="dxa"/>
              <w:bottom w:w="85" w:type="dxa"/>
              <w:right w:w="113" w:type="dxa"/>
            </w:tcMar>
            <w:vAlign w:val="bottom"/>
          </w:tcPr>
          <w:p w14:paraId="2CABB188" w14:textId="77777777" w:rsidR="0040324C" w:rsidRPr="0040324C" w:rsidRDefault="0040324C" w:rsidP="00615190">
            <w:pPr>
              <w:spacing w:line="240" w:lineRule="atLeast"/>
              <w:rPr>
                <w:rFonts w:ascii="Tahoma" w:hAnsi="Tahoma"/>
                <w:color w:val="000000" w:themeColor="text1"/>
                <w:sz w:val="16"/>
                <w:lang w:val="en-GB"/>
              </w:rPr>
            </w:pPr>
            <w:r w:rsidRPr="0040324C">
              <w:rPr>
                <w:rFonts w:ascii="Tahoma" w:hAnsi="Tahoma"/>
                <w:color w:val="000000" w:themeColor="text1"/>
                <w:sz w:val="16"/>
                <w:lang w:val="en-GB"/>
              </w:rPr>
              <w:t>– Transaction-related costs</w:t>
            </w:r>
          </w:p>
        </w:tc>
        <w:tc>
          <w:tcPr>
            <w:tcW w:w="1134" w:type="dxa"/>
            <w:tcBorders>
              <w:bottom w:val="single" w:sz="4" w:space="0" w:color="auto"/>
            </w:tcBorders>
            <w:shd w:val="clear" w:color="auto" w:fill="auto"/>
            <w:tcMar>
              <w:top w:w="57" w:type="dxa"/>
              <w:left w:w="0" w:type="dxa"/>
              <w:bottom w:w="85" w:type="dxa"/>
              <w:right w:w="0" w:type="dxa"/>
            </w:tcMar>
            <w:vAlign w:val="bottom"/>
          </w:tcPr>
          <w:p w14:paraId="51C66853" w14:textId="77777777" w:rsidR="0040324C" w:rsidRPr="0040324C" w:rsidRDefault="0040324C" w:rsidP="001F2F92">
            <w:pPr>
              <w:spacing w:line="240" w:lineRule="atLeast"/>
              <w:jc w:val="right"/>
              <w:rPr>
                <w:rFonts w:ascii="Tahoma" w:hAnsi="Tahoma"/>
                <w:b/>
                <w:bCs/>
                <w:color w:val="000000" w:themeColor="text1"/>
                <w:sz w:val="16"/>
                <w:lang w:val="en-GB"/>
              </w:rPr>
            </w:pPr>
            <w:r w:rsidRPr="0040324C">
              <w:rPr>
                <w:rFonts w:ascii="Tahoma" w:hAnsi="Tahoma"/>
                <w:b/>
                <w:bCs/>
                <w:color w:val="000000" w:themeColor="text1"/>
                <w:sz w:val="16"/>
                <w:lang w:val="en-GB"/>
              </w:rPr>
              <w:t>11</w:t>
            </w:r>
          </w:p>
        </w:tc>
        <w:tc>
          <w:tcPr>
            <w:tcW w:w="1134" w:type="dxa"/>
            <w:tcBorders>
              <w:bottom w:val="single" w:sz="4" w:space="0" w:color="auto"/>
            </w:tcBorders>
            <w:shd w:val="clear" w:color="auto" w:fill="auto"/>
            <w:tcMar>
              <w:top w:w="57" w:type="dxa"/>
              <w:left w:w="0" w:type="dxa"/>
              <w:bottom w:w="85" w:type="dxa"/>
              <w:right w:w="0" w:type="dxa"/>
            </w:tcMar>
            <w:vAlign w:val="bottom"/>
          </w:tcPr>
          <w:p w14:paraId="439D21A7" w14:textId="77777777" w:rsidR="0040324C" w:rsidRPr="0040324C" w:rsidRDefault="0040324C" w:rsidP="001F2F92">
            <w:pPr>
              <w:spacing w:line="240" w:lineRule="atLeast"/>
              <w:jc w:val="right"/>
              <w:rPr>
                <w:rFonts w:ascii="Tahoma" w:hAnsi="Tahoma"/>
                <w:color w:val="000000" w:themeColor="text1"/>
                <w:sz w:val="16"/>
                <w:lang w:val="en-GB"/>
              </w:rPr>
            </w:pPr>
            <w:r w:rsidRPr="0040324C">
              <w:rPr>
                <w:rFonts w:ascii="Tahoma" w:hAnsi="Tahoma"/>
                <w:color w:val="000000" w:themeColor="text1"/>
                <w:sz w:val="16"/>
                <w:lang w:val="en-GB"/>
              </w:rPr>
              <w:t>34</w:t>
            </w:r>
          </w:p>
        </w:tc>
        <w:tc>
          <w:tcPr>
            <w:tcW w:w="1134" w:type="dxa"/>
            <w:tcBorders>
              <w:bottom w:val="single" w:sz="4" w:space="0" w:color="auto"/>
            </w:tcBorders>
            <w:shd w:val="clear" w:color="auto" w:fill="auto"/>
            <w:tcMar>
              <w:top w:w="57" w:type="dxa"/>
              <w:left w:w="0" w:type="dxa"/>
              <w:bottom w:w="85" w:type="dxa"/>
              <w:right w:w="0" w:type="dxa"/>
            </w:tcMar>
            <w:vAlign w:val="bottom"/>
          </w:tcPr>
          <w:p w14:paraId="7E20D3EA" w14:textId="77777777" w:rsidR="0040324C" w:rsidRPr="0040324C" w:rsidRDefault="0040324C" w:rsidP="00FE4448">
            <w:pPr>
              <w:spacing w:line="240" w:lineRule="atLeast"/>
              <w:jc w:val="right"/>
              <w:rPr>
                <w:rFonts w:ascii="Tahoma" w:hAnsi="Tahoma"/>
                <w:color w:val="000000" w:themeColor="text1"/>
                <w:sz w:val="16"/>
                <w:lang w:val="en-GB"/>
              </w:rPr>
            </w:pPr>
            <w:r w:rsidRPr="0040324C">
              <w:rPr>
                <w:rFonts w:ascii="Tahoma" w:hAnsi="Tahoma"/>
                <w:color w:val="000000" w:themeColor="text1"/>
                <w:sz w:val="16"/>
                <w:lang w:val="en-GB"/>
              </w:rPr>
              <w:t>46</w:t>
            </w:r>
          </w:p>
        </w:tc>
      </w:tr>
      <w:tr w:rsidR="00615190" w:rsidRPr="0040324C" w14:paraId="613CD07C" w14:textId="77777777" w:rsidTr="00743676">
        <w:trPr>
          <w:trHeight w:val="60"/>
        </w:trPr>
        <w:tc>
          <w:tcPr>
            <w:tcW w:w="397" w:type="dxa"/>
            <w:shd w:val="clear" w:color="auto" w:fill="auto"/>
            <w:tcMar>
              <w:top w:w="85" w:type="dxa"/>
              <w:left w:w="0" w:type="dxa"/>
              <w:bottom w:w="85" w:type="dxa"/>
              <w:right w:w="0" w:type="dxa"/>
            </w:tcMar>
            <w:vAlign w:val="bottom"/>
          </w:tcPr>
          <w:p w14:paraId="4BF48017" w14:textId="77777777" w:rsidR="0040324C" w:rsidRPr="0040324C" w:rsidRDefault="0040324C" w:rsidP="00615190">
            <w:pPr>
              <w:spacing w:line="240" w:lineRule="atLeast"/>
              <w:rPr>
                <w:rFonts w:ascii="Tahoma" w:hAnsi="Tahoma"/>
                <w:color w:val="000000" w:themeColor="text1"/>
                <w:sz w:val="16"/>
                <w:lang w:val="en-GB"/>
              </w:rPr>
            </w:pPr>
          </w:p>
        </w:tc>
        <w:tc>
          <w:tcPr>
            <w:tcW w:w="6407" w:type="dxa"/>
            <w:tcBorders>
              <w:top w:val="single" w:sz="4" w:space="0" w:color="auto"/>
              <w:bottom w:val="single" w:sz="12" w:space="0" w:color="auto"/>
            </w:tcBorders>
            <w:shd w:val="clear" w:color="auto" w:fill="auto"/>
            <w:tcMar>
              <w:top w:w="85" w:type="dxa"/>
              <w:left w:w="0" w:type="dxa"/>
              <w:bottom w:w="85" w:type="dxa"/>
              <w:right w:w="113" w:type="dxa"/>
            </w:tcMar>
            <w:vAlign w:val="bottom"/>
          </w:tcPr>
          <w:p w14:paraId="7DE2C4EC" w14:textId="77777777" w:rsidR="0040324C" w:rsidRPr="0040324C" w:rsidRDefault="0040324C" w:rsidP="00615190">
            <w:pPr>
              <w:spacing w:line="240" w:lineRule="atLeast"/>
              <w:rPr>
                <w:rFonts w:ascii="Tahoma" w:hAnsi="Tahoma"/>
                <w:b/>
                <w:bCs/>
                <w:color w:val="000000" w:themeColor="text1"/>
                <w:sz w:val="16"/>
                <w:lang w:val="en-GB"/>
              </w:rPr>
            </w:pPr>
            <w:r w:rsidRPr="0040324C">
              <w:rPr>
                <w:rFonts w:ascii="Tahoma" w:hAnsi="Tahoma"/>
                <w:b/>
                <w:bCs/>
                <w:color w:val="000000" w:themeColor="text1"/>
                <w:sz w:val="16"/>
                <w:lang w:val="en-GB"/>
              </w:rPr>
              <w:t>Core headline earnings from continuing operations</w:t>
            </w:r>
          </w:p>
        </w:tc>
        <w:tc>
          <w:tcPr>
            <w:tcW w:w="1134"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7FA99861" w14:textId="77777777" w:rsidR="0040324C" w:rsidRPr="0040324C" w:rsidRDefault="0040324C" w:rsidP="001F2F92">
            <w:pPr>
              <w:spacing w:line="240" w:lineRule="atLeast"/>
              <w:jc w:val="right"/>
              <w:rPr>
                <w:rFonts w:ascii="Tahoma" w:hAnsi="Tahoma"/>
                <w:b/>
                <w:bCs/>
                <w:color w:val="000000" w:themeColor="text1"/>
                <w:sz w:val="16"/>
                <w:lang w:val="en-GB"/>
              </w:rPr>
            </w:pPr>
            <w:r w:rsidRPr="0040324C">
              <w:rPr>
                <w:rFonts w:ascii="Tahoma" w:hAnsi="Tahoma"/>
                <w:b/>
                <w:bCs/>
                <w:color w:val="000000" w:themeColor="text1"/>
                <w:sz w:val="16"/>
                <w:lang w:val="en-GB"/>
              </w:rPr>
              <w:t>897</w:t>
            </w:r>
          </w:p>
        </w:tc>
        <w:tc>
          <w:tcPr>
            <w:tcW w:w="1134"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2847AAD0" w14:textId="77777777" w:rsidR="0040324C" w:rsidRPr="0040324C" w:rsidRDefault="0040324C" w:rsidP="001F2F92">
            <w:pPr>
              <w:spacing w:line="240" w:lineRule="atLeast"/>
              <w:jc w:val="right"/>
              <w:rPr>
                <w:rFonts w:ascii="Tahoma" w:hAnsi="Tahoma"/>
                <w:color w:val="000000" w:themeColor="text1"/>
                <w:sz w:val="16"/>
                <w:lang w:val="en-GB"/>
              </w:rPr>
            </w:pPr>
            <w:r w:rsidRPr="0040324C">
              <w:rPr>
                <w:rFonts w:ascii="Tahoma" w:hAnsi="Tahoma"/>
                <w:color w:val="000000" w:themeColor="text1"/>
                <w:sz w:val="16"/>
                <w:lang w:val="en-GB"/>
              </w:rPr>
              <w:t>2 215</w:t>
            </w:r>
          </w:p>
        </w:tc>
        <w:tc>
          <w:tcPr>
            <w:tcW w:w="1134"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6070C4DA" w14:textId="77777777" w:rsidR="0040324C" w:rsidRPr="0040324C" w:rsidRDefault="0040324C" w:rsidP="00FE4448">
            <w:pPr>
              <w:spacing w:line="240" w:lineRule="atLeast"/>
              <w:jc w:val="right"/>
              <w:rPr>
                <w:rFonts w:ascii="Tahoma" w:hAnsi="Tahoma"/>
                <w:color w:val="000000" w:themeColor="text1"/>
                <w:sz w:val="16"/>
                <w:lang w:val="en-GB"/>
              </w:rPr>
            </w:pPr>
            <w:r w:rsidRPr="0040324C">
              <w:rPr>
                <w:rFonts w:ascii="Tahoma" w:hAnsi="Tahoma"/>
                <w:color w:val="000000" w:themeColor="text1"/>
                <w:sz w:val="16"/>
                <w:lang w:val="en-GB"/>
              </w:rPr>
              <w:t>3 545</w:t>
            </w:r>
          </w:p>
        </w:tc>
      </w:tr>
      <w:tr w:rsidR="00615190" w:rsidRPr="0040324C" w14:paraId="51BCFAE0" w14:textId="77777777" w:rsidTr="00F70D96">
        <w:trPr>
          <w:trHeight w:val="60"/>
        </w:trPr>
        <w:tc>
          <w:tcPr>
            <w:tcW w:w="397" w:type="dxa"/>
            <w:shd w:val="clear" w:color="auto" w:fill="auto"/>
            <w:tcMar>
              <w:top w:w="85" w:type="dxa"/>
              <w:left w:w="0" w:type="dxa"/>
              <w:bottom w:w="57" w:type="dxa"/>
              <w:right w:w="0" w:type="dxa"/>
            </w:tcMar>
            <w:vAlign w:val="bottom"/>
          </w:tcPr>
          <w:p w14:paraId="75171776" w14:textId="77777777" w:rsidR="0040324C" w:rsidRPr="0040324C" w:rsidRDefault="0040324C" w:rsidP="00615190">
            <w:pPr>
              <w:spacing w:line="240" w:lineRule="atLeast"/>
              <w:rPr>
                <w:rFonts w:ascii="Tahoma" w:hAnsi="Tahoma"/>
                <w:color w:val="000000" w:themeColor="text1"/>
                <w:sz w:val="16"/>
                <w:lang w:val="en-GB"/>
              </w:rPr>
            </w:pPr>
          </w:p>
        </w:tc>
        <w:tc>
          <w:tcPr>
            <w:tcW w:w="6407" w:type="dxa"/>
            <w:tcBorders>
              <w:top w:val="single" w:sz="12" w:space="0" w:color="auto"/>
            </w:tcBorders>
            <w:shd w:val="clear" w:color="auto" w:fill="auto"/>
            <w:tcMar>
              <w:top w:w="85" w:type="dxa"/>
              <w:left w:w="0" w:type="dxa"/>
              <w:bottom w:w="57" w:type="dxa"/>
              <w:right w:w="113" w:type="dxa"/>
            </w:tcMar>
            <w:vAlign w:val="bottom"/>
          </w:tcPr>
          <w:p w14:paraId="11EBF1B9" w14:textId="77777777" w:rsidR="0040324C" w:rsidRPr="0040324C" w:rsidRDefault="0040324C" w:rsidP="00615190">
            <w:pPr>
              <w:spacing w:line="240" w:lineRule="atLeast"/>
              <w:rPr>
                <w:rFonts w:ascii="Tahoma" w:hAnsi="Tahoma"/>
                <w:b/>
                <w:bCs/>
                <w:color w:val="000000" w:themeColor="text1"/>
                <w:sz w:val="16"/>
                <w:lang w:val="en-GB"/>
              </w:rPr>
            </w:pPr>
            <w:r w:rsidRPr="0040324C">
              <w:rPr>
                <w:rFonts w:ascii="Tahoma" w:hAnsi="Tahoma"/>
                <w:b/>
                <w:bCs/>
                <w:color w:val="000000" w:themeColor="text1"/>
                <w:sz w:val="16"/>
                <w:lang w:val="en-GB"/>
              </w:rPr>
              <w:t>Per share information for the period</w:t>
            </w:r>
          </w:p>
        </w:tc>
        <w:tc>
          <w:tcPr>
            <w:tcW w:w="1134" w:type="dxa"/>
            <w:tcBorders>
              <w:top w:val="single" w:sz="12" w:space="0" w:color="auto"/>
            </w:tcBorders>
            <w:shd w:val="clear" w:color="auto" w:fill="auto"/>
            <w:tcMar>
              <w:top w:w="85" w:type="dxa"/>
              <w:left w:w="0" w:type="dxa"/>
              <w:bottom w:w="57" w:type="dxa"/>
              <w:right w:w="0" w:type="dxa"/>
            </w:tcMar>
            <w:vAlign w:val="bottom"/>
          </w:tcPr>
          <w:p w14:paraId="23A4F065" w14:textId="77777777" w:rsidR="0040324C" w:rsidRPr="0040324C" w:rsidRDefault="0040324C" w:rsidP="001F2F92">
            <w:pPr>
              <w:spacing w:line="240" w:lineRule="atLeast"/>
              <w:jc w:val="right"/>
              <w:rPr>
                <w:rFonts w:ascii="Tahoma" w:hAnsi="Tahoma"/>
                <w:b/>
                <w:bCs/>
                <w:color w:val="000000" w:themeColor="text1"/>
                <w:sz w:val="16"/>
                <w:lang w:val="en-GB"/>
              </w:rPr>
            </w:pPr>
          </w:p>
        </w:tc>
        <w:tc>
          <w:tcPr>
            <w:tcW w:w="1134" w:type="dxa"/>
            <w:tcBorders>
              <w:top w:val="single" w:sz="12" w:space="0" w:color="auto"/>
            </w:tcBorders>
            <w:shd w:val="clear" w:color="auto" w:fill="auto"/>
            <w:tcMar>
              <w:top w:w="85" w:type="dxa"/>
              <w:left w:w="0" w:type="dxa"/>
              <w:bottom w:w="57" w:type="dxa"/>
              <w:right w:w="0" w:type="dxa"/>
            </w:tcMar>
            <w:vAlign w:val="bottom"/>
          </w:tcPr>
          <w:p w14:paraId="09A71049" w14:textId="77777777" w:rsidR="0040324C" w:rsidRPr="0040324C" w:rsidRDefault="0040324C" w:rsidP="001F2F92">
            <w:pPr>
              <w:spacing w:line="240" w:lineRule="atLeast"/>
              <w:jc w:val="right"/>
              <w:rPr>
                <w:rFonts w:ascii="Tahoma" w:hAnsi="Tahoma"/>
                <w:color w:val="000000" w:themeColor="text1"/>
                <w:sz w:val="16"/>
                <w:lang w:val="en-GB"/>
              </w:rPr>
            </w:pPr>
          </w:p>
        </w:tc>
        <w:tc>
          <w:tcPr>
            <w:tcW w:w="1134" w:type="dxa"/>
            <w:tcBorders>
              <w:top w:val="single" w:sz="12" w:space="0" w:color="auto"/>
            </w:tcBorders>
            <w:shd w:val="clear" w:color="auto" w:fill="auto"/>
            <w:tcMar>
              <w:top w:w="85" w:type="dxa"/>
              <w:left w:w="0" w:type="dxa"/>
              <w:bottom w:w="57" w:type="dxa"/>
              <w:right w:w="0" w:type="dxa"/>
            </w:tcMar>
            <w:vAlign w:val="bottom"/>
          </w:tcPr>
          <w:p w14:paraId="69287FD5" w14:textId="77777777" w:rsidR="0040324C" w:rsidRPr="0040324C" w:rsidRDefault="0040324C" w:rsidP="00FE4448">
            <w:pPr>
              <w:spacing w:line="240" w:lineRule="atLeast"/>
              <w:jc w:val="right"/>
              <w:rPr>
                <w:rFonts w:ascii="Tahoma" w:hAnsi="Tahoma"/>
                <w:color w:val="000000" w:themeColor="text1"/>
                <w:sz w:val="16"/>
                <w:lang w:val="en-GB"/>
              </w:rPr>
            </w:pPr>
          </w:p>
        </w:tc>
      </w:tr>
      <w:tr w:rsidR="00615190" w:rsidRPr="0040324C" w14:paraId="203A1C2D" w14:textId="77777777" w:rsidTr="00C273BC">
        <w:trPr>
          <w:trHeight w:val="60"/>
        </w:trPr>
        <w:tc>
          <w:tcPr>
            <w:tcW w:w="397" w:type="dxa"/>
            <w:shd w:val="clear" w:color="auto" w:fill="auto"/>
            <w:tcMar>
              <w:top w:w="57" w:type="dxa"/>
              <w:left w:w="0" w:type="dxa"/>
              <w:bottom w:w="57" w:type="dxa"/>
              <w:right w:w="0" w:type="dxa"/>
            </w:tcMar>
            <w:vAlign w:val="bottom"/>
          </w:tcPr>
          <w:p w14:paraId="59F13DD0" w14:textId="77777777" w:rsidR="0040324C" w:rsidRPr="0040324C" w:rsidRDefault="0040324C" w:rsidP="00615190">
            <w:pPr>
              <w:spacing w:line="240" w:lineRule="atLeast"/>
              <w:rPr>
                <w:rFonts w:ascii="Tahoma" w:hAnsi="Tahoma"/>
                <w:color w:val="000000" w:themeColor="text1"/>
                <w:sz w:val="16"/>
                <w:lang w:val="en-GB"/>
              </w:rPr>
            </w:pPr>
          </w:p>
        </w:tc>
        <w:tc>
          <w:tcPr>
            <w:tcW w:w="6407" w:type="dxa"/>
            <w:shd w:val="clear" w:color="auto" w:fill="auto"/>
            <w:tcMar>
              <w:top w:w="57" w:type="dxa"/>
              <w:left w:w="0" w:type="dxa"/>
              <w:bottom w:w="57" w:type="dxa"/>
              <w:right w:w="113" w:type="dxa"/>
            </w:tcMar>
            <w:vAlign w:val="bottom"/>
          </w:tcPr>
          <w:p w14:paraId="16DD379F" w14:textId="77777777" w:rsidR="0040324C" w:rsidRPr="0040324C" w:rsidRDefault="0040324C" w:rsidP="00615190">
            <w:pPr>
              <w:spacing w:line="240" w:lineRule="atLeast"/>
              <w:rPr>
                <w:rFonts w:ascii="Tahoma" w:hAnsi="Tahoma"/>
                <w:color w:val="000000" w:themeColor="text1"/>
                <w:sz w:val="16"/>
                <w:lang w:val="en-GB"/>
              </w:rPr>
            </w:pPr>
            <w:r w:rsidRPr="0040324C">
              <w:rPr>
                <w:rFonts w:ascii="Tahoma" w:hAnsi="Tahoma"/>
                <w:color w:val="000000" w:themeColor="text1"/>
                <w:sz w:val="16"/>
                <w:lang w:val="en-GB"/>
              </w:rPr>
              <w:t>Core headline earnings per ordinary share N (US cents)</w:t>
            </w:r>
          </w:p>
        </w:tc>
        <w:tc>
          <w:tcPr>
            <w:tcW w:w="1134" w:type="dxa"/>
            <w:shd w:val="clear" w:color="auto" w:fill="auto"/>
            <w:tcMar>
              <w:top w:w="57" w:type="dxa"/>
              <w:left w:w="0" w:type="dxa"/>
              <w:bottom w:w="57" w:type="dxa"/>
              <w:right w:w="0" w:type="dxa"/>
            </w:tcMar>
            <w:vAlign w:val="bottom"/>
          </w:tcPr>
          <w:p w14:paraId="3FAB872F" w14:textId="77777777" w:rsidR="0040324C" w:rsidRPr="0040324C" w:rsidRDefault="0040324C" w:rsidP="001F2F92">
            <w:pPr>
              <w:spacing w:line="240" w:lineRule="atLeast"/>
              <w:jc w:val="right"/>
              <w:rPr>
                <w:rFonts w:ascii="Tahoma" w:hAnsi="Tahoma"/>
                <w:b/>
                <w:bCs/>
                <w:color w:val="000000" w:themeColor="text1"/>
                <w:sz w:val="16"/>
                <w:lang w:val="en-GB"/>
              </w:rPr>
            </w:pPr>
            <w:r w:rsidRPr="0040324C">
              <w:rPr>
                <w:rFonts w:ascii="Tahoma" w:hAnsi="Tahoma"/>
                <w:b/>
                <w:bCs/>
                <w:color w:val="000000" w:themeColor="text1"/>
                <w:sz w:val="16"/>
                <w:lang w:val="en-GB"/>
              </w:rPr>
              <w:t>64</w:t>
            </w:r>
          </w:p>
        </w:tc>
        <w:tc>
          <w:tcPr>
            <w:tcW w:w="1134" w:type="dxa"/>
            <w:shd w:val="clear" w:color="auto" w:fill="auto"/>
            <w:tcMar>
              <w:top w:w="57" w:type="dxa"/>
              <w:left w:w="0" w:type="dxa"/>
              <w:bottom w:w="57" w:type="dxa"/>
              <w:right w:w="0" w:type="dxa"/>
            </w:tcMar>
            <w:vAlign w:val="bottom"/>
          </w:tcPr>
          <w:p w14:paraId="326DE74C" w14:textId="77777777" w:rsidR="0040324C" w:rsidRPr="0040324C" w:rsidRDefault="0040324C" w:rsidP="001F2F92">
            <w:pPr>
              <w:spacing w:line="240" w:lineRule="atLeast"/>
              <w:jc w:val="right"/>
              <w:rPr>
                <w:rFonts w:ascii="Tahoma" w:hAnsi="Tahoma"/>
                <w:color w:val="000000" w:themeColor="text1"/>
                <w:sz w:val="16"/>
                <w:lang w:val="en-GB"/>
              </w:rPr>
            </w:pPr>
            <w:r w:rsidRPr="0040324C">
              <w:rPr>
                <w:rFonts w:ascii="Tahoma" w:hAnsi="Tahoma"/>
                <w:color w:val="000000" w:themeColor="text1"/>
                <w:sz w:val="16"/>
                <w:lang w:val="en-GB"/>
              </w:rPr>
              <w:t>140</w:t>
            </w:r>
          </w:p>
        </w:tc>
        <w:tc>
          <w:tcPr>
            <w:tcW w:w="1134" w:type="dxa"/>
            <w:shd w:val="clear" w:color="auto" w:fill="auto"/>
            <w:tcMar>
              <w:top w:w="57" w:type="dxa"/>
              <w:left w:w="0" w:type="dxa"/>
              <w:bottom w:w="57" w:type="dxa"/>
              <w:right w:w="0" w:type="dxa"/>
            </w:tcMar>
            <w:vAlign w:val="bottom"/>
          </w:tcPr>
          <w:p w14:paraId="3D4F248D" w14:textId="77777777" w:rsidR="0040324C" w:rsidRPr="0040324C" w:rsidRDefault="0040324C" w:rsidP="00FE4448">
            <w:pPr>
              <w:spacing w:line="240" w:lineRule="atLeast"/>
              <w:jc w:val="right"/>
              <w:rPr>
                <w:rFonts w:ascii="Tahoma" w:hAnsi="Tahoma"/>
                <w:color w:val="000000" w:themeColor="text1"/>
                <w:sz w:val="16"/>
                <w:lang w:val="en-GB"/>
              </w:rPr>
            </w:pPr>
            <w:r w:rsidRPr="0040324C">
              <w:rPr>
                <w:rFonts w:ascii="Tahoma" w:hAnsi="Tahoma"/>
                <w:color w:val="000000" w:themeColor="text1"/>
                <w:sz w:val="16"/>
                <w:lang w:val="en-GB"/>
              </w:rPr>
              <w:t>235</w:t>
            </w:r>
          </w:p>
        </w:tc>
      </w:tr>
      <w:tr w:rsidR="00615190" w:rsidRPr="0040324C" w14:paraId="228145BB" w14:textId="77777777" w:rsidTr="00C273BC">
        <w:trPr>
          <w:trHeight w:val="60"/>
        </w:trPr>
        <w:tc>
          <w:tcPr>
            <w:tcW w:w="397" w:type="dxa"/>
            <w:shd w:val="clear" w:color="auto" w:fill="auto"/>
            <w:tcMar>
              <w:top w:w="57" w:type="dxa"/>
              <w:left w:w="0" w:type="dxa"/>
              <w:bottom w:w="85" w:type="dxa"/>
              <w:right w:w="0" w:type="dxa"/>
            </w:tcMar>
            <w:vAlign w:val="bottom"/>
          </w:tcPr>
          <w:p w14:paraId="7057B3DA" w14:textId="77777777" w:rsidR="0040324C" w:rsidRPr="0040324C" w:rsidRDefault="0040324C" w:rsidP="00615190">
            <w:pPr>
              <w:spacing w:line="240" w:lineRule="atLeast"/>
              <w:rPr>
                <w:rFonts w:ascii="Tahoma" w:hAnsi="Tahoma"/>
                <w:color w:val="000000" w:themeColor="text1"/>
                <w:sz w:val="16"/>
                <w:lang w:val="en-GB"/>
              </w:rPr>
            </w:pPr>
          </w:p>
        </w:tc>
        <w:tc>
          <w:tcPr>
            <w:tcW w:w="6407" w:type="dxa"/>
            <w:tcBorders>
              <w:bottom w:val="single" w:sz="12" w:space="0" w:color="auto"/>
            </w:tcBorders>
            <w:shd w:val="clear" w:color="auto" w:fill="auto"/>
            <w:tcMar>
              <w:top w:w="57" w:type="dxa"/>
              <w:left w:w="0" w:type="dxa"/>
              <w:bottom w:w="85" w:type="dxa"/>
              <w:right w:w="113" w:type="dxa"/>
            </w:tcMar>
            <w:vAlign w:val="bottom"/>
          </w:tcPr>
          <w:p w14:paraId="6F9B934D" w14:textId="77777777" w:rsidR="0040324C" w:rsidRPr="0040324C" w:rsidRDefault="0040324C" w:rsidP="00615190">
            <w:pPr>
              <w:spacing w:line="240" w:lineRule="atLeast"/>
              <w:rPr>
                <w:rFonts w:ascii="Tahoma" w:hAnsi="Tahoma"/>
                <w:color w:val="000000" w:themeColor="text1"/>
                <w:sz w:val="16"/>
                <w:lang w:val="en-GB"/>
              </w:rPr>
            </w:pPr>
            <w:r w:rsidRPr="0040324C">
              <w:rPr>
                <w:rFonts w:ascii="Tahoma" w:hAnsi="Tahoma"/>
                <w:color w:val="000000" w:themeColor="text1"/>
                <w:sz w:val="16"/>
                <w:lang w:val="en-GB"/>
              </w:rPr>
              <w:t>Diluted core headline earnings per ordinary share N (US cents)</w:t>
            </w:r>
            <w:r w:rsidRPr="0040324C">
              <w:rPr>
                <w:rFonts w:ascii="Tahoma" w:hAnsi="Tahoma"/>
                <w:color w:val="000000" w:themeColor="text1"/>
                <w:sz w:val="16"/>
                <w:vertAlign w:val="superscript"/>
                <w:lang w:val="en-GB"/>
              </w:rPr>
              <w:t>1</w:t>
            </w:r>
          </w:p>
        </w:tc>
        <w:tc>
          <w:tcPr>
            <w:tcW w:w="1134" w:type="dxa"/>
            <w:tcBorders>
              <w:bottom w:val="single" w:sz="12" w:space="0" w:color="auto"/>
            </w:tcBorders>
            <w:shd w:val="clear" w:color="auto" w:fill="auto"/>
            <w:tcMar>
              <w:top w:w="57" w:type="dxa"/>
              <w:left w:w="0" w:type="dxa"/>
              <w:bottom w:w="85" w:type="dxa"/>
              <w:right w:w="0" w:type="dxa"/>
            </w:tcMar>
            <w:vAlign w:val="bottom"/>
          </w:tcPr>
          <w:p w14:paraId="3E6EDA66" w14:textId="77777777" w:rsidR="0040324C" w:rsidRPr="0040324C" w:rsidRDefault="0040324C" w:rsidP="001F2F92">
            <w:pPr>
              <w:spacing w:line="240" w:lineRule="atLeast"/>
              <w:jc w:val="right"/>
              <w:rPr>
                <w:rFonts w:ascii="Tahoma" w:hAnsi="Tahoma"/>
                <w:b/>
                <w:bCs/>
                <w:color w:val="000000" w:themeColor="text1"/>
                <w:sz w:val="16"/>
                <w:lang w:val="en-GB"/>
              </w:rPr>
            </w:pPr>
            <w:r w:rsidRPr="0040324C">
              <w:rPr>
                <w:rFonts w:ascii="Tahoma" w:hAnsi="Tahoma"/>
                <w:b/>
                <w:bCs/>
                <w:color w:val="000000" w:themeColor="text1"/>
                <w:sz w:val="16"/>
                <w:lang w:val="en-GB"/>
              </w:rPr>
              <w:t>62</w:t>
            </w:r>
          </w:p>
        </w:tc>
        <w:tc>
          <w:tcPr>
            <w:tcW w:w="1134" w:type="dxa"/>
            <w:tcBorders>
              <w:bottom w:val="single" w:sz="12" w:space="0" w:color="auto"/>
            </w:tcBorders>
            <w:shd w:val="clear" w:color="auto" w:fill="auto"/>
            <w:tcMar>
              <w:top w:w="57" w:type="dxa"/>
              <w:left w:w="0" w:type="dxa"/>
              <w:bottom w:w="85" w:type="dxa"/>
              <w:right w:w="0" w:type="dxa"/>
            </w:tcMar>
            <w:vAlign w:val="bottom"/>
          </w:tcPr>
          <w:p w14:paraId="3DBD4469" w14:textId="77777777" w:rsidR="0040324C" w:rsidRPr="0040324C" w:rsidRDefault="0040324C" w:rsidP="001F2F92">
            <w:pPr>
              <w:spacing w:line="240" w:lineRule="atLeast"/>
              <w:jc w:val="right"/>
              <w:rPr>
                <w:rFonts w:ascii="Tahoma" w:hAnsi="Tahoma"/>
                <w:color w:val="000000" w:themeColor="text1"/>
                <w:sz w:val="16"/>
                <w:lang w:val="en-GB"/>
              </w:rPr>
            </w:pPr>
            <w:r w:rsidRPr="0040324C">
              <w:rPr>
                <w:rFonts w:ascii="Tahoma" w:hAnsi="Tahoma"/>
                <w:color w:val="000000" w:themeColor="text1"/>
                <w:sz w:val="16"/>
                <w:lang w:val="en-GB"/>
              </w:rPr>
              <w:t>135</w:t>
            </w:r>
          </w:p>
        </w:tc>
        <w:tc>
          <w:tcPr>
            <w:tcW w:w="1134" w:type="dxa"/>
            <w:tcBorders>
              <w:bottom w:val="single" w:sz="12" w:space="0" w:color="auto"/>
            </w:tcBorders>
            <w:shd w:val="clear" w:color="auto" w:fill="auto"/>
            <w:tcMar>
              <w:top w:w="57" w:type="dxa"/>
              <w:left w:w="0" w:type="dxa"/>
              <w:bottom w:w="85" w:type="dxa"/>
              <w:right w:w="0" w:type="dxa"/>
            </w:tcMar>
            <w:vAlign w:val="bottom"/>
          </w:tcPr>
          <w:p w14:paraId="20F64351" w14:textId="77777777" w:rsidR="0040324C" w:rsidRPr="0040324C" w:rsidRDefault="0040324C" w:rsidP="00FE4448">
            <w:pPr>
              <w:spacing w:line="240" w:lineRule="atLeast"/>
              <w:jc w:val="right"/>
              <w:rPr>
                <w:rFonts w:ascii="Tahoma" w:hAnsi="Tahoma"/>
                <w:color w:val="000000" w:themeColor="text1"/>
                <w:sz w:val="16"/>
                <w:lang w:val="en-GB"/>
              </w:rPr>
            </w:pPr>
            <w:r w:rsidRPr="0040324C">
              <w:rPr>
                <w:rFonts w:ascii="Tahoma" w:hAnsi="Tahoma"/>
                <w:color w:val="000000" w:themeColor="text1"/>
                <w:sz w:val="16"/>
                <w:lang w:val="en-GB"/>
              </w:rPr>
              <w:t>224</w:t>
            </w:r>
          </w:p>
        </w:tc>
      </w:tr>
      <w:tr w:rsidR="00615190" w:rsidRPr="0040324C" w14:paraId="30C03998" w14:textId="77777777" w:rsidTr="00C273BC">
        <w:trPr>
          <w:trHeight w:val="60"/>
        </w:trPr>
        <w:tc>
          <w:tcPr>
            <w:tcW w:w="397" w:type="dxa"/>
            <w:shd w:val="clear" w:color="auto" w:fill="auto"/>
            <w:tcMar>
              <w:top w:w="85" w:type="dxa"/>
              <w:left w:w="0" w:type="dxa"/>
              <w:bottom w:w="57" w:type="dxa"/>
              <w:right w:w="0" w:type="dxa"/>
            </w:tcMar>
            <w:vAlign w:val="bottom"/>
          </w:tcPr>
          <w:p w14:paraId="545CDF77" w14:textId="77777777" w:rsidR="0040324C" w:rsidRPr="0040324C" w:rsidRDefault="0040324C" w:rsidP="00615190">
            <w:pPr>
              <w:spacing w:line="240" w:lineRule="atLeast"/>
              <w:rPr>
                <w:rFonts w:ascii="Tahoma" w:hAnsi="Tahoma"/>
                <w:color w:val="000000" w:themeColor="text1"/>
                <w:sz w:val="16"/>
                <w:lang w:val="en-GB"/>
              </w:rPr>
            </w:pPr>
          </w:p>
        </w:tc>
        <w:tc>
          <w:tcPr>
            <w:tcW w:w="9809" w:type="dxa"/>
            <w:gridSpan w:val="4"/>
            <w:tcBorders>
              <w:top w:val="single" w:sz="12" w:space="0" w:color="auto"/>
            </w:tcBorders>
            <w:shd w:val="clear" w:color="auto" w:fill="auto"/>
            <w:tcMar>
              <w:top w:w="85" w:type="dxa"/>
              <w:left w:w="0" w:type="dxa"/>
              <w:bottom w:w="57" w:type="dxa"/>
              <w:right w:w="0" w:type="dxa"/>
            </w:tcMar>
            <w:vAlign w:val="bottom"/>
          </w:tcPr>
          <w:p w14:paraId="09F5AB7B" w14:textId="77777777" w:rsidR="0040324C" w:rsidRPr="0040324C" w:rsidRDefault="0040324C" w:rsidP="00114302">
            <w:pPr>
              <w:pStyle w:val="FootnotesProsus2022FrontStylesProsus2022"/>
            </w:pPr>
            <w:r w:rsidRPr="0040324C">
              <w:t>1</w:t>
            </w:r>
            <w:r w:rsidRPr="0040324C">
              <w:tab/>
              <w:t>The diluted core headline earnings per share include a decrease of US$33.1m (2021: US$75m and March 2022: US$170.2m) relating to the future dilutive impact of potential ordinary shares issued by equity-accounted investees.</w:t>
            </w:r>
          </w:p>
        </w:tc>
      </w:tr>
    </w:tbl>
    <w:p w14:paraId="596E40A1" w14:textId="77777777" w:rsidR="003D5E26" w:rsidRDefault="003D5E26" w:rsidP="00615190">
      <w:pPr>
        <w:spacing w:line="240" w:lineRule="atLeast"/>
        <w:rPr>
          <w:rFonts w:ascii="Tahoma" w:hAnsi="Tahoma"/>
          <w:color w:val="000000" w:themeColor="text1"/>
          <w:sz w:val="16"/>
        </w:rPr>
      </w:pPr>
    </w:p>
    <w:p w14:paraId="75B2341B" w14:textId="77777777" w:rsidR="003D5E26" w:rsidRDefault="003D5E26">
      <w:pPr>
        <w:rPr>
          <w:rFonts w:ascii="Tahoma" w:hAnsi="Tahoma"/>
          <w:color w:val="000000" w:themeColor="text1"/>
          <w:sz w:val="16"/>
        </w:rPr>
      </w:pPr>
      <w:r>
        <w:rPr>
          <w:rFonts w:ascii="Tahoma" w:hAnsi="Tahoma"/>
          <w:color w:val="000000" w:themeColor="text1"/>
          <w:sz w:val="16"/>
        </w:rPr>
        <w:br w:type="page"/>
      </w:r>
    </w:p>
    <w:p w14:paraId="5085E4EC" w14:textId="77777777" w:rsidR="0040324C" w:rsidRPr="00615190" w:rsidRDefault="0040324C" w:rsidP="00615190">
      <w:pPr>
        <w:spacing w:line="240" w:lineRule="atLeast"/>
        <w:rPr>
          <w:rFonts w:ascii="Tahoma" w:hAnsi="Tahoma"/>
          <w:color w:val="000000" w:themeColor="text1"/>
          <w:sz w:val="16"/>
        </w:rPr>
      </w:pPr>
    </w:p>
    <w:tbl>
      <w:tblPr>
        <w:tblW w:w="10206" w:type="dxa"/>
        <w:tblInd w:w="-8" w:type="dxa"/>
        <w:tblLayout w:type="fixed"/>
        <w:tblCellMar>
          <w:left w:w="0" w:type="dxa"/>
          <w:right w:w="0" w:type="dxa"/>
        </w:tblCellMar>
        <w:tblLook w:val="0000" w:firstRow="0" w:lastRow="0" w:firstColumn="0" w:lastColumn="0" w:noHBand="0" w:noVBand="0"/>
      </w:tblPr>
      <w:tblGrid>
        <w:gridCol w:w="397"/>
        <w:gridCol w:w="6266"/>
        <w:gridCol w:w="1275"/>
        <w:gridCol w:w="1134"/>
        <w:gridCol w:w="1134"/>
      </w:tblGrid>
      <w:tr w:rsidR="00615190" w:rsidRPr="00875F95" w14:paraId="08EE4F8B" w14:textId="77777777" w:rsidTr="00DC2263">
        <w:trPr>
          <w:trHeight w:val="60"/>
        </w:trPr>
        <w:tc>
          <w:tcPr>
            <w:tcW w:w="397" w:type="dxa"/>
            <w:shd w:val="clear" w:color="auto" w:fill="auto"/>
            <w:tcMar>
              <w:top w:w="0" w:type="dxa"/>
              <w:left w:w="0" w:type="dxa"/>
              <w:bottom w:w="57" w:type="dxa"/>
              <w:right w:w="0" w:type="dxa"/>
            </w:tcMar>
            <w:vAlign w:val="bottom"/>
          </w:tcPr>
          <w:p w14:paraId="3BAC07FA" w14:textId="77777777" w:rsidR="00875F95" w:rsidRPr="00875F95" w:rsidRDefault="00875F95" w:rsidP="00615190">
            <w:pPr>
              <w:spacing w:line="240" w:lineRule="atLeast"/>
              <w:rPr>
                <w:rFonts w:ascii="Tahoma" w:hAnsi="Tahoma"/>
                <w:b/>
                <w:bCs/>
                <w:color w:val="000000" w:themeColor="text1"/>
                <w:sz w:val="16"/>
                <w:lang w:val="en-GB"/>
              </w:rPr>
            </w:pPr>
            <w:r w:rsidRPr="00875F95">
              <w:rPr>
                <w:rFonts w:ascii="Tahoma" w:hAnsi="Tahoma"/>
                <w:b/>
                <w:bCs/>
                <w:color w:val="000000" w:themeColor="text1"/>
                <w:sz w:val="16"/>
                <w:lang w:val="en-GB"/>
              </w:rPr>
              <w:t>A.</w:t>
            </w:r>
          </w:p>
        </w:tc>
        <w:tc>
          <w:tcPr>
            <w:tcW w:w="9809" w:type="dxa"/>
            <w:gridSpan w:val="4"/>
            <w:shd w:val="clear" w:color="auto" w:fill="auto"/>
            <w:tcMar>
              <w:top w:w="0" w:type="dxa"/>
              <w:left w:w="0" w:type="dxa"/>
              <w:bottom w:w="57" w:type="dxa"/>
              <w:right w:w="0" w:type="dxa"/>
            </w:tcMar>
            <w:vAlign w:val="bottom"/>
          </w:tcPr>
          <w:p w14:paraId="51BADE48" w14:textId="77777777" w:rsidR="00875F95" w:rsidRPr="00875F95" w:rsidRDefault="008F0747" w:rsidP="00615190">
            <w:pPr>
              <w:spacing w:line="240" w:lineRule="atLeast"/>
              <w:rPr>
                <w:rFonts w:ascii="Tahoma" w:hAnsi="Tahoma"/>
                <w:b/>
                <w:bCs/>
                <w:color w:val="000000" w:themeColor="text1"/>
                <w:sz w:val="16"/>
                <w:lang w:val="en-GB"/>
              </w:rPr>
            </w:pPr>
            <w:r w:rsidRPr="00875F95">
              <w:rPr>
                <w:rFonts w:ascii="Tahoma" w:hAnsi="Tahoma"/>
                <w:b/>
                <w:bCs/>
                <w:color w:val="000000" w:themeColor="text1"/>
                <w:sz w:val="16"/>
                <w:lang w:val="en-GB"/>
              </w:rPr>
              <w:t xml:space="preserve">NON-IFRS FINANCIAL MEASURES AND ALTERNATIVE PERFORMANCE MEASURES </w:t>
            </w:r>
            <w:r w:rsidR="00875F95" w:rsidRPr="00875F95">
              <w:rPr>
                <w:rFonts w:ascii="Tahoma" w:hAnsi="Tahoma"/>
                <w:b/>
                <w:bCs/>
                <w:color w:val="000000" w:themeColor="text1"/>
                <w:sz w:val="16"/>
                <w:lang w:val="en-GB"/>
              </w:rPr>
              <w:t>(continued)</w:t>
            </w:r>
          </w:p>
        </w:tc>
      </w:tr>
      <w:tr w:rsidR="00615190" w:rsidRPr="00875F95" w14:paraId="11E01497" w14:textId="77777777" w:rsidTr="00DC2263">
        <w:trPr>
          <w:trHeight w:val="60"/>
        </w:trPr>
        <w:tc>
          <w:tcPr>
            <w:tcW w:w="397" w:type="dxa"/>
            <w:shd w:val="clear" w:color="auto" w:fill="auto"/>
            <w:tcMar>
              <w:top w:w="57" w:type="dxa"/>
              <w:left w:w="0" w:type="dxa"/>
              <w:bottom w:w="57" w:type="dxa"/>
              <w:right w:w="0" w:type="dxa"/>
            </w:tcMar>
            <w:vAlign w:val="bottom"/>
          </w:tcPr>
          <w:p w14:paraId="396E43BD" w14:textId="77777777" w:rsidR="00875F95" w:rsidRPr="00875F95" w:rsidRDefault="00875F95" w:rsidP="00615190">
            <w:pPr>
              <w:spacing w:line="240" w:lineRule="atLeast"/>
              <w:rPr>
                <w:rFonts w:ascii="Tahoma" w:hAnsi="Tahoma"/>
                <w:b/>
                <w:bCs/>
                <w:color w:val="000000" w:themeColor="text1"/>
                <w:sz w:val="16"/>
                <w:lang w:val="en-GB"/>
              </w:rPr>
            </w:pPr>
            <w:r w:rsidRPr="00875F95">
              <w:rPr>
                <w:rFonts w:ascii="Tahoma" w:hAnsi="Tahoma"/>
                <w:b/>
                <w:bCs/>
                <w:color w:val="000000" w:themeColor="text1"/>
                <w:sz w:val="16"/>
                <w:lang w:val="en-GB"/>
              </w:rPr>
              <w:t>A.1</w:t>
            </w:r>
          </w:p>
        </w:tc>
        <w:tc>
          <w:tcPr>
            <w:tcW w:w="9809" w:type="dxa"/>
            <w:gridSpan w:val="4"/>
            <w:shd w:val="clear" w:color="auto" w:fill="auto"/>
            <w:tcMar>
              <w:top w:w="57" w:type="dxa"/>
              <w:left w:w="0" w:type="dxa"/>
              <w:bottom w:w="57" w:type="dxa"/>
              <w:right w:w="0" w:type="dxa"/>
            </w:tcMar>
            <w:vAlign w:val="bottom"/>
          </w:tcPr>
          <w:p w14:paraId="562984FF" w14:textId="77777777" w:rsidR="00875F95" w:rsidRPr="00875F95" w:rsidRDefault="00875F95" w:rsidP="00615190">
            <w:pPr>
              <w:spacing w:line="240" w:lineRule="atLeast"/>
              <w:rPr>
                <w:rFonts w:ascii="Tahoma" w:hAnsi="Tahoma"/>
                <w:b/>
                <w:bCs/>
                <w:color w:val="000000" w:themeColor="text1"/>
                <w:sz w:val="16"/>
                <w:lang w:val="en-GB"/>
              </w:rPr>
            </w:pPr>
            <w:r w:rsidRPr="00875F95">
              <w:rPr>
                <w:rFonts w:ascii="Tahoma" w:hAnsi="Tahoma"/>
                <w:b/>
                <w:bCs/>
                <w:color w:val="000000" w:themeColor="text1"/>
                <w:sz w:val="16"/>
                <w:lang w:val="en-GB"/>
              </w:rPr>
              <w:t>Core headline earnings (continued)</w:t>
            </w:r>
          </w:p>
        </w:tc>
      </w:tr>
      <w:tr w:rsidR="00615190" w:rsidRPr="00875F95" w14:paraId="60B1FD93" w14:textId="77777777" w:rsidTr="00DC2263">
        <w:trPr>
          <w:trHeight w:val="60"/>
        </w:trPr>
        <w:tc>
          <w:tcPr>
            <w:tcW w:w="397" w:type="dxa"/>
            <w:shd w:val="clear" w:color="auto" w:fill="auto"/>
            <w:tcMar>
              <w:top w:w="57" w:type="dxa"/>
              <w:left w:w="0" w:type="dxa"/>
              <w:bottom w:w="113" w:type="dxa"/>
              <w:right w:w="0" w:type="dxa"/>
            </w:tcMar>
            <w:vAlign w:val="bottom"/>
          </w:tcPr>
          <w:p w14:paraId="5C829230" w14:textId="77777777" w:rsidR="00875F95" w:rsidRPr="00875F95" w:rsidRDefault="00875F95" w:rsidP="00615190">
            <w:pPr>
              <w:spacing w:line="240" w:lineRule="atLeast"/>
              <w:rPr>
                <w:rFonts w:ascii="Tahoma" w:hAnsi="Tahoma"/>
                <w:color w:val="000000" w:themeColor="text1"/>
                <w:sz w:val="16"/>
                <w:lang w:val="en-GB"/>
              </w:rPr>
            </w:pPr>
          </w:p>
        </w:tc>
        <w:tc>
          <w:tcPr>
            <w:tcW w:w="9809" w:type="dxa"/>
            <w:gridSpan w:val="4"/>
            <w:shd w:val="clear" w:color="auto" w:fill="auto"/>
            <w:tcMar>
              <w:top w:w="57" w:type="dxa"/>
              <w:left w:w="0" w:type="dxa"/>
              <w:bottom w:w="113" w:type="dxa"/>
              <w:right w:w="0" w:type="dxa"/>
            </w:tcMar>
            <w:vAlign w:val="bottom"/>
          </w:tcPr>
          <w:p w14:paraId="182F1129" w14:textId="77777777" w:rsidR="00875F95" w:rsidRPr="00875F95" w:rsidRDefault="00875F95" w:rsidP="00615190">
            <w:pPr>
              <w:spacing w:line="240" w:lineRule="atLeast"/>
              <w:rPr>
                <w:rFonts w:ascii="Tahoma" w:hAnsi="Tahoma"/>
                <w:b/>
                <w:bCs/>
                <w:color w:val="7F7F7F" w:themeColor="text1" w:themeTint="80"/>
                <w:sz w:val="16"/>
                <w:lang w:val="en-GB"/>
              </w:rPr>
            </w:pPr>
            <w:r w:rsidRPr="00875F95">
              <w:rPr>
                <w:rFonts w:ascii="Tahoma" w:hAnsi="Tahoma"/>
                <w:b/>
                <w:bCs/>
                <w:color w:val="7F7F7F" w:themeColor="text1" w:themeTint="80"/>
                <w:sz w:val="16"/>
                <w:lang w:val="en-GB"/>
              </w:rPr>
              <w:t>Reconciliation of core headline earnings (continued)</w:t>
            </w:r>
          </w:p>
        </w:tc>
      </w:tr>
      <w:tr w:rsidR="00615190" w:rsidRPr="00875F95" w14:paraId="6BD4D211" w14:textId="77777777" w:rsidTr="006F15EC">
        <w:trPr>
          <w:trHeight w:val="60"/>
        </w:trPr>
        <w:tc>
          <w:tcPr>
            <w:tcW w:w="397" w:type="dxa"/>
            <w:shd w:val="clear" w:color="auto" w:fill="auto"/>
            <w:tcMar>
              <w:top w:w="85" w:type="dxa"/>
              <w:left w:w="0" w:type="dxa"/>
              <w:bottom w:w="85" w:type="dxa"/>
              <w:right w:w="0" w:type="dxa"/>
            </w:tcMar>
            <w:vAlign w:val="bottom"/>
          </w:tcPr>
          <w:p w14:paraId="2759ECA3" w14:textId="77777777" w:rsidR="00875F95" w:rsidRPr="00875F95" w:rsidRDefault="00875F95" w:rsidP="00615190">
            <w:pPr>
              <w:spacing w:line="240" w:lineRule="atLeast"/>
              <w:rPr>
                <w:rFonts w:ascii="Tahoma" w:hAnsi="Tahoma"/>
                <w:color w:val="000000" w:themeColor="text1"/>
                <w:sz w:val="16"/>
                <w:lang w:val="en-GB"/>
              </w:rPr>
            </w:pPr>
          </w:p>
        </w:tc>
        <w:tc>
          <w:tcPr>
            <w:tcW w:w="6266" w:type="dxa"/>
            <w:shd w:val="clear" w:color="auto" w:fill="auto"/>
            <w:tcMar>
              <w:top w:w="85" w:type="dxa"/>
              <w:left w:w="0" w:type="dxa"/>
              <w:bottom w:w="85" w:type="dxa"/>
              <w:right w:w="0" w:type="dxa"/>
            </w:tcMar>
            <w:vAlign w:val="bottom"/>
          </w:tcPr>
          <w:p w14:paraId="3FD7E2D6" w14:textId="77777777" w:rsidR="00875F95" w:rsidRPr="00875F95" w:rsidRDefault="00875F95" w:rsidP="00615190">
            <w:pPr>
              <w:spacing w:line="240" w:lineRule="atLeast"/>
              <w:rPr>
                <w:rFonts w:ascii="Tahoma" w:hAnsi="Tahoma"/>
                <w:color w:val="000000" w:themeColor="text1"/>
                <w:sz w:val="16"/>
                <w:lang w:val="en-GB"/>
              </w:rPr>
            </w:pPr>
          </w:p>
        </w:tc>
        <w:tc>
          <w:tcPr>
            <w:tcW w:w="2409" w:type="dxa"/>
            <w:gridSpan w:val="2"/>
            <w:shd w:val="clear" w:color="auto" w:fill="auto"/>
            <w:tcMar>
              <w:top w:w="85" w:type="dxa"/>
              <w:left w:w="0" w:type="dxa"/>
              <w:bottom w:w="85" w:type="dxa"/>
              <w:right w:w="0" w:type="dxa"/>
            </w:tcMar>
            <w:vAlign w:val="bottom"/>
          </w:tcPr>
          <w:p w14:paraId="5825F95E" w14:textId="77777777" w:rsidR="00875F95" w:rsidRPr="00875F95" w:rsidRDefault="00875F95" w:rsidP="00FB680D">
            <w:pPr>
              <w:spacing w:line="240" w:lineRule="atLeast"/>
              <w:ind w:left="718"/>
              <w:jc w:val="center"/>
              <w:rPr>
                <w:rFonts w:ascii="Tahoma" w:hAnsi="Tahoma"/>
                <w:b/>
                <w:bCs/>
                <w:color w:val="000000" w:themeColor="text1"/>
                <w:sz w:val="16"/>
                <w:lang w:val="en-GB"/>
              </w:rPr>
            </w:pPr>
            <w:r w:rsidRPr="00875F95">
              <w:rPr>
                <w:rFonts w:ascii="Tahoma" w:hAnsi="Tahoma"/>
                <w:b/>
                <w:bCs/>
                <w:color w:val="000000" w:themeColor="text1"/>
                <w:sz w:val="16"/>
                <w:lang w:val="en-GB"/>
              </w:rPr>
              <w:t>Six months ended</w:t>
            </w:r>
          </w:p>
          <w:p w14:paraId="43DC6BE2" w14:textId="77777777" w:rsidR="00875F95" w:rsidRPr="00875F95" w:rsidRDefault="00875F95" w:rsidP="00FB680D">
            <w:pPr>
              <w:spacing w:line="240" w:lineRule="atLeast"/>
              <w:ind w:left="718"/>
              <w:jc w:val="center"/>
              <w:rPr>
                <w:rFonts w:ascii="Tahoma" w:hAnsi="Tahoma"/>
                <w:b/>
                <w:bCs/>
                <w:color w:val="000000" w:themeColor="text1"/>
                <w:sz w:val="16"/>
                <w:lang w:val="en-GB"/>
              </w:rPr>
            </w:pPr>
            <w:r w:rsidRPr="00875F95">
              <w:rPr>
                <w:rFonts w:ascii="Tahoma" w:hAnsi="Tahoma"/>
                <w:b/>
                <w:bCs/>
                <w:color w:val="000000" w:themeColor="text1"/>
                <w:sz w:val="16"/>
                <w:lang w:val="en-GB"/>
              </w:rPr>
              <w:t>30 September</w:t>
            </w:r>
          </w:p>
        </w:tc>
        <w:tc>
          <w:tcPr>
            <w:tcW w:w="1134" w:type="dxa"/>
            <w:shd w:val="clear" w:color="auto" w:fill="auto"/>
            <w:tcMar>
              <w:top w:w="85" w:type="dxa"/>
              <w:left w:w="0" w:type="dxa"/>
              <w:bottom w:w="85" w:type="dxa"/>
              <w:right w:w="0" w:type="dxa"/>
            </w:tcMar>
            <w:vAlign w:val="bottom"/>
          </w:tcPr>
          <w:p w14:paraId="7A2383AE" w14:textId="77777777" w:rsidR="00875F95" w:rsidRPr="00875F95" w:rsidRDefault="00875F95" w:rsidP="0079346A">
            <w:pPr>
              <w:spacing w:line="240" w:lineRule="atLeast"/>
              <w:jc w:val="right"/>
              <w:rPr>
                <w:rFonts w:ascii="Tahoma" w:hAnsi="Tahoma"/>
                <w:color w:val="000000" w:themeColor="text1"/>
                <w:sz w:val="16"/>
                <w:lang w:val="en-GB"/>
              </w:rPr>
            </w:pPr>
            <w:r w:rsidRPr="00875F95">
              <w:rPr>
                <w:rFonts w:ascii="Tahoma" w:hAnsi="Tahoma"/>
                <w:color w:val="000000" w:themeColor="text1"/>
                <w:sz w:val="16"/>
                <w:lang w:val="en-GB"/>
              </w:rPr>
              <w:t>Year</w:t>
            </w:r>
          </w:p>
          <w:p w14:paraId="3F7FAE76" w14:textId="77777777" w:rsidR="00875F95" w:rsidRPr="00875F95" w:rsidRDefault="00875F95" w:rsidP="0079346A">
            <w:pPr>
              <w:spacing w:line="240" w:lineRule="atLeast"/>
              <w:jc w:val="right"/>
              <w:rPr>
                <w:rFonts w:ascii="Tahoma" w:hAnsi="Tahoma"/>
                <w:color w:val="000000" w:themeColor="text1"/>
                <w:sz w:val="16"/>
                <w:lang w:val="en-GB"/>
              </w:rPr>
            </w:pPr>
            <w:r w:rsidRPr="00875F95">
              <w:rPr>
                <w:rFonts w:ascii="Tahoma" w:hAnsi="Tahoma"/>
                <w:color w:val="000000" w:themeColor="text1"/>
                <w:sz w:val="16"/>
                <w:lang w:val="en-GB"/>
              </w:rPr>
              <w:t>ended</w:t>
            </w:r>
          </w:p>
          <w:p w14:paraId="2054AF46" w14:textId="77777777" w:rsidR="00875F95" w:rsidRPr="00875F95" w:rsidRDefault="00875F95" w:rsidP="0079346A">
            <w:pPr>
              <w:spacing w:line="240" w:lineRule="atLeast"/>
              <w:jc w:val="right"/>
              <w:rPr>
                <w:rFonts w:ascii="Tahoma" w:hAnsi="Tahoma"/>
                <w:color w:val="000000" w:themeColor="text1"/>
                <w:sz w:val="16"/>
                <w:lang w:val="en-GB"/>
              </w:rPr>
            </w:pPr>
            <w:r w:rsidRPr="00875F95">
              <w:rPr>
                <w:rFonts w:ascii="Tahoma" w:hAnsi="Tahoma"/>
                <w:color w:val="000000" w:themeColor="text1"/>
                <w:sz w:val="16"/>
                <w:lang w:val="en-GB"/>
              </w:rPr>
              <w:t>31 March</w:t>
            </w:r>
          </w:p>
        </w:tc>
      </w:tr>
      <w:tr w:rsidR="00615190" w:rsidRPr="00875F95" w14:paraId="75423719" w14:textId="77777777" w:rsidTr="006F15EC">
        <w:trPr>
          <w:trHeight w:val="60"/>
        </w:trPr>
        <w:tc>
          <w:tcPr>
            <w:tcW w:w="397" w:type="dxa"/>
            <w:shd w:val="clear" w:color="auto" w:fill="auto"/>
            <w:tcMar>
              <w:top w:w="113" w:type="dxa"/>
              <w:left w:w="0" w:type="dxa"/>
              <w:bottom w:w="113" w:type="dxa"/>
              <w:right w:w="0" w:type="dxa"/>
            </w:tcMar>
            <w:vAlign w:val="bottom"/>
          </w:tcPr>
          <w:p w14:paraId="5E8BB482" w14:textId="77777777" w:rsidR="00875F95" w:rsidRPr="00875F95" w:rsidRDefault="00875F95" w:rsidP="00615190">
            <w:pPr>
              <w:spacing w:line="240" w:lineRule="atLeast"/>
              <w:rPr>
                <w:rFonts w:ascii="Tahoma" w:hAnsi="Tahoma"/>
                <w:color w:val="000000" w:themeColor="text1"/>
                <w:sz w:val="16"/>
                <w:lang w:val="en-GB"/>
              </w:rPr>
            </w:pPr>
          </w:p>
        </w:tc>
        <w:tc>
          <w:tcPr>
            <w:tcW w:w="6266" w:type="dxa"/>
            <w:tcBorders>
              <w:bottom w:val="single" w:sz="12" w:space="0" w:color="auto"/>
            </w:tcBorders>
            <w:shd w:val="clear" w:color="auto" w:fill="auto"/>
            <w:tcMar>
              <w:top w:w="113" w:type="dxa"/>
              <w:left w:w="0" w:type="dxa"/>
              <w:bottom w:w="113" w:type="dxa"/>
              <w:right w:w="0" w:type="dxa"/>
            </w:tcMar>
            <w:vAlign w:val="bottom"/>
          </w:tcPr>
          <w:p w14:paraId="3098D371" w14:textId="77777777" w:rsidR="00875F95" w:rsidRPr="00875F95" w:rsidRDefault="00875F95" w:rsidP="00615190">
            <w:pPr>
              <w:spacing w:line="240" w:lineRule="atLeast"/>
              <w:rPr>
                <w:rFonts w:ascii="Tahoma" w:hAnsi="Tahoma"/>
                <w:color w:val="000000" w:themeColor="text1"/>
                <w:sz w:val="16"/>
                <w:lang w:val="en-GB"/>
              </w:rPr>
            </w:pPr>
          </w:p>
        </w:tc>
        <w:tc>
          <w:tcPr>
            <w:tcW w:w="1275" w:type="dxa"/>
            <w:tcBorders>
              <w:bottom w:val="single" w:sz="12" w:space="0" w:color="auto"/>
            </w:tcBorders>
            <w:shd w:val="clear" w:color="auto" w:fill="auto"/>
            <w:tcMar>
              <w:top w:w="113" w:type="dxa"/>
              <w:left w:w="0" w:type="dxa"/>
              <w:bottom w:w="113" w:type="dxa"/>
              <w:right w:w="0" w:type="dxa"/>
            </w:tcMar>
            <w:vAlign w:val="bottom"/>
          </w:tcPr>
          <w:p w14:paraId="71F46552" w14:textId="77777777" w:rsidR="00875F95" w:rsidRPr="00875F95" w:rsidRDefault="00875F95" w:rsidP="00DC2263">
            <w:pPr>
              <w:spacing w:line="240" w:lineRule="atLeast"/>
              <w:jc w:val="right"/>
              <w:rPr>
                <w:rFonts w:ascii="Tahoma" w:hAnsi="Tahoma"/>
                <w:b/>
                <w:bCs/>
                <w:color w:val="000000" w:themeColor="text1"/>
                <w:sz w:val="16"/>
                <w:lang w:val="en-GB"/>
              </w:rPr>
            </w:pPr>
            <w:r w:rsidRPr="00875F95">
              <w:rPr>
                <w:rFonts w:ascii="Tahoma" w:hAnsi="Tahoma"/>
                <w:b/>
                <w:bCs/>
                <w:color w:val="000000" w:themeColor="text1"/>
                <w:sz w:val="16"/>
                <w:lang w:val="en-GB"/>
              </w:rPr>
              <w:t>2022</w:t>
            </w:r>
          </w:p>
          <w:p w14:paraId="47E001BC" w14:textId="77777777" w:rsidR="00875F95" w:rsidRPr="00875F95" w:rsidRDefault="00875F95" w:rsidP="00DC2263">
            <w:pPr>
              <w:spacing w:line="240" w:lineRule="atLeast"/>
              <w:jc w:val="right"/>
              <w:rPr>
                <w:rFonts w:ascii="Tahoma" w:hAnsi="Tahoma"/>
                <w:b/>
                <w:bCs/>
                <w:color w:val="000000" w:themeColor="text1"/>
                <w:sz w:val="16"/>
                <w:lang w:val="en-GB"/>
              </w:rPr>
            </w:pPr>
            <w:proofErr w:type="spellStart"/>
            <w:r w:rsidRPr="00875F95">
              <w:rPr>
                <w:rFonts w:ascii="Tahoma" w:hAnsi="Tahoma"/>
                <w:b/>
                <w:bCs/>
                <w:color w:val="000000" w:themeColor="text1"/>
                <w:sz w:val="16"/>
                <w:lang w:val="en-GB"/>
              </w:rPr>
              <w:t>US$’m</w:t>
            </w:r>
            <w:proofErr w:type="spellEnd"/>
          </w:p>
        </w:tc>
        <w:tc>
          <w:tcPr>
            <w:tcW w:w="1134" w:type="dxa"/>
            <w:tcBorders>
              <w:bottom w:val="single" w:sz="12" w:space="0" w:color="auto"/>
            </w:tcBorders>
            <w:shd w:val="clear" w:color="auto" w:fill="auto"/>
            <w:tcMar>
              <w:top w:w="113" w:type="dxa"/>
              <w:left w:w="0" w:type="dxa"/>
              <w:bottom w:w="113" w:type="dxa"/>
              <w:right w:w="0" w:type="dxa"/>
            </w:tcMar>
            <w:vAlign w:val="bottom"/>
          </w:tcPr>
          <w:p w14:paraId="77AF6861" w14:textId="77777777" w:rsidR="00875F95" w:rsidRPr="00875F95" w:rsidRDefault="00875F95" w:rsidP="00DC2263">
            <w:pPr>
              <w:spacing w:line="240" w:lineRule="atLeast"/>
              <w:jc w:val="right"/>
              <w:rPr>
                <w:rFonts w:ascii="Tahoma" w:hAnsi="Tahoma"/>
                <w:color w:val="000000" w:themeColor="text1"/>
                <w:sz w:val="16"/>
                <w:lang w:val="en-GB"/>
              </w:rPr>
            </w:pPr>
            <w:r w:rsidRPr="00875F95">
              <w:rPr>
                <w:rFonts w:ascii="Tahoma" w:hAnsi="Tahoma"/>
                <w:color w:val="000000" w:themeColor="text1"/>
                <w:sz w:val="16"/>
                <w:lang w:val="en-GB"/>
              </w:rPr>
              <w:t>2021</w:t>
            </w:r>
          </w:p>
          <w:p w14:paraId="1F443E56" w14:textId="77777777" w:rsidR="00875F95" w:rsidRPr="00875F95" w:rsidRDefault="00875F95" w:rsidP="00DC2263">
            <w:pPr>
              <w:spacing w:line="240" w:lineRule="atLeast"/>
              <w:jc w:val="right"/>
              <w:rPr>
                <w:rFonts w:ascii="Tahoma" w:hAnsi="Tahoma"/>
                <w:color w:val="000000" w:themeColor="text1"/>
                <w:sz w:val="16"/>
                <w:lang w:val="en-GB"/>
              </w:rPr>
            </w:pPr>
            <w:proofErr w:type="spellStart"/>
            <w:r w:rsidRPr="00875F95">
              <w:rPr>
                <w:rFonts w:ascii="Tahoma" w:hAnsi="Tahoma"/>
                <w:color w:val="000000" w:themeColor="text1"/>
                <w:sz w:val="16"/>
                <w:lang w:val="en-GB"/>
              </w:rPr>
              <w:t>US$’m</w:t>
            </w:r>
            <w:proofErr w:type="spellEnd"/>
          </w:p>
        </w:tc>
        <w:tc>
          <w:tcPr>
            <w:tcW w:w="1134" w:type="dxa"/>
            <w:tcBorders>
              <w:bottom w:val="single" w:sz="12" w:space="0" w:color="auto"/>
            </w:tcBorders>
            <w:shd w:val="clear" w:color="auto" w:fill="auto"/>
            <w:tcMar>
              <w:top w:w="113" w:type="dxa"/>
              <w:left w:w="0" w:type="dxa"/>
              <w:bottom w:w="113" w:type="dxa"/>
              <w:right w:w="0" w:type="dxa"/>
            </w:tcMar>
            <w:vAlign w:val="bottom"/>
          </w:tcPr>
          <w:p w14:paraId="18182EB4" w14:textId="77777777" w:rsidR="00875F95" w:rsidRPr="00875F95" w:rsidRDefault="00875F95" w:rsidP="00DC2263">
            <w:pPr>
              <w:spacing w:line="240" w:lineRule="atLeast"/>
              <w:jc w:val="right"/>
              <w:rPr>
                <w:rFonts w:ascii="Tahoma" w:hAnsi="Tahoma"/>
                <w:color w:val="000000" w:themeColor="text1"/>
                <w:sz w:val="16"/>
                <w:lang w:val="en-GB"/>
              </w:rPr>
            </w:pPr>
            <w:r w:rsidRPr="00875F95">
              <w:rPr>
                <w:rFonts w:ascii="Tahoma" w:hAnsi="Tahoma"/>
                <w:color w:val="000000" w:themeColor="text1"/>
                <w:sz w:val="16"/>
                <w:lang w:val="en-GB"/>
              </w:rPr>
              <w:t>2022</w:t>
            </w:r>
          </w:p>
          <w:p w14:paraId="72C47179" w14:textId="77777777" w:rsidR="00875F95" w:rsidRPr="00875F95" w:rsidRDefault="00875F95" w:rsidP="00DC2263">
            <w:pPr>
              <w:spacing w:line="240" w:lineRule="atLeast"/>
              <w:jc w:val="right"/>
              <w:rPr>
                <w:rFonts w:ascii="Tahoma" w:hAnsi="Tahoma"/>
                <w:color w:val="000000" w:themeColor="text1"/>
                <w:sz w:val="16"/>
                <w:lang w:val="en-GB"/>
              </w:rPr>
            </w:pPr>
            <w:proofErr w:type="spellStart"/>
            <w:r w:rsidRPr="00875F95">
              <w:rPr>
                <w:rFonts w:ascii="Tahoma" w:hAnsi="Tahoma"/>
                <w:color w:val="000000" w:themeColor="text1"/>
                <w:sz w:val="16"/>
                <w:lang w:val="en-GB"/>
              </w:rPr>
              <w:t>US$’m</w:t>
            </w:r>
            <w:proofErr w:type="spellEnd"/>
          </w:p>
        </w:tc>
      </w:tr>
      <w:tr w:rsidR="00615190" w:rsidRPr="00875F95" w14:paraId="57897DD8" w14:textId="77777777" w:rsidTr="006F15EC">
        <w:trPr>
          <w:trHeight w:val="60"/>
        </w:trPr>
        <w:tc>
          <w:tcPr>
            <w:tcW w:w="397" w:type="dxa"/>
            <w:shd w:val="clear" w:color="auto" w:fill="auto"/>
            <w:tcMar>
              <w:top w:w="142" w:type="dxa"/>
              <w:left w:w="0" w:type="dxa"/>
              <w:bottom w:w="57" w:type="dxa"/>
              <w:right w:w="0" w:type="dxa"/>
            </w:tcMar>
            <w:vAlign w:val="bottom"/>
          </w:tcPr>
          <w:p w14:paraId="0848BBF0" w14:textId="77777777" w:rsidR="00875F95" w:rsidRPr="00875F95" w:rsidRDefault="00875F95" w:rsidP="00615190">
            <w:pPr>
              <w:spacing w:line="240" w:lineRule="atLeast"/>
              <w:rPr>
                <w:rFonts w:ascii="Tahoma" w:hAnsi="Tahoma"/>
                <w:color w:val="000000" w:themeColor="text1"/>
                <w:sz w:val="16"/>
                <w:lang w:val="en-GB"/>
              </w:rPr>
            </w:pPr>
          </w:p>
        </w:tc>
        <w:tc>
          <w:tcPr>
            <w:tcW w:w="6266" w:type="dxa"/>
            <w:tcBorders>
              <w:top w:val="single" w:sz="12" w:space="0" w:color="auto"/>
            </w:tcBorders>
            <w:shd w:val="clear" w:color="auto" w:fill="auto"/>
            <w:tcMar>
              <w:top w:w="142" w:type="dxa"/>
              <w:left w:w="0" w:type="dxa"/>
              <w:bottom w:w="57" w:type="dxa"/>
              <w:right w:w="113" w:type="dxa"/>
            </w:tcMar>
            <w:vAlign w:val="bottom"/>
          </w:tcPr>
          <w:p w14:paraId="695E916B" w14:textId="77777777" w:rsidR="00875F95" w:rsidRPr="00875F95" w:rsidRDefault="00875F95" w:rsidP="00615190">
            <w:pPr>
              <w:spacing w:line="240" w:lineRule="atLeast"/>
              <w:rPr>
                <w:rFonts w:ascii="Tahoma" w:hAnsi="Tahoma"/>
                <w:b/>
                <w:bCs/>
                <w:color w:val="000000" w:themeColor="text1"/>
                <w:sz w:val="16"/>
                <w:lang w:val="en-GB"/>
              </w:rPr>
            </w:pPr>
            <w:r w:rsidRPr="00875F95">
              <w:rPr>
                <w:rFonts w:ascii="Tahoma" w:hAnsi="Tahoma"/>
                <w:b/>
                <w:bCs/>
                <w:color w:val="000000" w:themeColor="text1"/>
                <w:sz w:val="16"/>
                <w:lang w:val="en-GB"/>
              </w:rPr>
              <w:t>Headline earnings from discontinued operations (refer to note 6)</w:t>
            </w:r>
          </w:p>
        </w:tc>
        <w:tc>
          <w:tcPr>
            <w:tcW w:w="1275" w:type="dxa"/>
            <w:tcBorders>
              <w:top w:val="single" w:sz="12" w:space="0" w:color="auto"/>
            </w:tcBorders>
            <w:shd w:val="clear" w:color="auto" w:fill="auto"/>
            <w:tcMar>
              <w:top w:w="142" w:type="dxa"/>
              <w:left w:w="0" w:type="dxa"/>
              <w:bottom w:w="57" w:type="dxa"/>
              <w:right w:w="0" w:type="dxa"/>
            </w:tcMar>
            <w:vAlign w:val="bottom"/>
          </w:tcPr>
          <w:p w14:paraId="6BFDAEA7" w14:textId="77777777" w:rsidR="00875F95" w:rsidRPr="00875F95" w:rsidRDefault="00875F95" w:rsidP="00DC2263">
            <w:pPr>
              <w:spacing w:line="240" w:lineRule="atLeast"/>
              <w:jc w:val="right"/>
              <w:rPr>
                <w:rFonts w:ascii="Tahoma" w:hAnsi="Tahoma"/>
                <w:b/>
                <w:bCs/>
                <w:color w:val="000000" w:themeColor="text1"/>
                <w:sz w:val="16"/>
                <w:lang w:val="en-GB"/>
              </w:rPr>
            </w:pPr>
            <w:r w:rsidRPr="00875F95">
              <w:rPr>
                <w:rFonts w:ascii="Tahoma" w:hAnsi="Tahoma"/>
                <w:b/>
                <w:bCs/>
                <w:color w:val="000000" w:themeColor="text1"/>
                <w:sz w:val="16"/>
                <w:lang w:val="en-GB"/>
              </w:rPr>
              <w:t>193</w:t>
            </w:r>
          </w:p>
        </w:tc>
        <w:tc>
          <w:tcPr>
            <w:tcW w:w="1134" w:type="dxa"/>
            <w:tcBorders>
              <w:top w:val="single" w:sz="12" w:space="0" w:color="auto"/>
            </w:tcBorders>
            <w:shd w:val="clear" w:color="auto" w:fill="auto"/>
            <w:tcMar>
              <w:top w:w="142" w:type="dxa"/>
              <w:left w:w="0" w:type="dxa"/>
              <w:bottom w:w="57" w:type="dxa"/>
              <w:right w:w="0" w:type="dxa"/>
            </w:tcMar>
            <w:vAlign w:val="bottom"/>
          </w:tcPr>
          <w:p w14:paraId="7E223560" w14:textId="77777777" w:rsidR="00875F95" w:rsidRPr="00875F95" w:rsidRDefault="00875F95" w:rsidP="00DC2263">
            <w:pPr>
              <w:spacing w:line="240" w:lineRule="atLeast"/>
              <w:jc w:val="right"/>
              <w:rPr>
                <w:rFonts w:ascii="Tahoma" w:hAnsi="Tahoma"/>
                <w:color w:val="000000" w:themeColor="text1"/>
                <w:sz w:val="16"/>
                <w:lang w:val="en-GB"/>
              </w:rPr>
            </w:pPr>
            <w:r w:rsidRPr="00875F95">
              <w:rPr>
                <w:rFonts w:ascii="Tahoma" w:hAnsi="Tahoma"/>
                <w:color w:val="000000" w:themeColor="text1"/>
                <w:sz w:val="16"/>
                <w:lang w:val="en-GB"/>
              </w:rPr>
              <w:t>94</w:t>
            </w:r>
          </w:p>
        </w:tc>
        <w:tc>
          <w:tcPr>
            <w:tcW w:w="1134" w:type="dxa"/>
            <w:tcBorders>
              <w:top w:val="single" w:sz="12" w:space="0" w:color="auto"/>
            </w:tcBorders>
            <w:shd w:val="clear" w:color="auto" w:fill="auto"/>
            <w:tcMar>
              <w:top w:w="142" w:type="dxa"/>
              <w:left w:w="0" w:type="dxa"/>
              <w:bottom w:w="57" w:type="dxa"/>
              <w:right w:w="0" w:type="dxa"/>
            </w:tcMar>
            <w:vAlign w:val="bottom"/>
          </w:tcPr>
          <w:p w14:paraId="016695B2" w14:textId="77777777" w:rsidR="00875F95" w:rsidRPr="00875F95" w:rsidRDefault="00875F95" w:rsidP="00DC2263">
            <w:pPr>
              <w:spacing w:line="240" w:lineRule="atLeast"/>
              <w:jc w:val="right"/>
              <w:rPr>
                <w:rFonts w:ascii="Tahoma" w:hAnsi="Tahoma"/>
                <w:color w:val="000000" w:themeColor="text1"/>
                <w:sz w:val="16"/>
                <w:lang w:val="en-GB"/>
              </w:rPr>
            </w:pPr>
            <w:r w:rsidRPr="00875F95">
              <w:rPr>
                <w:rFonts w:ascii="Tahoma" w:hAnsi="Tahoma"/>
                <w:color w:val="000000" w:themeColor="text1"/>
                <w:sz w:val="16"/>
                <w:lang w:val="en-GB"/>
              </w:rPr>
              <w:t>155</w:t>
            </w:r>
          </w:p>
        </w:tc>
      </w:tr>
      <w:tr w:rsidR="00615190" w:rsidRPr="00875F95" w14:paraId="0771956D" w14:textId="77777777" w:rsidTr="00DC2263">
        <w:trPr>
          <w:trHeight w:val="60"/>
        </w:trPr>
        <w:tc>
          <w:tcPr>
            <w:tcW w:w="397" w:type="dxa"/>
            <w:shd w:val="clear" w:color="auto" w:fill="auto"/>
            <w:tcMar>
              <w:top w:w="57" w:type="dxa"/>
              <w:left w:w="0" w:type="dxa"/>
              <w:bottom w:w="57" w:type="dxa"/>
              <w:right w:w="0" w:type="dxa"/>
            </w:tcMar>
            <w:vAlign w:val="bottom"/>
          </w:tcPr>
          <w:p w14:paraId="50AD9971" w14:textId="77777777" w:rsidR="00875F95" w:rsidRPr="00875F95" w:rsidRDefault="00875F95" w:rsidP="00615190">
            <w:pPr>
              <w:spacing w:line="240" w:lineRule="atLeast"/>
              <w:rPr>
                <w:rFonts w:ascii="Tahoma" w:hAnsi="Tahoma"/>
                <w:color w:val="000000" w:themeColor="text1"/>
                <w:sz w:val="16"/>
                <w:lang w:val="en-GB"/>
              </w:rPr>
            </w:pPr>
          </w:p>
        </w:tc>
        <w:tc>
          <w:tcPr>
            <w:tcW w:w="6266" w:type="dxa"/>
            <w:shd w:val="clear" w:color="auto" w:fill="auto"/>
            <w:tcMar>
              <w:top w:w="57" w:type="dxa"/>
              <w:left w:w="0" w:type="dxa"/>
              <w:bottom w:w="57" w:type="dxa"/>
              <w:right w:w="113" w:type="dxa"/>
            </w:tcMar>
            <w:vAlign w:val="bottom"/>
          </w:tcPr>
          <w:p w14:paraId="2EE45E6A" w14:textId="77777777" w:rsidR="00875F95" w:rsidRPr="00875F95" w:rsidRDefault="00875F95" w:rsidP="00615190">
            <w:pPr>
              <w:spacing w:line="240" w:lineRule="atLeast"/>
              <w:rPr>
                <w:rFonts w:ascii="Tahoma" w:hAnsi="Tahoma"/>
                <w:i/>
                <w:iCs/>
                <w:color w:val="000000" w:themeColor="text1"/>
                <w:sz w:val="16"/>
                <w:lang w:val="en-GB"/>
              </w:rPr>
            </w:pPr>
            <w:r w:rsidRPr="00875F95">
              <w:rPr>
                <w:rFonts w:ascii="Tahoma" w:hAnsi="Tahoma"/>
                <w:i/>
                <w:iCs/>
                <w:color w:val="000000" w:themeColor="text1"/>
                <w:sz w:val="16"/>
                <w:lang w:val="en-GB"/>
              </w:rPr>
              <w:t>Adjusted for:</w:t>
            </w:r>
          </w:p>
        </w:tc>
        <w:tc>
          <w:tcPr>
            <w:tcW w:w="1275" w:type="dxa"/>
            <w:shd w:val="clear" w:color="auto" w:fill="auto"/>
            <w:tcMar>
              <w:top w:w="57" w:type="dxa"/>
              <w:left w:w="0" w:type="dxa"/>
              <w:bottom w:w="57" w:type="dxa"/>
              <w:right w:w="0" w:type="dxa"/>
            </w:tcMar>
            <w:vAlign w:val="bottom"/>
          </w:tcPr>
          <w:p w14:paraId="0A06E499" w14:textId="77777777" w:rsidR="00875F95" w:rsidRPr="00875F95" w:rsidRDefault="00875F95" w:rsidP="00DC2263">
            <w:pPr>
              <w:spacing w:line="240" w:lineRule="atLeast"/>
              <w:jc w:val="right"/>
              <w:rPr>
                <w:rFonts w:ascii="Tahoma" w:hAnsi="Tahoma"/>
                <w:b/>
                <w:bCs/>
                <w:color w:val="000000" w:themeColor="text1"/>
                <w:sz w:val="16"/>
                <w:lang w:val="en-GB"/>
              </w:rPr>
            </w:pPr>
          </w:p>
        </w:tc>
        <w:tc>
          <w:tcPr>
            <w:tcW w:w="1134" w:type="dxa"/>
            <w:shd w:val="clear" w:color="auto" w:fill="auto"/>
            <w:tcMar>
              <w:top w:w="57" w:type="dxa"/>
              <w:left w:w="0" w:type="dxa"/>
              <w:bottom w:w="57" w:type="dxa"/>
              <w:right w:w="0" w:type="dxa"/>
            </w:tcMar>
            <w:vAlign w:val="bottom"/>
          </w:tcPr>
          <w:p w14:paraId="457C7E20" w14:textId="77777777" w:rsidR="00875F95" w:rsidRPr="00875F95" w:rsidRDefault="00875F95" w:rsidP="00DC2263">
            <w:pPr>
              <w:spacing w:line="240" w:lineRule="atLeast"/>
              <w:jc w:val="right"/>
              <w:rPr>
                <w:rFonts w:ascii="Tahoma" w:hAnsi="Tahoma"/>
                <w:color w:val="000000" w:themeColor="text1"/>
                <w:sz w:val="16"/>
                <w:lang w:val="en-GB"/>
              </w:rPr>
            </w:pPr>
          </w:p>
        </w:tc>
        <w:tc>
          <w:tcPr>
            <w:tcW w:w="1134" w:type="dxa"/>
            <w:shd w:val="clear" w:color="auto" w:fill="auto"/>
            <w:tcMar>
              <w:top w:w="57" w:type="dxa"/>
              <w:left w:w="0" w:type="dxa"/>
              <w:bottom w:w="57" w:type="dxa"/>
              <w:right w:w="0" w:type="dxa"/>
            </w:tcMar>
            <w:vAlign w:val="bottom"/>
          </w:tcPr>
          <w:p w14:paraId="53FF6279" w14:textId="77777777" w:rsidR="00875F95" w:rsidRPr="00875F95" w:rsidRDefault="00875F95" w:rsidP="00DC2263">
            <w:pPr>
              <w:spacing w:line="240" w:lineRule="atLeast"/>
              <w:jc w:val="right"/>
              <w:rPr>
                <w:rFonts w:ascii="Tahoma" w:hAnsi="Tahoma"/>
                <w:color w:val="000000" w:themeColor="text1"/>
                <w:sz w:val="16"/>
                <w:lang w:val="en-GB"/>
              </w:rPr>
            </w:pPr>
          </w:p>
        </w:tc>
      </w:tr>
      <w:tr w:rsidR="00615190" w:rsidRPr="00875F95" w14:paraId="2B34A866" w14:textId="77777777" w:rsidTr="00DC2263">
        <w:trPr>
          <w:trHeight w:val="60"/>
        </w:trPr>
        <w:tc>
          <w:tcPr>
            <w:tcW w:w="397" w:type="dxa"/>
            <w:shd w:val="clear" w:color="auto" w:fill="auto"/>
            <w:tcMar>
              <w:top w:w="57" w:type="dxa"/>
              <w:left w:w="0" w:type="dxa"/>
              <w:bottom w:w="57" w:type="dxa"/>
              <w:right w:w="0" w:type="dxa"/>
            </w:tcMar>
            <w:vAlign w:val="bottom"/>
          </w:tcPr>
          <w:p w14:paraId="2B7E256E" w14:textId="77777777" w:rsidR="00875F95" w:rsidRPr="00875F95" w:rsidRDefault="00875F95" w:rsidP="00615190">
            <w:pPr>
              <w:spacing w:line="240" w:lineRule="atLeast"/>
              <w:rPr>
                <w:rFonts w:ascii="Tahoma" w:hAnsi="Tahoma"/>
                <w:color w:val="000000" w:themeColor="text1"/>
                <w:sz w:val="16"/>
                <w:lang w:val="en-GB"/>
              </w:rPr>
            </w:pPr>
          </w:p>
        </w:tc>
        <w:tc>
          <w:tcPr>
            <w:tcW w:w="6266" w:type="dxa"/>
            <w:shd w:val="clear" w:color="auto" w:fill="auto"/>
            <w:tcMar>
              <w:top w:w="57" w:type="dxa"/>
              <w:left w:w="0" w:type="dxa"/>
              <w:bottom w:w="57" w:type="dxa"/>
              <w:right w:w="113" w:type="dxa"/>
            </w:tcMar>
            <w:vAlign w:val="bottom"/>
          </w:tcPr>
          <w:p w14:paraId="216EB498" w14:textId="77777777" w:rsidR="00875F95" w:rsidRPr="00875F95" w:rsidRDefault="00875F95" w:rsidP="00615190">
            <w:pPr>
              <w:spacing w:line="240" w:lineRule="atLeast"/>
              <w:rPr>
                <w:rFonts w:ascii="Tahoma" w:hAnsi="Tahoma"/>
                <w:color w:val="000000" w:themeColor="text1"/>
                <w:sz w:val="16"/>
                <w:lang w:val="en-GB"/>
              </w:rPr>
            </w:pPr>
            <w:r w:rsidRPr="00875F95">
              <w:rPr>
                <w:rFonts w:ascii="Tahoma" w:hAnsi="Tahoma"/>
                <w:color w:val="000000" w:themeColor="text1"/>
                <w:sz w:val="16"/>
                <w:lang w:val="en-GB"/>
              </w:rPr>
              <w:t>– Remeasurement of cash-settled share-based incentive expenses</w:t>
            </w:r>
          </w:p>
        </w:tc>
        <w:tc>
          <w:tcPr>
            <w:tcW w:w="1275" w:type="dxa"/>
            <w:shd w:val="clear" w:color="auto" w:fill="auto"/>
            <w:tcMar>
              <w:top w:w="57" w:type="dxa"/>
              <w:left w:w="0" w:type="dxa"/>
              <w:bottom w:w="57" w:type="dxa"/>
              <w:right w:w="0" w:type="dxa"/>
            </w:tcMar>
            <w:vAlign w:val="bottom"/>
          </w:tcPr>
          <w:p w14:paraId="2F12F792" w14:textId="77777777" w:rsidR="00875F95" w:rsidRPr="00875F95" w:rsidRDefault="00875F95" w:rsidP="00DC2263">
            <w:pPr>
              <w:spacing w:line="240" w:lineRule="atLeast"/>
              <w:jc w:val="right"/>
              <w:rPr>
                <w:rFonts w:ascii="Tahoma" w:hAnsi="Tahoma"/>
                <w:b/>
                <w:bCs/>
                <w:color w:val="000000" w:themeColor="text1"/>
                <w:sz w:val="16"/>
                <w:lang w:val="en-GB"/>
              </w:rPr>
            </w:pPr>
            <w:r w:rsidRPr="00875F95">
              <w:rPr>
                <w:rFonts w:ascii="Tahoma" w:hAnsi="Tahoma"/>
                <w:b/>
                <w:bCs/>
                <w:color w:val="000000" w:themeColor="text1"/>
                <w:sz w:val="16"/>
                <w:lang w:val="en-GB"/>
              </w:rPr>
              <w:t>(33)</w:t>
            </w:r>
          </w:p>
        </w:tc>
        <w:tc>
          <w:tcPr>
            <w:tcW w:w="1134" w:type="dxa"/>
            <w:shd w:val="clear" w:color="auto" w:fill="auto"/>
            <w:tcMar>
              <w:top w:w="57" w:type="dxa"/>
              <w:left w:w="0" w:type="dxa"/>
              <w:bottom w:w="57" w:type="dxa"/>
              <w:right w:w="0" w:type="dxa"/>
            </w:tcMar>
            <w:vAlign w:val="bottom"/>
          </w:tcPr>
          <w:p w14:paraId="05B07967" w14:textId="77777777" w:rsidR="00875F95" w:rsidRPr="00875F95" w:rsidRDefault="00875F95" w:rsidP="00DC2263">
            <w:pPr>
              <w:spacing w:line="240" w:lineRule="atLeast"/>
              <w:jc w:val="right"/>
              <w:rPr>
                <w:rFonts w:ascii="Tahoma" w:hAnsi="Tahoma"/>
                <w:color w:val="000000" w:themeColor="text1"/>
                <w:sz w:val="16"/>
                <w:lang w:val="en-GB"/>
              </w:rPr>
            </w:pPr>
            <w:r w:rsidRPr="00875F95">
              <w:rPr>
                <w:rFonts w:ascii="Tahoma" w:hAnsi="Tahoma"/>
                <w:color w:val="000000" w:themeColor="text1"/>
                <w:sz w:val="16"/>
                <w:lang w:val="en-GB"/>
              </w:rPr>
              <w:t>5</w:t>
            </w:r>
          </w:p>
        </w:tc>
        <w:tc>
          <w:tcPr>
            <w:tcW w:w="1134" w:type="dxa"/>
            <w:shd w:val="clear" w:color="auto" w:fill="auto"/>
            <w:tcMar>
              <w:top w:w="57" w:type="dxa"/>
              <w:left w:w="0" w:type="dxa"/>
              <w:bottom w:w="57" w:type="dxa"/>
              <w:right w:w="0" w:type="dxa"/>
            </w:tcMar>
            <w:vAlign w:val="bottom"/>
          </w:tcPr>
          <w:p w14:paraId="5E2E2455" w14:textId="77777777" w:rsidR="00875F95" w:rsidRPr="00875F95" w:rsidRDefault="00875F95" w:rsidP="00DC2263">
            <w:pPr>
              <w:spacing w:line="240" w:lineRule="atLeast"/>
              <w:jc w:val="right"/>
              <w:rPr>
                <w:rFonts w:ascii="Tahoma" w:hAnsi="Tahoma"/>
                <w:color w:val="000000" w:themeColor="text1"/>
                <w:sz w:val="16"/>
                <w:lang w:val="en-GB"/>
              </w:rPr>
            </w:pPr>
            <w:r w:rsidRPr="00875F95">
              <w:rPr>
                <w:rFonts w:ascii="Tahoma" w:hAnsi="Tahoma"/>
                <w:color w:val="000000" w:themeColor="text1"/>
                <w:sz w:val="16"/>
                <w:lang w:val="en-GB"/>
              </w:rPr>
              <w:t>(19)</w:t>
            </w:r>
          </w:p>
        </w:tc>
      </w:tr>
      <w:tr w:rsidR="00615190" w:rsidRPr="00875F95" w14:paraId="18C1EF6E" w14:textId="77777777" w:rsidTr="00DC2263">
        <w:trPr>
          <w:trHeight w:val="60"/>
        </w:trPr>
        <w:tc>
          <w:tcPr>
            <w:tcW w:w="397" w:type="dxa"/>
            <w:shd w:val="clear" w:color="auto" w:fill="auto"/>
            <w:tcMar>
              <w:top w:w="57" w:type="dxa"/>
              <w:left w:w="0" w:type="dxa"/>
              <w:bottom w:w="57" w:type="dxa"/>
              <w:right w:w="0" w:type="dxa"/>
            </w:tcMar>
            <w:vAlign w:val="bottom"/>
          </w:tcPr>
          <w:p w14:paraId="1E2D0A87" w14:textId="77777777" w:rsidR="00875F95" w:rsidRPr="00875F95" w:rsidRDefault="00875F95" w:rsidP="00615190">
            <w:pPr>
              <w:spacing w:line="240" w:lineRule="atLeast"/>
              <w:rPr>
                <w:rFonts w:ascii="Tahoma" w:hAnsi="Tahoma"/>
                <w:color w:val="000000" w:themeColor="text1"/>
                <w:sz w:val="16"/>
                <w:lang w:val="en-GB"/>
              </w:rPr>
            </w:pPr>
          </w:p>
        </w:tc>
        <w:tc>
          <w:tcPr>
            <w:tcW w:w="6266" w:type="dxa"/>
            <w:shd w:val="clear" w:color="auto" w:fill="auto"/>
            <w:tcMar>
              <w:top w:w="57" w:type="dxa"/>
              <w:left w:w="0" w:type="dxa"/>
              <w:bottom w:w="57" w:type="dxa"/>
              <w:right w:w="113" w:type="dxa"/>
            </w:tcMar>
            <w:vAlign w:val="bottom"/>
          </w:tcPr>
          <w:p w14:paraId="40F99CBB" w14:textId="77777777" w:rsidR="00875F95" w:rsidRPr="00875F95" w:rsidRDefault="00875F95" w:rsidP="00615190">
            <w:pPr>
              <w:spacing w:line="240" w:lineRule="atLeast"/>
              <w:rPr>
                <w:rFonts w:ascii="Tahoma" w:hAnsi="Tahoma"/>
                <w:color w:val="000000" w:themeColor="text1"/>
                <w:sz w:val="16"/>
                <w:lang w:val="en-GB"/>
              </w:rPr>
            </w:pPr>
            <w:r w:rsidRPr="00875F95">
              <w:rPr>
                <w:rFonts w:ascii="Tahoma" w:hAnsi="Tahoma"/>
                <w:color w:val="000000" w:themeColor="text1"/>
                <w:sz w:val="16"/>
                <w:lang w:val="en-GB"/>
              </w:rPr>
              <w:t>– Amortisation of other intangible assets</w:t>
            </w:r>
          </w:p>
        </w:tc>
        <w:tc>
          <w:tcPr>
            <w:tcW w:w="1275" w:type="dxa"/>
            <w:shd w:val="clear" w:color="auto" w:fill="auto"/>
            <w:tcMar>
              <w:top w:w="57" w:type="dxa"/>
              <w:left w:w="0" w:type="dxa"/>
              <w:bottom w:w="57" w:type="dxa"/>
              <w:right w:w="0" w:type="dxa"/>
            </w:tcMar>
            <w:vAlign w:val="bottom"/>
          </w:tcPr>
          <w:p w14:paraId="42FE9AE9" w14:textId="77777777" w:rsidR="00875F95" w:rsidRPr="00875F95" w:rsidRDefault="00875F95" w:rsidP="00DC2263">
            <w:pPr>
              <w:spacing w:line="240" w:lineRule="atLeast"/>
              <w:jc w:val="right"/>
              <w:rPr>
                <w:rFonts w:ascii="Tahoma" w:hAnsi="Tahoma"/>
                <w:b/>
                <w:bCs/>
                <w:color w:val="000000" w:themeColor="text1"/>
                <w:sz w:val="16"/>
                <w:lang w:val="en-GB"/>
              </w:rPr>
            </w:pPr>
            <w:r w:rsidRPr="00875F95">
              <w:rPr>
                <w:rFonts w:ascii="Tahoma" w:hAnsi="Tahoma"/>
                <w:b/>
                <w:bCs/>
                <w:color w:val="000000" w:themeColor="text1"/>
                <w:sz w:val="16"/>
                <w:lang w:val="en-GB"/>
              </w:rPr>
              <w:t>8</w:t>
            </w:r>
          </w:p>
        </w:tc>
        <w:tc>
          <w:tcPr>
            <w:tcW w:w="1134" w:type="dxa"/>
            <w:shd w:val="clear" w:color="auto" w:fill="auto"/>
            <w:tcMar>
              <w:top w:w="57" w:type="dxa"/>
              <w:left w:w="0" w:type="dxa"/>
              <w:bottom w:w="57" w:type="dxa"/>
              <w:right w:w="0" w:type="dxa"/>
            </w:tcMar>
            <w:vAlign w:val="bottom"/>
          </w:tcPr>
          <w:p w14:paraId="3C89A27A" w14:textId="77777777" w:rsidR="00875F95" w:rsidRPr="00875F95" w:rsidRDefault="00875F95" w:rsidP="00DC2263">
            <w:pPr>
              <w:spacing w:line="240" w:lineRule="atLeast"/>
              <w:jc w:val="right"/>
              <w:rPr>
                <w:rFonts w:ascii="Tahoma" w:hAnsi="Tahoma"/>
                <w:color w:val="000000" w:themeColor="text1"/>
                <w:sz w:val="16"/>
                <w:lang w:val="en-GB"/>
              </w:rPr>
            </w:pPr>
            <w:r w:rsidRPr="00875F95">
              <w:rPr>
                <w:rFonts w:ascii="Tahoma" w:hAnsi="Tahoma"/>
                <w:color w:val="000000" w:themeColor="text1"/>
                <w:sz w:val="16"/>
                <w:lang w:val="en-GB"/>
              </w:rPr>
              <w:t>24</w:t>
            </w:r>
          </w:p>
        </w:tc>
        <w:tc>
          <w:tcPr>
            <w:tcW w:w="1134" w:type="dxa"/>
            <w:shd w:val="clear" w:color="auto" w:fill="auto"/>
            <w:tcMar>
              <w:top w:w="57" w:type="dxa"/>
              <w:left w:w="0" w:type="dxa"/>
              <w:bottom w:w="57" w:type="dxa"/>
              <w:right w:w="0" w:type="dxa"/>
            </w:tcMar>
            <w:vAlign w:val="bottom"/>
          </w:tcPr>
          <w:p w14:paraId="072B0741" w14:textId="77777777" w:rsidR="00875F95" w:rsidRPr="00875F95" w:rsidRDefault="00875F95" w:rsidP="00DC2263">
            <w:pPr>
              <w:spacing w:line="240" w:lineRule="atLeast"/>
              <w:jc w:val="right"/>
              <w:rPr>
                <w:rFonts w:ascii="Tahoma" w:hAnsi="Tahoma"/>
                <w:color w:val="000000" w:themeColor="text1"/>
                <w:sz w:val="16"/>
                <w:lang w:val="en-GB"/>
              </w:rPr>
            </w:pPr>
            <w:r w:rsidRPr="00875F95">
              <w:rPr>
                <w:rFonts w:ascii="Tahoma" w:hAnsi="Tahoma"/>
                <w:color w:val="000000" w:themeColor="text1"/>
                <w:sz w:val="16"/>
                <w:lang w:val="en-GB"/>
              </w:rPr>
              <w:t>46</w:t>
            </w:r>
          </w:p>
        </w:tc>
      </w:tr>
      <w:tr w:rsidR="00615190" w:rsidRPr="00875F95" w14:paraId="3ED77C64" w14:textId="77777777" w:rsidTr="006F15EC">
        <w:trPr>
          <w:trHeight w:val="60"/>
        </w:trPr>
        <w:tc>
          <w:tcPr>
            <w:tcW w:w="397" w:type="dxa"/>
            <w:shd w:val="clear" w:color="auto" w:fill="auto"/>
            <w:tcMar>
              <w:top w:w="57" w:type="dxa"/>
              <w:left w:w="0" w:type="dxa"/>
              <w:bottom w:w="57" w:type="dxa"/>
              <w:right w:w="0" w:type="dxa"/>
            </w:tcMar>
            <w:vAlign w:val="bottom"/>
          </w:tcPr>
          <w:p w14:paraId="630B05E2" w14:textId="77777777" w:rsidR="00875F95" w:rsidRPr="00875F95" w:rsidRDefault="00875F95" w:rsidP="00615190">
            <w:pPr>
              <w:spacing w:line="240" w:lineRule="atLeast"/>
              <w:rPr>
                <w:rFonts w:ascii="Tahoma" w:hAnsi="Tahoma"/>
                <w:color w:val="000000" w:themeColor="text1"/>
                <w:sz w:val="16"/>
                <w:lang w:val="en-GB"/>
              </w:rPr>
            </w:pPr>
          </w:p>
        </w:tc>
        <w:tc>
          <w:tcPr>
            <w:tcW w:w="6266" w:type="dxa"/>
            <w:shd w:val="clear" w:color="auto" w:fill="auto"/>
            <w:tcMar>
              <w:top w:w="57" w:type="dxa"/>
              <w:left w:w="0" w:type="dxa"/>
              <w:bottom w:w="57" w:type="dxa"/>
              <w:right w:w="113" w:type="dxa"/>
            </w:tcMar>
            <w:vAlign w:val="bottom"/>
          </w:tcPr>
          <w:p w14:paraId="38ED8E69" w14:textId="77777777" w:rsidR="00875F95" w:rsidRPr="00875F95" w:rsidRDefault="00875F95" w:rsidP="00615190">
            <w:pPr>
              <w:spacing w:line="240" w:lineRule="atLeast"/>
              <w:rPr>
                <w:rFonts w:ascii="Tahoma" w:hAnsi="Tahoma"/>
                <w:color w:val="000000" w:themeColor="text1"/>
                <w:sz w:val="16"/>
                <w:lang w:val="en-GB"/>
              </w:rPr>
            </w:pPr>
            <w:r w:rsidRPr="00875F95">
              <w:rPr>
                <w:rFonts w:ascii="Tahoma" w:hAnsi="Tahoma"/>
                <w:color w:val="000000" w:themeColor="text1"/>
                <w:sz w:val="16"/>
                <w:lang w:val="en-GB"/>
              </w:rPr>
              <w:t>– Fair-value adjustments and currency translation differences</w:t>
            </w:r>
          </w:p>
        </w:tc>
        <w:tc>
          <w:tcPr>
            <w:tcW w:w="1275" w:type="dxa"/>
            <w:shd w:val="clear" w:color="auto" w:fill="auto"/>
            <w:tcMar>
              <w:top w:w="57" w:type="dxa"/>
              <w:left w:w="0" w:type="dxa"/>
              <w:bottom w:w="57" w:type="dxa"/>
              <w:right w:w="0" w:type="dxa"/>
            </w:tcMar>
            <w:vAlign w:val="bottom"/>
          </w:tcPr>
          <w:p w14:paraId="0C7D2DC9" w14:textId="77777777" w:rsidR="00875F95" w:rsidRPr="00875F95" w:rsidRDefault="00875F95" w:rsidP="00DC2263">
            <w:pPr>
              <w:spacing w:line="240" w:lineRule="atLeast"/>
              <w:jc w:val="right"/>
              <w:rPr>
                <w:rFonts w:ascii="Tahoma" w:hAnsi="Tahoma"/>
                <w:b/>
                <w:bCs/>
                <w:color w:val="000000" w:themeColor="text1"/>
                <w:sz w:val="16"/>
                <w:lang w:val="en-GB"/>
              </w:rPr>
            </w:pPr>
            <w:r w:rsidRPr="00875F95">
              <w:rPr>
                <w:rFonts w:ascii="Tahoma" w:hAnsi="Tahoma"/>
                <w:b/>
                <w:bCs/>
                <w:color w:val="000000" w:themeColor="text1"/>
                <w:sz w:val="16"/>
                <w:lang w:val="en-GB"/>
              </w:rPr>
              <w:t>9</w:t>
            </w:r>
          </w:p>
        </w:tc>
        <w:tc>
          <w:tcPr>
            <w:tcW w:w="1134" w:type="dxa"/>
            <w:shd w:val="clear" w:color="auto" w:fill="auto"/>
            <w:tcMar>
              <w:top w:w="57" w:type="dxa"/>
              <w:left w:w="0" w:type="dxa"/>
              <w:bottom w:w="57" w:type="dxa"/>
              <w:right w:w="0" w:type="dxa"/>
            </w:tcMar>
            <w:vAlign w:val="bottom"/>
          </w:tcPr>
          <w:p w14:paraId="3952311E" w14:textId="77777777" w:rsidR="00875F95" w:rsidRPr="00875F95" w:rsidRDefault="00875F95" w:rsidP="00DC2263">
            <w:pPr>
              <w:spacing w:line="240" w:lineRule="atLeast"/>
              <w:jc w:val="right"/>
              <w:rPr>
                <w:rFonts w:ascii="Tahoma" w:hAnsi="Tahoma"/>
                <w:color w:val="000000" w:themeColor="text1"/>
                <w:sz w:val="16"/>
                <w:lang w:val="en-GB"/>
              </w:rPr>
            </w:pPr>
            <w:r w:rsidRPr="00875F95">
              <w:rPr>
                <w:rFonts w:ascii="Tahoma" w:hAnsi="Tahoma"/>
                <w:color w:val="000000" w:themeColor="text1"/>
                <w:sz w:val="16"/>
                <w:lang w:val="en-GB"/>
              </w:rPr>
              <w:t>(1)</w:t>
            </w:r>
          </w:p>
        </w:tc>
        <w:tc>
          <w:tcPr>
            <w:tcW w:w="1134" w:type="dxa"/>
            <w:shd w:val="clear" w:color="auto" w:fill="auto"/>
            <w:tcMar>
              <w:top w:w="57" w:type="dxa"/>
              <w:left w:w="0" w:type="dxa"/>
              <w:bottom w:w="57" w:type="dxa"/>
              <w:right w:w="0" w:type="dxa"/>
            </w:tcMar>
            <w:vAlign w:val="bottom"/>
          </w:tcPr>
          <w:p w14:paraId="21330F1C" w14:textId="77777777" w:rsidR="00875F95" w:rsidRPr="00875F95" w:rsidRDefault="00875F95" w:rsidP="00DC2263">
            <w:pPr>
              <w:spacing w:line="240" w:lineRule="atLeast"/>
              <w:jc w:val="right"/>
              <w:rPr>
                <w:rFonts w:ascii="Tahoma" w:hAnsi="Tahoma"/>
                <w:color w:val="000000" w:themeColor="text1"/>
                <w:sz w:val="16"/>
                <w:lang w:val="en-GB"/>
              </w:rPr>
            </w:pPr>
            <w:r w:rsidRPr="00875F95">
              <w:rPr>
                <w:rFonts w:ascii="Tahoma" w:hAnsi="Tahoma"/>
                <w:color w:val="000000" w:themeColor="text1"/>
                <w:sz w:val="16"/>
                <w:lang w:val="en-GB"/>
              </w:rPr>
              <w:t>—</w:t>
            </w:r>
          </w:p>
        </w:tc>
      </w:tr>
      <w:tr w:rsidR="00615190" w:rsidRPr="00875F95" w14:paraId="79623A89" w14:textId="77777777" w:rsidTr="006F15EC">
        <w:trPr>
          <w:trHeight w:val="60"/>
        </w:trPr>
        <w:tc>
          <w:tcPr>
            <w:tcW w:w="397" w:type="dxa"/>
            <w:shd w:val="clear" w:color="auto" w:fill="auto"/>
            <w:tcMar>
              <w:top w:w="57" w:type="dxa"/>
              <w:left w:w="0" w:type="dxa"/>
              <w:bottom w:w="85" w:type="dxa"/>
              <w:right w:w="0" w:type="dxa"/>
            </w:tcMar>
            <w:vAlign w:val="bottom"/>
          </w:tcPr>
          <w:p w14:paraId="6BCBCC49" w14:textId="77777777" w:rsidR="00875F95" w:rsidRPr="00875F95" w:rsidRDefault="00875F95" w:rsidP="00615190">
            <w:pPr>
              <w:spacing w:line="240" w:lineRule="atLeast"/>
              <w:rPr>
                <w:rFonts w:ascii="Tahoma" w:hAnsi="Tahoma"/>
                <w:color w:val="000000" w:themeColor="text1"/>
                <w:sz w:val="16"/>
                <w:lang w:val="en-GB"/>
              </w:rPr>
            </w:pPr>
          </w:p>
        </w:tc>
        <w:tc>
          <w:tcPr>
            <w:tcW w:w="6266" w:type="dxa"/>
            <w:tcBorders>
              <w:bottom w:val="single" w:sz="4" w:space="0" w:color="auto"/>
            </w:tcBorders>
            <w:shd w:val="clear" w:color="auto" w:fill="auto"/>
            <w:tcMar>
              <w:top w:w="57" w:type="dxa"/>
              <w:left w:w="0" w:type="dxa"/>
              <w:bottom w:w="85" w:type="dxa"/>
              <w:right w:w="113" w:type="dxa"/>
            </w:tcMar>
            <w:vAlign w:val="bottom"/>
          </w:tcPr>
          <w:p w14:paraId="0469030F" w14:textId="77777777" w:rsidR="00875F95" w:rsidRPr="00875F95" w:rsidRDefault="00875F95" w:rsidP="00615190">
            <w:pPr>
              <w:spacing w:line="240" w:lineRule="atLeast"/>
              <w:rPr>
                <w:rFonts w:ascii="Tahoma" w:hAnsi="Tahoma"/>
                <w:color w:val="000000" w:themeColor="text1"/>
                <w:sz w:val="16"/>
                <w:lang w:val="en-GB"/>
              </w:rPr>
            </w:pPr>
            <w:r w:rsidRPr="00875F95">
              <w:rPr>
                <w:rFonts w:ascii="Tahoma" w:hAnsi="Tahoma"/>
                <w:color w:val="000000" w:themeColor="text1"/>
                <w:sz w:val="16"/>
                <w:lang w:val="en-GB"/>
              </w:rPr>
              <w:t>– Retention option expense</w:t>
            </w:r>
          </w:p>
        </w:tc>
        <w:tc>
          <w:tcPr>
            <w:tcW w:w="1275" w:type="dxa"/>
            <w:tcBorders>
              <w:bottom w:val="single" w:sz="4" w:space="0" w:color="auto"/>
            </w:tcBorders>
            <w:shd w:val="clear" w:color="auto" w:fill="auto"/>
            <w:tcMar>
              <w:top w:w="57" w:type="dxa"/>
              <w:left w:w="0" w:type="dxa"/>
              <w:bottom w:w="85" w:type="dxa"/>
              <w:right w:w="0" w:type="dxa"/>
            </w:tcMar>
            <w:vAlign w:val="bottom"/>
          </w:tcPr>
          <w:p w14:paraId="4BA717B6" w14:textId="77777777" w:rsidR="00875F95" w:rsidRPr="00875F95" w:rsidRDefault="00875F95" w:rsidP="00DC2263">
            <w:pPr>
              <w:spacing w:line="240" w:lineRule="atLeast"/>
              <w:jc w:val="right"/>
              <w:rPr>
                <w:rFonts w:ascii="Tahoma" w:hAnsi="Tahoma"/>
                <w:b/>
                <w:bCs/>
                <w:color w:val="000000" w:themeColor="text1"/>
                <w:sz w:val="16"/>
                <w:lang w:val="en-GB"/>
              </w:rPr>
            </w:pPr>
            <w:r w:rsidRPr="00875F95">
              <w:rPr>
                <w:rFonts w:ascii="Tahoma" w:hAnsi="Tahoma"/>
                <w:b/>
                <w:bCs/>
                <w:color w:val="000000" w:themeColor="text1"/>
                <w:sz w:val="16"/>
                <w:lang w:val="en-GB"/>
              </w:rPr>
              <w:t>—</w:t>
            </w:r>
          </w:p>
        </w:tc>
        <w:tc>
          <w:tcPr>
            <w:tcW w:w="1134" w:type="dxa"/>
            <w:tcBorders>
              <w:bottom w:val="single" w:sz="4" w:space="0" w:color="auto"/>
            </w:tcBorders>
            <w:shd w:val="clear" w:color="auto" w:fill="auto"/>
            <w:tcMar>
              <w:top w:w="57" w:type="dxa"/>
              <w:left w:w="0" w:type="dxa"/>
              <w:bottom w:w="85" w:type="dxa"/>
              <w:right w:w="0" w:type="dxa"/>
            </w:tcMar>
            <w:vAlign w:val="bottom"/>
          </w:tcPr>
          <w:p w14:paraId="644582F9" w14:textId="77777777" w:rsidR="00875F95" w:rsidRPr="00875F95" w:rsidRDefault="00875F95" w:rsidP="00DC2263">
            <w:pPr>
              <w:spacing w:line="240" w:lineRule="atLeast"/>
              <w:jc w:val="right"/>
              <w:rPr>
                <w:rFonts w:ascii="Tahoma" w:hAnsi="Tahoma"/>
                <w:color w:val="000000" w:themeColor="text1"/>
                <w:sz w:val="16"/>
                <w:lang w:val="en-GB"/>
              </w:rPr>
            </w:pPr>
            <w:r w:rsidRPr="00875F95">
              <w:rPr>
                <w:rFonts w:ascii="Tahoma" w:hAnsi="Tahoma"/>
                <w:color w:val="000000" w:themeColor="text1"/>
                <w:sz w:val="16"/>
                <w:lang w:val="en-GB"/>
              </w:rPr>
              <w:t>1</w:t>
            </w:r>
          </w:p>
        </w:tc>
        <w:tc>
          <w:tcPr>
            <w:tcW w:w="1134" w:type="dxa"/>
            <w:tcBorders>
              <w:bottom w:val="single" w:sz="4" w:space="0" w:color="auto"/>
            </w:tcBorders>
            <w:shd w:val="clear" w:color="auto" w:fill="auto"/>
            <w:tcMar>
              <w:top w:w="57" w:type="dxa"/>
              <w:left w:w="0" w:type="dxa"/>
              <w:bottom w:w="85" w:type="dxa"/>
              <w:right w:w="0" w:type="dxa"/>
            </w:tcMar>
            <w:vAlign w:val="bottom"/>
          </w:tcPr>
          <w:p w14:paraId="59BE6CD6" w14:textId="77777777" w:rsidR="00875F95" w:rsidRPr="00875F95" w:rsidRDefault="00875F95" w:rsidP="00DC2263">
            <w:pPr>
              <w:spacing w:line="240" w:lineRule="atLeast"/>
              <w:jc w:val="right"/>
              <w:rPr>
                <w:rFonts w:ascii="Tahoma" w:hAnsi="Tahoma"/>
                <w:color w:val="000000" w:themeColor="text1"/>
                <w:sz w:val="16"/>
                <w:lang w:val="en-GB"/>
              </w:rPr>
            </w:pPr>
            <w:r w:rsidRPr="00875F95">
              <w:rPr>
                <w:rFonts w:ascii="Tahoma" w:hAnsi="Tahoma"/>
                <w:color w:val="000000" w:themeColor="text1"/>
                <w:sz w:val="16"/>
                <w:lang w:val="en-GB"/>
              </w:rPr>
              <w:t>1</w:t>
            </w:r>
          </w:p>
        </w:tc>
      </w:tr>
      <w:tr w:rsidR="00615190" w:rsidRPr="00875F95" w14:paraId="3D1DB43E" w14:textId="77777777" w:rsidTr="006F15EC">
        <w:trPr>
          <w:trHeight w:val="60"/>
        </w:trPr>
        <w:tc>
          <w:tcPr>
            <w:tcW w:w="397" w:type="dxa"/>
            <w:shd w:val="clear" w:color="auto" w:fill="auto"/>
            <w:tcMar>
              <w:top w:w="85" w:type="dxa"/>
              <w:left w:w="0" w:type="dxa"/>
              <w:bottom w:w="85" w:type="dxa"/>
              <w:right w:w="0" w:type="dxa"/>
            </w:tcMar>
            <w:vAlign w:val="bottom"/>
          </w:tcPr>
          <w:p w14:paraId="486C9015" w14:textId="77777777" w:rsidR="00875F95" w:rsidRPr="00875F95" w:rsidRDefault="00875F95" w:rsidP="00615190">
            <w:pPr>
              <w:spacing w:line="240" w:lineRule="atLeast"/>
              <w:rPr>
                <w:rFonts w:ascii="Tahoma" w:hAnsi="Tahoma"/>
                <w:color w:val="000000" w:themeColor="text1"/>
                <w:sz w:val="16"/>
                <w:lang w:val="en-GB"/>
              </w:rPr>
            </w:pPr>
          </w:p>
        </w:tc>
        <w:tc>
          <w:tcPr>
            <w:tcW w:w="6266" w:type="dxa"/>
            <w:tcBorders>
              <w:top w:val="single" w:sz="4" w:space="0" w:color="auto"/>
              <w:bottom w:val="single" w:sz="12" w:space="0" w:color="auto"/>
            </w:tcBorders>
            <w:shd w:val="clear" w:color="auto" w:fill="auto"/>
            <w:tcMar>
              <w:top w:w="85" w:type="dxa"/>
              <w:left w:w="0" w:type="dxa"/>
              <w:bottom w:w="85" w:type="dxa"/>
              <w:right w:w="113" w:type="dxa"/>
            </w:tcMar>
            <w:vAlign w:val="bottom"/>
          </w:tcPr>
          <w:p w14:paraId="07E04847" w14:textId="77777777" w:rsidR="00875F95" w:rsidRPr="00875F95" w:rsidRDefault="00875F95" w:rsidP="00615190">
            <w:pPr>
              <w:spacing w:line="240" w:lineRule="atLeast"/>
              <w:rPr>
                <w:rFonts w:ascii="Tahoma" w:hAnsi="Tahoma"/>
                <w:b/>
                <w:bCs/>
                <w:color w:val="000000" w:themeColor="text1"/>
                <w:sz w:val="16"/>
                <w:lang w:val="en-GB"/>
              </w:rPr>
            </w:pPr>
            <w:r w:rsidRPr="00875F95">
              <w:rPr>
                <w:rFonts w:ascii="Tahoma" w:hAnsi="Tahoma"/>
                <w:b/>
                <w:bCs/>
                <w:color w:val="000000" w:themeColor="text1"/>
                <w:sz w:val="16"/>
                <w:lang w:val="en-GB"/>
              </w:rPr>
              <w:t>Core headline earnings from discontinued operations</w:t>
            </w:r>
          </w:p>
        </w:tc>
        <w:tc>
          <w:tcPr>
            <w:tcW w:w="1275"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42418CAE" w14:textId="77777777" w:rsidR="00875F95" w:rsidRPr="00875F95" w:rsidRDefault="00875F95" w:rsidP="00DC2263">
            <w:pPr>
              <w:spacing w:line="240" w:lineRule="atLeast"/>
              <w:jc w:val="right"/>
              <w:rPr>
                <w:rFonts w:ascii="Tahoma" w:hAnsi="Tahoma"/>
                <w:b/>
                <w:bCs/>
                <w:color w:val="000000" w:themeColor="text1"/>
                <w:sz w:val="16"/>
                <w:lang w:val="en-GB"/>
              </w:rPr>
            </w:pPr>
            <w:r w:rsidRPr="00875F95">
              <w:rPr>
                <w:rFonts w:ascii="Tahoma" w:hAnsi="Tahoma"/>
                <w:b/>
                <w:bCs/>
                <w:color w:val="000000" w:themeColor="text1"/>
                <w:sz w:val="16"/>
                <w:lang w:val="en-GB"/>
              </w:rPr>
              <w:t>177</w:t>
            </w:r>
          </w:p>
        </w:tc>
        <w:tc>
          <w:tcPr>
            <w:tcW w:w="1134"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67BED496" w14:textId="77777777" w:rsidR="00875F95" w:rsidRPr="00875F95" w:rsidRDefault="00875F95" w:rsidP="00DC2263">
            <w:pPr>
              <w:spacing w:line="240" w:lineRule="atLeast"/>
              <w:jc w:val="right"/>
              <w:rPr>
                <w:rFonts w:ascii="Tahoma" w:hAnsi="Tahoma"/>
                <w:color w:val="000000" w:themeColor="text1"/>
                <w:sz w:val="16"/>
                <w:lang w:val="en-GB"/>
              </w:rPr>
            </w:pPr>
            <w:r w:rsidRPr="00875F95">
              <w:rPr>
                <w:rFonts w:ascii="Tahoma" w:hAnsi="Tahoma"/>
                <w:color w:val="000000" w:themeColor="text1"/>
                <w:sz w:val="16"/>
                <w:lang w:val="en-GB"/>
              </w:rPr>
              <w:t>123</w:t>
            </w:r>
          </w:p>
        </w:tc>
        <w:tc>
          <w:tcPr>
            <w:tcW w:w="1134"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1EEE757B" w14:textId="77777777" w:rsidR="00875F95" w:rsidRPr="00875F95" w:rsidRDefault="00875F95" w:rsidP="00DC2263">
            <w:pPr>
              <w:spacing w:line="240" w:lineRule="atLeast"/>
              <w:jc w:val="right"/>
              <w:rPr>
                <w:rFonts w:ascii="Tahoma" w:hAnsi="Tahoma"/>
                <w:color w:val="000000" w:themeColor="text1"/>
                <w:sz w:val="16"/>
                <w:lang w:val="en-GB"/>
              </w:rPr>
            </w:pPr>
            <w:r w:rsidRPr="00875F95">
              <w:rPr>
                <w:rFonts w:ascii="Tahoma" w:hAnsi="Tahoma"/>
                <w:color w:val="000000" w:themeColor="text1"/>
                <w:sz w:val="16"/>
                <w:lang w:val="en-GB"/>
              </w:rPr>
              <w:t>183</w:t>
            </w:r>
          </w:p>
        </w:tc>
      </w:tr>
      <w:tr w:rsidR="00615190" w:rsidRPr="00875F95" w14:paraId="47116A77" w14:textId="77777777" w:rsidTr="006F15EC">
        <w:trPr>
          <w:trHeight w:val="60"/>
        </w:trPr>
        <w:tc>
          <w:tcPr>
            <w:tcW w:w="397" w:type="dxa"/>
            <w:shd w:val="clear" w:color="auto" w:fill="auto"/>
            <w:tcMar>
              <w:top w:w="85" w:type="dxa"/>
              <w:left w:w="0" w:type="dxa"/>
              <w:bottom w:w="57" w:type="dxa"/>
              <w:right w:w="0" w:type="dxa"/>
            </w:tcMar>
            <w:vAlign w:val="bottom"/>
          </w:tcPr>
          <w:p w14:paraId="37989015" w14:textId="77777777" w:rsidR="00875F95" w:rsidRPr="00875F95" w:rsidRDefault="00875F95" w:rsidP="00615190">
            <w:pPr>
              <w:spacing w:line="240" w:lineRule="atLeast"/>
              <w:rPr>
                <w:rFonts w:ascii="Tahoma" w:hAnsi="Tahoma"/>
                <w:color w:val="000000" w:themeColor="text1"/>
                <w:sz w:val="16"/>
                <w:lang w:val="en-GB"/>
              </w:rPr>
            </w:pPr>
          </w:p>
        </w:tc>
        <w:tc>
          <w:tcPr>
            <w:tcW w:w="6266" w:type="dxa"/>
            <w:tcBorders>
              <w:top w:val="single" w:sz="12" w:space="0" w:color="auto"/>
            </w:tcBorders>
            <w:shd w:val="clear" w:color="auto" w:fill="auto"/>
            <w:tcMar>
              <w:top w:w="85" w:type="dxa"/>
              <w:left w:w="0" w:type="dxa"/>
              <w:bottom w:w="57" w:type="dxa"/>
              <w:right w:w="113" w:type="dxa"/>
            </w:tcMar>
            <w:vAlign w:val="bottom"/>
          </w:tcPr>
          <w:p w14:paraId="72DC3C22" w14:textId="77777777" w:rsidR="00875F95" w:rsidRPr="00875F95" w:rsidRDefault="00875F95" w:rsidP="00615190">
            <w:pPr>
              <w:spacing w:line="240" w:lineRule="atLeast"/>
              <w:rPr>
                <w:rFonts w:ascii="Tahoma" w:hAnsi="Tahoma"/>
                <w:b/>
                <w:bCs/>
                <w:color w:val="000000" w:themeColor="text1"/>
                <w:sz w:val="16"/>
                <w:lang w:val="en-GB"/>
              </w:rPr>
            </w:pPr>
            <w:r w:rsidRPr="00875F95">
              <w:rPr>
                <w:rFonts w:ascii="Tahoma" w:hAnsi="Tahoma"/>
                <w:b/>
                <w:bCs/>
                <w:color w:val="000000" w:themeColor="text1"/>
                <w:sz w:val="16"/>
                <w:lang w:val="en-GB"/>
              </w:rPr>
              <w:t>Per share information</w:t>
            </w:r>
          </w:p>
        </w:tc>
        <w:tc>
          <w:tcPr>
            <w:tcW w:w="1275" w:type="dxa"/>
            <w:tcBorders>
              <w:top w:val="single" w:sz="12" w:space="0" w:color="auto"/>
            </w:tcBorders>
            <w:shd w:val="clear" w:color="auto" w:fill="auto"/>
            <w:tcMar>
              <w:top w:w="85" w:type="dxa"/>
              <w:left w:w="0" w:type="dxa"/>
              <w:bottom w:w="57" w:type="dxa"/>
              <w:right w:w="0" w:type="dxa"/>
            </w:tcMar>
            <w:vAlign w:val="bottom"/>
          </w:tcPr>
          <w:p w14:paraId="05FBE1A3" w14:textId="77777777" w:rsidR="00875F95" w:rsidRPr="00875F95" w:rsidRDefault="00875F95" w:rsidP="00DC2263">
            <w:pPr>
              <w:spacing w:line="240" w:lineRule="atLeast"/>
              <w:jc w:val="right"/>
              <w:rPr>
                <w:rFonts w:ascii="Tahoma" w:hAnsi="Tahoma"/>
                <w:b/>
                <w:bCs/>
                <w:color w:val="000000" w:themeColor="text1"/>
                <w:sz w:val="16"/>
                <w:lang w:val="en-GB"/>
              </w:rPr>
            </w:pPr>
          </w:p>
        </w:tc>
        <w:tc>
          <w:tcPr>
            <w:tcW w:w="1134" w:type="dxa"/>
            <w:tcBorders>
              <w:top w:val="single" w:sz="12" w:space="0" w:color="auto"/>
            </w:tcBorders>
            <w:shd w:val="clear" w:color="auto" w:fill="auto"/>
            <w:tcMar>
              <w:top w:w="85" w:type="dxa"/>
              <w:left w:w="0" w:type="dxa"/>
              <w:bottom w:w="57" w:type="dxa"/>
              <w:right w:w="0" w:type="dxa"/>
            </w:tcMar>
            <w:vAlign w:val="bottom"/>
          </w:tcPr>
          <w:p w14:paraId="2B0BD24E" w14:textId="77777777" w:rsidR="00875F95" w:rsidRPr="00875F95" w:rsidRDefault="00875F95" w:rsidP="00DC2263">
            <w:pPr>
              <w:spacing w:line="240" w:lineRule="atLeast"/>
              <w:jc w:val="right"/>
              <w:rPr>
                <w:rFonts w:ascii="Tahoma" w:hAnsi="Tahoma"/>
                <w:color w:val="000000" w:themeColor="text1"/>
                <w:sz w:val="16"/>
                <w:lang w:val="en-GB"/>
              </w:rPr>
            </w:pPr>
          </w:p>
        </w:tc>
        <w:tc>
          <w:tcPr>
            <w:tcW w:w="1134" w:type="dxa"/>
            <w:tcBorders>
              <w:top w:val="single" w:sz="12" w:space="0" w:color="auto"/>
            </w:tcBorders>
            <w:shd w:val="clear" w:color="auto" w:fill="auto"/>
            <w:tcMar>
              <w:top w:w="85" w:type="dxa"/>
              <w:left w:w="0" w:type="dxa"/>
              <w:bottom w:w="57" w:type="dxa"/>
              <w:right w:w="0" w:type="dxa"/>
            </w:tcMar>
            <w:vAlign w:val="bottom"/>
          </w:tcPr>
          <w:p w14:paraId="7F8FB4A0" w14:textId="77777777" w:rsidR="00875F95" w:rsidRPr="00875F95" w:rsidRDefault="00875F95" w:rsidP="00DC2263">
            <w:pPr>
              <w:spacing w:line="240" w:lineRule="atLeast"/>
              <w:jc w:val="right"/>
              <w:rPr>
                <w:rFonts w:ascii="Tahoma" w:hAnsi="Tahoma"/>
                <w:color w:val="000000" w:themeColor="text1"/>
                <w:sz w:val="16"/>
                <w:lang w:val="en-GB"/>
              </w:rPr>
            </w:pPr>
          </w:p>
        </w:tc>
      </w:tr>
      <w:tr w:rsidR="00615190" w:rsidRPr="00875F95" w14:paraId="14C936AF" w14:textId="77777777" w:rsidTr="006F15EC">
        <w:trPr>
          <w:trHeight w:val="60"/>
        </w:trPr>
        <w:tc>
          <w:tcPr>
            <w:tcW w:w="397" w:type="dxa"/>
            <w:shd w:val="clear" w:color="auto" w:fill="auto"/>
            <w:tcMar>
              <w:top w:w="57" w:type="dxa"/>
              <w:left w:w="0" w:type="dxa"/>
              <w:bottom w:w="57" w:type="dxa"/>
              <w:right w:w="0" w:type="dxa"/>
            </w:tcMar>
            <w:vAlign w:val="bottom"/>
          </w:tcPr>
          <w:p w14:paraId="022E3951" w14:textId="77777777" w:rsidR="00875F95" w:rsidRPr="00875F95" w:rsidRDefault="00875F95" w:rsidP="00615190">
            <w:pPr>
              <w:spacing w:line="240" w:lineRule="atLeast"/>
              <w:rPr>
                <w:rFonts w:ascii="Tahoma" w:hAnsi="Tahoma"/>
                <w:color w:val="000000" w:themeColor="text1"/>
                <w:sz w:val="16"/>
                <w:lang w:val="en-GB"/>
              </w:rPr>
            </w:pPr>
          </w:p>
        </w:tc>
        <w:tc>
          <w:tcPr>
            <w:tcW w:w="6266" w:type="dxa"/>
            <w:shd w:val="clear" w:color="auto" w:fill="auto"/>
            <w:tcMar>
              <w:top w:w="57" w:type="dxa"/>
              <w:left w:w="0" w:type="dxa"/>
              <w:bottom w:w="57" w:type="dxa"/>
              <w:right w:w="113" w:type="dxa"/>
            </w:tcMar>
            <w:vAlign w:val="bottom"/>
          </w:tcPr>
          <w:p w14:paraId="425982FC" w14:textId="77777777" w:rsidR="00875F95" w:rsidRPr="00875F95" w:rsidRDefault="00875F95" w:rsidP="00615190">
            <w:pPr>
              <w:spacing w:line="240" w:lineRule="atLeast"/>
              <w:rPr>
                <w:rFonts w:ascii="Tahoma" w:hAnsi="Tahoma"/>
                <w:color w:val="000000" w:themeColor="text1"/>
                <w:sz w:val="16"/>
                <w:lang w:val="en-GB"/>
              </w:rPr>
            </w:pPr>
            <w:r w:rsidRPr="00875F95">
              <w:rPr>
                <w:rFonts w:ascii="Tahoma" w:hAnsi="Tahoma"/>
                <w:color w:val="000000" w:themeColor="text1"/>
                <w:sz w:val="16"/>
                <w:lang w:val="en-GB"/>
              </w:rPr>
              <w:t>Core headline earnings per ordinary share N (US cents)</w:t>
            </w:r>
          </w:p>
        </w:tc>
        <w:tc>
          <w:tcPr>
            <w:tcW w:w="1275" w:type="dxa"/>
            <w:shd w:val="clear" w:color="auto" w:fill="auto"/>
            <w:tcMar>
              <w:top w:w="57" w:type="dxa"/>
              <w:left w:w="0" w:type="dxa"/>
              <w:bottom w:w="57" w:type="dxa"/>
              <w:right w:w="0" w:type="dxa"/>
            </w:tcMar>
            <w:vAlign w:val="bottom"/>
          </w:tcPr>
          <w:p w14:paraId="7F02DDFA" w14:textId="77777777" w:rsidR="00875F95" w:rsidRPr="00875F95" w:rsidRDefault="00875F95" w:rsidP="00DC2263">
            <w:pPr>
              <w:spacing w:line="240" w:lineRule="atLeast"/>
              <w:jc w:val="right"/>
              <w:rPr>
                <w:rFonts w:ascii="Tahoma" w:hAnsi="Tahoma"/>
                <w:b/>
                <w:bCs/>
                <w:color w:val="000000" w:themeColor="text1"/>
                <w:sz w:val="16"/>
                <w:lang w:val="en-GB"/>
              </w:rPr>
            </w:pPr>
            <w:r w:rsidRPr="00875F95">
              <w:rPr>
                <w:rFonts w:ascii="Tahoma" w:hAnsi="Tahoma"/>
                <w:b/>
                <w:bCs/>
                <w:color w:val="000000" w:themeColor="text1"/>
                <w:sz w:val="16"/>
                <w:lang w:val="en-GB"/>
              </w:rPr>
              <w:t>13</w:t>
            </w:r>
          </w:p>
        </w:tc>
        <w:tc>
          <w:tcPr>
            <w:tcW w:w="1134" w:type="dxa"/>
            <w:shd w:val="clear" w:color="auto" w:fill="auto"/>
            <w:tcMar>
              <w:top w:w="57" w:type="dxa"/>
              <w:left w:w="0" w:type="dxa"/>
              <w:bottom w:w="57" w:type="dxa"/>
              <w:right w:w="0" w:type="dxa"/>
            </w:tcMar>
            <w:vAlign w:val="bottom"/>
          </w:tcPr>
          <w:p w14:paraId="2C0ACE43" w14:textId="77777777" w:rsidR="00875F95" w:rsidRPr="00875F95" w:rsidRDefault="00875F95" w:rsidP="00DC2263">
            <w:pPr>
              <w:spacing w:line="240" w:lineRule="atLeast"/>
              <w:jc w:val="right"/>
              <w:rPr>
                <w:rFonts w:ascii="Tahoma" w:hAnsi="Tahoma"/>
                <w:color w:val="000000" w:themeColor="text1"/>
                <w:sz w:val="16"/>
                <w:lang w:val="en-GB"/>
              </w:rPr>
            </w:pPr>
            <w:r w:rsidRPr="00875F95">
              <w:rPr>
                <w:rFonts w:ascii="Tahoma" w:hAnsi="Tahoma"/>
                <w:color w:val="000000" w:themeColor="text1"/>
                <w:sz w:val="16"/>
                <w:lang w:val="en-GB"/>
              </w:rPr>
              <w:t>8</w:t>
            </w:r>
          </w:p>
        </w:tc>
        <w:tc>
          <w:tcPr>
            <w:tcW w:w="1134" w:type="dxa"/>
            <w:shd w:val="clear" w:color="auto" w:fill="auto"/>
            <w:tcMar>
              <w:top w:w="57" w:type="dxa"/>
              <w:left w:w="0" w:type="dxa"/>
              <w:bottom w:w="57" w:type="dxa"/>
              <w:right w:w="0" w:type="dxa"/>
            </w:tcMar>
            <w:vAlign w:val="bottom"/>
          </w:tcPr>
          <w:p w14:paraId="35979F5B" w14:textId="77777777" w:rsidR="00875F95" w:rsidRPr="00875F95" w:rsidRDefault="00875F95" w:rsidP="00DC2263">
            <w:pPr>
              <w:spacing w:line="240" w:lineRule="atLeast"/>
              <w:jc w:val="right"/>
              <w:rPr>
                <w:rFonts w:ascii="Tahoma" w:hAnsi="Tahoma"/>
                <w:color w:val="000000" w:themeColor="text1"/>
                <w:sz w:val="16"/>
                <w:lang w:val="en-GB"/>
              </w:rPr>
            </w:pPr>
            <w:r w:rsidRPr="00875F95">
              <w:rPr>
                <w:rFonts w:ascii="Tahoma" w:hAnsi="Tahoma"/>
                <w:color w:val="000000" w:themeColor="text1"/>
                <w:sz w:val="16"/>
                <w:lang w:val="en-GB"/>
              </w:rPr>
              <w:t>12</w:t>
            </w:r>
          </w:p>
        </w:tc>
      </w:tr>
      <w:tr w:rsidR="00615190" w:rsidRPr="00875F95" w14:paraId="7D313C98" w14:textId="77777777" w:rsidTr="006F15EC">
        <w:trPr>
          <w:trHeight w:val="60"/>
        </w:trPr>
        <w:tc>
          <w:tcPr>
            <w:tcW w:w="397" w:type="dxa"/>
            <w:shd w:val="clear" w:color="auto" w:fill="auto"/>
            <w:tcMar>
              <w:top w:w="57" w:type="dxa"/>
              <w:left w:w="0" w:type="dxa"/>
              <w:bottom w:w="85" w:type="dxa"/>
              <w:right w:w="0" w:type="dxa"/>
            </w:tcMar>
            <w:vAlign w:val="bottom"/>
          </w:tcPr>
          <w:p w14:paraId="06439C23" w14:textId="77777777" w:rsidR="00875F95" w:rsidRPr="00875F95" w:rsidRDefault="00875F95" w:rsidP="00615190">
            <w:pPr>
              <w:spacing w:line="240" w:lineRule="atLeast"/>
              <w:rPr>
                <w:rFonts w:ascii="Tahoma" w:hAnsi="Tahoma"/>
                <w:color w:val="000000" w:themeColor="text1"/>
                <w:sz w:val="16"/>
                <w:lang w:val="en-GB"/>
              </w:rPr>
            </w:pPr>
          </w:p>
        </w:tc>
        <w:tc>
          <w:tcPr>
            <w:tcW w:w="6266" w:type="dxa"/>
            <w:tcBorders>
              <w:bottom w:val="single" w:sz="12" w:space="0" w:color="auto"/>
            </w:tcBorders>
            <w:shd w:val="clear" w:color="auto" w:fill="auto"/>
            <w:tcMar>
              <w:top w:w="57" w:type="dxa"/>
              <w:left w:w="0" w:type="dxa"/>
              <w:bottom w:w="85" w:type="dxa"/>
              <w:right w:w="113" w:type="dxa"/>
            </w:tcMar>
            <w:vAlign w:val="bottom"/>
          </w:tcPr>
          <w:p w14:paraId="6AC9A5E8" w14:textId="77777777" w:rsidR="00875F95" w:rsidRPr="00875F95" w:rsidRDefault="00875F95" w:rsidP="00615190">
            <w:pPr>
              <w:spacing w:line="240" w:lineRule="atLeast"/>
              <w:rPr>
                <w:rFonts w:ascii="Tahoma" w:hAnsi="Tahoma"/>
                <w:color w:val="000000" w:themeColor="text1"/>
                <w:sz w:val="16"/>
                <w:lang w:val="en-GB"/>
              </w:rPr>
            </w:pPr>
            <w:r w:rsidRPr="00875F95">
              <w:rPr>
                <w:rFonts w:ascii="Tahoma" w:hAnsi="Tahoma"/>
                <w:color w:val="000000" w:themeColor="text1"/>
                <w:sz w:val="16"/>
                <w:lang w:val="en-GB"/>
              </w:rPr>
              <w:t>Diluted core headline earnings per ordinary share N (US cents)</w:t>
            </w:r>
          </w:p>
        </w:tc>
        <w:tc>
          <w:tcPr>
            <w:tcW w:w="1275" w:type="dxa"/>
            <w:tcBorders>
              <w:bottom w:val="single" w:sz="12" w:space="0" w:color="auto"/>
            </w:tcBorders>
            <w:shd w:val="clear" w:color="auto" w:fill="auto"/>
            <w:tcMar>
              <w:top w:w="57" w:type="dxa"/>
              <w:left w:w="0" w:type="dxa"/>
              <w:bottom w:w="85" w:type="dxa"/>
              <w:right w:w="0" w:type="dxa"/>
            </w:tcMar>
            <w:vAlign w:val="bottom"/>
          </w:tcPr>
          <w:p w14:paraId="54EEA227" w14:textId="77777777" w:rsidR="00875F95" w:rsidRPr="00875F95" w:rsidRDefault="00875F95" w:rsidP="00DC2263">
            <w:pPr>
              <w:spacing w:line="240" w:lineRule="atLeast"/>
              <w:jc w:val="right"/>
              <w:rPr>
                <w:rFonts w:ascii="Tahoma" w:hAnsi="Tahoma"/>
                <w:b/>
                <w:bCs/>
                <w:color w:val="000000" w:themeColor="text1"/>
                <w:sz w:val="16"/>
                <w:lang w:val="en-GB"/>
              </w:rPr>
            </w:pPr>
            <w:r w:rsidRPr="00875F95">
              <w:rPr>
                <w:rFonts w:ascii="Tahoma" w:hAnsi="Tahoma"/>
                <w:b/>
                <w:bCs/>
                <w:color w:val="000000" w:themeColor="text1"/>
                <w:sz w:val="16"/>
                <w:lang w:val="en-GB"/>
              </w:rPr>
              <w:t>13</w:t>
            </w:r>
          </w:p>
        </w:tc>
        <w:tc>
          <w:tcPr>
            <w:tcW w:w="1134" w:type="dxa"/>
            <w:tcBorders>
              <w:bottom w:val="single" w:sz="12" w:space="0" w:color="auto"/>
            </w:tcBorders>
            <w:shd w:val="clear" w:color="auto" w:fill="auto"/>
            <w:tcMar>
              <w:top w:w="57" w:type="dxa"/>
              <w:left w:w="0" w:type="dxa"/>
              <w:bottom w:w="85" w:type="dxa"/>
              <w:right w:w="0" w:type="dxa"/>
            </w:tcMar>
            <w:vAlign w:val="bottom"/>
          </w:tcPr>
          <w:p w14:paraId="61CF8928" w14:textId="77777777" w:rsidR="00875F95" w:rsidRPr="00875F95" w:rsidRDefault="00875F95" w:rsidP="00DC2263">
            <w:pPr>
              <w:spacing w:line="240" w:lineRule="atLeast"/>
              <w:jc w:val="right"/>
              <w:rPr>
                <w:rFonts w:ascii="Tahoma" w:hAnsi="Tahoma"/>
                <w:color w:val="000000" w:themeColor="text1"/>
                <w:sz w:val="16"/>
                <w:lang w:val="en-GB"/>
              </w:rPr>
            </w:pPr>
            <w:r w:rsidRPr="00875F95">
              <w:rPr>
                <w:rFonts w:ascii="Tahoma" w:hAnsi="Tahoma"/>
                <w:color w:val="000000" w:themeColor="text1"/>
                <w:sz w:val="16"/>
                <w:lang w:val="en-GB"/>
              </w:rPr>
              <w:t>8</w:t>
            </w:r>
          </w:p>
        </w:tc>
        <w:tc>
          <w:tcPr>
            <w:tcW w:w="1134" w:type="dxa"/>
            <w:tcBorders>
              <w:bottom w:val="single" w:sz="12" w:space="0" w:color="auto"/>
            </w:tcBorders>
            <w:shd w:val="clear" w:color="auto" w:fill="auto"/>
            <w:tcMar>
              <w:top w:w="57" w:type="dxa"/>
              <w:left w:w="0" w:type="dxa"/>
              <w:bottom w:w="85" w:type="dxa"/>
              <w:right w:w="0" w:type="dxa"/>
            </w:tcMar>
            <w:vAlign w:val="bottom"/>
          </w:tcPr>
          <w:p w14:paraId="71CDBF4F" w14:textId="77777777" w:rsidR="00875F95" w:rsidRPr="00875F95" w:rsidRDefault="00875F95" w:rsidP="00DC2263">
            <w:pPr>
              <w:spacing w:line="240" w:lineRule="atLeast"/>
              <w:jc w:val="right"/>
              <w:rPr>
                <w:rFonts w:ascii="Tahoma" w:hAnsi="Tahoma"/>
                <w:color w:val="000000" w:themeColor="text1"/>
                <w:sz w:val="16"/>
                <w:lang w:val="en-GB"/>
              </w:rPr>
            </w:pPr>
            <w:r w:rsidRPr="00875F95">
              <w:rPr>
                <w:rFonts w:ascii="Tahoma" w:hAnsi="Tahoma"/>
                <w:color w:val="000000" w:themeColor="text1"/>
                <w:sz w:val="16"/>
                <w:lang w:val="en-GB"/>
              </w:rPr>
              <w:t>12</w:t>
            </w:r>
          </w:p>
        </w:tc>
      </w:tr>
    </w:tbl>
    <w:p w14:paraId="64EEA002" w14:textId="77777777" w:rsidR="00875F95" w:rsidRPr="00615190" w:rsidRDefault="00875F95" w:rsidP="00615190">
      <w:pPr>
        <w:spacing w:line="240" w:lineRule="atLeast"/>
        <w:rPr>
          <w:rFonts w:ascii="Tahoma" w:hAnsi="Tahoma"/>
          <w:color w:val="000000" w:themeColor="text1"/>
          <w:sz w:val="16"/>
        </w:rPr>
      </w:pPr>
    </w:p>
    <w:tbl>
      <w:tblPr>
        <w:tblW w:w="10214" w:type="dxa"/>
        <w:tblInd w:w="-8" w:type="dxa"/>
        <w:tblLayout w:type="fixed"/>
        <w:tblCellMar>
          <w:left w:w="0" w:type="dxa"/>
          <w:right w:w="0" w:type="dxa"/>
        </w:tblCellMar>
        <w:tblLook w:val="0000" w:firstRow="0" w:lastRow="0" w:firstColumn="0" w:lastColumn="0" w:noHBand="0" w:noVBand="0"/>
      </w:tblPr>
      <w:tblGrid>
        <w:gridCol w:w="397"/>
        <w:gridCol w:w="6266"/>
        <w:gridCol w:w="1275"/>
        <w:gridCol w:w="1134"/>
        <w:gridCol w:w="1134"/>
        <w:gridCol w:w="8"/>
      </w:tblGrid>
      <w:tr w:rsidR="00615190" w:rsidRPr="006C7411" w14:paraId="5C6188AA" w14:textId="77777777" w:rsidTr="00083FDC">
        <w:trPr>
          <w:gridAfter w:val="1"/>
          <w:wAfter w:w="8" w:type="dxa"/>
          <w:trHeight w:val="60"/>
        </w:trPr>
        <w:tc>
          <w:tcPr>
            <w:tcW w:w="397" w:type="dxa"/>
            <w:shd w:val="clear" w:color="auto" w:fill="auto"/>
            <w:tcMar>
              <w:top w:w="57" w:type="dxa"/>
              <w:left w:w="0" w:type="dxa"/>
              <w:bottom w:w="57" w:type="dxa"/>
              <w:right w:w="0" w:type="dxa"/>
            </w:tcMar>
            <w:vAlign w:val="bottom"/>
          </w:tcPr>
          <w:p w14:paraId="317D5241" w14:textId="77777777" w:rsidR="006C7411" w:rsidRPr="006C7411" w:rsidRDefault="006C7411" w:rsidP="00615190">
            <w:pPr>
              <w:spacing w:line="240" w:lineRule="atLeast"/>
              <w:rPr>
                <w:rFonts w:ascii="Tahoma" w:hAnsi="Tahoma"/>
                <w:color w:val="000000" w:themeColor="text1"/>
                <w:sz w:val="16"/>
                <w:lang w:val="en-GB"/>
              </w:rPr>
            </w:pPr>
          </w:p>
        </w:tc>
        <w:tc>
          <w:tcPr>
            <w:tcW w:w="9809" w:type="dxa"/>
            <w:gridSpan w:val="4"/>
            <w:shd w:val="clear" w:color="auto" w:fill="auto"/>
            <w:tcMar>
              <w:top w:w="57" w:type="dxa"/>
              <w:left w:w="0" w:type="dxa"/>
              <w:bottom w:w="57" w:type="dxa"/>
              <w:right w:w="0" w:type="dxa"/>
            </w:tcMar>
            <w:vAlign w:val="bottom"/>
          </w:tcPr>
          <w:p w14:paraId="2FC9662D" w14:textId="77777777" w:rsidR="006C7411" w:rsidRPr="006C7411" w:rsidRDefault="006C7411" w:rsidP="00615190">
            <w:pPr>
              <w:spacing w:line="240" w:lineRule="atLeast"/>
              <w:rPr>
                <w:rFonts w:ascii="Tahoma" w:hAnsi="Tahoma"/>
                <w:b/>
                <w:bCs/>
                <w:color w:val="7F7F7F" w:themeColor="text1" w:themeTint="80"/>
                <w:sz w:val="16"/>
                <w:lang w:val="en-GB"/>
              </w:rPr>
            </w:pPr>
            <w:r w:rsidRPr="006C7411">
              <w:rPr>
                <w:rFonts w:ascii="Tahoma" w:hAnsi="Tahoma"/>
                <w:b/>
                <w:bCs/>
                <w:color w:val="7F7F7F" w:themeColor="text1" w:themeTint="80"/>
                <w:sz w:val="16"/>
                <w:lang w:val="en-GB"/>
              </w:rPr>
              <w:t>Equity-accounted results</w:t>
            </w:r>
          </w:p>
        </w:tc>
      </w:tr>
      <w:tr w:rsidR="00615190" w:rsidRPr="006C7411" w14:paraId="14078AA7" w14:textId="77777777" w:rsidTr="00083FDC">
        <w:trPr>
          <w:gridAfter w:val="1"/>
          <w:wAfter w:w="8" w:type="dxa"/>
          <w:trHeight w:val="60"/>
        </w:trPr>
        <w:tc>
          <w:tcPr>
            <w:tcW w:w="397" w:type="dxa"/>
            <w:shd w:val="clear" w:color="auto" w:fill="auto"/>
            <w:tcMar>
              <w:top w:w="57" w:type="dxa"/>
              <w:left w:w="0" w:type="dxa"/>
              <w:bottom w:w="113" w:type="dxa"/>
              <w:right w:w="0" w:type="dxa"/>
            </w:tcMar>
            <w:vAlign w:val="bottom"/>
          </w:tcPr>
          <w:p w14:paraId="24C4C411" w14:textId="77777777" w:rsidR="006C7411" w:rsidRPr="006C7411" w:rsidRDefault="006C7411" w:rsidP="00615190">
            <w:pPr>
              <w:spacing w:line="240" w:lineRule="atLeast"/>
              <w:rPr>
                <w:rFonts w:ascii="Tahoma" w:hAnsi="Tahoma"/>
                <w:color w:val="000000" w:themeColor="text1"/>
                <w:sz w:val="16"/>
                <w:lang w:val="en-GB"/>
              </w:rPr>
            </w:pPr>
          </w:p>
        </w:tc>
        <w:tc>
          <w:tcPr>
            <w:tcW w:w="9809" w:type="dxa"/>
            <w:gridSpan w:val="4"/>
            <w:shd w:val="clear" w:color="auto" w:fill="auto"/>
            <w:tcMar>
              <w:top w:w="57" w:type="dxa"/>
              <w:left w:w="0" w:type="dxa"/>
              <w:bottom w:w="113" w:type="dxa"/>
              <w:right w:w="0" w:type="dxa"/>
            </w:tcMar>
            <w:vAlign w:val="bottom"/>
          </w:tcPr>
          <w:p w14:paraId="2BA27FA4" w14:textId="77777777" w:rsidR="006C7411" w:rsidRPr="006C7411" w:rsidRDefault="006C7411" w:rsidP="00615190">
            <w:pPr>
              <w:spacing w:line="240" w:lineRule="atLeast"/>
              <w:rPr>
                <w:rFonts w:ascii="Tahoma" w:hAnsi="Tahoma"/>
                <w:color w:val="000000" w:themeColor="text1"/>
                <w:sz w:val="16"/>
                <w:lang w:val="en-GB"/>
              </w:rPr>
            </w:pPr>
            <w:r w:rsidRPr="006C7411">
              <w:rPr>
                <w:rFonts w:ascii="Tahoma" w:hAnsi="Tahoma"/>
                <w:color w:val="000000" w:themeColor="text1"/>
                <w:sz w:val="16"/>
                <w:lang w:val="en-GB"/>
              </w:rPr>
              <w:t>The group’s equity-accounted investments contributed to the condensed consolidated interim financial statements as follows:</w:t>
            </w:r>
          </w:p>
        </w:tc>
      </w:tr>
      <w:tr w:rsidR="00615190" w:rsidRPr="006C7411" w14:paraId="378A4822" w14:textId="77777777" w:rsidTr="00083FDC">
        <w:trPr>
          <w:trHeight w:val="60"/>
        </w:trPr>
        <w:tc>
          <w:tcPr>
            <w:tcW w:w="397" w:type="dxa"/>
            <w:shd w:val="clear" w:color="auto" w:fill="auto"/>
            <w:tcMar>
              <w:top w:w="85" w:type="dxa"/>
              <w:left w:w="0" w:type="dxa"/>
              <w:bottom w:w="85" w:type="dxa"/>
              <w:right w:w="0" w:type="dxa"/>
            </w:tcMar>
            <w:vAlign w:val="bottom"/>
          </w:tcPr>
          <w:p w14:paraId="005ED481" w14:textId="77777777" w:rsidR="006C7411" w:rsidRPr="006C7411" w:rsidRDefault="006C7411" w:rsidP="00615190">
            <w:pPr>
              <w:spacing w:line="240" w:lineRule="atLeast"/>
              <w:rPr>
                <w:rFonts w:ascii="Tahoma" w:hAnsi="Tahoma"/>
                <w:color w:val="000000" w:themeColor="text1"/>
                <w:sz w:val="16"/>
                <w:lang w:val="en-GB"/>
              </w:rPr>
            </w:pPr>
          </w:p>
        </w:tc>
        <w:tc>
          <w:tcPr>
            <w:tcW w:w="6266" w:type="dxa"/>
            <w:shd w:val="clear" w:color="auto" w:fill="auto"/>
            <w:tcMar>
              <w:top w:w="85" w:type="dxa"/>
              <w:left w:w="0" w:type="dxa"/>
              <w:bottom w:w="85" w:type="dxa"/>
              <w:right w:w="0" w:type="dxa"/>
            </w:tcMar>
            <w:vAlign w:val="bottom"/>
          </w:tcPr>
          <w:p w14:paraId="510B164E" w14:textId="77777777" w:rsidR="006C7411" w:rsidRPr="006C7411" w:rsidRDefault="006C7411" w:rsidP="00615190">
            <w:pPr>
              <w:spacing w:line="240" w:lineRule="atLeast"/>
              <w:rPr>
                <w:rFonts w:ascii="Tahoma" w:hAnsi="Tahoma"/>
                <w:color w:val="000000" w:themeColor="text1"/>
                <w:sz w:val="16"/>
                <w:lang w:val="en-GB"/>
              </w:rPr>
            </w:pPr>
          </w:p>
        </w:tc>
        <w:tc>
          <w:tcPr>
            <w:tcW w:w="2409" w:type="dxa"/>
            <w:gridSpan w:val="2"/>
            <w:shd w:val="clear" w:color="auto" w:fill="auto"/>
            <w:tcMar>
              <w:top w:w="85" w:type="dxa"/>
              <w:left w:w="0" w:type="dxa"/>
              <w:bottom w:w="85" w:type="dxa"/>
              <w:right w:w="0" w:type="dxa"/>
            </w:tcMar>
            <w:vAlign w:val="bottom"/>
          </w:tcPr>
          <w:p w14:paraId="31638614" w14:textId="77777777" w:rsidR="006C7411" w:rsidRPr="006C7411" w:rsidRDefault="006C7411" w:rsidP="00713496">
            <w:pPr>
              <w:spacing w:line="240" w:lineRule="atLeast"/>
              <w:ind w:left="718"/>
              <w:jc w:val="center"/>
              <w:rPr>
                <w:rFonts w:ascii="Tahoma" w:hAnsi="Tahoma"/>
                <w:b/>
                <w:bCs/>
                <w:color w:val="000000" w:themeColor="text1"/>
                <w:sz w:val="16"/>
                <w:lang w:val="en-GB"/>
              </w:rPr>
            </w:pPr>
            <w:r w:rsidRPr="006C7411">
              <w:rPr>
                <w:rFonts w:ascii="Tahoma" w:hAnsi="Tahoma"/>
                <w:b/>
                <w:bCs/>
                <w:color w:val="000000" w:themeColor="text1"/>
                <w:sz w:val="16"/>
                <w:lang w:val="en-GB"/>
              </w:rPr>
              <w:t>Six months ended</w:t>
            </w:r>
          </w:p>
          <w:p w14:paraId="521B8A07" w14:textId="77777777" w:rsidR="006C7411" w:rsidRPr="006C7411" w:rsidRDefault="006C7411" w:rsidP="00713496">
            <w:pPr>
              <w:spacing w:line="240" w:lineRule="atLeast"/>
              <w:ind w:left="718"/>
              <w:jc w:val="center"/>
              <w:rPr>
                <w:rFonts w:ascii="Tahoma" w:hAnsi="Tahoma"/>
                <w:color w:val="000000" w:themeColor="text1"/>
                <w:sz w:val="16"/>
                <w:lang w:val="en-GB"/>
              </w:rPr>
            </w:pPr>
            <w:r w:rsidRPr="006C7411">
              <w:rPr>
                <w:rFonts w:ascii="Tahoma" w:hAnsi="Tahoma"/>
                <w:b/>
                <w:bCs/>
                <w:color w:val="000000" w:themeColor="text1"/>
                <w:sz w:val="16"/>
                <w:lang w:val="en-GB"/>
              </w:rPr>
              <w:t>30 September</w:t>
            </w:r>
          </w:p>
        </w:tc>
        <w:tc>
          <w:tcPr>
            <w:tcW w:w="1142" w:type="dxa"/>
            <w:gridSpan w:val="2"/>
            <w:shd w:val="clear" w:color="auto" w:fill="auto"/>
            <w:tcMar>
              <w:top w:w="85" w:type="dxa"/>
              <w:left w:w="0" w:type="dxa"/>
              <w:bottom w:w="85" w:type="dxa"/>
              <w:right w:w="0" w:type="dxa"/>
            </w:tcMar>
            <w:vAlign w:val="bottom"/>
          </w:tcPr>
          <w:p w14:paraId="058B0371" w14:textId="77777777" w:rsidR="006C7411" w:rsidRPr="006C7411" w:rsidRDefault="006C7411" w:rsidP="00083FDC">
            <w:pPr>
              <w:spacing w:line="240" w:lineRule="atLeast"/>
              <w:ind w:right="113"/>
              <w:jc w:val="right"/>
              <w:rPr>
                <w:rFonts w:ascii="Tahoma" w:hAnsi="Tahoma"/>
                <w:color w:val="000000" w:themeColor="text1"/>
                <w:sz w:val="16"/>
                <w:lang w:val="en-GB"/>
              </w:rPr>
            </w:pPr>
            <w:r w:rsidRPr="006C7411">
              <w:rPr>
                <w:rFonts w:ascii="Tahoma" w:hAnsi="Tahoma"/>
                <w:color w:val="000000" w:themeColor="text1"/>
                <w:sz w:val="16"/>
                <w:lang w:val="en-GB"/>
              </w:rPr>
              <w:t>Year</w:t>
            </w:r>
          </w:p>
          <w:p w14:paraId="410FB1CF" w14:textId="77777777" w:rsidR="006C7411" w:rsidRPr="006C7411" w:rsidRDefault="006C7411" w:rsidP="00083FDC">
            <w:pPr>
              <w:spacing w:line="240" w:lineRule="atLeast"/>
              <w:ind w:right="113"/>
              <w:jc w:val="right"/>
              <w:rPr>
                <w:rFonts w:ascii="Tahoma" w:hAnsi="Tahoma"/>
                <w:color w:val="000000" w:themeColor="text1"/>
                <w:sz w:val="16"/>
                <w:lang w:val="en-GB"/>
              </w:rPr>
            </w:pPr>
            <w:r w:rsidRPr="006C7411">
              <w:rPr>
                <w:rFonts w:ascii="Tahoma" w:hAnsi="Tahoma"/>
                <w:color w:val="000000" w:themeColor="text1"/>
                <w:sz w:val="16"/>
                <w:lang w:val="en-GB"/>
              </w:rPr>
              <w:t>ended</w:t>
            </w:r>
          </w:p>
          <w:p w14:paraId="12252F0A" w14:textId="77777777" w:rsidR="006C7411" w:rsidRPr="006C7411" w:rsidRDefault="006C7411" w:rsidP="00083FDC">
            <w:pPr>
              <w:spacing w:line="240" w:lineRule="atLeast"/>
              <w:ind w:right="113"/>
              <w:jc w:val="right"/>
              <w:rPr>
                <w:rFonts w:ascii="Tahoma" w:hAnsi="Tahoma"/>
                <w:color w:val="000000" w:themeColor="text1"/>
                <w:sz w:val="16"/>
                <w:lang w:val="en-GB"/>
              </w:rPr>
            </w:pPr>
            <w:r w:rsidRPr="006C7411">
              <w:rPr>
                <w:rFonts w:ascii="Tahoma" w:hAnsi="Tahoma"/>
                <w:color w:val="000000" w:themeColor="text1"/>
                <w:sz w:val="16"/>
                <w:lang w:val="en-GB"/>
              </w:rPr>
              <w:t>31 March</w:t>
            </w:r>
          </w:p>
        </w:tc>
      </w:tr>
      <w:tr w:rsidR="00615190" w:rsidRPr="006C7411" w14:paraId="02A5C130" w14:textId="77777777" w:rsidTr="00083FDC">
        <w:trPr>
          <w:trHeight w:val="60"/>
        </w:trPr>
        <w:tc>
          <w:tcPr>
            <w:tcW w:w="397" w:type="dxa"/>
            <w:shd w:val="clear" w:color="auto" w:fill="auto"/>
            <w:tcMar>
              <w:top w:w="113" w:type="dxa"/>
              <w:left w:w="0" w:type="dxa"/>
              <w:bottom w:w="113" w:type="dxa"/>
              <w:right w:w="0" w:type="dxa"/>
            </w:tcMar>
            <w:vAlign w:val="bottom"/>
          </w:tcPr>
          <w:p w14:paraId="4EFE0E5A" w14:textId="77777777" w:rsidR="006C7411" w:rsidRPr="006C7411" w:rsidRDefault="006C7411" w:rsidP="00615190">
            <w:pPr>
              <w:spacing w:line="240" w:lineRule="atLeast"/>
              <w:rPr>
                <w:rFonts w:ascii="Tahoma" w:hAnsi="Tahoma"/>
                <w:color w:val="000000" w:themeColor="text1"/>
                <w:sz w:val="16"/>
                <w:lang w:val="en-GB"/>
              </w:rPr>
            </w:pPr>
          </w:p>
        </w:tc>
        <w:tc>
          <w:tcPr>
            <w:tcW w:w="6266" w:type="dxa"/>
            <w:tcBorders>
              <w:bottom w:val="single" w:sz="12" w:space="0" w:color="auto"/>
            </w:tcBorders>
            <w:shd w:val="clear" w:color="auto" w:fill="auto"/>
            <w:tcMar>
              <w:top w:w="113" w:type="dxa"/>
              <w:left w:w="0" w:type="dxa"/>
              <w:bottom w:w="113" w:type="dxa"/>
              <w:right w:w="0" w:type="dxa"/>
            </w:tcMar>
            <w:vAlign w:val="bottom"/>
          </w:tcPr>
          <w:p w14:paraId="03796FE9" w14:textId="77777777" w:rsidR="006C7411" w:rsidRPr="006C7411" w:rsidRDefault="006C7411" w:rsidP="00615190">
            <w:pPr>
              <w:spacing w:line="240" w:lineRule="atLeast"/>
              <w:rPr>
                <w:rFonts w:ascii="Tahoma" w:hAnsi="Tahoma"/>
                <w:color w:val="000000" w:themeColor="text1"/>
                <w:sz w:val="16"/>
                <w:lang w:val="en-GB"/>
              </w:rPr>
            </w:pPr>
          </w:p>
        </w:tc>
        <w:tc>
          <w:tcPr>
            <w:tcW w:w="1275" w:type="dxa"/>
            <w:tcBorders>
              <w:bottom w:val="single" w:sz="12" w:space="0" w:color="auto"/>
            </w:tcBorders>
            <w:shd w:val="clear" w:color="auto" w:fill="auto"/>
            <w:tcMar>
              <w:top w:w="113" w:type="dxa"/>
              <w:left w:w="0" w:type="dxa"/>
              <w:bottom w:w="113" w:type="dxa"/>
              <w:right w:w="0" w:type="dxa"/>
            </w:tcMar>
            <w:vAlign w:val="bottom"/>
          </w:tcPr>
          <w:p w14:paraId="64C6EF9F" w14:textId="77777777" w:rsidR="006C7411" w:rsidRPr="006C7411" w:rsidRDefault="006C7411" w:rsidP="002D5AFB">
            <w:pPr>
              <w:spacing w:line="240" w:lineRule="atLeast"/>
              <w:jc w:val="right"/>
              <w:rPr>
                <w:rFonts w:ascii="Tahoma" w:hAnsi="Tahoma"/>
                <w:b/>
                <w:bCs/>
                <w:color w:val="000000" w:themeColor="text1"/>
                <w:sz w:val="16"/>
                <w:lang w:val="en-GB"/>
              </w:rPr>
            </w:pPr>
            <w:r w:rsidRPr="006C7411">
              <w:rPr>
                <w:rFonts w:ascii="Tahoma" w:hAnsi="Tahoma"/>
                <w:b/>
                <w:bCs/>
                <w:color w:val="000000" w:themeColor="text1"/>
                <w:sz w:val="16"/>
                <w:lang w:val="en-GB"/>
              </w:rPr>
              <w:t>2022</w:t>
            </w:r>
          </w:p>
          <w:p w14:paraId="3EE38685" w14:textId="77777777" w:rsidR="006C7411" w:rsidRPr="006C7411" w:rsidRDefault="006C7411" w:rsidP="002D5AFB">
            <w:pPr>
              <w:spacing w:line="240" w:lineRule="atLeast"/>
              <w:jc w:val="right"/>
              <w:rPr>
                <w:rFonts w:ascii="Tahoma" w:hAnsi="Tahoma"/>
                <w:b/>
                <w:bCs/>
                <w:color w:val="000000" w:themeColor="text1"/>
                <w:sz w:val="16"/>
                <w:lang w:val="en-GB"/>
              </w:rPr>
            </w:pPr>
            <w:proofErr w:type="spellStart"/>
            <w:r w:rsidRPr="006C7411">
              <w:rPr>
                <w:rFonts w:ascii="Tahoma" w:hAnsi="Tahoma"/>
                <w:b/>
                <w:bCs/>
                <w:color w:val="000000" w:themeColor="text1"/>
                <w:sz w:val="16"/>
                <w:lang w:val="en-GB"/>
              </w:rPr>
              <w:t>US$’m</w:t>
            </w:r>
            <w:proofErr w:type="spellEnd"/>
          </w:p>
        </w:tc>
        <w:tc>
          <w:tcPr>
            <w:tcW w:w="1134" w:type="dxa"/>
            <w:tcBorders>
              <w:bottom w:val="single" w:sz="12" w:space="0" w:color="auto"/>
            </w:tcBorders>
            <w:shd w:val="clear" w:color="auto" w:fill="auto"/>
            <w:tcMar>
              <w:top w:w="113" w:type="dxa"/>
              <w:left w:w="0" w:type="dxa"/>
              <w:bottom w:w="113" w:type="dxa"/>
              <w:right w:w="0" w:type="dxa"/>
            </w:tcMar>
            <w:vAlign w:val="bottom"/>
          </w:tcPr>
          <w:p w14:paraId="39AC7B67" w14:textId="77777777" w:rsidR="006C7411" w:rsidRPr="006C7411" w:rsidRDefault="006C7411" w:rsidP="002D5AFB">
            <w:pPr>
              <w:spacing w:line="240" w:lineRule="atLeast"/>
              <w:jc w:val="right"/>
              <w:rPr>
                <w:rFonts w:ascii="Tahoma" w:hAnsi="Tahoma"/>
                <w:color w:val="000000" w:themeColor="text1"/>
                <w:sz w:val="16"/>
                <w:lang w:val="en-GB"/>
              </w:rPr>
            </w:pPr>
            <w:r w:rsidRPr="006C7411">
              <w:rPr>
                <w:rFonts w:ascii="Tahoma" w:hAnsi="Tahoma"/>
                <w:color w:val="000000" w:themeColor="text1"/>
                <w:sz w:val="16"/>
                <w:lang w:val="en-GB"/>
              </w:rPr>
              <w:t>2021</w:t>
            </w:r>
          </w:p>
          <w:p w14:paraId="2906E527" w14:textId="77777777" w:rsidR="006C7411" w:rsidRPr="006C7411" w:rsidRDefault="006C7411" w:rsidP="002D5AFB">
            <w:pPr>
              <w:spacing w:line="240" w:lineRule="atLeast"/>
              <w:jc w:val="right"/>
              <w:rPr>
                <w:rFonts w:ascii="Tahoma" w:hAnsi="Tahoma"/>
                <w:color w:val="000000" w:themeColor="text1"/>
                <w:sz w:val="16"/>
                <w:lang w:val="en-GB"/>
              </w:rPr>
            </w:pPr>
            <w:proofErr w:type="spellStart"/>
            <w:r w:rsidRPr="006C7411">
              <w:rPr>
                <w:rFonts w:ascii="Tahoma" w:hAnsi="Tahoma"/>
                <w:color w:val="000000" w:themeColor="text1"/>
                <w:sz w:val="16"/>
                <w:lang w:val="en-GB"/>
              </w:rPr>
              <w:t>US$’m</w:t>
            </w:r>
            <w:proofErr w:type="spellEnd"/>
          </w:p>
        </w:tc>
        <w:tc>
          <w:tcPr>
            <w:tcW w:w="1142" w:type="dxa"/>
            <w:gridSpan w:val="2"/>
            <w:tcBorders>
              <w:bottom w:val="single" w:sz="12" w:space="0" w:color="auto"/>
            </w:tcBorders>
            <w:shd w:val="clear" w:color="auto" w:fill="auto"/>
            <w:tcMar>
              <w:top w:w="113" w:type="dxa"/>
              <w:left w:w="0" w:type="dxa"/>
              <w:bottom w:w="113" w:type="dxa"/>
              <w:right w:w="0" w:type="dxa"/>
            </w:tcMar>
            <w:vAlign w:val="bottom"/>
          </w:tcPr>
          <w:p w14:paraId="0891CEA1" w14:textId="77777777" w:rsidR="006C7411" w:rsidRPr="006C7411" w:rsidRDefault="006C7411" w:rsidP="00083FDC">
            <w:pPr>
              <w:spacing w:line="240" w:lineRule="atLeast"/>
              <w:ind w:right="113"/>
              <w:jc w:val="right"/>
              <w:rPr>
                <w:rFonts w:ascii="Tahoma" w:hAnsi="Tahoma"/>
                <w:color w:val="000000" w:themeColor="text1"/>
                <w:sz w:val="16"/>
                <w:lang w:val="en-GB"/>
              </w:rPr>
            </w:pPr>
            <w:r w:rsidRPr="006C7411">
              <w:rPr>
                <w:rFonts w:ascii="Tahoma" w:hAnsi="Tahoma"/>
                <w:color w:val="000000" w:themeColor="text1"/>
                <w:sz w:val="16"/>
                <w:lang w:val="en-GB"/>
              </w:rPr>
              <w:t>2022</w:t>
            </w:r>
          </w:p>
          <w:p w14:paraId="5CB0B893" w14:textId="77777777" w:rsidR="006C7411" w:rsidRPr="006C7411" w:rsidRDefault="006C7411" w:rsidP="00083FDC">
            <w:pPr>
              <w:spacing w:line="240" w:lineRule="atLeast"/>
              <w:ind w:right="113"/>
              <w:jc w:val="right"/>
              <w:rPr>
                <w:rFonts w:ascii="Tahoma" w:hAnsi="Tahoma"/>
                <w:color w:val="000000" w:themeColor="text1"/>
                <w:sz w:val="16"/>
                <w:lang w:val="en-GB"/>
              </w:rPr>
            </w:pPr>
            <w:proofErr w:type="spellStart"/>
            <w:r w:rsidRPr="006C7411">
              <w:rPr>
                <w:rFonts w:ascii="Tahoma" w:hAnsi="Tahoma"/>
                <w:color w:val="000000" w:themeColor="text1"/>
                <w:sz w:val="16"/>
                <w:lang w:val="en-GB"/>
              </w:rPr>
              <w:t>US$’m</w:t>
            </w:r>
            <w:proofErr w:type="spellEnd"/>
          </w:p>
        </w:tc>
      </w:tr>
      <w:tr w:rsidR="00615190" w:rsidRPr="006C7411" w14:paraId="24D63DED" w14:textId="77777777" w:rsidTr="00083FDC">
        <w:trPr>
          <w:trHeight w:val="60"/>
        </w:trPr>
        <w:tc>
          <w:tcPr>
            <w:tcW w:w="397" w:type="dxa"/>
            <w:shd w:val="clear" w:color="auto" w:fill="auto"/>
            <w:tcMar>
              <w:top w:w="142" w:type="dxa"/>
              <w:left w:w="0" w:type="dxa"/>
              <w:bottom w:w="57" w:type="dxa"/>
              <w:right w:w="0" w:type="dxa"/>
            </w:tcMar>
            <w:vAlign w:val="bottom"/>
          </w:tcPr>
          <w:p w14:paraId="2BF1037D" w14:textId="77777777" w:rsidR="006C7411" w:rsidRPr="006C7411" w:rsidRDefault="006C7411" w:rsidP="00615190">
            <w:pPr>
              <w:spacing w:line="240" w:lineRule="atLeast"/>
              <w:rPr>
                <w:rFonts w:ascii="Tahoma" w:hAnsi="Tahoma"/>
                <w:color w:val="000000" w:themeColor="text1"/>
                <w:sz w:val="16"/>
                <w:lang w:val="en-GB"/>
              </w:rPr>
            </w:pPr>
          </w:p>
        </w:tc>
        <w:tc>
          <w:tcPr>
            <w:tcW w:w="6266" w:type="dxa"/>
            <w:tcBorders>
              <w:top w:val="single" w:sz="12" w:space="0" w:color="auto"/>
            </w:tcBorders>
            <w:shd w:val="clear" w:color="auto" w:fill="auto"/>
            <w:tcMar>
              <w:top w:w="142" w:type="dxa"/>
              <w:left w:w="0" w:type="dxa"/>
              <w:bottom w:w="57" w:type="dxa"/>
              <w:right w:w="0" w:type="dxa"/>
            </w:tcMar>
            <w:vAlign w:val="bottom"/>
          </w:tcPr>
          <w:p w14:paraId="581F9CF7" w14:textId="77777777" w:rsidR="006C7411" w:rsidRPr="006C7411" w:rsidRDefault="006C7411" w:rsidP="00615190">
            <w:pPr>
              <w:spacing w:line="240" w:lineRule="atLeast"/>
              <w:rPr>
                <w:rFonts w:ascii="Tahoma" w:hAnsi="Tahoma"/>
                <w:b/>
                <w:bCs/>
                <w:color w:val="000000" w:themeColor="text1"/>
                <w:sz w:val="16"/>
                <w:lang w:val="en-GB"/>
              </w:rPr>
            </w:pPr>
            <w:r w:rsidRPr="006C7411">
              <w:rPr>
                <w:rFonts w:ascii="Tahoma" w:hAnsi="Tahoma"/>
                <w:b/>
                <w:bCs/>
                <w:color w:val="000000" w:themeColor="text1"/>
                <w:sz w:val="16"/>
                <w:lang w:val="en-GB"/>
              </w:rPr>
              <w:t>Share of equity-accounted results from continuing operations</w:t>
            </w:r>
          </w:p>
        </w:tc>
        <w:tc>
          <w:tcPr>
            <w:tcW w:w="1275" w:type="dxa"/>
            <w:tcBorders>
              <w:top w:val="single" w:sz="12" w:space="0" w:color="auto"/>
            </w:tcBorders>
            <w:shd w:val="clear" w:color="auto" w:fill="auto"/>
            <w:tcMar>
              <w:top w:w="142" w:type="dxa"/>
              <w:left w:w="0" w:type="dxa"/>
              <w:bottom w:w="57" w:type="dxa"/>
              <w:right w:w="0" w:type="dxa"/>
            </w:tcMar>
            <w:vAlign w:val="bottom"/>
          </w:tcPr>
          <w:p w14:paraId="4FD5964F" w14:textId="77777777" w:rsidR="006C7411" w:rsidRPr="006C7411" w:rsidRDefault="006C7411" w:rsidP="002D5AFB">
            <w:pPr>
              <w:spacing w:line="240" w:lineRule="atLeast"/>
              <w:jc w:val="right"/>
              <w:rPr>
                <w:rFonts w:ascii="Tahoma" w:hAnsi="Tahoma"/>
                <w:b/>
                <w:bCs/>
                <w:color w:val="000000" w:themeColor="text1"/>
                <w:sz w:val="16"/>
                <w:lang w:val="en-GB"/>
              </w:rPr>
            </w:pPr>
            <w:r w:rsidRPr="006C7411">
              <w:rPr>
                <w:rFonts w:ascii="Tahoma" w:hAnsi="Tahoma"/>
                <w:b/>
                <w:bCs/>
                <w:color w:val="000000" w:themeColor="text1"/>
                <w:sz w:val="16"/>
                <w:lang w:val="en-GB"/>
              </w:rPr>
              <w:t>1 059</w:t>
            </w:r>
          </w:p>
        </w:tc>
        <w:tc>
          <w:tcPr>
            <w:tcW w:w="1134" w:type="dxa"/>
            <w:tcBorders>
              <w:top w:val="single" w:sz="12" w:space="0" w:color="auto"/>
            </w:tcBorders>
            <w:shd w:val="clear" w:color="auto" w:fill="auto"/>
            <w:tcMar>
              <w:top w:w="142" w:type="dxa"/>
              <w:left w:w="0" w:type="dxa"/>
              <w:bottom w:w="57" w:type="dxa"/>
              <w:right w:w="0" w:type="dxa"/>
            </w:tcMar>
            <w:vAlign w:val="bottom"/>
          </w:tcPr>
          <w:p w14:paraId="4FF421BA" w14:textId="77777777" w:rsidR="006C7411" w:rsidRPr="006C7411" w:rsidRDefault="006C7411" w:rsidP="002D5AFB">
            <w:pPr>
              <w:spacing w:line="240" w:lineRule="atLeast"/>
              <w:jc w:val="right"/>
              <w:rPr>
                <w:rFonts w:ascii="Tahoma" w:hAnsi="Tahoma"/>
                <w:color w:val="000000" w:themeColor="text1"/>
                <w:sz w:val="16"/>
                <w:lang w:val="en-GB"/>
              </w:rPr>
            </w:pPr>
            <w:r w:rsidRPr="006C7411">
              <w:rPr>
                <w:rFonts w:ascii="Tahoma" w:hAnsi="Tahoma"/>
                <w:color w:val="000000" w:themeColor="text1"/>
                <w:sz w:val="16"/>
                <w:lang w:val="en-GB"/>
              </w:rPr>
              <w:t>4 074</w:t>
            </w:r>
          </w:p>
        </w:tc>
        <w:tc>
          <w:tcPr>
            <w:tcW w:w="1142" w:type="dxa"/>
            <w:gridSpan w:val="2"/>
            <w:tcBorders>
              <w:top w:val="single" w:sz="12" w:space="0" w:color="auto"/>
            </w:tcBorders>
            <w:shd w:val="clear" w:color="auto" w:fill="auto"/>
            <w:tcMar>
              <w:top w:w="142" w:type="dxa"/>
              <w:left w:w="0" w:type="dxa"/>
              <w:bottom w:w="57" w:type="dxa"/>
              <w:right w:w="0" w:type="dxa"/>
            </w:tcMar>
            <w:vAlign w:val="bottom"/>
          </w:tcPr>
          <w:p w14:paraId="63BEABEB" w14:textId="77777777" w:rsidR="006C7411" w:rsidRPr="006C7411" w:rsidRDefault="006C7411" w:rsidP="00083FDC">
            <w:pPr>
              <w:spacing w:line="240" w:lineRule="atLeast"/>
              <w:ind w:right="113"/>
              <w:jc w:val="right"/>
              <w:rPr>
                <w:rFonts w:ascii="Tahoma" w:hAnsi="Tahoma"/>
                <w:color w:val="000000" w:themeColor="text1"/>
                <w:sz w:val="16"/>
                <w:lang w:val="en-GB"/>
              </w:rPr>
            </w:pPr>
            <w:r w:rsidRPr="006C7411">
              <w:rPr>
                <w:rFonts w:ascii="Tahoma" w:hAnsi="Tahoma"/>
                <w:color w:val="000000" w:themeColor="text1"/>
                <w:sz w:val="16"/>
                <w:lang w:val="en-GB"/>
              </w:rPr>
              <w:t>9 256</w:t>
            </w:r>
          </w:p>
        </w:tc>
      </w:tr>
      <w:tr w:rsidR="00615190" w:rsidRPr="006C7411" w14:paraId="5BCCF9C9" w14:textId="77777777" w:rsidTr="00083FDC">
        <w:trPr>
          <w:trHeight w:val="60"/>
        </w:trPr>
        <w:tc>
          <w:tcPr>
            <w:tcW w:w="397" w:type="dxa"/>
            <w:shd w:val="clear" w:color="auto" w:fill="auto"/>
            <w:tcMar>
              <w:top w:w="57" w:type="dxa"/>
              <w:left w:w="0" w:type="dxa"/>
              <w:bottom w:w="57" w:type="dxa"/>
              <w:right w:w="0" w:type="dxa"/>
            </w:tcMar>
            <w:vAlign w:val="bottom"/>
          </w:tcPr>
          <w:p w14:paraId="4A12619F" w14:textId="77777777" w:rsidR="006C7411" w:rsidRPr="006C7411" w:rsidRDefault="006C7411" w:rsidP="00615190">
            <w:pPr>
              <w:spacing w:line="240" w:lineRule="atLeast"/>
              <w:rPr>
                <w:rFonts w:ascii="Tahoma" w:hAnsi="Tahoma"/>
                <w:color w:val="000000" w:themeColor="text1"/>
                <w:sz w:val="16"/>
                <w:lang w:val="en-GB"/>
              </w:rPr>
            </w:pPr>
          </w:p>
        </w:tc>
        <w:tc>
          <w:tcPr>
            <w:tcW w:w="6266" w:type="dxa"/>
            <w:shd w:val="clear" w:color="auto" w:fill="auto"/>
            <w:tcMar>
              <w:top w:w="57" w:type="dxa"/>
              <w:left w:w="0" w:type="dxa"/>
              <w:bottom w:w="57" w:type="dxa"/>
              <w:right w:w="0" w:type="dxa"/>
            </w:tcMar>
            <w:vAlign w:val="bottom"/>
          </w:tcPr>
          <w:p w14:paraId="3E37F744" w14:textId="77777777" w:rsidR="006C7411" w:rsidRPr="006C7411" w:rsidRDefault="006C7411" w:rsidP="00615190">
            <w:pPr>
              <w:spacing w:line="240" w:lineRule="atLeast"/>
              <w:rPr>
                <w:rFonts w:ascii="Tahoma" w:hAnsi="Tahoma"/>
                <w:color w:val="000000" w:themeColor="text1"/>
                <w:sz w:val="16"/>
                <w:lang w:val="en-GB"/>
              </w:rPr>
            </w:pPr>
            <w:r w:rsidRPr="006C7411">
              <w:rPr>
                <w:rFonts w:ascii="Tahoma" w:hAnsi="Tahoma"/>
                <w:color w:val="000000" w:themeColor="text1"/>
                <w:sz w:val="16"/>
                <w:lang w:val="en-GB"/>
              </w:rPr>
              <w:t>– Sale of assets</w:t>
            </w:r>
          </w:p>
        </w:tc>
        <w:tc>
          <w:tcPr>
            <w:tcW w:w="1275" w:type="dxa"/>
            <w:shd w:val="clear" w:color="auto" w:fill="auto"/>
            <w:tcMar>
              <w:top w:w="57" w:type="dxa"/>
              <w:left w:w="0" w:type="dxa"/>
              <w:bottom w:w="57" w:type="dxa"/>
              <w:right w:w="0" w:type="dxa"/>
            </w:tcMar>
            <w:vAlign w:val="bottom"/>
          </w:tcPr>
          <w:p w14:paraId="0415B1C4" w14:textId="77777777" w:rsidR="006C7411" w:rsidRPr="006C7411" w:rsidRDefault="006C7411" w:rsidP="002D5AFB">
            <w:pPr>
              <w:spacing w:line="240" w:lineRule="atLeast"/>
              <w:jc w:val="right"/>
              <w:rPr>
                <w:rFonts w:ascii="Tahoma" w:hAnsi="Tahoma"/>
                <w:b/>
                <w:bCs/>
                <w:color w:val="000000" w:themeColor="text1"/>
                <w:sz w:val="16"/>
                <w:lang w:val="en-GB"/>
              </w:rPr>
            </w:pPr>
            <w:r w:rsidRPr="006C7411">
              <w:rPr>
                <w:rFonts w:ascii="Tahoma" w:hAnsi="Tahoma"/>
                <w:b/>
                <w:bCs/>
                <w:color w:val="000000" w:themeColor="text1"/>
                <w:sz w:val="16"/>
                <w:lang w:val="en-GB"/>
              </w:rPr>
              <w:t>3</w:t>
            </w:r>
          </w:p>
        </w:tc>
        <w:tc>
          <w:tcPr>
            <w:tcW w:w="1134" w:type="dxa"/>
            <w:shd w:val="clear" w:color="auto" w:fill="auto"/>
            <w:tcMar>
              <w:top w:w="57" w:type="dxa"/>
              <w:left w:w="0" w:type="dxa"/>
              <w:bottom w:w="57" w:type="dxa"/>
              <w:right w:w="0" w:type="dxa"/>
            </w:tcMar>
            <w:vAlign w:val="bottom"/>
          </w:tcPr>
          <w:p w14:paraId="4F51594F" w14:textId="77777777" w:rsidR="006C7411" w:rsidRPr="006C7411" w:rsidRDefault="006C7411" w:rsidP="002D5AFB">
            <w:pPr>
              <w:spacing w:line="240" w:lineRule="atLeast"/>
              <w:jc w:val="right"/>
              <w:rPr>
                <w:rFonts w:ascii="Tahoma" w:hAnsi="Tahoma"/>
                <w:color w:val="000000" w:themeColor="text1"/>
                <w:sz w:val="16"/>
                <w:lang w:val="en-GB"/>
              </w:rPr>
            </w:pPr>
            <w:r w:rsidRPr="006C7411">
              <w:rPr>
                <w:rFonts w:ascii="Tahoma" w:hAnsi="Tahoma"/>
                <w:color w:val="000000" w:themeColor="text1"/>
                <w:sz w:val="16"/>
                <w:lang w:val="en-GB"/>
              </w:rPr>
              <w:t>—</w:t>
            </w:r>
          </w:p>
        </w:tc>
        <w:tc>
          <w:tcPr>
            <w:tcW w:w="1142" w:type="dxa"/>
            <w:gridSpan w:val="2"/>
            <w:shd w:val="clear" w:color="auto" w:fill="auto"/>
            <w:tcMar>
              <w:top w:w="57" w:type="dxa"/>
              <w:left w:w="0" w:type="dxa"/>
              <w:bottom w:w="57" w:type="dxa"/>
              <w:right w:w="0" w:type="dxa"/>
            </w:tcMar>
            <w:vAlign w:val="bottom"/>
          </w:tcPr>
          <w:p w14:paraId="7EDC12DF" w14:textId="77777777" w:rsidR="006C7411" w:rsidRPr="006C7411" w:rsidRDefault="006C7411" w:rsidP="00083FDC">
            <w:pPr>
              <w:spacing w:line="240" w:lineRule="atLeast"/>
              <w:ind w:right="113"/>
              <w:jc w:val="right"/>
              <w:rPr>
                <w:rFonts w:ascii="Tahoma" w:hAnsi="Tahoma"/>
                <w:color w:val="000000" w:themeColor="text1"/>
                <w:sz w:val="16"/>
                <w:lang w:val="en-GB"/>
              </w:rPr>
            </w:pPr>
            <w:r w:rsidRPr="006C7411">
              <w:rPr>
                <w:rFonts w:ascii="Tahoma" w:hAnsi="Tahoma"/>
                <w:color w:val="000000" w:themeColor="text1"/>
                <w:sz w:val="16"/>
                <w:lang w:val="en-GB"/>
              </w:rPr>
              <w:t>—</w:t>
            </w:r>
          </w:p>
        </w:tc>
      </w:tr>
      <w:tr w:rsidR="00615190" w:rsidRPr="006C7411" w14:paraId="3798740A" w14:textId="77777777" w:rsidTr="00431AA9">
        <w:trPr>
          <w:trHeight w:val="60"/>
        </w:trPr>
        <w:tc>
          <w:tcPr>
            <w:tcW w:w="397" w:type="dxa"/>
            <w:shd w:val="clear" w:color="auto" w:fill="auto"/>
            <w:tcMar>
              <w:top w:w="57" w:type="dxa"/>
              <w:left w:w="0" w:type="dxa"/>
              <w:bottom w:w="57" w:type="dxa"/>
              <w:right w:w="0" w:type="dxa"/>
            </w:tcMar>
            <w:vAlign w:val="bottom"/>
          </w:tcPr>
          <w:p w14:paraId="619768C3" w14:textId="77777777" w:rsidR="006C7411" w:rsidRPr="006C7411" w:rsidRDefault="006C7411" w:rsidP="00615190">
            <w:pPr>
              <w:spacing w:line="240" w:lineRule="atLeast"/>
              <w:rPr>
                <w:rFonts w:ascii="Tahoma" w:hAnsi="Tahoma"/>
                <w:color w:val="000000" w:themeColor="text1"/>
                <w:sz w:val="16"/>
                <w:lang w:val="en-GB"/>
              </w:rPr>
            </w:pPr>
          </w:p>
        </w:tc>
        <w:tc>
          <w:tcPr>
            <w:tcW w:w="6266" w:type="dxa"/>
            <w:shd w:val="clear" w:color="auto" w:fill="auto"/>
            <w:tcMar>
              <w:top w:w="57" w:type="dxa"/>
              <w:left w:w="0" w:type="dxa"/>
              <w:bottom w:w="57" w:type="dxa"/>
              <w:right w:w="0" w:type="dxa"/>
            </w:tcMar>
            <w:vAlign w:val="bottom"/>
          </w:tcPr>
          <w:p w14:paraId="089AEB64" w14:textId="77777777" w:rsidR="006C7411" w:rsidRPr="006C7411" w:rsidRDefault="006C7411" w:rsidP="00615190">
            <w:pPr>
              <w:spacing w:line="240" w:lineRule="atLeast"/>
              <w:rPr>
                <w:rFonts w:ascii="Tahoma" w:hAnsi="Tahoma"/>
                <w:color w:val="000000" w:themeColor="text1"/>
                <w:sz w:val="16"/>
                <w:lang w:val="en-GB"/>
              </w:rPr>
            </w:pPr>
            <w:r w:rsidRPr="006C7411">
              <w:rPr>
                <w:rFonts w:ascii="Tahoma" w:hAnsi="Tahoma"/>
                <w:color w:val="000000" w:themeColor="text1"/>
                <w:sz w:val="16"/>
                <w:lang w:val="en-GB"/>
              </w:rPr>
              <w:t>– Gains on acquisitions and disposals</w:t>
            </w:r>
          </w:p>
        </w:tc>
        <w:tc>
          <w:tcPr>
            <w:tcW w:w="1275" w:type="dxa"/>
            <w:shd w:val="clear" w:color="auto" w:fill="auto"/>
            <w:tcMar>
              <w:top w:w="57" w:type="dxa"/>
              <w:left w:w="0" w:type="dxa"/>
              <w:bottom w:w="57" w:type="dxa"/>
              <w:right w:w="0" w:type="dxa"/>
            </w:tcMar>
            <w:vAlign w:val="bottom"/>
          </w:tcPr>
          <w:p w14:paraId="3A451A0B" w14:textId="77777777" w:rsidR="006C7411" w:rsidRPr="006C7411" w:rsidRDefault="006C7411" w:rsidP="002D5AFB">
            <w:pPr>
              <w:spacing w:line="240" w:lineRule="atLeast"/>
              <w:jc w:val="right"/>
              <w:rPr>
                <w:rFonts w:ascii="Tahoma" w:hAnsi="Tahoma"/>
                <w:b/>
                <w:bCs/>
                <w:color w:val="000000" w:themeColor="text1"/>
                <w:sz w:val="16"/>
                <w:lang w:val="en-GB"/>
              </w:rPr>
            </w:pPr>
            <w:r w:rsidRPr="006C7411">
              <w:rPr>
                <w:rFonts w:ascii="Tahoma" w:hAnsi="Tahoma"/>
                <w:b/>
                <w:bCs/>
                <w:color w:val="000000" w:themeColor="text1"/>
                <w:sz w:val="16"/>
                <w:lang w:val="en-GB"/>
              </w:rPr>
              <w:t>(1 789)</w:t>
            </w:r>
          </w:p>
        </w:tc>
        <w:tc>
          <w:tcPr>
            <w:tcW w:w="1134" w:type="dxa"/>
            <w:shd w:val="clear" w:color="auto" w:fill="auto"/>
            <w:tcMar>
              <w:top w:w="57" w:type="dxa"/>
              <w:left w:w="0" w:type="dxa"/>
              <w:bottom w:w="57" w:type="dxa"/>
              <w:right w:w="0" w:type="dxa"/>
            </w:tcMar>
            <w:vAlign w:val="bottom"/>
          </w:tcPr>
          <w:p w14:paraId="0804F31D" w14:textId="77777777" w:rsidR="006C7411" w:rsidRPr="006C7411" w:rsidRDefault="006C7411" w:rsidP="002D5AFB">
            <w:pPr>
              <w:spacing w:line="240" w:lineRule="atLeast"/>
              <w:jc w:val="right"/>
              <w:rPr>
                <w:rFonts w:ascii="Tahoma" w:hAnsi="Tahoma"/>
                <w:color w:val="000000" w:themeColor="text1"/>
                <w:sz w:val="16"/>
                <w:lang w:val="en-GB"/>
              </w:rPr>
            </w:pPr>
            <w:r w:rsidRPr="006C7411">
              <w:rPr>
                <w:rFonts w:ascii="Tahoma" w:hAnsi="Tahoma"/>
                <w:color w:val="000000" w:themeColor="text1"/>
                <w:sz w:val="16"/>
                <w:lang w:val="en-GB"/>
              </w:rPr>
              <w:t>(1 089)</w:t>
            </w:r>
          </w:p>
        </w:tc>
        <w:tc>
          <w:tcPr>
            <w:tcW w:w="1142" w:type="dxa"/>
            <w:gridSpan w:val="2"/>
            <w:shd w:val="clear" w:color="auto" w:fill="auto"/>
            <w:tcMar>
              <w:top w:w="57" w:type="dxa"/>
              <w:left w:w="0" w:type="dxa"/>
              <w:bottom w:w="57" w:type="dxa"/>
              <w:right w:w="0" w:type="dxa"/>
            </w:tcMar>
            <w:vAlign w:val="bottom"/>
          </w:tcPr>
          <w:p w14:paraId="40EF4E37" w14:textId="77777777" w:rsidR="006C7411" w:rsidRPr="006C7411" w:rsidRDefault="006C7411" w:rsidP="00083FDC">
            <w:pPr>
              <w:spacing w:line="240" w:lineRule="atLeast"/>
              <w:ind w:right="113"/>
              <w:jc w:val="right"/>
              <w:rPr>
                <w:rFonts w:ascii="Tahoma" w:hAnsi="Tahoma"/>
                <w:color w:val="000000" w:themeColor="text1"/>
                <w:sz w:val="16"/>
                <w:lang w:val="en-GB"/>
              </w:rPr>
            </w:pPr>
            <w:r w:rsidRPr="006C7411">
              <w:rPr>
                <w:rFonts w:ascii="Tahoma" w:hAnsi="Tahoma"/>
                <w:color w:val="000000" w:themeColor="text1"/>
                <w:sz w:val="16"/>
                <w:lang w:val="en-GB"/>
              </w:rPr>
              <w:t>(6 227)</w:t>
            </w:r>
          </w:p>
        </w:tc>
      </w:tr>
      <w:tr w:rsidR="00615190" w:rsidRPr="006C7411" w14:paraId="40CA6E51" w14:textId="77777777" w:rsidTr="00431AA9">
        <w:trPr>
          <w:trHeight w:val="60"/>
        </w:trPr>
        <w:tc>
          <w:tcPr>
            <w:tcW w:w="397" w:type="dxa"/>
            <w:shd w:val="clear" w:color="auto" w:fill="auto"/>
            <w:tcMar>
              <w:top w:w="57" w:type="dxa"/>
              <w:left w:w="0" w:type="dxa"/>
              <w:bottom w:w="85" w:type="dxa"/>
              <w:right w:w="0" w:type="dxa"/>
            </w:tcMar>
            <w:vAlign w:val="bottom"/>
          </w:tcPr>
          <w:p w14:paraId="6EA87839" w14:textId="77777777" w:rsidR="006C7411" w:rsidRPr="006C7411" w:rsidRDefault="006C7411" w:rsidP="00615190">
            <w:pPr>
              <w:spacing w:line="240" w:lineRule="atLeast"/>
              <w:rPr>
                <w:rFonts w:ascii="Tahoma" w:hAnsi="Tahoma"/>
                <w:color w:val="000000" w:themeColor="text1"/>
                <w:sz w:val="16"/>
                <w:lang w:val="en-GB"/>
              </w:rPr>
            </w:pPr>
          </w:p>
        </w:tc>
        <w:tc>
          <w:tcPr>
            <w:tcW w:w="6266" w:type="dxa"/>
            <w:tcBorders>
              <w:bottom w:val="single" w:sz="4" w:space="0" w:color="auto"/>
            </w:tcBorders>
            <w:shd w:val="clear" w:color="auto" w:fill="auto"/>
            <w:tcMar>
              <w:top w:w="57" w:type="dxa"/>
              <w:left w:w="0" w:type="dxa"/>
              <w:bottom w:w="85" w:type="dxa"/>
              <w:right w:w="0" w:type="dxa"/>
            </w:tcMar>
            <w:vAlign w:val="bottom"/>
          </w:tcPr>
          <w:p w14:paraId="501925AE" w14:textId="77777777" w:rsidR="006C7411" w:rsidRPr="006C7411" w:rsidRDefault="006C7411" w:rsidP="00615190">
            <w:pPr>
              <w:spacing w:line="240" w:lineRule="atLeast"/>
              <w:rPr>
                <w:rFonts w:ascii="Tahoma" w:hAnsi="Tahoma"/>
                <w:color w:val="000000" w:themeColor="text1"/>
                <w:sz w:val="16"/>
                <w:lang w:val="en-GB"/>
              </w:rPr>
            </w:pPr>
            <w:r w:rsidRPr="006C7411">
              <w:rPr>
                <w:rFonts w:ascii="Tahoma" w:hAnsi="Tahoma"/>
                <w:color w:val="000000" w:themeColor="text1"/>
                <w:sz w:val="16"/>
                <w:lang w:val="en-GB"/>
              </w:rPr>
              <w:t>– Impairment of investments</w:t>
            </w:r>
          </w:p>
        </w:tc>
        <w:tc>
          <w:tcPr>
            <w:tcW w:w="1275" w:type="dxa"/>
            <w:tcBorders>
              <w:bottom w:val="single" w:sz="4" w:space="0" w:color="auto"/>
            </w:tcBorders>
            <w:shd w:val="clear" w:color="auto" w:fill="auto"/>
            <w:tcMar>
              <w:top w:w="57" w:type="dxa"/>
              <w:left w:w="0" w:type="dxa"/>
              <w:bottom w:w="85" w:type="dxa"/>
              <w:right w:w="0" w:type="dxa"/>
            </w:tcMar>
            <w:vAlign w:val="bottom"/>
          </w:tcPr>
          <w:p w14:paraId="6FC77187" w14:textId="77777777" w:rsidR="006C7411" w:rsidRPr="006C7411" w:rsidRDefault="006C7411" w:rsidP="002D5AFB">
            <w:pPr>
              <w:spacing w:line="240" w:lineRule="atLeast"/>
              <w:jc w:val="right"/>
              <w:rPr>
                <w:rFonts w:ascii="Tahoma" w:hAnsi="Tahoma"/>
                <w:b/>
                <w:bCs/>
                <w:color w:val="000000" w:themeColor="text1"/>
                <w:sz w:val="16"/>
                <w:lang w:val="en-GB"/>
              </w:rPr>
            </w:pPr>
            <w:r w:rsidRPr="006C7411">
              <w:rPr>
                <w:rFonts w:ascii="Tahoma" w:hAnsi="Tahoma"/>
                <w:b/>
                <w:bCs/>
                <w:color w:val="000000" w:themeColor="text1"/>
                <w:sz w:val="16"/>
                <w:lang w:val="en-GB"/>
              </w:rPr>
              <w:t>783</w:t>
            </w:r>
          </w:p>
        </w:tc>
        <w:tc>
          <w:tcPr>
            <w:tcW w:w="1134" w:type="dxa"/>
            <w:tcBorders>
              <w:bottom w:val="single" w:sz="4" w:space="0" w:color="auto"/>
            </w:tcBorders>
            <w:shd w:val="clear" w:color="auto" w:fill="auto"/>
            <w:tcMar>
              <w:top w:w="57" w:type="dxa"/>
              <w:left w:w="0" w:type="dxa"/>
              <w:bottom w:w="85" w:type="dxa"/>
              <w:right w:w="0" w:type="dxa"/>
            </w:tcMar>
            <w:vAlign w:val="bottom"/>
          </w:tcPr>
          <w:p w14:paraId="515B48C5" w14:textId="77777777" w:rsidR="006C7411" w:rsidRPr="006C7411" w:rsidRDefault="006C7411" w:rsidP="002D5AFB">
            <w:pPr>
              <w:spacing w:line="240" w:lineRule="atLeast"/>
              <w:jc w:val="right"/>
              <w:rPr>
                <w:rFonts w:ascii="Tahoma" w:hAnsi="Tahoma"/>
                <w:color w:val="000000" w:themeColor="text1"/>
                <w:sz w:val="16"/>
                <w:lang w:val="en-GB"/>
              </w:rPr>
            </w:pPr>
            <w:r w:rsidRPr="006C7411">
              <w:rPr>
                <w:rFonts w:ascii="Tahoma" w:hAnsi="Tahoma"/>
                <w:color w:val="000000" w:themeColor="text1"/>
                <w:sz w:val="16"/>
                <w:lang w:val="en-GB"/>
              </w:rPr>
              <w:t>26</w:t>
            </w:r>
          </w:p>
        </w:tc>
        <w:tc>
          <w:tcPr>
            <w:tcW w:w="1142" w:type="dxa"/>
            <w:gridSpan w:val="2"/>
            <w:tcBorders>
              <w:bottom w:val="single" w:sz="4" w:space="0" w:color="auto"/>
            </w:tcBorders>
            <w:shd w:val="clear" w:color="auto" w:fill="auto"/>
            <w:tcMar>
              <w:top w:w="57" w:type="dxa"/>
              <w:left w:w="0" w:type="dxa"/>
              <w:bottom w:w="85" w:type="dxa"/>
              <w:right w:w="0" w:type="dxa"/>
            </w:tcMar>
            <w:vAlign w:val="bottom"/>
          </w:tcPr>
          <w:p w14:paraId="360389CE" w14:textId="77777777" w:rsidR="006C7411" w:rsidRPr="006C7411" w:rsidRDefault="006C7411" w:rsidP="00083FDC">
            <w:pPr>
              <w:spacing w:line="240" w:lineRule="atLeast"/>
              <w:ind w:right="113"/>
              <w:jc w:val="right"/>
              <w:rPr>
                <w:rFonts w:ascii="Tahoma" w:hAnsi="Tahoma"/>
                <w:color w:val="000000" w:themeColor="text1"/>
                <w:sz w:val="16"/>
                <w:lang w:val="en-GB"/>
              </w:rPr>
            </w:pPr>
            <w:r w:rsidRPr="006C7411">
              <w:rPr>
                <w:rFonts w:ascii="Tahoma" w:hAnsi="Tahoma"/>
                <w:color w:val="000000" w:themeColor="text1"/>
                <w:sz w:val="16"/>
                <w:lang w:val="en-GB"/>
              </w:rPr>
              <w:t>1 092</w:t>
            </w:r>
          </w:p>
        </w:tc>
      </w:tr>
      <w:tr w:rsidR="00615190" w:rsidRPr="006C7411" w14:paraId="1CF8FE8E" w14:textId="77777777" w:rsidTr="00431AA9">
        <w:trPr>
          <w:trHeight w:val="60"/>
        </w:trPr>
        <w:tc>
          <w:tcPr>
            <w:tcW w:w="397" w:type="dxa"/>
            <w:shd w:val="clear" w:color="auto" w:fill="auto"/>
            <w:tcMar>
              <w:top w:w="85" w:type="dxa"/>
              <w:left w:w="0" w:type="dxa"/>
              <w:bottom w:w="57" w:type="dxa"/>
              <w:right w:w="0" w:type="dxa"/>
            </w:tcMar>
            <w:vAlign w:val="bottom"/>
          </w:tcPr>
          <w:p w14:paraId="30F6E208" w14:textId="77777777" w:rsidR="006C7411" w:rsidRPr="006C7411" w:rsidRDefault="006C7411" w:rsidP="00615190">
            <w:pPr>
              <w:spacing w:line="240" w:lineRule="atLeast"/>
              <w:rPr>
                <w:rFonts w:ascii="Tahoma" w:hAnsi="Tahoma"/>
                <w:color w:val="000000" w:themeColor="text1"/>
                <w:sz w:val="16"/>
                <w:lang w:val="en-GB"/>
              </w:rPr>
            </w:pPr>
          </w:p>
        </w:tc>
        <w:tc>
          <w:tcPr>
            <w:tcW w:w="6266" w:type="dxa"/>
            <w:tcBorders>
              <w:top w:val="single" w:sz="4" w:space="0" w:color="auto"/>
            </w:tcBorders>
            <w:shd w:val="clear" w:color="auto" w:fill="auto"/>
            <w:tcMar>
              <w:top w:w="85" w:type="dxa"/>
              <w:left w:w="0" w:type="dxa"/>
              <w:bottom w:w="57" w:type="dxa"/>
              <w:right w:w="0" w:type="dxa"/>
            </w:tcMar>
            <w:vAlign w:val="bottom"/>
          </w:tcPr>
          <w:p w14:paraId="0A4A2720" w14:textId="77777777" w:rsidR="006C7411" w:rsidRPr="006C7411" w:rsidRDefault="006C7411" w:rsidP="00615190">
            <w:pPr>
              <w:spacing w:line="240" w:lineRule="atLeast"/>
              <w:rPr>
                <w:rFonts w:ascii="Tahoma" w:hAnsi="Tahoma"/>
                <w:b/>
                <w:bCs/>
                <w:color w:val="000000" w:themeColor="text1"/>
                <w:sz w:val="16"/>
                <w:lang w:val="en-GB"/>
              </w:rPr>
            </w:pPr>
            <w:r w:rsidRPr="006C7411">
              <w:rPr>
                <w:rFonts w:ascii="Tahoma" w:hAnsi="Tahoma"/>
                <w:b/>
                <w:bCs/>
                <w:color w:val="000000" w:themeColor="text1"/>
                <w:sz w:val="16"/>
                <w:lang w:val="en-GB"/>
              </w:rPr>
              <w:t>Contribution to headline earnings from continuing operations</w:t>
            </w:r>
          </w:p>
        </w:tc>
        <w:tc>
          <w:tcPr>
            <w:tcW w:w="1275" w:type="dxa"/>
            <w:tcBorders>
              <w:top w:val="single" w:sz="4" w:space="0" w:color="auto"/>
            </w:tcBorders>
            <w:shd w:val="clear" w:color="auto" w:fill="auto"/>
            <w:tcMar>
              <w:top w:w="85" w:type="dxa"/>
              <w:left w:w="0" w:type="dxa"/>
              <w:bottom w:w="57" w:type="dxa"/>
              <w:right w:w="0" w:type="dxa"/>
            </w:tcMar>
            <w:vAlign w:val="bottom"/>
          </w:tcPr>
          <w:p w14:paraId="59CB9E69" w14:textId="77777777" w:rsidR="006C7411" w:rsidRPr="006C7411" w:rsidRDefault="006C7411" w:rsidP="002D5AFB">
            <w:pPr>
              <w:spacing w:line="240" w:lineRule="atLeast"/>
              <w:jc w:val="right"/>
              <w:rPr>
                <w:rFonts w:ascii="Tahoma" w:hAnsi="Tahoma"/>
                <w:b/>
                <w:bCs/>
                <w:color w:val="000000" w:themeColor="text1"/>
                <w:sz w:val="16"/>
                <w:lang w:val="en-GB"/>
              </w:rPr>
            </w:pPr>
            <w:r w:rsidRPr="006C7411">
              <w:rPr>
                <w:rFonts w:ascii="Tahoma" w:hAnsi="Tahoma"/>
                <w:b/>
                <w:bCs/>
                <w:color w:val="000000" w:themeColor="text1"/>
                <w:sz w:val="16"/>
                <w:lang w:val="en-GB"/>
              </w:rPr>
              <w:t>56</w:t>
            </w:r>
          </w:p>
        </w:tc>
        <w:tc>
          <w:tcPr>
            <w:tcW w:w="1134" w:type="dxa"/>
            <w:tcBorders>
              <w:top w:val="single" w:sz="4" w:space="0" w:color="auto"/>
            </w:tcBorders>
            <w:shd w:val="clear" w:color="auto" w:fill="auto"/>
            <w:tcMar>
              <w:top w:w="85" w:type="dxa"/>
              <w:left w:w="0" w:type="dxa"/>
              <w:bottom w:w="57" w:type="dxa"/>
              <w:right w:w="0" w:type="dxa"/>
            </w:tcMar>
            <w:vAlign w:val="bottom"/>
          </w:tcPr>
          <w:p w14:paraId="73890D4A" w14:textId="77777777" w:rsidR="006C7411" w:rsidRPr="006C7411" w:rsidRDefault="006C7411" w:rsidP="002D5AFB">
            <w:pPr>
              <w:spacing w:line="240" w:lineRule="atLeast"/>
              <w:jc w:val="right"/>
              <w:rPr>
                <w:rFonts w:ascii="Tahoma" w:hAnsi="Tahoma"/>
                <w:color w:val="000000" w:themeColor="text1"/>
                <w:sz w:val="16"/>
                <w:lang w:val="en-GB"/>
              </w:rPr>
            </w:pPr>
            <w:r w:rsidRPr="006C7411">
              <w:rPr>
                <w:rFonts w:ascii="Tahoma" w:hAnsi="Tahoma"/>
                <w:color w:val="000000" w:themeColor="text1"/>
                <w:sz w:val="16"/>
                <w:lang w:val="en-GB"/>
              </w:rPr>
              <w:t>3 011</w:t>
            </w:r>
          </w:p>
        </w:tc>
        <w:tc>
          <w:tcPr>
            <w:tcW w:w="1142" w:type="dxa"/>
            <w:gridSpan w:val="2"/>
            <w:tcBorders>
              <w:top w:val="single" w:sz="4" w:space="0" w:color="auto"/>
            </w:tcBorders>
            <w:shd w:val="clear" w:color="auto" w:fill="auto"/>
            <w:tcMar>
              <w:top w:w="85" w:type="dxa"/>
              <w:left w:w="0" w:type="dxa"/>
              <w:bottom w:w="57" w:type="dxa"/>
              <w:right w:w="0" w:type="dxa"/>
            </w:tcMar>
            <w:vAlign w:val="bottom"/>
          </w:tcPr>
          <w:p w14:paraId="6BCFC658" w14:textId="77777777" w:rsidR="006C7411" w:rsidRPr="006C7411" w:rsidRDefault="006C7411" w:rsidP="00083FDC">
            <w:pPr>
              <w:spacing w:line="240" w:lineRule="atLeast"/>
              <w:ind w:right="113"/>
              <w:jc w:val="right"/>
              <w:rPr>
                <w:rFonts w:ascii="Tahoma" w:hAnsi="Tahoma"/>
                <w:color w:val="000000" w:themeColor="text1"/>
                <w:sz w:val="16"/>
                <w:lang w:val="en-GB"/>
              </w:rPr>
            </w:pPr>
            <w:r w:rsidRPr="006C7411">
              <w:rPr>
                <w:rFonts w:ascii="Tahoma" w:hAnsi="Tahoma"/>
                <w:color w:val="000000" w:themeColor="text1"/>
                <w:sz w:val="16"/>
                <w:lang w:val="en-GB"/>
              </w:rPr>
              <w:t>4 121</w:t>
            </w:r>
          </w:p>
        </w:tc>
      </w:tr>
      <w:tr w:rsidR="00615190" w:rsidRPr="006C7411" w14:paraId="09BDFC03" w14:textId="77777777" w:rsidTr="00083FDC">
        <w:trPr>
          <w:trHeight w:val="60"/>
        </w:trPr>
        <w:tc>
          <w:tcPr>
            <w:tcW w:w="397" w:type="dxa"/>
            <w:shd w:val="clear" w:color="auto" w:fill="auto"/>
            <w:tcMar>
              <w:top w:w="57" w:type="dxa"/>
              <w:left w:w="0" w:type="dxa"/>
              <w:bottom w:w="57" w:type="dxa"/>
              <w:right w:w="0" w:type="dxa"/>
            </w:tcMar>
            <w:vAlign w:val="bottom"/>
          </w:tcPr>
          <w:p w14:paraId="174A464F" w14:textId="77777777" w:rsidR="006C7411" w:rsidRPr="006C7411" w:rsidRDefault="006C7411" w:rsidP="00615190">
            <w:pPr>
              <w:spacing w:line="240" w:lineRule="atLeast"/>
              <w:rPr>
                <w:rFonts w:ascii="Tahoma" w:hAnsi="Tahoma"/>
                <w:color w:val="000000" w:themeColor="text1"/>
                <w:sz w:val="16"/>
                <w:lang w:val="en-GB"/>
              </w:rPr>
            </w:pPr>
          </w:p>
        </w:tc>
        <w:tc>
          <w:tcPr>
            <w:tcW w:w="6266" w:type="dxa"/>
            <w:shd w:val="clear" w:color="auto" w:fill="auto"/>
            <w:tcMar>
              <w:top w:w="57" w:type="dxa"/>
              <w:left w:w="0" w:type="dxa"/>
              <w:bottom w:w="57" w:type="dxa"/>
              <w:right w:w="0" w:type="dxa"/>
            </w:tcMar>
            <w:vAlign w:val="bottom"/>
          </w:tcPr>
          <w:p w14:paraId="17780B6F" w14:textId="77777777" w:rsidR="006C7411" w:rsidRPr="006C7411" w:rsidRDefault="006C7411" w:rsidP="00615190">
            <w:pPr>
              <w:spacing w:line="240" w:lineRule="atLeast"/>
              <w:rPr>
                <w:rFonts w:ascii="Tahoma" w:hAnsi="Tahoma"/>
                <w:color w:val="000000" w:themeColor="text1"/>
                <w:sz w:val="16"/>
                <w:lang w:val="en-GB"/>
              </w:rPr>
            </w:pPr>
            <w:r w:rsidRPr="006C7411">
              <w:rPr>
                <w:rFonts w:ascii="Tahoma" w:hAnsi="Tahoma"/>
                <w:color w:val="000000" w:themeColor="text1"/>
                <w:sz w:val="16"/>
                <w:lang w:val="en-GB"/>
              </w:rPr>
              <w:t>– Amortisation of other intangible assets</w:t>
            </w:r>
          </w:p>
        </w:tc>
        <w:tc>
          <w:tcPr>
            <w:tcW w:w="1275" w:type="dxa"/>
            <w:shd w:val="clear" w:color="auto" w:fill="auto"/>
            <w:tcMar>
              <w:top w:w="57" w:type="dxa"/>
              <w:left w:w="0" w:type="dxa"/>
              <w:bottom w:w="57" w:type="dxa"/>
              <w:right w:w="0" w:type="dxa"/>
            </w:tcMar>
            <w:vAlign w:val="bottom"/>
          </w:tcPr>
          <w:p w14:paraId="735B66C8" w14:textId="77777777" w:rsidR="006C7411" w:rsidRPr="006C7411" w:rsidRDefault="006C7411" w:rsidP="002D5AFB">
            <w:pPr>
              <w:spacing w:line="240" w:lineRule="atLeast"/>
              <w:jc w:val="right"/>
              <w:rPr>
                <w:rFonts w:ascii="Tahoma" w:hAnsi="Tahoma"/>
                <w:b/>
                <w:bCs/>
                <w:color w:val="000000" w:themeColor="text1"/>
                <w:sz w:val="16"/>
                <w:lang w:val="en-GB"/>
              </w:rPr>
            </w:pPr>
            <w:r w:rsidRPr="006C7411">
              <w:rPr>
                <w:rFonts w:ascii="Tahoma" w:hAnsi="Tahoma"/>
                <w:b/>
                <w:bCs/>
                <w:color w:val="000000" w:themeColor="text1"/>
                <w:sz w:val="16"/>
                <w:lang w:val="en-GB"/>
              </w:rPr>
              <w:t>335</w:t>
            </w:r>
          </w:p>
        </w:tc>
        <w:tc>
          <w:tcPr>
            <w:tcW w:w="1134" w:type="dxa"/>
            <w:shd w:val="clear" w:color="auto" w:fill="auto"/>
            <w:tcMar>
              <w:top w:w="57" w:type="dxa"/>
              <w:left w:w="0" w:type="dxa"/>
              <w:bottom w:w="57" w:type="dxa"/>
              <w:right w:w="0" w:type="dxa"/>
            </w:tcMar>
            <w:vAlign w:val="bottom"/>
          </w:tcPr>
          <w:p w14:paraId="1482EF1C" w14:textId="77777777" w:rsidR="006C7411" w:rsidRPr="006C7411" w:rsidRDefault="006C7411" w:rsidP="002D5AFB">
            <w:pPr>
              <w:spacing w:line="240" w:lineRule="atLeast"/>
              <w:jc w:val="right"/>
              <w:rPr>
                <w:rFonts w:ascii="Tahoma" w:hAnsi="Tahoma"/>
                <w:color w:val="000000" w:themeColor="text1"/>
                <w:sz w:val="16"/>
                <w:lang w:val="en-GB"/>
              </w:rPr>
            </w:pPr>
            <w:r w:rsidRPr="006C7411">
              <w:rPr>
                <w:rFonts w:ascii="Tahoma" w:hAnsi="Tahoma"/>
                <w:color w:val="000000" w:themeColor="text1"/>
                <w:sz w:val="16"/>
                <w:lang w:val="en-GB"/>
              </w:rPr>
              <w:t>299</w:t>
            </w:r>
          </w:p>
        </w:tc>
        <w:tc>
          <w:tcPr>
            <w:tcW w:w="1142" w:type="dxa"/>
            <w:gridSpan w:val="2"/>
            <w:shd w:val="clear" w:color="auto" w:fill="auto"/>
            <w:tcMar>
              <w:top w:w="57" w:type="dxa"/>
              <w:left w:w="0" w:type="dxa"/>
              <w:bottom w:w="57" w:type="dxa"/>
              <w:right w:w="0" w:type="dxa"/>
            </w:tcMar>
            <w:vAlign w:val="bottom"/>
          </w:tcPr>
          <w:p w14:paraId="7E1BC0BD" w14:textId="77777777" w:rsidR="006C7411" w:rsidRPr="006C7411" w:rsidRDefault="006C7411" w:rsidP="00083FDC">
            <w:pPr>
              <w:spacing w:line="240" w:lineRule="atLeast"/>
              <w:ind w:right="113"/>
              <w:jc w:val="right"/>
              <w:rPr>
                <w:rFonts w:ascii="Tahoma" w:hAnsi="Tahoma"/>
                <w:color w:val="000000" w:themeColor="text1"/>
                <w:sz w:val="16"/>
                <w:lang w:val="en-GB"/>
              </w:rPr>
            </w:pPr>
            <w:r w:rsidRPr="006C7411">
              <w:rPr>
                <w:rFonts w:ascii="Tahoma" w:hAnsi="Tahoma"/>
                <w:color w:val="000000" w:themeColor="text1"/>
                <w:sz w:val="16"/>
                <w:lang w:val="en-GB"/>
              </w:rPr>
              <w:t>680</w:t>
            </w:r>
          </w:p>
        </w:tc>
      </w:tr>
      <w:tr w:rsidR="00615190" w:rsidRPr="006C7411" w14:paraId="649B0687" w14:textId="77777777" w:rsidTr="00940FE7">
        <w:trPr>
          <w:trHeight w:val="60"/>
        </w:trPr>
        <w:tc>
          <w:tcPr>
            <w:tcW w:w="397" w:type="dxa"/>
            <w:shd w:val="clear" w:color="auto" w:fill="auto"/>
            <w:tcMar>
              <w:top w:w="57" w:type="dxa"/>
              <w:left w:w="0" w:type="dxa"/>
              <w:bottom w:w="57" w:type="dxa"/>
              <w:right w:w="0" w:type="dxa"/>
            </w:tcMar>
            <w:vAlign w:val="bottom"/>
          </w:tcPr>
          <w:p w14:paraId="5879C18D" w14:textId="77777777" w:rsidR="006C7411" w:rsidRPr="006C7411" w:rsidRDefault="006C7411" w:rsidP="00615190">
            <w:pPr>
              <w:spacing w:line="240" w:lineRule="atLeast"/>
              <w:rPr>
                <w:rFonts w:ascii="Tahoma" w:hAnsi="Tahoma"/>
                <w:color w:val="000000" w:themeColor="text1"/>
                <w:sz w:val="16"/>
                <w:lang w:val="en-GB"/>
              </w:rPr>
            </w:pPr>
          </w:p>
        </w:tc>
        <w:tc>
          <w:tcPr>
            <w:tcW w:w="6266" w:type="dxa"/>
            <w:shd w:val="clear" w:color="auto" w:fill="auto"/>
            <w:tcMar>
              <w:top w:w="57" w:type="dxa"/>
              <w:left w:w="0" w:type="dxa"/>
              <w:bottom w:w="57" w:type="dxa"/>
              <w:right w:w="0" w:type="dxa"/>
            </w:tcMar>
            <w:vAlign w:val="bottom"/>
          </w:tcPr>
          <w:p w14:paraId="52031C7B" w14:textId="77777777" w:rsidR="006C7411" w:rsidRPr="006C7411" w:rsidRDefault="006C7411" w:rsidP="00615190">
            <w:pPr>
              <w:spacing w:line="240" w:lineRule="atLeast"/>
              <w:rPr>
                <w:rFonts w:ascii="Tahoma" w:hAnsi="Tahoma"/>
                <w:color w:val="000000" w:themeColor="text1"/>
                <w:sz w:val="16"/>
                <w:lang w:val="en-GB"/>
              </w:rPr>
            </w:pPr>
            <w:r w:rsidRPr="006C7411">
              <w:rPr>
                <w:rFonts w:ascii="Tahoma" w:hAnsi="Tahoma"/>
                <w:color w:val="000000" w:themeColor="text1"/>
                <w:sz w:val="16"/>
                <w:lang w:val="en-GB"/>
              </w:rPr>
              <w:t>– Equity-settled share-based payment expenses</w:t>
            </w:r>
          </w:p>
        </w:tc>
        <w:tc>
          <w:tcPr>
            <w:tcW w:w="1275" w:type="dxa"/>
            <w:shd w:val="clear" w:color="auto" w:fill="auto"/>
            <w:tcMar>
              <w:top w:w="57" w:type="dxa"/>
              <w:left w:w="0" w:type="dxa"/>
              <w:bottom w:w="57" w:type="dxa"/>
              <w:right w:w="0" w:type="dxa"/>
            </w:tcMar>
            <w:vAlign w:val="bottom"/>
          </w:tcPr>
          <w:p w14:paraId="5C6887DA" w14:textId="77777777" w:rsidR="006C7411" w:rsidRPr="006C7411" w:rsidRDefault="006C7411" w:rsidP="002D5AFB">
            <w:pPr>
              <w:spacing w:line="240" w:lineRule="atLeast"/>
              <w:jc w:val="right"/>
              <w:rPr>
                <w:rFonts w:ascii="Tahoma" w:hAnsi="Tahoma"/>
                <w:b/>
                <w:bCs/>
                <w:color w:val="000000" w:themeColor="text1"/>
                <w:sz w:val="16"/>
                <w:lang w:val="en-GB"/>
              </w:rPr>
            </w:pPr>
            <w:r w:rsidRPr="006C7411">
              <w:rPr>
                <w:rFonts w:ascii="Tahoma" w:hAnsi="Tahoma"/>
                <w:b/>
                <w:bCs/>
                <w:color w:val="000000" w:themeColor="text1"/>
                <w:sz w:val="16"/>
                <w:lang w:val="en-GB"/>
              </w:rPr>
              <w:t>803</w:t>
            </w:r>
          </w:p>
        </w:tc>
        <w:tc>
          <w:tcPr>
            <w:tcW w:w="1134" w:type="dxa"/>
            <w:shd w:val="clear" w:color="auto" w:fill="auto"/>
            <w:tcMar>
              <w:top w:w="57" w:type="dxa"/>
              <w:left w:w="0" w:type="dxa"/>
              <w:bottom w:w="57" w:type="dxa"/>
              <w:right w:w="0" w:type="dxa"/>
            </w:tcMar>
            <w:vAlign w:val="bottom"/>
          </w:tcPr>
          <w:p w14:paraId="3130A8FD" w14:textId="77777777" w:rsidR="006C7411" w:rsidRPr="006C7411" w:rsidRDefault="006C7411" w:rsidP="002D5AFB">
            <w:pPr>
              <w:spacing w:line="240" w:lineRule="atLeast"/>
              <w:jc w:val="right"/>
              <w:rPr>
                <w:rFonts w:ascii="Tahoma" w:hAnsi="Tahoma"/>
                <w:color w:val="000000" w:themeColor="text1"/>
                <w:sz w:val="16"/>
                <w:lang w:val="en-GB"/>
              </w:rPr>
            </w:pPr>
            <w:r w:rsidRPr="006C7411">
              <w:rPr>
                <w:rFonts w:ascii="Tahoma" w:hAnsi="Tahoma"/>
                <w:color w:val="000000" w:themeColor="text1"/>
                <w:sz w:val="16"/>
                <w:lang w:val="en-GB"/>
              </w:rPr>
              <w:t>583</w:t>
            </w:r>
          </w:p>
        </w:tc>
        <w:tc>
          <w:tcPr>
            <w:tcW w:w="1142" w:type="dxa"/>
            <w:gridSpan w:val="2"/>
            <w:shd w:val="clear" w:color="auto" w:fill="auto"/>
            <w:tcMar>
              <w:top w:w="57" w:type="dxa"/>
              <w:left w:w="0" w:type="dxa"/>
              <w:bottom w:w="57" w:type="dxa"/>
              <w:right w:w="0" w:type="dxa"/>
            </w:tcMar>
            <w:vAlign w:val="bottom"/>
          </w:tcPr>
          <w:p w14:paraId="32CFAFE1" w14:textId="77777777" w:rsidR="006C7411" w:rsidRPr="006C7411" w:rsidRDefault="006C7411" w:rsidP="00083FDC">
            <w:pPr>
              <w:spacing w:line="240" w:lineRule="atLeast"/>
              <w:ind w:right="113"/>
              <w:jc w:val="right"/>
              <w:rPr>
                <w:rFonts w:ascii="Tahoma" w:hAnsi="Tahoma"/>
                <w:color w:val="000000" w:themeColor="text1"/>
                <w:sz w:val="16"/>
                <w:lang w:val="en-GB"/>
              </w:rPr>
            </w:pPr>
            <w:r w:rsidRPr="006C7411">
              <w:rPr>
                <w:rFonts w:ascii="Tahoma" w:hAnsi="Tahoma"/>
                <w:color w:val="000000" w:themeColor="text1"/>
                <w:sz w:val="16"/>
                <w:lang w:val="en-GB"/>
              </w:rPr>
              <w:t>1 512</w:t>
            </w:r>
          </w:p>
        </w:tc>
      </w:tr>
      <w:tr w:rsidR="00615190" w:rsidRPr="006C7411" w14:paraId="321A9C81" w14:textId="77777777" w:rsidTr="00940FE7">
        <w:trPr>
          <w:trHeight w:val="60"/>
        </w:trPr>
        <w:tc>
          <w:tcPr>
            <w:tcW w:w="397" w:type="dxa"/>
            <w:shd w:val="clear" w:color="auto" w:fill="auto"/>
            <w:tcMar>
              <w:top w:w="57" w:type="dxa"/>
              <w:left w:w="0" w:type="dxa"/>
              <w:bottom w:w="85" w:type="dxa"/>
              <w:right w:w="0" w:type="dxa"/>
            </w:tcMar>
            <w:vAlign w:val="bottom"/>
          </w:tcPr>
          <w:p w14:paraId="2A56674C" w14:textId="77777777" w:rsidR="006C7411" w:rsidRPr="006C7411" w:rsidRDefault="006C7411" w:rsidP="00615190">
            <w:pPr>
              <w:spacing w:line="240" w:lineRule="atLeast"/>
              <w:rPr>
                <w:rFonts w:ascii="Tahoma" w:hAnsi="Tahoma"/>
                <w:color w:val="000000" w:themeColor="text1"/>
                <w:sz w:val="16"/>
                <w:lang w:val="en-GB"/>
              </w:rPr>
            </w:pPr>
          </w:p>
        </w:tc>
        <w:tc>
          <w:tcPr>
            <w:tcW w:w="6266" w:type="dxa"/>
            <w:tcBorders>
              <w:bottom w:val="single" w:sz="4" w:space="0" w:color="auto"/>
            </w:tcBorders>
            <w:shd w:val="clear" w:color="auto" w:fill="auto"/>
            <w:tcMar>
              <w:top w:w="57" w:type="dxa"/>
              <w:left w:w="0" w:type="dxa"/>
              <w:bottom w:w="85" w:type="dxa"/>
              <w:right w:w="0" w:type="dxa"/>
            </w:tcMar>
            <w:vAlign w:val="bottom"/>
          </w:tcPr>
          <w:p w14:paraId="4FC5AAEC" w14:textId="77777777" w:rsidR="006C7411" w:rsidRPr="006C7411" w:rsidRDefault="006C7411" w:rsidP="00615190">
            <w:pPr>
              <w:spacing w:line="240" w:lineRule="atLeast"/>
              <w:rPr>
                <w:rFonts w:ascii="Tahoma" w:hAnsi="Tahoma"/>
                <w:color w:val="000000" w:themeColor="text1"/>
                <w:sz w:val="16"/>
                <w:lang w:val="en-GB"/>
              </w:rPr>
            </w:pPr>
            <w:r w:rsidRPr="006C7411">
              <w:rPr>
                <w:rFonts w:ascii="Tahoma" w:hAnsi="Tahoma"/>
                <w:color w:val="000000" w:themeColor="text1"/>
                <w:sz w:val="16"/>
                <w:lang w:val="en-GB"/>
              </w:rPr>
              <w:t>– Fair-value adjustments and currency translation differences</w:t>
            </w:r>
          </w:p>
        </w:tc>
        <w:tc>
          <w:tcPr>
            <w:tcW w:w="1275" w:type="dxa"/>
            <w:tcBorders>
              <w:bottom w:val="single" w:sz="4" w:space="0" w:color="auto"/>
            </w:tcBorders>
            <w:shd w:val="clear" w:color="auto" w:fill="auto"/>
            <w:tcMar>
              <w:top w:w="57" w:type="dxa"/>
              <w:left w:w="0" w:type="dxa"/>
              <w:bottom w:w="85" w:type="dxa"/>
              <w:right w:w="0" w:type="dxa"/>
            </w:tcMar>
            <w:vAlign w:val="bottom"/>
          </w:tcPr>
          <w:p w14:paraId="6D3AF12E" w14:textId="77777777" w:rsidR="006C7411" w:rsidRPr="006C7411" w:rsidRDefault="006C7411" w:rsidP="002D5AFB">
            <w:pPr>
              <w:spacing w:line="240" w:lineRule="atLeast"/>
              <w:jc w:val="right"/>
              <w:rPr>
                <w:rFonts w:ascii="Tahoma" w:hAnsi="Tahoma"/>
                <w:b/>
                <w:bCs/>
                <w:color w:val="000000" w:themeColor="text1"/>
                <w:sz w:val="16"/>
                <w:lang w:val="en-GB"/>
              </w:rPr>
            </w:pPr>
            <w:r w:rsidRPr="006C7411">
              <w:rPr>
                <w:rFonts w:ascii="Tahoma" w:hAnsi="Tahoma"/>
                <w:b/>
                <w:bCs/>
                <w:color w:val="000000" w:themeColor="text1"/>
                <w:sz w:val="16"/>
                <w:lang w:val="en-GB"/>
              </w:rPr>
              <w:t>292</w:t>
            </w:r>
          </w:p>
        </w:tc>
        <w:tc>
          <w:tcPr>
            <w:tcW w:w="1134" w:type="dxa"/>
            <w:tcBorders>
              <w:bottom w:val="single" w:sz="4" w:space="0" w:color="auto"/>
            </w:tcBorders>
            <w:shd w:val="clear" w:color="auto" w:fill="auto"/>
            <w:tcMar>
              <w:top w:w="57" w:type="dxa"/>
              <w:left w:w="0" w:type="dxa"/>
              <w:bottom w:w="85" w:type="dxa"/>
              <w:right w:w="0" w:type="dxa"/>
            </w:tcMar>
            <w:vAlign w:val="bottom"/>
          </w:tcPr>
          <w:p w14:paraId="09435C90" w14:textId="77777777" w:rsidR="006C7411" w:rsidRPr="006C7411" w:rsidRDefault="006C7411" w:rsidP="002D5AFB">
            <w:pPr>
              <w:spacing w:line="240" w:lineRule="atLeast"/>
              <w:jc w:val="right"/>
              <w:rPr>
                <w:rFonts w:ascii="Tahoma" w:hAnsi="Tahoma"/>
                <w:color w:val="000000" w:themeColor="text1"/>
                <w:sz w:val="16"/>
                <w:lang w:val="en-GB"/>
              </w:rPr>
            </w:pPr>
            <w:r w:rsidRPr="006C7411">
              <w:rPr>
                <w:rFonts w:ascii="Tahoma" w:hAnsi="Tahoma"/>
                <w:color w:val="000000" w:themeColor="text1"/>
                <w:sz w:val="16"/>
                <w:lang w:val="en-GB"/>
              </w:rPr>
              <w:t>(1 269)</w:t>
            </w:r>
          </w:p>
        </w:tc>
        <w:tc>
          <w:tcPr>
            <w:tcW w:w="1142" w:type="dxa"/>
            <w:gridSpan w:val="2"/>
            <w:tcBorders>
              <w:bottom w:val="single" w:sz="4" w:space="0" w:color="auto"/>
            </w:tcBorders>
            <w:shd w:val="clear" w:color="auto" w:fill="auto"/>
            <w:tcMar>
              <w:top w:w="57" w:type="dxa"/>
              <w:left w:w="0" w:type="dxa"/>
              <w:bottom w:w="85" w:type="dxa"/>
              <w:right w:w="0" w:type="dxa"/>
            </w:tcMar>
            <w:vAlign w:val="bottom"/>
          </w:tcPr>
          <w:p w14:paraId="7842B4AF" w14:textId="77777777" w:rsidR="006C7411" w:rsidRPr="006C7411" w:rsidRDefault="006C7411" w:rsidP="00083FDC">
            <w:pPr>
              <w:spacing w:line="240" w:lineRule="atLeast"/>
              <w:ind w:right="113"/>
              <w:jc w:val="right"/>
              <w:rPr>
                <w:rFonts w:ascii="Tahoma" w:hAnsi="Tahoma"/>
                <w:color w:val="000000" w:themeColor="text1"/>
                <w:sz w:val="16"/>
                <w:lang w:val="en-GB"/>
              </w:rPr>
            </w:pPr>
            <w:r w:rsidRPr="006C7411">
              <w:rPr>
                <w:rFonts w:ascii="Tahoma" w:hAnsi="Tahoma"/>
                <w:color w:val="000000" w:themeColor="text1"/>
                <w:sz w:val="16"/>
                <w:lang w:val="en-GB"/>
              </w:rPr>
              <w:t>(1 761)</w:t>
            </w:r>
          </w:p>
        </w:tc>
      </w:tr>
      <w:tr w:rsidR="00615190" w:rsidRPr="006C7411" w14:paraId="216CE3DE" w14:textId="77777777" w:rsidTr="00940FE7">
        <w:trPr>
          <w:trHeight w:val="60"/>
        </w:trPr>
        <w:tc>
          <w:tcPr>
            <w:tcW w:w="397" w:type="dxa"/>
            <w:shd w:val="clear" w:color="auto" w:fill="auto"/>
            <w:tcMar>
              <w:top w:w="85" w:type="dxa"/>
              <w:left w:w="0" w:type="dxa"/>
              <w:bottom w:w="57" w:type="dxa"/>
              <w:right w:w="0" w:type="dxa"/>
            </w:tcMar>
            <w:vAlign w:val="bottom"/>
          </w:tcPr>
          <w:p w14:paraId="41F2CF50" w14:textId="77777777" w:rsidR="006C7411" w:rsidRPr="006C7411" w:rsidRDefault="006C7411" w:rsidP="00615190">
            <w:pPr>
              <w:spacing w:line="240" w:lineRule="atLeast"/>
              <w:rPr>
                <w:rFonts w:ascii="Tahoma" w:hAnsi="Tahoma"/>
                <w:color w:val="000000" w:themeColor="text1"/>
                <w:sz w:val="16"/>
                <w:lang w:val="en-GB"/>
              </w:rPr>
            </w:pPr>
          </w:p>
        </w:tc>
        <w:tc>
          <w:tcPr>
            <w:tcW w:w="6266" w:type="dxa"/>
            <w:tcBorders>
              <w:top w:val="single" w:sz="4" w:space="0" w:color="auto"/>
            </w:tcBorders>
            <w:shd w:val="clear" w:color="auto" w:fill="auto"/>
            <w:tcMar>
              <w:top w:w="85" w:type="dxa"/>
              <w:left w:w="0" w:type="dxa"/>
              <w:bottom w:w="57" w:type="dxa"/>
              <w:right w:w="0" w:type="dxa"/>
            </w:tcMar>
            <w:vAlign w:val="bottom"/>
          </w:tcPr>
          <w:p w14:paraId="1B0810B9" w14:textId="77777777" w:rsidR="006C7411" w:rsidRPr="006C7411" w:rsidRDefault="006C7411" w:rsidP="00615190">
            <w:pPr>
              <w:spacing w:line="240" w:lineRule="atLeast"/>
              <w:rPr>
                <w:rFonts w:ascii="Tahoma" w:hAnsi="Tahoma"/>
                <w:b/>
                <w:bCs/>
                <w:color w:val="000000" w:themeColor="text1"/>
                <w:sz w:val="16"/>
                <w:lang w:val="en-GB"/>
              </w:rPr>
            </w:pPr>
            <w:r w:rsidRPr="006C7411">
              <w:rPr>
                <w:rFonts w:ascii="Tahoma" w:hAnsi="Tahoma"/>
                <w:b/>
                <w:bCs/>
                <w:color w:val="000000" w:themeColor="text1"/>
                <w:sz w:val="16"/>
                <w:lang w:val="en-GB"/>
              </w:rPr>
              <w:t>Contribution to core headline earnings from continuing operations</w:t>
            </w:r>
          </w:p>
        </w:tc>
        <w:tc>
          <w:tcPr>
            <w:tcW w:w="1275" w:type="dxa"/>
            <w:tcBorders>
              <w:top w:val="single" w:sz="4" w:space="0" w:color="auto"/>
              <w:bottom w:val="single" w:sz="4" w:space="0" w:color="auto"/>
            </w:tcBorders>
            <w:shd w:val="clear" w:color="auto" w:fill="auto"/>
            <w:tcMar>
              <w:top w:w="85" w:type="dxa"/>
              <w:left w:w="0" w:type="dxa"/>
              <w:bottom w:w="57" w:type="dxa"/>
              <w:right w:w="0" w:type="dxa"/>
            </w:tcMar>
            <w:vAlign w:val="bottom"/>
          </w:tcPr>
          <w:p w14:paraId="1F7648D3" w14:textId="77777777" w:rsidR="006C7411" w:rsidRPr="006C7411" w:rsidRDefault="006C7411" w:rsidP="002D5AFB">
            <w:pPr>
              <w:spacing w:line="240" w:lineRule="atLeast"/>
              <w:jc w:val="right"/>
              <w:rPr>
                <w:rFonts w:ascii="Tahoma" w:hAnsi="Tahoma"/>
                <w:b/>
                <w:bCs/>
                <w:color w:val="000000" w:themeColor="text1"/>
                <w:sz w:val="16"/>
                <w:lang w:val="en-GB"/>
              </w:rPr>
            </w:pPr>
            <w:r w:rsidRPr="006C7411">
              <w:rPr>
                <w:rFonts w:ascii="Tahoma" w:hAnsi="Tahoma"/>
                <w:b/>
                <w:bCs/>
                <w:color w:val="000000" w:themeColor="text1"/>
                <w:sz w:val="16"/>
                <w:lang w:val="en-GB"/>
              </w:rPr>
              <w:t>1 486</w:t>
            </w:r>
          </w:p>
        </w:tc>
        <w:tc>
          <w:tcPr>
            <w:tcW w:w="1134" w:type="dxa"/>
            <w:tcBorders>
              <w:top w:val="single" w:sz="4" w:space="0" w:color="auto"/>
              <w:bottom w:val="single" w:sz="4" w:space="0" w:color="auto"/>
            </w:tcBorders>
            <w:shd w:val="clear" w:color="auto" w:fill="auto"/>
            <w:tcMar>
              <w:top w:w="85" w:type="dxa"/>
              <w:left w:w="0" w:type="dxa"/>
              <w:bottom w:w="57" w:type="dxa"/>
              <w:right w:w="0" w:type="dxa"/>
            </w:tcMar>
            <w:vAlign w:val="bottom"/>
          </w:tcPr>
          <w:p w14:paraId="17D4824C" w14:textId="77777777" w:rsidR="006C7411" w:rsidRPr="006C7411" w:rsidRDefault="006C7411" w:rsidP="002D5AFB">
            <w:pPr>
              <w:spacing w:line="240" w:lineRule="atLeast"/>
              <w:jc w:val="right"/>
              <w:rPr>
                <w:rFonts w:ascii="Tahoma" w:hAnsi="Tahoma"/>
                <w:color w:val="000000" w:themeColor="text1"/>
                <w:sz w:val="16"/>
                <w:lang w:val="en-GB"/>
              </w:rPr>
            </w:pPr>
            <w:r w:rsidRPr="006C7411">
              <w:rPr>
                <w:rFonts w:ascii="Tahoma" w:hAnsi="Tahoma"/>
                <w:color w:val="000000" w:themeColor="text1"/>
                <w:sz w:val="16"/>
                <w:lang w:val="en-GB"/>
              </w:rPr>
              <w:t>2 624</w:t>
            </w:r>
          </w:p>
        </w:tc>
        <w:tc>
          <w:tcPr>
            <w:tcW w:w="1142" w:type="dxa"/>
            <w:gridSpan w:val="2"/>
            <w:tcBorders>
              <w:top w:val="single" w:sz="4" w:space="0" w:color="auto"/>
              <w:bottom w:val="single" w:sz="4" w:space="0" w:color="auto"/>
            </w:tcBorders>
            <w:shd w:val="clear" w:color="auto" w:fill="auto"/>
            <w:tcMar>
              <w:top w:w="85" w:type="dxa"/>
              <w:left w:w="0" w:type="dxa"/>
              <w:bottom w:w="57" w:type="dxa"/>
              <w:right w:w="0" w:type="dxa"/>
            </w:tcMar>
            <w:vAlign w:val="bottom"/>
          </w:tcPr>
          <w:p w14:paraId="4E976790" w14:textId="77777777" w:rsidR="006C7411" w:rsidRPr="006C7411" w:rsidRDefault="006C7411" w:rsidP="00083FDC">
            <w:pPr>
              <w:spacing w:line="240" w:lineRule="atLeast"/>
              <w:ind w:right="113"/>
              <w:jc w:val="right"/>
              <w:rPr>
                <w:rFonts w:ascii="Tahoma" w:hAnsi="Tahoma"/>
                <w:color w:val="000000" w:themeColor="text1"/>
                <w:sz w:val="16"/>
                <w:lang w:val="en-GB"/>
              </w:rPr>
            </w:pPr>
            <w:r w:rsidRPr="006C7411">
              <w:rPr>
                <w:rFonts w:ascii="Tahoma" w:hAnsi="Tahoma"/>
                <w:color w:val="000000" w:themeColor="text1"/>
                <w:sz w:val="16"/>
                <w:lang w:val="en-GB"/>
              </w:rPr>
              <w:t>4 552</w:t>
            </w:r>
          </w:p>
        </w:tc>
      </w:tr>
      <w:tr w:rsidR="00615190" w:rsidRPr="006C7411" w14:paraId="05BE4325" w14:textId="77777777" w:rsidTr="007251F6">
        <w:trPr>
          <w:trHeight w:val="60"/>
        </w:trPr>
        <w:tc>
          <w:tcPr>
            <w:tcW w:w="397" w:type="dxa"/>
            <w:shd w:val="clear" w:color="auto" w:fill="auto"/>
            <w:tcMar>
              <w:top w:w="57" w:type="dxa"/>
              <w:left w:w="0" w:type="dxa"/>
              <w:bottom w:w="57" w:type="dxa"/>
              <w:right w:w="0" w:type="dxa"/>
            </w:tcMar>
            <w:vAlign w:val="bottom"/>
          </w:tcPr>
          <w:p w14:paraId="696E8C58" w14:textId="77777777" w:rsidR="006C7411" w:rsidRPr="006C7411" w:rsidRDefault="006C7411" w:rsidP="00615190">
            <w:pPr>
              <w:spacing w:line="240" w:lineRule="atLeast"/>
              <w:rPr>
                <w:rFonts w:ascii="Tahoma" w:hAnsi="Tahoma"/>
                <w:color w:val="000000" w:themeColor="text1"/>
                <w:sz w:val="16"/>
                <w:lang w:val="en-GB"/>
              </w:rPr>
            </w:pPr>
          </w:p>
        </w:tc>
        <w:tc>
          <w:tcPr>
            <w:tcW w:w="6266" w:type="dxa"/>
            <w:tcBorders>
              <w:right w:val="single" w:sz="4" w:space="0" w:color="auto"/>
            </w:tcBorders>
            <w:shd w:val="clear" w:color="auto" w:fill="auto"/>
            <w:tcMar>
              <w:top w:w="57" w:type="dxa"/>
              <w:left w:w="113" w:type="dxa"/>
              <w:bottom w:w="57" w:type="dxa"/>
              <w:right w:w="0" w:type="dxa"/>
            </w:tcMar>
            <w:vAlign w:val="bottom"/>
          </w:tcPr>
          <w:p w14:paraId="510AFDDC" w14:textId="77777777" w:rsidR="006C7411" w:rsidRPr="006C7411" w:rsidRDefault="006C7411" w:rsidP="00615190">
            <w:pPr>
              <w:spacing w:line="240" w:lineRule="atLeast"/>
              <w:rPr>
                <w:rFonts w:ascii="Tahoma" w:hAnsi="Tahoma"/>
                <w:color w:val="000000" w:themeColor="text1"/>
                <w:sz w:val="16"/>
                <w:lang w:val="en-GB"/>
              </w:rPr>
            </w:pPr>
            <w:r w:rsidRPr="006C7411">
              <w:rPr>
                <w:rFonts w:ascii="Tahoma" w:hAnsi="Tahoma"/>
                <w:color w:val="000000" w:themeColor="text1"/>
                <w:sz w:val="16"/>
                <w:lang w:val="en-GB"/>
              </w:rPr>
              <w:t>Tencent</w:t>
            </w:r>
          </w:p>
        </w:tc>
        <w:tc>
          <w:tcPr>
            <w:tcW w:w="1275" w:type="dxa"/>
            <w:tcBorders>
              <w:top w:val="single" w:sz="4" w:space="0" w:color="auto"/>
              <w:left w:val="single" w:sz="4" w:space="0" w:color="auto"/>
            </w:tcBorders>
            <w:shd w:val="clear" w:color="auto" w:fill="auto"/>
            <w:tcMar>
              <w:top w:w="57" w:type="dxa"/>
              <w:left w:w="0" w:type="dxa"/>
              <w:bottom w:w="57" w:type="dxa"/>
              <w:right w:w="0" w:type="dxa"/>
            </w:tcMar>
            <w:vAlign w:val="bottom"/>
          </w:tcPr>
          <w:p w14:paraId="2DB9BE5C" w14:textId="77777777" w:rsidR="006C7411" w:rsidRPr="006C7411" w:rsidRDefault="006C7411" w:rsidP="002D5AFB">
            <w:pPr>
              <w:spacing w:line="240" w:lineRule="atLeast"/>
              <w:jc w:val="right"/>
              <w:rPr>
                <w:rFonts w:ascii="Tahoma" w:hAnsi="Tahoma"/>
                <w:b/>
                <w:bCs/>
                <w:color w:val="000000" w:themeColor="text1"/>
                <w:sz w:val="16"/>
                <w:lang w:val="en-GB"/>
              </w:rPr>
            </w:pPr>
            <w:r w:rsidRPr="006C7411">
              <w:rPr>
                <w:rFonts w:ascii="Tahoma" w:hAnsi="Tahoma"/>
                <w:b/>
                <w:bCs/>
                <w:color w:val="000000" w:themeColor="text1"/>
                <w:sz w:val="16"/>
                <w:lang w:val="en-GB"/>
              </w:rPr>
              <w:t>2 098</w:t>
            </w:r>
          </w:p>
        </w:tc>
        <w:tc>
          <w:tcPr>
            <w:tcW w:w="1134" w:type="dxa"/>
            <w:tcBorders>
              <w:top w:val="single" w:sz="4" w:space="0" w:color="auto"/>
            </w:tcBorders>
            <w:shd w:val="clear" w:color="auto" w:fill="auto"/>
            <w:tcMar>
              <w:top w:w="57" w:type="dxa"/>
              <w:left w:w="0" w:type="dxa"/>
              <w:bottom w:w="57" w:type="dxa"/>
              <w:right w:w="0" w:type="dxa"/>
            </w:tcMar>
            <w:vAlign w:val="bottom"/>
          </w:tcPr>
          <w:p w14:paraId="49C8964E" w14:textId="77777777" w:rsidR="006C7411" w:rsidRPr="006C7411" w:rsidRDefault="006C7411" w:rsidP="002D5AFB">
            <w:pPr>
              <w:spacing w:line="240" w:lineRule="atLeast"/>
              <w:jc w:val="right"/>
              <w:rPr>
                <w:rFonts w:ascii="Tahoma" w:hAnsi="Tahoma"/>
                <w:color w:val="000000" w:themeColor="text1"/>
                <w:sz w:val="16"/>
                <w:lang w:val="en-GB"/>
              </w:rPr>
            </w:pPr>
            <w:r w:rsidRPr="006C7411">
              <w:rPr>
                <w:rFonts w:ascii="Tahoma" w:hAnsi="Tahoma"/>
                <w:color w:val="000000" w:themeColor="text1"/>
                <w:sz w:val="16"/>
                <w:lang w:val="en-GB"/>
              </w:rPr>
              <w:t>2 977</w:t>
            </w:r>
          </w:p>
        </w:tc>
        <w:tc>
          <w:tcPr>
            <w:tcW w:w="1142" w:type="dxa"/>
            <w:gridSpan w:val="2"/>
            <w:tcBorders>
              <w:top w:val="single" w:sz="4" w:space="0" w:color="auto"/>
              <w:right w:val="single" w:sz="4" w:space="0" w:color="auto"/>
            </w:tcBorders>
            <w:shd w:val="clear" w:color="auto" w:fill="auto"/>
            <w:tcMar>
              <w:top w:w="57" w:type="dxa"/>
              <w:left w:w="0" w:type="dxa"/>
              <w:bottom w:w="57" w:type="dxa"/>
              <w:right w:w="0" w:type="dxa"/>
            </w:tcMar>
            <w:vAlign w:val="bottom"/>
          </w:tcPr>
          <w:p w14:paraId="2F3B01BC" w14:textId="77777777" w:rsidR="006C7411" w:rsidRPr="006C7411" w:rsidRDefault="006C7411" w:rsidP="00083FDC">
            <w:pPr>
              <w:spacing w:line="240" w:lineRule="atLeast"/>
              <w:ind w:right="113"/>
              <w:jc w:val="right"/>
              <w:rPr>
                <w:rFonts w:ascii="Tahoma" w:hAnsi="Tahoma"/>
                <w:color w:val="000000" w:themeColor="text1"/>
                <w:sz w:val="16"/>
                <w:lang w:val="en-GB"/>
              </w:rPr>
            </w:pPr>
            <w:r w:rsidRPr="006C7411">
              <w:rPr>
                <w:rFonts w:ascii="Tahoma" w:hAnsi="Tahoma"/>
                <w:color w:val="000000" w:themeColor="text1"/>
                <w:sz w:val="16"/>
                <w:lang w:val="en-GB"/>
              </w:rPr>
              <w:t>5 413</w:t>
            </w:r>
          </w:p>
        </w:tc>
      </w:tr>
      <w:tr w:rsidR="00615190" w:rsidRPr="006C7411" w14:paraId="0C22451F" w14:textId="77777777" w:rsidTr="007251F6">
        <w:trPr>
          <w:trHeight w:val="60"/>
        </w:trPr>
        <w:tc>
          <w:tcPr>
            <w:tcW w:w="397" w:type="dxa"/>
            <w:shd w:val="clear" w:color="auto" w:fill="auto"/>
            <w:tcMar>
              <w:top w:w="57" w:type="dxa"/>
              <w:left w:w="0" w:type="dxa"/>
              <w:bottom w:w="57" w:type="dxa"/>
              <w:right w:w="0" w:type="dxa"/>
            </w:tcMar>
            <w:vAlign w:val="bottom"/>
          </w:tcPr>
          <w:p w14:paraId="6F229E9B" w14:textId="77777777" w:rsidR="006C7411" w:rsidRPr="006C7411" w:rsidRDefault="006C7411" w:rsidP="00615190">
            <w:pPr>
              <w:spacing w:line="240" w:lineRule="atLeast"/>
              <w:rPr>
                <w:rFonts w:ascii="Tahoma" w:hAnsi="Tahoma"/>
                <w:color w:val="000000" w:themeColor="text1"/>
                <w:sz w:val="16"/>
                <w:lang w:val="en-GB"/>
              </w:rPr>
            </w:pPr>
          </w:p>
        </w:tc>
        <w:tc>
          <w:tcPr>
            <w:tcW w:w="6266" w:type="dxa"/>
            <w:tcBorders>
              <w:right w:val="single" w:sz="4" w:space="0" w:color="auto"/>
            </w:tcBorders>
            <w:shd w:val="clear" w:color="auto" w:fill="auto"/>
            <w:tcMar>
              <w:top w:w="57" w:type="dxa"/>
              <w:left w:w="113" w:type="dxa"/>
              <w:bottom w:w="57" w:type="dxa"/>
              <w:right w:w="0" w:type="dxa"/>
            </w:tcMar>
            <w:vAlign w:val="bottom"/>
          </w:tcPr>
          <w:p w14:paraId="1E2B9B0B" w14:textId="77777777" w:rsidR="006C7411" w:rsidRPr="006C7411" w:rsidRDefault="006C7411" w:rsidP="00615190">
            <w:pPr>
              <w:spacing w:line="240" w:lineRule="atLeast"/>
              <w:rPr>
                <w:rFonts w:ascii="Tahoma" w:hAnsi="Tahoma"/>
                <w:color w:val="000000" w:themeColor="text1"/>
                <w:sz w:val="16"/>
                <w:lang w:val="en-GB"/>
              </w:rPr>
            </w:pPr>
            <w:r w:rsidRPr="006C7411">
              <w:rPr>
                <w:rFonts w:ascii="Tahoma" w:hAnsi="Tahoma"/>
                <w:color w:val="000000" w:themeColor="text1"/>
                <w:sz w:val="16"/>
                <w:lang w:val="en-GB"/>
              </w:rPr>
              <w:t xml:space="preserve">VK </w:t>
            </w:r>
          </w:p>
        </w:tc>
        <w:tc>
          <w:tcPr>
            <w:tcW w:w="1275" w:type="dxa"/>
            <w:tcBorders>
              <w:left w:val="single" w:sz="4" w:space="0" w:color="auto"/>
            </w:tcBorders>
            <w:shd w:val="clear" w:color="auto" w:fill="auto"/>
            <w:tcMar>
              <w:top w:w="57" w:type="dxa"/>
              <w:left w:w="0" w:type="dxa"/>
              <w:bottom w:w="57" w:type="dxa"/>
              <w:right w:w="0" w:type="dxa"/>
            </w:tcMar>
            <w:vAlign w:val="bottom"/>
          </w:tcPr>
          <w:p w14:paraId="09E7BCDB" w14:textId="77777777" w:rsidR="006C7411" w:rsidRPr="006C7411" w:rsidRDefault="006C7411" w:rsidP="002D5AFB">
            <w:pPr>
              <w:spacing w:line="240" w:lineRule="atLeast"/>
              <w:jc w:val="right"/>
              <w:rPr>
                <w:rFonts w:ascii="Tahoma" w:hAnsi="Tahoma"/>
                <w:b/>
                <w:bCs/>
                <w:color w:val="000000" w:themeColor="text1"/>
                <w:sz w:val="16"/>
                <w:lang w:val="en-GB"/>
              </w:rPr>
            </w:pPr>
            <w:r w:rsidRPr="006C7411">
              <w:rPr>
                <w:rFonts w:ascii="Tahoma" w:hAnsi="Tahoma"/>
                <w:b/>
                <w:bCs/>
                <w:color w:val="000000" w:themeColor="text1"/>
                <w:sz w:val="16"/>
                <w:lang w:val="en-GB"/>
              </w:rPr>
              <w:t>—</w:t>
            </w:r>
          </w:p>
        </w:tc>
        <w:tc>
          <w:tcPr>
            <w:tcW w:w="1134" w:type="dxa"/>
            <w:shd w:val="clear" w:color="auto" w:fill="auto"/>
            <w:tcMar>
              <w:top w:w="57" w:type="dxa"/>
              <w:left w:w="0" w:type="dxa"/>
              <w:bottom w:w="57" w:type="dxa"/>
              <w:right w:w="0" w:type="dxa"/>
            </w:tcMar>
            <w:vAlign w:val="bottom"/>
          </w:tcPr>
          <w:p w14:paraId="1A44D874" w14:textId="77777777" w:rsidR="006C7411" w:rsidRPr="006C7411" w:rsidRDefault="006C7411" w:rsidP="002D5AFB">
            <w:pPr>
              <w:spacing w:line="240" w:lineRule="atLeast"/>
              <w:jc w:val="right"/>
              <w:rPr>
                <w:rFonts w:ascii="Tahoma" w:hAnsi="Tahoma"/>
                <w:color w:val="000000" w:themeColor="text1"/>
                <w:sz w:val="16"/>
                <w:lang w:val="en-GB"/>
              </w:rPr>
            </w:pPr>
            <w:r w:rsidRPr="006C7411">
              <w:rPr>
                <w:rFonts w:ascii="Tahoma" w:hAnsi="Tahoma"/>
                <w:color w:val="000000" w:themeColor="text1"/>
                <w:sz w:val="16"/>
                <w:lang w:val="en-GB"/>
              </w:rPr>
              <w:t>(25)</w:t>
            </w:r>
          </w:p>
        </w:tc>
        <w:tc>
          <w:tcPr>
            <w:tcW w:w="1142" w:type="dxa"/>
            <w:gridSpan w:val="2"/>
            <w:tcBorders>
              <w:right w:val="single" w:sz="4" w:space="0" w:color="auto"/>
            </w:tcBorders>
            <w:shd w:val="clear" w:color="auto" w:fill="auto"/>
            <w:tcMar>
              <w:top w:w="57" w:type="dxa"/>
              <w:left w:w="0" w:type="dxa"/>
              <w:bottom w:w="57" w:type="dxa"/>
              <w:right w:w="0" w:type="dxa"/>
            </w:tcMar>
            <w:vAlign w:val="bottom"/>
          </w:tcPr>
          <w:p w14:paraId="5E30AB23" w14:textId="77777777" w:rsidR="006C7411" w:rsidRPr="006C7411" w:rsidRDefault="006C7411" w:rsidP="00083FDC">
            <w:pPr>
              <w:spacing w:line="240" w:lineRule="atLeast"/>
              <w:ind w:right="113"/>
              <w:jc w:val="right"/>
              <w:rPr>
                <w:rFonts w:ascii="Tahoma" w:hAnsi="Tahoma"/>
                <w:color w:val="000000" w:themeColor="text1"/>
                <w:sz w:val="16"/>
                <w:lang w:val="en-GB"/>
              </w:rPr>
            </w:pPr>
            <w:r w:rsidRPr="006C7411">
              <w:rPr>
                <w:rFonts w:ascii="Tahoma" w:hAnsi="Tahoma"/>
                <w:color w:val="000000" w:themeColor="text1"/>
                <w:sz w:val="16"/>
                <w:lang w:val="en-GB"/>
              </w:rPr>
              <w:t>(51)</w:t>
            </w:r>
          </w:p>
        </w:tc>
      </w:tr>
      <w:tr w:rsidR="00615190" w:rsidRPr="006C7411" w14:paraId="32BFB112" w14:textId="77777777" w:rsidTr="007251F6">
        <w:trPr>
          <w:trHeight w:val="60"/>
        </w:trPr>
        <w:tc>
          <w:tcPr>
            <w:tcW w:w="397" w:type="dxa"/>
            <w:shd w:val="clear" w:color="auto" w:fill="auto"/>
            <w:tcMar>
              <w:top w:w="57" w:type="dxa"/>
              <w:left w:w="0" w:type="dxa"/>
              <w:bottom w:w="57" w:type="dxa"/>
              <w:right w:w="0" w:type="dxa"/>
            </w:tcMar>
            <w:vAlign w:val="bottom"/>
          </w:tcPr>
          <w:p w14:paraId="19C25CDA" w14:textId="77777777" w:rsidR="006C7411" w:rsidRPr="006C7411" w:rsidRDefault="006C7411" w:rsidP="00615190">
            <w:pPr>
              <w:spacing w:line="240" w:lineRule="atLeast"/>
              <w:rPr>
                <w:rFonts w:ascii="Tahoma" w:hAnsi="Tahoma"/>
                <w:color w:val="000000" w:themeColor="text1"/>
                <w:sz w:val="16"/>
                <w:lang w:val="en-GB"/>
              </w:rPr>
            </w:pPr>
          </w:p>
        </w:tc>
        <w:tc>
          <w:tcPr>
            <w:tcW w:w="6266" w:type="dxa"/>
            <w:tcBorders>
              <w:right w:val="single" w:sz="4" w:space="0" w:color="auto"/>
            </w:tcBorders>
            <w:shd w:val="clear" w:color="auto" w:fill="auto"/>
            <w:tcMar>
              <w:top w:w="57" w:type="dxa"/>
              <w:left w:w="113" w:type="dxa"/>
              <w:bottom w:w="57" w:type="dxa"/>
              <w:right w:w="0" w:type="dxa"/>
            </w:tcMar>
            <w:vAlign w:val="bottom"/>
          </w:tcPr>
          <w:p w14:paraId="5070DF93" w14:textId="77777777" w:rsidR="006C7411" w:rsidRPr="006C7411" w:rsidRDefault="006C7411" w:rsidP="00615190">
            <w:pPr>
              <w:spacing w:line="240" w:lineRule="atLeast"/>
              <w:rPr>
                <w:rFonts w:ascii="Tahoma" w:hAnsi="Tahoma"/>
                <w:color w:val="000000" w:themeColor="text1"/>
                <w:sz w:val="16"/>
                <w:lang w:val="en-GB"/>
              </w:rPr>
            </w:pPr>
            <w:r w:rsidRPr="006C7411">
              <w:rPr>
                <w:rFonts w:ascii="Tahoma" w:hAnsi="Tahoma"/>
                <w:color w:val="000000" w:themeColor="text1"/>
                <w:sz w:val="16"/>
                <w:lang w:val="en-GB"/>
              </w:rPr>
              <w:t>Delivery Hero</w:t>
            </w:r>
          </w:p>
        </w:tc>
        <w:tc>
          <w:tcPr>
            <w:tcW w:w="1275" w:type="dxa"/>
            <w:tcBorders>
              <w:left w:val="single" w:sz="4" w:space="0" w:color="auto"/>
            </w:tcBorders>
            <w:shd w:val="clear" w:color="auto" w:fill="auto"/>
            <w:tcMar>
              <w:top w:w="57" w:type="dxa"/>
              <w:left w:w="0" w:type="dxa"/>
              <w:bottom w:w="57" w:type="dxa"/>
              <w:right w:w="0" w:type="dxa"/>
            </w:tcMar>
            <w:vAlign w:val="bottom"/>
          </w:tcPr>
          <w:p w14:paraId="153DF614" w14:textId="77777777" w:rsidR="006C7411" w:rsidRPr="006C7411" w:rsidRDefault="006C7411" w:rsidP="002D5AFB">
            <w:pPr>
              <w:spacing w:line="240" w:lineRule="atLeast"/>
              <w:jc w:val="right"/>
              <w:rPr>
                <w:rFonts w:ascii="Tahoma" w:hAnsi="Tahoma"/>
                <w:b/>
                <w:bCs/>
                <w:color w:val="000000" w:themeColor="text1"/>
                <w:sz w:val="16"/>
                <w:lang w:val="en-GB"/>
              </w:rPr>
            </w:pPr>
            <w:r w:rsidRPr="006C7411">
              <w:rPr>
                <w:rFonts w:ascii="Tahoma" w:hAnsi="Tahoma"/>
                <w:b/>
                <w:bCs/>
                <w:color w:val="000000" w:themeColor="text1"/>
                <w:sz w:val="16"/>
                <w:lang w:val="en-GB"/>
              </w:rPr>
              <w:t>(206)</w:t>
            </w:r>
          </w:p>
        </w:tc>
        <w:tc>
          <w:tcPr>
            <w:tcW w:w="1134" w:type="dxa"/>
            <w:shd w:val="clear" w:color="auto" w:fill="auto"/>
            <w:tcMar>
              <w:top w:w="57" w:type="dxa"/>
              <w:left w:w="0" w:type="dxa"/>
              <w:bottom w:w="57" w:type="dxa"/>
              <w:right w:w="0" w:type="dxa"/>
            </w:tcMar>
            <w:vAlign w:val="bottom"/>
          </w:tcPr>
          <w:p w14:paraId="0516116B" w14:textId="77777777" w:rsidR="006C7411" w:rsidRPr="006C7411" w:rsidRDefault="006C7411" w:rsidP="002D5AFB">
            <w:pPr>
              <w:spacing w:line="240" w:lineRule="atLeast"/>
              <w:jc w:val="right"/>
              <w:rPr>
                <w:rFonts w:ascii="Tahoma" w:hAnsi="Tahoma"/>
                <w:color w:val="000000" w:themeColor="text1"/>
                <w:sz w:val="16"/>
                <w:lang w:val="en-GB"/>
              </w:rPr>
            </w:pPr>
            <w:r w:rsidRPr="006C7411">
              <w:rPr>
                <w:rFonts w:ascii="Tahoma" w:hAnsi="Tahoma"/>
                <w:color w:val="000000" w:themeColor="text1"/>
                <w:sz w:val="16"/>
                <w:lang w:val="en-GB"/>
              </w:rPr>
              <w:t>(190)</w:t>
            </w:r>
          </w:p>
        </w:tc>
        <w:tc>
          <w:tcPr>
            <w:tcW w:w="1142" w:type="dxa"/>
            <w:gridSpan w:val="2"/>
            <w:tcBorders>
              <w:right w:val="single" w:sz="4" w:space="0" w:color="auto"/>
            </w:tcBorders>
            <w:shd w:val="clear" w:color="auto" w:fill="auto"/>
            <w:tcMar>
              <w:top w:w="57" w:type="dxa"/>
              <w:left w:w="0" w:type="dxa"/>
              <w:bottom w:w="57" w:type="dxa"/>
              <w:right w:w="0" w:type="dxa"/>
            </w:tcMar>
            <w:vAlign w:val="bottom"/>
          </w:tcPr>
          <w:p w14:paraId="3AA6F988" w14:textId="77777777" w:rsidR="006C7411" w:rsidRPr="006C7411" w:rsidRDefault="006C7411" w:rsidP="00083FDC">
            <w:pPr>
              <w:spacing w:line="240" w:lineRule="atLeast"/>
              <w:ind w:right="113"/>
              <w:jc w:val="right"/>
              <w:rPr>
                <w:rFonts w:ascii="Tahoma" w:hAnsi="Tahoma"/>
                <w:color w:val="000000" w:themeColor="text1"/>
                <w:sz w:val="16"/>
                <w:lang w:val="en-GB"/>
              </w:rPr>
            </w:pPr>
            <w:r w:rsidRPr="006C7411">
              <w:rPr>
                <w:rFonts w:ascii="Tahoma" w:hAnsi="Tahoma"/>
                <w:color w:val="000000" w:themeColor="text1"/>
                <w:sz w:val="16"/>
                <w:lang w:val="en-GB"/>
              </w:rPr>
              <w:t>(409)</w:t>
            </w:r>
          </w:p>
        </w:tc>
      </w:tr>
      <w:tr w:rsidR="00615190" w:rsidRPr="006C7411" w14:paraId="6E636FD6" w14:textId="77777777" w:rsidTr="007251F6">
        <w:trPr>
          <w:trHeight w:val="60"/>
        </w:trPr>
        <w:tc>
          <w:tcPr>
            <w:tcW w:w="397" w:type="dxa"/>
            <w:shd w:val="clear" w:color="auto" w:fill="auto"/>
            <w:tcMar>
              <w:top w:w="57" w:type="dxa"/>
              <w:left w:w="0" w:type="dxa"/>
              <w:bottom w:w="57" w:type="dxa"/>
              <w:right w:w="0" w:type="dxa"/>
            </w:tcMar>
            <w:vAlign w:val="bottom"/>
          </w:tcPr>
          <w:p w14:paraId="7EF8D122" w14:textId="77777777" w:rsidR="006C7411" w:rsidRPr="006C7411" w:rsidRDefault="006C7411" w:rsidP="00615190">
            <w:pPr>
              <w:spacing w:line="240" w:lineRule="atLeast"/>
              <w:rPr>
                <w:rFonts w:ascii="Tahoma" w:hAnsi="Tahoma"/>
                <w:color w:val="000000" w:themeColor="text1"/>
                <w:sz w:val="16"/>
                <w:lang w:val="en-GB"/>
              </w:rPr>
            </w:pPr>
          </w:p>
        </w:tc>
        <w:tc>
          <w:tcPr>
            <w:tcW w:w="6266" w:type="dxa"/>
            <w:tcBorders>
              <w:right w:val="single" w:sz="4" w:space="0" w:color="auto"/>
            </w:tcBorders>
            <w:shd w:val="clear" w:color="auto" w:fill="auto"/>
            <w:tcMar>
              <w:top w:w="57" w:type="dxa"/>
              <w:left w:w="113" w:type="dxa"/>
              <w:bottom w:w="57" w:type="dxa"/>
              <w:right w:w="0" w:type="dxa"/>
            </w:tcMar>
            <w:vAlign w:val="bottom"/>
          </w:tcPr>
          <w:p w14:paraId="2A7BFE23" w14:textId="77777777" w:rsidR="006C7411" w:rsidRPr="006C7411" w:rsidRDefault="006C7411" w:rsidP="00615190">
            <w:pPr>
              <w:spacing w:line="240" w:lineRule="atLeast"/>
              <w:rPr>
                <w:rFonts w:ascii="Tahoma" w:hAnsi="Tahoma"/>
                <w:color w:val="000000" w:themeColor="text1"/>
                <w:sz w:val="16"/>
                <w:lang w:val="en-GB"/>
              </w:rPr>
            </w:pPr>
            <w:r w:rsidRPr="006C7411">
              <w:rPr>
                <w:rFonts w:ascii="Tahoma" w:hAnsi="Tahoma"/>
                <w:color w:val="000000" w:themeColor="text1"/>
                <w:sz w:val="16"/>
                <w:lang w:val="en-GB"/>
              </w:rPr>
              <w:t>Other</w:t>
            </w:r>
          </w:p>
        </w:tc>
        <w:tc>
          <w:tcPr>
            <w:tcW w:w="1275" w:type="dxa"/>
            <w:tcBorders>
              <w:left w:val="single" w:sz="4" w:space="0" w:color="auto"/>
              <w:bottom w:val="single" w:sz="4" w:space="0" w:color="auto"/>
            </w:tcBorders>
            <w:shd w:val="clear" w:color="auto" w:fill="auto"/>
            <w:tcMar>
              <w:top w:w="57" w:type="dxa"/>
              <w:left w:w="0" w:type="dxa"/>
              <w:bottom w:w="57" w:type="dxa"/>
              <w:right w:w="0" w:type="dxa"/>
            </w:tcMar>
            <w:vAlign w:val="bottom"/>
          </w:tcPr>
          <w:p w14:paraId="71D1570F" w14:textId="77777777" w:rsidR="006C7411" w:rsidRPr="006C7411" w:rsidRDefault="006C7411" w:rsidP="002D5AFB">
            <w:pPr>
              <w:spacing w:line="240" w:lineRule="atLeast"/>
              <w:jc w:val="right"/>
              <w:rPr>
                <w:rFonts w:ascii="Tahoma" w:hAnsi="Tahoma"/>
                <w:b/>
                <w:bCs/>
                <w:color w:val="000000" w:themeColor="text1"/>
                <w:sz w:val="16"/>
                <w:lang w:val="en-GB"/>
              </w:rPr>
            </w:pPr>
            <w:r w:rsidRPr="006C7411">
              <w:rPr>
                <w:rFonts w:ascii="Tahoma" w:hAnsi="Tahoma"/>
                <w:b/>
                <w:bCs/>
                <w:color w:val="000000" w:themeColor="text1"/>
                <w:sz w:val="16"/>
                <w:lang w:val="en-GB"/>
              </w:rPr>
              <w:t>(406)</w:t>
            </w:r>
          </w:p>
        </w:tc>
        <w:tc>
          <w:tcPr>
            <w:tcW w:w="1134" w:type="dxa"/>
            <w:tcBorders>
              <w:bottom w:val="single" w:sz="4" w:space="0" w:color="auto"/>
            </w:tcBorders>
            <w:shd w:val="clear" w:color="auto" w:fill="auto"/>
            <w:tcMar>
              <w:top w:w="57" w:type="dxa"/>
              <w:left w:w="0" w:type="dxa"/>
              <w:bottom w:w="57" w:type="dxa"/>
              <w:right w:w="0" w:type="dxa"/>
            </w:tcMar>
            <w:vAlign w:val="bottom"/>
          </w:tcPr>
          <w:p w14:paraId="0705CC32" w14:textId="77777777" w:rsidR="006C7411" w:rsidRPr="006C7411" w:rsidRDefault="006C7411" w:rsidP="002D5AFB">
            <w:pPr>
              <w:spacing w:line="240" w:lineRule="atLeast"/>
              <w:jc w:val="right"/>
              <w:rPr>
                <w:rFonts w:ascii="Tahoma" w:hAnsi="Tahoma"/>
                <w:color w:val="000000" w:themeColor="text1"/>
                <w:sz w:val="16"/>
                <w:lang w:val="en-GB"/>
              </w:rPr>
            </w:pPr>
            <w:r w:rsidRPr="006C7411">
              <w:rPr>
                <w:rFonts w:ascii="Tahoma" w:hAnsi="Tahoma"/>
                <w:color w:val="000000" w:themeColor="text1"/>
                <w:sz w:val="16"/>
                <w:lang w:val="en-GB"/>
              </w:rPr>
              <w:t>(138)</w:t>
            </w:r>
          </w:p>
        </w:tc>
        <w:tc>
          <w:tcPr>
            <w:tcW w:w="1142" w:type="dxa"/>
            <w:gridSpan w:val="2"/>
            <w:tcBorders>
              <w:bottom w:val="single" w:sz="4" w:space="0" w:color="auto"/>
              <w:right w:val="single" w:sz="4" w:space="0" w:color="auto"/>
            </w:tcBorders>
            <w:shd w:val="clear" w:color="auto" w:fill="auto"/>
            <w:tcMar>
              <w:top w:w="57" w:type="dxa"/>
              <w:left w:w="0" w:type="dxa"/>
              <w:bottom w:w="57" w:type="dxa"/>
              <w:right w:w="0" w:type="dxa"/>
            </w:tcMar>
            <w:vAlign w:val="bottom"/>
          </w:tcPr>
          <w:p w14:paraId="04774374" w14:textId="77777777" w:rsidR="006C7411" w:rsidRPr="006C7411" w:rsidRDefault="006C7411" w:rsidP="00083FDC">
            <w:pPr>
              <w:spacing w:line="240" w:lineRule="atLeast"/>
              <w:ind w:right="113"/>
              <w:jc w:val="right"/>
              <w:rPr>
                <w:rFonts w:ascii="Tahoma" w:hAnsi="Tahoma"/>
                <w:color w:val="000000" w:themeColor="text1"/>
                <w:sz w:val="16"/>
                <w:lang w:val="en-GB"/>
              </w:rPr>
            </w:pPr>
            <w:r w:rsidRPr="006C7411">
              <w:rPr>
                <w:rFonts w:ascii="Tahoma" w:hAnsi="Tahoma"/>
                <w:color w:val="000000" w:themeColor="text1"/>
                <w:sz w:val="16"/>
                <w:lang w:val="en-GB"/>
              </w:rPr>
              <w:t>(401)</w:t>
            </w:r>
          </w:p>
        </w:tc>
      </w:tr>
      <w:tr w:rsidR="00615190" w:rsidRPr="006C7411" w14:paraId="484871F7" w14:textId="77777777" w:rsidTr="00083FDC">
        <w:trPr>
          <w:gridAfter w:val="1"/>
          <w:wAfter w:w="8" w:type="dxa"/>
          <w:trHeight w:hRule="exact" w:val="85"/>
        </w:trPr>
        <w:tc>
          <w:tcPr>
            <w:tcW w:w="397" w:type="dxa"/>
            <w:shd w:val="clear" w:color="auto" w:fill="auto"/>
            <w:tcMar>
              <w:top w:w="85" w:type="dxa"/>
              <w:left w:w="0" w:type="dxa"/>
              <w:bottom w:w="85" w:type="dxa"/>
              <w:right w:w="0" w:type="dxa"/>
            </w:tcMar>
            <w:vAlign w:val="bottom"/>
          </w:tcPr>
          <w:p w14:paraId="77C65582" w14:textId="77777777" w:rsidR="006C7411" w:rsidRPr="006C7411" w:rsidRDefault="006C7411" w:rsidP="00615190">
            <w:pPr>
              <w:spacing w:line="240" w:lineRule="atLeast"/>
              <w:rPr>
                <w:rFonts w:ascii="Tahoma" w:hAnsi="Tahoma"/>
                <w:color w:val="000000" w:themeColor="text1"/>
                <w:sz w:val="16"/>
                <w:lang w:val="en-GB"/>
              </w:rPr>
            </w:pPr>
          </w:p>
        </w:tc>
        <w:tc>
          <w:tcPr>
            <w:tcW w:w="6266" w:type="dxa"/>
            <w:tcBorders>
              <w:bottom w:val="single" w:sz="12" w:space="0" w:color="auto"/>
            </w:tcBorders>
            <w:shd w:val="clear" w:color="auto" w:fill="auto"/>
            <w:tcMar>
              <w:top w:w="85" w:type="dxa"/>
              <w:left w:w="0" w:type="dxa"/>
              <w:bottom w:w="85" w:type="dxa"/>
              <w:right w:w="0" w:type="dxa"/>
            </w:tcMar>
            <w:vAlign w:val="bottom"/>
          </w:tcPr>
          <w:p w14:paraId="0ECB444E" w14:textId="77777777" w:rsidR="006C7411" w:rsidRPr="006C7411" w:rsidRDefault="006C7411" w:rsidP="00615190">
            <w:pPr>
              <w:spacing w:line="240" w:lineRule="atLeast"/>
              <w:rPr>
                <w:rFonts w:ascii="Tahoma" w:hAnsi="Tahoma"/>
                <w:color w:val="000000" w:themeColor="text1"/>
                <w:sz w:val="16"/>
                <w:lang w:val="en-GB"/>
              </w:rPr>
            </w:pPr>
          </w:p>
        </w:tc>
        <w:tc>
          <w:tcPr>
            <w:tcW w:w="1275" w:type="dxa"/>
            <w:tcBorders>
              <w:bottom w:val="single" w:sz="12" w:space="0" w:color="auto"/>
            </w:tcBorders>
            <w:shd w:val="clear" w:color="auto" w:fill="auto"/>
            <w:tcMar>
              <w:top w:w="85" w:type="dxa"/>
              <w:left w:w="0" w:type="dxa"/>
              <w:bottom w:w="85" w:type="dxa"/>
              <w:right w:w="0" w:type="dxa"/>
            </w:tcMar>
            <w:vAlign w:val="bottom"/>
          </w:tcPr>
          <w:p w14:paraId="2708235A" w14:textId="77777777" w:rsidR="006C7411" w:rsidRPr="006C7411" w:rsidRDefault="006C7411" w:rsidP="00615190">
            <w:pPr>
              <w:spacing w:line="240" w:lineRule="atLeast"/>
              <w:rPr>
                <w:rFonts w:ascii="Tahoma" w:hAnsi="Tahoma"/>
                <w:color w:val="000000" w:themeColor="text1"/>
                <w:sz w:val="16"/>
                <w:lang w:val="en-GB"/>
              </w:rPr>
            </w:pPr>
          </w:p>
        </w:tc>
        <w:tc>
          <w:tcPr>
            <w:tcW w:w="1134" w:type="dxa"/>
            <w:tcBorders>
              <w:bottom w:val="single" w:sz="12" w:space="0" w:color="auto"/>
            </w:tcBorders>
            <w:shd w:val="clear" w:color="auto" w:fill="auto"/>
            <w:tcMar>
              <w:top w:w="85" w:type="dxa"/>
              <w:left w:w="0" w:type="dxa"/>
              <w:bottom w:w="85" w:type="dxa"/>
              <w:right w:w="0" w:type="dxa"/>
            </w:tcMar>
            <w:vAlign w:val="bottom"/>
          </w:tcPr>
          <w:p w14:paraId="7E410451" w14:textId="77777777" w:rsidR="006C7411" w:rsidRPr="006C7411" w:rsidRDefault="006C7411" w:rsidP="00615190">
            <w:pPr>
              <w:spacing w:line="240" w:lineRule="atLeast"/>
              <w:rPr>
                <w:rFonts w:ascii="Tahoma" w:hAnsi="Tahoma"/>
                <w:color w:val="000000" w:themeColor="text1"/>
                <w:sz w:val="16"/>
                <w:lang w:val="en-GB"/>
              </w:rPr>
            </w:pPr>
          </w:p>
        </w:tc>
        <w:tc>
          <w:tcPr>
            <w:tcW w:w="1134" w:type="dxa"/>
            <w:tcBorders>
              <w:bottom w:val="single" w:sz="12" w:space="0" w:color="auto"/>
            </w:tcBorders>
            <w:shd w:val="clear" w:color="auto" w:fill="auto"/>
            <w:tcMar>
              <w:top w:w="85" w:type="dxa"/>
              <w:left w:w="0" w:type="dxa"/>
              <w:bottom w:w="85" w:type="dxa"/>
              <w:right w:w="0" w:type="dxa"/>
            </w:tcMar>
            <w:vAlign w:val="bottom"/>
          </w:tcPr>
          <w:p w14:paraId="1F4F825A" w14:textId="77777777" w:rsidR="006C7411" w:rsidRPr="006C7411" w:rsidRDefault="006C7411" w:rsidP="00615190">
            <w:pPr>
              <w:spacing w:line="240" w:lineRule="atLeast"/>
              <w:rPr>
                <w:rFonts w:ascii="Tahoma" w:hAnsi="Tahoma"/>
                <w:color w:val="000000" w:themeColor="text1"/>
                <w:sz w:val="16"/>
                <w:lang w:val="en-GB"/>
              </w:rPr>
            </w:pPr>
          </w:p>
        </w:tc>
      </w:tr>
      <w:tr w:rsidR="00615190" w:rsidRPr="006C7411" w14:paraId="3BCE438C" w14:textId="77777777" w:rsidTr="00083FDC">
        <w:trPr>
          <w:gridAfter w:val="1"/>
          <w:wAfter w:w="8" w:type="dxa"/>
          <w:trHeight w:val="60"/>
        </w:trPr>
        <w:tc>
          <w:tcPr>
            <w:tcW w:w="397" w:type="dxa"/>
            <w:shd w:val="clear" w:color="auto" w:fill="auto"/>
            <w:tcMar>
              <w:top w:w="142" w:type="dxa"/>
              <w:left w:w="0" w:type="dxa"/>
              <w:bottom w:w="57" w:type="dxa"/>
              <w:right w:w="0" w:type="dxa"/>
            </w:tcMar>
            <w:vAlign w:val="bottom"/>
          </w:tcPr>
          <w:p w14:paraId="1E48DE35" w14:textId="77777777" w:rsidR="006C7411" w:rsidRPr="006C7411" w:rsidRDefault="006C7411" w:rsidP="00615190">
            <w:pPr>
              <w:spacing w:line="240" w:lineRule="atLeast"/>
              <w:rPr>
                <w:rFonts w:ascii="Tahoma" w:hAnsi="Tahoma"/>
                <w:color w:val="000000" w:themeColor="text1"/>
                <w:sz w:val="16"/>
                <w:lang w:val="en-GB"/>
              </w:rPr>
            </w:pPr>
          </w:p>
        </w:tc>
        <w:tc>
          <w:tcPr>
            <w:tcW w:w="9809" w:type="dxa"/>
            <w:gridSpan w:val="4"/>
            <w:tcBorders>
              <w:top w:val="single" w:sz="12" w:space="0" w:color="auto"/>
            </w:tcBorders>
            <w:shd w:val="clear" w:color="auto" w:fill="auto"/>
            <w:tcMar>
              <w:top w:w="142" w:type="dxa"/>
              <w:left w:w="0" w:type="dxa"/>
              <w:bottom w:w="57" w:type="dxa"/>
              <w:right w:w="0" w:type="dxa"/>
            </w:tcMar>
            <w:vAlign w:val="bottom"/>
          </w:tcPr>
          <w:p w14:paraId="6C816A0C" w14:textId="77777777" w:rsidR="006C7411" w:rsidRPr="006C7411" w:rsidRDefault="006C7411" w:rsidP="00615190">
            <w:pPr>
              <w:spacing w:line="240" w:lineRule="atLeast"/>
              <w:rPr>
                <w:rFonts w:ascii="Tahoma" w:hAnsi="Tahoma"/>
                <w:color w:val="000000" w:themeColor="text1"/>
                <w:sz w:val="16"/>
                <w:lang w:val="en-GB"/>
              </w:rPr>
            </w:pPr>
            <w:r w:rsidRPr="006C7411">
              <w:rPr>
                <w:rFonts w:ascii="Tahoma" w:hAnsi="Tahoma"/>
                <w:color w:val="000000" w:themeColor="text1"/>
                <w:sz w:val="16"/>
                <w:lang w:val="en-GB"/>
              </w:rPr>
              <w:t>The group applies an appropriate lag period of not more than three months in reporting the results of equity-accounted investments.</w:t>
            </w:r>
          </w:p>
        </w:tc>
      </w:tr>
    </w:tbl>
    <w:p w14:paraId="73022EFE" w14:textId="77777777" w:rsidR="006C7411" w:rsidRPr="00615190" w:rsidRDefault="006C7411" w:rsidP="00615190">
      <w:pPr>
        <w:spacing w:line="240" w:lineRule="atLeast"/>
        <w:rPr>
          <w:rFonts w:ascii="Tahoma" w:hAnsi="Tahoma"/>
          <w:color w:val="000000" w:themeColor="text1"/>
          <w:sz w:val="16"/>
        </w:rPr>
      </w:pPr>
    </w:p>
    <w:tbl>
      <w:tblPr>
        <w:tblW w:w="10206" w:type="dxa"/>
        <w:tblInd w:w="-8" w:type="dxa"/>
        <w:tblLayout w:type="fixed"/>
        <w:tblCellMar>
          <w:left w:w="0" w:type="dxa"/>
          <w:right w:w="0" w:type="dxa"/>
        </w:tblCellMar>
        <w:tblLook w:val="0000" w:firstRow="0" w:lastRow="0" w:firstColumn="0" w:lastColumn="0" w:noHBand="0" w:noVBand="0"/>
      </w:tblPr>
      <w:tblGrid>
        <w:gridCol w:w="397"/>
        <w:gridCol w:w="7541"/>
        <w:gridCol w:w="1134"/>
        <w:gridCol w:w="1134"/>
      </w:tblGrid>
      <w:tr w:rsidR="009B33FF" w:rsidRPr="006C7411" w14:paraId="410876C2" w14:textId="77777777" w:rsidTr="00384459">
        <w:trPr>
          <w:trHeight w:val="60"/>
        </w:trPr>
        <w:tc>
          <w:tcPr>
            <w:tcW w:w="397" w:type="dxa"/>
            <w:shd w:val="clear" w:color="auto" w:fill="auto"/>
            <w:tcMar>
              <w:top w:w="0" w:type="dxa"/>
              <w:left w:w="0" w:type="dxa"/>
              <w:bottom w:w="57" w:type="dxa"/>
              <w:right w:w="0" w:type="dxa"/>
            </w:tcMar>
            <w:vAlign w:val="bottom"/>
          </w:tcPr>
          <w:p w14:paraId="35D1BE03" w14:textId="77777777" w:rsidR="009B33FF" w:rsidRPr="00875F95" w:rsidRDefault="009B33FF" w:rsidP="009B33FF">
            <w:pPr>
              <w:spacing w:line="240" w:lineRule="atLeast"/>
              <w:rPr>
                <w:rFonts w:ascii="Tahoma" w:hAnsi="Tahoma"/>
                <w:b/>
                <w:bCs/>
                <w:color w:val="000000" w:themeColor="text1"/>
                <w:sz w:val="16"/>
                <w:lang w:val="en-GB"/>
              </w:rPr>
            </w:pPr>
            <w:r w:rsidRPr="00875F95">
              <w:rPr>
                <w:rFonts w:ascii="Tahoma" w:hAnsi="Tahoma"/>
                <w:b/>
                <w:bCs/>
                <w:color w:val="000000" w:themeColor="text1"/>
                <w:sz w:val="16"/>
                <w:lang w:val="en-GB"/>
              </w:rPr>
              <w:lastRenderedPageBreak/>
              <w:t>A.</w:t>
            </w:r>
          </w:p>
        </w:tc>
        <w:tc>
          <w:tcPr>
            <w:tcW w:w="9809" w:type="dxa"/>
            <w:gridSpan w:val="3"/>
            <w:shd w:val="clear" w:color="auto" w:fill="auto"/>
            <w:tcMar>
              <w:top w:w="0" w:type="dxa"/>
              <w:left w:w="0" w:type="dxa"/>
              <w:bottom w:w="57" w:type="dxa"/>
              <w:right w:w="0" w:type="dxa"/>
            </w:tcMar>
            <w:vAlign w:val="bottom"/>
          </w:tcPr>
          <w:p w14:paraId="4A7336C1" w14:textId="77777777" w:rsidR="009B33FF" w:rsidRPr="00875F95" w:rsidRDefault="009B33FF" w:rsidP="009B33FF">
            <w:pPr>
              <w:spacing w:line="240" w:lineRule="atLeast"/>
              <w:rPr>
                <w:rFonts w:ascii="Tahoma" w:hAnsi="Tahoma"/>
                <w:b/>
                <w:bCs/>
                <w:color w:val="000000" w:themeColor="text1"/>
                <w:sz w:val="16"/>
                <w:lang w:val="en-GB"/>
              </w:rPr>
            </w:pPr>
            <w:r w:rsidRPr="00875F95">
              <w:rPr>
                <w:rFonts w:ascii="Tahoma" w:hAnsi="Tahoma"/>
                <w:b/>
                <w:bCs/>
                <w:color w:val="000000" w:themeColor="text1"/>
                <w:sz w:val="16"/>
                <w:lang w:val="en-GB"/>
              </w:rPr>
              <w:t>NON-IFRS FINANCIAL MEASURES AND ALTERNATIVE PERFORMANCE MEASURES (continued)</w:t>
            </w:r>
          </w:p>
        </w:tc>
      </w:tr>
      <w:tr w:rsidR="00615190" w:rsidRPr="006C7411" w14:paraId="375C7243" w14:textId="77777777" w:rsidTr="00384459">
        <w:trPr>
          <w:trHeight w:val="60"/>
        </w:trPr>
        <w:tc>
          <w:tcPr>
            <w:tcW w:w="397" w:type="dxa"/>
            <w:shd w:val="clear" w:color="auto" w:fill="auto"/>
            <w:tcMar>
              <w:top w:w="57" w:type="dxa"/>
              <w:left w:w="0" w:type="dxa"/>
              <w:bottom w:w="57" w:type="dxa"/>
              <w:right w:w="0" w:type="dxa"/>
            </w:tcMar>
            <w:vAlign w:val="bottom"/>
          </w:tcPr>
          <w:p w14:paraId="7CC0D8D9" w14:textId="77777777" w:rsidR="006C7411" w:rsidRPr="006C7411" w:rsidRDefault="006C7411" w:rsidP="00615190">
            <w:pPr>
              <w:spacing w:line="240" w:lineRule="atLeast"/>
              <w:rPr>
                <w:rFonts w:ascii="Tahoma" w:hAnsi="Tahoma"/>
                <w:b/>
                <w:bCs/>
                <w:color w:val="000000" w:themeColor="text1"/>
                <w:sz w:val="16"/>
                <w:lang w:val="en-GB"/>
              </w:rPr>
            </w:pPr>
            <w:r w:rsidRPr="006C7411">
              <w:rPr>
                <w:rFonts w:ascii="Tahoma" w:hAnsi="Tahoma"/>
                <w:b/>
                <w:bCs/>
                <w:color w:val="000000" w:themeColor="text1"/>
                <w:sz w:val="16"/>
                <w:lang w:val="en-GB"/>
              </w:rPr>
              <w:t>A.2</w:t>
            </w:r>
          </w:p>
        </w:tc>
        <w:tc>
          <w:tcPr>
            <w:tcW w:w="9809" w:type="dxa"/>
            <w:gridSpan w:val="3"/>
            <w:shd w:val="clear" w:color="auto" w:fill="auto"/>
            <w:tcMar>
              <w:top w:w="57" w:type="dxa"/>
              <w:left w:w="0" w:type="dxa"/>
              <w:bottom w:w="57" w:type="dxa"/>
              <w:right w:w="0" w:type="dxa"/>
            </w:tcMar>
            <w:vAlign w:val="bottom"/>
          </w:tcPr>
          <w:p w14:paraId="0D4BFE03" w14:textId="77777777" w:rsidR="006C7411" w:rsidRPr="006C7411" w:rsidRDefault="006C7411" w:rsidP="00615190">
            <w:pPr>
              <w:spacing w:line="240" w:lineRule="atLeast"/>
              <w:rPr>
                <w:rFonts w:ascii="Tahoma" w:hAnsi="Tahoma"/>
                <w:b/>
                <w:bCs/>
                <w:color w:val="000000" w:themeColor="text1"/>
                <w:sz w:val="16"/>
                <w:lang w:val="en-GB"/>
              </w:rPr>
            </w:pPr>
            <w:r w:rsidRPr="006C7411">
              <w:rPr>
                <w:rFonts w:ascii="Tahoma" w:hAnsi="Tahoma"/>
                <w:b/>
                <w:bCs/>
                <w:color w:val="000000" w:themeColor="text1"/>
                <w:sz w:val="16"/>
                <w:lang w:val="en-GB"/>
              </w:rPr>
              <w:t>Growth in local currency, excluding acquisitions and disposals</w:t>
            </w:r>
          </w:p>
        </w:tc>
      </w:tr>
      <w:tr w:rsidR="00615190" w:rsidRPr="006C7411" w14:paraId="6CDA17FD" w14:textId="77777777" w:rsidTr="00384459">
        <w:trPr>
          <w:trHeight w:val="60"/>
        </w:trPr>
        <w:tc>
          <w:tcPr>
            <w:tcW w:w="397" w:type="dxa"/>
            <w:shd w:val="clear" w:color="auto" w:fill="auto"/>
            <w:tcMar>
              <w:top w:w="57" w:type="dxa"/>
              <w:left w:w="0" w:type="dxa"/>
              <w:bottom w:w="113" w:type="dxa"/>
              <w:right w:w="0" w:type="dxa"/>
            </w:tcMar>
            <w:vAlign w:val="bottom"/>
          </w:tcPr>
          <w:p w14:paraId="70983E84" w14:textId="77777777" w:rsidR="006C7411" w:rsidRPr="006C7411" w:rsidRDefault="006C7411" w:rsidP="00615190">
            <w:pPr>
              <w:spacing w:line="240" w:lineRule="atLeast"/>
              <w:rPr>
                <w:rFonts w:ascii="Tahoma" w:hAnsi="Tahoma"/>
                <w:color w:val="000000" w:themeColor="text1"/>
                <w:sz w:val="16"/>
                <w:lang w:val="en-GB"/>
              </w:rPr>
            </w:pPr>
          </w:p>
        </w:tc>
        <w:tc>
          <w:tcPr>
            <w:tcW w:w="9809" w:type="dxa"/>
            <w:gridSpan w:val="3"/>
            <w:shd w:val="clear" w:color="auto" w:fill="auto"/>
            <w:tcMar>
              <w:top w:w="57" w:type="dxa"/>
              <w:left w:w="0" w:type="dxa"/>
              <w:bottom w:w="113" w:type="dxa"/>
              <w:right w:w="0" w:type="dxa"/>
            </w:tcMar>
            <w:vAlign w:val="bottom"/>
          </w:tcPr>
          <w:p w14:paraId="1BA3476A" w14:textId="77777777" w:rsidR="006C7411" w:rsidRPr="006C7411" w:rsidRDefault="006C7411" w:rsidP="00615190">
            <w:pPr>
              <w:spacing w:line="240" w:lineRule="atLeast"/>
              <w:rPr>
                <w:rFonts w:ascii="Tahoma" w:hAnsi="Tahoma"/>
                <w:color w:val="000000" w:themeColor="text1"/>
                <w:sz w:val="16"/>
                <w:lang w:val="en-GB"/>
              </w:rPr>
            </w:pPr>
            <w:r w:rsidRPr="006C7411">
              <w:rPr>
                <w:rFonts w:ascii="Tahoma" w:hAnsi="Tahoma"/>
                <w:color w:val="000000" w:themeColor="text1"/>
                <w:sz w:val="16"/>
                <w:lang w:val="en-GB"/>
              </w:rPr>
              <w:t xml:space="preserve">The group applies certain adjustments to segmental revenue and trading profit reported in the condensed consolidated interim financial statements to present the growth in such metrics in local currency, excluding the effects of changes in the composition of the group. Such underlying adjustments provide a view of the company’s underlying financial performance that management believes is more comparable between periods by removing the impact of changes in foreign exchange rates and changes in the composition of the group on its results. Such adjustments are referred to herein as ‘growth in local currency, excluding acquisitions and </w:t>
            </w:r>
            <w:proofErr w:type="gramStart"/>
            <w:r w:rsidRPr="006C7411">
              <w:rPr>
                <w:rFonts w:ascii="Tahoma" w:hAnsi="Tahoma"/>
                <w:color w:val="000000" w:themeColor="text1"/>
                <w:sz w:val="16"/>
                <w:lang w:val="en-GB"/>
              </w:rPr>
              <w:t>disposals’</w:t>
            </w:r>
            <w:proofErr w:type="gramEnd"/>
            <w:r w:rsidRPr="006C7411">
              <w:rPr>
                <w:rFonts w:ascii="Tahoma" w:hAnsi="Tahoma"/>
                <w:color w:val="000000" w:themeColor="text1"/>
                <w:sz w:val="16"/>
                <w:lang w:val="en-GB"/>
              </w:rPr>
              <w:t>. The group applies the following methodology in calculating growth in local currency, excluding acquisitions and disposals:</w:t>
            </w:r>
          </w:p>
          <w:p w14:paraId="61F771EA" w14:textId="77777777" w:rsidR="006C7411" w:rsidRPr="002571CB" w:rsidRDefault="006C7411" w:rsidP="002571CB">
            <w:pPr>
              <w:pStyle w:val="ListParagraph"/>
              <w:numPr>
                <w:ilvl w:val="0"/>
                <w:numId w:val="3"/>
              </w:numPr>
              <w:spacing w:line="240" w:lineRule="atLeast"/>
              <w:ind w:left="326" w:hanging="322"/>
              <w:rPr>
                <w:rFonts w:ascii="Tahoma" w:hAnsi="Tahoma"/>
                <w:color w:val="000000" w:themeColor="text1"/>
                <w:sz w:val="16"/>
                <w:lang w:val="en-GB"/>
              </w:rPr>
            </w:pPr>
            <w:r w:rsidRPr="002571CB">
              <w:rPr>
                <w:rFonts w:ascii="Tahoma" w:hAnsi="Tahoma"/>
                <w:color w:val="000000" w:themeColor="text1"/>
                <w:sz w:val="16"/>
                <w:lang w:val="en-GB"/>
              </w:rPr>
              <w:t>Foreign exchange/constant currency adjustments have been calculated by adjusting the current period’s results to the prior period’s average foreign exchange rates, determined as the average of the monthly exchange rates for that period. The local currency financial information quoted is calculated as the constant currency results, arrived at using the methodology outlined above, compared with the prior period’s actual IFRS results. The relevant average exchange rates (relative to the US dollar) used for the group’s most significant functional currencies, were:</w:t>
            </w:r>
          </w:p>
        </w:tc>
      </w:tr>
      <w:tr w:rsidR="00615190" w:rsidRPr="006C7411" w14:paraId="1A5233F8" w14:textId="77777777" w:rsidTr="00275164">
        <w:trPr>
          <w:trHeight w:val="60"/>
        </w:trPr>
        <w:tc>
          <w:tcPr>
            <w:tcW w:w="397" w:type="dxa"/>
            <w:shd w:val="clear" w:color="auto" w:fill="auto"/>
            <w:tcMar>
              <w:top w:w="85" w:type="dxa"/>
              <w:left w:w="0" w:type="dxa"/>
              <w:bottom w:w="85" w:type="dxa"/>
              <w:right w:w="0" w:type="dxa"/>
            </w:tcMar>
            <w:vAlign w:val="bottom"/>
          </w:tcPr>
          <w:p w14:paraId="05D73A07" w14:textId="77777777" w:rsidR="006C7411" w:rsidRPr="006C7411" w:rsidRDefault="006C7411" w:rsidP="00615190">
            <w:pPr>
              <w:spacing w:line="240" w:lineRule="atLeast"/>
              <w:rPr>
                <w:rFonts w:ascii="Tahoma" w:hAnsi="Tahoma"/>
                <w:color w:val="000000" w:themeColor="text1"/>
                <w:sz w:val="16"/>
                <w:lang w:val="en-GB"/>
              </w:rPr>
            </w:pPr>
          </w:p>
        </w:tc>
        <w:tc>
          <w:tcPr>
            <w:tcW w:w="7541" w:type="dxa"/>
            <w:shd w:val="clear" w:color="auto" w:fill="auto"/>
            <w:tcMar>
              <w:top w:w="85" w:type="dxa"/>
              <w:left w:w="0" w:type="dxa"/>
              <w:bottom w:w="85" w:type="dxa"/>
              <w:right w:w="0" w:type="dxa"/>
            </w:tcMar>
            <w:vAlign w:val="bottom"/>
          </w:tcPr>
          <w:p w14:paraId="2CD9CE6C" w14:textId="77777777" w:rsidR="006C7411" w:rsidRPr="006C7411" w:rsidRDefault="006C7411" w:rsidP="00615190">
            <w:pPr>
              <w:spacing w:line="240" w:lineRule="atLeast"/>
              <w:rPr>
                <w:rFonts w:ascii="Tahoma" w:hAnsi="Tahoma"/>
                <w:color w:val="000000" w:themeColor="text1"/>
                <w:sz w:val="16"/>
                <w:lang w:val="en-GB"/>
              </w:rPr>
            </w:pPr>
          </w:p>
        </w:tc>
        <w:tc>
          <w:tcPr>
            <w:tcW w:w="2268" w:type="dxa"/>
            <w:gridSpan w:val="2"/>
            <w:shd w:val="clear" w:color="auto" w:fill="auto"/>
            <w:tcMar>
              <w:top w:w="85" w:type="dxa"/>
              <w:left w:w="0" w:type="dxa"/>
              <w:bottom w:w="85" w:type="dxa"/>
              <w:right w:w="0" w:type="dxa"/>
            </w:tcMar>
            <w:vAlign w:val="bottom"/>
          </w:tcPr>
          <w:p w14:paraId="3AD0E1B2" w14:textId="77777777" w:rsidR="006C7411" w:rsidRPr="006C7411" w:rsidRDefault="006C7411" w:rsidP="001A3E00">
            <w:pPr>
              <w:spacing w:line="240" w:lineRule="atLeast"/>
              <w:ind w:left="714"/>
              <w:jc w:val="center"/>
              <w:rPr>
                <w:rFonts w:ascii="Tahoma" w:hAnsi="Tahoma"/>
                <w:b/>
                <w:bCs/>
                <w:color w:val="000000" w:themeColor="text1"/>
                <w:sz w:val="16"/>
                <w:lang w:val="en-GB"/>
              </w:rPr>
            </w:pPr>
            <w:r w:rsidRPr="006C7411">
              <w:rPr>
                <w:rFonts w:ascii="Tahoma" w:hAnsi="Tahoma"/>
                <w:b/>
                <w:bCs/>
                <w:color w:val="000000" w:themeColor="text1"/>
                <w:sz w:val="16"/>
                <w:lang w:val="en-GB"/>
              </w:rPr>
              <w:t>Six months ended</w:t>
            </w:r>
          </w:p>
          <w:p w14:paraId="7A6F490B" w14:textId="77777777" w:rsidR="006C7411" w:rsidRPr="006C7411" w:rsidRDefault="006C7411" w:rsidP="001A3E00">
            <w:pPr>
              <w:spacing w:line="240" w:lineRule="atLeast"/>
              <w:ind w:left="714"/>
              <w:jc w:val="center"/>
              <w:rPr>
                <w:rFonts w:ascii="Tahoma" w:hAnsi="Tahoma"/>
                <w:color w:val="000000" w:themeColor="text1"/>
                <w:sz w:val="16"/>
                <w:lang w:val="en-GB"/>
              </w:rPr>
            </w:pPr>
            <w:r w:rsidRPr="006C7411">
              <w:rPr>
                <w:rFonts w:ascii="Tahoma" w:hAnsi="Tahoma"/>
                <w:b/>
                <w:bCs/>
                <w:color w:val="000000" w:themeColor="text1"/>
                <w:sz w:val="16"/>
                <w:lang w:val="en-GB"/>
              </w:rPr>
              <w:t>30 September</w:t>
            </w:r>
          </w:p>
        </w:tc>
      </w:tr>
      <w:tr w:rsidR="00615190" w:rsidRPr="006C7411" w14:paraId="798DFB45" w14:textId="77777777" w:rsidTr="00275164">
        <w:trPr>
          <w:trHeight w:val="60"/>
        </w:trPr>
        <w:tc>
          <w:tcPr>
            <w:tcW w:w="397" w:type="dxa"/>
            <w:shd w:val="clear" w:color="auto" w:fill="auto"/>
            <w:tcMar>
              <w:top w:w="113" w:type="dxa"/>
              <w:left w:w="0" w:type="dxa"/>
              <w:bottom w:w="113" w:type="dxa"/>
              <w:right w:w="0" w:type="dxa"/>
            </w:tcMar>
            <w:vAlign w:val="bottom"/>
          </w:tcPr>
          <w:p w14:paraId="5EA06611" w14:textId="77777777" w:rsidR="006C7411" w:rsidRPr="006C7411" w:rsidRDefault="006C7411" w:rsidP="00615190">
            <w:pPr>
              <w:spacing w:line="240" w:lineRule="atLeast"/>
              <w:rPr>
                <w:rFonts w:ascii="Tahoma" w:hAnsi="Tahoma"/>
                <w:color w:val="000000" w:themeColor="text1"/>
                <w:sz w:val="16"/>
                <w:lang w:val="en-GB"/>
              </w:rPr>
            </w:pPr>
          </w:p>
        </w:tc>
        <w:tc>
          <w:tcPr>
            <w:tcW w:w="7541" w:type="dxa"/>
            <w:tcBorders>
              <w:bottom w:val="single" w:sz="12" w:space="0" w:color="auto"/>
            </w:tcBorders>
            <w:shd w:val="clear" w:color="auto" w:fill="auto"/>
            <w:tcMar>
              <w:top w:w="113" w:type="dxa"/>
              <w:left w:w="0" w:type="dxa"/>
              <w:bottom w:w="113" w:type="dxa"/>
              <w:right w:w="0" w:type="dxa"/>
            </w:tcMar>
            <w:vAlign w:val="bottom"/>
          </w:tcPr>
          <w:p w14:paraId="4A788420" w14:textId="77777777" w:rsidR="006C7411" w:rsidRPr="006C7411" w:rsidRDefault="006C7411" w:rsidP="00615190">
            <w:pPr>
              <w:spacing w:line="240" w:lineRule="atLeast"/>
              <w:rPr>
                <w:rFonts w:ascii="Tahoma" w:hAnsi="Tahoma"/>
                <w:b/>
                <w:bCs/>
                <w:color w:val="000000" w:themeColor="text1"/>
                <w:sz w:val="16"/>
                <w:lang w:val="en-GB"/>
              </w:rPr>
            </w:pPr>
            <w:r w:rsidRPr="006C7411">
              <w:rPr>
                <w:rFonts w:ascii="Tahoma" w:hAnsi="Tahoma"/>
                <w:b/>
                <w:bCs/>
                <w:color w:val="000000" w:themeColor="text1"/>
                <w:sz w:val="16"/>
                <w:lang w:val="en-GB"/>
              </w:rPr>
              <w:t>Currency (1FC = US$)</w:t>
            </w:r>
          </w:p>
        </w:tc>
        <w:tc>
          <w:tcPr>
            <w:tcW w:w="1134" w:type="dxa"/>
            <w:tcBorders>
              <w:bottom w:val="single" w:sz="12" w:space="0" w:color="auto"/>
            </w:tcBorders>
            <w:shd w:val="clear" w:color="auto" w:fill="auto"/>
            <w:tcMar>
              <w:top w:w="113" w:type="dxa"/>
              <w:left w:w="0" w:type="dxa"/>
              <w:bottom w:w="113" w:type="dxa"/>
              <w:right w:w="0" w:type="dxa"/>
            </w:tcMar>
            <w:vAlign w:val="bottom"/>
          </w:tcPr>
          <w:p w14:paraId="0C719353" w14:textId="77777777" w:rsidR="006C7411" w:rsidRPr="006C7411" w:rsidRDefault="006C7411" w:rsidP="00490880">
            <w:pPr>
              <w:spacing w:line="240" w:lineRule="atLeast"/>
              <w:jc w:val="right"/>
              <w:rPr>
                <w:rFonts w:ascii="Tahoma" w:hAnsi="Tahoma"/>
                <w:b/>
                <w:bCs/>
                <w:color w:val="000000" w:themeColor="text1"/>
                <w:sz w:val="16"/>
                <w:lang w:val="en-GB"/>
              </w:rPr>
            </w:pPr>
            <w:r w:rsidRPr="006C7411">
              <w:rPr>
                <w:rFonts w:ascii="Tahoma" w:hAnsi="Tahoma"/>
                <w:b/>
                <w:bCs/>
                <w:color w:val="000000" w:themeColor="text1"/>
                <w:sz w:val="16"/>
                <w:lang w:val="en-GB"/>
              </w:rPr>
              <w:t>2022</w:t>
            </w:r>
          </w:p>
        </w:tc>
        <w:tc>
          <w:tcPr>
            <w:tcW w:w="1134" w:type="dxa"/>
            <w:tcBorders>
              <w:bottom w:val="single" w:sz="12" w:space="0" w:color="auto"/>
            </w:tcBorders>
            <w:shd w:val="clear" w:color="auto" w:fill="auto"/>
            <w:tcMar>
              <w:top w:w="113" w:type="dxa"/>
              <w:left w:w="0" w:type="dxa"/>
              <w:bottom w:w="113" w:type="dxa"/>
              <w:right w:w="0" w:type="dxa"/>
            </w:tcMar>
            <w:vAlign w:val="bottom"/>
          </w:tcPr>
          <w:p w14:paraId="7C2D8681" w14:textId="77777777" w:rsidR="006C7411" w:rsidRPr="006C7411" w:rsidRDefault="006C7411" w:rsidP="00490880">
            <w:pPr>
              <w:spacing w:line="240" w:lineRule="atLeast"/>
              <w:jc w:val="right"/>
              <w:rPr>
                <w:rFonts w:ascii="Tahoma" w:hAnsi="Tahoma"/>
                <w:color w:val="000000" w:themeColor="text1"/>
                <w:sz w:val="16"/>
                <w:lang w:val="en-GB"/>
              </w:rPr>
            </w:pPr>
            <w:r w:rsidRPr="006C7411">
              <w:rPr>
                <w:rFonts w:ascii="Tahoma" w:hAnsi="Tahoma"/>
                <w:color w:val="000000" w:themeColor="text1"/>
                <w:sz w:val="16"/>
                <w:lang w:val="en-GB"/>
              </w:rPr>
              <w:t>2021</w:t>
            </w:r>
          </w:p>
        </w:tc>
      </w:tr>
      <w:tr w:rsidR="00615190" w:rsidRPr="006C7411" w14:paraId="370B00C9" w14:textId="77777777" w:rsidTr="00275164">
        <w:trPr>
          <w:trHeight w:val="60"/>
        </w:trPr>
        <w:tc>
          <w:tcPr>
            <w:tcW w:w="397" w:type="dxa"/>
            <w:shd w:val="clear" w:color="auto" w:fill="auto"/>
            <w:tcMar>
              <w:top w:w="142" w:type="dxa"/>
              <w:left w:w="0" w:type="dxa"/>
              <w:bottom w:w="57" w:type="dxa"/>
              <w:right w:w="0" w:type="dxa"/>
            </w:tcMar>
            <w:vAlign w:val="bottom"/>
          </w:tcPr>
          <w:p w14:paraId="56ED825F" w14:textId="77777777" w:rsidR="006C7411" w:rsidRPr="006C7411" w:rsidRDefault="006C7411" w:rsidP="00615190">
            <w:pPr>
              <w:spacing w:line="240" w:lineRule="atLeast"/>
              <w:rPr>
                <w:rFonts w:ascii="Tahoma" w:hAnsi="Tahoma"/>
                <w:color w:val="000000" w:themeColor="text1"/>
                <w:sz w:val="16"/>
                <w:lang w:val="en-GB"/>
              </w:rPr>
            </w:pPr>
          </w:p>
        </w:tc>
        <w:tc>
          <w:tcPr>
            <w:tcW w:w="7541" w:type="dxa"/>
            <w:tcBorders>
              <w:top w:val="single" w:sz="12" w:space="0" w:color="auto"/>
            </w:tcBorders>
            <w:shd w:val="clear" w:color="auto" w:fill="auto"/>
            <w:tcMar>
              <w:top w:w="142" w:type="dxa"/>
              <w:left w:w="0" w:type="dxa"/>
              <w:bottom w:w="57" w:type="dxa"/>
              <w:right w:w="0" w:type="dxa"/>
            </w:tcMar>
            <w:vAlign w:val="bottom"/>
          </w:tcPr>
          <w:p w14:paraId="70AF5D89" w14:textId="77777777" w:rsidR="006C7411" w:rsidRPr="006C7411" w:rsidRDefault="006C7411" w:rsidP="00615190">
            <w:pPr>
              <w:spacing w:line="240" w:lineRule="atLeast"/>
              <w:rPr>
                <w:rFonts w:ascii="Tahoma" w:hAnsi="Tahoma"/>
                <w:color w:val="000000" w:themeColor="text1"/>
                <w:sz w:val="16"/>
                <w:lang w:val="en-GB"/>
              </w:rPr>
            </w:pPr>
            <w:r w:rsidRPr="006C7411">
              <w:rPr>
                <w:rFonts w:ascii="Tahoma" w:hAnsi="Tahoma"/>
                <w:color w:val="000000" w:themeColor="text1"/>
                <w:sz w:val="16"/>
                <w:lang w:val="en-GB"/>
              </w:rPr>
              <w:t>South African rand (ZAR)</w:t>
            </w:r>
          </w:p>
        </w:tc>
        <w:tc>
          <w:tcPr>
            <w:tcW w:w="1134" w:type="dxa"/>
            <w:tcBorders>
              <w:top w:val="single" w:sz="12" w:space="0" w:color="auto"/>
            </w:tcBorders>
            <w:shd w:val="clear" w:color="auto" w:fill="auto"/>
            <w:tcMar>
              <w:top w:w="142" w:type="dxa"/>
              <w:left w:w="0" w:type="dxa"/>
              <w:bottom w:w="57" w:type="dxa"/>
              <w:right w:w="0" w:type="dxa"/>
            </w:tcMar>
            <w:vAlign w:val="bottom"/>
          </w:tcPr>
          <w:p w14:paraId="12A4479C" w14:textId="77777777" w:rsidR="006C7411" w:rsidRPr="006C7411" w:rsidRDefault="006C7411" w:rsidP="00490880">
            <w:pPr>
              <w:spacing w:line="240" w:lineRule="atLeast"/>
              <w:jc w:val="right"/>
              <w:rPr>
                <w:rFonts w:ascii="Tahoma" w:hAnsi="Tahoma"/>
                <w:b/>
                <w:bCs/>
                <w:color w:val="000000" w:themeColor="text1"/>
                <w:sz w:val="16"/>
                <w:lang w:val="en-GB"/>
              </w:rPr>
            </w:pPr>
            <w:r w:rsidRPr="006C7411">
              <w:rPr>
                <w:rFonts w:ascii="Tahoma" w:hAnsi="Tahoma"/>
                <w:b/>
                <w:bCs/>
                <w:color w:val="000000" w:themeColor="text1"/>
                <w:sz w:val="16"/>
                <w:lang w:val="en-GB"/>
              </w:rPr>
              <w:t>0.0602</w:t>
            </w:r>
          </w:p>
        </w:tc>
        <w:tc>
          <w:tcPr>
            <w:tcW w:w="1134" w:type="dxa"/>
            <w:tcBorders>
              <w:top w:val="single" w:sz="12" w:space="0" w:color="auto"/>
            </w:tcBorders>
            <w:shd w:val="clear" w:color="auto" w:fill="auto"/>
            <w:tcMar>
              <w:top w:w="142" w:type="dxa"/>
              <w:left w:w="0" w:type="dxa"/>
              <w:bottom w:w="57" w:type="dxa"/>
              <w:right w:w="0" w:type="dxa"/>
            </w:tcMar>
            <w:vAlign w:val="bottom"/>
          </w:tcPr>
          <w:p w14:paraId="435BE272" w14:textId="77777777" w:rsidR="006C7411" w:rsidRPr="006C7411" w:rsidRDefault="006C7411" w:rsidP="00490880">
            <w:pPr>
              <w:spacing w:line="240" w:lineRule="atLeast"/>
              <w:jc w:val="right"/>
              <w:rPr>
                <w:rFonts w:ascii="Tahoma" w:hAnsi="Tahoma"/>
                <w:color w:val="000000" w:themeColor="text1"/>
                <w:sz w:val="16"/>
                <w:lang w:val="en-GB"/>
              </w:rPr>
            </w:pPr>
            <w:r w:rsidRPr="006C7411">
              <w:rPr>
                <w:rFonts w:ascii="Tahoma" w:hAnsi="Tahoma"/>
                <w:color w:val="000000" w:themeColor="text1"/>
                <w:sz w:val="16"/>
                <w:lang w:val="en-GB"/>
              </w:rPr>
              <w:t>0.0692</w:t>
            </w:r>
          </w:p>
        </w:tc>
      </w:tr>
      <w:tr w:rsidR="00615190" w:rsidRPr="006C7411" w14:paraId="4369B9C1" w14:textId="77777777" w:rsidTr="00384459">
        <w:trPr>
          <w:trHeight w:val="60"/>
        </w:trPr>
        <w:tc>
          <w:tcPr>
            <w:tcW w:w="397" w:type="dxa"/>
            <w:shd w:val="clear" w:color="auto" w:fill="auto"/>
            <w:tcMar>
              <w:top w:w="57" w:type="dxa"/>
              <w:left w:w="0" w:type="dxa"/>
              <w:bottom w:w="57" w:type="dxa"/>
              <w:right w:w="0" w:type="dxa"/>
            </w:tcMar>
            <w:vAlign w:val="bottom"/>
          </w:tcPr>
          <w:p w14:paraId="3C2A02E6" w14:textId="77777777" w:rsidR="006C7411" w:rsidRPr="006C7411" w:rsidRDefault="006C7411" w:rsidP="00615190">
            <w:pPr>
              <w:spacing w:line="240" w:lineRule="atLeast"/>
              <w:rPr>
                <w:rFonts w:ascii="Tahoma" w:hAnsi="Tahoma"/>
                <w:color w:val="000000" w:themeColor="text1"/>
                <w:sz w:val="16"/>
                <w:lang w:val="en-GB"/>
              </w:rPr>
            </w:pPr>
          </w:p>
        </w:tc>
        <w:tc>
          <w:tcPr>
            <w:tcW w:w="7541" w:type="dxa"/>
            <w:shd w:val="clear" w:color="auto" w:fill="auto"/>
            <w:tcMar>
              <w:top w:w="57" w:type="dxa"/>
              <w:left w:w="0" w:type="dxa"/>
              <w:bottom w:w="57" w:type="dxa"/>
              <w:right w:w="0" w:type="dxa"/>
            </w:tcMar>
            <w:vAlign w:val="bottom"/>
          </w:tcPr>
          <w:p w14:paraId="32BE1044" w14:textId="77777777" w:rsidR="006C7411" w:rsidRPr="006C7411" w:rsidRDefault="006C7411" w:rsidP="00615190">
            <w:pPr>
              <w:spacing w:line="240" w:lineRule="atLeast"/>
              <w:rPr>
                <w:rFonts w:ascii="Tahoma" w:hAnsi="Tahoma"/>
                <w:color w:val="000000" w:themeColor="text1"/>
                <w:sz w:val="16"/>
                <w:lang w:val="en-GB"/>
              </w:rPr>
            </w:pPr>
            <w:r w:rsidRPr="006C7411">
              <w:rPr>
                <w:rFonts w:ascii="Tahoma" w:hAnsi="Tahoma"/>
                <w:color w:val="000000" w:themeColor="text1"/>
                <w:sz w:val="16"/>
                <w:lang w:val="en-GB"/>
              </w:rPr>
              <w:t>Euro (EUR)</w:t>
            </w:r>
          </w:p>
        </w:tc>
        <w:tc>
          <w:tcPr>
            <w:tcW w:w="1134" w:type="dxa"/>
            <w:shd w:val="clear" w:color="auto" w:fill="auto"/>
            <w:tcMar>
              <w:top w:w="57" w:type="dxa"/>
              <w:left w:w="0" w:type="dxa"/>
              <w:bottom w:w="57" w:type="dxa"/>
              <w:right w:w="0" w:type="dxa"/>
            </w:tcMar>
            <w:vAlign w:val="bottom"/>
          </w:tcPr>
          <w:p w14:paraId="4082CAF5" w14:textId="77777777" w:rsidR="006C7411" w:rsidRPr="006C7411" w:rsidRDefault="006C7411" w:rsidP="00490880">
            <w:pPr>
              <w:spacing w:line="240" w:lineRule="atLeast"/>
              <w:jc w:val="right"/>
              <w:rPr>
                <w:rFonts w:ascii="Tahoma" w:hAnsi="Tahoma"/>
                <w:b/>
                <w:bCs/>
                <w:color w:val="000000" w:themeColor="text1"/>
                <w:sz w:val="16"/>
                <w:lang w:val="en-GB"/>
              </w:rPr>
            </w:pPr>
            <w:r w:rsidRPr="006C7411">
              <w:rPr>
                <w:rFonts w:ascii="Tahoma" w:hAnsi="Tahoma"/>
                <w:b/>
                <w:bCs/>
                <w:color w:val="000000" w:themeColor="text1"/>
                <w:sz w:val="16"/>
                <w:lang w:val="en-GB"/>
              </w:rPr>
              <w:t>1.0297</w:t>
            </w:r>
          </w:p>
        </w:tc>
        <w:tc>
          <w:tcPr>
            <w:tcW w:w="1134" w:type="dxa"/>
            <w:shd w:val="clear" w:color="auto" w:fill="auto"/>
            <w:tcMar>
              <w:top w:w="57" w:type="dxa"/>
              <w:left w:w="0" w:type="dxa"/>
              <w:bottom w:w="57" w:type="dxa"/>
              <w:right w:w="0" w:type="dxa"/>
            </w:tcMar>
            <w:vAlign w:val="bottom"/>
          </w:tcPr>
          <w:p w14:paraId="74B0F311" w14:textId="77777777" w:rsidR="006C7411" w:rsidRPr="006C7411" w:rsidRDefault="006C7411" w:rsidP="00490880">
            <w:pPr>
              <w:spacing w:line="240" w:lineRule="atLeast"/>
              <w:jc w:val="right"/>
              <w:rPr>
                <w:rFonts w:ascii="Tahoma" w:hAnsi="Tahoma"/>
                <w:color w:val="000000" w:themeColor="text1"/>
                <w:sz w:val="16"/>
                <w:lang w:val="en-GB"/>
              </w:rPr>
            </w:pPr>
            <w:r w:rsidRPr="006C7411">
              <w:rPr>
                <w:rFonts w:ascii="Tahoma" w:hAnsi="Tahoma"/>
                <w:color w:val="000000" w:themeColor="text1"/>
                <w:sz w:val="16"/>
                <w:lang w:val="en-GB"/>
              </w:rPr>
              <w:t>1.1891</w:t>
            </w:r>
          </w:p>
        </w:tc>
      </w:tr>
      <w:tr w:rsidR="00615190" w:rsidRPr="006C7411" w14:paraId="1881572D" w14:textId="77777777" w:rsidTr="00384459">
        <w:trPr>
          <w:trHeight w:val="60"/>
        </w:trPr>
        <w:tc>
          <w:tcPr>
            <w:tcW w:w="397" w:type="dxa"/>
            <w:shd w:val="clear" w:color="auto" w:fill="auto"/>
            <w:tcMar>
              <w:top w:w="57" w:type="dxa"/>
              <w:left w:w="0" w:type="dxa"/>
              <w:bottom w:w="57" w:type="dxa"/>
              <w:right w:w="0" w:type="dxa"/>
            </w:tcMar>
            <w:vAlign w:val="bottom"/>
          </w:tcPr>
          <w:p w14:paraId="4A07EE37" w14:textId="77777777" w:rsidR="006C7411" w:rsidRPr="006C7411" w:rsidRDefault="006C7411" w:rsidP="00615190">
            <w:pPr>
              <w:spacing w:line="240" w:lineRule="atLeast"/>
              <w:rPr>
                <w:rFonts w:ascii="Tahoma" w:hAnsi="Tahoma"/>
                <w:color w:val="000000" w:themeColor="text1"/>
                <w:sz w:val="16"/>
                <w:lang w:val="en-GB"/>
              </w:rPr>
            </w:pPr>
          </w:p>
        </w:tc>
        <w:tc>
          <w:tcPr>
            <w:tcW w:w="7541" w:type="dxa"/>
            <w:shd w:val="clear" w:color="auto" w:fill="auto"/>
            <w:tcMar>
              <w:top w:w="57" w:type="dxa"/>
              <w:left w:w="0" w:type="dxa"/>
              <w:bottom w:w="57" w:type="dxa"/>
              <w:right w:w="0" w:type="dxa"/>
            </w:tcMar>
            <w:vAlign w:val="bottom"/>
          </w:tcPr>
          <w:p w14:paraId="2D4A8A4D" w14:textId="77777777" w:rsidR="006C7411" w:rsidRPr="006C7411" w:rsidRDefault="006C7411" w:rsidP="00615190">
            <w:pPr>
              <w:spacing w:line="240" w:lineRule="atLeast"/>
              <w:rPr>
                <w:rFonts w:ascii="Tahoma" w:hAnsi="Tahoma"/>
                <w:color w:val="000000" w:themeColor="text1"/>
                <w:sz w:val="16"/>
                <w:lang w:val="en-GB"/>
              </w:rPr>
            </w:pPr>
            <w:r w:rsidRPr="006C7411">
              <w:rPr>
                <w:rFonts w:ascii="Tahoma" w:hAnsi="Tahoma"/>
                <w:color w:val="000000" w:themeColor="text1"/>
                <w:sz w:val="16"/>
                <w:lang w:val="en-GB"/>
              </w:rPr>
              <w:t>Chinese yuan renminbi (RMB)</w:t>
            </w:r>
          </w:p>
        </w:tc>
        <w:tc>
          <w:tcPr>
            <w:tcW w:w="1134" w:type="dxa"/>
            <w:shd w:val="clear" w:color="auto" w:fill="auto"/>
            <w:tcMar>
              <w:top w:w="57" w:type="dxa"/>
              <w:left w:w="0" w:type="dxa"/>
              <w:bottom w:w="57" w:type="dxa"/>
              <w:right w:w="0" w:type="dxa"/>
            </w:tcMar>
            <w:vAlign w:val="bottom"/>
          </w:tcPr>
          <w:p w14:paraId="1FA8690B" w14:textId="77777777" w:rsidR="006C7411" w:rsidRPr="006C7411" w:rsidRDefault="006C7411" w:rsidP="00490880">
            <w:pPr>
              <w:spacing w:line="240" w:lineRule="atLeast"/>
              <w:jc w:val="right"/>
              <w:rPr>
                <w:rFonts w:ascii="Tahoma" w:hAnsi="Tahoma"/>
                <w:b/>
                <w:bCs/>
                <w:color w:val="000000" w:themeColor="text1"/>
                <w:sz w:val="16"/>
                <w:lang w:val="en-GB"/>
              </w:rPr>
            </w:pPr>
            <w:r w:rsidRPr="006C7411">
              <w:rPr>
                <w:rFonts w:ascii="Tahoma" w:hAnsi="Tahoma"/>
                <w:b/>
                <w:bCs/>
                <w:color w:val="000000" w:themeColor="text1"/>
                <w:sz w:val="16"/>
                <w:lang w:val="en-GB"/>
              </w:rPr>
              <w:t>0.1473</w:t>
            </w:r>
          </w:p>
        </w:tc>
        <w:tc>
          <w:tcPr>
            <w:tcW w:w="1134" w:type="dxa"/>
            <w:shd w:val="clear" w:color="auto" w:fill="auto"/>
            <w:tcMar>
              <w:top w:w="57" w:type="dxa"/>
              <w:left w:w="0" w:type="dxa"/>
              <w:bottom w:w="57" w:type="dxa"/>
              <w:right w:w="0" w:type="dxa"/>
            </w:tcMar>
            <w:vAlign w:val="bottom"/>
          </w:tcPr>
          <w:p w14:paraId="1AD27FE6" w14:textId="77777777" w:rsidR="006C7411" w:rsidRPr="006C7411" w:rsidRDefault="006C7411" w:rsidP="00490880">
            <w:pPr>
              <w:spacing w:line="240" w:lineRule="atLeast"/>
              <w:jc w:val="right"/>
              <w:rPr>
                <w:rFonts w:ascii="Tahoma" w:hAnsi="Tahoma"/>
                <w:color w:val="000000" w:themeColor="text1"/>
                <w:sz w:val="16"/>
                <w:lang w:val="en-GB"/>
              </w:rPr>
            </w:pPr>
            <w:r w:rsidRPr="006C7411">
              <w:rPr>
                <w:rFonts w:ascii="Tahoma" w:hAnsi="Tahoma"/>
                <w:color w:val="000000" w:themeColor="text1"/>
                <w:sz w:val="16"/>
                <w:lang w:val="en-GB"/>
              </w:rPr>
              <w:t>0.1552</w:t>
            </w:r>
          </w:p>
        </w:tc>
      </w:tr>
      <w:tr w:rsidR="00615190" w:rsidRPr="006C7411" w14:paraId="1490B4BE" w14:textId="77777777" w:rsidTr="00384459">
        <w:trPr>
          <w:trHeight w:val="60"/>
        </w:trPr>
        <w:tc>
          <w:tcPr>
            <w:tcW w:w="397" w:type="dxa"/>
            <w:shd w:val="clear" w:color="auto" w:fill="auto"/>
            <w:tcMar>
              <w:top w:w="57" w:type="dxa"/>
              <w:left w:w="0" w:type="dxa"/>
              <w:bottom w:w="57" w:type="dxa"/>
              <w:right w:w="0" w:type="dxa"/>
            </w:tcMar>
            <w:vAlign w:val="bottom"/>
          </w:tcPr>
          <w:p w14:paraId="34FA0ACD" w14:textId="77777777" w:rsidR="006C7411" w:rsidRPr="006C7411" w:rsidRDefault="006C7411" w:rsidP="00615190">
            <w:pPr>
              <w:spacing w:line="240" w:lineRule="atLeast"/>
              <w:rPr>
                <w:rFonts w:ascii="Tahoma" w:hAnsi="Tahoma"/>
                <w:color w:val="000000" w:themeColor="text1"/>
                <w:sz w:val="16"/>
                <w:lang w:val="en-GB"/>
              </w:rPr>
            </w:pPr>
          </w:p>
        </w:tc>
        <w:tc>
          <w:tcPr>
            <w:tcW w:w="7541" w:type="dxa"/>
            <w:shd w:val="clear" w:color="auto" w:fill="auto"/>
            <w:tcMar>
              <w:top w:w="57" w:type="dxa"/>
              <w:left w:w="0" w:type="dxa"/>
              <w:bottom w:w="57" w:type="dxa"/>
              <w:right w:w="0" w:type="dxa"/>
            </w:tcMar>
            <w:vAlign w:val="bottom"/>
          </w:tcPr>
          <w:p w14:paraId="777D2FD0" w14:textId="77777777" w:rsidR="006C7411" w:rsidRPr="006C7411" w:rsidRDefault="006C7411" w:rsidP="00615190">
            <w:pPr>
              <w:spacing w:line="240" w:lineRule="atLeast"/>
              <w:rPr>
                <w:rFonts w:ascii="Tahoma" w:hAnsi="Tahoma"/>
                <w:color w:val="000000" w:themeColor="text1"/>
                <w:sz w:val="16"/>
                <w:lang w:val="en-GB"/>
              </w:rPr>
            </w:pPr>
            <w:r w:rsidRPr="006C7411">
              <w:rPr>
                <w:rFonts w:ascii="Tahoma" w:hAnsi="Tahoma"/>
                <w:color w:val="000000" w:themeColor="text1"/>
                <w:sz w:val="16"/>
                <w:lang w:val="en-GB"/>
              </w:rPr>
              <w:t>Brazilian real (BRL)</w:t>
            </w:r>
          </w:p>
        </w:tc>
        <w:tc>
          <w:tcPr>
            <w:tcW w:w="1134" w:type="dxa"/>
            <w:shd w:val="clear" w:color="auto" w:fill="auto"/>
            <w:tcMar>
              <w:top w:w="57" w:type="dxa"/>
              <w:left w:w="0" w:type="dxa"/>
              <w:bottom w:w="57" w:type="dxa"/>
              <w:right w:w="0" w:type="dxa"/>
            </w:tcMar>
            <w:vAlign w:val="bottom"/>
          </w:tcPr>
          <w:p w14:paraId="18A03A7F" w14:textId="77777777" w:rsidR="006C7411" w:rsidRPr="006C7411" w:rsidRDefault="006C7411" w:rsidP="00490880">
            <w:pPr>
              <w:spacing w:line="240" w:lineRule="atLeast"/>
              <w:jc w:val="right"/>
              <w:rPr>
                <w:rFonts w:ascii="Tahoma" w:hAnsi="Tahoma"/>
                <w:b/>
                <w:bCs/>
                <w:color w:val="000000" w:themeColor="text1"/>
                <w:sz w:val="16"/>
                <w:lang w:val="en-GB"/>
              </w:rPr>
            </w:pPr>
            <w:r w:rsidRPr="006C7411">
              <w:rPr>
                <w:rFonts w:ascii="Tahoma" w:hAnsi="Tahoma"/>
                <w:b/>
                <w:bCs/>
                <w:color w:val="000000" w:themeColor="text1"/>
                <w:sz w:val="16"/>
                <w:lang w:val="en-GB"/>
              </w:rPr>
              <w:t>0.1952</w:t>
            </w:r>
          </w:p>
        </w:tc>
        <w:tc>
          <w:tcPr>
            <w:tcW w:w="1134" w:type="dxa"/>
            <w:shd w:val="clear" w:color="auto" w:fill="auto"/>
            <w:tcMar>
              <w:top w:w="57" w:type="dxa"/>
              <w:left w:w="0" w:type="dxa"/>
              <w:bottom w:w="57" w:type="dxa"/>
              <w:right w:w="0" w:type="dxa"/>
            </w:tcMar>
            <w:vAlign w:val="bottom"/>
          </w:tcPr>
          <w:p w14:paraId="55F0DE65" w14:textId="77777777" w:rsidR="006C7411" w:rsidRPr="006C7411" w:rsidRDefault="006C7411" w:rsidP="00490880">
            <w:pPr>
              <w:spacing w:line="240" w:lineRule="atLeast"/>
              <w:jc w:val="right"/>
              <w:rPr>
                <w:rFonts w:ascii="Tahoma" w:hAnsi="Tahoma"/>
                <w:color w:val="000000" w:themeColor="text1"/>
                <w:sz w:val="16"/>
                <w:lang w:val="en-GB"/>
              </w:rPr>
            </w:pPr>
            <w:r w:rsidRPr="006C7411">
              <w:rPr>
                <w:rFonts w:ascii="Tahoma" w:hAnsi="Tahoma"/>
                <w:color w:val="000000" w:themeColor="text1"/>
                <w:sz w:val="16"/>
                <w:lang w:val="en-GB"/>
              </w:rPr>
              <w:t>0.1909</w:t>
            </w:r>
          </w:p>
        </w:tc>
      </w:tr>
      <w:tr w:rsidR="00615190" w:rsidRPr="006C7411" w14:paraId="581FCF2D" w14:textId="77777777" w:rsidTr="00384459">
        <w:trPr>
          <w:trHeight w:val="60"/>
        </w:trPr>
        <w:tc>
          <w:tcPr>
            <w:tcW w:w="397" w:type="dxa"/>
            <w:shd w:val="clear" w:color="auto" w:fill="auto"/>
            <w:tcMar>
              <w:top w:w="57" w:type="dxa"/>
              <w:left w:w="0" w:type="dxa"/>
              <w:bottom w:w="57" w:type="dxa"/>
              <w:right w:w="0" w:type="dxa"/>
            </w:tcMar>
            <w:vAlign w:val="bottom"/>
          </w:tcPr>
          <w:p w14:paraId="0E728DA8" w14:textId="77777777" w:rsidR="006C7411" w:rsidRPr="006C7411" w:rsidRDefault="006C7411" w:rsidP="00615190">
            <w:pPr>
              <w:spacing w:line="240" w:lineRule="atLeast"/>
              <w:rPr>
                <w:rFonts w:ascii="Tahoma" w:hAnsi="Tahoma"/>
                <w:color w:val="000000" w:themeColor="text1"/>
                <w:sz w:val="16"/>
                <w:lang w:val="en-GB"/>
              </w:rPr>
            </w:pPr>
          </w:p>
        </w:tc>
        <w:tc>
          <w:tcPr>
            <w:tcW w:w="7541" w:type="dxa"/>
            <w:shd w:val="clear" w:color="auto" w:fill="auto"/>
            <w:tcMar>
              <w:top w:w="57" w:type="dxa"/>
              <w:left w:w="0" w:type="dxa"/>
              <w:bottom w:w="57" w:type="dxa"/>
              <w:right w:w="0" w:type="dxa"/>
            </w:tcMar>
            <w:vAlign w:val="bottom"/>
          </w:tcPr>
          <w:p w14:paraId="5BB11516" w14:textId="77777777" w:rsidR="006C7411" w:rsidRPr="006C7411" w:rsidRDefault="006C7411" w:rsidP="00615190">
            <w:pPr>
              <w:spacing w:line="240" w:lineRule="atLeast"/>
              <w:rPr>
                <w:rFonts w:ascii="Tahoma" w:hAnsi="Tahoma"/>
                <w:color w:val="000000" w:themeColor="text1"/>
                <w:sz w:val="16"/>
                <w:lang w:val="en-GB"/>
              </w:rPr>
            </w:pPr>
            <w:r w:rsidRPr="006C7411">
              <w:rPr>
                <w:rFonts w:ascii="Tahoma" w:hAnsi="Tahoma"/>
                <w:color w:val="000000" w:themeColor="text1"/>
                <w:sz w:val="16"/>
                <w:lang w:val="en-GB"/>
              </w:rPr>
              <w:t>Indian rupee (INR)</w:t>
            </w:r>
          </w:p>
        </w:tc>
        <w:tc>
          <w:tcPr>
            <w:tcW w:w="1134" w:type="dxa"/>
            <w:shd w:val="clear" w:color="auto" w:fill="auto"/>
            <w:tcMar>
              <w:top w:w="57" w:type="dxa"/>
              <w:left w:w="0" w:type="dxa"/>
              <w:bottom w:w="57" w:type="dxa"/>
              <w:right w:w="0" w:type="dxa"/>
            </w:tcMar>
            <w:vAlign w:val="bottom"/>
          </w:tcPr>
          <w:p w14:paraId="3382C988" w14:textId="77777777" w:rsidR="006C7411" w:rsidRPr="006C7411" w:rsidRDefault="006C7411" w:rsidP="00490880">
            <w:pPr>
              <w:spacing w:line="240" w:lineRule="atLeast"/>
              <w:jc w:val="right"/>
              <w:rPr>
                <w:rFonts w:ascii="Tahoma" w:hAnsi="Tahoma"/>
                <w:b/>
                <w:bCs/>
                <w:color w:val="000000" w:themeColor="text1"/>
                <w:sz w:val="16"/>
                <w:lang w:val="en-GB"/>
              </w:rPr>
            </w:pPr>
            <w:r w:rsidRPr="006C7411">
              <w:rPr>
                <w:rFonts w:ascii="Tahoma" w:hAnsi="Tahoma"/>
                <w:b/>
                <w:bCs/>
                <w:color w:val="000000" w:themeColor="text1"/>
                <w:sz w:val="16"/>
                <w:lang w:val="en-GB"/>
              </w:rPr>
              <w:t>0.0127</w:t>
            </w:r>
          </w:p>
        </w:tc>
        <w:tc>
          <w:tcPr>
            <w:tcW w:w="1134" w:type="dxa"/>
            <w:shd w:val="clear" w:color="auto" w:fill="auto"/>
            <w:tcMar>
              <w:top w:w="57" w:type="dxa"/>
              <w:left w:w="0" w:type="dxa"/>
              <w:bottom w:w="57" w:type="dxa"/>
              <w:right w:w="0" w:type="dxa"/>
            </w:tcMar>
            <w:vAlign w:val="bottom"/>
          </w:tcPr>
          <w:p w14:paraId="3B7A2665" w14:textId="77777777" w:rsidR="006C7411" w:rsidRPr="006C7411" w:rsidRDefault="006C7411" w:rsidP="00490880">
            <w:pPr>
              <w:spacing w:line="240" w:lineRule="atLeast"/>
              <w:jc w:val="right"/>
              <w:rPr>
                <w:rFonts w:ascii="Tahoma" w:hAnsi="Tahoma"/>
                <w:color w:val="000000" w:themeColor="text1"/>
                <w:sz w:val="16"/>
                <w:lang w:val="en-GB"/>
              </w:rPr>
            </w:pPr>
            <w:r w:rsidRPr="006C7411">
              <w:rPr>
                <w:rFonts w:ascii="Tahoma" w:hAnsi="Tahoma"/>
                <w:color w:val="000000" w:themeColor="text1"/>
                <w:sz w:val="16"/>
                <w:lang w:val="en-GB"/>
              </w:rPr>
              <w:t>0.0136</w:t>
            </w:r>
          </w:p>
        </w:tc>
      </w:tr>
      <w:tr w:rsidR="00615190" w:rsidRPr="006C7411" w14:paraId="04C048EE" w14:textId="77777777" w:rsidTr="00384459">
        <w:trPr>
          <w:trHeight w:val="60"/>
        </w:trPr>
        <w:tc>
          <w:tcPr>
            <w:tcW w:w="397" w:type="dxa"/>
            <w:shd w:val="clear" w:color="auto" w:fill="auto"/>
            <w:tcMar>
              <w:top w:w="57" w:type="dxa"/>
              <w:left w:w="0" w:type="dxa"/>
              <w:bottom w:w="57" w:type="dxa"/>
              <w:right w:w="0" w:type="dxa"/>
            </w:tcMar>
            <w:vAlign w:val="bottom"/>
          </w:tcPr>
          <w:p w14:paraId="575BCD0F" w14:textId="77777777" w:rsidR="006C7411" w:rsidRPr="006C7411" w:rsidRDefault="006C7411" w:rsidP="00615190">
            <w:pPr>
              <w:spacing w:line="240" w:lineRule="atLeast"/>
              <w:rPr>
                <w:rFonts w:ascii="Tahoma" w:hAnsi="Tahoma"/>
                <w:color w:val="000000" w:themeColor="text1"/>
                <w:sz w:val="16"/>
                <w:lang w:val="en-GB"/>
              </w:rPr>
            </w:pPr>
          </w:p>
        </w:tc>
        <w:tc>
          <w:tcPr>
            <w:tcW w:w="7541" w:type="dxa"/>
            <w:shd w:val="clear" w:color="auto" w:fill="auto"/>
            <w:tcMar>
              <w:top w:w="57" w:type="dxa"/>
              <w:left w:w="0" w:type="dxa"/>
              <w:bottom w:w="57" w:type="dxa"/>
              <w:right w:w="0" w:type="dxa"/>
            </w:tcMar>
            <w:vAlign w:val="bottom"/>
          </w:tcPr>
          <w:p w14:paraId="77D69EE0" w14:textId="77777777" w:rsidR="006C7411" w:rsidRPr="006C7411" w:rsidRDefault="006C7411" w:rsidP="00615190">
            <w:pPr>
              <w:spacing w:line="240" w:lineRule="atLeast"/>
              <w:rPr>
                <w:rFonts w:ascii="Tahoma" w:hAnsi="Tahoma"/>
                <w:color w:val="000000" w:themeColor="text1"/>
                <w:sz w:val="16"/>
                <w:lang w:val="en-GB"/>
              </w:rPr>
            </w:pPr>
            <w:r w:rsidRPr="006C7411">
              <w:rPr>
                <w:rFonts w:ascii="Tahoma" w:hAnsi="Tahoma"/>
                <w:color w:val="000000" w:themeColor="text1"/>
                <w:sz w:val="16"/>
                <w:lang w:val="en-GB"/>
              </w:rPr>
              <w:t>Polish zloty (PLN)</w:t>
            </w:r>
          </w:p>
        </w:tc>
        <w:tc>
          <w:tcPr>
            <w:tcW w:w="1134" w:type="dxa"/>
            <w:shd w:val="clear" w:color="auto" w:fill="auto"/>
            <w:tcMar>
              <w:top w:w="57" w:type="dxa"/>
              <w:left w:w="0" w:type="dxa"/>
              <w:bottom w:w="57" w:type="dxa"/>
              <w:right w:w="0" w:type="dxa"/>
            </w:tcMar>
            <w:vAlign w:val="bottom"/>
          </w:tcPr>
          <w:p w14:paraId="7F99DCD3" w14:textId="77777777" w:rsidR="006C7411" w:rsidRPr="006C7411" w:rsidRDefault="006C7411" w:rsidP="00490880">
            <w:pPr>
              <w:spacing w:line="240" w:lineRule="atLeast"/>
              <w:jc w:val="right"/>
              <w:rPr>
                <w:rFonts w:ascii="Tahoma" w:hAnsi="Tahoma"/>
                <w:b/>
                <w:bCs/>
                <w:color w:val="000000" w:themeColor="text1"/>
                <w:sz w:val="16"/>
                <w:lang w:val="en-GB"/>
              </w:rPr>
            </w:pPr>
            <w:r w:rsidRPr="006C7411">
              <w:rPr>
                <w:rFonts w:ascii="Tahoma" w:hAnsi="Tahoma"/>
                <w:b/>
                <w:bCs/>
                <w:color w:val="000000" w:themeColor="text1"/>
                <w:sz w:val="16"/>
                <w:lang w:val="en-GB"/>
              </w:rPr>
              <w:t>0.2184</w:t>
            </w:r>
          </w:p>
        </w:tc>
        <w:tc>
          <w:tcPr>
            <w:tcW w:w="1134" w:type="dxa"/>
            <w:shd w:val="clear" w:color="auto" w:fill="auto"/>
            <w:tcMar>
              <w:top w:w="57" w:type="dxa"/>
              <w:left w:w="0" w:type="dxa"/>
              <w:bottom w:w="57" w:type="dxa"/>
              <w:right w:w="0" w:type="dxa"/>
            </w:tcMar>
            <w:vAlign w:val="bottom"/>
          </w:tcPr>
          <w:p w14:paraId="4CB988C2" w14:textId="77777777" w:rsidR="006C7411" w:rsidRPr="006C7411" w:rsidRDefault="006C7411" w:rsidP="00490880">
            <w:pPr>
              <w:spacing w:line="240" w:lineRule="atLeast"/>
              <w:jc w:val="right"/>
              <w:rPr>
                <w:rFonts w:ascii="Tahoma" w:hAnsi="Tahoma"/>
                <w:color w:val="000000" w:themeColor="text1"/>
                <w:sz w:val="16"/>
                <w:lang w:val="en-GB"/>
              </w:rPr>
            </w:pPr>
            <w:r w:rsidRPr="006C7411">
              <w:rPr>
                <w:rFonts w:ascii="Tahoma" w:hAnsi="Tahoma"/>
                <w:color w:val="000000" w:themeColor="text1"/>
                <w:sz w:val="16"/>
                <w:lang w:val="en-GB"/>
              </w:rPr>
              <w:t>0.2617</w:t>
            </w:r>
          </w:p>
        </w:tc>
      </w:tr>
      <w:tr w:rsidR="00615190" w:rsidRPr="006C7411" w14:paraId="64ABC636" w14:textId="77777777" w:rsidTr="00384459">
        <w:trPr>
          <w:trHeight w:val="60"/>
        </w:trPr>
        <w:tc>
          <w:tcPr>
            <w:tcW w:w="397" w:type="dxa"/>
            <w:shd w:val="clear" w:color="auto" w:fill="auto"/>
            <w:tcMar>
              <w:top w:w="57" w:type="dxa"/>
              <w:left w:w="0" w:type="dxa"/>
              <w:bottom w:w="57" w:type="dxa"/>
              <w:right w:w="0" w:type="dxa"/>
            </w:tcMar>
            <w:vAlign w:val="bottom"/>
          </w:tcPr>
          <w:p w14:paraId="5FBA8CC1" w14:textId="77777777" w:rsidR="006C7411" w:rsidRPr="006C7411" w:rsidRDefault="006C7411" w:rsidP="00615190">
            <w:pPr>
              <w:spacing w:line="240" w:lineRule="atLeast"/>
              <w:rPr>
                <w:rFonts w:ascii="Tahoma" w:hAnsi="Tahoma"/>
                <w:color w:val="000000" w:themeColor="text1"/>
                <w:sz w:val="16"/>
                <w:lang w:val="en-GB"/>
              </w:rPr>
            </w:pPr>
          </w:p>
        </w:tc>
        <w:tc>
          <w:tcPr>
            <w:tcW w:w="7541" w:type="dxa"/>
            <w:shd w:val="clear" w:color="auto" w:fill="auto"/>
            <w:tcMar>
              <w:top w:w="57" w:type="dxa"/>
              <w:left w:w="0" w:type="dxa"/>
              <w:bottom w:w="57" w:type="dxa"/>
              <w:right w:w="0" w:type="dxa"/>
            </w:tcMar>
            <w:vAlign w:val="bottom"/>
          </w:tcPr>
          <w:p w14:paraId="12B6AE18" w14:textId="77777777" w:rsidR="006C7411" w:rsidRPr="006C7411" w:rsidRDefault="006C7411" w:rsidP="00615190">
            <w:pPr>
              <w:spacing w:line="240" w:lineRule="atLeast"/>
              <w:rPr>
                <w:rFonts w:ascii="Tahoma" w:hAnsi="Tahoma"/>
                <w:color w:val="000000" w:themeColor="text1"/>
                <w:sz w:val="16"/>
                <w:lang w:val="en-GB"/>
              </w:rPr>
            </w:pPr>
            <w:r w:rsidRPr="006C7411">
              <w:rPr>
                <w:rFonts w:ascii="Tahoma" w:hAnsi="Tahoma"/>
                <w:color w:val="000000" w:themeColor="text1"/>
                <w:sz w:val="16"/>
                <w:lang w:val="en-GB"/>
              </w:rPr>
              <w:t>Russian rouble (RUB)</w:t>
            </w:r>
          </w:p>
        </w:tc>
        <w:tc>
          <w:tcPr>
            <w:tcW w:w="1134" w:type="dxa"/>
            <w:shd w:val="clear" w:color="auto" w:fill="auto"/>
            <w:tcMar>
              <w:top w:w="57" w:type="dxa"/>
              <w:left w:w="0" w:type="dxa"/>
              <w:bottom w:w="57" w:type="dxa"/>
              <w:right w:w="0" w:type="dxa"/>
            </w:tcMar>
            <w:vAlign w:val="bottom"/>
          </w:tcPr>
          <w:p w14:paraId="05418A5E" w14:textId="77777777" w:rsidR="006C7411" w:rsidRPr="006C7411" w:rsidRDefault="006C7411" w:rsidP="00490880">
            <w:pPr>
              <w:spacing w:line="240" w:lineRule="atLeast"/>
              <w:jc w:val="right"/>
              <w:rPr>
                <w:rFonts w:ascii="Tahoma" w:hAnsi="Tahoma"/>
                <w:b/>
                <w:bCs/>
                <w:color w:val="000000" w:themeColor="text1"/>
                <w:sz w:val="16"/>
                <w:lang w:val="en-GB"/>
              </w:rPr>
            </w:pPr>
            <w:r w:rsidRPr="006C7411">
              <w:rPr>
                <w:rFonts w:ascii="Tahoma" w:hAnsi="Tahoma"/>
                <w:b/>
                <w:bCs/>
                <w:color w:val="000000" w:themeColor="text1"/>
                <w:sz w:val="16"/>
                <w:lang w:val="en-GB"/>
              </w:rPr>
              <w:t>0.0160</w:t>
            </w:r>
          </w:p>
        </w:tc>
        <w:tc>
          <w:tcPr>
            <w:tcW w:w="1134" w:type="dxa"/>
            <w:shd w:val="clear" w:color="auto" w:fill="auto"/>
            <w:tcMar>
              <w:top w:w="57" w:type="dxa"/>
              <w:left w:w="0" w:type="dxa"/>
              <w:bottom w:w="57" w:type="dxa"/>
              <w:right w:w="0" w:type="dxa"/>
            </w:tcMar>
            <w:vAlign w:val="bottom"/>
          </w:tcPr>
          <w:p w14:paraId="3E65DBBD" w14:textId="77777777" w:rsidR="006C7411" w:rsidRPr="006C7411" w:rsidRDefault="006C7411" w:rsidP="00490880">
            <w:pPr>
              <w:spacing w:line="240" w:lineRule="atLeast"/>
              <w:jc w:val="right"/>
              <w:rPr>
                <w:rFonts w:ascii="Tahoma" w:hAnsi="Tahoma"/>
                <w:color w:val="000000" w:themeColor="text1"/>
                <w:sz w:val="16"/>
                <w:lang w:val="en-GB"/>
              </w:rPr>
            </w:pPr>
            <w:r w:rsidRPr="006C7411">
              <w:rPr>
                <w:rFonts w:ascii="Tahoma" w:hAnsi="Tahoma"/>
                <w:color w:val="000000" w:themeColor="text1"/>
                <w:sz w:val="16"/>
                <w:lang w:val="en-GB"/>
              </w:rPr>
              <w:t>0.0136</w:t>
            </w:r>
          </w:p>
        </w:tc>
      </w:tr>
      <w:tr w:rsidR="00615190" w:rsidRPr="006C7411" w14:paraId="1029EA21" w14:textId="77777777" w:rsidTr="00384459">
        <w:trPr>
          <w:trHeight w:val="60"/>
        </w:trPr>
        <w:tc>
          <w:tcPr>
            <w:tcW w:w="397" w:type="dxa"/>
            <w:shd w:val="clear" w:color="auto" w:fill="auto"/>
            <w:tcMar>
              <w:top w:w="57" w:type="dxa"/>
              <w:left w:w="0" w:type="dxa"/>
              <w:bottom w:w="57" w:type="dxa"/>
              <w:right w:w="0" w:type="dxa"/>
            </w:tcMar>
            <w:vAlign w:val="bottom"/>
          </w:tcPr>
          <w:p w14:paraId="2CDFFCAE" w14:textId="77777777" w:rsidR="006C7411" w:rsidRPr="006C7411" w:rsidRDefault="006C7411" w:rsidP="00615190">
            <w:pPr>
              <w:spacing w:line="240" w:lineRule="atLeast"/>
              <w:rPr>
                <w:rFonts w:ascii="Tahoma" w:hAnsi="Tahoma"/>
                <w:color w:val="000000" w:themeColor="text1"/>
                <w:sz w:val="16"/>
                <w:lang w:val="en-GB"/>
              </w:rPr>
            </w:pPr>
          </w:p>
        </w:tc>
        <w:tc>
          <w:tcPr>
            <w:tcW w:w="7541" w:type="dxa"/>
            <w:shd w:val="clear" w:color="auto" w:fill="auto"/>
            <w:tcMar>
              <w:top w:w="57" w:type="dxa"/>
              <w:left w:w="0" w:type="dxa"/>
              <w:bottom w:w="57" w:type="dxa"/>
              <w:right w:w="0" w:type="dxa"/>
            </w:tcMar>
            <w:vAlign w:val="bottom"/>
          </w:tcPr>
          <w:p w14:paraId="27ED6ABE" w14:textId="77777777" w:rsidR="006C7411" w:rsidRPr="006C7411" w:rsidRDefault="006C7411" w:rsidP="00615190">
            <w:pPr>
              <w:spacing w:line="240" w:lineRule="atLeast"/>
              <w:rPr>
                <w:rFonts w:ascii="Tahoma" w:hAnsi="Tahoma"/>
                <w:color w:val="000000" w:themeColor="text1"/>
                <w:sz w:val="16"/>
                <w:lang w:val="en-GB"/>
              </w:rPr>
            </w:pPr>
            <w:r w:rsidRPr="006C7411">
              <w:rPr>
                <w:rFonts w:ascii="Tahoma" w:hAnsi="Tahoma"/>
                <w:color w:val="000000" w:themeColor="text1"/>
                <w:sz w:val="16"/>
                <w:lang w:val="en-GB"/>
              </w:rPr>
              <w:t>British pound sterling (GBP)</w:t>
            </w:r>
          </w:p>
        </w:tc>
        <w:tc>
          <w:tcPr>
            <w:tcW w:w="1134" w:type="dxa"/>
            <w:shd w:val="clear" w:color="auto" w:fill="auto"/>
            <w:tcMar>
              <w:top w:w="57" w:type="dxa"/>
              <w:left w:w="0" w:type="dxa"/>
              <w:bottom w:w="57" w:type="dxa"/>
              <w:right w:w="0" w:type="dxa"/>
            </w:tcMar>
            <w:vAlign w:val="bottom"/>
          </w:tcPr>
          <w:p w14:paraId="5A24B218" w14:textId="77777777" w:rsidR="006C7411" w:rsidRPr="006C7411" w:rsidRDefault="006C7411" w:rsidP="00490880">
            <w:pPr>
              <w:spacing w:line="240" w:lineRule="atLeast"/>
              <w:jc w:val="right"/>
              <w:rPr>
                <w:rFonts w:ascii="Tahoma" w:hAnsi="Tahoma"/>
                <w:b/>
                <w:bCs/>
                <w:color w:val="000000" w:themeColor="text1"/>
                <w:sz w:val="16"/>
                <w:lang w:val="en-GB"/>
              </w:rPr>
            </w:pPr>
            <w:r w:rsidRPr="006C7411">
              <w:rPr>
                <w:rFonts w:ascii="Tahoma" w:hAnsi="Tahoma"/>
                <w:b/>
                <w:bCs/>
                <w:color w:val="000000" w:themeColor="text1"/>
                <w:sz w:val="16"/>
                <w:lang w:val="en-GB"/>
              </w:rPr>
              <w:t>1.2028</w:t>
            </w:r>
          </w:p>
        </w:tc>
        <w:tc>
          <w:tcPr>
            <w:tcW w:w="1134" w:type="dxa"/>
            <w:shd w:val="clear" w:color="auto" w:fill="auto"/>
            <w:tcMar>
              <w:top w:w="57" w:type="dxa"/>
              <w:left w:w="0" w:type="dxa"/>
              <w:bottom w:w="57" w:type="dxa"/>
              <w:right w:w="0" w:type="dxa"/>
            </w:tcMar>
            <w:vAlign w:val="bottom"/>
          </w:tcPr>
          <w:p w14:paraId="4CD12FF7" w14:textId="77777777" w:rsidR="006C7411" w:rsidRPr="006C7411" w:rsidRDefault="006C7411" w:rsidP="00490880">
            <w:pPr>
              <w:spacing w:line="240" w:lineRule="atLeast"/>
              <w:jc w:val="right"/>
              <w:rPr>
                <w:rFonts w:ascii="Tahoma" w:hAnsi="Tahoma"/>
                <w:color w:val="000000" w:themeColor="text1"/>
                <w:sz w:val="16"/>
                <w:lang w:val="en-GB"/>
              </w:rPr>
            </w:pPr>
            <w:r w:rsidRPr="006C7411">
              <w:rPr>
                <w:rFonts w:ascii="Tahoma" w:hAnsi="Tahoma"/>
                <w:color w:val="000000" w:themeColor="text1"/>
                <w:sz w:val="16"/>
                <w:lang w:val="en-GB"/>
              </w:rPr>
              <w:t>1.3828</w:t>
            </w:r>
          </w:p>
        </w:tc>
      </w:tr>
      <w:tr w:rsidR="00615190" w:rsidRPr="006C7411" w14:paraId="63BC6A4A" w14:textId="77777777" w:rsidTr="006B28AE">
        <w:trPr>
          <w:trHeight w:val="60"/>
        </w:trPr>
        <w:tc>
          <w:tcPr>
            <w:tcW w:w="397" w:type="dxa"/>
            <w:shd w:val="clear" w:color="auto" w:fill="auto"/>
            <w:tcMar>
              <w:top w:w="57" w:type="dxa"/>
              <w:left w:w="0" w:type="dxa"/>
              <w:bottom w:w="57" w:type="dxa"/>
              <w:right w:w="0" w:type="dxa"/>
            </w:tcMar>
            <w:vAlign w:val="bottom"/>
          </w:tcPr>
          <w:p w14:paraId="3307ADD6" w14:textId="77777777" w:rsidR="006C7411" w:rsidRPr="006C7411" w:rsidRDefault="006C7411" w:rsidP="00615190">
            <w:pPr>
              <w:spacing w:line="240" w:lineRule="atLeast"/>
              <w:rPr>
                <w:rFonts w:ascii="Tahoma" w:hAnsi="Tahoma"/>
                <w:color w:val="000000" w:themeColor="text1"/>
                <w:sz w:val="16"/>
                <w:lang w:val="en-GB"/>
              </w:rPr>
            </w:pPr>
          </w:p>
        </w:tc>
        <w:tc>
          <w:tcPr>
            <w:tcW w:w="7541" w:type="dxa"/>
            <w:shd w:val="clear" w:color="auto" w:fill="auto"/>
            <w:tcMar>
              <w:top w:w="57" w:type="dxa"/>
              <w:left w:w="0" w:type="dxa"/>
              <w:bottom w:w="57" w:type="dxa"/>
              <w:right w:w="0" w:type="dxa"/>
            </w:tcMar>
            <w:vAlign w:val="bottom"/>
          </w:tcPr>
          <w:p w14:paraId="48A4A6E9" w14:textId="77777777" w:rsidR="006C7411" w:rsidRPr="006C7411" w:rsidRDefault="006C7411" w:rsidP="00615190">
            <w:pPr>
              <w:spacing w:line="240" w:lineRule="atLeast"/>
              <w:rPr>
                <w:rFonts w:ascii="Tahoma" w:hAnsi="Tahoma"/>
                <w:color w:val="000000" w:themeColor="text1"/>
                <w:sz w:val="16"/>
                <w:lang w:val="en-GB"/>
              </w:rPr>
            </w:pPr>
            <w:r w:rsidRPr="006C7411">
              <w:rPr>
                <w:rFonts w:ascii="Tahoma" w:hAnsi="Tahoma"/>
                <w:color w:val="000000" w:themeColor="text1"/>
                <w:sz w:val="16"/>
                <w:lang w:val="en-GB"/>
              </w:rPr>
              <w:t>Turkish lira (TRY)</w:t>
            </w:r>
          </w:p>
        </w:tc>
        <w:tc>
          <w:tcPr>
            <w:tcW w:w="1134" w:type="dxa"/>
            <w:shd w:val="clear" w:color="auto" w:fill="auto"/>
            <w:tcMar>
              <w:top w:w="57" w:type="dxa"/>
              <w:left w:w="0" w:type="dxa"/>
              <w:bottom w:w="57" w:type="dxa"/>
              <w:right w:w="0" w:type="dxa"/>
            </w:tcMar>
            <w:vAlign w:val="bottom"/>
          </w:tcPr>
          <w:p w14:paraId="6FA40D03" w14:textId="77777777" w:rsidR="006C7411" w:rsidRPr="006C7411" w:rsidRDefault="006C7411" w:rsidP="00490880">
            <w:pPr>
              <w:spacing w:line="240" w:lineRule="atLeast"/>
              <w:jc w:val="right"/>
              <w:rPr>
                <w:rFonts w:ascii="Tahoma" w:hAnsi="Tahoma"/>
                <w:b/>
                <w:bCs/>
                <w:color w:val="000000" w:themeColor="text1"/>
                <w:sz w:val="16"/>
                <w:lang w:val="en-GB"/>
              </w:rPr>
            </w:pPr>
            <w:r w:rsidRPr="006C7411">
              <w:rPr>
                <w:rFonts w:ascii="Tahoma" w:hAnsi="Tahoma"/>
                <w:b/>
                <w:bCs/>
                <w:color w:val="000000" w:themeColor="text1"/>
                <w:sz w:val="16"/>
                <w:lang w:val="en-GB"/>
              </w:rPr>
              <w:t>0.0585</w:t>
            </w:r>
          </w:p>
        </w:tc>
        <w:tc>
          <w:tcPr>
            <w:tcW w:w="1134" w:type="dxa"/>
            <w:shd w:val="clear" w:color="auto" w:fill="auto"/>
            <w:tcMar>
              <w:top w:w="57" w:type="dxa"/>
              <w:left w:w="0" w:type="dxa"/>
              <w:bottom w:w="57" w:type="dxa"/>
              <w:right w:w="0" w:type="dxa"/>
            </w:tcMar>
            <w:vAlign w:val="bottom"/>
          </w:tcPr>
          <w:p w14:paraId="03941A2A" w14:textId="77777777" w:rsidR="006C7411" w:rsidRPr="006C7411" w:rsidRDefault="006C7411" w:rsidP="00490880">
            <w:pPr>
              <w:spacing w:line="240" w:lineRule="atLeast"/>
              <w:jc w:val="right"/>
              <w:rPr>
                <w:rFonts w:ascii="Tahoma" w:hAnsi="Tahoma"/>
                <w:color w:val="000000" w:themeColor="text1"/>
                <w:sz w:val="16"/>
                <w:lang w:val="en-GB"/>
              </w:rPr>
            </w:pPr>
            <w:r w:rsidRPr="006C7411">
              <w:rPr>
                <w:rFonts w:ascii="Tahoma" w:hAnsi="Tahoma"/>
                <w:color w:val="000000" w:themeColor="text1"/>
                <w:sz w:val="16"/>
                <w:lang w:val="en-GB"/>
              </w:rPr>
              <w:t>0.1173</w:t>
            </w:r>
          </w:p>
        </w:tc>
      </w:tr>
      <w:tr w:rsidR="00615190" w:rsidRPr="006C7411" w14:paraId="1F07F49A" w14:textId="77777777" w:rsidTr="006B28AE">
        <w:trPr>
          <w:trHeight w:val="60"/>
        </w:trPr>
        <w:tc>
          <w:tcPr>
            <w:tcW w:w="397" w:type="dxa"/>
            <w:shd w:val="clear" w:color="auto" w:fill="auto"/>
            <w:tcMar>
              <w:top w:w="57" w:type="dxa"/>
              <w:left w:w="0" w:type="dxa"/>
              <w:bottom w:w="85" w:type="dxa"/>
              <w:right w:w="0" w:type="dxa"/>
            </w:tcMar>
            <w:vAlign w:val="bottom"/>
          </w:tcPr>
          <w:p w14:paraId="4E467917" w14:textId="77777777" w:rsidR="006C7411" w:rsidRPr="006C7411" w:rsidRDefault="006C7411" w:rsidP="00615190">
            <w:pPr>
              <w:spacing w:line="240" w:lineRule="atLeast"/>
              <w:rPr>
                <w:rFonts w:ascii="Tahoma" w:hAnsi="Tahoma"/>
                <w:color w:val="000000" w:themeColor="text1"/>
                <w:sz w:val="16"/>
                <w:lang w:val="en-GB"/>
              </w:rPr>
            </w:pPr>
          </w:p>
        </w:tc>
        <w:tc>
          <w:tcPr>
            <w:tcW w:w="7541" w:type="dxa"/>
            <w:tcBorders>
              <w:bottom w:val="single" w:sz="12" w:space="0" w:color="auto"/>
            </w:tcBorders>
            <w:shd w:val="clear" w:color="auto" w:fill="auto"/>
            <w:tcMar>
              <w:top w:w="57" w:type="dxa"/>
              <w:left w:w="0" w:type="dxa"/>
              <w:bottom w:w="85" w:type="dxa"/>
              <w:right w:w="0" w:type="dxa"/>
            </w:tcMar>
            <w:vAlign w:val="bottom"/>
          </w:tcPr>
          <w:p w14:paraId="00A049E4" w14:textId="77777777" w:rsidR="006C7411" w:rsidRPr="006C7411" w:rsidRDefault="006C7411" w:rsidP="00615190">
            <w:pPr>
              <w:spacing w:line="240" w:lineRule="atLeast"/>
              <w:rPr>
                <w:rFonts w:ascii="Tahoma" w:hAnsi="Tahoma"/>
                <w:color w:val="000000" w:themeColor="text1"/>
                <w:sz w:val="16"/>
                <w:lang w:val="en-GB"/>
              </w:rPr>
            </w:pPr>
            <w:r w:rsidRPr="006C7411">
              <w:rPr>
                <w:rFonts w:ascii="Tahoma" w:hAnsi="Tahoma"/>
                <w:color w:val="000000" w:themeColor="text1"/>
                <w:sz w:val="16"/>
                <w:lang w:val="en-GB"/>
              </w:rPr>
              <w:t>Hungarian forint (HUF)</w:t>
            </w:r>
          </w:p>
        </w:tc>
        <w:tc>
          <w:tcPr>
            <w:tcW w:w="1134" w:type="dxa"/>
            <w:tcBorders>
              <w:bottom w:val="single" w:sz="12" w:space="0" w:color="auto"/>
            </w:tcBorders>
            <w:shd w:val="clear" w:color="auto" w:fill="auto"/>
            <w:tcMar>
              <w:top w:w="57" w:type="dxa"/>
              <w:left w:w="0" w:type="dxa"/>
              <w:bottom w:w="85" w:type="dxa"/>
              <w:right w:w="0" w:type="dxa"/>
            </w:tcMar>
            <w:vAlign w:val="bottom"/>
          </w:tcPr>
          <w:p w14:paraId="203F5DD6" w14:textId="77777777" w:rsidR="006C7411" w:rsidRPr="006C7411" w:rsidRDefault="006C7411" w:rsidP="00490880">
            <w:pPr>
              <w:spacing w:line="240" w:lineRule="atLeast"/>
              <w:jc w:val="right"/>
              <w:rPr>
                <w:rFonts w:ascii="Tahoma" w:hAnsi="Tahoma"/>
                <w:b/>
                <w:bCs/>
                <w:color w:val="000000" w:themeColor="text1"/>
                <w:sz w:val="16"/>
                <w:lang w:val="en-GB"/>
              </w:rPr>
            </w:pPr>
            <w:r w:rsidRPr="006C7411">
              <w:rPr>
                <w:rFonts w:ascii="Tahoma" w:hAnsi="Tahoma"/>
                <w:b/>
                <w:bCs/>
                <w:color w:val="000000" w:themeColor="text1"/>
                <w:sz w:val="16"/>
                <w:lang w:val="en-GB"/>
              </w:rPr>
              <w:t>0.0026</w:t>
            </w:r>
          </w:p>
        </w:tc>
        <w:tc>
          <w:tcPr>
            <w:tcW w:w="1134" w:type="dxa"/>
            <w:tcBorders>
              <w:bottom w:val="single" w:sz="12" w:space="0" w:color="auto"/>
            </w:tcBorders>
            <w:shd w:val="clear" w:color="auto" w:fill="auto"/>
            <w:tcMar>
              <w:top w:w="57" w:type="dxa"/>
              <w:left w:w="0" w:type="dxa"/>
              <w:bottom w:w="85" w:type="dxa"/>
              <w:right w:w="0" w:type="dxa"/>
            </w:tcMar>
            <w:vAlign w:val="bottom"/>
          </w:tcPr>
          <w:p w14:paraId="39FFA273" w14:textId="77777777" w:rsidR="006C7411" w:rsidRPr="006C7411" w:rsidRDefault="006C7411" w:rsidP="00490880">
            <w:pPr>
              <w:spacing w:line="240" w:lineRule="atLeast"/>
              <w:jc w:val="right"/>
              <w:rPr>
                <w:rFonts w:ascii="Tahoma" w:hAnsi="Tahoma"/>
                <w:color w:val="000000" w:themeColor="text1"/>
                <w:sz w:val="16"/>
                <w:lang w:val="en-GB"/>
              </w:rPr>
            </w:pPr>
            <w:r w:rsidRPr="006C7411">
              <w:rPr>
                <w:rFonts w:ascii="Tahoma" w:hAnsi="Tahoma"/>
                <w:color w:val="000000" w:themeColor="text1"/>
                <w:sz w:val="16"/>
                <w:lang w:val="en-GB"/>
              </w:rPr>
              <w:t>0.0034</w:t>
            </w:r>
          </w:p>
        </w:tc>
      </w:tr>
      <w:tr w:rsidR="00615190" w:rsidRPr="006C7411" w14:paraId="6FF1FA39" w14:textId="77777777" w:rsidTr="006B28AE">
        <w:trPr>
          <w:trHeight w:val="60"/>
        </w:trPr>
        <w:tc>
          <w:tcPr>
            <w:tcW w:w="397" w:type="dxa"/>
            <w:shd w:val="clear" w:color="auto" w:fill="auto"/>
            <w:tcMar>
              <w:top w:w="298" w:type="dxa"/>
              <w:left w:w="0" w:type="dxa"/>
              <w:bottom w:w="57" w:type="dxa"/>
              <w:right w:w="0" w:type="dxa"/>
            </w:tcMar>
            <w:vAlign w:val="bottom"/>
          </w:tcPr>
          <w:p w14:paraId="0F3F7970" w14:textId="77777777" w:rsidR="006C7411" w:rsidRPr="006C7411" w:rsidRDefault="006C7411" w:rsidP="00615190">
            <w:pPr>
              <w:spacing w:line="240" w:lineRule="atLeast"/>
              <w:rPr>
                <w:rFonts w:ascii="Tahoma" w:hAnsi="Tahoma"/>
                <w:color w:val="000000" w:themeColor="text1"/>
                <w:sz w:val="16"/>
                <w:lang w:val="en-GB"/>
              </w:rPr>
            </w:pPr>
          </w:p>
        </w:tc>
        <w:tc>
          <w:tcPr>
            <w:tcW w:w="9809" w:type="dxa"/>
            <w:gridSpan w:val="3"/>
            <w:tcBorders>
              <w:top w:val="single" w:sz="12" w:space="0" w:color="auto"/>
            </w:tcBorders>
            <w:shd w:val="clear" w:color="auto" w:fill="auto"/>
            <w:tcMar>
              <w:top w:w="298" w:type="dxa"/>
              <w:left w:w="0" w:type="dxa"/>
              <w:bottom w:w="57" w:type="dxa"/>
              <w:right w:w="0" w:type="dxa"/>
            </w:tcMar>
            <w:vAlign w:val="bottom"/>
          </w:tcPr>
          <w:p w14:paraId="112267BA" w14:textId="77777777" w:rsidR="006C7411" w:rsidRPr="00DE1785" w:rsidRDefault="006C7411" w:rsidP="00DE1785">
            <w:pPr>
              <w:pStyle w:val="ListParagraph"/>
              <w:numPr>
                <w:ilvl w:val="0"/>
                <w:numId w:val="2"/>
              </w:numPr>
              <w:spacing w:line="240" w:lineRule="atLeast"/>
              <w:ind w:left="322" w:hanging="322"/>
              <w:rPr>
                <w:rFonts w:ascii="Tahoma" w:hAnsi="Tahoma"/>
                <w:color w:val="000000" w:themeColor="text1"/>
                <w:sz w:val="16"/>
                <w:lang w:val="en-GB"/>
              </w:rPr>
            </w:pPr>
            <w:r w:rsidRPr="00DE1785">
              <w:rPr>
                <w:rFonts w:ascii="Tahoma" w:hAnsi="Tahoma"/>
                <w:color w:val="000000" w:themeColor="text1"/>
                <w:sz w:val="16"/>
                <w:lang w:val="en-GB"/>
              </w:rPr>
              <w:t>Adjustments made for changes in the composition of the group relate to acquisitions, mergers and disposals of subsidiaries and equity-accounted investments, as well as to changes in the group’s shareholding in its equity-accounted investments. For acquisitions, adjustments are made to remove the revenue and trading profit/(loss) of the acquired entity from the current reporting period and, in subsequent reporting periods, to ensure that the current reporting period and the comparative reporting period contain revenue and trading profit/(loss) information relating to the same number of months. For mergers, adjustments are made to include a portion of the prior period’s revenue and trading profit/(loss) of the entity acquired as a result of a merger. For disposals, adjustments are made to remove the revenue and trading profit/(loss) of the disposed entity from the previous reporting period to the extent that there is no comparable revenue or trading profit/(loss) information in the current period and, in subsequent reporting periods, to ensure that the previous reporting period does not contain revenue and trading profit/(loss) information relating to the disposed business.</w:t>
            </w:r>
          </w:p>
        </w:tc>
      </w:tr>
    </w:tbl>
    <w:p w14:paraId="31194AA1" w14:textId="77777777" w:rsidR="006C36CD" w:rsidRDefault="006C36CD" w:rsidP="00615190">
      <w:pPr>
        <w:spacing w:line="240" w:lineRule="atLeast"/>
        <w:rPr>
          <w:rFonts w:ascii="Tahoma" w:hAnsi="Tahoma"/>
          <w:color w:val="000000" w:themeColor="text1"/>
          <w:sz w:val="16"/>
        </w:rPr>
      </w:pPr>
    </w:p>
    <w:p w14:paraId="3250C7F3" w14:textId="77777777" w:rsidR="006C36CD" w:rsidRDefault="006C36CD">
      <w:pPr>
        <w:rPr>
          <w:rFonts w:ascii="Tahoma" w:hAnsi="Tahoma"/>
          <w:color w:val="000000" w:themeColor="text1"/>
          <w:sz w:val="16"/>
        </w:rPr>
      </w:pPr>
      <w:r>
        <w:rPr>
          <w:rFonts w:ascii="Tahoma" w:hAnsi="Tahoma"/>
          <w:color w:val="000000" w:themeColor="text1"/>
          <w:sz w:val="16"/>
        </w:rPr>
        <w:br w:type="page"/>
      </w:r>
    </w:p>
    <w:p w14:paraId="6013775D" w14:textId="77777777" w:rsidR="006C7411" w:rsidRPr="00615190" w:rsidRDefault="006C7411" w:rsidP="00615190">
      <w:pPr>
        <w:spacing w:line="240" w:lineRule="atLeast"/>
        <w:rPr>
          <w:rFonts w:ascii="Tahoma" w:hAnsi="Tahoma"/>
          <w:color w:val="000000" w:themeColor="text1"/>
          <w:sz w:val="16"/>
        </w:rPr>
      </w:pPr>
    </w:p>
    <w:tbl>
      <w:tblPr>
        <w:tblW w:w="10206" w:type="dxa"/>
        <w:tblInd w:w="-8" w:type="dxa"/>
        <w:tblLayout w:type="fixed"/>
        <w:tblCellMar>
          <w:left w:w="0" w:type="dxa"/>
          <w:right w:w="0" w:type="dxa"/>
        </w:tblCellMar>
        <w:tblLook w:val="0000" w:firstRow="0" w:lastRow="0" w:firstColumn="0" w:lastColumn="0" w:noHBand="0" w:noVBand="0"/>
      </w:tblPr>
      <w:tblGrid>
        <w:gridCol w:w="397"/>
        <w:gridCol w:w="5273"/>
        <w:gridCol w:w="1843"/>
        <w:gridCol w:w="1701"/>
        <w:gridCol w:w="992"/>
      </w:tblGrid>
      <w:tr w:rsidR="006C36CD" w:rsidRPr="00CA3F6E" w14:paraId="469926E9" w14:textId="77777777" w:rsidTr="00D1206A">
        <w:trPr>
          <w:trHeight w:val="60"/>
        </w:trPr>
        <w:tc>
          <w:tcPr>
            <w:tcW w:w="397" w:type="dxa"/>
            <w:tcMar>
              <w:top w:w="0" w:type="dxa"/>
              <w:left w:w="0" w:type="dxa"/>
              <w:bottom w:w="57" w:type="dxa"/>
              <w:right w:w="0" w:type="dxa"/>
            </w:tcMar>
            <w:vAlign w:val="bottom"/>
          </w:tcPr>
          <w:p w14:paraId="65D70C91" w14:textId="77777777" w:rsidR="006C36CD" w:rsidRPr="00875F95" w:rsidRDefault="006C36CD" w:rsidP="006C36CD">
            <w:pPr>
              <w:spacing w:line="240" w:lineRule="atLeast"/>
              <w:rPr>
                <w:rFonts w:ascii="Tahoma" w:hAnsi="Tahoma"/>
                <w:b/>
                <w:bCs/>
                <w:color w:val="000000" w:themeColor="text1"/>
                <w:sz w:val="16"/>
                <w:lang w:val="en-GB"/>
              </w:rPr>
            </w:pPr>
            <w:r w:rsidRPr="00875F95">
              <w:rPr>
                <w:rFonts w:ascii="Tahoma" w:hAnsi="Tahoma"/>
                <w:b/>
                <w:bCs/>
                <w:color w:val="000000" w:themeColor="text1"/>
                <w:sz w:val="16"/>
                <w:lang w:val="en-GB"/>
              </w:rPr>
              <w:t>A.</w:t>
            </w:r>
          </w:p>
        </w:tc>
        <w:tc>
          <w:tcPr>
            <w:tcW w:w="9809" w:type="dxa"/>
            <w:gridSpan w:val="4"/>
            <w:tcMar>
              <w:top w:w="0" w:type="dxa"/>
              <w:left w:w="0" w:type="dxa"/>
              <w:bottom w:w="57" w:type="dxa"/>
              <w:right w:w="0" w:type="dxa"/>
            </w:tcMar>
            <w:vAlign w:val="bottom"/>
          </w:tcPr>
          <w:p w14:paraId="0609F218" w14:textId="77777777" w:rsidR="006C36CD" w:rsidRPr="00875F95" w:rsidRDefault="006C36CD" w:rsidP="006C36CD">
            <w:pPr>
              <w:spacing w:line="240" w:lineRule="atLeast"/>
              <w:rPr>
                <w:rFonts w:ascii="Tahoma" w:hAnsi="Tahoma"/>
                <w:b/>
                <w:bCs/>
                <w:color w:val="000000" w:themeColor="text1"/>
                <w:sz w:val="16"/>
                <w:lang w:val="en-GB"/>
              </w:rPr>
            </w:pPr>
            <w:r w:rsidRPr="00875F95">
              <w:rPr>
                <w:rFonts w:ascii="Tahoma" w:hAnsi="Tahoma"/>
                <w:b/>
                <w:bCs/>
                <w:color w:val="000000" w:themeColor="text1"/>
                <w:sz w:val="16"/>
                <w:lang w:val="en-GB"/>
              </w:rPr>
              <w:t>NON-IFRS FINANCIAL MEASURES AND ALTERNATIVE PERFORMANCE MEASURES (continued)</w:t>
            </w:r>
          </w:p>
        </w:tc>
      </w:tr>
      <w:tr w:rsidR="00615190" w:rsidRPr="00CA3F6E" w14:paraId="4BE87149" w14:textId="77777777" w:rsidTr="00D1206A">
        <w:trPr>
          <w:trHeight w:val="60"/>
        </w:trPr>
        <w:tc>
          <w:tcPr>
            <w:tcW w:w="397" w:type="dxa"/>
            <w:tcMar>
              <w:top w:w="57" w:type="dxa"/>
              <w:left w:w="0" w:type="dxa"/>
              <w:bottom w:w="57" w:type="dxa"/>
              <w:right w:w="0" w:type="dxa"/>
            </w:tcMar>
            <w:vAlign w:val="bottom"/>
          </w:tcPr>
          <w:p w14:paraId="7C768837" w14:textId="77777777" w:rsidR="00CA3F6E" w:rsidRPr="00CA3F6E" w:rsidRDefault="00CA3F6E" w:rsidP="00615190">
            <w:pPr>
              <w:spacing w:line="240" w:lineRule="atLeast"/>
              <w:rPr>
                <w:rFonts w:ascii="Tahoma" w:hAnsi="Tahoma"/>
                <w:b/>
                <w:bCs/>
                <w:color w:val="000000" w:themeColor="text1"/>
                <w:sz w:val="16"/>
                <w:lang w:val="en-GB"/>
              </w:rPr>
            </w:pPr>
            <w:r w:rsidRPr="00CA3F6E">
              <w:rPr>
                <w:rFonts w:ascii="Tahoma" w:hAnsi="Tahoma"/>
                <w:b/>
                <w:bCs/>
                <w:color w:val="000000" w:themeColor="text1"/>
                <w:sz w:val="16"/>
                <w:lang w:val="en-GB"/>
              </w:rPr>
              <w:t>A.2</w:t>
            </w:r>
          </w:p>
        </w:tc>
        <w:tc>
          <w:tcPr>
            <w:tcW w:w="9809" w:type="dxa"/>
            <w:gridSpan w:val="4"/>
            <w:tcMar>
              <w:top w:w="57" w:type="dxa"/>
              <w:left w:w="0" w:type="dxa"/>
              <w:bottom w:w="57" w:type="dxa"/>
              <w:right w:w="0" w:type="dxa"/>
            </w:tcMar>
            <w:vAlign w:val="bottom"/>
          </w:tcPr>
          <w:p w14:paraId="6A54A26F" w14:textId="77777777" w:rsidR="00CA3F6E" w:rsidRPr="00CA3F6E" w:rsidRDefault="00CA3F6E" w:rsidP="00615190">
            <w:pPr>
              <w:spacing w:line="240" w:lineRule="atLeast"/>
              <w:rPr>
                <w:rFonts w:ascii="Tahoma" w:hAnsi="Tahoma"/>
                <w:b/>
                <w:bCs/>
                <w:color w:val="000000" w:themeColor="text1"/>
                <w:sz w:val="16"/>
                <w:lang w:val="en-GB"/>
              </w:rPr>
            </w:pPr>
            <w:r w:rsidRPr="00CA3F6E">
              <w:rPr>
                <w:rFonts w:ascii="Tahoma" w:hAnsi="Tahoma"/>
                <w:b/>
                <w:bCs/>
                <w:color w:val="000000" w:themeColor="text1"/>
                <w:sz w:val="16"/>
                <w:lang w:val="en-GB"/>
              </w:rPr>
              <w:t>Growth in local currency, excluding acquisitions and disposals (continued)</w:t>
            </w:r>
          </w:p>
        </w:tc>
      </w:tr>
      <w:tr w:rsidR="00615190" w:rsidRPr="00CA3F6E" w14:paraId="7B8F23D2" w14:textId="77777777" w:rsidTr="00D1206A">
        <w:trPr>
          <w:trHeight w:val="60"/>
        </w:trPr>
        <w:tc>
          <w:tcPr>
            <w:tcW w:w="397" w:type="dxa"/>
            <w:tcMar>
              <w:top w:w="57" w:type="dxa"/>
              <w:left w:w="0" w:type="dxa"/>
              <w:bottom w:w="57" w:type="dxa"/>
              <w:right w:w="0" w:type="dxa"/>
            </w:tcMar>
            <w:vAlign w:val="bottom"/>
          </w:tcPr>
          <w:p w14:paraId="2F4EEC1D" w14:textId="77777777" w:rsidR="00CA3F6E" w:rsidRPr="00CA3F6E" w:rsidRDefault="00CA3F6E" w:rsidP="00615190">
            <w:pPr>
              <w:spacing w:line="240" w:lineRule="atLeast"/>
              <w:rPr>
                <w:rFonts w:ascii="Tahoma" w:hAnsi="Tahoma"/>
                <w:color w:val="000000" w:themeColor="text1"/>
                <w:sz w:val="16"/>
                <w:lang w:val="en-GB"/>
              </w:rPr>
            </w:pPr>
          </w:p>
        </w:tc>
        <w:tc>
          <w:tcPr>
            <w:tcW w:w="9809" w:type="dxa"/>
            <w:gridSpan w:val="4"/>
            <w:tcMar>
              <w:top w:w="57" w:type="dxa"/>
              <w:left w:w="0" w:type="dxa"/>
              <w:bottom w:w="57" w:type="dxa"/>
              <w:right w:w="0" w:type="dxa"/>
            </w:tcMar>
            <w:vAlign w:val="bottom"/>
          </w:tcPr>
          <w:p w14:paraId="01C4F246" w14:textId="77777777" w:rsidR="00CA3F6E" w:rsidRPr="00CA3F6E" w:rsidRDefault="00CA3F6E" w:rsidP="00615190">
            <w:pPr>
              <w:spacing w:line="240" w:lineRule="atLeast"/>
              <w:rPr>
                <w:rFonts w:ascii="Tahoma" w:hAnsi="Tahoma"/>
                <w:color w:val="000000" w:themeColor="text1"/>
                <w:sz w:val="16"/>
                <w:lang w:val="en-GB"/>
              </w:rPr>
            </w:pPr>
            <w:r w:rsidRPr="00CA3F6E">
              <w:rPr>
                <w:rFonts w:ascii="Tahoma" w:hAnsi="Tahoma"/>
                <w:color w:val="000000" w:themeColor="text1"/>
                <w:sz w:val="16"/>
                <w:lang w:val="en-GB"/>
              </w:rPr>
              <w:t>The following significant changes in the composition of the group during the respective reporting periods have been adjusted for in arriving at the pro forma financial information:</w:t>
            </w:r>
          </w:p>
        </w:tc>
      </w:tr>
      <w:tr w:rsidR="00615190" w:rsidRPr="00CA3F6E" w14:paraId="2621C28F" w14:textId="77777777" w:rsidTr="003F6FAC">
        <w:trPr>
          <w:trHeight w:val="60"/>
        </w:trPr>
        <w:tc>
          <w:tcPr>
            <w:tcW w:w="397" w:type="dxa"/>
            <w:tcMar>
              <w:top w:w="142" w:type="dxa"/>
              <w:left w:w="0" w:type="dxa"/>
              <w:bottom w:w="113" w:type="dxa"/>
              <w:right w:w="0" w:type="dxa"/>
            </w:tcMar>
            <w:vAlign w:val="bottom"/>
          </w:tcPr>
          <w:p w14:paraId="3D5E1891" w14:textId="77777777" w:rsidR="00CA3F6E" w:rsidRPr="00CA3F6E" w:rsidRDefault="00CA3F6E" w:rsidP="00615190">
            <w:pPr>
              <w:spacing w:line="240" w:lineRule="atLeast"/>
              <w:rPr>
                <w:rFonts w:ascii="Tahoma" w:hAnsi="Tahoma"/>
                <w:color w:val="000000" w:themeColor="text1"/>
                <w:sz w:val="16"/>
                <w:lang w:val="en-GB"/>
              </w:rPr>
            </w:pPr>
          </w:p>
        </w:tc>
        <w:tc>
          <w:tcPr>
            <w:tcW w:w="9809" w:type="dxa"/>
            <w:gridSpan w:val="4"/>
            <w:tcMar>
              <w:top w:w="142" w:type="dxa"/>
              <w:left w:w="0" w:type="dxa"/>
              <w:bottom w:w="113" w:type="dxa"/>
              <w:right w:w="0" w:type="dxa"/>
            </w:tcMar>
            <w:vAlign w:val="bottom"/>
          </w:tcPr>
          <w:p w14:paraId="5DE14505" w14:textId="77777777" w:rsidR="00CA3F6E" w:rsidRPr="00CA3F6E" w:rsidRDefault="00CA3F6E" w:rsidP="00615190">
            <w:pPr>
              <w:spacing w:line="240" w:lineRule="atLeast"/>
              <w:rPr>
                <w:rFonts w:ascii="Tahoma" w:hAnsi="Tahoma"/>
                <w:b/>
                <w:bCs/>
                <w:color w:val="7F7F7F" w:themeColor="text1" w:themeTint="80"/>
                <w:sz w:val="16"/>
                <w:lang w:val="en-GB"/>
              </w:rPr>
            </w:pPr>
            <w:r w:rsidRPr="00CA3F6E">
              <w:rPr>
                <w:rFonts w:ascii="Tahoma" w:hAnsi="Tahoma"/>
                <w:b/>
                <w:bCs/>
                <w:color w:val="7F7F7F" w:themeColor="text1" w:themeTint="80"/>
                <w:sz w:val="16"/>
                <w:lang w:val="en-GB"/>
              </w:rPr>
              <w:t>For the six months 1 April 2022 to 30 September 2022</w:t>
            </w:r>
          </w:p>
        </w:tc>
      </w:tr>
      <w:tr w:rsidR="00615190" w:rsidRPr="00CA3F6E" w14:paraId="47A59B7A" w14:textId="77777777" w:rsidTr="003F6FAC">
        <w:trPr>
          <w:trHeight w:val="60"/>
        </w:trPr>
        <w:tc>
          <w:tcPr>
            <w:tcW w:w="397" w:type="dxa"/>
            <w:tcMar>
              <w:top w:w="0" w:type="dxa"/>
              <w:left w:w="0" w:type="dxa"/>
              <w:bottom w:w="113" w:type="dxa"/>
              <w:right w:w="0" w:type="dxa"/>
            </w:tcMar>
            <w:vAlign w:val="bottom"/>
          </w:tcPr>
          <w:p w14:paraId="7831B772" w14:textId="77777777" w:rsidR="00CA3F6E" w:rsidRPr="00CA3F6E" w:rsidRDefault="00CA3F6E" w:rsidP="00615190">
            <w:pPr>
              <w:spacing w:line="240" w:lineRule="atLeast"/>
              <w:rPr>
                <w:rFonts w:ascii="Tahoma" w:hAnsi="Tahoma"/>
                <w:color w:val="000000" w:themeColor="text1"/>
                <w:sz w:val="16"/>
                <w:lang w:val="en-GB"/>
              </w:rPr>
            </w:pPr>
          </w:p>
        </w:tc>
        <w:tc>
          <w:tcPr>
            <w:tcW w:w="5273" w:type="dxa"/>
            <w:tcBorders>
              <w:bottom w:val="single" w:sz="12" w:space="0" w:color="auto"/>
            </w:tcBorders>
            <w:tcMar>
              <w:top w:w="0" w:type="dxa"/>
              <w:left w:w="0" w:type="dxa"/>
              <w:bottom w:w="113" w:type="dxa"/>
              <w:right w:w="0" w:type="dxa"/>
            </w:tcMar>
            <w:vAlign w:val="bottom"/>
          </w:tcPr>
          <w:p w14:paraId="265785E7" w14:textId="77777777" w:rsidR="00CA3F6E" w:rsidRPr="00CA3F6E" w:rsidRDefault="00CA3F6E" w:rsidP="00615190">
            <w:pPr>
              <w:spacing w:line="240" w:lineRule="atLeast"/>
              <w:rPr>
                <w:rFonts w:ascii="Tahoma" w:hAnsi="Tahoma"/>
                <w:b/>
                <w:bCs/>
                <w:color w:val="000000" w:themeColor="text1"/>
                <w:sz w:val="16"/>
                <w:lang w:val="en-GB"/>
              </w:rPr>
            </w:pPr>
            <w:r w:rsidRPr="00CA3F6E">
              <w:rPr>
                <w:rFonts w:ascii="Tahoma" w:hAnsi="Tahoma"/>
                <w:b/>
                <w:bCs/>
                <w:color w:val="000000" w:themeColor="text1"/>
                <w:sz w:val="16"/>
                <w:lang w:val="en-GB"/>
              </w:rPr>
              <w:t>Transaction</w:t>
            </w:r>
          </w:p>
        </w:tc>
        <w:tc>
          <w:tcPr>
            <w:tcW w:w="1843" w:type="dxa"/>
            <w:tcBorders>
              <w:bottom w:val="single" w:sz="12" w:space="0" w:color="auto"/>
            </w:tcBorders>
            <w:tcMar>
              <w:top w:w="0" w:type="dxa"/>
              <w:left w:w="0" w:type="dxa"/>
              <w:bottom w:w="113" w:type="dxa"/>
              <w:right w:w="0" w:type="dxa"/>
            </w:tcMar>
            <w:vAlign w:val="bottom"/>
          </w:tcPr>
          <w:p w14:paraId="06B8C191" w14:textId="77777777" w:rsidR="003C3ADE" w:rsidRDefault="00CA3F6E" w:rsidP="00615190">
            <w:pPr>
              <w:spacing w:line="240" w:lineRule="atLeast"/>
              <w:rPr>
                <w:rFonts w:ascii="Tahoma" w:hAnsi="Tahoma"/>
                <w:b/>
                <w:bCs/>
                <w:color w:val="000000" w:themeColor="text1"/>
                <w:sz w:val="16"/>
                <w:lang w:val="en-GB"/>
              </w:rPr>
            </w:pPr>
            <w:r w:rsidRPr="00CA3F6E">
              <w:rPr>
                <w:rFonts w:ascii="Tahoma" w:hAnsi="Tahoma"/>
                <w:b/>
                <w:bCs/>
                <w:color w:val="000000" w:themeColor="text1"/>
                <w:sz w:val="16"/>
                <w:lang w:val="en-GB"/>
              </w:rPr>
              <w:t xml:space="preserve">Basis of </w:t>
            </w:r>
          </w:p>
          <w:p w14:paraId="78E6988F" w14:textId="77777777" w:rsidR="00CA3F6E" w:rsidRPr="00CA3F6E" w:rsidRDefault="00CA3F6E" w:rsidP="00615190">
            <w:pPr>
              <w:spacing w:line="240" w:lineRule="atLeast"/>
              <w:rPr>
                <w:rFonts w:ascii="Tahoma" w:hAnsi="Tahoma"/>
                <w:b/>
                <w:bCs/>
                <w:color w:val="000000" w:themeColor="text1"/>
                <w:sz w:val="16"/>
                <w:lang w:val="en-GB"/>
              </w:rPr>
            </w:pPr>
            <w:r w:rsidRPr="00CA3F6E">
              <w:rPr>
                <w:rFonts w:ascii="Tahoma" w:hAnsi="Tahoma"/>
                <w:b/>
                <w:bCs/>
                <w:color w:val="000000" w:themeColor="text1"/>
                <w:sz w:val="16"/>
                <w:lang w:val="en-GB"/>
              </w:rPr>
              <w:t>accounting</w:t>
            </w:r>
          </w:p>
        </w:tc>
        <w:tc>
          <w:tcPr>
            <w:tcW w:w="1701" w:type="dxa"/>
            <w:tcBorders>
              <w:bottom w:val="single" w:sz="12" w:space="0" w:color="auto"/>
            </w:tcBorders>
            <w:tcMar>
              <w:top w:w="0" w:type="dxa"/>
              <w:left w:w="0" w:type="dxa"/>
              <w:bottom w:w="113" w:type="dxa"/>
              <w:right w:w="0" w:type="dxa"/>
            </w:tcMar>
            <w:vAlign w:val="bottom"/>
          </w:tcPr>
          <w:p w14:paraId="4177B1B1" w14:textId="77777777" w:rsidR="003C3ADE" w:rsidRDefault="00CA3F6E" w:rsidP="00615190">
            <w:pPr>
              <w:spacing w:line="240" w:lineRule="atLeast"/>
              <w:rPr>
                <w:rFonts w:ascii="Tahoma" w:hAnsi="Tahoma"/>
                <w:b/>
                <w:bCs/>
                <w:color w:val="000000" w:themeColor="text1"/>
                <w:sz w:val="16"/>
                <w:lang w:val="en-GB"/>
              </w:rPr>
            </w:pPr>
            <w:r w:rsidRPr="00CA3F6E">
              <w:rPr>
                <w:rFonts w:ascii="Tahoma" w:hAnsi="Tahoma"/>
                <w:b/>
                <w:bCs/>
                <w:color w:val="000000" w:themeColor="text1"/>
                <w:sz w:val="16"/>
                <w:lang w:val="en-GB"/>
              </w:rPr>
              <w:t xml:space="preserve">Reportable </w:t>
            </w:r>
          </w:p>
          <w:p w14:paraId="27E8A400" w14:textId="77777777" w:rsidR="00CA3F6E" w:rsidRPr="00CA3F6E" w:rsidRDefault="00CA3F6E" w:rsidP="00615190">
            <w:pPr>
              <w:spacing w:line="240" w:lineRule="atLeast"/>
              <w:rPr>
                <w:rFonts w:ascii="Tahoma" w:hAnsi="Tahoma"/>
                <w:b/>
                <w:bCs/>
                <w:color w:val="000000" w:themeColor="text1"/>
                <w:sz w:val="16"/>
                <w:lang w:val="en-GB"/>
              </w:rPr>
            </w:pPr>
            <w:r w:rsidRPr="00CA3F6E">
              <w:rPr>
                <w:rFonts w:ascii="Tahoma" w:hAnsi="Tahoma"/>
                <w:b/>
                <w:bCs/>
                <w:color w:val="000000" w:themeColor="text1"/>
                <w:sz w:val="16"/>
                <w:lang w:val="en-GB"/>
              </w:rPr>
              <w:t>segment</w:t>
            </w:r>
          </w:p>
        </w:tc>
        <w:tc>
          <w:tcPr>
            <w:tcW w:w="992" w:type="dxa"/>
            <w:tcBorders>
              <w:bottom w:val="single" w:sz="12" w:space="0" w:color="auto"/>
            </w:tcBorders>
            <w:tcMar>
              <w:top w:w="0" w:type="dxa"/>
              <w:left w:w="0" w:type="dxa"/>
              <w:bottom w:w="113" w:type="dxa"/>
              <w:right w:w="0" w:type="dxa"/>
            </w:tcMar>
            <w:vAlign w:val="bottom"/>
          </w:tcPr>
          <w:p w14:paraId="22E85F88" w14:textId="77777777" w:rsidR="00CA3F6E" w:rsidRPr="00CA3F6E" w:rsidRDefault="00CA3F6E" w:rsidP="00615190">
            <w:pPr>
              <w:spacing w:line="240" w:lineRule="atLeast"/>
              <w:rPr>
                <w:rFonts w:ascii="Tahoma" w:hAnsi="Tahoma"/>
                <w:b/>
                <w:bCs/>
                <w:color w:val="000000" w:themeColor="text1"/>
                <w:sz w:val="16"/>
                <w:lang w:val="en-GB"/>
              </w:rPr>
            </w:pPr>
            <w:r w:rsidRPr="00CA3F6E">
              <w:rPr>
                <w:rFonts w:ascii="Tahoma" w:hAnsi="Tahoma"/>
                <w:b/>
                <w:bCs/>
                <w:color w:val="000000" w:themeColor="text1"/>
                <w:sz w:val="16"/>
                <w:lang w:val="en-GB"/>
              </w:rPr>
              <w:t>Acquisition/Disposal</w:t>
            </w:r>
          </w:p>
        </w:tc>
      </w:tr>
      <w:tr w:rsidR="00615190" w:rsidRPr="00CA3F6E" w14:paraId="4AB4903B" w14:textId="77777777" w:rsidTr="003F6FAC">
        <w:trPr>
          <w:trHeight w:val="60"/>
        </w:trPr>
        <w:tc>
          <w:tcPr>
            <w:tcW w:w="397" w:type="dxa"/>
            <w:tcMar>
              <w:top w:w="113" w:type="dxa"/>
              <w:left w:w="0" w:type="dxa"/>
              <w:bottom w:w="113" w:type="dxa"/>
              <w:right w:w="0" w:type="dxa"/>
            </w:tcMar>
          </w:tcPr>
          <w:p w14:paraId="374A8491" w14:textId="77777777" w:rsidR="00CA3F6E" w:rsidRPr="00CA3F6E" w:rsidRDefault="00CA3F6E" w:rsidP="00615190">
            <w:pPr>
              <w:spacing w:line="240" w:lineRule="atLeast"/>
              <w:rPr>
                <w:rFonts w:ascii="Tahoma" w:hAnsi="Tahoma"/>
                <w:color w:val="000000" w:themeColor="text1"/>
                <w:sz w:val="16"/>
                <w:lang w:val="en-GB"/>
              </w:rPr>
            </w:pPr>
          </w:p>
        </w:tc>
        <w:tc>
          <w:tcPr>
            <w:tcW w:w="5273" w:type="dxa"/>
            <w:tcBorders>
              <w:top w:val="single" w:sz="12" w:space="0" w:color="auto"/>
              <w:bottom w:val="single" w:sz="4" w:space="0" w:color="auto"/>
            </w:tcBorders>
            <w:tcMar>
              <w:top w:w="113" w:type="dxa"/>
              <w:left w:w="0" w:type="dxa"/>
              <w:bottom w:w="113" w:type="dxa"/>
              <w:right w:w="113" w:type="dxa"/>
            </w:tcMar>
          </w:tcPr>
          <w:p w14:paraId="40CC8212" w14:textId="77777777" w:rsidR="00CA3F6E" w:rsidRPr="00CA3F6E" w:rsidRDefault="00CA3F6E" w:rsidP="00615190">
            <w:pPr>
              <w:spacing w:line="240" w:lineRule="atLeast"/>
              <w:rPr>
                <w:rFonts w:ascii="Tahoma" w:hAnsi="Tahoma"/>
                <w:color w:val="000000" w:themeColor="text1"/>
                <w:sz w:val="16"/>
                <w:lang w:val="en-GB"/>
              </w:rPr>
            </w:pPr>
            <w:r w:rsidRPr="00CA3F6E">
              <w:rPr>
                <w:rFonts w:ascii="Tahoma" w:hAnsi="Tahoma"/>
                <w:color w:val="000000" w:themeColor="text1"/>
                <w:sz w:val="16"/>
                <w:lang w:val="en-GB"/>
              </w:rPr>
              <w:t>Dilution of the group’s interest in Tencent</w:t>
            </w:r>
          </w:p>
        </w:tc>
        <w:tc>
          <w:tcPr>
            <w:tcW w:w="1843" w:type="dxa"/>
            <w:tcBorders>
              <w:top w:val="single" w:sz="12" w:space="0" w:color="auto"/>
              <w:bottom w:val="single" w:sz="4" w:space="0" w:color="auto"/>
            </w:tcBorders>
            <w:tcMar>
              <w:top w:w="113" w:type="dxa"/>
              <w:left w:w="0" w:type="dxa"/>
              <w:bottom w:w="113" w:type="dxa"/>
              <w:right w:w="0" w:type="dxa"/>
            </w:tcMar>
          </w:tcPr>
          <w:p w14:paraId="00A6CCC0" w14:textId="77777777" w:rsidR="00CA3F6E" w:rsidRPr="00CA3F6E" w:rsidRDefault="00CA3F6E" w:rsidP="00615190">
            <w:pPr>
              <w:spacing w:line="240" w:lineRule="atLeast"/>
              <w:rPr>
                <w:rFonts w:ascii="Tahoma" w:hAnsi="Tahoma"/>
                <w:color w:val="000000" w:themeColor="text1"/>
                <w:sz w:val="16"/>
                <w:lang w:val="en-GB"/>
              </w:rPr>
            </w:pPr>
            <w:r w:rsidRPr="00CA3F6E">
              <w:rPr>
                <w:rFonts w:ascii="Tahoma" w:hAnsi="Tahoma"/>
                <w:color w:val="000000" w:themeColor="text1"/>
                <w:sz w:val="16"/>
                <w:lang w:val="en-GB"/>
              </w:rPr>
              <w:t>Associate</w:t>
            </w:r>
          </w:p>
        </w:tc>
        <w:tc>
          <w:tcPr>
            <w:tcW w:w="1701" w:type="dxa"/>
            <w:tcBorders>
              <w:top w:val="single" w:sz="12" w:space="0" w:color="auto"/>
              <w:bottom w:val="single" w:sz="4" w:space="0" w:color="auto"/>
            </w:tcBorders>
            <w:tcMar>
              <w:top w:w="113" w:type="dxa"/>
              <w:left w:w="0" w:type="dxa"/>
              <w:bottom w:w="113" w:type="dxa"/>
              <w:right w:w="0" w:type="dxa"/>
            </w:tcMar>
          </w:tcPr>
          <w:p w14:paraId="1A099DEC" w14:textId="77777777" w:rsidR="00CA3F6E" w:rsidRPr="00CA3F6E" w:rsidRDefault="00CA3F6E" w:rsidP="00615190">
            <w:pPr>
              <w:spacing w:line="240" w:lineRule="atLeast"/>
              <w:rPr>
                <w:rFonts w:ascii="Tahoma" w:hAnsi="Tahoma"/>
                <w:color w:val="000000" w:themeColor="text1"/>
                <w:sz w:val="16"/>
                <w:lang w:val="en-GB"/>
              </w:rPr>
            </w:pPr>
            <w:r w:rsidRPr="00CA3F6E">
              <w:rPr>
                <w:rFonts w:ascii="Tahoma" w:hAnsi="Tahoma"/>
                <w:color w:val="000000" w:themeColor="text1"/>
                <w:sz w:val="16"/>
                <w:lang w:val="en-GB"/>
              </w:rPr>
              <w:t>Social and Internet Platforms</w:t>
            </w:r>
          </w:p>
        </w:tc>
        <w:tc>
          <w:tcPr>
            <w:tcW w:w="992" w:type="dxa"/>
            <w:tcBorders>
              <w:top w:val="single" w:sz="12" w:space="0" w:color="auto"/>
              <w:bottom w:val="single" w:sz="4" w:space="0" w:color="auto"/>
            </w:tcBorders>
            <w:tcMar>
              <w:top w:w="113" w:type="dxa"/>
              <w:left w:w="0" w:type="dxa"/>
              <w:bottom w:w="113" w:type="dxa"/>
              <w:right w:w="0" w:type="dxa"/>
            </w:tcMar>
          </w:tcPr>
          <w:p w14:paraId="7DFC14BD" w14:textId="77777777" w:rsidR="00CA3F6E" w:rsidRPr="00CA3F6E" w:rsidRDefault="00CA3F6E" w:rsidP="00615190">
            <w:pPr>
              <w:spacing w:line="240" w:lineRule="atLeast"/>
              <w:rPr>
                <w:rFonts w:ascii="Tahoma" w:hAnsi="Tahoma"/>
                <w:color w:val="000000" w:themeColor="text1"/>
                <w:sz w:val="16"/>
                <w:lang w:val="en-GB"/>
              </w:rPr>
            </w:pPr>
            <w:r w:rsidRPr="00CA3F6E">
              <w:rPr>
                <w:rFonts w:ascii="Tahoma" w:hAnsi="Tahoma"/>
                <w:color w:val="000000" w:themeColor="text1"/>
                <w:sz w:val="16"/>
                <w:lang w:val="en-GB"/>
              </w:rPr>
              <w:t>Disposal</w:t>
            </w:r>
          </w:p>
        </w:tc>
      </w:tr>
      <w:tr w:rsidR="00615190" w:rsidRPr="00CA3F6E" w14:paraId="0EC74A85" w14:textId="77777777" w:rsidTr="003F6FAC">
        <w:trPr>
          <w:trHeight w:val="60"/>
        </w:trPr>
        <w:tc>
          <w:tcPr>
            <w:tcW w:w="397" w:type="dxa"/>
            <w:tcMar>
              <w:top w:w="113" w:type="dxa"/>
              <w:left w:w="0" w:type="dxa"/>
              <w:bottom w:w="113" w:type="dxa"/>
              <w:right w:w="0" w:type="dxa"/>
            </w:tcMar>
          </w:tcPr>
          <w:p w14:paraId="0C0E0985" w14:textId="77777777" w:rsidR="00CA3F6E" w:rsidRPr="00CA3F6E" w:rsidRDefault="00CA3F6E" w:rsidP="00615190">
            <w:pPr>
              <w:spacing w:line="240" w:lineRule="atLeast"/>
              <w:rPr>
                <w:rFonts w:ascii="Tahoma" w:hAnsi="Tahoma"/>
                <w:color w:val="000000" w:themeColor="text1"/>
                <w:sz w:val="16"/>
                <w:lang w:val="en-GB"/>
              </w:rPr>
            </w:pPr>
          </w:p>
        </w:tc>
        <w:tc>
          <w:tcPr>
            <w:tcW w:w="5273" w:type="dxa"/>
            <w:tcBorders>
              <w:top w:val="single" w:sz="4" w:space="0" w:color="auto"/>
              <w:bottom w:val="single" w:sz="4" w:space="0" w:color="auto"/>
            </w:tcBorders>
            <w:tcMar>
              <w:top w:w="113" w:type="dxa"/>
              <w:left w:w="0" w:type="dxa"/>
              <w:bottom w:w="113" w:type="dxa"/>
              <w:right w:w="113" w:type="dxa"/>
            </w:tcMar>
          </w:tcPr>
          <w:p w14:paraId="118FDDE1" w14:textId="77777777" w:rsidR="00CA3F6E" w:rsidRPr="00CA3F6E" w:rsidRDefault="00CA3F6E" w:rsidP="00615190">
            <w:pPr>
              <w:spacing w:line="240" w:lineRule="atLeast"/>
              <w:rPr>
                <w:rFonts w:ascii="Tahoma" w:hAnsi="Tahoma"/>
                <w:color w:val="000000" w:themeColor="text1"/>
                <w:sz w:val="16"/>
                <w:lang w:val="en-GB"/>
              </w:rPr>
            </w:pPr>
            <w:r w:rsidRPr="00CA3F6E">
              <w:rPr>
                <w:rFonts w:ascii="Tahoma" w:hAnsi="Tahoma"/>
                <w:color w:val="000000" w:themeColor="text1"/>
                <w:sz w:val="16"/>
                <w:lang w:val="en-GB"/>
              </w:rPr>
              <w:t>Loss of significant influence of the group’s interest in VK</w:t>
            </w:r>
          </w:p>
        </w:tc>
        <w:tc>
          <w:tcPr>
            <w:tcW w:w="1843" w:type="dxa"/>
            <w:tcBorders>
              <w:top w:val="single" w:sz="4" w:space="0" w:color="auto"/>
              <w:bottom w:val="single" w:sz="4" w:space="0" w:color="auto"/>
            </w:tcBorders>
            <w:tcMar>
              <w:top w:w="113" w:type="dxa"/>
              <w:left w:w="0" w:type="dxa"/>
              <w:bottom w:w="113" w:type="dxa"/>
              <w:right w:w="0" w:type="dxa"/>
            </w:tcMar>
          </w:tcPr>
          <w:p w14:paraId="573FBACE" w14:textId="77777777" w:rsidR="00CA3F6E" w:rsidRPr="00CA3F6E" w:rsidRDefault="00CA3F6E" w:rsidP="00615190">
            <w:pPr>
              <w:spacing w:line="240" w:lineRule="atLeast"/>
              <w:rPr>
                <w:rFonts w:ascii="Tahoma" w:hAnsi="Tahoma"/>
                <w:color w:val="000000" w:themeColor="text1"/>
                <w:sz w:val="16"/>
                <w:lang w:val="en-GB"/>
              </w:rPr>
            </w:pPr>
            <w:r w:rsidRPr="00CA3F6E">
              <w:rPr>
                <w:rFonts w:ascii="Tahoma" w:hAnsi="Tahoma"/>
                <w:color w:val="000000" w:themeColor="text1"/>
                <w:sz w:val="16"/>
                <w:lang w:val="en-GB"/>
              </w:rPr>
              <w:t>Associate</w:t>
            </w:r>
          </w:p>
        </w:tc>
        <w:tc>
          <w:tcPr>
            <w:tcW w:w="1701" w:type="dxa"/>
            <w:tcBorders>
              <w:top w:val="single" w:sz="4" w:space="0" w:color="auto"/>
              <w:bottom w:val="single" w:sz="4" w:space="0" w:color="auto"/>
            </w:tcBorders>
            <w:tcMar>
              <w:top w:w="113" w:type="dxa"/>
              <w:left w:w="0" w:type="dxa"/>
              <w:bottom w:w="113" w:type="dxa"/>
              <w:right w:w="0" w:type="dxa"/>
            </w:tcMar>
          </w:tcPr>
          <w:p w14:paraId="42EE6846" w14:textId="77777777" w:rsidR="00CA3F6E" w:rsidRPr="00CA3F6E" w:rsidRDefault="00CA3F6E" w:rsidP="00615190">
            <w:pPr>
              <w:spacing w:line="240" w:lineRule="atLeast"/>
              <w:rPr>
                <w:rFonts w:ascii="Tahoma" w:hAnsi="Tahoma"/>
                <w:color w:val="000000" w:themeColor="text1"/>
                <w:sz w:val="16"/>
                <w:lang w:val="en-GB"/>
              </w:rPr>
            </w:pPr>
            <w:r w:rsidRPr="00CA3F6E">
              <w:rPr>
                <w:rFonts w:ascii="Tahoma" w:hAnsi="Tahoma"/>
                <w:color w:val="000000" w:themeColor="text1"/>
                <w:sz w:val="16"/>
                <w:lang w:val="en-GB"/>
              </w:rPr>
              <w:t>Social and Internet Platforms</w:t>
            </w:r>
          </w:p>
        </w:tc>
        <w:tc>
          <w:tcPr>
            <w:tcW w:w="992" w:type="dxa"/>
            <w:tcBorders>
              <w:top w:val="single" w:sz="4" w:space="0" w:color="auto"/>
              <w:bottom w:val="single" w:sz="4" w:space="0" w:color="auto"/>
            </w:tcBorders>
            <w:tcMar>
              <w:top w:w="113" w:type="dxa"/>
              <w:left w:w="0" w:type="dxa"/>
              <w:bottom w:w="113" w:type="dxa"/>
              <w:right w:w="0" w:type="dxa"/>
            </w:tcMar>
          </w:tcPr>
          <w:p w14:paraId="4F230D6F" w14:textId="77777777" w:rsidR="00CA3F6E" w:rsidRPr="00CA3F6E" w:rsidRDefault="00CA3F6E" w:rsidP="00615190">
            <w:pPr>
              <w:spacing w:line="240" w:lineRule="atLeast"/>
              <w:rPr>
                <w:rFonts w:ascii="Tahoma" w:hAnsi="Tahoma"/>
                <w:color w:val="000000" w:themeColor="text1"/>
                <w:sz w:val="16"/>
                <w:lang w:val="en-GB"/>
              </w:rPr>
            </w:pPr>
            <w:r w:rsidRPr="00CA3F6E">
              <w:rPr>
                <w:rFonts w:ascii="Tahoma" w:hAnsi="Tahoma"/>
                <w:color w:val="000000" w:themeColor="text1"/>
                <w:sz w:val="16"/>
                <w:lang w:val="en-GB"/>
              </w:rPr>
              <w:t>Disposal</w:t>
            </w:r>
          </w:p>
        </w:tc>
      </w:tr>
      <w:tr w:rsidR="00615190" w:rsidRPr="00CA3F6E" w14:paraId="1565455F" w14:textId="77777777" w:rsidTr="003F6FAC">
        <w:trPr>
          <w:trHeight w:val="60"/>
        </w:trPr>
        <w:tc>
          <w:tcPr>
            <w:tcW w:w="397" w:type="dxa"/>
            <w:tcMar>
              <w:top w:w="113" w:type="dxa"/>
              <w:left w:w="0" w:type="dxa"/>
              <w:bottom w:w="113" w:type="dxa"/>
              <w:right w:w="0" w:type="dxa"/>
            </w:tcMar>
          </w:tcPr>
          <w:p w14:paraId="0E829913" w14:textId="77777777" w:rsidR="00CA3F6E" w:rsidRPr="00CA3F6E" w:rsidRDefault="00CA3F6E" w:rsidP="00615190">
            <w:pPr>
              <w:spacing w:line="240" w:lineRule="atLeast"/>
              <w:rPr>
                <w:rFonts w:ascii="Tahoma" w:hAnsi="Tahoma"/>
                <w:color w:val="000000" w:themeColor="text1"/>
                <w:sz w:val="16"/>
                <w:lang w:val="en-GB"/>
              </w:rPr>
            </w:pPr>
          </w:p>
        </w:tc>
        <w:tc>
          <w:tcPr>
            <w:tcW w:w="5273" w:type="dxa"/>
            <w:tcBorders>
              <w:top w:val="single" w:sz="4" w:space="0" w:color="auto"/>
              <w:bottom w:val="single" w:sz="4" w:space="0" w:color="auto"/>
            </w:tcBorders>
            <w:tcMar>
              <w:top w:w="113" w:type="dxa"/>
              <w:left w:w="0" w:type="dxa"/>
              <w:bottom w:w="113" w:type="dxa"/>
              <w:right w:w="113" w:type="dxa"/>
            </w:tcMar>
          </w:tcPr>
          <w:p w14:paraId="43372FB1" w14:textId="77777777" w:rsidR="00CA3F6E" w:rsidRPr="00CA3F6E" w:rsidRDefault="00CA3F6E" w:rsidP="00615190">
            <w:pPr>
              <w:spacing w:line="240" w:lineRule="atLeast"/>
              <w:rPr>
                <w:rFonts w:ascii="Tahoma" w:hAnsi="Tahoma"/>
                <w:color w:val="000000" w:themeColor="text1"/>
                <w:sz w:val="16"/>
                <w:lang w:val="en-GB"/>
              </w:rPr>
            </w:pPr>
            <w:r w:rsidRPr="00CA3F6E">
              <w:rPr>
                <w:rFonts w:ascii="Tahoma" w:hAnsi="Tahoma"/>
                <w:color w:val="000000" w:themeColor="text1"/>
                <w:sz w:val="16"/>
                <w:lang w:val="en-GB"/>
              </w:rPr>
              <w:t xml:space="preserve">Disposal of the group’s interest in </w:t>
            </w:r>
            <w:proofErr w:type="spellStart"/>
            <w:r w:rsidRPr="00CA3F6E">
              <w:rPr>
                <w:rFonts w:ascii="Tahoma" w:hAnsi="Tahoma"/>
                <w:color w:val="000000" w:themeColor="text1"/>
                <w:sz w:val="16"/>
                <w:lang w:val="en-GB"/>
              </w:rPr>
              <w:t>Aasaanjobs</w:t>
            </w:r>
            <w:proofErr w:type="spellEnd"/>
          </w:p>
        </w:tc>
        <w:tc>
          <w:tcPr>
            <w:tcW w:w="1843" w:type="dxa"/>
            <w:tcBorders>
              <w:top w:val="single" w:sz="4" w:space="0" w:color="auto"/>
              <w:bottom w:val="single" w:sz="4" w:space="0" w:color="auto"/>
            </w:tcBorders>
            <w:tcMar>
              <w:top w:w="113" w:type="dxa"/>
              <w:left w:w="0" w:type="dxa"/>
              <w:bottom w:w="113" w:type="dxa"/>
              <w:right w:w="0" w:type="dxa"/>
            </w:tcMar>
          </w:tcPr>
          <w:p w14:paraId="372D5F36" w14:textId="77777777" w:rsidR="00CA3F6E" w:rsidRPr="00CA3F6E" w:rsidRDefault="00CA3F6E" w:rsidP="00615190">
            <w:pPr>
              <w:spacing w:line="240" w:lineRule="atLeast"/>
              <w:rPr>
                <w:rFonts w:ascii="Tahoma" w:hAnsi="Tahoma"/>
                <w:color w:val="000000" w:themeColor="text1"/>
                <w:sz w:val="16"/>
                <w:lang w:val="en-GB"/>
              </w:rPr>
            </w:pPr>
            <w:r w:rsidRPr="00CA3F6E">
              <w:rPr>
                <w:rFonts w:ascii="Tahoma" w:hAnsi="Tahoma"/>
                <w:color w:val="000000" w:themeColor="text1"/>
                <w:sz w:val="16"/>
                <w:lang w:val="en-GB"/>
              </w:rPr>
              <w:t>Subsidiary</w:t>
            </w:r>
          </w:p>
        </w:tc>
        <w:tc>
          <w:tcPr>
            <w:tcW w:w="1701" w:type="dxa"/>
            <w:tcBorders>
              <w:top w:val="single" w:sz="4" w:space="0" w:color="auto"/>
              <w:bottom w:val="single" w:sz="4" w:space="0" w:color="auto"/>
            </w:tcBorders>
            <w:tcMar>
              <w:top w:w="113" w:type="dxa"/>
              <w:left w:w="0" w:type="dxa"/>
              <w:bottom w:w="113" w:type="dxa"/>
              <w:right w:w="0" w:type="dxa"/>
            </w:tcMar>
          </w:tcPr>
          <w:p w14:paraId="62AA6026" w14:textId="77777777" w:rsidR="00CA3F6E" w:rsidRPr="00CA3F6E" w:rsidRDefault="00CA3F6E" w:rsidP="00615190">
            <w:pPr>
              <w:spacing w:line="240" w:lineRule="atLeast"/>
              <w:rPr>
                <w:rFonts w:ascii="Tahoma" w:hAnsi="Tahoma"/>
                <w:color w:val="000000" w:themeColor="text1"/>
                <w:sz w:val="16"/>
                <w:lang w:val="en-GB"/>
              </w:rPr>
            </w:pPr>
            <w:r w:rsidRPr="00CA3F6E">
              <w:rPr>
                <w:rFonts w:ascii="Tahoma" w:hAnsi="Tahoma"/>
                <w:color w:val="000000" w:themeColor="text1"/>
                <w:sz w:val="16"/>
                <w:lang w:val="en-GB"/>
              </w:rPr>
              <w:t>Ecommerce</w:t>
            </w:r>
          </w:p>
        </w:tc>
        <w:tc>
          <w:tcPr>
            <w:tcW w:w="992" w:type="dxa"/>
            <w:tcBorders>
              <w:top w:val="single" w:sz="4" w:space="0" w:color="auto"/>
              <w:bottom w:val="single" w:sz="4" w:space="0" w:color="auto"/>
            </w:tcBorders>
            <w:tcMar>
              <w:top w:w="113" w:type="dxa"/>
              <w:left w:w="0" w:type="dxa"/>
              <w:bottom w:w="113" w:type="dxa"/>
              <w:right w:w="0" w:type="dxa"/>
            </w:tcMar>
          </w:tcPr>
          <w:p w14:paraId="3D378139" w14:textId="77777777" w:rsidR="00CA3F6E" w:rsidRPr="00CA3F6E" w:rsidRDefault="00CA3F6E" w:rsidP="00615190">
            <w:pPr>
              <w:spacing w:line="240" w:lineRule="atLeast"/>
              <w:rPr>
                <w:rFonts w:ascii="Tahoma" w:hAnsi="Tahoma"/>
                <w:color w:val="000000" w:themeColor="text1"/>
                <w:sz w:val="16"/>
                <w:lang w:val="en-GB"/>
              </w:rPr>
            </w:pPr>
            <w:r w:rsidRPr="00CA3F6E">
              <w:rPr>
                <w:rFonts w:ascii="Tahoma" w:hAnsi="Tahoma"/>
                <w:color w:val="000000" w:themeColor="text1"/>
                <w:sz w:val="16"/>
                <w:lang w:val="en-GB"/>
              </w:rPr>
              <w:t>Disposal</w:t>
            </w:r>
          </w:p>
        </w:tc>
      </w:tr>
      <w:tr w:rsidR="00615190" w:rsidRPr="00CA3F6E" w14:paraId="191CE0B0" w14:textId="77777777" w:rsidTr="003F6FAC">
        <w:trPr>
          <w:trHeight w:val="60"/>
        </w:trPr>
        <w:tc>
          <w:tcPr>
            <w:tcW w:w="397" w:type="dxa"/>
            <w:tcMar>
              <w:top w:w="113" w:type="dxa"/>
              <w:left w:w="0" w:type="dxa"/>
              <w:bottom w:w="113" w:type="dxa"/>
              <w:right w:w="0" w:type="dxa"/>
            </w:tcMar>
          </w:tcPr>
          <w:p w14:paraId="692302EF" w14:textId="77777777" w:rsidR="00CA3F6E" w:rsidRPr="00CA3F6E" w:rsidRDefault="00CA3F6E" w:rsidP="00615190">
            <w:pPr>
              <w:spacing w:line="240" w:lineRule="atLeast"/>
              <w:rPr>
                <w:rFonts w:ascii="Tahoma" w:hAnsi="Tahoma"/>
                <w:color w:val="000000" w:themeColor="text1"/>
                <w:sz w:val="16"/>
                <w:lang w:val="en-GB"/>
              </w:rPr>
            </w:pPr>
          </w:p>
        </w:tc>
        <w:tc>
          <w:tcPr>
            <w:tcW w:w="5273" w:type="dxa"/>
            <w:tcBorders>
              <w:top w:val="single" w:sz="4" w:space="0" w:color="auto"/>
              <w:bottom w:val="single" w:sz="4" w:space="0" w:color="auto"/>
            </w:tcBorders>
            <w:tcMar>
              <w:top w:w="113" w:type="dxa"/>
              <w:left w:w="0" w:type="dxa"/>
              <w:bottom w:w="113" w:type="dxa"/>
              <w:right w:w="113" w:type="dxa"/>
            </w:tcMar>
          </w:tcPr>
          <w:p w14:paraId="7F347837" w14:textId="77777777" w:rsidR="00CA3F6E" w:rsidRPr="00CA3F6E" w:rsidRDefault="00CA3F6E" w:rsidP="00615190">
            <w:pPr>
              <w:spacing w:line="240" w:lineRule="atLeast"/>
              <w:rPr>
                <w:rFonts w:ascii="Tahoma" w:hAnsi="Tahoma"/>
                <w:color w:val="000000" w:themeColor="text1"/>
                <w:sz w:val="16"/>
                <w:lang w:val="en-GB"/>
              </w:rPr>
            </w:pPr>
            <w:r w:rsidRPr="00CA3F6E">
              <w:rPr>
                <w:rFonts w:ascii="Tahoma" w:hAnsi="Tahoma"/>
                <w:color w:val="000000" w:themeColor="text1"/>
                <w:sz w:val="16"/>
                <w:lang w:val="en-GB"/>
              </w:rPr>
              <w:t xml:space="preserve">Dilution and subsequent step-down of the group’s interest in </w:t>
            </w:r>
            <w:proofErr w:type="spellStart"/>
            <w:r w:rsidRPr="00CA3F6E">
              <w:rPr>
                <w:rFonts w:ascii="Tahoma" w:hAnsi="Tahoma"/>
                <w:color w:val="000000" w:themeColor="text1"/>
                <w:sz w:val="16"/>
                <w:lang w:val="en-GB"/>
              </w:rPr>
              <w:t>Selency</w:t>
            </w:r>
            <w:proofErr w:type="spellEnd"/>
          </w:p>
        </w:tc>
        <w:tc>
          <w:tcPr>
            <w:tcW w:w="1843" w:type="dxa"/>
            <w:tcBorders>
              <w:top w:val="single" w:sz="4" w:space="0" w:color="auto"/>
              <w:bottom w:val="single" w:sz="4" w:space="0" w:color="auto"/>
            </w:tcBorders>
            <w:tcMar>
              <w:top w:w="113" w:type="dxa"/>
              <w:left w:w="0" w:type="dxa"/>
              <w:bottom w:w="113" w:type="dxa"/>
              <w:right w:w="0" w:type="dxa"/>
            </w:tcMar>
          </w:tcPr>
          <w:p w14:paraId="1AF4DDAE" w14:textId="77777777" w:rsidR="00CA3F6E" w:rsidRPr="00CA3F6E" w:rsidRDefault="00CA3F6E" w:rsidP="00615190">
            <w:pPr>
              <w:spacing w:line="240" w:lineRule="atLeast"/>
              <w:rPr>
                <w:rFonts w:ascii="Tahoma" w:hAnsi="Tahoma"/>
                <w:color w:val="000000" w:themeColor="text1"/>
                <w:sz w:val="16"/>
                <w:lang w:val="en-GB"/>
              </w:rPr>
            </w:pPr>
            <w:r w:rsidRPr="00CA3F6E">
              <w:rPr>
                <w:rFonts w:ascii="Tahoma" w:hAnsi="Tahoma"/>
                <w:color w:val="000000" w:themeColor="text1"/>
                <w:sz w:val="16"/>
                <w:lang w:val="en-GB"/>
              </w:rPr>
              <w:t>Subsidiary/Associate</w:t>
            </w:r>
          </w:p>
        </w:tc>
        <w:tc>
          <w:tcPr>
            <w:tcW w:w="1701" w:type="dxa"/>
            <w:tcBorders>
              <w:top w:val="single" w:sz="4" w:space="0" w:color="auto"/>
              <w:bottom w:val="single" w:sz="4" w:space="0" w:color="auto"/>
            </w:tcBorders>
            <w:tcMar>
              <w:top w:w="113" w:type="dxa"/>
              <w:left w:w="0" w:type="dxa"/>
              <w:bottom w:w="113" w:type="dxa"/>
              <w:right w:w="0" w:type="dxa"/>
            </w:tcMar>
          </w:tcPr>
          <w:p w14:paraId="3EE90DE4" w14:textId="77777777" w:rsidR="00CA3F6E" w:rsidRPr="00CA3F6E" w:rsidRDefault="00CA3F6E" w:rsidP="00615190">
            <w:pPr>
              <w:spacing w:line="240" w:lineRule="atLeast"/>
              <w:rPr>
                <w:rFonts w:ascii="Tahoma" w:hAnsi="Tahoma"/>
                <w:color w:val="000000" w:themeColor="text1"/>
                <w:sz w:val="16"/>
                <w:lang w:val="en-GB"/>
              </w:rPr>
            </w:pPr>
            <w:r w:rsidRPr="00CA3F6E">
              <w:rPr>
                <w:rFonts w:ascii="Tahoma" w:hAnsi="Tahoma"/>
                <w:color w:val="000000" w:themeColor="text1"/>
                <w:sz w:val="16"/>
                <w:lang w:val="en-GB"/>
              </w:rPr>
              <w:t>Ecommerce</w:t>
            </w:r>
          </w:p>
        </w:tc>
        <w:tc>
          <w:tcPr>
            <w:tcW w:w="992" w:type="dxa"/>
            <w:tcBorders>
              <w:top w:val="single" w:sz="4" w:space="0" w:color="auto"/>
              <w:bottom w:val="single" w:sz="4" w:space="0" w:color="auto"/>
            </w:tcBorders>
            <w:tcMar>
              <w:top w:w="113" w:type="dxa"/>
              <w:left w:w="0" w:type="dxa"/>
              <w:bottom w:w="113" w:type="dxa"/>
              <w:right w:w="0" w:type="dxa"/>
            </w:tcMar>
          </w:tcPr>
          <w:p w14:paraId="0DC6A7B7" w14:textId="77777777" w:rsidR="00CA3F6E" w:rsidRPr="00CA3F6E" w:rsidRDefault="00CA3F6E" w:rsidP="00615190">
            <w:pPr>
              <w:spacing w:line="240" w:lineRule="atLeast"/>
              <w:rPr>
                <w:rFonts w:ascii="Tahoma" w:hAnsi="Tahoma"/>
                <w:color w:val="000000" w:themeColor="text1"/>
                <w:sz w:val="16"/>
                <w:lang w:val="en-GB"/>
              </w:rPr>
            </w:pPr>
            <w:r w:rsidRPr="00CA3F6E">
              <w:rPr>
                <w:rFonts w:ascii="Tahoma" w:hAnsi="Tahoma"/>
                <w:color w:val="000000" w:themeColor="text1"/>
                <w:sz w:val="16"/>
                <w:lang w:val="en-GB"/>
              </w:rPr>
              <w:t>Disposal</w:t>
            </w:r>
          </w:p>
        </w:tc>
      </w:tr>
      <w:tr w:rsidR="00615190" w:rsidRPr="00CA3F6E" w14:paraId="7BE16ABE" w14:textId="77777777" w:rsidTr="003F6FAC">
        <w:trPr>
          <w:trHeight w:val="60"/>
        </w:trPr>
        <w:tc>
          <w:tcPr>
            <w:tcW w:w="397" w:type="dxa"/>
            <w:tcMar>
              <w:top w:w="113" w:type="dxa"/>
              <w:left w:w="0" w:type="dxa"/>
              <w:bottom w:w="113" w:type="dxa"/>
              <w:right w:w="0" w:type="dxa"/>
            </w:tcMar>
          </w:tcPr>
          <w:p w14:paraId="03E4852D" w14:textId="77777777" w:rsidR="00CA3F6E" w:rsidRPr="00CA3F6E" w:rsidRDefault="00CA3F6E" w:rsidP="00615190">
            <w:pPr>
              <w:spacing w:line="240" w:lineRule="atLeast"/>
              <w:rPr>
                <w:rFonts w:ascii="Tahoma" w:hAnsi="Tahoma"/>
                <w:color w:val="000000" w:themeColor="text1"/>
                <w:sz w:val="16"/>
                <w:lang w:val="en-GB"/>
              </w:rPr>
            </w:pPr>
          </w:p>
        </w:tc>
        <w:tc>
          <w:tcPr>
            <w:tcW w:w="5273" w:type="dxa"/>
            <w:tcBorders>
              <w:top w:val="single" w:sz="4" w:space="0" w:color="auto"/>
              <w:bottom w:val="single" w:sz="4" w:space="0" w:color="auto"/>
            </w:tcBorders>
            <w:tcMar>
              <w:top w:w="113" w:type="dxa"/>
              <w:left w:w="0" w:type="dxa"/>
              <w:bottom w:w="113" w:type="dxa"/>
              <w:right w:w="113" w:type="dxa"/>
            </w:tcMar>
          </w:tcPr>
          <w:p w14:paraId="70D5BC87" w14:textId="77777777" w:rsidR="00CA3F6E" w:rsidRPr="00CA3F6E" w:rsidRDefault="00CA3F6E" w:rsidP="00615190">
            <w:pPr>
              <w:spacing w:line="240" w:lineRule="atLeast"/>
              <w:rPr>
                <w:rFonts w:ascii="Tahoma" w:hAnsi="Tahoma"/>
                <w:color w:val="000000" w:themeColor="text1"/>
                <w:sz w:val="16"/>
                <w:lang w:val="en-GB"/>
              </w:rPr>
            </w:pPr>
            <w:r w:rsidRPr="00CA3F6E">
              <w:rPr>
                <w:rFonts w:ascii="Tahoma" w:hAnsi="Tahoma"/>
                <w:color w:val="000000" w:themeColor="text1"/>
                <w:sz w:val="16"/>
                <w:lang w:val="en-GB"/>
              </w:rPr>
              <w:t>Acquisition of the group’s interest in Oda</w:t>
            </w:r>
          </w:p>
        </w:tc>
        <w:tc>
          <w:tcPr>
            <w:tcW w:w="1843" w:type="dxa"/>
            <w:tcBorders>
              <w:top w:val="single" w:sz="4" w:space="0" w:color="auto"/>
              <w:bottom w:val="single" w:sz="4" w:space="0" w:color="auto"/>
            </w:tcBorders>
            <w:tcMar>
              <w:top w:w="113" w:type="dxa"/>
              <w:left w:w="0" w:type="dxa"/>
              <w:bottom w:w="113" w:type="dxa"/>
              <w:right w:w="0" w:type="dxa"/>
            </w:tcMar>
          </w:tcPr>
          <w:p w14:paraId="52AE7530" w14:textId="77777777" w:rsidR="00CA3F6E" w:rsidRPr="00CA3F6E" w:rsidRDefault="00CA3F6E" w:rsidP="00615190">
            <w:pPr>
              <w:spacing w:line="240" w:lineRule="atLeast"/>
              <w:rPr>
                <w:rFonts w:ascii="Tahoma" w:hAnsi="Tahoma"/>
                <w:color w:val="000000" w:themeColor="text1"/>
                <w:sz w:val="16"/>
                <w:lang w:val="en-GB"/>
              </w:rPr>
            </w:pPr>
            <w:r w:rsidRPr="00CA3F6E">
              <w:rPr>
                <w:rFonts w:ascii="Tahoma" w:hAnsi="Tahoma"/>
                <w:color w:val="000000" w:themeColor="text1"/>
                <w:sz w:val="16"/>
                <w:lang w:val="en-GB"/>
              </w:rPr>
              <w:t>Associate</w:t>
            </w:r>
          </w:p>
        </w:tc>
        <w:tc>
          <w:tcPr>
            <w:tcW w:w="1701" w:type="dxa"/>
            <w:tcBorders>
              <w:top w:val="single" w:sz="4" w:space="0" w:color="auto"/>
              <w:bottom w:val="single" w:sz="4" w:space="0" w:color="auto"/>
            </w:tcBorders>
            <w:tcMar>
              <w:top w:w="113" w:type="dxa"/>
              <w:left w:w="0" w:type="dxa"/>
              <w:bottom w:w="113" w:type="dxa"/>
              <w:right w:w="0" w:type="dxa"/>
            </w:tcMar>
          </w:tcPr>
          <w:p w14:paraId="09D28CE1" w14:textId="77777777" w:rsidR="00CA3F6E" w:rsidRPr="00CA3F6E" w:rsidRDefault="00CA3F6E" w:rsidP="00615190">
            <w:pPr>
              <w:spacing w:line="240" w:lineRule="atLeast"/>
              <w:rPr>
                <w:rFonts w:ascii="Tahoma" w:hAnsi="Tahoma"/>
                <w:color w:val="000000" w:themeColor="text1"/>
                <w:sz w:val="16"/>
                <w:lang w:val="en-GB"/>
              </w:rPr>
            </w:pPr>
            <w:r w:rsidRPr="00CA3F6E">
              <w:rPr>
                <w:rFonts w:ascii="Tahoma" w:hAnsi="Tahoma"/>
                <w:color w:val="000000" w:themeColor="text1"/>
                <w:sz w:val="16"/>
                <w:lang w:val="en-GB"/>
              </w:rPr>
              <w:t>Ecommerce</w:t>
            </w:r>
          </w:p>
        </w:tc>
        <w:tc>
          <w:tcPr>
            <w:tcW w:w="992" w:type="dxa"/>
            <w:tcBorders>
              <w:top w:val="single" w:sz="4" w:space="0" w:color="auto"/>
              <w:bottom w:val="single" w:sz="4" w:space="0" w:color="auto"/>
            </w:tcBorders>
            <w:tcMar>
              <w:top w:w="113" w:type="dxa"/>
              <w:left w:w="0" w:type="dxa"/>
              <w:bottom w:w="113" w:type="dxa"/>
              <w:right w:w="0" w:type="dxa"/>
            </w:tcMar>
          </w:tcPr>
          <w:p w14:paraId="6D73506E" w14:textId="77777777" w:rsidR="00CA3F6E" w:rsidRPr="00CA3F6E" w:rsidRDefault="00CA3F6E" w:rsidP="00615190">
            <w:pPr>
              <w:spacing w:line="240" w:lineRule="atLeast"/>
              <w:rPr>
                <w:rFonts w:ascii="Tahoma" w:hAnsi="Tahoma"/>
                <w:color w:val="000000" w:themeColor="text1"/>
                <w:sz w:val="16"/>
                <w:lang w:val="en-GB"/>
              </w:rPr>
            </w:pPr>
            <w:r w:rsidRPr="00CA3F6E">
              <w:rPr>
                <w:rFonts w:ascii="Tahoma" w:hAnsi="Tahoma"/>
                <w:color w:val="000000" w:themeColor="text1"/>
                <w:sz w:val="16"/>
                <w:lang w:val="en-GB"/>
              </w:rPr>
              <w:t>Acquisition</w:t>
            </w:r>
          </w:p>
        </w:tc>
      </w:tr>
      <w:tr w:rsidR="00615190" w:rsidRPr="00CA3F6E" w14:paraId="316E2DE3" w14:textId="77777777" w:rsidTr="003F6FAC">
        <w:trPr>
          <w:trHeight w:val="60"/>
        </w:trPr>
        <w:tc>
          <w:tcPr>
            <w:tcW w:w="397" w:type="dxa"/>
            <w:tcMar>
              <w:top w:w="113" w:type="dxa"/>
              <w:left w:w="0" w:type="dxa"/>
              <w:bottom w:w="113" w:type="dxa"/>
              <w:right w:w="0" w:type="dxa"/>
            </w:tcMar>
          </w:tcPr>
          <w:p w14:paraId="11C8F2B0" w14:textId="77777777" w:rsidR="00CA3F6E" w:rsidRPr="00CA3F6E" w:rsidRDefault="00CA3F6E" w:rsidP="00615190">
            <w:pPr>
              <w:spacing w:line="240" w:lineRule="atLeast"/>
              <w:rPr>
                <w:rFonts w:ascii="Tahoma" w:hAnsi="Tahoma"/>
                <w:color w:val="000000" w:themeColor="text1"/>
                <w:sz w:val="16"/>
                <w:lang w:val="en-GB"/>
              </w:rPr>
            </w:pPr>
          </w:p>
        </w:tc>
        <w:tc>
          <w:tcPr>
            <w:tcW w:w="5273" w:type="dxa"/>
            <w:tcBorders>
              <w:top w:val="single" w:sz="4" w:space="0" w:color="auto"/>
              <w:bottom w:val="single" w:sz="4" w:space="0" w:color="auto"/>
            </w:tcBorders>
            <w:tcMar>
              <w:top w:w="113" w:type="dxa"/>
              <w:left w:w="0" w:type="dxa"/>
              <w:bottom w:w="113" w:type="dxa"/>
              <w:right w:w="113" w:type="dxa"/>
            </w:tcMar>
          </w:tcPr>
          <w:p w14:paraId="6513008F" w14:textId="77777777" w:rsidR="00CA3F6E" w:rsidRPr="00CA3F6E" w:rsidRDefault="00CA3F6E" w:rsidP="00615190">
            <w:pPr>
              <w:spacing w:line="240" w:lineRule="atLeast"/>
              <w:rPr>
                <w:rFonts w:ascii="Tahoma" w:hAnsi="Tahoma"/>
                <w:color w:val="000000" w:themeColor="text1"/>
                <w:sz w:val="16"/>
                <w:lang w:val="en-GB"/>
              </w:rPr>
            </w:pPr>
            <w:r w:rsidRPr="00CA3F6E">
              <w:rPr>
                <w:rFonts w:ascii="Tahoma" w:hAnsi="Tahoma"/>
                <w:color w:val="000000" w:themeColor="text1"/>
                <w:sz w:val="16"/>
                <w:lang w:val="en-GB"/>
              </w:rPr>
              <w:t xml:space="preserve">Acquisition of the group’s interest in </w:t>
            </w:r>
            <w:proofErr w:type="spellStart"/>
            <w:r w:rsidRPr="00CA3F6E">
              <w:rPr>
                <w:rFonts w:ascii="Tahoma" w:hAnsi="Tahoma"/>
                <w:color w:val="000000" w:themeColor="text1"/>
                <w:sz w:val="16"/>
                <w:lang w:val="en-GB"/>
              </w:rPr>
              <w:t>Flink</w:t>
            </w:r>
            <w:proofErr w:type="spellEnd"/>
          </w:p>
        </w:tc>
        <w:tc>
          <w:tcPr>
            <w:tcW w:w="1843" w:type="dxa"/>
            <w:tcBorders>
              <w:top w:val="single" w:sz="4" w:space="0" w:color="auto"/>
              <w:bottom w:val="single" w:sz="4" w:space="0" w:color="auto"/>
            </w:tcBorders>
            <w:tcMar>
              <w:top w:w="113" w:type="dxa"/>
              <w:left w:w="0" w:type="dxa"/>
              <w:bottom w:w="113" w:type="dxa"/>
              <w:right w:w="0" w:type="dxa"/>
            </w:tcMar>
          </w:tcPr>
          <w:p w14:paraId="250957C0" w14:textId="77777777" w:rsidR="00CA3F6E" w:rsidRPr="00CA3F6E" w:rsidRDefault="00CA3F6E" w:rsidP="00615190">
            <w:pPr>
              <w:spacing w:line="240" w:lineRule="atLeast"/>
              <w:rPr>
                <w:rFonts w:ascii="Tahoma" w:hAnsi="Tahoma"/>
                <w:color w:val="000000" w:themeColor="text1"/>
                <w:sz w:val="16"/>
                <w:lang w:val="en-GB"/>
              </w:rPr>
            </w:pPr>
            <w:r w:rsidRPr="00CA3F6E">
              <w:rPr>
                <w:rFonts w:ascii="Tahoma" w:hAnsi="Tahoma"/>
                <w:color w:val="000000" w:themeColor="text1"/>
                <w:sz w:val="16"/>
                <w:lang w:val="en-GB"/>
              </w:rPr>
              <w:t>Associate</w:t>
            </w:r>
          </w:p>
        </w:tc>
        <w:tc>
          <w:tcPr>
            <w:tcW w:w="1701" w:type="dxa"/>
            <w:tcBorders>
              <w:top w:val="single" w:sz="4" w:space="0" w:color="auto"/>
              <w:bottom w:val="single" w:sz="4" w:space="0" w:color="auto"/>
            </w:tcBorders>
            <w:tcMar>
              <w:top w:w="113" w:type="dxa"/>
              <w:left w:w="0" w:type="dxa"/>
              <w:bottom w:w="113" w:type="dxa"/>
              <w:right w:w="0" w:type="dxa"/>
            </w:tcMar>
          </w:tcPr>
          <w:p w14:paraId="72782681" w14:textId="77777777" w:rsidR="00CA3F6E" w:rsidRPr="00CA3F6E" w:rsidRDefault="00CA3F6E" w:rsidP="00615190">
            <w:pPr>
              <w:spacing w:line="240" w:lineRule="atLeast"/>
              <w:rPr>
                <w:rFonts w:ascii="Tahoma" w:hAnsi="Tahoma"/>
                <w:color w:val="000000" w:themeColor="text1"/>
                <w:sz w:val="16"/>
                <w:lang w:val="en-GB"/>
              </w:rPr>
            </w:pPr>
            <w:r w:rsidRPr="00CA3F6E">
              <w:rPr>
                <w:rFonts w:ascii="Tahoma" w:hAnsi="Tahoma"/>
                <w:color w:val="000000" w:themeColor="text1"/>
                <w:sz w:val="16"/>
                <w:lang w:val="en-GB"/>
              </w:rPr>
              <w:t>Ecommerce</w:t>
            </w:r>
          </w:p>
        </w:tc>
        <w:tc>
          <w:tcPr>
            <w:tcW w:w="992" w:type="dxa"/>
            <w:tcBorders>
              <w:top w:val="single" w:sz="4" w:space="0" w:color="auto"/>
              <w:bottom w:val="single" w:sz="4" w:space="0" w:color="auto"/>
            </w:tcBorders>
            <w:tcMar>
              <w:top w:w="113" w:type="dxa"/>
              <w:left w:w="0" w:type="dxa"/>
              <w:bottom w:w="113" w:type="dxa"/>
              <w:right w:w="0" w:type="dxa"/>
            </w:tcMar>
          </w:tcPr>
          <w:p w14:paraId="066A2731" w14:textId="77777777" w:rsidR="00CA3F6E" w:rsidRPr="00CA3F6E" w:rsidRDefault="00CA3F6E" w:rsidP="00615190">
            <w:pPr>
              <w:spacing w:line="240" w:lineRule="atLeast"/>
              <w:rPr>
                <w:rFonts w:ascii="Tahoma" w:hAnsi="Tahoma"/>
                <w:color w:val="000000" w:themeColor="text1"/>
                <w:sz w:val="16"/>
                <w:lang w:val="en-GB"/>
              </w:rPr>
            </w:pPr>
            <w:r w:rsidRPr="00CA3F6E">
              <w:rPr>
                <w:rFonts w:ascii="Tahoma" w:hAnsi="Tahoma"/>
                <w:color w:val="000000" w:themeColor="text1"/>
                <w:sz w:val="16"/>
                <w:lang w:val="en-GB"/>
              </w:rPr>
              <w:t>Acquisition</w:t>
            </w:r>
          </w:p>
        </w:tc>
      </w:tr>
      <w:tr w:rsidR="00615190" w:rsidRPr="00CA3F6E" w14:paraId="7CCB4415" w14:textId="77777777" w:rsidTr="003F6FAC">
        <w:trPr>
          <w:trHeight w:val="60"/>
        </w:trPr>
        <w:tc>
          <w:tcPr>
            <w:tcW w:w="397" w:type="dxa"/>
            <w:tcMar>
              <w:top w:w="113" w:type="dxa"/>
              <w:left w:w="0" w:type="dxa"/>
              <w:bottom w:w="113" w:type="dxa"/>
              <w:right w:w="0" w:type="dxa"/>
            </w:tcMar>
          </w:tcPr>
          <w:p w14:paraId="6AE321F2" w14:textId="77777777" w:rsidR="00CA3F6E" w:rsidRPr="00CA3F6E" w:rsidRDefault="00CA3F6E" w:rsidP="00615190">
            <w:pPr>
              <w:spacing w:line="240" w:lineRule="atLeast"/>
              <w:rPr>
                <w:rFonts w:ascii="Tahoma" w:hAnsi="Tahoma"/>
                <w:color w:val="000000" w:themeColor="text1"/>
                <w:sz w:val="16"/>
                <w:lang w:val="en-GB"/>
              </w:rPr>
            </w:pPr>
          </w:p>
        </w:tc>
        <w:tc>
          <w:tcPr>
            <w:tcW w:w="5273" w:type="dxa"/>
            <w:tcBorders>
              <w:top w:val="single" w:sz="4" w:space="0" w:color="auto"/>
              <w:bottom w:val="single" w:sz="4" w:space="0" w:color="auto"/>
            </w:tcBorders>
            <w:tcMar>
              <w:top w:w="113" w:type="dxa"/>
              <w:left w:w="0" w:type="dxa"/>
              <w:bottom w:w="113" w:type="dxa"/>
              <w:right w:w="113" w:type="dxa"/>
            </w:tcMar>
          </w:tcPr>
          <w:p w14:paraId="269A41DE" w14:textId="77777777" w:rsidR="00CA3F6E" w:rsidRPr="00CA3F6E" w:rsidRDefault="00CA3F6E" w:rsidP="00615190">
            <w:pPr>
              <w:spacing w:line="240" w:lineRule="atLeast"/>
              <w:rPr>
                <w:rFonts w:ascii="Tahoma" w:hAnsi="Tahoma"/>
                <w:color w:val="000000" w:themeColor="text1"/>
                <w:sz w:val="16"/>
                <w:lang w:val="en-GB"/>
              </w:rPr>
            </w:pPr>
            <w:r w:rsidRPr="00CA3F6E">
              <w:rPr>
                <w:rFonts w:ascii="Tahoma" w:hAnsi="Tahoma"/>
                <w:color w:val="000000" w:themeColor="text1"/>
                <w:sz w:val="16"/>
                <w:lang w:val="en-GB"/>
              </w:rPr>
              <w:t>Acquisition of the group’s interest in Delivery Solutions</w:t>
            </w:r>
          </w:p>
        </w:tc>
        <w:tc>
          <w:tcPr>
            <w:tcW w:w="1843" w:type="dxa"/>
            <w:tcBorders>
              <w:top w:val="single" w:sz="4" w:space="0" w:color="auto"/>
              <w:bottom w:val="single" w:sz="4" w:space="0" w:color="auto"/>
            </w:tcBorders>
            <w:tcMar>
              <w:top w:w="113" w:type="dxa"/>
              <w:left w:w="0" w:type="dxa"/>
              <w:bottom w:w="113" w:type="dxa"/>
              <w:right w:w="0" w:type="dxa"/>
            </w:tcMar>
          </w:tcPr>
          <w:p w14:paraId="06DDAC5B" w14:textId="77777777" w:rsidR="00CA3F6E" w:rsidRPr="00CA3F6E" w:rsidRDefault="00CA3F6E" w:rsidP="00615190">
            <w:pPr>
              <w:spacing w:line="240" w:lineRule="atLeast"/>
              <w:rPr>
                <w:rFonts w:ascii="Tahoma" w:hAnsi="Tahoma"/>
                <w:color w:val="000000" w:themeColor="text1"/>
                <w:sz w:val="16"/>
                <w:lang w:val="en-GB"/>
              </w:rPr>
            </w:pPr>
            <w:r w:rsidRPr="00CA3F6E">
              <w:rPr>
                <w:rFonts w:ascii="Tahoma" w:hAnsi="Tahoma"/>
                <w:color w:val="000000" w:themeColor="text1"/>
                <w:sz w:val="16"/>
                <w:lang w:val="en-GB"/>
              </w:rPr>
              <w:t>Subsidiary</w:t>
            </w:r>
          </w:p>
        </w:tc>
        <w:tc>
          <w:tcPr>
            <w:tcW w:w="1701" w:type="dxa"/>
            <w:tcBorders>
              <w:top w:val="single" w:sz="4" w:space="0" w:color="auto"/>
              <w:bottom w:val="single" w:sz="4" w:space="0" w:color="auto"/>
            </w:tcBorders>
            <w:tcMar>
              <w:top w:w="113" w:type="dxa"/>
              <w:left w:w="0" w:type="dxa"/>
              <w:bottom w:w="113" w:type="dxa"/>
              <w:right w:w="0" w:type="dxa"/>
            </w:tcMar>
          </w:tcPr>
          <w:p w14:paraId="0129D636" w14:textId="77777777" w:rsidR="00CA3F6E" w:rsidRPr="00CA3F6E" w:rsidRDefault="00CA3F6E" w:rsidP="00615190">
            <w:pPr>
              <w:spacing w:line="240" w:lineRule="atLeast"/>
              <w:rPr>
                <w:rFonts w:ascii="Tahoma" w:hAnsi="Tahoma"/>
                <w:color w:val="000000" w:themeColor="text1"/>
                <w:sz w:val="16"/>
                <w:lang w:val="en-GB"/>
              </w:rPr>
            </w:pPr>
            <w:r w:rsidRPr="00CA3F6E">
              <w:rPr>
                <w:rFonts w:ascii="Tahoma" w:hAnsi="Tahoma"/>
                <w:color w:val="000000" w:themeColor="text1"/>
                <w:sz w:val="16"/>
                <w:lang w:val="en-GB"/>
              </w:rPr>
              <w:t>Ecommerce</w:t>
            </w:r>
          </w:p>
        </w:tc>
        <w:tc>
          <w:tcPr>
            <w:tcW w:w="992" w:type="dxa"/>
            <w:tcBorders>
              <w:top w:val="single" w:sz="4" w:space="0" w:color="auto"/>
              <w:bottom w:val="single" w:sz="4" w:space="0" w:color="auto"/>
            </w:tcBorders>
            <w:tcMar>
              <w:top w:w="113" w:type="dxa"/>
              <w:left w:w="0" w:type="dxa"/>
              <w:bottom w:w="113" w:type="dxa"/>
              <w:right w:w="0" w:type="dxa"/>
            </w:tcMar>
          </w:tcPr>
          <w:p w14:paraId="3D0B7D1B" w14:textId="77777777" w:rsidR="00CA3F6E" w:rsidRPr="00CA3F6E" w:rsidRDefault="00CA3F6E" w:rsidP="00615190">
            <w:pPr>
              <w:spacing w:line="240" w:lineRule="atLeast"/>
              <w:rPr>
                <w:rFonts w:ascii="Tahoma" w:hAnsi="Tahoma"/>
                <w:color w:val="000000" w:themeColor="text1"/>
                <w:sz w:val="16"/>
                <w:lang w:val="en-GB"/>
              </w:rPr>
            </w:pPr>
            <w:r w:rsidRPr="00CA3F6E">
              <w:rPr>
                <w:rFonts w:ascii="Tahoma" w:hAnsi="Tahoma"/>
                <w:color w:val="000000" w:themeColor="text1"/>
                <w:sz w:val="16"/>
                <w:lang w:val="en-GB"/>
              </w:rPr>
              <w:t>Acquisition</w:t>
            </w:r>
          </w:p>
        </w:tc>
      </w:tr>
      <w:tr w:rsidR="00615190" w:rsidRPr="00CA3F6E" w14:paraId="37C46C1A" w14:textId="77777777" w:rsidTr="003F6FAC">
        <w:trPr>
          <w:trHeight w:val="60"/>
        </w:trPr>
        <w:tc>
          <w:tcPr>
            <w:tcW w:w="397" w:type="dxa"/>
            <w:tcMar>
              <w:top w:w="113" w:type="dxa"/>
              <w:left w:w="0" w:type="dxa"/>
              <w:bottom w:w="113" w:type="dxa"/>
              <w:right w:w="0" w:type="dxa"/>
            </w:tcMar>
          </w:tcPr>
          <w:p w14:paraId="1CFFC5AE" w14:textId="77777777" w:rsidR="00CA3F6E" w:rsidRPr="00CA3F6E" w:rsidRDefault="00CA3F6E" w:rsidP="00615190">
            <w:pPr>
              <w:spacing w:line="240" w:lineRule="atLeast"/>
              <w:rPr>
                <w:rFonts w:ascii="Tahoma" w:hAnsi="Tahoma"/>
                <w:color w:val="000000" w:themeColor="text1"/>
                <w:sz w:val="16"/>
                <w:lang w:val="en-GB"/>
              </w:rPr>
            </w:pPr>
          </w:p>
        </w:tc>
        <w:tc>
          <w:tcPr>
            <w:tcW w:w="5273" w:type="dxa"/>
            <w:tcBorders>
              <w:top w:val="single" w:sz="4" w:space="0" w:color="auto"/>
              <w:bottom w:val="single" w:sz="4" w:space="0" w:color="auto"/>
            </w:tcBorders>
            <w:tcMar>
              <w:top w:w="113" w:type="dxa"/>
              <w:left w:w="0" w:type="dxa"/>
              <w:bottom w:w="113" w:type="dxa"/>
              <w:right w:w="113" w:type="dxa"/>
            </w:tcMar>
          </w:tcPr>
          <w:p w14:paraId="1B4F54FE" w14:textId="77777777" w:rsidR="00CA3F6E" w:rsidRPr="00CA3F6E" w:rsidRDefault="00CA3F6E" w:rsidP="00615190">
            <w:pPr>
              <w:spacing w:line="240" w:lineRule="atLeast"/>
              <w:rPr>
                <w:rFonts w:ascii="Tahoma" w:hAnsi="Tahoma"/>
                <w:color w:val="000000" w:themeColor="text1"/>
                <w:sz w:val="16"/>
                <w:lang w:val="en-GB"/>
              </w:rPr>
            </w:pPr>
            <w:r w:rsidRPr="00CA3F6E">
              <w:rPr>
                <w:rFonts w:ascii="Tahoma" w:hAnsi="Tahoma"/>
                <w:color w:val="000000" w:themeColor="text1"/>
                <w:sz w:val="16"/>
                <w:lang w:val="en-GB"/>
              </w:rPr>
              <w:t>Acquisition of the group’s interest in Flip</w:t>
            </w:r>
          </w:p>
        </w:tc>
        <w:tc>
          <w:tcPr>
            <w:tcW w:w="1843" w:type="dxa"/>
            <w:tcBorders>
              <w:top w:val="single" w:sz="4" w:space="0" w:color="auto"/>
              <w:bottom w:val="single" w:sz="4" w:space="0" w:color="auto"/>
            </w:tcBorders>
            <w:tcMar>
              <w:top w:w="113" w:type="dxa"/>
              <w:left w:w="0" w:type="dxa"/>
              <w:bottom w:w="113" w:type="dxa"/>
              <w:right w:w="0" w:type="dxa"/>
            </w:tcMar>
          </w:tcPr>
          <w:p w14:paraId="4D7C5144" w14:textId="77777777" w:rsidR="00CA3F6E" w:rsidRPr="00CA3F6E" w:rsidRDefault="00CA3F6E" w:rsidP="00615190">
            <w:pPr>
              <w:spacing w:line="240" w:lineRule="atLeast"/>
              <w:rPr>
                <w:rFonts w:ascii="Tahoma" w:hAnsi="Tahoma"/>
                <w:color w:val="000000" w:themeColor="text1"/>
                <w:sz w:val="16"/>
                <w:lang w:val="en-GB"/>
              </w:rPr>
            </w:pPr>
            <w:r w:rsidRPr="00CA3F6E">
              <w:rPr>
                <w:rFonts w:ascii="Tahoma" w:hAnsi="Tahoma"/>
                <w:color w:val="000000" w:themeColor="text1"/>
                <w:sz w:val="16"/>
                <w:lang w:val="en-GB"/>
              </w:rPr>
              <w:t>Associate</w:t>
            </w:r>
          </w:p>
        </w:tc>
        <w:tc>
          <w:tcPr>
            <w:tcW w:w="1701" w:type="dxa"/>
            <w:tcBorders>
              <w:top w:val="single" w:sz="4" w:space="0" w:color="auto"/>
              <w:bottom w:val="single" w:sz="4" w:space="0" w:color="auto"/>
            </w:tcBorders>
            <w:tcMar>
              <w:top w:w="113" w:type="dxa"/>
              <w:left w:w="0" w:type="dxa"/>
              <w:bottom w:w="113" w:type="dxa"/>
              <w:right w:w="0" w:type="dxa"/>
            </w:tcMar>
          </w:tcPr>
          <w:p w14:paraId="35467200" w14:textId="77777777" w:rsidR="00CA3F6E" w:rsidRPr="00CA3F6E" w:rsidRDefault="00CA3F6E" w:rsidP="00615190">
            <w:pPr>
              <w:spacing w:line="240" w:lineRule="atLeast"/>
              <w:rPr>
                <w:rFonts w:ascii="Tahoma" w:hAnsi="Tahoma"/>
                <w:color w:val="000000" w:themeColor="text1"/>
                <w:sz w:val="16"/>
                <w:lang w:val="en-GB"/>
              </w:rPr>
            </w:pPr>
            <w:r w:rsidRPr="00CA3F6E">
              <w:rPr>
                <w:rFonts w:ascii="Tahoma" w:hAnsi="Tahoma"/>
                <w:color w:val="000000" w:themeColor="text1"/>
                <w:sz w:val="16"/>
                <w:lang w:val="en-GB"/>
              </w:rPr>
              <w:t>Ecommerce</w:t>
            </w:r>
          </w:p>
        </w:tc>
        <w:tc>
          <w:tcPr>
            <w:tcW w:w="992" w:type="dxa"/>
            <w:tcBorders>
              <w:top w:val="single" w:sz="4" w:space="0" w:color="auto"/>
              <w:bottom w:val="single" w:sz="4" w:space="0" w:color="auto"/>
            </w:tcBorders>
            <w:tcMar>
              <w:top w:w="113" w:type="dxa"/>
              <w:left w:w="0" w:type="dxa"/>
              <w:bottom w:w="113" w:type="dxa"/>
              <w:right w:w="0" w:type="dxa"/>
            </w:tcMar>
          </w:tcPr>
          <w:p w14:paraId="6A902ABC" w14:textId="77777777" w:rsidR="00CA3F6E" w:rsidRPr="00CA3F6E" w:rsidRDefault="00CA3F6E" w:rsidP="00615190">
            <w:pPr>
              <w:spacing w:line="240" w:lineRule="atLeast"/>
              <w:rPr>
                <w:rFonts w:ascii="Tahoma" w:hAnsi="Tahoma"/>
                <w:color w:val="000000" w:themeColor="text1"/>
                <w:sz w:val="16"/>
                <w:lang w:val="en-GB"/>
              </w:rPr>
            </w:pPr>
            <w:r w:rsidRPr="00CA3F6E">
              <w:rPr>
                <w:rFonts w:ascii="Tahoma" w:hAnsi="Tahoma"/>
                <w:color w:val="000000" w:themeColor="text1"/>
                <w:sz w:val="16"/>
                <w:lang w:val="en-GB"/>
              </w:rPr>
              <w:t>Acquisition</w:t>
            </w:r>
          </w:p>
        </w:tc>
      </w:tr>
      <w:tr w:rsidR="00615190" w:rsidRPr="00CA3F6E" w14:paraId="3DB1CDF4" w14:textId="77777777" w:rsidTr="003F6FAC">
        <w:trPr>
          <w:trHeight w:val="60"/>
        </w:trPr>
        <w:tc>
          <w:tcPr>
            <w:tcW w:w="397" w:type="dxa"/>
            <w:tcMar>
              <w:top w:w="113" w:type="dxa"/>
              <w:left w:w="0" w:type="dxa"/>
              <w:bottom w:w="113" w:type="dxa"/>
              <w:right w:w="0" w:type="dxa"/>
            </w:tcMar>
          </w:tcPr>
          <w:p w14:paraId="0573FA50" w14:textId="77777777" w:rsidR="00CA3F6E" w:rsidRPr="00CA3F6E" w:rsidRDefault="00CA3F6E" w:rsidP="00615190">
            <w:pPr>
              <w:spacing w:line="240" w:lineRule="atLeast"/>
              <w:rPr>
                <w:rFonts w:ascii="Tahoma" w:hAnsi="Tahoma"/>
                <w:color w:val="000000" w:themeColor="text1"/>
                <w:sz w:val="16"/>
                <w:lang w:val="en-GB"/>
              </w:rPr>
            </w:pPr>
          </w:p>
        </w:tc>
        <w:tc>
          <w:tcPr>
            <w:tcW w:w="5273" w:type="dxa"/>
            <w:tcBorders>
              <w:top w:val="single" w:sz="4" w:space="0" w:color="auto"/>
              <w:bottom w:val="single" w:sz="4" w:space="0" w:color="auto"/>
            </w:tcBorders>
            <w:tcMar>
              <w:top w:w="113" w:type="dxa"/>
              <w:left w:w="0" w:type="dxa"/>
              <w:bottom w:w="113" w:type="dxa"/>
              <w:right w:w="113" w:type="dxa"/>
            </w:tcMar>
          </w:tcPr>
          <w:p w14:paraId="4D5692DF" w14:textId="77777777" w:rsidR="00CA3F6E" w:rsidRPr="00CA3F6E" w:rsidRDefault="00CA3F6E" w:rsidP="00615190">
            <w:pPr>
              <w:spacing w:line="240" w:lineRule="atLeast"/>
              <w:rPr>
                <w:rFonts w:ascii="Tahoma" w:hAnsi="Tahoma"/>
                <w:color w:val="000000" w:themeColor="text1"/>
                <w:sz w:val="16"/>
                <w:lang w:val="en-GB"/>
              </w:rPr>
            </w:pPr>
            <w:r w:rsidRPr="00CA3F6E">
              <w:rPr>
                <w:rFonts w:ascii="Tahoma" w:hAnsi="Tahoma"/>
                <w:color w:val="000000" w:themeColor="text1"/>
                <w:sz w:val="16"/>
                <w:lang w:val="en-GB"/>
              </w:rPr>
              <w:t>Increase in the group’s interest in Delivery Hero</w:t>
            </w:r>
          </w:p>
        </w:tc>
        <w:tc>
          <w:tcPr>
            <w:tcW w:w="1843" w:type="dxa"/>
            <w:tcBorders>
              <w:top w:val="single" w:sz="4" w:space="0" w:color="auto"/>
              <w:bottom w:val="single" w:sz="4" w:space="0" w:color="auto"/>
            </w:tcBorders>
            <w:tcMar>
              <w:top w:w="113" w:type="dxa"/>
              <w:left w:w="0" w:type="dxa"/>
              <w:bottom w:w="113" w:type="dxa"/>
              <w:right w:w="0" w:type="dxa"/>
            </w:tcMar>
          </w:tcPr>
          <w:p w14:paraId="0D4D5D9D" w14:textId="77777777" w:rsidR="00CA3F6E" w:rsidRPr="00CA3F6E" w:rsidRDefault="00CA3F6E" w:rsidP="00615190">
            <w:pPr>
              <w:spacing w:line="240" w:lineRule="atLeast"/>
              <w:rPr>
                <w:rFonts w:ascii="Tahoma" w:hAnsi="Tahoma"/>
                <w:color w:val="000000" w:themeColor="text1"/>
                <w:sz w:val="16"/>
                <w:lang w:val="en-GB"/>
              </w:rPr>
            </w:pPr>
            <w:r w:rsidRPr="00CA3F6E">
              <w:rPr>
                <w:rFonts w:ascii="Tahoma" w:hAnsi="Tahoma"/>
                <w:color w:val="000000" w:themeColor="text1"/>
                <w:sz w:val="16"/>
                <w:lang w:val="en-GB"/>
              </w:rPr>
              <w:t>Associate</w:t>
            </w:r>
          </w:p>
        </w:tc>
        <w:tc>
          <w:tcPr>
            <w:tcW w:w="1701" w:type="dxa"/>
            <w:tcBorders>
              <w:top w:val="single" w:sz="4" w:space="0" w:color="auto"/>
              <w:bottom w:val="single" w:sz="4" w:space="0" w:color="auto"/>
            </w:tcBorders>
            <w:tcMar>
              <w:top w:w="113" w:type="dxa"/>
              <w:left w:w="0" w:type="dxa"/>
              <w:bottom w:w="113" w:type="dxa"/>
              <w:right w:w="0" w:type="dxa"/>
            </w:tcMar>
          </w:tcPr>
          <w:p w14:paraId="6C0D1963" w14:textId="77777777" w:rsidR="00CA3F6E" w:rsidRPr="00CA3F6E" w:rsidRDefault="00CA3F6E" w:rsidP="00615190">
            <w:pPr>
              <w:spacing w:line="240" w:lineRule="atLeast"/>
              <w:rPr>
                <w:rFonts w:ascii="Tahoma" w:hAnsi="Tahoma"/>
                <w:color w:val="000000" w:themeColor="text1"/>
                <w:sz w:val="16"/>
                <w:lang w:val="en-GB"/>
              </w:rPr>
            </w:pPr>
            <w:r w:rsidRPr="00CA3F6E">
              <w:rPr>
                <w:rFonts w:ascii="Tahoma" w:hAnsi="Tahoma"/>
                <w:color w:val="000000" w:themeColor="text1"/>
                <w:sz w:val="16"/>
                <w:lang w:val="en-GB"/>
              </w:rPr>
              <w:t>Ecommerce</w:t>
            </w:r>
          </w:p>
        </w:tc>
        <w:tc>
          <w:tcPr>
            <w:tcW w:w="992" w:type="dxa"/>
            <w:tcBorders>
              <w:top w:val="single" w:sz="4" w:space="0" w:color="auto"/>
              <w:bottom w:val="single" w:sz="4" w:space="0" w:color="auto"/>
            </w:tcBorders>
            <w:tcMar>
              <w:top w:w="113" w:type="dxa"/>
              <w:left w:w="0" w:type="dxa"/>
              <w:bottom w:w="113" w:type="dxa"/>
              <w:right w:w="0" w:type="dxa"/>
            </w:tcMar>
          </w:tcPr>
          <w:p w14:paraId="4D93E47F" w14:textId="77777777" w:rsidR="00CA3F6E" w:rsidRPr="00CA3F6E" w:rsidRDefault="00CA3F6E" w:rsidP="00615190">
            <w:pPr>
              <w:spacing w:line="240" w:lineRule="atLeast"/>
              <w:rPr>
                <w:rFonts w:ascii="Tahoma" w:hAnsi="Tahoma"/>
                <w:color w:val="000000" w:themeColor="text1"/>
                <w:sz w:val="16"/>
                <w:lang w:val="en-GB"/>
              </w:rPr>
            </w:pPr>
            <w:r w:rsidRPr="00CA3F6E">
              <w:rPr>
                <w:rFonts w:ascii="Tahoma" w:hAnsi="Tahoma"/>
                <w:color w:val="000000" w:themeColor="text1"/>
                <w:sz w:val="16"/>
                <w:lang w:val="en-GB"/>
              </w:rPr>
              <w:t>Acquisition</w:t>
            </w:r>
          </w:p>
        </w:tc>
      </w:tr>
      <w:tr w:rsidR="00615190" w:rsidRPr="00CA3F6E" w14:paraId="32DB1F3D" w14:textId="77777777" w:rsidTr="003F6FAC">
        <w:trPr>
          <w:trHeight w:val="60"/>
        </w:trPr>
        <w:tc>
          <w:tcPr>
            <w:tcW w:w="397" w:type="dxa"/>
            <w:tcMar>
              <w:top w:w="113" w:type="dxa"/>
              <w:left w:w="0" w:type="dxa"/>
              <w:bottom w:w="113" w:type="dxa"/>
              <w:right w:w="0" w:type="dxa"/>
            </w:tcMar>
          </w:tcPr>
          <w:p w14:paraId="6936E01B" w14:textId="77777777" w:rsidR="00CA3F6E" w:rsidRPr="00CA3F6E" w:rsidRDefault="00CA3F6E" w:rsidP="00615190">
            <w:pPr>
              <w:spacing w:line="240" w:lineRule="atLeast"/>
              <w:rPr>
                <w:rFonts w:ascii="Tahoma" w:hAnsi="Tahoma"/>
                <w:color w:val="000000" w:themeColor="text1"/>
                <w:sz w:val="16"/>
                <w:lang w:val="en-GB"/>
              </w:rPr>
            </w:pPr>
          </w:p>
        </w:tc>
        <w:tc>
          <w:tcPr>
            <w:tcW w:w="5273" w:type="dxa"/>
            <w:tcBorders>
              <w:top w:val="single" w:sz="4" w:space="0" w:color="auto"/>
              <w:bottom w:val="single" w:sz="4" w:space="0" w:color="auto"/>
            </w:tcBorders>
            <w:tcMar>
              <w:top w:w="113" w:type="dxa"/>
              <w:left w:w="0" w:type="dxa"/>
              <w:bottom w:w="113" w:type="dxa"/>
              <w:right w:w="113" w:type="dxa"/>
            </w:tcMar>
          </w:tcPr>
          <w:p w14:paraId="79405D2C" w14:textId="77777777" w:rsidR="00CA3F6E" w:rsidRPr="00CA3F6E" w:rsidRDefault="00CA3F6E" w:rsidP="00615190">
            <w:pPr>
              <w:spacing w:line="240" w:lineRule="atLeast"/>
              <w:rPr>
                <w:rFonts w:ascii="Tahoma" w:hAnsi="Tahoma"/>
                <w:color w:val="000000" w:themeColor="text1"/>
                <w:sz w:val="16"/>
                <w:lang w:val="en-GB"/>
              </w:rPr>
            </w:pPr>
            <w:r w:rsidRPr="00CA3F6E">
              <w:rPr>
                <w:rFonts w:ascii="Tahoma" w:hAnsi="Tahoma"/>
                <w:color w:val="000000" w:themeColor="text1"/>
                <w:sz w:val="16"/>
                <w:lang w:val="en-GB"/>
              </w:rPr>
              <w:t xml:space="preserve">Acquisition of the group’s interest in </w:t>
            </w:r>
            <w:proofErr w:type="spellStart"/>
            <w:r w:rsidRPr="00CA3F6E">
              <w:rPr>
                <w:rFonts w:ascii="Tahoma" w:hAnsi="Tahoma"/>
                <w:color w:val="000000" w:themeColor="text1"/>
                <w:sz w:val="16"/>
                <w:lang w:val="en-GB"/>
              </w:rPr>
              <w:t>Eruditus</w:t>
            </w:r>
            <w:proofErr w:type="spellEnd"/>
            <w:r w:rsidRPr="00CA3F6E">
              <w:rPr>
                <w:rFonts w:ascii="Tahoma" w:hAnsi="Tahoma"/>
                <w:color w:val="000000" w:themeColor="text1"/>
                <w:sz w:val="16"/>
                <w:lang w:val="en-GB"/>
              </w:rPr>
              <w:t xml:space="preserve"> </w:t>
            </w:r>
          </w:p>
        </w:tc>
        <w:tc>
          <w:tcPr>
            <w:tcW w:w="1843" w:type="dxa"/>
            <w:tcBorders>
              <w:top w:val="single" w:sz="4" w:space="0" w:color="auto"/>
              <w:bottom w:val="single" w:sz="4" w:space="0" w:color="auto"/>
            </w:tcBorders>
            <w:tcMar>
              <w:top w:w="113" w:type="dxa"/>
              <w:left w:w="0" w:type="dxa"/>
              <w:bottom w:w="113" w:type="dxa"/>
              <w:right w:w="0" w:type="dxa"/>
            </w:tcMar>
          </w:tcPr>
          <w:p w14:paraId="35435A5F" w14:textId="77777777" w:rsidR="00CA3F6E" w:rsidRPr="00CA3F6E" w:rsidRDefault="00CA3F6E" w:rsidP="00615190">
            <w:pPr>
              <w:spacing w:line="240" w:lineRule="atLeast"/>
              <w:rPr>
                <w:rFonts w:ascii="Tahoma" w:hAnsi="Tahoma"/>
                <w:color w:val="000000" w:themeColor="text1"/>
                <w:sz w:val="16"/>
                <w:lang w:val="en-GB"/>
              </w:rPr>
            </w:pPr>
            <w:r w:rsidRPr="00CA3F6E">
              <w:rPr>
                <w:rFonts w:ascii="Tahoma" w:hAnsi="Tahoma"/>
                <w:color w:val="000000" w:themeColor="text1"/>
                <w:sz w:val="16"/>
                <w:lang w:val="en-GB"/>
              </w:rPr>
              <w:t>Associate</w:t>
            </w:r>
          </w:p>
        </w:tc>
        <w:tc>
          <w:tcPr>
            <w:tcW w:w="1701" w:type="dxa"/>
            <w:tcBorders>
              <w:top w:val="single" w:sz="4" w:space="0" w:color="auto"/>
              <w:bottom w:val="single" w:sz="4" w:space="0" w:color="auto"/>
            </w:tcBorders>
            <w:tcMar>
              <w:top w:w="113" w:type="dxa"/>
              <w:left w:w="0" w:type="dxa"/>
              <w:bottom w:w="113" w:type="dxa"/>
              <w:right w:w="0" w:type="dxa"/>
            </w:tcMar>
          </w:tcPr>
          <w:p w14:paraId="73EEABE0" w14:textId="77777777" w:rsidR="00CA3F6E" w:rsidRPr="00CA3F6E" w:rsidRDefault="00CA3F6E" w:rsidP="00615190">
            <w:pPr>
              <w:spacing w:line="240" w:lineRule="atLeast"/>
              <w:rPr>
                <w:rFonts w:ascii="Tahoma" w:hAnsi="Tahoma"/>
                <w:color w:val="000000" w:themeColor="text1"/>
                <w:sz w:val="16"/>
                <w:lang w:val="en-GB"/>
              </w:rPr>
            </w:pPr>
            <w:r w:rsidRPr="00CA3F6E">
              <w:rPr>
                <w:rFonts w:ascii="Tahoma" w:hAnsi="Tahoma"/>
                <w:color w:val="000000" w:themeColor="text1"/>
                <w:sz w:val="16"/>
                <w:lang w:val="en-GB"/>
              </w:rPr>
              <w:t>Ecommerce</w:t>
            </w:r>
          </w:p>
        </w:tc>
        <w:tc>
          <w:tcPr>
            <w:tcW w:w="992" w:type="dxa"/>
            <w:tcBorders>
              <w:top w:val="single" w:sz="4" w:space="0" w:color="auto"/>
              <w:bottom w:val="single" w:sz="4" w:space="0" w:color="auto"/>
            </w:tcBorders>
            <w:tcMar>
              <w:top w:w="113" w:type="dxa"/>
              <w:left w:w="0" w:type="dxa"/>
              <w:bottom w:w="113" w:type="dxa"/>
              <w:right w:w="0" w:type="dxa"/>
            </w:tcMar>
          </w:tcPr>
          <w:p w14:paraId="2644A783" w14:textId="77777777" w:rsidR="00CA3F6E" w:rsidRPr="00CA3F6E" w:rsidRDefault="00CA3F6E" w:rsidP="00615190">
            <w:pPr>
              <w:spacing w:line="240" w:lineRule="atLeast"/>
              <w:rPr>
                <w:rFonts w:ascii="Tahoma" w:hAnsi="Tahoma"/>
                <w:color w:val="000000" w:themeColor="text1"/>
                <w:sz w:val="16"/>
                <w:lang w:val="en-GB"/>
              </w:rPr>
            </w:pPr>
            <w:r w:rsidRPr="00CA3F6E">
              <w:rPr>
                <w:rFonts w:ascii="Tahoma" w:hAnsi="Tahoma"/>
                <w:color w:val="000000" w:themeColor="text1"/>
                <w:sz w:val="16"/>
                <w:lang w:val="en-GB"/>
              </w:rPr>
              <w:t>Acquisition</w:t>
            </w:r>
          </w:p>
        </w:tc>
      </w:tr>
      <w:tr w:rsidR="00615190" w:rsidRPr="00CA3F6E" w14:paraId="29D11A29" w14:textId="77777777" w:rsidTr="003F6FAC">
        <w:trPr>
          <w:trHeight w:val="60"/>
        </w:trPr>
        <w:tc>
          <w:tcPr>
            <w:tcW w:w="397" w:type="dxa"/>
            <w:tcMar>
              <w:top w:w="113" w:type="dxa"/>
              <w:left w:w="0" w:type="dxa"/>
              <w:bottom w:w="113" w:type="dxa"/>
              <w:right w:w="0" w:type="dxa"/>
            </w:tcMar>
          </w:tcPr>
          <w:p w14:paraId="1B4A280D" w14:textId="77777777" w:rsidR="00CA3F6E" w:rsidRPr="00CA3F6E" w:rsidRDefault="00CA3F6E" w:rsidP="00615190">
            <w:pPr>
              <w:spacing w:line="240" w:lineRule="atLeast"/>
              <w:rPr>
                <w:rFonts w:ascii="Tahoma" w:hAnsi="Tahoma"/>
                <w:color w:val="000000" w:themeColor="text1"/>
                <w:sz w:val="16"/>
                <w:lang w:val="en-GB"/>
              </w:rPr>
            </w:pPr>
          </w:p>
        </w:tc>
        <w:tc>
          <w:tcPr>
            <w:tcW w:w="5273" w:type="dxa"/>
            <w:tcBorders>
              <w:top w:val="single" w:sz="4" w:space="0" w:color="auto"/>
              <w:bottom w:val="single" w:sz="4" w:space="0" w:color="auto"/>
            </w:tcBorders>
            <w:tcMar>
              <w:top w:w="113" w:type="dxa"/>
              <w:left w:w="0" w:type="dxa"/>
              <w:bottom w:w="113" w:type="dxa"/>
              <w:right w:w="113" w:type="dxa"/>
            </w:tcMar>
          </w:tcPr>
          <w:p w14:paraId="06EF39BE" w14:textId="77777777" w:rsidR="00CA3F6E" w:rsidRPr="00CA3F6E" w:rsidRDefault="00CA3F6E" w:rsidP="00615190">
            <w:pPr>
              <w:spacing w:line="240" w:lineRule="atLeast"/>
              <w:rPr>
                <w:rFonts w:ascii="Tahoma" w:hAnsi="Tahoma"/>
                <w:color w:val="000000" w:themeColor="text1"/>
                <w:sz w:val="16"/>
                <w:lang w:val="en-GB"/>
              </w:rPr>
            </w:pPr>
            <w:r w:rsidRPr="00CA3F6E">
              <w:rPr>
                <w:rFonts w:ascii="Tahoma" w:hAnsi="Tahoma"/>
                <w:color w:val="000000" w:themeColor="text1"/>
                <w:sz w:val="16"/>
                <w:lang w:val="en-GB"/>
              </w:rPr>
              <w:t xml:space="preserve">Acquisition of the group’s interest in </w:t>
            </w:r>
            <w:proofErr w:type="spellStart"/>
            <w:r w:rsidRPr="00CA3F6E">
              <w:rPr>
                <w:rFonts w:ascii="Tahoma" w:hAnsi="Tahoma"/>
                <w:color w:val="000000" w:themeColor="text1"/>
                <w:sz w:val="16"/>
                <w:lang w:val="en-GB"/>
              </w:rPr>
              <w:t>GoodHabitz</w:t>
            </w:r>
            <w:proofErr w:type="spellEnd"/>
          </w:p>
        </w:tc>
        <w:tc>
          <w:tcPr>
            <w:tcW w:w="1843" w:type="dxa"/>
            <w:tcBorders>
              <w:top w:val="single" w:sz="4" w:space="0" w:color="auto"/>
              <w:bottom w:val="single" w:sz="4" w:space="0" w:color="auto"/>
            </w:tcBorders>
            <w:tcMar>
              <w:top w:w="113" w:type="dxa"/>
              <w:left w:w="0" w:type="dxa"/>
              <w:bottom w:w="113" w:type="dxa"/>
              <w:right w:w="0" w:type="dxa"/>
            </w:tcMar>
          </w:tcPr>
          <w:p w14:paraId="2286D849" w14:textId="77777777" w:rsidR="00CA3F6E" w:rsidRPr="00CA3F6E" w:rsidRDefault="00CA3F6E" w:rsidP="00615190">
            <w:pPr>
              <w:spacing w:line="240" w:lineRule="atLeast"/>
              <w:rPr>
                <w:rFonts w:ascii="Tahoma" w:hAnsi="Tahoma"/>
                <w:color w:val="000000" w:themeColor="text1"/>
                <w:sz w:val="16"/>
                <w:lang w:val="en-GB"/>
              </w:rPr>
            </w:pPr>
            <w:r w:rsidRPr="00CA3F6E">
              <w:rPr>
                <w:rFonts w:ascii="Tahoma" w:hAnsi="Tahoma"/>
                <w:color w:val="000000" w:themeColor="text1"/>
                <w:sz w:val="16"/>
                <w:lang w:val="en-GB"/>
              </w:rPr>
              <w:t>Subsidiary</w:t>
            </w:r>
          </w:p>
        </w:tc>
        <w:tc>
          <w:tcPr>
            <w:tcW w:w="1701" w:type="dxa"/>
            <w:tcBorders>
              <w:top w:val="single" w:sz="4" w:space="0" w:color="auto"/>
              <w:bottom w:val="single" w:sz="4" w:space="0" w:color="auto"/>
            </w:tcBorders>
            <w:tcMar>
              <w:top w:w="113" w:type="dxa"/>
              <w:left w:w="0" w:type="dxa"/>
              <w:bottom w:w="113" w:type="dxa"/>
              <w:right w:w="0" w:type="dxa"/>
            </w:tcMar>
          </w:tcPr>
          <w:p w14:paraId="2A242D15" w14:textId="77777777" w:rsidR="00CA3F6E" w:rsidRPr="00CA3F6E" w:rsidRDefault="00CA3F6E" w:rsidP="00615190">
            <w:pPr>
              <w:spacing w:line="240" w:lineRule="atLeast"/>
              <w:rPr>
                <w:rFonts w:ascii="Tahoma" w:hAnsi="Tahoma"/>
                <w:color w:val="000000" w:themeColor="text1"/>
                <w:sz w:val="16"/>
                <w:lang w:val="en-GB"/>
              </w:rPr>
            </w:pPr>
            <w:r w:rsidRPr="00CA3F6E">
              <w:rPr>
                <w:rFonts w:ascii="Tahoma" w:hAnsi="Tahoma"/>
                <w:color w:val="000000" w:themeColor="text1"/>
                <w:sz w:val="16"/>
                <w:lang w:val="en-GB"/>
              </w:rPr>
              <w:t>Ecommerce</w:t>
            </w:r>
          </w:p>
        </w:tc>
        <w:tc>
          <w:tcPr>
            <w:tcW w:w="992" w:type="dxa"/>
            <w:tcBorders>
              <w:top w:val="single" w:sz="4" w:space="0" w:color="auto"/>
              <w:bottom w:val="single" w:sz="4" w:space="0" w:color="auto"/>
            </w:tcBorders>
            <w:tcMar>
              <w:top w:w="113" w:type="dxa"/>
              <w:left w:w="0" w:type="dxa"/>
              <w:bottom w:w="113" w:type="dxa"/>
              <w:right w:w="0" w:type="dxa"/>
            </w:tcMar>
          </w:tcPr>
          <w:p w14:paraId="48E239D2" w14:textId="77777777" w:rsidR="00CA3F6E" w:rsidRPr="00CA3F6E" w:rsidRDefault="00CA3F6E" w:rsidP="00615190">
            <w:pPr>
              <w:spacing w:line="240" w:lineRule="atLeast"/>
              <w:rPr>
                <w:rFonts w:ascii="Tahoma" w:hAnsi="Tahoma"/>
                <w:color w:val="000000" w:themeColor="text1"/>
                <w:sz w:val="16"/>
                <w:lang w:val="en-GB"/>
              </w:rPr>
            </w:pPr>
            <w:r w:rsidRPr="00CA3F6E">
              <w:rPr>
                <w:rFonts w:ascii="Tahoma" w:hAnsi="Tahoma"/>
                <w:color w:val="000000" w:themeColor="text1"/>
                <w:sz w:val="16"/>
                <w:lang w:val="en-GB"/>
              </w:rPr>
              <w:t>Acquisition</w:t>
            </w:r>
          </w:p>
        </w:tc>
      </w:tr>
      <w:tr w:rsidR="00615190" w:rsidRPr="00CA3F6E" w14:paraId="35C331B4" w14:textId="77777777" w:rsidTr="003F6FAC">
        <w:trPr>
          <w:trHeight w:val="60"/>
        </w:trPr>
        <w:tc>
          <w:tcPr>
            <w:tcW w:w="397" w:type="dxa"/>
            <w:tcMar>
              <w:top w:w="113" w:type="dxa"/>
              <w:left w:w="0" w:type="dxa"/>
              <w:bottom w:w="113" w:type="dxa"/>
              <w:right w:w="0" w:type="dxa"/>
            </w:tcMar>
          </w:tcPr>
          <w:p w14:paraId="55E56DCF" w14:textId="77777777" w:rsidR="00CA3F6E" w:rsidRPr="00CA3F6E" w:rsidRDefault="00CA3F6E" w:rsidP="00615190">
            <w:pPr>
              <w:spacing w:line="240" w:lineRule="atLeast"/>
              <w:rPr>
                <w:rFonts w:ascii="Tahoma" w:hAnsi="Tahoma"/>
                <w:color w:val="000000" w:themeColor="text1"/>
                <w:sz w:val="16"/>
                <w:lang w:val="en-GB"/>
              </w:rPr>
            </w:pPr>
          </w:p>
        </w:tc>
        <w:tc>
          <w:tcPr>
            <w:tcW w:w="5273" w:type="dxa"/>
            <w:tcBorders>
              <w:top w:val="single" w:sz="4" w:space="0" w:color="auto"/>
              <w:bottom w:val="single" w:sz="4" w:space="0" w:color="auto"/>
            </w:tcBorders>
            <w:tcMar>
              <w:top w:w="113" w:type="dxa"/>
              <w:left w:w="0" w:type="dxa"/>
              <w:bottom w:w="113" w:type="dxa"/>
              <w:right w:w="113" w:type="dxa"/>
            </w:tcMar>
          </w:tcPr>
          <w:p w14:paraId="5DB29303" w14:textId="77777777" w:rsidR="00CA3F6E" w:rsidRPr="00CA3F6E" w:rsidRDefault="00CA3F6E" w:rsidP="00615190">
            <w:pPr>
              <w:spacing w:line="240" w:lineRule="atLeast"/>
              <w:rPr>
                <w:rFonts w:ascii="Tahoma" w:hAnsi="Tahoma"/>
                <w:color w:val="000000" w:themeColor="text1"/>
                <w:sz w:val="16"/>
                <w:lang w:val="en-GB"/>
              </w:rPr>
            </w:pPr>
            <w:r w:rsidRPr="00CA3F6E">
              <w:rPr>
                <w:rFonts w:ascii="Tahoma" w:hAnsi="Tahoma"/>
                <w:color w:val="000000" w:themeColor="text1"/>
                <w:sz w:val="16"/>
                <w:lang w:val="en-GB"/>
              </w:rPr>
              <w:t xml:space="preserve">Acquisition of the group’s interest in </w:t>
            </w:r>
            <w:proofErr w:type="spellStart"/>
            <w:r w:rsidRPr="00CA3F6E">
              <w:rPr>
                <w:rFonts w:ascii="Tahoma" w:hAnsi="Tahoma"/>
                <w:color w:val="000000" w:themeColor="text1"/>
                <w:sz w:val="16"/>
                <w:lang w:val="en-GB"/>
              </w:rPr>
              <w:t>Platzi</w:t>
            </w:r>
            <w:proofErr w:type="spellEnd"/>
          </w:p>
        </w:tc>
        <w:tc>
          <w:tcPr>
            <w:tcW w:w="1843" w:type="dxa"/>
            <w:tcBorders>
              <w:top w:val="single" w:sz="4" w:space="0" w:color="auto"/>
              <w:bottom w:val="single" w:sz="4" w:space="0" w:color="auto"/>
            </w:tcBorders>
            <w:tcMar>
              <w:top w:w="113" w:type="dxa"/>
              <w:left w:w="0" w:type="dxa"/>
              <w:bottom w:w="113" w:type="dxa"/>
              <w:right w:w="0" w:type="dxa"/>
            </w:tcMar>
          </w:tcPr>
          <w:p w14:paraId="26BEBAC0" w14:textId="77777777" w:rsidR="00CA3F6E" w:rsidRPr="00CA3F6E" w:rsidRDefault="00CA3F6E" w:rsidP="00615190">
            <w:pPr>
              <w:spacing w:line="240" w:lineRule="atLeast"/>
              <w:rPr>
                <w:rFonts w:ascii="Tahoma" w:hAnsi="Tahoma"/>
                <w:color w:val="000000" w:themeColor="text1"/>
                <w:sz w:val="16"/>
                <w:lang w:val="en-GB"/>
              </w:rPr>
            </w:pPr>
            <w:r w:rsidRPr="00CA3F6E">
              <w:rPr>
                <w:rFonts w:ascii="Tahoma" w:hAnsi="Tahoma"/>
                <w:color w:val="000000" w:themeColor="text1"/>
                <w:sz w:val="16"/>
                <w:lang w:val="en-GB"/>
              </w:rPr>
              <w:t>Associate</w:t>
            </w:r>
          </w:p>
        </w:tc>
        <w:tc>
          <w:tcPr>
            <w:tcW w:w="1701" w:type="dxa"/>
            <w:tcBorders>
              <w:top w:val="single" w:sz="4" w:space="0" w:color="auto"/>
              <w:bottom w:val="single" w:sz="4" w:space="0" w:color="auto"/>
            </w:tcBorders>
            <w:tcMar>
              <w:top w:w="113" w:type="dxa"/>
              <w:left w:w="0" w:type="dxa"/>
              <w:bottom w:w="113" w:type="dxa"/>
              <w:right w:w="0" w:type="dxa"/>
            </w:tcMar>
          </w:tcPr>
          <w:p w14:paraId="7E0F175C" w14:textId="77777777" w:rsidR="00CA3F6E" w:rsidRPr="00CA3F6E" w:rsidRDefault="00CA3F6E" w:rsidP="00615190">
            <w:pPr>
              <w:spacing w:line="240" w:lineRule="atLeast"/>
              <w:rPr>
                <w:rFonts w:ascii="Tahoma" w:hAnsi="Tahoma"/>
                <w:color w:val="000000" w:themeColor="text1"/>
                <w:sz w:val="16"/>
                <w:lang w:val="en-GB"/>
              </w:rPr>
            </w:pPr>
            <w:r w:rsidRPr="00CA3F6E">
              <w:rPr>
                <w:rFonts w:ascii="Tahoma" w:hAnsi="Tahoma"/>
                <w:color w:val="000000" w:themeColor="text1"/>
                <w:sz w:val="16"/>
                <w:lang w:val="en-GB"/>
              </w:rPr>
              <w:t>Ecommerce</w:t>
            </w:r>
          </w:p>
        </w:tc>
        <w:tc>
          <w:tcPr>
            <w:tcW w:w="992" w:type="dxa"/>
            <w:tcBorders>
              <w:top w:val="single" w:sz="4" w:space="0" w:color="auto"/>
              <w:bottom w:val="single" w:sz="4" w:space="0" w:color="auto"/>
            </w:tcBorders>
            <w:tcMar>
              <w:top w:w="113" w:type="dxa"/>
              <w:left w:w="0" w:type="dxa"/>
              <w:bottom w:w="113" w:type="dxa"/>
              <w:right w:w="0" w:type="dxa"/>
            </w:tcMar>
          </w:tcPr>
          <w:p w14:paraId="24002CCB" w14:textId="77777777" w:rsidR="00CA3F6E" w:rsidRPr="00CA3F6E" w:rsidRDefault="00CA3F6E" w:rsidP="00615190">
            <w:pPr>
              <w:spacing w:line="240" w:lineRule="atLeast"/>
              <w:rPr>
                <w:rFonts w:ascii="Tahoma" w:hAnsi="Tahoma"/>
                <w:color w:val="000000" w:themeColor="text1"/>
                <w:sz w:val="16"/>
                <w:lang w:val="en-GB"/>
              </w:rPr>
            </w:pPr>
            <w:r w:rsidRPr="00CA3F6E">
              <w:rPr>
                <w:rFonts w:ascii="Tahoma" w:hAnsi="Tahoma"/>
                <w:color w:val="000000" w:themeColor="text1"/>
                <w:sz w:val="16"/>
                <w:lang w:val="en-GB"/>
              </w:rPr>
              <w:t>Acquisition</w:t>
            </w:r>
          </w:p>
        </w:tc>
      </w:tr>
      <w:tr w:rsidR="00615190" w:rsidRPr="00CA3F6E" w14:paraId="3EED2F26" w14:textId="77777777" w:rsidTr="003F6FAC">
        <w:trPr>
          <w:trHeight w:val="60"/>
        </w:trPr>
        <w:tc>
          <w:tcPr>
            <w:tcW w:w="397" w:type="dxa"/>
            <w:tcMar>
              <w:top w:w="113" w:type="dxa"/>
              <w:left w:w="0" w:type="dxa"/>
              <w:bottom w:w="113" w:type="dxa"/>
              <w:right w:w="0" w:type="dxa"/>
            </w:tcMar>
          </w:tcPr>
          <w:p w14:paraId="1C568495" w14:textId="77777777" w:rsidR="00CA3F6E" w:rsidRPr="00CA3F6E" w:rsidRDefault="00CA3F6E" w:rsidP="00615190">
            <w:pPr>
              <w:spacing w:line="240" w:lineRule="atLeast"/>
              <w:rPr>
                <w:rFonts w:ascii="Tahoma" w:hAnsi="Tahoma"/>
                <w:color w:val="000000" w:themeColor="text1"/>
                <w:sz w:val="16"/>
                <w:lang w:val="en-GB"/>
              </w:rPr>
            </w:pPr>
          </w:p>
        </w:tc>
        <w:tc>
          <w:tcPr>
            <w:tcW w:w="5273" w:type="dxa"/>
            <w:tcBorders>
              <w:top w:val="single" w:sz="4" w:space="0" w:color="auto"/>
              <w:bottom w:val="single" w:sz="4" w:space="0" w:color="auto"/>
            </w:tcBorders>
            <w:tcMar>
              <w:top w:w="113" w:type="dxa"/>
              <w:left w:w="0" w:type="dxa"/>
              <w:bottom w:w="113" w:type="dxa"/>
              <w:right w:w="113" w:type="dxa"/>
            </w:tcMar>
          </w:tcPr>
          <w:p w14:paraId="3E2918D4" w14:textId="77777777" w:rsidR="00CA3F6E" w:rsidRPr="00CA3F6E" w:rsidRDefault="00CA3F6E" w:rsidP="00615190">
            <w:pPr>
              <w:spacing w:line="240" w:lineRule="atLeast"/>
              <w:rPr>
                <w:rFonts w:ascii="Tahoma" w:hAnsi="Tahoma"/>
                <w:color w:val="000000" w:themeColor="text1"/>
                <w:sz w:val="16"/>
                <w:lang w:val="en-GB"/>
              </w:rPr>
            </w:pPr>
            <w:r w:rsidRPr="00CA3F6E">
              <w:rPr>
                <w:rFonts w:ascii="Tahoma" w:hAnsi="Tahoma"/>
                <w:color w:val="000000" w:themeColor="text1"/>
                <w:sz w:val="16"/>
                <w:lang w:val="en-GB"/>
              </w:rPr>
              <w:t>Acquisition of the group’s interest in Stack Overflow</w:t>
            </w:r>
          </w:p>
        </w:tc>
        <w:tc>
          <w:tcPr>
            <w:tcW w:w="1843" w:type="dxa"/>
            <w:tcBorders>
              <w:top w:val="single" w:sz="4" w:space="0" w:color="auto"/>
              <w:bottom w:val="single" w:sz="4" w:space="0" w:color="auto"/>
            </w:tcBorders>
            <w:tcMar>
              <w:top w:w="113" w:type="dxa"/>
              <w:left w:w="0" w:type="dxa"/>
              <w:bottom w:w="113" w:type="dxa"/>
              <w:right w:w="0" w:type="dxa"/>
            </w:tcMar>
          </w:tcPr>
          <w:p w14:paraId="49AA488B" w14:textId="77777777" w:rsidR="00CA3F6E" w:rsidRPr="00CA3F6E" w:rsidRDefault="00CA3F6E" w:rsidP="00615190">
            <w:pPr>
              <w:spacing w:line="240" w:lineRule="atLeast"/>
              <w:rPr>
                <w:rFonts w:ascii="Tahoma" w:hAnsi="Tahoma"/>
                <w:color w:val="000000" w:themeColor="text1"/>
                <w:sz w:val="16"/>
                <w:lang w:val="en-GB"/>
              </w:rPr>
            </w:pPr>
            <w:r w:rsidRPr="00CA3F6E">
              <w:rPr>
                <w:rFonts w:ascii="Tahoma" w:hAnsi="Tahoma"/>
                <w:color w:val="000000" w:themeColor="text1"/>
                <w:sz w:val="16"/>
                <w:lang w:val="en-GB"/>
              </w:rPr>
              <w:t>Subsidiary</w:t>
            </w:r>
          </w:p>
        </w:tc>
        <w:tc>
          <w:tcPr>
            <w:tcW w:w="1701" w:type="dxa"/>
            <w:tcBorders>
              <w:top w:val="single" w:sz="4" w:space="0" w:color="auto"/>
              <w:bottom w:val="single" w:sz="4" w:space="0" w:color="auto"/>
            </w:tcBorders>
            <w:tcMar>
              <w:top w:w="113" w:type="dxa"/>
              <w:left w:w="0" w:type="dxa"/>
              <w:bottom w:w="113" w:type="dxa"/>
              <w:right w:w="0" w:type="dxa"/>
            </w:tcMar>
          </w:tcPr>
          <w:p w14:paraId="24ADD9EF" w14:textId="77777777" w:rsidR="00CA3F6E" w:rsidRPr="00CA3F6E" w:rsidRDefault="00CA3F6E" w:rsidP="00615190">
            <w:pPr>
              <w:spacing w:line="240" w:lineRule="atLeast"/>
              <w:rPr>
                <w:rFonts w:ascii="Tahoma" w:hAnsi="Tahoma"/>
                <w:color w:val="000000" w:themeColor="text1"/>
                <w:sz w:val="16"/>
                <w:lang w:val="en-GB"/>
              </w:rPr>
            </w:pPr>
            <w:r w:rsidRPr="00CA3F6E">
              <w:rPr>
                <w:rFonts w:ascii="Tahoma" w:hAnsi="Tahoma"/>
                <w:color w:val="000000" w:themeColor="text1"/>
                <w:sz w:val="16"/>
                <w:lang w:val="en-GB"/>
              </w:rPr>
              <w:t>Ecommerce</w:t>
            </w:r>
          </w:p>
        </w:tc>
        <w:tc>
          <w:tcPr>
            <w:tcW w:w="992" w:type="dxa"/>
            <w:tcBorders>
              <w:top w:val="single" w:sz="4" w:space="0" w:color="auto"/>
              <w:bottom w:val="single" w:sz="4" w:space="0" w:color="auto"/>
            </w:tcBorders>
            <w:tcMar>
              <w:top w:w="113" w:type="dxa"/>
              <w:left w:w="0" w:type="dxa"/>
              <w:bottom w:w="113" w:type="dxa"/>
              <w:right w:w="0" w:type="dxa"/>
            </w:tcMar>
          </w:tcPr>
          <w:p w14:paraId="3C8E6CB5" w14:textId="77777777" w:rsidR="00CA3F6E" w:rsidRPr="00CA3F6E" w:rsidRDefault="00CA3F6E" w:rsidP="00615190">
            <w:pPr>
              <w:spacing w:line="240" w:lineRule="atLeast"/>
              <w:rPr>
                <w:rFonts w:ascii="Tahoma" w:hAnsi="Tahoma"/>
                <w:color w:val="000000" w:themeColor="text1"/>
                <w:sz w:val="16"/>
                <w:lang w:val="en-GB"/>
              </w:rPr>
            </w:pPr>
            <w:r w:rsidRPr="00CA3F6E">
              <w:rPr>
                <w:rFonts w:ascii="Tahoma" w:hAnsi="Tahoma"/>
                <w:color w:val="000000" w:themeColor="text1"/>
                <w:sz w:val="16"/>
                <w:lang w:val="en-GB"/>
              </w:rPr>
              <w:t>Acquisition</w:t>
            </w:r>
          </w:p>
        </w:tc>
      </w:tr>
      <w:tr w:rsidR="00615190" w:rsidRPr="00CA3F6E" w14:paraId="2B8836CF" w14:textId="77777777" w:rsidTr="003F6FAC">
        <w:trPr>
          <w:trHeight w:val="60"/>
        </w:trPr>
        <w:tc>
          <w:tcPr>
            <w:tcW w:w="397" w:type="dxa"/>
            <w:tcMar>
              <w:top w:w="113" w:type="dxa"/>
              <w:left w:w="0" w:type="dxa"/>
              <w:bottom w:w="113" w:type="dxa"/>
              <w:right w:w="0" w:type="dxa"/>
            </w:tcMar>
          </w:tcPr>
          <w:p w14:paraId="2C36A504" w14:textId="77777777" w:rsidR="00CA3F6E" w:rsidRPr="00CA3F6E" w:rsidRDefault="00CA3F6E" w:rsidP="00615190">
            <w:pPr>
              <w:spacing w:line="240" w:lineRule="atLeast"/>
              <w:rPr>
                <w:rFonts w:ascii="Tahoma" w:hAnsi="Tahoma"/>
                <w:color w:val="000000" w:themeColor="text1"/>
                <w:sz w:val="16"/>
                <w:lang w:val="en-GB"/>
              </w:rPr>
            </w:pPr>
          </w:p>
        </w:tc>
        <w:tc>
          <w:tcPr>
            <w:tcW w:w="5273" w:type="dxa"/>
            <w:tcBorders>
              <w:top w:val="single" w:sz="4" w:space="0" w:color="auto"/>
              <w:bottom w:val="single" w:sz="4" w:space="0" w:color="auto"/>
            </w:tcBorders>
            <w:tcMar>
              <w:top w:w="113" w:type="dxa"/>
              <w:left w:w="0" w:type="dxa"/>
              <w:bottom w:w="113" w:type="dxa"/>
              <w:right w:w="113" w:type="dxa"/>
            </w:tcMar>
          </w:tcPr>
          <w:p w14:paraId="4765469F" w14:textId="77777777" w:rsidR="00CA3F6E" w:rsidRPr="00CA3F6E" w:rsidRDefault="00CA3F6E" w:rsidP="00615190">
            <w:pPr>
              <w:spacing w:line="240" w:lineRule="atLeast"/>
              <w:rPr>
                <w:rFonts w:ascii="Tahoma" w:hAnsi="Tahoma"/>
                <w:color w:val="000000" w:themeColor="text1"/>
                <w:sz w:val="16"/>
                <w:lang w:val="en-GB"/>
              </w:rPr>
            </w:pPr>
            <w:r w:rsidRPr="00CA3F6E">
              <w:rPr>
                <w:rFonts w:ascii="Tahoma" w:hAnsi="Tahoma"/>
                <w:color w:val="000000" w:themeColor="text1"/>
                <w:sz w:val="16"/>
                <w:lang w:val="en-GB"/>
              </w:rPr>
              <w:t>Acquisition of the group’s interest in Skillsoft</w:t>
            </w:r>
          </w:p>
        </w:tc>
        <w:tc>
          <w:tcPr>
            <w:tcW w:w="1843" w:type="dxa"/>
            <w:tcBorders>
              <w:top w:val="single" w:sz="4" w:space="0" w:color="auto"/>
              <w:bottom w:val="single" w:sz="4" w:space="0" w:color="auto"/>
            </w:tcBorders>
            <w:tcMar>
              <w:top w:w="113" w:type="dxa"/>
              <w:left w:w="0" w:type="dxa"/>
              <w:bottom w:w="113" w:type="dxa"/>
              <w:right w:w="0" w:type="dxa"/>
            </w:tcMar>
          </w:tcPr>
          <w:p w14:paraId="13531622" w14:textId="77777777" w:rsidR="00CA3F6E" w:rsidRPr="00CA3F6E" w:rsidRDefault="00CA3F6E" w:rsidP="00615190">
            <w:pPr>
              <w:spacing w:line="240" w:lineRule="atLeast"/>
              <w:rPr>
                <w:rFonts w:ascii="Tahoma" w:hAnsi="Tahoma"/>
                <w:color w:val="000000" w:themeColor="text1"/>
                <w:sz w:val="16"/>
                <w:lang w:val="en-GB"/>
              </w:rPr>
            </w:pPr>
            <w:r w:rsidRPr="00CA3F6E">
              <w:rPr>
                <w:rFonts w:ascii="Tahoma" w:hAnsi="Tahoma"/>
                <w:color w:val="000000" w:themeColor="text1"/>
                <w:sz w:val="16"/>
                <w:lang w:val="en-GB"/>
              </w:rPr>
              <w:t>Associate</w:t>
            </w:r>
          </w:p>
        </w:tc>
        <w:tc>
          <w:tcPr>
            <w:tcW w:w="1701" w:type="dxa"/>
            <w:tcBorders>
              <w:top w:val="single" w:sz="4" w:space="0" w:color="auto"/>
              <w:bottom w:val="single" w:sz="4" w:space="0" w:color="auto"/>
            </w:tcBorders>
            <w:tcMar>
              <w:top w:w="113" w:type="dxa"/>
              <w:left w:w="0" w:type="dxa"/>
              <w:bottom w:w="113" w:type="dxa"/>
              <w:right w:w="0" w:type="dxa"/>
            </w:tcMar>
          </w:tcPr>
          <w:p w14:paraId="7584DE0E" w14:textId="77777777" w:rsidR="00CA3F6E" w:rsidRPr="00CA3F6E" w:rsidRDefault="00CA3F6E" w:rsidP="00615190">
            <w:pPr>
              <w:spacing w:line="240" w:lineRule="atLeast"/>
              <w:rPr>
                <w:rFonts w:ascii="Tahoma" w:hAnsi="Tahoma"/>
                <w:color w:val="000000" w:themeColor="text1"/>
                <w:sz w:val="16"/>
                <w:lang w:val="en-GB"/>
              </w:rPr>
            </w:pPr>
            <w:r w:rsidRPr="00CA3F6E">
              <w:rPr>
                <w:rFonts w:ascii="Tahoma" w:hAnsi="Tahoma"/>
                <w:color w:val="000000" w:themeColor="text1"/>
                <w:sz w:val="16"/>
                <w:lang w:val="en-GB"/>
              </w:rPr>
              <w:t>Ecommerce</w:t>
            </w:r>
          </w:p>
        </w:tc>
        <w:tc>
          <w:tcPr>
            <w:tcW w:w="992" w:type="dxa"/>
            <w:tcBorders>
              <w:top w:val="single" w:sz="4" w:space="0" w:color="auto"/>
              <w:bottom w:val="single" w:sz="4" w:space="0" w:color="auto"/>
            </w:tcBorders>
            <w:tcMar>
              <w:top w:w="113" w:type="dxa"/>
              <w:left w:w="0" w:type="dxa"/>
              <w:bottom w:w="113" w:type="dxa"/>
              <w:right w:w="0" w:type="dxa"/>
            </w:tcMar>
          </w:tcPr>
          <w:p w14:paraId="0547B8C6" w14:textId="77777777" w:rsidR="00CA3F6E" w:rsidRPr="00CA3F6E" w:rsidRDefault="00CA3F6E" w:rsidP="00615190">
            <w:pPr>
              <w:spacing w:line="240" w:lineRule="atLeast"/>
              <w:rPr>
                <w:rFonts w:ascii="Tahoma" w:hAnsi="Tahoma"/>
                <w:color w:val="000000" w:themeColor="text1"/>
                <w:sz w:val="16"/>
                <w:lang w:val="en-GB"/>
              </w:rPr>
            </w:pPr>
            <w:r w:rsidRPr="00CA3F6E">
              <w:rPr>
                <w:rFonts w:ascii="Tahoma" w:hAnsi="Tahoma"/>
                <w:color w:val="000000" w:themeColor="text1"/>
                <w:sz w:val="16"/>
                <w:lang w:val="en-GB"/>
              </w:rPr>
              <w:t>Acquisition</w:t>
            </w:r>
          </w:p>
        </w:tc>
      </w:tr>
      <w:tr w:rsidR="00615190" w:rsidRPr="00CA3F6E" w14:paraId="17F0E7C6" w14:textId="77777777" w:rsidTr="006173D5">
        <w:trPr>
          <w:trHeight w:val="60"/>
        </w:trPr>
        <w:tc>
          <w:tcPr>
            <w:tcW w:w="397" w:type="dxa"/>
            <w:tcMar>
              <w:top w:w="113" w:type="dxa"/>
              <w:left w:w="0" w:type="dxa"/>
              <w:bottom w:w="113" w:type="dxa"/>
              <w:right w:w="0" w:type="dxa"/>
            </w:tcMar>
          </w:tcPr>
          <w:p w14:paraId="23AB637D" w14:textId="77777777" w:rsidR="00CA3F6E" w:rsidRPr="00CA3F6E" w:rsidRDefault="00CA3F6E" w:rsidP="00615190">
            <w:pPr>
              <w:spacing w:line="240" w:lineRule="atLeast"/>
              <w:rPr>
                <w:rFonts w:ascii="Tahoma" w:hAnsi="Tahoma"/>
                <w:color w:val="000000" w:themeColor="text1"/>
                <w:sz w:val="16"/>
                <w:lang w:val="en-GB"/>
              </w:rPr>
            </w:pPr>
          </w:p>
        </w:tc>
        <w:tc>
          <w:tcPr>
            <w:tcW w:w="5273" w:type="dxa"/>
            <w:tcBorders>
              <w:top w:val="single" w:sz="4" w:space="0" w:color="auto"/>
              <w:bottom w:val="single" w:sz="4" w:space="0" w:color="auto"/>
            </w:tcBorders>
            <w:tcMar>
              <w:top w:w="113" w:type="dxa"/>
              <w:left w:w="0" w:type="dxa"/>
              <w:bottom w:w="113" w:type="dxa"/>
              <w:right w:w="113" w:type="dxa"/>
            </w:tcMar>
          </w:tcPr>
          <w:p w14:paraId="01148669" w14:textId="77777777" w:rsidR="00CA3F6E" w:rsidRPr="00CA3F6E" w:rsidRDefault="00CA3F6E" w:rsidP="00615190">
            <w:pPr>
              <w:spacing w:line="240" w:lineRule="atLeast"/>
              <w:rPr>
                <w:rFonts w:ascii="Tahoma" w:hAnsi="Tahoma"/>
                <w:color w:val="000000" w:themeColor="text1"/>
                <w:sz w:val="16"/>
                <w:lang w:val="en-GB"/>
              </w:rPr>
            </w:pPr>
            <w:r w:rsidRPr="00CA3F6E">
              <w:rPr>
                <w:rFonts w:ascii="Tahoma" w:hAnsi="Tahoma"/>
                <w:color w:val="000000" w:themeColor="text1"/>
                <w:sz w:val="16"/>
                <w:lang w:val="en-GB"/>
              </w:rPr>
              <w:t>Dilution and lag-period catch-up adjustment following the subsequent loss of significant influence of the group’s interest in Udemy</w:t>
            </w:r>
          </w:p>
        </w:tc>
        <w:tc>
          <w:tcPr>
            <w:tcW w:w="1843" w:type="dxa"/>
            <w:tcBorders>
              <w:top w:val="single" w:sz="4" w:space="0" w:color="auto"/>
              <w:bottom w:val="single" w:sz="4" w:space="0" w:color="auto"/>
            </w:tcBorders>
            <w:tcMar>
              <w:top w:w="113" w:type="dxa"/>
              <w:left w:w="0" w:type="dxa"/>
              <w:bottom w:w="113" w:type="dxa"/>
              <w:right w:w="0" w:type="dxa"/>
            </w:tcMar>
          </w:tcPr>
          <w:p w14:paraId="0B750F03" w14:textId="77777777" w:rsidR="00CA3F6E" w:rsidRPr="00CA3F6E" w:rsidRDefault="00CA3F6E" w:rsidP="00615190">
            <w:pPr>
              <w:spacing w:line="240" w:lineRule="atLeast"/>
              <w:rPr>
                <w:rFonts w:ascii="Tahoma" w:hAnsi="Tahoma"/>
                <w:color w:val="000000" w:themeColor="text1"/>
                <w:sz w:val="16"/>
                <w:lang w:val="en-GB"/>
              </w:rPr>
            </w:pPr>
            <w:r w:rsidRPr="00CA3F6E">
              <w:rPr>
                <w:rFonts w:ascii="Tahoma" w:hAnsi="Tahoma"/>
                <w:color w:val="000000" w:themeColor="text1"/>
                <w:sz w:val="16"/>
                <w:lang w:val="en-GB"/>
              </w:rPr>
              <w:t>Associate</w:t>
            </w:r>
          </w:p>
        </w:tc>
        <w:tc>
          <w:tcPr>
            <w:tcW w:w="1701" w:type="dxa"/>
            <w:tcBorders>
              <w:top w:val="single" w:sz="4" w:space="0" w:color="auto"/>
              <w:bottom w:val="single" w:sz="4" w:space="0" w:color="auto"/>
            </w:tcBorders>
            <w:tcMar>
              <w:top w:w="113" w:type="dxa"/>
              <w:left w:w="0" w:type="dxa"/>
              <w:bottom w:w="113" w:type="dxa"/>
              <w:right w:w="0" w:type="dxa"/>
            </w:tcMar>
          </w:tcPr>
          <w:p w14:paraId="24CDA7A8" w14:textId="77777777" w:rsidR="00CA3F6E" w:rsidRPr="00CA3F6E" w:rsidRDefault="00CA3F6E" w:rsidP="00615190">
            <w:pPr>
              <w:spacing w:line="240" w:lineRule="atLeast"/>
              <w:rPr>
                <w:rFonts w:ascii="Tahoma" w:hAnsi="Tahoma"/>
                <w:color w:val="000000" w:themeColor="text1"/>
                <w:sz w:val="16"/>
                <w:lang w:val="en-GB"/>
              </w:rPr>
            </w:pPr>
            <w:r w:rsidRPr="00CA3F6E">
              <w:rPr>
                <w:rFonts w:ascii="Tahoma" w:hAnsi="Tahoma"/>
                <w:color w:val="000000" w:themeColor="text1"/>
                <w:sz w:val="16"/>
                <w:lang w:val="en-GB"/>
              </w:rPr>
              <w:t>Ecommerce</w:t>
            </w:r>
          </w:p>
        </w:tc>
        <w:tc>
          <w:tcPr>
            <w:tcW w:w="992" w:type="dxa"/>
            <w:tcBorders>
              <w:top w:val="single" w:sz="4" w:space="0" w:color="auto"/>
              <w:bottom w:val="single" w:sz="4" w:space="0" w:color="auto"/>
            </w:tcBorders>
            <w:tcMar>
              <w:top w:w="113" w:type="dxa"/>
              <w:left w:w="0" w:type="dxa"/>
              <w:bottom w:w="113" w:type="dxa"/>
              <w:right w:w="0" w:type="dxa"/>
            </w:tcMar>
          </w:tcPr>
          <w:p w14:paraId="00A5948A" w14:textId="77777777" w:rsidR="001B6BC2" w:rsidRDefault="00CA3F6E" w:rsidP="00615190">
            <w:pPr>
              <w:spacing w:line="240" w:lineRule="atLeast"/>
              <w:rPr>
                <w:rFonts w:ascii="Tahoma" w:hAnsi="Tahoma"/>
                <w:color w:val="000000" w:themeColor="text1"/>
                <w:sz w:val="16"/>
                <w:lang w:val="en-GB"/>
              </w:rPr>
            </w:pPr>
            <w:r w:rsidRPr="00CA3F6E">
              <w:rPr>
                <w:rFonts w:ascii="Tahoma" w:hAnsi="Tahoma"/>
                <w:color w:val="000000" w:themeColor="text1"/>
                <w:sz w:val="16"/>
                <w:lang w:val="en-GB"/>
              </w:rPr>
              <w:t>Disposal/</w:t>
            </w:r>
          </w:p>
          <w:p w14:paraId="6B402C50" w14:textId="77777777" w:rsidR="00CA3F6E" w:rsidRPr="00CA3F6E" w:rsidRDefault="00CA3F6E" w:rsidP="00615190">
            <w:pPr>
              <w:spacing w:line="240" w:lineRule="atLeast"/>
              <w:rPr>
                <w:rFonts w:ascii="Tahoma" w:hAnsi="Tahoma"/>
                <w:color w:val="000000" w:themeColor="text1"/>
                <w:sz w:val="16"/>
                <w:lang w:val="en-GB"/>
              </w:rPr>
            </w:pPr>
            <w:r w:rsidRPr="00CA3F6E">
              <w:rPr>
                <w:rFonts w:ascii="Tahoma" w:hAnsi="Tahoma"/>
                <w:color w:val="000000" w:themeColor="text1"/>
                <w:sz w:val="16"/>
                <w:lang w:val="en-GB"/>
              </w:rPr>
              <w:t>Acquisition</w:t>
            </w:r>
          </w:p>
        </w:tc>
      </w:tr>
      <w:tr w:rsidR="00615190" w:rsidRPr="00CA3F6E" w14:paraId="6B867CAE" w14:textId="77777777" w:rsidTr="006173D5">
        <w:trPr>
          <w:trHeight w:val="60"/>
        </w:trPr>
        <w:tc>
          <w:tcPr>
            <w:tcW w:w="397" w:type="dxa"/>
            <w:tcMar>
              <w:top w:w="113" w:type="dxa"/>
              <w:left w:w="0" w:type="dxa"/>
              <w:bottom w:w="113" w:type="dxa"/>
              <w:right w:w="0" w:type="dxa"/>
            </w:tcMar>
          </w:tcPr>
          <w:p w14:paraId="0FF85127" w14:textId="77777777" w:rsidR="00CA3F6E" w:rsidRPr="00CA3F6E" w:rsidRDefault="00CA3F6E" w:rsidP="00615190">
            <w:pPr>
              <w:spacing w:line="240" w:lineRule="atLeast"/>
              <w:rPr>
                <w:rFonts w:ascii="Tahoma" w:hAnsi="Tahoma"/>
                <w:color w:val="000000" w:themeColor="text1"/>
                <w:sz w:val="16"/>
                <w:lang w:val="en-GB"/>
              </w:rPr>
            </w:pPr>
          </w:p>
        </w:tc>
        <w:tc>
          <w:tcPr>
            <w:tcW w:w="5273" w:type="dxa"/>
            <w:tcBorders>
              <w:top w:val="single" w:sz="4" w:space="0" w:color="auto"/>
              <w:bottom w:val="single" w:sz="4" w:space="0" w:color="auto"/>
            </w:tcBorders>
            <w:tcMar>
              <w:top w:w="113" w:type="dxa"/>
              <w:left w:w="0" w:type="dxa"/>
              <w:bottom w:w="113" w:type="dxa"/>
              <w:right w:w="113" w:type="dxa"/>
            </w:tcMar>
          </w:tcPr>
          <w:p w14:paraId="444DFDD0" w14:textId="77777777" w:rsidR="00CA3F6E" w:rsidRPr="00CA3F6E" w:rsidRDefault="00CA3F6E" w:rsidP="00615190">
            <w:pPr>
              <w:spacing w:line="240" w:lineRule="atLeast"/>
              <w:rPr>
                <w:rFonts w:ascii="Tahoma" w:hAnsi="Tahoma"/>
                <w:color w:val="000000" w:themeColor="text1"/>
                <w:sz w:val="16"/>
                <w:lang w:val="en-GB"/>
              </w:rPr>
            </w:pPr>
            <w:r w:rsidRPr="00CA3F6E">
              <w:rPr>
                <w:rFonts w:ascii="Tahoma" w:hAnsi="Tahoma"/>
                <w:color w:val="000000" w:themeColor="text1"/>
                <w:sz w:val="16"/>
                <w:lang w:val="en-GB"/>
              </w:rPr>
              <w:t xml:space="preserve">Increase in the group’s interest in </w:t>
            </w:r>
            <w:proofErr w:type="spellStart"/>
            <w:r w:rsidRPr="00CA3F6E">
              <w:rPr>
                <w:rFonts w:ascii="Tahoma" w:hAnsi="Tahoma"/>
                <w:color w:val="000000" w:themeColor="text1"/>
                <w:sz w:val="16"/>
                <w:lang w:val="en-GB"/>
              </w:rPr>
              <w:t>ElasticRun</w:t>
            </w:r>
            <w:proofErr w:type="spellEnd"/>
            <w:r w:rsidRPr="00CA3F6E">
              <w:rPr>
                <w:rFonts w:ascii="Tahoma" w:hAnsi="Tahoma"/>
                <w:color w:val="000000" w:themeColor="text1"/>
                <w:sz w:val="16"/>
                <w:lang w:val="en-GB"/>
              </w:rPr>
              <w:t>, together with the impact of change in revenue recognition</w:t>
            </w:r>
          </w:p>
        </w:tc>
        <w:tc>
          <w:tcPr>
            <w:tcW w:w="1843" w:type="dxa"/>
            <w:tcBorders>
              <w:top w:val="single" w:sz="4" w:space="0" w:color="auto"/>
              <w:bottom w:val="single" w:sz="4" w:space="0" w:color="auto"/>
            </w:tcBorders>
            <w:tcMar>
              <w:top w:w="113" w:type="dxa"/>
              <w:left w:w="0" w:type="dxa"/>
              <w:bottom w:w="113" w:type="dxa"/>
              <w:right w:w="0" w:type="dxa"/>
            </w:tcMar>
          </w:tcPr>
          <w:p w14:paraId="7F0EFAB0" w14:textId="77777777" w:rsidR="00CA3F6E" w:rsidRPr="00CA3F6E" w:rsidRDefault="00CA3F6E" w:rsidP="00615190">
            <w:pPr>
              <w:spacing w:line="240" w:lineRule="atLeast"/>
              <w:rPr>
                <w:rFonts w:ascii="Tahoma" w:hAnsi="Tahoma"/>
                <w:color w:val="000000" w:themeColor="text1"/>
                <w:sz w:val="16"/>
                <w:lang w:val="en-GB"/>
              </w:rPr>
            </w:pPr>
            <w:r w:rsidRPr="00CA3F6E">
              <w:rPr>
                <w:rFonts w:ascii="Tahoma" w:hAnsi="Tahoma"/>
                <w:color w:val="000000" w:themeColor="text1"/>
                <w:sz w:val="16"/>
                <w:lang w:val="en-GB"/>
              </w:rPr>
              <w:t>Associate</w:t>
            </w:r>
          </w:p>
        </w:tc>
        <w:tc>
          <w:tcPr>
            <w:tcW w:w="1701" w:type="dxa"/>
            <w:tcBorders>
              <w:top w:val="single" w:sz="4" w:space="0" w:color="auto"/>
              <w:bottom w:val="single" w:sz="4" w:space="0" w:color="auto"/>
            </w:tcBorders>
            <w:tcMar>
              <w:top w:w="113" w:type="dxa"/>
              <w:left w:w="0" w:type="dxa"/>
              <w:bottom w:w="113" w:type="dxa"/>
              <w:right w:w="0" w:type="dxa"/>
            </w:tcMar>
          </w:tcPr>
          <w:p w14:paraId="7CB421E1" w14:textId="77777777" w:rsidR="00CA3F6E" w:rsidRPr="00CA3F6E" w:rsidRDefault="00CA3F6E" w:rsidP="00615190">
            <w:pPr>
              <w:spacing w:line="240" w:lineRule="atLeast"/>
              <w:rPr>
                <w:rFonts w:ascii="Tahoma" w:hAnsi="Tahoma"/>
                <w:color w:val="000000" w:themeColor="text1"/>
                <w:sz w:val="16"/>
                <w:lang w:val="en-GB"/>
              </w:rPr>
            </w:pPr>
            <w:r w:rsidRPr="00CA3F6E">
              <w:rPr>
                <w:rFonts w:ascii="Tahoma" w:hAnsi="Tahoma"/>
                <w:color w:val="000000" w:themeColor="text1"/>
                <w:sz w:val="16"/>
                <w:lang w:val="en-GB"/>
              </w:rPr>
              <w:t>Ecommerce</w:t>
            </w:r>
          </w:p>
        </w:tc>
        <w:tc>
          <w:tcPr>
            <w:tcW w:w="992" w:type="dxa"/>
            <w:tcBorders>
              <w:top w:val="single" w:sz="4" w:space="0" w:color="auto"/>
              <w:bottom w:val="single" w:sz="4" w:space="0" w:color="auto"/>
            </w:tcBorders>
            <w:tcMar>
              <w:top w:w="113" w:type="dxa"/>
              <w:left w:w="0" w:type="dxa"/>
              <w:bottom w:w="113" w:type="dxa"/>
              <w:right w:w="0" w:type="dxa"/>
            </w:tcMar>
          </w:tcPr>
          <w:p w14:paraId="25849CF7" w14:textId="77777777" w:rsidR="00CA3F6E" w:rsidRPr="00CA3F6E" w:rsidRDefault="00CA3F6E" w:rsidP="00615190">
            <w:pPr>
              <w:spacing w:line="240" w:lineRule="atLeast"/>
              <w:rPr>
                <w:rFonts w:ascii="Tahoma" w:hAnsi="Tahoma"/>
                <w:color w:val="000000" w:themeColor="text1"/>
                <w:sz w:val="16"/>
                <w:lang w:val="en-GB"/>
              </w:rPr>
            </w:pPr>
            <w:r w:rsidRPr="00CA3F6E">
              <w:rPr>
                <w:rFonts w:ascii="Tahoma" w:hAnsi="Tahoma"/>
                <w:color w:val="000000" w:themeColor="text1"/>
                <w:sz w:val="16"/>
                <w:lang w:val="en-GB"/>
              </w:rPr>
              <w:t>Acquisition</w:t>
            </w:r>
          </w:p>
        </w:tc>
      </w:tr>
      <w:tr w:rsidR="00615190" w:rsidRPr="00CA3F6E" w14:paraId="7CA63576" w14:textId="77777777" w:rsidTr="00D1206A">
        <w:trPr>
          <w:trHeight w:val="60"/>
        </w:trPr>
        <w:tc>
          <w:tcPr>
            <w:tcW w:w="10206" w:type="dxa"/>
            <w:gridSpan w:val="5"/>
            <w:tcMar>
              <w:top w:w="113" w:type="dxa"/>
              <w:left w:w="0" w:type="dxa"/>
              <w:bottom w:w="113" w:type="dxa"/>
              <w:right w:w="0" w:type="dxa"/>
            </w:tcMar>
          </w:tcPr>
          <w:p w14:paraId="216A0DF5" w14:textId="77777777" w:rsidR="00CA3F6E" w:rsidRPr="00CA3F6E" w:rsidRDefault="00CA3F6E" w:rsidP="00615190">
            <w:pPr>
              <w:spacing w:line="240" w:lineRule="atLeast"/>
              <w:rPr>
                <w:rFonts w:ascii="Tahoma" w:hAnsi="Tahoma"/>
                <w:color w:val="000000" w:themeColor="text1"/>
                <w:sz w:val="16"/>
                <w:lang w:val="en-GB"/>
              </w:rPr>
            </w:pPr>
          </w:p>
        </w:tc>
      </w:tr>
    </w:tbl>
    <w:p w14:paraId="0F5DD852" w14:textId="77777777" w:rsidR="008232F8" w:rsidRDefault="008232F8" w:rsidP="00615190">
      <w:pPr>
        <w:spacing w:line="240" w:lineRule="atLeast"/>
        <w:rPr>
          <w:rFonts w:ascii="Tahoma" w:hAnsi="Tahoma"/>
          <w:color w:val="000000" w:themeColor="text1"/>
          <w:sz w:val="16"/>
        </w:rPr>
      </w:pPr>
    </w:p>
    <w:p w14:paraId="1E407D5C" w14:textId="77777777" w:rsidR="008232F8" w:rsidRDefault="008232F8">
      <w:pPr>
        <w:rPr>
          <w:rFonts w:ascii="Tahoma" w:hAnsi="Tahoma"/>
          <w:color w:val="000000" w:themeColor="text1"/>
          <w:sz w:val="16"/>
        </w:rPr>
      </w:pPr>
      <w:r>
        <w:rPr>
          <w:rFonts w:ascii="Tahoma" w:hAnsi="Tahoma"/>
          <w:color w:val="000000" w:themeColor="text1"/>
          <w:sz w:val="16"/>
        </w:rPr>
        <w:br w:type="page"/>
      </w:r>
    </w:p>
    <w:p w14:paraId="2B15F569" w14:textId="77777777" w:rsidR="00CA3F6E" w:rsidRDefault="00CA3F6E" w:rsidP="00615190">
      <w:pPr>
        <w:spacing w:line="240" w:lineRule="atLeast"/>
        <w:rPr>
          <w:rFonts w:ascii="Tahoma" w:hAnsi="Tahoma"/>
          <w:color w:val="000000" w:themeColor="text1"/>
          <w:sz w:val="16"/>
        </w:rPr>
      </w:pPr>
    </w:p>
    <w:tbl>
      <w:tblPr>
        <w:tblW w:w="10206" w:type="dxa"/>
        <w:tblInd w:w="-8" w:type="dxa"/>
        <w:tblLayout w:type="fixed"/>
        <w:tblCellMar>
          <w:left w:w="0" w:type="dxa"/>
          <w:right w:w="0" w:type="dxa"/>
        </w:tblCellMar>
        <w:tblLook w:val="0000" w:firstRow="0" w:lastRow="0" w:firstColumn="0" w:lastColumn="0" w:noHBand="0" w:noVBand="0"/>
      </w:tblPr>
      <w:tblGrid>
        <w:gridCol w:w="397"/>
        <w:gridCol w:w="5273"/>
        <w:gridCol w:w="1843"/>
        <w:gridCol w:w="1701"/>
        <w:gridCol w:w="992"/>
      </w:tblGrid>
      <w:tr w:rsidR="00D1206A" w:rsidRPr="00CA3F6E" w14:paraId="387D4311" w14:textId="77777777" w:rsidTr="00922C21">
        <w:trPr>
          <w:trHeight w:val="60"/>
        </w:trPr>
        <w:tc>
          <w:tcPr>
            <w:tcW w:w="397" w:type="dxa"/>
            <w:tcMar>
              <w:top w:w="0" w:type="dxa"/>
              <w:left w:w="0" w:type="dxa"/>
              <w:bottom w:w="57" w:type="dxa"/>
              <w:right w:w="0" w:type="dxa"/>
            </w:tcMar>
            <w:vAlign w:val="bottom"/>
          </w:tcPr>
          <w:p w14:paraId="04747F76" w14:textId="77777777" w:rsidR="00D1206A" w:rsidRPr="00875F95" w:rsidRDefault="00D1206A" w:rsidP="00D1206A">
            <w:pPr>
              <w:spacing w:line="240" w:lineRule="atLeast"/>
              <w:rPr>
                <w:rFonts w:ascii="Tahoma" w:hAnsi="Tahoma"/>
                <w:b/>
                <w:bCs/>
                <w:color w:val="000000" w:themeColor="text1"/>
                <w:sz w:val="16"/>
                <w:lang w:val="en-GB"/>
              </w:rPr>
            </w:pPr>
            <w:r w:rsidRPr="00875F95">
              <w:rPr>
                <w:rFonts w:ascii="Tahoma" w:hAnsi="Tahoma"/>
                <w:b/>
                <w:bCs/>
                <w:color w:val="000000" w:themeColor="text1"/>
                <w:sz w:val="16"/>
                <w:lang w:val="en-GB"/>
              </w:rPr>
              <w:t>A.</w:t>
            </w:r>
          </w:p>
        </w:tc>
        <w:tc>
          <w:tcPr>
            <w:tcW w:w="9809" w:type="dxa"/>
            <w:gridSpan w:val="4"/>
            <w:tcMar>
              <w:top w:w="0" w:type="dxa"/>
              <w:left w:w="0" w:type="dxa"/>
              <w:bottom w:w="57" w:type="dxa"/>
              <w:right w:w="0" w:type="dxa"/>
            </w:tcMar>
            <w:vAlign w:val="bottom"/>
          </w:tcPr>
          <w:p w14:paraId="044A7BD5" w14:textId="77777777" w:rsidR="00D1206A" w:rsidRPr="00875F95" w:rsidRDefault="00D1206A" w:rsidP="00D1206A">
            <w:pPr>
              <w:spacing w:line="240" w:lineRule="atLeast"/>
              <w:rPr>
                <w:rFonts w:ascii="Tahoma" w:hAnsi="Tahoma"/>
                <w:b/>
                <w:bCs/>
                <w:color w:val="000000" w:themeColor="text1"/>
                <w:sz w:val="16"/>
                <w:lang w:val="en-GB"/>
              </w:rPr>
            </w:pPr>
            <w:r w:rsidRPr="00875F95">
              <w:rPr>
                <w:rFonts w:ascii="Tahoma" w:hAnsi="Tahoma"/>
                <w:b/>
                <w:bCs/>
                <w:color w:val="000000" w:themeColor="text1"/>
                <w:sz w:val="16"/>
                <w:lang w:val="en-GB"/>
              </w:rPr>
              <w:t>NON-IFRS FINANCIAL MEASURES AND ALTERNATIVE PERFORMANCE MEASURES (continued)</w:t>
            </w:r>
          </w:p>
        </w:tc>
      </w:tr>
      <w:tr w:rsidR="00D1206A" w:rsidRPr="00CA3F6E" w14:paraId="6A06BBAD" w14:textId="77777777" w:rsidTr="00922C21">
        <w:trPr>
          <w:trHeight w:val="60"/>
        </w:trPr>
        <w:tc>
          <w:tcPr>
            <w:tcW w:w="397" w:type="dxa"/>
            <w:tcMar>
              <w:top w:w="0" w:type="dxa"/>
              <w:left w:w="0" w:type="dxa"/>
              <w:bottom w:w="57" w:type="dxa"/>
              <w:right w:w="0" w:type="dxa"/>
            </w:tcMar>
            <w:vAlign w:val="bottom"/>
          </w:tcPr>
          <w:p w14:paraId="3882AEDB" w14:textId="77777777" w:rsidR="00D1206A" w:rsidRPr="00CA3F6E" w:rsidRDefault="00D1206A" w:rsidP="00D1206A">
            <w:pPr>
              <w:spacing w:line="240" w:lineRule="atLeast"/>
              <w:rPr>
                <w:rFonts w:ascii="Tahoma" w:hAnsi="Tahoma"/>
                <w:b/>
                <w:bCs/>
                <w:color w:val="000000" w:themeColor="text1"/>
                <w:sz w:val="16"/>
                <w:lang w:val="en-GB"/>
              </w:rPr>
            </w:pPr>
            <w:r w:rsidRPr="00CA3F6E">
              <w:rPr>
                <w:rFonts w:ascii="Tahoma" w:hAnsi="Tahoma"/>
                <w:b/>
                <w:bCs/>
                <w:color w:val="000000" w:themeColor="text1"/>
                <w:sz w:val="16"/>
                <w:lang w:val="en-GB"/>
              </w:rPr>
              <w:t>A.2</w:t>
            </w:r>
          </w:p>
        </w:tc>
        <w:tc>
          <w:tcPr>
            <w:tcW w:w="9809" w:type="dxa"/>
            <w:gridSpan w:val="4"/>
            <w:tcMar>
              <w:top w:w="0" w:type="dxa"/>
              <w:left w:w="0" w:type="dxa"/>
              <w:bottom w:w="57" w:type="dxa"/>
              <w:right w:w="0" w:type="dxa"/>
            </w:tcMar>
            <w:vAlign w:val="bottom"/>
          </w:tcPr>
          <w:p w14:paraId="087ACC92" w14:textId="77777777" w:rsidR="00D1206A" w:rsidRPr="00CA3F6E" w:rsidRDefault="00D1206A" w:rsidP="00D1206A">
            <w:pPr>
              <w:spacing w:line="240" w:lineRule="atLeast"/>
              <w:rPr>
                <w:rFonts w:ascii="Tahoma" w:hAnsi="Tahoma"/>
                <w:b/>
                <w:bCs/>
                <w:color w:val="000000" w:themeColor="text1"/>
                <w:sz w:val="16"/>
                <w:lang w:val="en-GB"/>
              </w:rPr>
            </w:pPr>
            <w:r w:rsidRPr="00CA3F6E">
              <w:rPr>
                <w:rFonts w:ascii="Tahoma" w:hAnsi="Tahoma"/>
                <w:b/>
                <w:bCs/>
                <w:color w:val="000000" w:themeColor="text1"/>
                <w:sz w:val="16"/>
                <w:lang w:val="en-GB"/>
              </w:rPr>
              <w:t>Growth in local currency, excluding acquisitions and disposals (continued)</w:t>
            </w:r>
          </w:p>
        </w:tc>
      </w:tr>
      <w:tr w:rsidR="00D1206A" w:rsidRPr="00CA3F6E" w14:paraId="3A6C7C64" w14:textId="77777777" w:rsidTr="00C73C4C">
        <w:trPr>
          <w:trHeight w:val="60"/>
        </w:trPr>
        <w:tc>
          <w:tcPr>
            <w:tcW w:w="397" w:type="dxa"/>
            <w:tcMar>
              <w:top w:w="0" w:type="dxa"/>
              <w:left w:w="0" w:type="dxa"/>
              <w:bottom w:w="57" w:type="dxa"/>
              <w:right w:w="0" w:type="dxa"/>
            </w:tcMar>
            <w:vAlign w:val="bottom"/>
          </w:tcPr>
          <w:p w14:paraId="1F5AD65C" w14:textId="77777777" w:rsidR="00D1206A" w:rsidRPr="00CA3F6E" w:rsidRDefault="00D1206A" w:rsidP="009D23C7">
            <w:pPr>
              <w:spacing w:line="240" w:lineRule="atLeast"/>
              <w:rPr>
                <w:rFonts w:ascii="Tahoma" w:hAnsi="Tahoma"/>
                <w:color w:val="000000" w:themeColor="text1"/>
                <w:sz w:val="16"/>
                <w:lang w:val="en-GB"/>
              </w:rPr>
            </w:pPr>
          </w:p>
        </w:tc>
        <w:tc>
          <w:tcPr>
            <w:tcW w:w="9809" w:type="dxa"/>
            <w:gridSpan w:val="4"/>
            <w:tcMar>
              <w:top w:w="0" w:type="dxa"/>
              <w:left w:w="0" w:type="dxa"/>
              <w:bottom w:w="57" w:type="dxa"/>
              <w:right w:w="0" w:type="dxa"/>
            </w:tcMar>
            <w:vAlign w:val="bottom"/>
          </w:tcPr>
          <w:p w14:paraId="7ADE3A38" w14:textId="77777777" w:rsidR="00D1206A" w:rsidRPr="00CA3F6E" w:rsidRDefault="00D1206A" w:rsidP="009D23C7">
            <w:pPr>
              <w:spacing w:line="240" w:lineRule="atLeast"/>
              <w:rPr>
                <w:rFonts w:ascii="Tahoma" w:hAnsi="Tahoma"/>
                <w:b/>
                <w:bCs/>
                <w:color w:val="7F7F7F" w:themeColor="text1" w:themeTint="80"/>
                <w:sz w:val="16"/>
                <w:lang w:val="en-GB"/>
              </w:rPr>
            </w:pPr>
            <w:r w:rsidRPr="00CA3F6E">
              <w:rPr>
                <w:rFonts w:ascii="Tahoma" w:hAnsi="Tahoma"/>
                <w:b/>
                <w:bCs/>
                <w:color w:val="7F7F7F" w:themeColor="text1" w:themeTint="80"/>
                <w:sz w:val="16"/>
                <w:lang w:val="en-GB"/>
              </w:rPr>
              <w:t>For the six months 1 April 2022 to 30 September 2022</w:t>
            </w:r>
          </w:p>
        </w:tc>
      </w:tr>
      <w:tr w:rsidR="000B0E9A" w:rsidRPr="00CA3F6E" w14:paraId="18E9C41C" w14:textId="77777777" w:rsidTr="00C73C4C">
        <w:trPr>
          <w:trHeight w:val="60"/>
        </w:trPr>
        <w:tc>
          <w:tcPr>
            <w:tcW w:w="397" w:type="dxa"/>
            <w:tcMar>
              <w:top w:w="0" w:type="dxa"/>
              <w:left w:w="0" w:type="dxa"/>
              <w:bottom w:w="113" w:type="dxa"/>
              <w:right w:w="0" w:type="dxa"/>
            </w:tcMar>
            <w:vAlign w:val="bottom"/>
          </w:tcPr>
          <w:p w14:paraId="6EECE084" w14:textId="77777777" w:rsidR="000B0E9A" w:rsidRPr="00CA3F6E" w:rsidRDefault="000B0E9A" w:rsidP="000B0E9A">
            <w:pPr>
              <w:spacing w:line="240" w:lineRule="atLeast"/>
              <w:rPr>
                <w:rFonts w:ascii="Tahoma" w:hAnsi="Tahoma"/>
                <w:color w:val="000000" w:themeColor="text1"/>
                <w:sz w:val="16"/>
                <w:lang w:val="en-GB"/>
              </w:rPr>
            </w:pPr>
          </w:p>
        </w:tc>
        <w:tc>
          <w:tcPr>
            <w:tcW w:w="5273" w:type="dxa"/>
            <w:tcBorders>
              <w:bottom w:val="single" w:sz="12" w:space="0" w:color="auto"/>
            </w:tcBorders>
            <w:tcMar>
              <w:top w:w="0" w:type="dxa"/>
              <w:left w:w="0" w:type="dxa"/>
              <w:bottom w:w="113" w:type="dxa"/>
              <w:right w:w="0" w:type="dxa"/>
            </w:tcMar>
            <w:vAlign w:val="bottom"/>
          </w:tcPr>
          <w:p w14:paraId="106E2024" w14:textId="77777777" w:rsidR="000B0E9A" w:rsidRPr="00CA3F6E" w:rsidRDefault="000B0E9A" w:rsidP="000B0E9A">
            <w:pPr>
              <w:spacing w:line="240" w:lineRule="atLeast"/>
              <w:rPr>
                <w:rFonts w:ascii="Tahoma" w:hAnsi="Tahoma"/>
                <w:b/>
                <w:bCs/>
                <w:color w:val="000000" w:themeColor="text1"/>
                <w:sz w:val="16"/>
                <w:lang w:val="en-GB"/>
              </w:rPr>
            </w:pPr>
            <w:r w:rsidRPr="00CA3F6E">
              <w:rPr>
                <w:rFonts w:ascii="Tahoma" w:hAnsi="Tahoma"/>
                <w:b/>
                <w:bCs/>
                <w:color w:val="000000" w:themeColor="text1"/>
                <w:sz w:val="16"/>
                <w:lang w:val="en-GB"/>
              </w:rPr>
              <w:t>Transaction</w:t>
            </w:r>
          </w:p>
        </w:tc>
        <w:tc>
          <w:tcPr>
            <w:tcW w:w="1843" w:type="dxa"/>
            <w:tcBorders>
              <w:bottom w:val="single" w:sz="12" w:space="0" w:color="auto"/>
            </w:tcBorders>
            <w:tcMar>
              <w:top w:w="0" w:type="dxa"/>
              <w:left w:w="0" w:type="dxa"/>
              <w:bottom w:w="113" w:type="dxa"/>
              <w:right w:w="0" w:type="dxa"/>
            </w:tcMar>
            <w:vAlign w:val="bottom"/>
          </w:tcPr>
          <w:p w14:paraId="6BD3C60A" w14:textId="77777777" w:rsidR="000B0E9A" w:rsidRDefault="000B0E9A" w:rsidP="000B0E9A">
            <w:pPr>
              <w:spacing w:line="240" w:lineRule="atLeast"/>
              <w:rPr>
                <w:rFonts w:ascii="Tahoma" w:hAnsi="Tahoma"/>
                <w:b/>
                <w:bCs/>
                <w:color w:val="000000" w:themeColor="text1"/>
                <w:sz w:val="16"/>
                <w:lang w:val="en-GB"/>
              </w:rPr>
            </w:pPr>
            <w:r w:rsidRPr="00CA3F6E">
              <w:rPr>
                <w:rFonts w:ascii="Tahoma" w:hAnsi="Tahoma"/>
                <w:b/>
                <w:bCs/>
                <w:color w:val="000000" w:themeColor="text1"/>
                <w:sz w:val="16"/>
                <w:lang w:val="en-GB"/>
              </w:rPr>
              <w:t xml:space="preserve">Basis of </w:t>
            </w:r>
          </w:p>
          <w:p w14:paraId="366159FB" w14:textId="77777777" w:rsidR="000B0E9A" w:rsidRPr="00CA3F6E" w:rsidRDefault="000B0E9A" w:rsidP="000B0E9A">
            <w:pPr>
              <w:spacing w:line="240" w:lineRule="atLeast"/>
              <w:rPr>
                <w:rFonts w:ascii="Tahoma" w:hAnsi="Tahoma"/>
                <w:b/>
                <w:bCs/>
                <w:color w:val="000000" w:themeColor="text1"/>
                <w:sz w:val="16"/>
                <w:lang w:val="en-GB"/>
              </w:rPr>
            </w:pPr>
            <w:r w:rsidRPr="00CA3F6E">
              <w:rPr>
                <w:rFonts w:ascii="Tahoma" w:hAnsi="Tahoma"/>
                <w:b/>
                <w:bCs/>
                <w:color w:val="000000" w:themeColor="text1"/>
                <w:sz w:val="16"/>
                <w:lang w:val="en-GB"/>
              </w:rPr>
              <w:t>accounting</w:t>
            </w:r>
          </w:p>
        </w:tc>
        <w:tc>
          <w:tcPr>
            <w:tcW w:w="1701" w:type="dxa"/>
            <w:tcBorders>
              <w:bottom w:val="single" w:sz="12" w:space="0" w:color="auto"/>
            </w:tcBorders>
            <w:tcMar>
              <w:top w:w="0" w:type="dxa"/>
              <w:left w:w="0" w:type="dxa"/>
              <w:bottom w:w="113" w:type="dxa"/>
              <w:right w:w="0" w:type="dxa"/>
            </w:tcMar>
            <w:vAlign w:val="bottom"/>
          </w:tcPr>
          <w:p w14:paraId="4FC5BED6" w14:textId="77777777" w:rsidR="000B0E9A" w:rsidRDefault="000B0E9A" w:rsidP="000B0E9A">
            <w:pPr>
              <w:spacing w:line="240" w:lineRule="atLeast"/>
              <w:rPr>
                <w:rFonts w:ascii="Tahoma" w:hAnsi="Tahoma"/>
                <w:b/>
                <w:bCs/>
                <w:color w:val="000000" w:themeColor="text1"/>
                <w:sz w:val="16"/>
                <w:lang w:val="en-GB"/>
              </w:rPr>
            </w:pPr>
            <w:r w:rsidRPr="00CA3F6E">
              <w:rPr>
                <w:rFonts w:ascii="Tahoma" w:hAnsi="Tahoma"/>
                <w:b/>
                <w:bCs/>
                <w:color w:val="000000" w:themeColor="text1"/>
                <w:sz w:val="16"/>
                <w:lang w:val="en-GB"/>
              </w:rPr>
              <w:t xml:space="preserve">Reportable </w:t>
            </w:r>
          </w:p>
          <w:p w14:paraId="7036EA9C" w14:textId="77777777" w:rsidR="000B0E9A" w:rsidRPr="00CA3F6E" w:rsidRDefault="000B0E9A" w:rsidP="000B0E9A">
            <w:pPr>
              <w:spacing w:line="240" w:lineRule="atLeast"/>
              <w:rPr>
                <w:rFonts w:ascii="Tahoma" w:hAnsi="Tahoma"/>
                <w:b/>
                <w:bCs/>
                <w:color w:val="000000" w:themeColor="text1"/>
                <w:sz w:val="16"/>
                <w:lang w:val="en-GB"/>
              </w:rPr>
            </w:pPr>
            <w:r w:rsidRPr="00CA3F6E">
              <w:rPr>
                <w:rFonts w:ascii="Tahoma" w:hAnsi="Tahoma"/>
                <w:b/>
                <w:bCs/>
                <w:color w:val="000000" w:themeColor="text1"/>
                <w:sz w:val="16"/>
                <w:lang w:val="en-GB"/>
              </w:rPr>
              <w:t>segment</w:t>
            </w:r>
          </w:p>
        </w:tc>
        <w:tc>
          <w:tcPr>
            <w:tcW w:w="992" w:type="dxa"/>
            <w:tcBorders>
              <w:bottom w:val="single" w:sz="12" w:space="0" w:color="auto"/>
            </w:tcBorders>
            <w:tcMar>
              <w:top w:w="0" w:type="dxa"/>
              <w:left w:w="0" w:type="dxa"/>
              <w:bottom w:w="113" w:type="dxa"/>
              <w:right w:w="0" w:type="dxa"/>
            </w:tcMar>
            <w:vAlign w:val="bottom"/>
          </w:tcPr>
          <w:p w14:paraId="05D35ED5" w14:textId="77777777" w:rsidR="000B0E9A" w:rsidRPr="00CA3F6E" w:rsidRDefault="000B0E9A" w:rsidP="000B0E9A">
            <w:pPr>
              <w:spacing w:line="240" w:lineRule="atLeast"/>
              <w:rPr>
                <w:rFonts w:ascii="Tahoma" w:hAnsi="Tahoma"/>
                <w:b/>
                <w:bCs/>
                <w:color w:val="000000" w:themeColor="text1"/>
                <w:sz w:val="16"/>
                <w:lang w:val="en-GB"/>
              </w:rPr>
            </w:pPr>
            <w:r w:rsidRPr="00CA3F6E">
              <w:rPr>
                <w:rFonts w:ascii="Tahoma" w:hAnsi="Tahoma"/>
                <w:b/>
                <w:bCs/>
                <w:color w:val="000000" w:themeColor="text1"/>
                <w:sz w:val="16"/>
                <w:lang w:val="en-GB"/>
              </w:rPr>
              <w:t>Acquisition/Disposal</w:t>
            </w:r>
          </w:p>
        </w:tc>
      </w:tr>
      <w:tr w:rsidR="00D1206A" w:rsidRPr="00CA3F6E" w14:paraId="0590B017" w14:textId="77777777" w:rsidTr="00C73C4C">
        <w:trPr>
          <w:trHeight w:val="60"/>
        </w:trPr>
        <w:tc>
          <w:tcPr>
            <w:tcW w:w="397" w:type="dxa"/>
            <w:tcMar>
              <w:top w:w="113" w:type="dxa"/>
              <w:left w:w="0" w:type="dxa"/>
              <w:bottom w:w="113" w:type="dxa"/>
              <w:right w:w="0" w:type="dxa"/>
            </w:tcMar>
          </w:tcPr>
          <w:p w14:paraId="5B151886" w14:textId="77777777" w:rsidR="00D1206A" w:rsidRPr="00CA3F6E" w:rsidRDefault="00D1206A" w:rsidP="009D23C7">
            <w:pPr>
              <w:spacing w:line="240" w:lineRule="atLeast"/>
              <w:rPr>
                <w:rFonts w:ascii="Tahoma" w:hAnsi="Tahoma"/>
                <w:color w:val="000000" w:themeColor="text1"/>
                <w:sz w:val="16"/>
                <w:lang w:val="en-GB"/>
              </w:rPr>
            </w:pPr>
          </w:p>
        </w:tc>
        <w:tc>
          <w:tcPr>
            <w:tcW w:w="5273" w:type="dxa"/>
            <w:tcBorders>
              <w:top w:val="single" w:sz="12" w:space="0" w:color="auto"/>
              <w:bottom w:val="single" w:sz="4" w:space="0" w:color="auto"/>
            </w:tcBorders>
            <w:tcMar>
              <w:top w:w="113" w:type="dxa"/>
              <w:left w:w="0" w:type="dxa"/>
              <w:bottom w:w="113" w:type="dxa"/>
              <w:right w:w="113" w:type="dxa"/>
            </w:tcMar>
          </w:tcPr>
          <w:p w14:paraId="535AA8EA" w14:textId="77777777" w:rsidR="00D1206A" w:rsidRPr="00CA3F6E" w:rsidRDefault="00D1206A"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 xml:space="preserve">Increase in the group’s interest in </w:t>
            </w:r>
            <w:proofErr w:type="spellStart"/>
            <w:r w:rsidRPr="00CA3F6E">
              <w:rPr>
                <w:rFonts w:ascii="Tahoma" w:hAnsi="Tahoma"/>
                <w:color w:val="000000" w:themeColor="text1"/>
                <w:sz w:val="16"/>
                <w:lang w:val="en-GB"/>
              </w:rPr>
              <w:t>Meesho</w:t>
            </w:r>
            <w:proofErr w:type="spellEnd"/>
          </w:p>
        </w:tc>
        <w:tc>
          <w:tcPr>
            <w:tcW w:w="1843" w:type="dxa"/>
            <w:tcBorders>
              <w:top w:val="single" w:sz="12" w:space="0" w:color="auto"/>
              <w:bottom w:val="single" w:sz="4" w:space="0" w:color="auto"/>
            </w:tcBorders>
            <w:tcMar>
              <w:top w:w="113" w:type="dxa"/>
              <w:left w:w="0" w:type="dxa"/>
              <w:bottom w:w="113" w:type="dxa"/>
              <w:right w:w="0" w:type="dxa"/>
            </w:tcMar>
          </w:tcPr>
          <w:p w14:paraId="580F09D9" w14:textId="77777777" w:rsidR="00D1206A" w:rsidRPr="00CA3F6E" w:rsidRDefault="00D1206A"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Associate</w:t>
            </w:r>
          </w:p>
        </w:tc>
        <w:tc>
          <w:tcPr>
            <w:tcW w:w="1701" w:type="dxa"/>
            <w:tcBorders>
              <w:top w:val="single" w:sz="12" w:space="0" w:color="auto"/>
              <w:bottom w:val="single" w:sz="4" w:space="0" w:color="auto"/>
            </w:tcBorders>
            <w:tcMar>
              <w:top w:w="113" w:type="dxa"/>
              <w:left w:w="0" w:type="dxa"/>
              <w:bottom w:w="113" w:type="dxa"/>
              <w:right w:w="0" w:type="dxa"/>
            </w:tcMar>
          </w:tcPr>
          <w:p w14:paraId="53F9B8CD" w14:textId="77777777" w:rsidR="00D1206A" w:rsidRPr="00CA3F6E" w:rsidRDefault="00D1206A"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Ecommerce</w:t>
            </w:r>
          </w:p>
        </w:tc>
        <w:tc>
          <w:tcPr>
            <w:tcW w:w="992" w:type="dxa"/>
            <w:tcBorders>
              <w:top w:val="single" w:sz="12" w:space="0" w:color="auto"/>
              <w:bottom w:val="single" w:sz="4" w:space="0" w:color="auto"/>
            </w:tcBorders>
            <w:tcMar>
              <w:top w:w="113" w:type="dxa"/>
              <w:left w:w="0" w:type="dxa"/>
              <w:bottom w:w="113" w:type="dxa"/>
              <w:right w:w="0" w:type="dxa"/>
            </w:tcMar>
          </w:tcPr>
          <w:p w14:paraId="2E336AB0" w14:textId="77777777" w:rsidR="00D1206A" w:rsidRPr="00CA3F6E" w:rsidRDefault="00D1206A"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Acquisition</w:t>
            </w:r>
          </w:p>
        </w:tc>
      </w:tr>
      <w:tr w:rsidR="00D1206A" w:rsidRPr="00CA3F6E" w14:paraId="7DB49DB9" w14:textId="77777777" w:rsidTr="00937851">
        <w:trPr>
          <w:trHeight w:val="60"/>
        </w:trPr>
        <w:tc>
          <w:tcPr>
            <w:tcW w:w="397" w:type="dxa"/>
            <w:tcMar>
              <w:top w:w="113" w:type="dxa"/>
              <w:left w:w="0" w:type="dxa"/>
              <w:bottom w:w="113" w:type="dxa"/>
              <w:right w:w="0" w:type="dxa"/>
            </w:tcMar>
          </w:tcPr>
          <w:p w14:paraId="1AC02724" w14:textId="77777777" w:rsidR="00D1206A" w:rsidRPr="00CA3F6E" w:rsidRDefault="00D1206A" w:rsidP="009D23C7">
            <w:pPr>
              <w:spacing w:line="240" w:lineRule="atLeast"/>
              <w:rPr>
                <w:rFonts w:ascii="Tahoma" w:hAnsi="Tahoma"/>
                <w:color w:val="000000" w:themeColor="text1"/>
                <w:sz w:val="16"/>
                <w:lang w:val="en-GB"/>
              </w:rPr>
            </w:pPr>
          </w:p>
        </w:tc>
        <w:tc>
          <w:tcPr>
            <w:tcW w:w="5273" w:type="dxa"/>
            <w:tcBorders>
              <w:top w:val="single" w:sz="4" w:space="0" w:color="auto"/>
              <w:bottom w:val="single" w:sz="4" w:space="0" w:color="auto"/>
            </w:tcBorders>
            <w:tcMar>
              <w:top w:w="113" w:type="dxa"/>
              <w:left w:w="0" w:type="dxa"/>
              <w:bottom w:w="113" w:type="dxa"/>
              <w:right w:w="113" w:type="dxa"/>
            </w:tcMar>
          </w:tcPr>
          <w:p w14:paraId="58AA602D" w14:textId="77777777" w:rsidR="00D1206A" w:rsidRPr="00CA3F6E" w:rsidRDefault="00D1206A"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 xml:space="preserve">Increase in the group’s interest in </w:t>
            </w:r>
            <w:proofErr w:type="spellStart"/>
            <w:r w:rsidRPr="00CA3F6E">
              <w:rPr>
                <w:rFonts w:ascii="Tahoma" w:hAnsi="Tahoma"/>
                <w:color w:val="000000" w:themeColor="text1"/>
                <w:sz w:val="16"/>
                <w:lang w:val="en-GB"/>
              </w:rPr>
              <w:t>DeHaat</w:t>
            </w:r>
            <w:proofErr w:type="spellEnd"/>
          </w:p>
        </w:tc>
        <w:tc>
          <w:tcPr>
            <w:tcW w:w="1843" w:type="dxa"/>
            <w:tcBorders>
              <w:top w:val="single" w:sz="4" w:space="0" w:color="auto"/>
              <w:bottom w:val="single" w:sz="4" w:space="0" w:color="auto"/>
            </w:tcBorders>
            <w:tcMar>
              <w:top w:w="113" w:type="dxa"/>
              <w:left w:w="0" w:type="dxa"/>
              <w:bottom w:w="113" w:type="dxa"/>
              <w:right w:w="0" w:type="dxa"/>
            </w:tcMar>
          </w:tcPr>
          <w:p w14:paraId="1B387EDC" w14:textId="77777777" w:rsidR="00D1206A" w:rsidRPr="00CA3F6E" w:rsidRDefault="00D1206A"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Associate</w:t>
            </w:r>
          </w:p>
        </w:tc>
        <w:tc>
          <w:tcPr>
            <w:tcW w:w="1701" w:type="dxa"/>
            <w:tcBorders>
              <w:top w:val="single" w:sz="4" w:space="0" w:color="auto"/>
              <w:bottom w:val="single" w:sz="4" w:space="0" w:color="auto"/>
            </w:tcBorders>
            <w:tcMar>
              <w:top w:w="113" w:type="dxa"/>
              <w:left w:w="0" w:type="dxa"/>
              <w:bottom w:w="113" w:type="dxa"/>
              <w:right w:w="0" w:type="dxa"/>
            </w:tcMar>
          </w:tcPr>
          <w:p w14:paraId="61676F99" w14:textId="77777777" w:rsidR="00D1206A" w:rsidRPr="00CA3F6E" w:rsidRDefault="00D1206A"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Ecommerce</w:t>
            </w:r>
          </w:p>
        </w:tc>
        <w:tc>
          <w:tcPr>
            <w:tcW w:w="992" w:type="dxa"/>
            <w:tcBorders>
              <w:top w:val="single" w:sz="4" w:space="0" w:color="auto"/>
              <w:bottom w:val="single" w:sz="4" w:space="0" w:color="auto"/>
            </w:tcBorders>
            <w:tcMar>
              <w:top w:w="113" w:type="dxa"/>
              <w:left w:w="0" w:type="dxa"/>
              <w:bottom w:w="113" w:type="dxa"/>
              <w:right w:w="0" w:type="dxa"/>
            </w:tcMar>
          </w:tcPr>
          <w:p w14:paraId="58312AD4" w14:textId="77777777" w:rsidR="003C45AC" w:rsidRDefault="00D1206A"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Disposal/</w:t>
            </w:r>
          </w:p>
          <w:p w14:paraId="7144F695" w14:textId="77777777" w:rsidR="00D1206A" w:rsidRPr="00CA3F6E" w:rsidRDefault="00D1206A"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Acquisition</w:t>
            </w:r>
          </w:p>
        </w:tc>
      </w:tr>
      <w:tr w:rsidR="00D1206A" w:rsidRPr="00CA3F6E" w14:paraId="5ADA8A81" w14:textId="77777777" w:rsidTr="005572D1">
        <w:trPr>
          <w:trHeight w:val="60"/>
        </w:trPr>
        <w:tc>
          <w:tcPr>
            <w:tcW w:w="397" w:type="dxa"/>
            <w:tcMar>
              <w:top w:w="113" w:type="dxa"/>
              <w:left w:w="0" w:type="dxa"/>
              <w:bottom w:w="113" w:type="dxa"/>
              <w:right w:w="0" w:type="dxa"/>
            </w:tcMar>
          </w:tcPr>
          <w:p w14:paraId="1513BC1E" w14:textId="77777777" w:rsidR="00D1206A" w:rsidRPr="00CA3F6E" w:rsidRDefault="00D1206A" w:rsidP="009D23C7">
            <w:pPr>
              <w:spacing w:line="240" w:lineRule="atLeast"/>
              <w:rPr>
                <w:rFonts w:ascii="Tahoma" w:hAnsi="Tahoma"/>
                <w:color w:val="000000" w:themeColor="text1"/>
                <w:sz w:val="16"/>
                <w:lang w:val="en-GB"/>
              </w:rPr>
            </w:pPr>
          </w:p>
        </w:tc>
        <w:tc>
          <w:tcPr>
            <w:tcW w:w="5273" w:type="dxa"/>
            <w:tcBorders>
              <w:top w:val="single" w:sz="4" w:space="0" w:color="auto"/>
              <w:bottom w:val="single" w:sz="4" w:space="0" w:color="auto"/>
            </w:tcBorders>
            <w:tcMar>
              <w:top w:w="113" w:type="dxa"/>
              <w:left w:w="0" w:type="dxa"/>
              <w:bottom w:w="113" w:type="dxa"/>
              <w:right w:w="113" w:type="dxa"/>
            </w:tcMar>
          </w:tcPr>
          <w:p w14:paraId="312492C2" w14:textId="77777777" w:rsidR="00D1206A" w:rsidRPr="00CA3F6E" w:rsidRDefault="00D1206A"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 xml:space="preserve">Acquisition of the group’s interest in </w:t>
            </w:r>
            <w:proofErr w:type="spellStart"/>
            <w:r w:rsidRPr="00CA3F6E">
              <w:rPr>
                <w:rFonts w:ascii="Tahoma" w:hAnsi="Tahoma"/>
                <w:color w:val="000000" w:themeColor="text1"/>
                <w:sz w:val="16"/>
                <w:lang w:val="en-GB"/>
              </w:rPr>
              <w:t>PharmEasy</w:t>
            </w:r>
            <w:proofErr w:type="spellEnd"/>
          </w:p>
        </w:tc>
        <w:tc>
          <w:tcPr>
            <w:tcW w:w="1843" w:type="dxa"/>
            <w:tcBorders>
              <w:top w:val="single" w:sz="4" w:space="0" w:color="auto"/>
              <w:bottom w:val="single" w:sz="4" w:space="0" w:color="auto"/>
            </w:tcBorders>
            <w:tcMar>
              <w:top w:w="113" w:type="dxa"/>
              <w:left w:w="0" w:type="dxa"/>
              <w:bottom w:w="113" w:type="dxa"/>
              <w:right w:w="0" w:type="dxa"/>
            </w:tcMar>
          </w:tcPr>
          <w:p w14:paraId="631ED75E" w14:textId="77777777" w:rsidR="00D1206A" w:rsidRPr="00CA3F6E" w:rsidRDefault="00D1206A"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Associate</w:t>
            </w:r>
          </w:p>
        </w:tc>
        <w:tc>
          <w:tcPr>
            <w:tcW w:w="1701" w:type="dxa"/>
            <w:tcBorders>
              <w:top w:val="single" w:sz="4" w:space="0" w:color="auto"/>
              <w:bottom w:val="single" w:sz="4" w:space="0" w:color="auto"/>
            </w:tcBorders>
            <w:tcMar>
              <w:top w:w="113" w:type="dxa"/>
              <w:left w:w="0" w:type="dxa"/>
              <w:bottom w:w="113" w:type="dxa"/>
              <w:right w:w="0" w:type="dxa"/>
            </w:tcMar>
          </w:tcPr>
          <w:p w14:paraId="31392883" w14:textId="77777777" w:rsidR="00D1206A" w:rsidRPr="00CA3F6E" w:rsidRDefault="00D1206A"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Ecommerce</w:t>
            </w:r>
          </w:p>
        </w:tc>
        <w:tc>
          <w:tcPr>
            <w:tcW w:w="992" w:type="dxa"/>
            <w:tcBorders>
              <w:top w:val="single" w:sz="4" w:space="0" w:color="auto"/>
              <w:bottom w:val="single" w:sz="4" w:space="0" w:color="auto"/>
            </w:tcBorders>
            <w:tcMar>
              <w:top w:w="113" w:type="dxa"/>
              <w:left w:w="0" w:type="dxa"/>
              <w:bottom w:w="113" w:type="dxa"/>
              <w:right w:w="0" w:type="dxa"/>
            </w:tcMar>
          </w:tcPr>
          <w:p w14:paraId="78D3EAA0" w14:textId="77777777" w:rsidR="003C45AC" w:rsidRDefault="00D1206A"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Disposal/</w:t>
            </w:r>
          </w:p>
          <w:p w14:paraId="74DCEF70" w14:textId="77777777" w:rsidR="00D1206A" w:rsidRPr="00CA3F6E" w:rsidRDefault="00D1206A"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Acquisition</w:t>
            </w:r>
          </w:p>
        </w:tc>
      </w:tr>
      <w:tr w:rsidR="00D1206A" w:rsidRPr="00CA3F6E" w14:paraId="14E1A096" w14:textId="77777777" w:rsidTr="005572D1">
        <w:trPr>
          <w:trHeight w:val="60"/>
        </w:trPr>
        <w:tc>
          <w:tcPr>
            <w:tcW w:w="397" w:type="dxa"/>
            <w:tcMar>
              <w:top w:w="113" w:type="dxa"/>
              <w:left w:w="0" w:type="dxa"/>
              <w:bottom w:w="113" w:type="dxa"/>
              <w:right w:w="0" w:type="dxa"/>
            </w:tcMar>
          </w:tcPr>
          <w:p w14:paraId="0D006995" w14:textId="77777777" w:rsidR="00D1206A" w:rsidRPr="00CA3F6E" w:rsidRDefault="00D1206A" w:rsidP="009D23C7">
            <w:pPr>
              <w:spacing w:line="240" w:lineRule="atLeast"/>
              <w:rPr>
                <w:rFonts w:ascii="Tahoma" w:hAnsi="Tahoma"/>
                <w:color w:val="000000" w:themeColor="text1"/>
                <w:sz w:val="16"/>
                <w:lang w:val="en-GB"/>
              </w:rPr>
            </w:pPr>
          </w:p>
        </w:tc>
        <w:tc>
          <w:tcPr>
            <w:tcW w:w="5273" w:type="dxa"/>
            <w:tcBorders>
              <w:top w:val="single" w:sz="4" w:space="0" w:color="auto"/>
              <w:bottom w:val="single" w:sz="4" w:space="0" w:color="auto"/>
            </w:tcBorders>
            <w:tcMar>
              <w:top w:w="113" w:type="dxa"/>
              <w:left w:w="0" w:type="dxa"/>
              <w:bottom w:w="113" w:type="dxa"/>
              <w:right w:w="113" w:type="dxa"/>
            </w:tcMar>
          </w:tcPr>
          <w:p w14:paraId="63DF3020" w14:textId="77777777" w:rsidR="00D1206A" w:rsidRPr="00CA3F6E" w:rsidRDefault="00D1206A"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 xml:space="preserve">Acquisition of the group’s interest in </w:t>
            </w:r>
            <w:proofErr w:type="spellStart"/>
            <w:r w:rsidRPr="00CA3F6E">
              <w:rPr>
                <w:rFonts w:ascii="Tahoma" w:hAnsi="Tahoma"/>
                <w:color w:val="000000" w:themeColor="text1"/>
                <w:sz w:val="16"/>
                <w:lang w:val="en-GB"/>
              </w:rPr>
              <w:t>Aruna</w:t>
            </w:r>
            <w:proofErr w:type="spellEnd"/>
          </w:p>
        </w:tc>
        <w:tc>
          <w:tcPr>
            <w:tcW w:w="1843" w:type="dxa"/>
            <w:tcBorders>
              <w:top w:val="single" w:sz="4" w:space="0" w:color="auto"/>
              <w:bottom w:val="single" w:sz="4" w:space="0" w:color="auto"/>
            </w:tcBorders>
            <w:tcMar>
              <w:top w:w="113" w:type="dxa"/>
              <w:left w:w="0" w:type="dxa"/>
              <w:bottom w:w="113" w:type="dxa"/>
              <w:right w:w="0" w:type="dxa"/>
            </w:tcMar>
          </w:tcPr>
          <w:p w14:paraId="044621E8" w14:textId="77777777" w:rsidR="00D1206A" w:rsidRPr="00CA3F6E" w:rsidRDefault="00D1206A"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Associate</w:t>
            </w:r>
          </w:p>
        </w:tc>
        <w:tc>
          <w:tcPr>
            <w:tcW w:w="1701" w:type="dxa"/>
            <w:tcBorders>
              <w:top w:val="single" w:sz="4" w:space="0" w:color="auto"/>
              <w:bottom w:val="single" w:sz="4" w:space="0" w:color="auto"/>
            </w:tcBorders>
            <w:tcMar>
              <w:top w:w="113" w:type="dxa"/>
              <w:left w:w="0" w:type="dxa"/>
              <w:bottom w:w="113" w:type="dxa"/>
              <w:right w:w="0" w:type="dxa"/>
            </w:tcMar>
          </w:tcPr>
          <w:p w14:paraId="118F7270" w14:textId="77777777" w:rsidR="00D1206A" w:rsidRPr="00CA3F6E" w:rsidRDefault="00D1206A"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Ecommerce</w:t>
            </w:r>
          </w:p>
        </w:tc>
        <w:tc>
          <w:tcPr>
            <w:tcW w:w="992" w:type="dxa"/>
            <w:tcBorders>
              <w:top w:val="single" w:sz="4" w:space="0" w:color="auto"/>
              <w:bottom w:val="single" w:sz="4" w:space="0" w:color="auto"/>
            </w:tcBorders>
            <w:tcMar>
              <w:top w:w="113" w:type="dxa"/>
              <w:left w:w="0" w:type="dxa"/>
              <w:bottom w:w="113" w:type="dxa"/>
              <w:right w:w="0" w:type="dxa"/>
            </w:tcMar>
          </w:tcPr>
          <w:p w14:paraId="4725EC28" w14:textId="77777777" w:rsidR="00D1206A" w:rsidRPr="00CA3F6E" w:rsidRDefault="00D1206A"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Acquisition</w:t>
            </w:r>
          </w:p>
        </w:tc>
      </w:tr>
      <w:tr w:rsidR="00D1206A" w:rsidRPr="00CA3F6E" w14:paraId="5EB5C4AA" w14:textId="77777777" w:rsidTr="005572D1">
        <w:trPr>
          <w:trHeight w:val="60"/>
        </w:trPr>
        <w:tc>
          <w:tcPr>
            <w:tcW w:w="397" w:type="dxa"/>
            <w:tcMar>
              <w:top w:w="113" w:type="dxa"/>
              <w:left w:w="0" w:type="dxa"/>
              <w:bottom w:w="113" w:type="dxa"/>
              <w:right w:w="0" w:type="dxa"/>
            </w:tcMar>
          </w:tcPr>
          <w:p w14:paraId="2EDA5D1B" w14:textId="77777777" w:rsidR="00D1206A" w:rsidRPr="00CA3F6E" w:rsidRDefault="00D1206A" w:rsidP="009D23C7">
            <w:pPr>
              <w:spacing w:line="240" w:lineRule="atLeast"/>
              <w:rPr>
                <w:rFonts w:ascii="Tahoma" w:hAnsi="Tahoma"/>
                <w:color w:val="000000" w:themeColor="text1"/>
                <w:sz w:val="16"/>
                <w:lang w:val="en-GB"/>
              </w:rPr>
            </w:pPr>
          </w:p>
        </w:tc>
        <w:tc>
          <w:tcPr>
            <w:tcW w:w="5273" w:type="dxa"/>
            <w:tcBorders>
              <w:top w:val="single" w:sz="4" w:space="0" w:color="auto"/>
              <w:bottom w:val="single" w:sz="4" w:space="0" w:color="auto"/>
            </w:tcBorders>
            <w:tcMar>
              <w:top w:w="113" w:type="dxa"/>
              <w:left w:w="0" w:type="dxa"/>
              <w:bottom w:w="113" w:type="dxa"/>
              <w:right w:w="113" w:type="dxa"/>
            </w:tcMar>
          </w:tcPr>
          <w:p w14:paraId="0A329AA5" w14:textId="77777777" w:rsidR="00D1206A" w:rsidRPr="00CA3F6E" w:rsidRDefault="00D1206A"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 xml:space="preserve">Acquisition of the group’s interest in 99 </w:t>
            </w:r>
            <w:proofErr w:type="spellStart"/>
            <w:r w:rsidRPr="00CA3F6E">
              <w:rPr>
                <w:rFonts w:ascii="Tahoma" w:hAnsi="Tahoma"/>
                <w:color w:val="000000" w:themeColor="text1"/>
                <w:sz w:val="16"/>
                <w:lang w:val="en-GB"/>
              </w:rPr>
              <w:t>Minutos</w:t>
            </w:r>
            <w:proofErr w:type="spellEnd"/>
          </w:p>
        </w:tc>
        <w:tc>
          <w:tcPr>
            <w:tcW w:w="1843" w:type="dxa"/>
            <w:tcBorders>
              <w:top w:val="single" w:sz="4" w:space="0" w:color="auto"/>
              <w:bottom w:val="single" w:sz="4" w:space="0" w:color="auto"/>
            </w:tcBorders>
            <w:tcMar>
              <w:top w:w="113" w:type="dxa"/>
              <w:left w:w="0" w:type="dxa"/>
              <w:bottom w:w="113" w:type="dxa"/>
              <w:right w:w="0" w:type="dxa"/>
            </w:tcMar>
          </w:tcPr>
          <w:p w14:paraId="52636A81" w14:textId="77777777" w:rsidR="00D1206A" w:rsidRPr="00CA3F6E" w:rsidRDefault="00D1206A"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Associate</w:t>
            </w:r>
          </w:p>
        </w:tc>
        <w:tc>
          <w:tcPr>
            <w:tcW w:w="1701" w:type="dxa"/>
            <w:tcBorders>
              <w:top w:val="single" w:sz="4" w:space="0" w:color="auto"/>
              <w:bottom w:val="single" w:sz="4" w:space="0" w:color="auto"/>
            </w:tcBorders>
            <w:tcMar>
              <w:top w:w="113" w:type="dxa"/>
              <w:left w:w="0" w:type="dxa"/>
              <w:bottom w:w="113" w:type="dxa"/>
              <w:right w:w="0" w:type="dxa"/>
            </w:tcMar>
          </w:tcPr>
          <w:p w14:paraId="4AF9CA67" w14:textId="77777777" w:rsidR="00D1206A" w:rsidRPr="00CA3F6E" w:rsidRDefault="00D1206A"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Ecommerce</w:t>
            </w:r>
          </w:p>
        </w:tc>
        <w:tc>
          <w:tcPr>
            <w:tcW w:w="992" w:type="dxa"/>
            <w:tcBorders>
              <w:top w:val="single" w:sz="4" w:space="0" w:color="auto"/>
              <w:bottom w:val="single" w:sz="4" w:space="0" w:color="auto"/>
            </w:tcBorders>
            <w:tcMar>
              <w:top w:w="113" w:type="dxa"/>
              <w:left w:w="0" w:type="dxa"/>
              <w:bottom w:w="113" w:type="dxa"/>
              <w:right w:w="0" w:type="dxa"/>
            </w:tcMar>
          </w:tcPr>
          <w:p w14:paraId="6BD6AEB4" w14:textId="77777777" w:rsidR="003C45AC" w:rsidRDefault="00D1206A"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Disposal/</w:t>
            </w:r>
          </w:p>
          <w:p w14:paraId="25F90EB4" w14:textId="77777777" w:rsidR="00D1206A" w:rsidRPr="00CA3F6E" w:rsidRDefault="00D1206A"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Acquisition</w:t>
            </w:r>
          </w:p>
        </w:tc>
      </w:tr>
      <w:tr w:rsidR="00D1206A" w:rsidRPr="00CA3F6E" w14:paraId="3AC22DBA" w14:textId="77777777" w:rsidTr="005572D1">
        <w:trPr>
          <w:trHeight w:val="60"/>
        </w:trPr>
        <w:tc>
          <w:tcPr>
            <w:tcW w:w="397" w:type="dxa"/>
            <w:tcMar>
              <w:top w:w="113" w:type="dxa"/>
              <w:left w:w="0" w:type="dxa"/>
              <w:bottom w:w="113" w:type="dxa"/>
              <w:right w:w="0" w:type="dxa"/>
            </w:tcMar>
          </w:tcPr>
          <w:p w14:paraId="7E468D37" w14:textId="77777777" w:rsidR="00D1206A" w:rsidRPr="00CA3F6E" w:rsidRDefault="00D1206A" w:rsidP="009D23C7">
            <w:pPr>
              <w:spacing w:line="240" w:lineRule="atLeast"/>
              <w:rPr>
                <w:rFonts w:ascii="Tahoma" w:hAnsi="Tahoma"/>
                <w:color w:val="000000" w:themeColor="text1"/>
                <w:sz w:val="16"/>
                <w:lang w:val="en-GB"/>
              </w:rPr>
            </w:pPr>
          </w:p>
        </w:tc>
        <w:tc>
          <w:tcPr>
            <w:tcW w:w="5273" w:type="dxa"/>
            <w:tcBorders>
              <w:top w:val="single" w:sz="4" w:space="0" w:color="auto"/>
              <w:bottom w:val="single" w:sz="4" w:space="0" w:color="auto"/>
            </w:tcBorders>
            <w:tcMar>
              <w:top w:w="113" w:type="dxa"/>
              <w:left w:w="0" w:type="dxa"/>
              <w:bottom w:w="113" w:type="dxa"/>
              <w:right w:w="113" w:type="dxa"/>
            </w:tcMar>
          </w:tcPr>
          <w:p w14:paraId="73A4608D" w14:textId="77777777" w:rsidR="00D1206A" w:rsidRPr="00CA3F6E" w:rsidRDefault="00D1206A"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 xml:space="preserve">Acquisition of the group’s interest in </w:t>
            </w:r>
            <w:proofErr w:type="spellStart"/>
            <w:r w:rsidRPr="00CA3F6E">
              <w:rPr>
                <w:rFonts w:ascii="Tahoma" w:hAnsi="Tahoma"/>
                <w:color w:val="000000" w:themeColor="text1"/>
                <w:sz w:val="16"/>
                <w:lang w:val="en-GB"/>
              </w:rPr>
              <w:t>Facily</w:t>
            </w:r>
            <w:proofErr w:type="spellEnd"/>
          </w:p>
        </w:tc>
        <w:tc>
          <w:tcPr>
            <w:tcW w:w="1843" w:type="dxa"/>
            <w:tcBorders>
              <w:top w:val="single" w:sz="4" w:space="0" w:color="auto"/>
              <w:bottom w:val="single" w:sz="4" w:space="0" w:color="auto"/>
            </w:tcBorders>
            <w:tcMar>
              <w:top w:w="113" w:type="dxa"/>
              <w:left w:w="0" w:type="dxa"/>
              <w:bottom w:w="113" w:type="dxa"/>
              <w:right w:w="0" w:type="dxa"/>
            </w:tcMar>
          </w:tcPr>
          <w:p w14:paraId="0418FEE2" w14:textId="77777777" w:rsidR="00D1206A" w:rsidRPr="00CA3F6E" w:rsidRDefault="00D1206A"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Associate</w:t>
            </w:r>
          </w:p>
        </w:tc>
        <w:tc>
          <w:tcPr>
            <w:tcW w:w="1701" w:type="dxa"/>
            <w:tcBorders>
              <w:top w:val="single" w:sz="4" w:space="0" w:color="auto"/>
              <w:bottom w:val="single" w:sz="4" w:space="0" w:color="auto"/>
            </w:tcBorders>
            <w:tcMar>
              <w:top w:w="113" w:type="dxa"/>
              <w:left w:w="0" w:type="dxa"/>
              <w:bottom w:w="113" w:type="dxa"/>
              <w:right w:w="0" w:type="dxa"/>
            </w:tcMar>
          </w:tcPr>
          <w:p w14:paraId="4DF6C8BE" w14:textId="77777777" w:rsidR="00D1206A" w:rsidRPr="00CA3F6E" w:rsidRDefault="00D1206A"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Ecommerce</w:t>
            </w:r>
          </w:p>
        </w:tc>
        <w:tc>
          <w:tcPr>
            <w:tcW w:w="992" w:type="dxa"/>
            <w:tcBorders>
              <w:top w:val="single" w:sz="4" w:space="0" w:color="auto"/>
              <w:bottom w:val="single" w:sz="4" w:space="0" w:color="auto"/>
            </w:tcBorders>
            <w:tcMar>
              <w:top w:w="113" w:type="dxa"/>
              <w:left w:w="0" w:type="dxa"/>
              <w:bottom w:w="113" w:type="dxa"/>
              <w:right w:w="0" w:type="dxa"/>
            </w:tcMar>
          </w:tcPr>
          <w:p w14:paraId="0F7FF40C" w14:textId="77777777" w:rsidR="00D1206A" w:rsidRPr="00CA3F6E" w:rsidRDefault="00D1206A"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Acquisition</w:t>
            </w:r>
          </w:p>
        </w:tc>
      </w:tr>
      <w:tr w:rsidR="00D1206A" w:rsidRPr="00CA3F6E" w14:paraId="42CA5C67" w14:textId="77777777" w:rsidTr="005572D1">
        <w:trPr>
          <w:trHeight w:val="60"/>
        </w:trPr>
        <w:tc>
          <w:tcPr>
            <w:tcW w:w="397" w:type="dxa"/>
            <w:tcMar>
              <w:top w:w="113" w:type="dxa"/>
              <w:left w:w="0" w:type="dxa"/>
              <w:bottom w:w="113" w:type="dxa"/>
              <w:right w:w="0" w:type="dxa"/>
            </w:tcMar>
          </w:tcPr>
          <w:p w14:paraId="46610958" w14:textId="77777777" w:rsidR="00D1206A" w:rsidRPr="00CA3F6E" w:rsidRDefault="00D1206A" w:rsidP="009D23C7">
            <w:pPr>
              <w:spacing w:line="240" w:lineRule="atLeast"/>
              <w:rPr>
                <w:rFonts w:ascii="Tahoma" w:hAnsi="Tahoma"/>
                <w:color w:val="000000" w:themeColor="text1"/>
                <w:sz w:val="16"/>
                <w:lang w:val="en-GB"/>
              </w:rPr>
            </w:pPr>
          </w:p>
        </w:tc>
        <w:tc>
          <w:tcPr>
            <w:tcW w:w="5273" w:type="dxa"/>
            <w:tcBorders>
              <w:top w:val="single" w:sz="4" w:space="0" w:color="auto"/>
              <w:bottom w:val="single" w:sz="4" w:space="0" w:color="auto"/>
            </w:tcBorders>
            <w:tcMar>
              <w:top w:w="113" w:type="dxa"/>
              <w:left w:w="0" w:type="dxa"/>
              <w:bottom w:w="113" w:type="dxa"/>
              <w:right w:w="113" w:type="dxa"/>
            </w:tcMar>
          </w:tcPr>
          <w:p w14:paraId="13B04778" w14:textId="77777777" w:rsidR="00D1206A" w:rsidRPr="00CA3F6E" w:rsidRDefault="00D1206A"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 xml:space="preserve">Acquisition of the group’s interest in </w:t>
            </w:r>
            <w:proofErr w:type="spellStart"/>
            <w:r w:rsidRPr="00CA3F6E">
              <w:rPr>
                <w:rFonts w:ascii="Tahoma" w:hAnsi="Tahoma"/>
                <w:color w:val="000000" w:themeColor="text1"/>
                <w:sz w:val="16"/>
                <w:lang w:val="en-GB"/>
              </w:rPr>
              <w:t>Alwans</w:t>
            </w:r>
            <w:proofErr w:type="spellEnd"/>
          </w:p>
        </w:tc>
        <w:tc>
          <w:tcPr>
            <w:tcW w:w="1843" w:type="dxa"/>
            <w:tcBorders>
              <w:top w:val="single" w:sz="4" w:space="0" w:color="auto"/>
              <w:bottom w:val="single" w:sz="4" w:space="0" w:color="auto"/>
            </w:tcBorders>
            <w:tcMar>
              <w:top w:w="113" w:type="dxa"/>
              <w:left w:w="0" w:type="dxa"/>
              <w:bottom w:w="113" w:type="dxa"/>
              <w:right w:w="0" w:type="dxa"/>
            </w:tcMar>
          </w:tcPr>
          <w:p w14:paraId="6CB2798B" w14:textId="77777777" w:rsidR="00D1206A" w:rsidRPr="00CA3F6E" w:rsidRDefault="00D1206A"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Associate</w:t>
            </w:r>
          </w:p>
        </w:tc>
        <w:tc>
          <w:tcPr>
            <w:tcW w:w="1701" w:type="dxa"/>
            <w:tcBorders>
              <w:top w:val="single" w:sz="4" w:space="0" w:color="auto"/>
              <w:bottom w:val="single" w:sz="4" w:space="0" w:color="auto"/>
            </w:tcBorders>
            <w:tcMar>
              <w:top w:w="113" w:type="dxa"/>
              <w:left w:w="0" w:type="dxa"/>
              <w:bottom w:w="113" w:type="dxa"/>
              <w:right w:w="0" w:type="dxa"/>
            </w:tcMar>
          </w:tcPr>
          <w:p w14:paraId="15EDB71E" w14:textId="77777777" w:rsidR="00D1206A" w:rsidRPr="00CA3F6E" w:rsidRDefault="00D1206A"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Ecommerce</w:t>
            </w:r>
          </w:p>
        </w:tc>
        <w:tc>
          <w:tcPr>
            <w:tcW w:w="992" w:type="dxa"/>
            <w:tcBorders>
              <w:top w:val="single" w:sz="4" w:space="0" w:color="auto"/>
              <w:bottom w:val="single" w:sz="4" w:space="0" w:color="auto"/>
            </w:tcBorders>
            <w:tcMar>
              <w:top w:w="113" w:type="dxa"/>
              <w:left w:w="0" w:type="dxa"/>
              <w:bottom w:w="113" w:type="dxa"/>
              <w:right w:w="0" w:type="dxa"/>
            </w:tcMar>
          </w:tcPr>
          <w:p w14:paraId="5B96C9D8" w14:textId="77777777" w:rsidR="00D1206A" w:rsidRPr="00CA3F6E" w:rsidRDefault="00D1206A"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Acquisition</w:t>
            </w:r>
          </w:p>
        </w:tc>
      </w:tr>
      <w:tr w:rsidR="00D1206A" w:rsidRPr="00CA3F6E" w14:paraId="5811B522" w14:textId="77777777" w:rsidTr="005572D1">
        <w:trPr>
          <w:trHeight w:val="60"/>
        </w:trPr>
        <w:tc>
          <w:tcPr>
            <w:tcW w:w="397" w:type="dxa"/>
            <w:tcMar>
              <w:top w:w="113" w:type="dxa"/>
              <w:left w:w="0" w:type="dxa"/>
              <w:bottom w:w="113" w:type="dxa"/>
              <w:right w:w="0" w:type="dxa"/>
            </w:tcMar>
          </w:tcPr>
          <w:p w14:paraId="6847BBB3" w14:textId="77777777" w:rsidR="00D1206A" w:rsidRPr="00CA3F6E" w:rsidRDefault="00D1206A" w:rsidP="009D23C7">
            <w:pPr>
              <w:spacing w:line="240" w:lineRule="atLeast"/>
              <w:rPr>
                <w:rFonts w:ascii="Tahoma" w:hAnsi="Tahoma"/>
                <w:color w:val="000000" w:themeColor="text1"/>
                <w:sz w:val="16"/>
                <w:lang w:val="en-GB"/>
              </w:rPr>
            </w:pPr>
          </w:p>
        </w:tc>
        <w:tc>
          <w:tcPr>
            <w:tcW w:w="5273" w:type="dxa"/>
            <w:tcBorders>
              <w:top w:val="single" w:sz="4" w:space="0" w:color="auto"/>
              <w:bottom w:val="single" w:sz="4" w:space="0" w:color="auto"/>
            </w:tcBorders>
            <w:tcMar>
              <w:top w:w="113" w:type="dxa"/>
              <w:left w:w="0" w:type="dxa"/>
              <w:bottom w:w="113" w:type="dxa"/>
              <w:right w:w="113" w:type="dxa"/>
            </w:tcMar>
          </w:tcPr>
          <w:p w14:paraId="22F8AB87" w14:textId="77777777" w:rsidR="00D1206A" w:rsidRPr="00CA3F6E" w:rsidRDefault="00D1206A"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Acquisition of the group’s interest in Captain Fresh</w:t>
            </w:r>
          </w:p>
        </w:tc>
        <w:tc>
          <w:tcPr>
            <w:tcW w:w="1843" w:type="dxa"/>
            <w:tcBorders>
              <w:top w:val="single" w:sz="4" w:space="0" w:color="auto"/>
              <w:bottom w:val="single" w:sz="4" w:space="0" w:color="auto"/>
            </w:tcBorders>
            <w:tcMar>
              <w:top w:w="113" w:type="dxa"/>
              <w:left w:w="0" w:type="dxa"/>
              <w:bottom w:w="113" w:type="dxa"/>
              <w:right w:w="0" w:type="dxa"/>
            </w:tcMar>
          </w:tcPr>
          <w:p w14:paraId="38D92A4B" w14:textId="77777777" w:rsidR="00D1206A" w:rsidRPr="00CA3F6E" w:rsidRDefault="00D1206A"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Associate</w:t>
            </w:r>
          </w:p>
        </w:tc>
        <w:tc>
          <w:tcPr>
            <w:tcW w:w="1701" w:type="dxa"/>
            <w:tcBorders>
              <w:top w:val="single" w:sz="4" w:space="0" w:color="auto"/>
              <w:bottom w:val="single" w:sz="4" w:space="0" w:color="auto"/>
            </w:tcBorders>
            <w:tcMar>
              <w:top w:w="113" w:type="dxa"/>
              <w:left w:w="0" w:type="dxa"/>
              <w:bottom w:w="113" w:type="dxa"/>
              <w:right w:w="0" w:type="dxa"/>
            </w:tcMar>
          </w:tcPr>
          <w:p w14:paraId="7E384753" w14:textId="77777777" w:rsidR="00D1206A" w:rsidRPr="00CA3F6E" w:rsidRDefault="00D1206A"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Ecommerce</w:t>
            </w:r>
          </w:p>
        </w:tc>
        <w:tc>
          <w:tcPr>
            <w:tcW w:w="992" w:type="dxa"/>
            <w:tcBorders>
              <w:top w:val="single" w:sz="4" w:space="0" w:color="auto"/>
              <w:bottom w:val="single" w:sz="4" w:space="0" w:color="auto"/>
            </w:tcBorders>
            <w:tcMar>
              <w:top w:w="113" w:type="dxa"/>
              <w:left w:w="0" w:type="dxa"/>
              <w:bottom w:w="113" w:type="dxa"/>
              <w:right w:w="0" w:type="dxa"/>
            </w:tcMar>
          </w:tcPr>
          <w:p w14:paraId="50153150" w14:textId="77777777" w:rsidR="00D1206A" w:rsidRPr="00CA3F6E" w:rsidRDefault="00D1206A"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Acquisition</w:t>
            </w:r>
          </w:p>
        </w:tc>
      </w:tr>
      <w:tr w:rsidR="00D1206A" w:rsidRPr="00CA3F6E" w14:paraId="6A5F5D54" w14:textId="77777777" w:rsidTr="005572D1">
        <w:trPr>
          <w:trHeight w:val="60"/>
        </w:trPr>
        <w:tc>
          <w:tcPr>
            <w:tcW w:w="397" w:type="dxa"/>
            <w:tcMar>
              <w:top w:w="113" w:type="dxa"/>
              <w:left w:w="0" w:type="dxa"/>
              <w:bottom w:w="113" w:type="dxa"/>
              <w:right w:w="0" w:type="dxa"/>
            </w:tcMar>
          </w:tcPr>
          <w:p w14:paraId="3A5EC8D8" w14:textId="77777777" w:rsidR="00D1206A" w:rsidRPr="00CA3F6E" w:rsidRDefault="00D1206A" w:rsidP="009D23C7">
            <w:pPr>
              <w:spacing w:line="240" w:lineRule="atLeast"/>
              <w:rPr>
                <w:rFonts w:ascii="Tahoma" w:hAnsi="Tahoma"/>
                <w:color w:val="000000" w:themeColor="text1"/>
                <w:sz w:val="16"/>
                <w:lang w:val="en-GB"/>
              </w:rPr>
            </w:pPr>
          </w:p>
        </w:tc>
        <w:tc>
          <w:tcPr>
            <w:tcW w:w="5273" w:type="dxa"/>
            <w:tcBorders>
              <w:top w:val="single" w:sz="4" w:space="0" w:color="auto"/>
              <w:bottom w:val="single" w:sz="4" w:space="0" w:color="auto"/>
            </w:tcBorders>
            <w:tcMar>
              <w:top w:w="113" w:type="dxa"/>
              <w:left w:w="0" w:type="dxa"/>
              <w:bottom w:w="113" w:type="dxa"/>
              <w:right w:w="113" w:type="dxa"/>
            </w:tcMar>
          </w:tcPr>
          <w:p w14:paraId="614BEB19" w14:textId="77777777" w:rsidR="00D1206A" w:rsidRPr="00CA3F6E" w:rsidRDefault="00D1206A"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 xml:space="preserve">Acquisition of the group’s interest in </w:t>
            </w:r>
            <w:proofErr w:type="spellStart"/>
            <w:r w:rsidRPr="00CA3F6E">
              <w:rPr>
                <w:rFonts w:ascii="Tahoma" w:hAnsi="Tahoma"/>
                <w:color w:val="000000" w:themeColor="text1"/>
                <w:sz w:val="16"/>
                <w:lang w:val="en-GB"/>
              </w:rPr>
              <w:t>Sangvhi</w:t>
            </w:r>
            <w:proofErr w:type="spellEnd"/>
            <w:r w:rsidRPr="00CA3F6E">
              <w:rPr>
                <w:rFonts w:ascii="Tahoma" w:hAnsi="Tahoma"/>
                <w:color w:val="000000" w:themeColor="text1"/>
                <w:sz w:val="16"/>
                <w:lang w:val="en-GB"/>
              </w:rPr>
              <w:t xml:space="preserve"> Beauty</w:t>
            </w:r>
          </w:p>
        </w:tc>
        <w:tc>
          <w:tcPr>
            <w:tcW w:w="1843" w:type="dxa"/>
            <w:tcBorders>
              <w:top w:val="single" w:sz="4" w:space="0" w:color="auto"/>
              <w:bottom w:val="single" w:sz="4" w:space="0" w:color="auto"/>
            </w:tcBorders>
            <w:tcMar>
              <w:top w:w="113" w:type="dxa"/>
              <w:left w:w="0" w:type="dxa"/>
              <w:bottom w:w="113" w:type="dxa"/>
              <w:right w:w="0" w:type="dxa"/>
            </w:tcMar>
          </w:tcPr>
          <w:p w14:paraId="3886F5C0" w14:textId="77777777" w:rsidR="00D1206A" w:rsidRPr="00CA3F6E" w:rsidRDefault="00D1206A"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Associate</w:t>
            </w:r>
          </w:p>
        </w:tc>
        <w:tc>
          <w:tcPr>
            <w:tcW w:w="1701" w:type="dxa"/>
            <w:tcBorders>
              <w:top w:val="single" w:sz="4" w:space="0" w:color="auto"/>
              <w:bottom w:val="single" w:sz="4" w:space="0" w:color="auto"/>
            </w:tcBorders>
            <w:tcMar>
              <w:top w:w="113" w:type="dxa"/>
              <w:left w:w="0" w:type="dxa"/>
              <w:bottom w:w="113" w:type="dxa"/>
              <w:right w:w="0" w:type="dxa"/>
            </w:tcMar>
          </w:tcPr>
          <w:p w14:paraId="2C8E8E28" w14:textId="77777777" w:rsidR="00D1206A" w:rsidRPr="00CA3F6E" w:rsidRDefault="00D1206A"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Ecommerce</w:t>
            </w:r>
          </w:p>
        </w:tc>
        <w:tc>
          <w:tcPr>
            <w:tcW w:w="992" w:type="dxa"/>
            <w:tcBorders>
              <w:top w:val="single" w:sz="4" w:space="0" w:color="auto"/>
              <w:bottom w:val="single" w:sz="4" w:space="0" w:color="auto"/>
            </w:tcBorders>
            <w:tcMar>
              <w:top w:w="113" w:type="dxa"/>
              <w:left w:w="0" w:type="dxa"/>
              <w:bottom w:w="113" w:type="dxa"/>
              <w:right w:w="0" w:type="dxa"/>
            </w:tcMar>
          </w:tcPr>
          <w:p w14:paraId="73F07257" w14:textId="77777777" w:rsidR="00D1206A" w:rsidRPr="00CA3F6E" w:rsidRDefault="00D1206A"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Acquisition</w:t>
            </w:r>
          </w:p>
        </w:tc>
      </w:tr>
      <w:tr w:rsidR="00D1206A" w:rsidRPr="00CA3F6E" w14:paraId="47DD9C08" w14:textId="77777777" w:rsidTr="005572D1">
        <w:trPr>
          <w:trHeight w:val="60"/>
        </w:trPr>
        <w:tc>
          <w:tcPr>
            <w:tcW w:w="397" w:type="dxa"/>
            <w:tcMar>
              <w:top w:w="113" w:type="dxa"/>
              <w:left w:w="0" w:type="dxa"/>
              <w:bottom w:w="113" w:type="dxa"/>
              <w:right w:w="0" w:type="dxa"/>
            </w:tcMar>
          </w:tcPr>
          <w:p w14:paraId="678C44BE" w14:textId="77777777" w:rsidR="00D1206A" w:rsidRPr="00CA3F6E" w:rsidRDefault="00D1206A" w:rsidP="009D23C7">
            <w:pPr>
              <w:spacing w:line="240" w:lineRule="atLeast"/>
              <w:rPr>
                <w:rFonts w:ascii="Tahoma" w:hAnsi="Tahoma"/>
                <w:color w:val="000000" w:themeColor="text1"/>
                <w:sz w:val="16"/>
                <w:lang w:val="en-GB"/>
              </w:rPr>
            </w:pPr>
          </w:p>
        </w:tc>
        <w:tc>
          <w:tcPr>
            <w:tcW w:w="5273" w:type="dxa"/>
            <w:tcBorders>
              <w:top w:val="single" w:sz="4" w:space="0" w:color="auto"/>
              <w:bottom w:val="single" w:sz="4" w:space="0" w:color="auto"/>
            </w:tcBorders>
            <w:tcMar>
              <w:top w:w="113" w:type="dxa"/>
              <w:left w:w="0" w:type="dxa"/>
              <w:bottom w:w="113" w:type="dxa"/>
              <w:right w:w="113" w:type="dxa"/>
            </w:tcMar>
          </w:tcPr>
          <w:p w14:paraId="0B361614" w14:textId="77777777" w:rsidR="00D1206A" w:rsidRPr="00CA3F6E" w:rsidRDefault="00D1206A"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 xml:space="preserve">Acquisition of the group’s interest in </w:t>
            </w:r>
            <w:proofErr w:type="spellStart"/>
            <w:r w:rsidRPr="00CA3F6E">
              <w:rPr>
                <w:rFonts w:ascii="Tahoma" w:hAnsi="Tahoma"/>
                <w:color w:val="000000" w:themeColor="text1"/>
                <w:sz w:val="16"/>
                <w:lang w:val="en-GB"/>
              </w:rPr>
              <w:t>Bux</w:t>
            </w:r>
            <w:proofErr w:type="spellEnd"/>
          </w:p>
        </w:tc>
        <w:tc>
          <w:tcPr>
            <w:tcW w:w="1843" w:type="dxa"/>
            <w:tcBorders>
              <w:top w:val="single" w:sz="4" w:space="0" w:color="auto"/>
              <w:bottom w:val="single" w:sz="4" w:space="0" w:color="auto"/>
            </w:tcBorders>
            <w:tcMar>
              <w:top w:w="113" w:type="dxa"/>
              <w:left w:w="0" w:type="dxa"/>
              <w:bottom w:w="113" w:type="dxa"/>
              <w:right w:w="0" w:type="dxa"/>
            </w:tcMar>
          </w:tcPr>
          <w:p w14:paraId="34F9A3B4" w14:textId="77777777" w:rsidR="00D1206A" w:rsidRPr="00CA3F6E" w:rsidRDefault="00D1206A"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Associate</w:t>
            </w:r>
          </w:p>
        </w:tc>
        <w:tc>
          <w:tcPr>
            <w:tcW w:w="1701" w:type="dxa"/>
            <w:tcBorders>
              <w:top w:val="single" w:sz="4" w:space="0" w:color="auto"/>
              <w:bottom w:val="single" w:sz="4" w:space="0" w:color="auto"/>
            </w:tcBorders>
            <w:tcMar>
              <w:top w:w="113" w:type="dxa"/>
              <w:left w:w="0" w:type="dxa"/>
              <w:bottom w:w="113" w:type="dxa"/>
              <w:right w:w="0" w:type="dxa"/>
            </w:tcMar>
          </w:tcPr>
          <w:p w14:paraId="680A1132" w14:textId="77777777" w:rsidR="00D1206A" w:rsidRPr="00CA3F6E" w:rsidRDefault="00D1206A"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Ecommerce</w:t>
            </w:r>
          </w:p>
        </w:tc>
        <w:tc>
          <w:tcPr>
            <w:tcW w:w="992" w:type="dxa"/>
            <w:tcBorders>
              <w:top w:val="single" w:sz="4" w:space="0" w:color="auto"/>
              <w:bottom w:val="single" w:sz="4" w:space="0" w:color="auto"/>
            </w:tcBorders>
            <w:tcMar>
              <w:top w:w="113" w:type="dxa"/>
              <w:left w:w="0" w:type="dxa"/>
              <w:bottom w:w="113" w:type="dxa"/>
              <w:right w:w="0" w:type="dxa"/>
            </w:tcMar>
          </w:tcPr>
          <w:p w14:paraId="65429F14" w14:textId="77777777" w:rsidR="00D1206A" w:rsidRPr="00CA3F6E" w:rsidRDefault="00D1206A"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Acquisition</w:t>
            </w:r>
          </w:p>
        </w:tc>
      </w:tr>
      <w:tr w:rsidR="00D1206A" w:rsidRPr="00CA3F6E" w14:paraId="5085E09E" w14:textId="77777777" w:rsidTr="005572D1">
        <w:trPr>
          <w:trHeight w:val="60"/>
        </w:trPr>
        <w:tc>
          <w:tcPr>
            <w:tcW w:w="397" w:type="dxa"/>
            <w:tcMar>
              <w:top w:w="113" w:type="dxa"/>
              <w:left w:w="0" w:type="dxa"/>
              <w:bottom w:w="113" w:type="dxa"/>
              <w:right w:w="0" w:type="dxa"/>
            </w:tcMar>
          </w:tcPr>
          <w:p w14:paraId="1BB7A99D" w14:textId="77777777" w:rsidR="00D1206A" w:rsidRPr="00CA3F6E" w:rsidRDefault="00D1206A" w:rsidP="009D23C7">
            <w:pPr>
              <w:spacing w:line="240" w:lineRule="atLeast"/>
              <w:rPr>
                <w:rFonts w:ascii="Tahoma" w:hAnsi="Tahoma"/>
                <w:color w:val="000000" w:themeColor="text1"/>
                <w:sz w:val="16"/>
                <w:lang w:val="en-GB"/>
              </w:rPr>
            </w:pPr>
          </w:p>
        </w:tc>
        <w:tc>
          <w:tcPr>
            <w:tcW w:w="5273" w:type="dxa"/>
            <w:tcBorders>
              <w:top w:val="single" w:sz="4" w:space="0" w:color="auto"/>
              <w:bottom w:val="single" w:sz="4" w:space="0" w:color="auto"/>
            </w:tcBorders>
            <w:tcMar>
              <w:top w:w="113" w:type="dxa"/>
              <w:left w:w="0" w:type="dxa"/>
              <w:bottom w:w="113" w:type="dxa"/>
              <w:right w:w="113" w:type="dxa"/>
            </w:tcMar>
          </w:tcPr>
          <w:p w14:paraId="6FF2A32E" w14:textId="77777777" w:rsidR="00D1206A" w:rsidRPr="00CA3F6E" w:rsidRDefault="00D1206A"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 xml:space="preserve">Dilution of the group’s interest in </w:t>
            </w:r>
            <w:proofErr w:type="spellStart"/>
            <w:r w:rsidRPr="00CA3F6E">
              <w:rPr>
                <w:rFonts w:ascii="Tahoma" w:hAnsi="Tahoma"/>
                <w:color w:val="000000" w:themeColor="text1"/>
                <w:sz w:val="16"/>
                <w:lang w:val="en-GB"/>
              </w:rPr>
              <w:t>Swiggy</w:t>
            </w:r>
            <w:proofErr w:type="spellEnd"/>
          </w:p>
        </w:tc>
        <w:tc>
          <w:tcPr>
            <w:tcW w:w="1843" w:type="dxa"/>
            <w:tcBorders>
              <w:top w:val="single" w:sz="4" w:space="0" w:color="auto"/>
              <w:bottom w:val="single" w:sz="4" w:space="0" w:color="auto"/>
            </w:tcBorders>
            <w:tcMar>
              <w:top w:w="113" w:type="dxa"/>
              <w:left w:w="0" w:type="dxa"/>
              <w:bottom w:w="113" w:type="dxa"/>
              <w:right w:w="0" w:type="dxa"/>
            </w:tcMar>
          </w:tcPr>
          <w:p w14:paraId="4A6B0FED" w14:textId="77777777" w:rsidR="00D1206A" w:rsidRPr="00CA3F6E" w:rsidRDefault="00D1206A"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Associate</w:t>
            </w:r>
          </w:p>
        </w:tc>
        <w:tc>
          <w:tcPr>
            <w:tcW w:w="1701" w:type="dxa"/>
            <w:tcBorders>
              <w:top w:val="single" w:sz="4" w:space="0" w:color="auto"/>
              <w:bottom w:val="single" w:sz="4" w:space="0" w:color="auto"/>
            </w:tcBorders>
            <w:tcMar>
              <w:top w:w="113" w:type="dxa"/>
              <w:left w:w="0" w:type="dxa"/>
              <w:bottom w:w="113" w:type="dxa"/>
              <w:right w:w="0" w:type="dxa"/>
            </w:tcMar>
          </w:tcPr>
          <w:p w14:paraId="084EC673" w14:textId="77777777" w:rsidR="00D1206A" w:rsidRPr="00CA3F6E" w:rsidRDefault="00D1206A"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Ecommerce</w:t>
            </w:r>
          </w:p>
        </w:tc>
        <w:tc>
          <w:tcPr>
            <w:tcW w:w="992" w:type="dxa"/>
            <w:tcBorders>
              <w:top w:val="single" w:sz="4" w:space="0" w:color="auto"/>
              <w:bottom w:val="single" w:sz="4" w:space="0" w:color="auto"/>
            </w:tcBorders>
            <w:tcMar>
              <w:top w:w="113" w:type="dxa"/>
              <w:left w:w="0" w:type="dxa"/>
              <w:bottom w:w="113" w:type="dxa"/>
              <w:right w:w="0" w:type="dxa"/>
            </w:tcMar>
          </w:tcPr>
          <w:p w14:paraId="511FEAF7" w14:textId="77777777" w:rsidR="00D1206A" w:rsidRPr="00CA3F6E" w:rsidRDefault="00D1206A"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Disposal</w:t>
            </w:r>
          </w:p>
        </w:tc>
      </w:tr>
      <w:tr w:rsidR="00D1206A" w:rsidRPr="00CA3F6E" w14:paraId="0888FFAC" w14:textId="77777777" w:rsidTr="005572D1">
        <w:trPr>
          <w:trHeight w:val="60"/>
        </w:trPr>
        <w:tc>
          <w:tcPr>
            <w:tcW w:w="397" w:type="dxa"/>
            <w:tcMar>
              <w:top w:w="113" w:type="dxa"/>
              <w:left w:w="0" w:type="dxa"/>
              <w:bottom w:w="113" w:type="dxa"/>
              <w:right w:w="0" w:type="dxa"/>
            </w:tcMar>
          </w:tcPr>
          <w:p w14:paraId="3B06F3E7" w14:textId="77777777" w:rsidR="00D1206A" w:rsidRPr="00CA3F6E" w:rsidRDefault="00D1206A" w:rsidP="009D23C7">
            <w:pPr>
              <w:spacing w:line="240" w:lineRule="atLeast"/>
              <w:rPr>
                <w:rFonts w:ascii="Tahoma" w:hAnsi="Tahoma"/>
                <w:color w:val="000000" w:themeColor="text1"/>
                <w:sz w:val="16"/>
                <w:lang w:val="en-GB"/>
              </w:rPr>
            </w:pPr>
          </w:p>
        </w:tc>
        <w:tc>
          <w:tcPr>
            <w:tcW w:w="5273" w:type="dxa"/>
            <w:tcBorders>
              <w:top w:val="single" w:sz="4" w:space="0" w:color="auto"/>
              <w:bottom w:val="single" w:sz="4" w:space="0" w:color="auto"/>
            </w:tcBorders>
            <w:tcMar>
              <w:top w:w="113" w:type="dxa"/>
              <w:left w:w="0" w:type="dxa"/>
              <w:bottom w:w="113" w:type="dxa"/>
              <w:right w:w="113" w:type="dxa"/>
            </w:tcMar>
          </w:tcPr>
          <w:p w14:paraId="14C7AAFB" w14:textId="77777777" w:rsidR="00D1206A" w:rsidRPr="00CA3F6E" w:rsidRDefault="00D1206A"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 xml:space="preserve">Dilution of the group’s interest in </w:t>
            </w:r>
            <w:proofErr w:type="spellStart"/>
            <w:r w:rsidRPr="00CA3F6E">
              <w:rPr>
                <w:rFonts w:ascii="Tahoma" w:hAnsi="Tahoma"/>
                <w:color w:val="000000" w:themeColor="text1"/>
                <w:sz w:val="16"/>
                <w:lang w:val="en-GB"/>
              </w:rPr>
              <w:t>Remitly</w:t>
            </w:r>
            <w:proofErr w:type="spellEnd"/>
          </w:p>
        </w:tc>
        <w:tc>
          <w:tcPr>
            <w:tcW w:w="1843" w:type="dxa"/>
            <w:tcBorders>
              <w:top w:val="single" w:sz="4" w:space="0" w:color="auto"/>
              <w:bottom w:val="single" w:sz="4" w:space="0" w:color="auto"/>
            </w:tcBorders>
            <w:tcMar>
              <w:top w:w="113" w:type="dxa"/>
              <w:left w:w="0" w:type="dxa"/>
              <w:bottom w:w="113" w:type="dxa"/>
              <w:right w:w="0" w:type="dxa"/>
            </w:tcMar>
          </w:tcPr>
          <w:p w14:paraId="4AF70C4A" w14:textId="77777777" w:rsidR="00D1206A" w:rsidRPr="00CA3F6E" w:rsidRDefault="00D1206A"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Associate</w:t>
            </w:r>
          </w:p>
        </w:tc>
        <w:tc>
          <w:tcPr>
            <w:tcW w:w="1701" w:type="dxa"/>
            <w:tcBorders>
              <w:top w:val="single" w:sz="4" w:space="0" w:color="auto"/>
              <w:bottom w:val="single" w:sz="4" w:space="0" w:color="auto"/>
            </w:tcBorders>
            <w:tcMar>
              <w:top w:w="113" w:type="dxa"/>
              <w:left w:w="0" w:type="dxa"/>
              <w:bottom w:w="113" w:type="dxa"/>
              <w:right w:w="0" w:type="dxa"/>
            </w:tcMar>
          </w:tcPr>
          <w:p w14:paraId="029F5A10" w14:textId="77777777" w:rsidR="00D1206A" w:rsidRPr="00CA3F6E" w:rsidRDefault="00D1206A"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Ecommerce</w:t>
            </w:r>
          </w:p>
        </w:tc>
        <w:tc>
          <w:tcPr>
            <w:tcW w:w="992" w:type="dxa"/>
            <w:tcBorders>
              <w:top w:val="single" w:sz="4" w:space="0" w:color="auto"/>
              <w:bottom w:val="single" w:sz="4" w:space="0" w:color="auto"/>
            </w:tcBorders>
            <w:tcMar>
              <w:top w:w="113" w:type="dxa"/>
              <w:left w:w="0" w:type="dxa"/>
              <w:bottom w:w="113" w:type="dxa"/>
              <w:right w:w="0" w:type="dxa"/>
            </w:tcMar>
          </w:tcPr>
          <w:p w14:paraId="364ECFDC" w14:textId="77777777" w:rsidR="00D1206A" w:rsidRPr="00CA3F6E" w:rsidRDefault="00D1206A"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Disposal</w:t>
            </w:r>
          </w:p>
        </w:tc>
      </w:tr>
      <w:tr w:rsidR="00D1206A" w:rsidRPr="00CA3F6E" w14:paraId="786B12D4" w14:textId="77777777" w:rsidTr="005572D1">
        <w:trPr>
          <w:trHeight w:val="60"/>
        </w:trPr>
        <w:tc>
          <w:tcPr>
            <w:tcW w:w="397" w:type="dxa"/>
            <w:tcMar>
              <w:top w:w="113" w:type="dxa"/>
              <w:left w:w="0" w:type="dxa"/>
              <w:bottom w:w="113" w:type="dxa"/>
              <w:right w:w="0" w:type="dxa"/>
            </w:tcMar>
          </w:tcPr>
          <w:p w14:paraId="0AC51E50" w14:textId="77777777" w:rsidR="00D1206A" w:rsidRPr="00CA3F6E" w:rsidRDefault="00D1206A" w:rsidP="009D23C7">
            <w:pPr>
              <w:spacing w:line="240" w:lineRule="atLeast"/>
              <w:rPr>
                <w:rFonts w:ascii="Tahoma" w:hAnsi="Tahoma"/>
                <w:color w:val="000000" w:themeColor="text1"/>
                <w:sz w:val="16"/>
                <w:lang w:val="en-GB"/>
              </w:rPr>
            </w:pPr>
          </w:p>
        </w:tc>
        <w:tc>
          <w:tcPr>
            <w:tcW w:w="5273" w:type="dxa"/>
            <w:tcBorders>
              <w:top w:val="single" w:sz="4" w:space="0" w:color="auto"/>
              <w:bottom w:val="single" w:sz="4" w:space="0" w:color="auto"/>
            </w:tcBorders>
            <w:tcMar>
              <w:top w:w="113" w:type="dxa"/>
              <w:left w:w="0" w:type="dxa"/>
              <w:bottom w:w="113" w:type="dxa"/>
              <w:right w:w="113" w:type="dxa"/>
            </w:tcMar>
          </w:tcPr>
          <w:p w14:paraId="472898B6" w14:textId="77777777" w:rsidR="00D1206A" w:rsidRPr="00CA3F6E" w:rsidRDefault="00D1206A"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Dilution and lag-period catch-up adjustment following the subsequent loss of significant influence of the group’s interest in BYJU’S together with the impact of change in revenue recognition</w:t>
            </w:r>
          </w:p>
        </w:tc>
        <w:tc>
          <w:tcPr>
            <w:tcW w:w="1843" w:type="dxa"/>
            <w:tcBorders>
              <w:top w:val="single" w:sz="4" w:space="0" w:color="auto"/>
              <w:bottom w:val="single" w:sz="4" w:space="0" w:color="auto"/>
            </w:tcBorders>
            <w:tcMar>
              <w:top w:w="113" w:type="dxa"/>
              <w:left w:w="0" w:type="dxa"/>
              <w:bottom w:w="113" w:type="dxa"/>
              <w:right w:w="0" w:type="dxa"/>
            </w:tcMar>
          </w:tcPr>
          <w:p w14:paraId="7B775A0D" w14:textId="77777777" w:rsidR="00D1206A" w:rsidRPr="00CA3F6E" w:rsidRDefault="00D1206A"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Associate</w:t>
            </w:r>
          </w:p>
        </w:tc>
        <w:tc>
          <w:tcPr>
            <w:tcW w:w="1701" w:type="dxa"/>
            <w:tcBorders>
              <w:top w:val="single" w:sz="4" w:space="0" w:color="auto"/>
              <w:bottom w:val="single" w:sz="4" w:space="0" w:color="auto"/>
            </w:tcBorders>
            <w:tcMar>
              <w:top w:w="113" w:type="dxa"/>
              <w:left w:w="0" w:type="dxa"/>
              <w:bottom w:w="113" w:type="dxa"/>
              <w:right w:w="0" w:type="dxa"/>
            </w:tcMar>
          </w:tcPr>
          <w:p w14:paraId="2CC6A00E" w14:textId="77777777" w:rsidR="00D1206A" w:rsidRPr="00CA3F6E" w:rsidRDefault="00D1206A"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Ecommerce</w:t>
            </w:r>
          </w:p>
        </w:tc>
        <w:tc>
          <w:tcPr>
            <w:tcW w:w="992" w:type="dxa"/>
            <w:tcBorders>
              <w:top w:val="single" w:sz="4" w:space="0" w:color="auto"/>
              <w:bottom w:val="single" w:sz="4" w:space="0" w:color="auto"/>
            </w:tcBorders>
            <w:tcMar>
              <w:top w:w="113" w:type="dxa"/>
              <w:left w:w="0" w:type="dxa"/>
              <w:bottom w:w="113" w:type="dxa"/>
              <w:right w:w="0" w:type="dxa"/>
            </w:tcMar>
          </w:tcPr>
          <w:p w14:paraId="5AF71253" w14:textId="77777777" w:rsidR="003C45AC" w:rsidRDefault="00D1206A"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Disposal/</w:t>
            </w:r>
          </w:p>
          <w:p w14:paraId="5386E0CE" w14:textId="77777777" w:rsidR="00D1206A" w:rsidRPr="00CA3F6E" w:rsidRDefault="00D1206A"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Acquisition</w:t>
            </w:r>
          </w:p>
        </w:tc>
      </w:tr>
      <w:tr w:rsidR="00D1206A" w:rsidRPr="00CA3F6E" w14:paraId="1FE37518" w14:textId="77777777" w:rsidTr="006D6A96">
        <w:trPr>
          <w:trHeight w:val="60"/>
        </w:trPr>
        <w:tc>
          <w:tcPr>
            <w:tcW w:w="397" w:type="dxa"/>
            <w:tcMar>
              <w:top w:w="113" w:type="dxa"/>
              <w:left w:w="0" w:type="dxa"/>
              <w:bottom w:w="113" w:type="dxa"/>
              <w:right w:w="0" w:type="dxa"/>
            </w:tcMar>
          </w:tcPr>
          <w:p w14:paraId="3EBE409B" w14:textId="77777777" w:rsidR="00D1206A" w:rsidRPr="00CA3F6E" w:rsidRDefault="00D1206A" w:rsidP="009D23C7">
            <w:pPr>
              <w:spacing w:line="240" w:lineRule="atLeast"/>
              <w:rPr>
                <w:rFonts w:ascii="Tahoma" w:hAnsi="Tahoma"/>
                <w:color w:val="000000" w:themeColor="text1"/>
                <w:sz w:val="16"/>
                <w:lang w:val="en-GB"/>
              </w:rPr>
            </w:pPr>
          </w:p>
        </w:tc>
        <w:tc>
          <w:tcPr>
            <w:tcW w:w="5273" w:type="dxa"/>
            <w:tcBorders>
              <w:top w:val="single" w:sz="4" w:space="0" w:color="auto"/>
              <w:bottom w:val="single" w:sz="4" w:space="0" w:color="auto"/>
            </w:tcBorders>
            <w:tcMar>
              <w:top w:w="113" w:type="dxa"/>
              <w:left w:w="0" w:type="dxa"/>
              <w:bottom w:w="113" w:type="dxa"/>
              <w:right w:w="113" w:type="dxa"/>
            </w:tcMar>
          </w:tcPr>
          <w:p w14:paraId="23C1623C" w14:textId="77777777" w:rsidR="00D1206A" w:rsidRPr="00CA3F6E" w:rsidRDefault="00D1206A"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 xml:space="preserve">Disposal of the group’s interest in </w:t>
            </w:r>
            <w:proofErr w:type="spellStart"/>
            <w:r w:rsidRPr="00CA3F6E">
              <w:rPr>
                <w:rFonts w:ascii="Tahoma" w:hAnsi="Tahoma"/>
                <w:color w:val="000000" w:themeColor="text1"/>
                <w:sz w:val="16"/>
                <w:lang w:val="en-GB"/>
              </w:rPr>
              <w:t>Encuentra</w:t>
            </w:r>
            <w:proofErr w:type="spellEnd"/>
          </w:p>
        </w:tc>
        <w:tc>
          <w:tcPr>
            <w:tcW w:w="1843" w:type="dxa"/>
            <w:tcBorders>
              <w:top w:val="single" w:sz="4" w:space="0" w:color="auto"/>
              <w:bottom w:val="single" w:sz="4" w:space="0" w:color="auto"/>
            </w:tcBorders>
            <w:tcMar>
              <w:top w:w="113" w:type="dxa"/>
              <w:left w:w="0" w:type="dxa"/>
              <w:bottom w:w="113" w:type="dxa"/>
              <w:right w:w="0" w:type="dxa"/>
            </w:tcMar>
          </w:tcPr>
          <w:p w14:paraId="4CE26F2A" w14:textId="77777777" w:rsidR="00D1206A" w:rsidRPr="00CA3F6E" w:rsidRDefault="00D1206A"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Associate</w:t>
            </w:r>
          </w:p>
        </w:tc>
        <w:tc>
          <w:tcPr>
            <w:tcW w:w="1701" w:type="dxa"/>
            <w:tcBorders>
              <w:top w:val="single" w:sz="4" w:space="0" w:color="auto"/>
              <w:bottom w:val="single" w:sz="4" w:space="0" w:color="auto"/>
            </w:tcBorders>
            <w:tcMar>
              <w:top w:w="113" w:type="dxa"/>
              <w:left w:w="0" w:type="dxa"/>
              <w:bottom w:w="113" w:type="dxa"/>
              <w:right w:w="0" w:type="dxa"/>
            </w:tcMar>
          </w:tcPr>
          <w:p w14:paraId="25CF7028" w14:textId="77777777" w:rsidR="00D1206A" w:rsidRPr="00CA3F6E" w:rsidRDefault="00D1206A"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Ecommerce</w:t>
            </w:r>
          </w:p>
        </w:tc>
        <w:tc>
          <w:tcPr>
            <w:tcW w:w="992" w:type="dxa"/>
            <w:tcBorders>
              <w:top w:val="single" w:sz="4" w:space="0" w:color="auto"/>
              <w:bottom w:val="single" w:sz="4" w:space="0" w:color="auto"/>
            </w:tcBorders>
            <w:tcMar>
              <w:top w:w="113" w:type="dxa"/>
              <w:left w:w="0" w:type="dxa"/>
              <w:bottom w:w="113" w:type="dxa"/>
              <w:right w:w="0" w:type="dxa"/>
            </w:tcMar>
          </w:tcPr>
          <w:p w14:paraId="220E7677" w14:textId="77777777" w:rsidR="00D1206A" w:rsidRPr="00CA3F6E" w:rsidRDefault="00D1206A"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Disposal</w:t>
            </w:r>
          </w:p>
        </w:tc>
      </w:tr>
      <w:tr w:rsidR="00D1206A" w:rsidRPr="00CA3F6E" w14:paraId="77608DC7" w14:textId="77777777" w:rsidTr="006D6A96">
        <w:trPr>
          <w:trHeight w:val="60"/>
        </w:trPr>
        <w:tc>
          <w:tcPr>
            <w:tcW w:w="397" w:type="dxa"/>
            <w:tcMar>
              <w:top w:w="113" w:type="dxa"/>
              <w:left w:w="0" w:type="dxa"/>
              <w:bottom w:w="113" w:type="dxa"/>
              <w:right w:w="0" w:type="dxa"/>
            </w:tcMar>
          </w:tcPr>
          <w:p w14:paraId="740FE698" w14:textId="77777777" w:rsidR="00D1206A" w:rsidRPr="00CA3F6E" w:rsidRDefault="00D1206A" w:rsidP="009D23C7">
            <w:pPr>
              <w:spacing w:line="240" w:lineRule="atLeast"/>
              <w:rPr>
                <w:rFonts w:ascii="Tahoma" w:hAnsi="Tahoma"/>
                <w:color w:val="000000" w:themeColor="text1"/>
                <w:sz w:val="16"/>
                <w:lang w:val="en-GB"/>
              </w:rPr>
            </w:pPr>
          </w:p>
        </w:tc>
        <w:tc>
          <w:tcPr>
            <w:tcW w:w="5273" w:type="dxa"/>
            <w:tcBorders>
              <w:top w:val="single" w:sz="4" w:space="0" w:color="auto"/>
              <w:bottom w:val="single" w:sz="4" w:space="0" w:color="auto"/>
            </w:tcBorders>
            <w:tcMar>
              <w:top w:w="113" w:type="dxa"/>
              <w:left w:w="0" w:type="dxa"/>
              <w:bottom w:w="113" w:type="dxa"/>
              <w:right w:w="113" w:type="dxa"/>
            </w:tcMar>
          </w:tcPr>
          <w:p w14:paraId="210E3CFF" w14:textId="77777777" w:rsidR="00D1206A" w:rsidRPr="00CA3F6E" w:rsidRDefault="00D1206A"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 xml:space="preserve">Disposal of the group’s interest in </w:t>
            </w:r>
            <w:proofErr w:type="spellStart"/>
            <w:r w:rsidRPr="00CA3F6E">
              <w:rPr>
                <w:rFonts w:ascii="Tahoma" w:hAnsi="Tahoma"/>
                <w:color w:val="000000" w:themeColor="text1"/>
                <w:sz w:val="16"/>
                <w:lang w:val="en-GB"/>
              </w:rPr>
              <w:t>Leiturinha</w:t>
            </w:r>
            <w:proofErr w:type="spellEnd"/>
          </w:p>
        </w:tc>
        <w:tc>
          <w:tcPr>
            <w:tcW w:w="1843" w:type="dxa"/>
            <w:tcBorders>
              <w:top w:val="single" w:sz="4" w:space="0" w:color="auto"/>
              <w:bottom w:val="single" w:sz="4" w:space="0" w:color="auto"/>
            </w:tcBorders>
            <w:tcMar>
              <w:top w:w="113" w:type="dxa"/>
              <w:left w:w="0" w:type="dxa"/>
              <w:bottom w:w="113" w:type="dxa"/>
              <w:right w:w="0" w:type="dxa"/>
            </w:tcMar>
          </w:tcPr>
          <w:p w14:paraId="3A46CC24" w14:textId="77777777" w:rsidR="00D1206A" w:rsidRPr="00CA3F6E" w:rsidRDefault="00D1206A"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Subsidiary</w:t>
            </w:r>
          </w:p>
        </w:tc>
        <w:tc>
          <w:tcPr>
            <w:tcW w:w="1701" w:type="dxa"/>
            <w:tcBorders>
              <w:top w:val="single" w:sz="4" w:space="0" w:color="auto"/>
              <w:bottom w:val="single" w:sz="4" w:space="0" w:color="auto"/>
            </w:tcBorders>
            <w:tcMar>
              <w:top w:w="113" w:type="dxa"/>
              <w:left w:w="0" w:type="dxa"/>
              <w:bottom w:w="113" w:type="dxa"/>
              <w:right w:w="0" w:type="dxa"/>
            </w:tcMar>
          </w:tcPr>
          <w:p w14:paraId="4912622F" w14:textId="77777777" w:rsidR="00D1206A" w:rsidRPr="00CA3F6E" w:rsidRDefault="00D1206A"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Ecommerce</w:t>
            </w:r>
          </w:p>
        </w:tc>
        <w:tc>
          <w:tcPr>
            <w:tcW w:w="992" w:type="dxa"/>
            <w:tcBorders>
              <w:top w:val="single" w:sz="4" w:space="0" w:color="auto"/>
              <w:bottom w:val="single" w:sz="4" w:space="0" w:color="auto"/>
            </w:tcBorders>
            <w:tcMar>
              <w:top w:w="113" w:type="dxa"/>
              <w:left w:w="0" w:type="dxa"/>
              <w:bottom w:w="113" w:type="dxa"/>
              <w:right w:w="0" w:type="dxa"/>
            </w:tcMar>
          </w:tcPr>
          <w:p w14:paraId="614D8E7F" w14:textId="77777777" w:rsidR="00D1206A" w:rsidRPr="00CA3F6E" w:rsidRDefault="00D1206A"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Disposal</w:t>
            </w:r>
          </w:p>
        </w:tc>
      </w:tr>
      <w:tr w:rsidR="00D1206A" w:rsidRPr="00CA3F6E" w14:paraId="639AEE5B" w14:textId="77777777" w:rsidTr="006D6A96">
        <w:trPr>
          <w:trHeight w:val="60"/>
        </w:trPr>
        <w:tc>
          <w:tcPr>
            <w:tcW w:w="397" w:type="dxa"/>
            <w:tcMar>
              <w:top w:w="142" w:type="dxa"/>
              <w:left w:w="0" w:type="dxa"/>
              <w:bottom w:w="57" w:type="dxa"/>
              <w:right w:w="0" w:type="dxa"/>
            </w:tcMar>
          </w:tcPr>
          <w:p w14:paraId="4E2BFDDC" w14:textId="77777777" w:rsidR="00D1206A" w:rsidRPr="00CA3F6E" w:rsidRDefault="00D1206A" w:rsidP="009D23C7">
            <w:pPr>
              <w:spacing w:line="240" w:lineRule="atLeast"/>
              <w:rPr>
                <w:rFonts w:ascii="Tahoma" w:hAnsi="Tahoma"/>
                <w:color w:val="000000" w:themeColor="text1"/>
                <w:sz w:val="16"/>
                <w:lang w:val="en-GB"/>
              </w:rPr>
            </w:pPr>
          </w:p>
        </w:tc>
        <w:tc>
          <w:tcPr>
            <w:tcW w:w="9809" w:type="dxa"/>
            <w:gridSpan w:val="4"/>
            <w:tcBorders>
              <w:top w:val="single" w:sz="4" w:space="0" w:color="auto"/>
            </w:tcBorders>
            <w:tcMar>
              <w:top w:w="142" w:type="dxa"/>
              <w:left w:w="0" w:type="dxa"/>
              <w:bottom w:w="57" w:type="dxa"/>
              <w:right w:w="0" w:type="dxa"/>
            </w:tcMar>
          </w:tcPr>
          <w:p w14:paraId="08B6B06D" w14:textId="77777777" w:rsidR="00D1206A" w:rsidRPr="00CA3F6E" w:rsidRDefault="00D1206A"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 xml:space="preserve">The net adjustment made for all acquisitions and disposals on continuing operations that took place during the period ended </w:t>
            </w:r>
            <w:r w:rsidR="009C574A">
              <w:rPr>
                <w:rFonts w:ascii="Tahoma" w:hAnsi="Tahoma"/>
                <w:color w:val="000000" w:themeColor="text1"/>
                <w:sz w:val="16"/>
                <w:lang w:val="en-GB"/>
              </w:rPr>
              <w:br/>
            </w:r>
            <w:r w:rsidRPr="00CA3F6E">
              <w:rPr>
                <w:rFonts w:ascii="Tahoma" w:hAnsi="Tahoma"/>
                <w:color w:val="000000" w:themeColor="text1"/>
                <w:sz w:val="16"/>
                <w:lang w:val="en-GB"/>
              </w:rPr>
              <w:t>30 September 2022 amounted to a negative adjustment of US$12m on revenue and a negative adjustment of US$252m on trading profit.</w:t>
            </w:r>
          </w:p>
        </w:tc>
      </w:tr>
    </w:tbl>
    <w:p w14:paraId="49B71211" w14:textId="77777777" w:rsidR="000B0E9A" w:rsidRDefault="000B0E9A" w:rsidP="00615190">
      <w:pPr>
        <w:spacing w:line="240" w:lineRule="atLeast"/>
        <w:rPr>
          <w:rFonts w:ascii="Tahoma" w:hAnsi="Tahoma"/>
          <w:color w:val="000000" w:themeColor="text1"/>
          <w:sz w:val="16"/>
        </w:rPr>
      </w:pPr>
    </w:p>
    <w:p w14:paraId="0F3CFD6E" w14:textId="77777777" w:rsidR="00CA3F6E" w:rsidRDefault="000B0E9A" w:rsidP="00615190">
      <w:pPr>
        <w:spacing w:line="240" w:lineRule="atLeast"/>
        <w:rPr>
          <w:rFonts w:ascii="Tahoma" w:hAnsi="Tahoma"/>
          <w:color w:val="000000" w:themeColor="text1"/>
          <w:sz w:val="16"/>
        </w:rPr>
      </w:pPr>
      <w:r>
        <w:rPr>
          <w:rFonts w:ascii="Tahoma" w:hAnsi="Tahoma"/>
          <w:color w:val="000000" w:themeColor="text1"/>
          <w:sz w:val="16"/>
        </w:rPr>
        <w:br w:type="column"/>
      </w:r>
    </w:p>
    <w:p w14:paraId="31D323FA" w14:textId="77777777" w:rsidR="000B0E9A" w:rsidRDefault="000B0E9A" w:rsidP="00615190">
      <w:pPr>
        <w:spacing w:line="240" w:lineRule="atLeast"/>
        <w:rPr>
          <w:rFonts w:ascii="Tahoma" w:hAnsi="Tahoma"/>
          <w:color w:val="000000" w:themeColor="text1"/>
          <w:sz w:val="16"/>
        </w:rPr>
      </w:pPr>
    </w:p>
    <w:tbl>
      <w:tblPr>
        <w:tblW w:w="10206" w:type="dxa"/>
        <w:tblInd w:w="-8" w:type="dxa"/>
        <w:tblLayout w:type="fixed"/>
        <w:tblCellMar>
          <w:left w:w="0" w:type="dxa"/>
          <w:right w:w="0" w:type="dxa"/>
        </w:tblCellMar>
        <w:tblLook w:val="0000" w:firstRow="0" w:lastRow="0" w:firstColumn="0" w:lastColumn="0" w:noHBand="0" w:noVBand="0"/>
      </w:tblPr>
      <w:tblGrid>
        <w:gridCol w:w="397"/>
        <w:gridCol w:w="3714"/>
        <w:gridCol w:w="567"/>
        <w:gridCol w:w="851"/>
        <w:gridCol w:w="992"/>
        <w:gridCol w:w="850"/>
        <w:gridCol w:w="709"/>
        <w:gridCol w:w="709"/>
        <w:gridCol w:w="709"/>
        <w:gridCol w:w="708"/>
      </w:tblGrid>
      <w:tr w:rsidR="000A4902" w:rsidRPr="00CA3F6E" w14:paraId="1A9C7504" w14:textId="77777777" w:rsidTr="005D0D64">
        <w:trPr>
          <w:trHeight w:val="60"/>
        </w:trPr>
        <w:tc>
          <w:tcPr>
            <w:tcW w:w="397" w:type="dxa"/>
            <w:shd w:val="clear" w:color="auto" w:fill="auto"/>
            <w:tcMar>
              <w:top w:w="0" w:type="dxa"/>
              <w:left w:w="0" w:type="dxa"/>
              <w:bottom w:w="57" w:type="dxa"/>
              <w:right w:w="0" w:type="dxa"/>
            </w:tcMar>
            <w:vAlign w:val="bottom"/>
          </w:tcPr>
          <w:p w14:paraId="0C17FE72" w14:textId="77777777" w:rsidR="000A4902" w:rsidRPr="00875F95" w:rsidRDefault="000A4902" w:rsidP="000A4902">
            <w:pPr>
              <w:spacing w:line="240" w:lineRule="atLeast"/>
              <w:rPr>
                <w:rFonts w:ascii="Tahoma" w:hAnsi="Tahoma"/>
                <w:b/>
                <w:bCs/>
                <w:color w:val="000000" w:themeColor="text1"/>
                <w:sz w:val="16"/>
                <w:lang w:val="en-GB"/>
              </w:rPr>
            </w:pPr>
            <w:r w:rsidRPr="00875F95">
              <w:rPr>
                <w:rFonts w:ascii="Tahoma" w:hAnsi="Tahoma"/>
                <w:b/>
                <w:bCs/>
                <w:color w:val="000000" w:themeColor="text1"/>
                <w:sz w:val="16"/>
                <w:lang w:val="en-GB"/>
              </w:rPr>
              <w:t>A.</w:t>
            </w:r>
          </w:p>
        </w:tc>
        <w:tc>
          <w:tcPr>
            <w:tcW w:w="9809" w:type="dxa"/>
            <w:gridSpan w:val="9"/>
            <w:shd w:val="clear" w:color="auto" w:fill="auto"/>
            <w:tcMar>
              <w:top w:w="0" w:type="dxa"/>
              <w:left w:w="0" w:type="dxa"/>
              <w:bottom w:w="57" w:type="dxa"/>
              <w:right w:w="0" w:type="dxa"/>
            </w:tcMar>
            <w:vAlign w:val="bottom"/>
          </w:tcPr>
          <w:p w14:paraId="0F891FFA" w14:textId="77777777" w:rsidR="000A4902" w:rsidRPr="00875F95" w:rsidRDefault="000A4902" w:rsidP="000A4902">
            <w:pPr>
              <w:spacing w:line="240" w:lineRule="atLeast"/>
              <w:rPr>
                <w:rFonts w:ascii="Tahoma" w:hAnsi="Tahoma"/>
                <w:b/>
                <w:bCs/>
                <w:color w:val="000000" w:themeColor="text1"/>
                <w:sz w:val="16"/>
                <w:lang w:val="en-GB"/>
              </w:rPr>
            </w:pPr>
            <w:r w:rsidRPr="00875F95">
              <w:rPr>
                <w:rFonts w:ascii="Tahoma" w:hAnsi="Tahoma"/>
                <w:b/>
                <w:bCs/>
                <w:color w:val="000000" w:themeColor="text1"/>
                <w:sz w:val="16"/>
                <w:lang w:val="en-GB"/>
              </w:rPr>
              <w:t>NON-IFRS FINANCIAL MEASURES AND ALTERNATIVE PERFORMANCE MEASURES (continued)</w:t>
            </w:r>
          </w:p>
        </w:tc>
      </w:tr>
      <w:tr w:rsidR="000A4902" w:rsidRPr="00CA3F6E" w14:paraId="09F702F9" w14:textId="77777777" w:rsidTr="005D0D64">
        <w:trPr>
          <w:trHeight w:val="60"/>
        </w:trPr>
        <w:tc>
          <w:tcPr>
            <w:tcW w:w="397" w:type="dxa"/>
            <w:shd w:val="clear" w:color="auto" w:fill="auto"/>
            <w:tcMar>
              <w:top w:w="0" w:type="dxa"/>
              <w:left w:w="0" w:type="dxa"/>
              <w:bottom w:w="57" w:type="dxa"/>
              <w:right w:w="0" w:type="dxa"/>
            </w:tcMar>
            <w:vAlign w:val="bottom"/>
          </w:tcPr>
          <w:p w14:paraId="7F41E0F5" w14:textId="77777777" w:rsidR="000A4902" w:rsidRPr="00CA3F6E" w:rsidRDefault="000A4902" w:rsidP="000A4902">
            <w:pPr>
              <w:spacing w:line="240" w:lineRule="atLeast"/>
              <w:rPr>
                <w:rFonts w:ascii="Tahoma" w:hAnsi="Tahoma"/>
                <w:b/>
                <w:bCs/>
                <w:color w:val="000000" w:themeColor="text1"/>
                <w:sz w:val="16"/>
                <w:lang w:val="en-GB"/>
              </w:rPr>
            </w:pPr>
            <w:r w:rsidRPr="00CA3F6E">
              <w:rPr>
                <w:rFonts w:ascii="Tahoma" w:hAnsi="Tahoma"/>
                <w:b/>
                <w:bCs/>
                <w:color w:val="000000" w:themeColor="text1"/>
                <w:sz w:val="16"/>
                <w:lang w:val="en-GB"/>
              </w:rPr>
              <w:t>A.2</w:t>
            </w:r>
          </w:p>
        </w:tc>
        <w:tc>
          <w:tcPr>
            <w:tcW w:w="9809" w:type="dxa"/>
            <w:gridSpan w:val="9"/>
            <w:shd w:val="clear" w:color="auto" w:fill="auto"/>
            <w:tcMar>
              <w:top w:w="0" w:type="dxa"/>
              <w:left w:w="0" w:type="dxa"/>
              <w:bottom w:w="57" w:type="dxa"/>
              <w:right w:w="0" w:type="dxa"/>
            </w:tcMar>
            <w:vAlign w:val="bottom"/>
          </w:tcPr>
          <w:p w14:paraId="1D601449" w14:textId="77777777" w:rsidR="000A4902" w:rsidRPr="00CA3F6E" w:rsidRDefault="000A4902" w:rsidP="000A4902">
            <w:pPr>
              <w:spacing w:line="240" w:lineRule="atLeast"/>
              <w:rPr>
                <w:rFonts w:ascii="Tahoma" w:hAnsi="Tahoma"/>
                <w:b/>
                <w:bCs/>
                <w:color w:val="000000" w:themeColor="text1"/>
                <w:sz w:val="16"/>
                <w:lang w:val="en-GB"/>
              </w:rPr>
            </w:pPr>
            <w:r w:rsidRPr="00CA3F6E">
              <w:rPr>
                <w:rFonts w:ascii="Tahoma" w:hAnsi="Tahoma"/>
                <w:b/>
                <w:bCs/>
                <w:color w:val="000000" w:themeColor="text1"/>
                <w:sz w:val="16"/>
                <w:lang w:val="en-GB"/>
              </w:rPr>
              <w:t>Growth in local currency, excluding acquisitions and disposals (continued)</w:t>
            </w:r>
          </w:p>
        </w:tc>
      </w:tr>
      <w:tr w:rsidR="000B0E9A" w:rsidRPr="00CA3F6E" w14:paraId="3BBCC494" w14:textId="77777777" w:rsidTr="005D0D64">
        <w:trPr>
          <w:trHeight w:val="60"/>
        </w:trPr>
        <w:tc>
          <w:tcPr>
            <w:tcW w:w="397" w:type="dxa"/>
            <w:shd w:val="clear" w:color="auto" w:fill="auto"/>
            <w:tcMar>
              <w:top w:w="0" w:type="dxa"/>
              <w:left w:w="0" w:type="dxa"/>
              <w:bottom w:w="57" w:type="dxa"/>
              <w:right w:w="0" w:type="dxa"/>
            </w:tcMar>
            <w:vAlign w:val="bottom"/>
          </w:tcPr>
          <w:p w14:paraId="6439C4C0" w14:textId="77777777" w:rsidR="000B0E9A" w:rsidRPr="00CA3F6E" w:rsidRDefault="000B0E9A" w:rsidP="009D23C7">
            <w:pPr>
              <w:spacing w:line="240" w:lineRule="atLeast"/>
              <w:rPr>
                <w:rFonts w:ascii="Tahoma" w:hAnsi="Tahoma"/>
                <w:color w:val="000000" w:themeColor="text1"/>
                <w:sz w:val="16"/>
                <w:lang w:val="en-GB"/>
              </w:rPr>
            </w:pPr>
          </w:p>
        </w:tc>
        <w:tc>
          <w:tcPr>
            <w:tcW w:w="9809" w:type="dxa"/>
            <w:gridSpan w:val="9"/>
            <w:shd w:val="clear" w:color="auto" w:fill="auto"/>
            <w:tcMar>
              <w:top w:w="0" w:type="dxa"/>
              <w:left w:w="0" w:type="dxa"/>
              <w:bottom w:w="57" w:type="dxa"/>
              <w:right w:w="0" w:type="dxa"/>
            </w:tcMar>
            <w:vAlign w:val="bottom"/>
          </w:tcPr>
          <w:p w14:paraId="173DDFBB" w14:textId="77777777" w:rsidR="000B0E9A" w:rsidRPr="00CA3F6E" w:rsidRDefault="000B0E9A"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The adjustments to the amounts, reported in terms of IFRS, that have been made in arriving at the pro forma financial information are presented in the table below:</w:t>
            </w:r>
          </w:p>
        </w:tc>
      </w:tr>
      <w:tr w:rsidR="000B0E9A" w:rsidRPr="00CA3F6E" w14:paraId="415412A4" w14:textId="77777777" w:rsidTr="005D0D64">
        <w:trPr>
          <w:trHeight w:val="506"/>
        </w:trPr>
        <w:tc>
          <w:tcPr>
            <w:tcW w:w="397" w:type="dxa"/>
            <w:shd w:val="clear" w:color="auto" w:fill="auto"/>
            <w:tcMar>
              <w:top w:w="85" w:type="dxa"/>
              <w:left w:w="0" w:type="dxa"/>
              <w:bottom w:w="85" w:type="dxa"/>
              <w:right w:w="0" w:type="dxa"/>
            </w:tcMar>
            <w:vAlign w:val="bottom"/>
          </w:tcPr>
          <w:p w14:paraId="53CE2BB8" w14:textId="77777777" w:rsidR="000B0E9A" w:rsidRPr="00CA3F6E" w:rsidRDefault="000B0E9A" w:rsidP="009D23C7">
            <w:pPr>
              <w:spacing w:line="240" w:lineRule="atLeast"/>
              <w:rPr>
                <w:rFonts w:ascii="Tahoma" w:hAnsi="Tahoma"/>
                <w:color w:val="000000" w:themeColor="text1"/>
                <w:sz w:val="16"/>
                <w:lang w:val="en-GB"/>
              </w:rPr>
            </w:pPr>
          </w:p>
        </w:tc>
        <w:tc>
          <w:tcPr>
            <w:tcW w:w="3714" w:type="dxa"/>
            <w:shd w:val="clear" w:color="auto" w:fill="auto"/>
            <w:tcMar>
              <w:top w:w="85" w:type="dxa"/>
              <w:left w:w="0" w:type="dxa"/>
              <w:bottom w:w="85" w:type="dxa"/>
              <w:right w:w="0" w:type="dxa"/>
            </w:tcMar>
            <w:vAlign w:val="bottom"/>
          </w:tcPr>
          <w:p w14:paraId="27701666" w14:textId="77777777" w:rsidR="000B0E9A" w:rsidRPr="00CA3F6E" w:rsidRDefault="000B0E9A" w:rsidP="009D23C7">
            <w:pPr>
              <w:spacing w:line="240" w:lineRule="atLeast"/>
              <w:rPr>
                <w:rFonts w:ascii="Tahoma" w:hAnsi="Tahoma"/>
                <w:color w:val="000000" w:themeColor="text1"/>
                <w:sz w:val="16"/>
                <w:lang w:val="en-GB"/>
              </w:rPr>
            </w:pPr>
          </w:p>
        </w:tc>
        <w:tc>
          <w:tcPr>
            <w:tcW w:w="6095" w:type="dxa"/>
            <w:gridSpan w:val="8"/>
            <w:shd w:val="clear" w:color="auto" w:fill="auto"/>
            <w:tcMar>
              <w:top w:w="85" w:type="dxa"/>
              <w:left w:w="0" w:type="dxa"/>
              <w:bottom w:w="85" w:type="dxa"/>
              <w:right w:w="0" w:type="dxa"/>
            </w:tcMar>
            <w:vAlign w:val="bottom"/>
          </w:tcPr>
          <w:p w14:paraId="121817C1" w14:textId="77777777" w:rsidR="000B0E9A" w:rsidRPr="00CA3F6E" w:rsidRDefault="000B0E9A" w:rsidP="007D190B">
            <w:pPr>
              <w:spacing w:line="240" w:lineRule="atLeast"/>
              <w:jc w:val="center"/>
              <w:rPr>
                <w:rFonts w:ascii="Tahoma" w:hAnsi="Tahoma"/>
                <w:b/>
                <w:bCs/>
                <w:color w:val="000000" w:themeColor="text1"/>
                <w:sz w:val="16"/>
                <w:lang w:val="en-GB"/>
              </w:rPr>
            </w:pPr>
            <w:r w:rsidRPr="00CA3F6E">
              <w:rPr>
                <w:rFonts w:ascii="Tahoma" w:hAnsi="Tahoma"/>
                <w:b/>
                <w:bCs/>
                <w:color w:val="000000" w:themeColor="text1"/>
                <w:sz w:val="16"/>
                <w:lang w:val="en-GB"/>
              </w:rPr>
              <w:t>Six months ended 30 September</w:t>
            </w:r>
          </w:p>
        </w:tc>
      </w:tr>
      <w:tr w:rsidR="0004453B" w:rsidRPr="00CA3F6E" w14:paraId="07FFADC5" w14:textId="77777777" w:rsidTr="00012F7B">
        <w:trPr>
          <w:trHeight w:val="60"/>
        </w:trPr>
        <w:tc>
          <w:tcPr>
            <w:tcW w:w="397" w:type="dxa"/>
            <w:shd w:val="clear" w:color="auto" w:fill="auto"/>
            <w:tcMar>
              <w:top w:w="113" w:type="dxa"/>
              <w:left w:w="0" w:type="dxa"/>
              <w:bottom w:w="57" w:type="dxa"/>
              <w:right w:w="0" w:type="dxa"/>
            </w:tcMar>
            <w:vAlign w:val="bottom"/>
          </w:tcPr>
          <w:p w14:paraId="515BFB03" w14:textId="77777777" w:rsidR="000B0E9A" w:rsidRPr="00CA3F6E" w:rsidRDefault="000B0E9A" w:rsidP="009D23C7">
            <w:pPr>
              <w:spacing w:line="240" w:lineRule="atLeast"/>
              <w:rPr>
                <w:rFonts w:ascii="Tahoma" w:hAnsi="Tahoma"/>
                <w:color w:val="000000" w:themeColor="text1"/>
                <w:sz w:val="16"/>
                <w:lang w:val="en-GB"/>
              </w:rPr>
            </w:pPr>
          </w:p>
        </w:tc>
        <w:tc>
          <w:tcPr>
            <w:tcW w:w="3714" w:type="dxa"/>
            <w:shd w:val="clear" w:color="auto" w:fill="auto"/>
            <w:tcMar>
              <w:top w:w="113" w:type="dxa"/>
              <w:left w:w="0" w:type="dxa"/>
              <w:bottom w:w="57" w:type="dxa"/>
              <w:right w:w="0" w:type="dxa"/>
            </w:tcMar>
            <w:vAlign w:val="bottom"/>
          </w:tcPr>
          <w:p w14:paraId="50B98F56" w14:textId="77777777" w:rsidR="000B0E9A" w:rsidRPr="00CA3F6E" w:rsidRDefault="000B0E9A" w:rsidP="009D23C7">
            <w:pPr>
              <w:spacing w:line="240" w:lineRule="atLeast"/>
              <w:rPr>
                <w:rFonts w:ascii="Tahoma" w:hAnsi="Tahoma"/>
                <w:color w:val="000000" w:themeColor="text1"/>
                <w:sz w:val="16"/>
                <w:lang w:val="en-GB"/>
              </w:rPr>
            </w:pPr>
          </w:p>
        </w:tc>
        <w:tc>
          <w:tcPr>
            <w:tcW w:w="567" w:type="dxa"/>
            <w:shd w:val="clear" w:color="auto" w:fill="auto"/>
            <w:tcMar>
              <w:top w:w="113" w:type="dxa"/>
              <w:left w:w="0" w:type="dxa"/>
              <w:bottom w:w="57" w:type="dxa"/>
              <w:right w:w="0" w:type="dxa"/>
            </w:tcMar>
            <w:vAlign w:val="bottom"/>
          </w:tcPr>
          <w:p w14:paraId="79BCA9A2"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2021</w:t>
            </w:r>
          </w:p>
          <w:p w14:paraId="55C4B26C"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A</w:t>
            </w:r>
          </w:p>
        </w:tc>
        <w:tc>
          <w:tcPr>
            <w:tcW w:w="851" w:type="dxa"/>
            <w:shd w:val="clear" w:color="auto" w:fill="auto"/>
            <w:tcMar>
              <w:top w:w="113" w:type="dxa"/>
              <w:left w:w="0" w:type="dxa"/>
              <w:bottom w:w="57" w:type="dxa"/>
              <w:right w:w="0" w:type="dxa"/>
            </w:tcMar>
            <w:vAlign w:val="bottom"/>
          </w:tcPr>
          <w:p w14:paraId="75FDBBC3" w14:textId="77777777" w:rsidR="000B0E9A" w:rsidRPr="00CA3F6E" w:rsidRDefault="000B0E9A" w:rsidP="00F87BEC">
            <w:pPr>
              <w:spacing w:line="240" w:lineRule="atLeast"/>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2022</w:t>
            </w:r>
          </w:p>
          <w:p w14:paraId="22192293" w14:textId="77777777" w:rsidR="000B0E9A" w:rsidRPr="00CA3F6E" w:rsidRDefault="000B0E9A" w:rsidP="00F87BEC">
            <w:pPr>
              <w:spacing w:line="240" w:lineRule="atLeast"/>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B</w:t>
            </w:r>
          </w:p>
        </w:tc>
        <w:tc>
          <w:tcPr>
            <w:tcW w:w="992" w:type="dxa"/>
            <w:shd w:val="clear" w:color="auto" w:fill="auto"/>
            <w:tcMar>
              <w:top w:w="113" w:type="dxa"/>
              <w:left w:w="0" w:type="dxa"/>
              <w:bottom w:w="57" w:type="dxa"/>
              <w:right w:w="0" w:type="dxa"/>
            </w:tcMar>
            <w:vAlign w:val="bottom"/>
          </w:tcPr>
          <w:p w14:paraId="39502942" w14:textId="77777777" w:rsidR="000B0E9A" w:rsidRPr="00CA3F6E" w:rsidRDefault="000B0E9A" w:rsidP="00F87BEC">
            <w:pPr>
              <w:spacing w:line="240" w:lineRule="atLeast"/>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2022</w:t>
            </w:r>
          </w:p>
          <w:p w14:paraId="534BAA3C" w14:textId="77777777" w:rsidR="000B0E9A" w:rsidRPr="00CA3F6E" w:rsidRDefault="000B0E9A" w:rsidP="00F87BEC">
            <w:pPr>
              <w:spacing w:line="240" w:lineRule="atLeast"/>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C</w:t>
            </w:r>
          </w:p>
        </w:tc>
        <w:tc>
          <w:tcPr>
            <w:tcW w:w="850" w:type="dxa"/>
            <w:shd w:val="clear" w:color="auto" w:fill="auto"/>
            <w:tcMar>
              <w:top w:w="113" w:type="dxa"/>
              <w:left w:w="0" w:type="dxa"/>
              <w:bottom w:w="57" w:type="dxa"/>
              <w:right w:w="0" w:type="dxa"/>
            </w:tcMar>
            <w:vAlign w:val="bottom"/>
          </w:tcPr>
          <w:p w14:paraId="18CE90CC" w14:textId="77777777" w:rsidR="000B0E9A" w:rsidRPr="00CA3F6E" w:rsidRDefault="000B0E9A" w:rsidP="00F87BEC">
            <w:pPr>
              <w:spacing w:line="240" w:lineRule="atLeast"/>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2022</w:t>
            </w:r>
          </w:p>
          <w:p w14:paraId="4795A326" w14:textId="77777777" w:rsidR="000B0E9A" w:rsidRPr="00CA3F6E" w:rsidRDefault="000B0E9A" w:rsidP="00F87BEC">
            <w:pPr>
              <w:spacing w:line="240" w:lineRule="atLeast"/>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D</w:t>
            </w:r>
          </w:p>
        </w:tc>
        <w:tc>
          <w:tcPr>
            <w:tcW w:w="709" w:type="dxa"/>
            <w:shd w:val="clear" w:color="auto" w:fill="auto"/>
            <w:tcMar>
              <w:top w:w="113" w:type="dxa"/>
              <w:left w:w="0" w:type="dxa"/>
              <w:bottom w:w="57" w:type="dxa"/>
              <w:right w:w="0" w:type="dxa"/>
            </w:tcMar>
            <w:vAlign w:val="bottom"/>
          </w:tcPr>
          <w:p w14:paraId="52A0B5C1" w14:textId="77777777" w:rsidR="000B0E9A" w:rsidRPr="00CA3F6E" w:rsidRDefault="000B0E9A" w:rsidP="00F87BEC">
            <w:pPr>
              <w:spacing w:line="240" w:lineRule="atLeast"/>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2022</w:t>
            </w:r>
          </w:p>
          <w:p w14:paraId="7A699BDB" w14:textId="77777777" w:rsidR="000B0E9A" w:rsidRPr="00CA3F6E" w:rsidRDefault="000B0E9A" w:rsidP="00F87BEC">
            <w:pPr>
              <w:spacing w:line="240" w:lineRule="atLeast"/>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E</w:t>
            </w:r>
          </w:p>
        </w:tc>
        <w:tc>
          <w:tcPr>
            <w:tcW w:w="709" w:type="dxa"/>
            <w:shd w:val="clear" w:color="auto" w:fill="auto"/>
            <w:tcMar>
              <w:top w:w="113" w:type="dxa"/>
              <w:left w:w="0" w:type="dxa"/>
              <w:bottom w:w="57" w:type="dxa"/>
              <w:right w:w="0" w:type="dxa"/>
            </w:tcMar>
            <w:vAlign w:val="bottom"/>
          </w:tcPr>
          <w:p w14:paraId="408D0C3B" w14:textId="77777777" w:rsidR="000B0E9A" w:rsidRPr="00CA3F6E" w:rsidRDefault="000B0E9A" w:rsidP="00F87BEC">
            <w:pPr>
              <w:spacing w:line="240" w:lineRule="atLeast"/>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2022</w:t>
            </w:r>
          </w:p>
          <w:p w14:paraId="7E1B0E05" w14:textId="77777777" w:rsidR="000B0E9A" w:rsidRPr="00CA3F6E" w:rsidRDefault="000B0E9A" w:rsidP="00F87BEC">
            <w:pPr>
              <w:spacing w:line="240" w:lineRule="atLeast"/>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F</w:t>
            </w:r>
            <w:r w:rsidRPr="00CA3F6E">
              <w:rPr>
                <w:rFonts w:ascii="Tahoma" w:hAnsi="Tahoma"/>
                <w:b/>
                <w:bCs/>
                <w:color w:val="000000" w:themeColor="text1"/>
                <w:w w:val="70"/>
                <w:sz w:val="16"/>
                <w:vertAlign w:val="superscript"/>
                <w:lang w:val="en-GB"/>
              </w:rPr>
              <w:t>2</w:t>
            </w:r>
          </w:p>
        </w:tc>
        <w:tc>
          <w:tcPr>
            <w:tcW w:w="709" w:type="dxa"/>
            <w:shd w:val="clear" w:color="auto" w:fill="auto"/>
            <w:tcMar>
              <w:top w:w="113" w:type="dxa"/>
              <w:left w:w="0" w:type="dxa"/>
              <w:bottom w:w="57" w:type="dxa"/>
              <w:right w:w="0" w:type="dxa"/>
            </w:tcMar>
            <w:vAlign w:val="bottom"/>
          </w:tcPr>
          <w:p w14:paraId="6EF5C6CE" w14:textId="77777777" w:rsidR="000B0E9A" w:rsidRPr="00CA3F6E" w:rsidRDefault="000B0E9A" w:rsidP="00F87BEC">
            <w:pPr>
              <w:spacing w:line="240" w:lineRule="atLeast"/>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2022</w:t>
            </w:r>
          </w:p>
          <w:p w14:paraId="65D8C9BD" w14:textId="77777777" w:rsidR="000B0E9A" w:rsidRPr="00CA3F6E" w:rsidRDefault="000B0E9A" w:rsidP="00F87BEC">
            <w:pPr>
              <w:spacing w:line="240" w:lineRule="atLeast"/>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G</w:t>
            </w:r>
            <w:r w:rsidRPr="00CA3F6E">
              <w:rPr>
                <w:rFonts w:ascii="Tahoma" w:hAnsi="Tahoma"/>
                <w:b/>
                <w:bCs/>
                <w:color w:val="000000" w:themeColor="text1"/>
                <w:w w:val="70"/>
                <w:sz w:val="16"/>
                <w:vertAlign w:val="superscript"/>
                <w:lang w:val="en-GB"/>
              </w:rPr>
              <w:t>3</w:t>
            </w:r>
          </w:p>
        </w:tc>
        <w:tc>
          <w:tcPr>
            <w:tcW w:w="708" w:type="dxa"/>
            <w:shd w:val="clear" w:color="auto" w:fill="auto"/>
            <w:tcMar>
              <w:top w:w="113" w:type="dxa"/>
              <w:left w:w="0" w:type="dxa"/>
              <w:bottom w:w="57" w:type="dxa"/>
              <w:right w:w="0" w:type="dxa"/>
            </w:tcMar>
            <w:vAlign w:val="bottom"/>
          </w:tcPr>
          <w:p w14:paraId="48C05012" w14:textId="77777777" w:rsidR="000B0E9A" w:rsidRPr="00CA3F6E" w:rsidRDefault="000B0E9A" w:rsidP="003377FD">
            <w:pPr>
              <w:spacing w:line="240" w:lineRule="atLeast"/>
              <w:ind w:right="113"/>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2022</w:t>
            </w:r>
          </w:p>
          <w:p w14:paraId="14CC9869" w14:textId="77777777" w:rsidR="000B0E9A" w:rsidRPr="00CA3F6E" w:rsidRDefault="000B0E9A" w:rsidP="003377FD">
            <w:pPr>
              <w:spacing w:line="240" w:lineRule="atLeast"/>
              <w:ind w:right="113"/>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H</w:t>
            </w:r>
            <w:r w:rsidRPr="00CA3F6E">
              <w:rPr>
                <w:rFonts w:ascii="Tahoma" w:hAnsi="Tahoma"/>
                <w:b/>
                <w:bCs/>
                <w:color w:val="000000" w:themeColor="text1"/>
                <w:w w:val="70"/>
                <w:sz w:val="16"/>
                <w:vertAlign w:val="superscript"/>
                <w:lang w:val="en-GB"/>
              </w:rPr>
              <w:t>4</w:t>
            </w:r>
          </w:p>
        </w:tc>
      </w:tr>
      <w:tr w:rsidR="0004453B" w:rsidRPr="00CA3F6E" w14:paraId="16381CD9" w14:textId="77777777" w:rsidTr="00012F7B">
        <w:trPr>
          <w:trHeight w:val="60"/>
        </w:trPr>
        <w:tc>
          <w:tcPr>
            <w:tcW w:w="397" w:type="dxa"/>
            <w:shd w:val="clear" w:color="auto" w:fill="auto"/>
            <w:tcMar>
              <w:top w:w="57" w:type="dxa"/>
              <w:left w:w="0" w:type="dxa"/>
              <w:bottom w:w="113" w:type="dxa"/>
              <w:right w:w="0" w:type="dxa"/>
            </w:tcMar>
            <w:vAlign w:val="bottom"/>
          </w:tcPr>
          <w:p w14:paraId="76BA05D3" w14:textId="77777777" w:rsidR="000B0E9A" w:rsidRPr="00CA3F6E" w:rsidRDefault="000B0E9A" w:rsidP="009D23C7">
            <w:pPr>
              <w:spacing w:line="240" w:lineRule="atLeast"/>
              <w:rPr>
                <w:rFonts w:ascii="Tahoma" w:hAnsi="Tahoma"/>
                <w:color w:val="000000" w:themeColor="text1"/>
                <w:sz w:val="16"/>
                <w:lang w:val="en-GB"/>
              </w:rPr>
            </w:pPr>
          </w:p>
        </w:tc>
        <w:tc>
          <w:tcPr>
            <w:tcW w:w="3714" w:type="dxa"/>
            <w:tcBorders>
              <w:bottom w:val="single" w:sz="12" w:space="0" w:color="auto"/>
            </w:tcBorders>
            <w:shd w:val="clear" w:color="auto" w:fill="auto"/>
            <w:tcMar>
              <w:top w:w="57" w:type="dxa"/>
              <w:left w:w="0" w:type="dxa"/>
              <w:bottom w:w="113" w:type="dxa"/>
              <w:right w:w="0" w:type="dxa"/>
            </w:tcMar>
            <w:vAlign w:val="bottom"/>
          </w:tcPr>
          <w:p w14:paraId="597E76BF" w14:textId="77777777" w:rsidR="000B0E9A" w:rsidRPr="00CA3F6E" w:rsidRDefault="000B0E9A" w:rsidP="009D23C7">
            <w:pPr>
              <w:spacing w:line="240" w:lineRule="atLeast"/>
              <w:rPr>
                <w:rFonts w:ascii="Tahoma" w:hAnsi="Tahoma"/>
                <w:color w:val="000000" w:themeColor="text1"/>
                <w:sz w:val="16"/>
                <w:lang w:val="en-GB"/>
              </w:rPr>
            </w:pPr>
          </w:p>
        </w:tc>
        <w:tc>
          <w:tcPr>
            <w:tcW w:w="567" w:type="dxa"/>
            <w:tcBorders>
              <w:bottom w:val="single" w:sz="12" w:space="0" w:color="auto"/>
            </w:tcBorders>
            <w:shd w:val="clear" w:color="auto" w:fill="auto"/>
            <w:tcMar>
              <w:top w:w="57" w:type="dxa"/>
              <w:left w:w="0" w:type="dxa"/>
              <w:bottom w:w="113" w:type="dxa"/>
              <w:right w:w="0" w:type="dxa"/>
            </w:tcMar>
            <w:vAlign w:val="bottom"/>
          </w:tcPr>
          <w:p w14:paraId="639E6A68"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IFRS</w:t>
            </w:r>
            <w:r w:rsidRPr="00CA3F6E">
              <w:rPr>
                <w:rFonts w:ascii="Tahoma" w:hAnsi="Tahoma"/>
                <w:color w:val="000000" w:themeColor="text1"/>
                <w:w w:val="70"/>
                <w:sz w:val="16"/>
                <w:vertAlign w:val="superscript"/>
                <w:lang w:val="en-GB"/>
              </w:rPr>
              <w:t>1</w:t>
            </w:r>
          </w:p>
          <w:p w14:paraId="4F64FCA2" w14:textId="77777777" w:rsidR="000B0E9A" w:rsidRPr="00CA3F6E" w:rsidRDefault="000B0E9A" w:rsidP="00F87BEC">
            <w:pPr>
              <w:spacing w:line="240" w:lineRule="atLeast"/>
              <w:jc w:val="right"/>
              <w:rPr>
                <w:rFonts w:ascii="Tahoma" w:hAnsi="Tahoma"/>
                <w:color w:val="000000" w:themeColor="text1"/>
                <w:w w:val="70"/>
                <w:sz w:val="16"/>
                <w:lang w:val="en-GB"/>
              </w:rPr>
            </w:pPr>
            <w:proofErr w:type="spellStart"/>
            <w:r w:rsidRPr="00CA3F6E">
              <w:rPr>
                <w:rFonts w:ascii="Tahoma" w:hAnsi="Tahoma"/>
                <w:color w:val="000000" w:themeColor="text1"/>
                <w:w w:val="70"/>
                <w:sz w:val="16"/>
                <w:lang w:val="en-GB"/>
              </w:rPr>
              <w:t>US$’m</w:t>
            </w:r>
            <w:proofErr w:type="spellEnd"/>
          </w:p>
        </w:tc>
        <w:tc>
          <w:tcPr>
            <w:tcW w:w="851" w:type="dxa"/>
            <w:tcBorders>
              <w:bottom w:val="single" w:sz="12" w:space="0" w:color="auto"/>
            </w:tcBorders>
            <w:shd w:val="clear" w:color="auto" w:fill="auto"/>
            <w:tcMar>
              <w:top w:w="57" w:type="dxa"/>
              <w:left w:w="0" w:type="dxa"/>
              <w:bottom w:w="113" w:type="dxa"/>
              <w:right w:w="0" w:type="dxa"/>
            </w:tcMar>
            <w:vAlign w:val="bottom"/>
          </w:tcPr>
          <w:p w14:paraId="703CBF6C" w14:textId="77777777" w:rsidR="000B0E9A" w:rsidRPr="00CA3F6E" w:rsidRDefault="000B0E9A" w:rsidP="00F87BEC">
            <w:pPr>
              <w:spacing w:line="240" w:lineRule="atLeast"/>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 xml:space="preserve">Group </w:t>
            </w:r>
          </w:p>
          <w:p w14:paraId="658873A4" w14:textId="77777777" w:rsidR="000B0E9A" w:rsidRPr="00CA3F6E" w:rsidRDefault="000B0E9A" w:rsidP="00F87BEC">
            <w:pPr>
              <w:spacing w:line="240" w:lineRule="atLeast"/>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 xml:space="preserve">composition </w:t>
            </w:r>
          </w:p>
          <w:p w14:paraId="3EC93983" w14:textId="77777777" w:rsidR="000B0E9A" w:rsidRPr="00CA3F6E" w:rsidRDefault="000B0E9A" w:rsidP="00F87BEC">
            <w:pPr>
              <w:spacing w:line="240" w:lineRule="atLeast"/>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 xml:space="preserve">disposal </w:t>
            </w:r>
          </w:p>
          <w:p w14:paraId="48B035C0" w14:textId="77777777" w:rsidR="000B0E9A" w:rsidRPr="00CA3F6E" w:rsidRDefault="000B0E9A" w:rsidP="00F87BEC">
            <w:pPr>
              <w:spacing w:line="240" w:lineRule="atLeast"/>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adjustment</w:t>
            </w:r>
          </w:p>
          <w:p w14:paraId="2B0AD474" w14:textId="77777777" w:rsidR="000B0E9A" w:rsidRPr="00CA3F6E" w:rsidRDefault="000B0E9A" w:rsidP="00F87BEC">
            <w:pPr>
              <w:spacing w:line="240" w:lineRule="atLeast"/>
              <w:jc w:val="right"/>
              <w:rPr>
                <w:rFonts w:ascii="Tahoma" w:hAnsi="Tahoma"/>
                <w:b/>
                <w:bCs/>
                <w:color w:val="000000" w:themeColor="text1"/>
                <w:w w:val="70"/>
                <w:sz w:val="16"/>
                <w:lang w:val="en-GB"/>
              </w:rPr>
            </w:pPr>
            <w:proofErr w:type="spellStart"/>
            <w:r w:rsidRPr="00CA3F6E">
              <w:rPr>
                <w:rFonts w:ascii="Tahoma" w:hAnsi="Tahoma"/>
                <w:b/>
                <w:bCs/>
                <w:color w:val="000000" w:themeColor="text1"/>
                <w:w w:val="70"/>
                <w:sz w:val="16"/>
                <w:lang w:val="en-GB"/>
              </w:rPr>
              <w:t>US$’m</w:t>
            </w:r>
            <w:proofErr w:type="spellEnd"/>
          </w:p>
        </w:tc>
        <w:tc>
          <w:tcPr>
            <w:tcW w:w="992" w:type="dxa"/>
            <w:tcBorders>
              <w:bottom w:val="single" w:sz="12" w:space="0" w:color="auto"/>
            </w:tcBorders>
            <w:shd w:val="clear" w:color="auto" w:fill="auto"/>
            <w:tcMar>
              <w:top w:w="57" w:type="dxa"/>
              <w:left w:w="0" w:type="dxa"/>
              <w:bottom w:w="113" w:type="dxa"/>
              <w:right w:w="0" w:type="dxa"/>
            </w:tcMar>
            <w:vAlign w:val="bottom"/>
          </w:tcPr>
          <w:p w14:paraId="5985277A" w14:textId="77777777" w:rsidR="000B0E9A" w:rsidRPr="00CA3F6E" w:rsidRDefault="000B0E9A" w:rsidP="00F87BEC">
            <w:pPr>
              <w:spacing w:line="240" w:lineRule="atLeast"/>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 xml:space="preserve">Group </w:t>
            </w:r>
          </w:p>
          <w:p w14:paraId="64485C25" w14:textId="77777777" w:rsidR="000B0E9A" w:rsidRPr="00CA3F6E" w:rsidRDefault="000B0E9A" w:rsidP="00F87BEC">
            <w:pPr>
              <w:spacing w:line="240" w:lineRule="atLeast"/>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 xml:space="preserve">composition </w:t>
            </w:r>
          </w:p>
          <w:p w14:paraId="4703D5B3" w14:textId="77777777" w:rsidR="000B0E9A" w:rsidRPr="00CA3F6E" w:rsidRDefault="000B0E9A" w:rsidP="00F87BEC">
            <w:pPr>
              <w:spacing w:line="240" w:lineRule="atLeast"/>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 xml:space="preserve">acquisition </w:t>
            </w:r>
          </w:p>
          <w:p w14:paraId="792A2132" w14:textId="77777777" w:rsidR="000B0E9A" w:rsidRPr="00CA3F6E" w:rsidRDefault="000B0E9A" w:rsidP="00F87BEC">
            <w:pPr>
              <w:spacing w:line="240" w:lineRule="atLeast"/>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adjustment</w:t>
            </w:r>
          </w:p>
          <w:p w14:paraId="60486DF4" w14:textId="77777777" w:rsidR="000B0E9A" w:rsidRPr="00CA3F6E" w:rsidRDefault="000B0E9A" w:rsidP="00F87BEC">
            <w:pPr>
              <w:spacing w:line="240" w:lineRule="atLeast"/>
              <w:jc w:val="right"/>
              <w:rPr>
                <w:rFonts w:ascii="Tahoma" w:hAnsi="Tahoma"/>
                <w:b/>
                <w:bCs/>
                <w:color w:val="000000" w:themeColor="text1"/>
                <w:w w:val="70"/>
                <w:sz w:val="16"/>
                <w:lang w:val="en-GB"/>
              </w:rPr>
            </w:pPr>
            <w:proofErr w:type="spellStart"/>
            <w:r w:rsidRPr="00CA3F6E">
              <w:rPr>
                <w:rFonts w:ascii="Tahoma" w:hAnsi="Tahoma"/>
                <w:b/>
                <w:bCs/>
                <w:color w:val="000000" w:themeColor="text1"/>
                <w:w w:val="70"/>
                <w:sz w:val="16"/>
                <w:lang w:val="en-GB"/>
              </w:rPr>
              <w:t>US$’m</w:t>
            </w:r>
            <w:proofErr w:type="spellEnd"/>
          </w:p>
        </w:tc>
        <w:tc>
          <w:tcPr>
            <w:tcW w:w="850" w:type="dxa"/>
            <w:tcBorders>
              <w:bottom w:val="single" w:sz="12" w:space="0" w:color="auto"/>
            </w:tcBorders>
            <w:shd w:val="clear" w:color="auto" w:fill="auto"/>
            <w:tcMar>
              <w:top w:w="57" w:type="dxa"/>
              <w:left w:w="0" w:type="dxa"/>
              <w:bottom w:w="113" w:type="dxa"/>
              <w:right w:w="0" w:type="dxa"/>
            </w:tcMar>
            <w:vAlign w:val="bottom"/>
          </w:tcPr>
          <w:p w14:paraId="55AF0DF8" w14:textId="77777777" w:rsidR="000B0E9A" w:rsidRPr="00CA3F6E" w:rsidRDefault="000B0E9A" w:rsidP="00F87BEC">
            <w:pPr>
              <w:spacing w:line="240" w:lineRule="atLeast"/>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 xml:space="preserve">Foreign </w:t>
            </w:r>
          </w:p>
          <w:p w14:paraId="37B7C540" w14:textId="77777777" w:rsidR="000B0E9A" w:rsidRPr="00CA3F6E" w:rsidRDefault="000B0E9A" w:rsidP="00F87BEC">
            <w:pPr>
              <w:spacing w:line="240" w:lineRule="atLeast"/>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 xml:space="preserve">currency </w:t>
            </w:r>
          </w:p>
          <w:p w14:paraId="20170025" w14:textId="77777777" w:rsidR="000B0E9A" w:rsidRPr="00CA3F6E" w:rsidRDefault="000B0E9A" w:rsidP="00F87BEC">
            <w:pPr>
              <w:spacing w:line="240" w:lineRule="atLeast"/>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adjustment</w:t>
            </w:r>
          </w:p>
          <w:p w14:paraId="2D6D4164" w14:textId="77777777" w:rsidR="000B0E9A" w:rsidRPr="00CA3F6E" w:rsidRDefault="000B0E9A" w:rsidP="00F87BEC">
            <w:pPr>
              <w:spacing w:line="240" w:lineRule="atLeast"/>
              <w:jc w:val="right"/>
              <w:rPr>
                <w:rFonts w:ascii="Tahoma" w:hAnsi="Tahoma"/>
                <w:b/>
                <w:bCs/>
                <w:color w:val="000000" w:themeColor="text1"/>
                <w:w w:val="70"/>
                <w:sz w:val="16"/>
                <w:lang w:val="en-GB"/>
              </w:rPr>
            </w:pPr>
            <w:proofErr w:type="spellStart"/>
            <w:r w:rsidRPr="00CA3F6E">
              <w:rPr>
                <w:rFonts w:ascii="Tahoma" w:hAnsi="Tahoma"/>
                <w:b/>
                <w:bCs/>
                <w:color w:val="000000" w:themeColor="text1"/>
                <w:w w:val="70"/>
                <w:sz w:val="16"/>
                <w:lang w:val="en-GB"/>
              </w:rPr>
              <w:t>US$’m</w:t>
            </w:r>
            <w:proofErr w:type="spellEnd"/>
          </w:p>
        </w:tc>
        <w:tc>
          <w:tcPr>
            <w:tcW w:w="709" w:type="dxa"/>
            <w:tcBorders>
              <w:bottom w:val="single" w:sz="12" w:space="0" w:color="auto"/>
            </w:tcBorders>
            <w:shd w:val="clear" w:color="auto" w:fill="auto"/>
            <w:tcMar>
              <w:top w:w="57" w:type="dxa"/>
              <w:left w:w="0" w:type="dxa"/>
              <w:bottom w:w="113" w:type="dxa"/>
              <w:right w:w="0" w:type="dxa"/>
            </w:tcMar>
            <w:vAlign w:val="bottom"/>
          </w:tcPr>
          <w:p w14:paraId="53726AC6" w14:textId="77777777" w:rsidR="000B0E9A" w:rsidRPr="00CA3F6E" w:rsidRDefault="000B0E9A" w:rsidP="00F87BEC">
            <w:pPr>
              <w:spacing w:line="240" w:lineRule="atLeast"/>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 xml:space="preserve">Local </w:t>
            </w:r>
          </w:p>
          <w:p w14:paraId="677718C6" w14:textId="77777777" w:rsidR="000B0E9A" w:rsidRPr="00CA3F6E" w:rsidRDefault="000B0E9A" w:rsidP="00F87BEC">
            <w:pPr>
              <w:spacing w:line="240" w:lineRule="atLeast"/>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 xml:space="preserve">currency </w:t>
            </w:r>
          </w:p>
          <w:p w14:paraId="5EFE64E1" w14:textId="77777777" w:rsidR="000B0E9A" w:rsidRPr="00CA3F6E" w:rsidRDefault="000B0E9A" w:rsidP="00F87BEC">
            <w:pPr>
              <w:spacing w:line="240" w:lineRule="atLeast"/>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growth</w:t>
            </w:r>
          </w:p>
          <w:p w14:paraId="6070FCBA" w14:textId="77777777" w:rsidR="000B0E9A" w:rsidRPr="00CA3F6E" w:rsidRDefault="000B0E9A" w:rsidP="00F87BEC">
            <w:pPr>
              <w:spacing w:line="240" w:lineRule="atLeast"/>
              <w:jc w:val="right"/>
              <w:rPr>
                <w:rFonts w:ascii="Tahoma" w:hAnsi="Tahoma"/>
                <w:b/>
                <w:bCs/>
                <w:color w:val="000000" w:themeColor="text1"/>
                <w:w w:val="70"/>
                <w:sz w:val="16"/>
                <w:lang w:val="en-GB"/>
              </w:rPr>
            </w:pPr>
            <w:proofErr w:type="spellStart"/>
            <w:r w:rsidRPr="00CA3F6E">
              <w:rPr>
                <w:rFonts w:ascii="Tahoma" w:hAnsi="Tahoma"/>
                <w:b/>
                <w:bCs/>
                <w:color w:val="000000" w:themeColor="text1"/>
                <w:w w:val="70"/>
                <w:sz w:val="16"/>
                <w:lang w:val="en-GB"/>
              </w:rPr>
              <w:t>US$’m</w:t>
            </w:r>
            <w:proofErr w:type="spellEnd"/>
          </w:p>
        </w:tc>
        <w:tc>
          <w:tcPr>
            <w:tcW w:w="709" w:type="dxa"/>
            <w:tcBorders>
              <w:bottom w:val="single" w:sz="12" w:space="0" w:color="auto"/>
            </w:tcBorders>
            <w:shd w:val="clear" w:color="auto" w:fill="auto"/>
            <w:tcMar>
              <w:top w:w="57" w:type="dxa"/>
              <w:left w:w="0" w:type="dxa"/>
              <w:bottom w:w="113" w:type="dxa"/>
              <w:right w:w="0" w:type="dxa"/>
            </w:tcMar>
            <w:vAlign w:val="bottom"/>
          </w:tcPr>
          <w:p w14:paraId="699C6879" w14:textId="77777777" w:rsidR="000B0E9A" w:rsidRPr="00CA3F6E" w:rsidRDefault="000B0E9A" w:rsidP="00F87BEC">
            <w:pPr>
              <w:spacing w:line="240" w:lineRule="atLeast"/>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IFRS</w:t>
            </w:r>
            <w:r w:rsidRPr="00CA3F6E">
              <w:rPr>
                <w:rFonts w:ascii="Tahoma" w:hAnsi="Tahoma"/>
                <w:b/>
                <w:bCs/>
                <w:color w:val="000000" w:themeColor="text1"/>
                <w:w w:val="70"/>
                <w:sz w:val="16"/>
                <w:vertAlign w:val="superscript"/>
                <w:lang w:val="en-GB"/>
              </w:rPr>
              <w:t>1</w:t>
            </w:r>
          </w:p>
          <w:p w14:paraId="3060E24B" w14:textId="77777777" w:rsidR="000B0E9A" w:rsidRPr="00CA3F6E" w:rsidRDefault="000B0E9A" w:rsidP="00F87BEC">
            <w:pPr>
              <w:spacing w:line="240" w:lineRule="atLeast"/>
              <w:jc w:val="right"/>
              <w:rPr>
                <w:rFonts w:ascii="Tahoma" w:hAnsi="Tahoma"/>
                <w:b/>
                <w:bCs/>
                <w:color w:val="000000" w:themeColor="text1"/>
                <w:w w:val="70"/>
                <w:sz w:val="16"/>
                <w:lang w:val="en-GB"/>
              </w:rPr>
            </w:pPr>
            <w:proofErr w:type="spellStart"/>
            <w:r w:rsidRPr="00CA3F6E">
              <w:rPr>
                <w:rFonts w:ascii="Tahoma" w:hAnsi="Tahoma"/>
                <w:b/>
                <w:bCs/>
                <w:color w:val="000000" w:themeColor="text1"/>
                <w:w w:val="70"/>
                <w:sz w:val="16"/>
                <w:lang w:val="en-GB"/>
              </w:rPr>
              <w:t>US$’m</w:t>
            </w:r>
            <w:proofErr w:type="spellEnd"/>
          </w:p>
        </w:tc>
        <w:tc>
          <w:tcPr>
            <w:tcW w:w="709" w:type="dxa"/>
            <w:tcBorders>
              <w:bottom w:val="single" w:sz="12" w:space="0" w:color="auto"/>
            </w:tcBorders>
            <w:shd w:val="clear" w:color="auto" w:fill="auto"/>
            <w:tcMar>
              <w:top w:w="57" w:type="dxa"/>
              <w:left w:w="0" w:type="dxa"/>
              <w:bottom w:w="113" w:type="dxa"/>
              <w:right w:w="0" w:type="dxa"/>
            </w:tcMar>
            <w:vAlign w:val="bottom"/>
          </w:tcPr>
          <w:p w14:paraId="0FD62626" w14:textId="77777777" w:rsidR="000B0E9A" w:rsidRPr="00CA3F6E" w:rsidRDefault="000B0E9A" w:rsidP="00F87BEC">
            <w:pPr>
              <w:spacing w:line="240" w:lineRule="atLeast"/>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 xml:space="preserve">Local </w:t>
            </w:r>
          </w:p>
          <w:p w14:paraId="25823D8C" w14:textId="77777777" w:rsidR="000B0E9A" w:rsidRPr="00CA3F6E" w:rsidRDefault="000B0E9A" w:rsidP="00F87BEC">
            <w:pPr>
              <w:spacing w:line="240" w:lineRule="atLeast"/>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 xml:space="preserve">currency </w:t>
            </w:r>
          </w:p>
          <w:p w14:paraId="107FF11D" w14:textId="77777777" w:rsidR="000B0E9A" w:rsidRPr="00CA3F6E" w:rsidRDefault="000B0E9A" w:rsidP="00F87BEC">
            <w:pPr>
              <w:spacing w:line="240" w:lineRule="atLeast"/>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growth</w:t>
            </w:r>
          </w:p>
          <w:p w14:paraId="1751A36E" w14:textId="77777777" w:rsidR="000B0E9A" w:rsidRPr="00CA3F6E" w:rsidRDefault="000B0E9A" w:rsidP="00F87BEC">
            <w:pPr>
              <w:spacing w:line="240" w:lineRule="atLeast"/>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 xml:space="preserve">% </w:t>
            </w:r>
            <w:proofErr w:type="gramStart"/>
            <w:r w:rsidRPr="00CA3F6E">
              <w:rPr>
                <w:rFonts w:ascii="Tahoma" w:hAnsi="Tahoma"/>
                <w:b/>
                <w:bCs/>
                <w:color w:val="000000" w:themeColor="text1"/>
                <w:w w:val="70"/>
                <w:sz w:val="16"/>
                <w:lang w:val="en-GB"/>
              </w:rPr>
              <w:t>change</w:t>
            </w:r>
            <w:proofErr w:type="gramEnd"/>
          </w:p>
        </w:tc>
        <w:tc>
          <w:tcPr>
            <w:tcW w:w="708" w:type="dxa"/>
            <w:tcBorders>
              <w:bottom w:val="single" w:sz="12" w:space="0" w:color="auto"/>
            </w:tcBorders>
            <w:shd w:val="clear" w:color="auto" w:fill="auto"/>
            <w:tcMar>
              <w:top w:w="57" w:type="dxa"/>
              <w:left w:w="0" w:type="dxa"/>
              <w:bottom w:w="113" w:type="dxa"/>
              <w:right w:w="0" w:type="dxa"/>
            </w:tcMar>
            <w:vAlign w:val="bottom"/>
          </w:tcPr>
          <w:p w14:paraId="31F767C9" w14:textId="77777777" w:rsidR="000B0E9A" w:rsidRPr="00CA3F6E" w:rsidRDefault="000B0E9A" w:rsidP="003377FD">
            <w:pPr>
              <w:spacing w:line="240" w:lineRule="atLeast"/>
              <w:ind w:right="113"/>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IFRS</w:t>
            </w:r>
          </w:p>
          <w:p w14:paraId="7B556607" w14:textId="77777777" w:rsidR="000B0E9A" w:rsidRPr="00CA3F6E" w:rsidRDefault="000B0E9A" w:rsidP="003377FD">
            <w:pPr>
              <w:spacing w:line="240" w:lineRule="atLeast"/>
              <w:ind w:right="113"/>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 xml:space="preserve">% </w:t>
            </w:r>
            <w:proofErr w:type="gramStart"/>
            <w:r w:rsidRPr="00CA3F6E">
              <w:rPr>
                <w:rFonts w:ascii="Tahoma" w:hAnsi="Tahoma"/>
                <w:b/>
                <w:bCs/>
                <w:color w:val="000000" w:themeColor="text1"/>
                <w:w w:val="70"/>
                <w:sz w:val="16"/>
                <w:lang w:val="en-GB"/>
              </w:rPr>
              <w:t>change</w:t>
            </w:r>
            <w:proofErr w:type="gramEnd"/>
          </w:p>
        </w:tc>
      </w:tr>
      <w:tr w:rsidR="0004453B" w:rsidRPr="00CA3F6E" w14:paraId="63F08B50" w14:textId="77777777" w:rsidTr="00012F7B">
        <w:trPr>
          <w:trHeight w:val="60"/>
        </w:trPr>
        <w:tc>
          <w:tcPr>
            <w:tcW w:w="397" w:type="dxa"/>
            <w:shd w:val="clear" w:color="auto" w:fill="auto"/>
            <w:tcMar>
              <w:top w:w="142" w:type="dxa"/>
              <w:left w:w="0" w:type="dxa"/>
              <w:bottom w:w="57" w:type="dxa"/>
              <w:right w:w="0" w:type="dxa"/>
            </w:tcMar>
            <w:vAlign w:val="bottom"/>
          </w:tcPr>
          <w:p w14:paraId="01B75F84" w14:textId="77777777" w:rsidR="000B0E9A" w:rsidRPr="00CA3F6E" w:rsidRDefault="000B0E9A" w:rsidP="009D23C7">
            <w:pPr>
              <w:spacing w:line="240" w:lineRule="atLeast"/>
              <w:rPr>
                <w:rFonts w:ascii="Tahoma" w:hAnsi="Tahoma"/>
                <w:color w:val="000000" w:themeColor="text1"/>
                <w:sz w:val="16"/>
                <w:lang w:val="en-GB"/>
              </w:rPr>
            </w:pPr>
          </w:p>
        </w:tc>
        <w:tc>
          <w:tcPr>
            <w:tcW w:w="3714" w:type="dxa"/>
            <w:tcBorders>
              <w:top w:val="single" w:sz="12" w:space="0" w:color="auto"/>
            </w:tcBorders>
            <w:shd w:val="clear" w:color="auto" w:fill="auto"/>
            <w:tcMar>
              <w:top w:w="142" w:type="dxa"/>
              <w:left w:w="0" w:type="dxa"/>
              <w:bottom w:w="57" w:type="dxa"/>
              <w:right w:w="0" w:type="dxa"/>
            </w:tcMar>
            <w:vAlign w:val="bottom"/>
          </w:tcPr>
          <w:p w14:paraId="72D804A5" w14:textId="77777777" w:rsidR="000B0E9A" w:rsidRPr="00CA3F6E" w:rsidRDefault="000B0E9A" w:rsidP="009D23C7">
            <w:pPr>
              <w:spacing w:line="240" w:lineRule="atLeast"/>
              <w:rPr>
                <w:rFonts w:ascii="Tahoma" w:hAnsi="Tahoma"/>
                <w:b/>
                <w:bCs/>
                <w:color w:val="000000" w:themeColor="text1"/>
                <w:sz w:val="16"/>
                <w:lang w:val="en-GB"/>
              </w:rPr>
            </w:pPr>
            <w:r w:rsidRPr="00CA3F6E">
              <w:rPr>
                <w:rFonts w:ascii="Tahoma" w:hAnsi="Tahoma"/>
                <w:b/>
                <w:bCs/>
                <w:color w:val="000000" w:themeColor="text1"/>
                <w:sz w:val="16"/>
                <w:lang w:val="en-GB"/>
              </w:rPr>
              <w:t>Continuing operations</w:t>
            </w:r>
          </w:p>
        </w:tc>
        <w:tc>
          <w:tcPr>
            <w:tcW w:w="567" w:type="dxa"/>
            <w:tcBorders>
              <w:top w:val="single" w:sz="12" w:space="0" w:color="auto"/>
            </w:tcBorders>
            <w:shd w:val="clear" w:color="auto" w:fill="auto"/>
            <w:tcMar>
              <w:top w:w="142" w:type="dxa"/>
              <w:left w:w="0" w:type="dxa"/>
              <w:bottom w:w="57" w:type="dxa"/>
              <w:right w:w="0" w:type="dxa"/>
            </w:tcMar>
            <w:vAlign w:val="bottom"/>
          </w:tcPr>
          <w:p w14:paraId="643728E6" w14:textId="77777777" w:rsidR="000B0E9A" w:rsidRPr="00CA3F6E" w:rsidRDefault="000B0E9A" w:rsidP="00F87BEC">
            <w:pPr>
              <w:spacing w:line="240" w:lineRule="atLeast"/>
              <w:jc w:val="right"/>
              <w:rPr>
                <w:rFonts w:ascii="Tahoma" w:hAnsi="Tahoma"/>
                <w:color w:val="000000" w:themeColor="text1"/>
                <w:w w:val="70"/>
                <w:sz w:val="16"/>
                <w:lang w:val="en-GB"/>
              </w:rPr>
            </w:pPr>
          </w:p>
        </w:tc>
        <w:tc>
          <w:tcPr>
            <w:tcW w:w="851" w:type="dxa"/>
            <w:tcBorders>
              <w:top w:val="single" w:sz="12" w:space="0" w:color="auto"/>
            </w:tcBorders>
            <w:shd w:val="clear" w:color="auto" w:fill="auto"/>
            <w:tcMar>
              <w:top w:w="142" w:type="dxa"/>
              <w:left w:w="0" w:type="dxa"/>
              <w:bottom w:w="57" w:type="dxa"/>
              <w:right w:w="0" w:type="dxa"/>
            </w:tcMar>
            <w:vAlign w:val="bottom"/>
          </w:tcPr>
          <w:p w14:paraId="3328F32C" w14:textId="77777777" w:rsidR="000B0E9A" w:rsidRPr="00CA3F6E" w:rsidRDefault="000B0E9A" w:rsidP="00F87BEC">
            <w:pPr>
              <w:spacing w:line="240" w:lineRule="atLeast"/>
              <w:jc w:val="right"/>
              <w:rPr>
                <w:rFonts w:ascii="Tahoma" w:hAnsi="Tahoma"/>
                <w:color w:val="000000" w:themeColor="text1"/>
                <w:w w:val="70"/>
                <w:sz w:val="16"/>
                <w:lang w:val="en-GB"/>
              </w:rPr>
            </w:pPr>
          </w:p>
        </w:tc>
        <w:tc>
          <w:tcPr>
            <w:tcW w:w="992" w:type="dxa"/>
            <w:tcBorders>
              <w:top w:val="single" w:sz="12" w:space="0" w:color="auto"/>
            </w:tcBorders>
            <w:shd w:val="clear" w:color="auto" w:fill="auto"/>
            <w:tcMar>
              <w:top w:w="142" w:type="dxa"/>
              <w:left w:w="0" w:type="dxa"/>
              <w:bottom w:w="57" w:type="dxa"/>
              <w:right w:w="0" w:type="dxa"/>
            </w:tcMar>
            <w:vAlign w:val="bottom"/>
          </w:tcPr>
          <w:p w14:paraId="45059CE0" w14:textId="77777777" w:rsidR="000B0E9A" w:rsidRPr="00CA3F6E" w:rsidRDefault="000B0E9A" w:rsidP="00F87BEC">
            <w:pPr>
              <w:spacing w:line="240" w:lineRule="atLeast"/>
              <w:jc w:val="right"/>
              <w:rPr>
                <w:rFonts w:ascii="Tahoma" w:hAnsi="Tahoma"/>
                <w:color w:val="000000" w:themeColor="text1"/>
                <w:w w:val="70"/>
                <w:sz w:val="16"/>
                <w:lang w:val="en-GB"/>
              </w:rPr>
            </w:pPr>
          </w:p>
        </w:tc>
        <w:tc>
          <w:tcPr>
            <w:tcW w:w="850" w:type="dxa"/>
            <w:tcBorders>
              <w:top w:val="single" w:sz="12" w:space="0" w:color="auto"/>
            </w:tcBorders>
            <w:shd w:val="clear" w:color="auto" w:fill="auto"/>
            <w:tcMar>
              <w:top w:w="142" w:type="dxa"/>
              <w:left w:w="0" w:type="dxa"/>
              <w:bottom w:w="57" w:type="dxa"/>
              <w:right w:w="0" w:type="dxa"/>
            </w:tcMar>
            <w:vAlign w:val="bottom"/>
          </w:tcPr>
          <w:p w14:paraId="03601891" w14:textId="77777777" w:rsidR="000B0E9A" w:rsidRPr="00CA3F6E" w:rsidRDefault="000B0E9A" w:rsidP="00F87BEC">
            <w:pPr>
              <w:spacing w:line="240" w:lineRule="atLeast"/>
              <w:jc w:val="right"/>
              <w:rPr>
                <w:rFonts w:ascii="Tahoma" w:hAnsi="Tahoma"/>
                <w:color w:val="000000" w:themeColor="text1"/>
                <w:w w:val="70"/>
                <w:sz w:val="16"/>
                <w:lang w:val="en-GB"/>
              </w:rPr>
            </w:pPr>
          </w:p>
        </w:tc>
        <w:tc>
          <w:tcPr>
            <w:tcW w:w="709" w:type="dxa"/>
            <w:tcBorders>
              <w:top w:val="single" w:sz="12" w:space="0" w:color="auto"/>
            </w:tcBorders>
            <w:shd w:val="clear" w:color="auto" w:fill="auto"/>
            <w:tcMar>
              <w:top w:w="142" w:type="dxa"/>
              <w:left w:w="0" w:type="dxa"/>
              <w:bottom w:w="57" w:type="dxa"/>
              <w:right w:w="0" w:type="dxa"/>
            </w:tcMar>
            <w:vAlign w:val="bottom"/>
          </w:tcPr>
          <w:p w14:paraId="189B2854" w14:textId="77777777" w:rsidR="000B0E9A" w:rsidRPr="00CA3F6E" w:rsidRDefault="000B0E9A" w:rsidP="00F87BEC">
            <w:pPr>
              <w:spacing w:line="240" w:lineRule="atLeast"/>
              <w:jc w:val="right"/>
              <w:rPr>
                <w:rFonts w:ascii="Tahoma" w:hAnsi="Tahoma"/>
                <w:color w:val="000000" w:themeColor="text1"/>
                <w:w w:val="70"/>
                <w:sz w:val="16"/>
                <w:lang w:val="en-GB"/>
              </w:rPr>
            </w:pPr>
          </w:p>
        </w:tc>
        <w:tc>
          <w:tcPr>
            <w:tcW w:w="709" w:type="dxa"/>
            <w:tcBorders>
              <w:top w:val="single" w:sz="12" w:space="0" w:color="auto"/>
            </w:tcBorders>
            <w:shd w:val="clear" w:color="auto" w:fill="auto"/>
            <w:tcMar>
              <w:top w:w="142" w:type="dxa"/>
              <w:left w:w="0" w:type="dxa"/>
              <w:bottom w:w="57" w:type="dxa"/>
              <w:right w:w="0" w:type="dxa"/>
            </w:tcMar>
            <w:vAlign w:val="bottom"/>
          </w:tcPr>
          <w:p w14:paraId="1366D418" w14:textId="77777777" w:rsidR="000B0E9A" w:rsidRPr="00CA3F6E" w:rsidRDefault="000B0E9A" w:rsidP="00F87BEC">
            <w:pPr>
              <w:spacing w:line="240" w:lineRule="atLeast"/>
              <w:jc w:val="right"/>
              <w:rPr>
                <w:rFonts w:ascii="Tahoma" w:hAnsi="Tahoma"/>
                <w:color w:val="000000" w:themeColor="text1"/>
                <w:w w:val="70"/>
                <w:sz w:val="16"/>
                <w:lang w:val="en-GB"/>
              </w:rPr>
            </w:pPr>
          </w:p>
        </w:tc>
        <w:tc>
          <w:tcPr>
            <w:tcW w:w="709" w:type="dxa"/>
            <w:tcBorders>
              <w:top w:val="single" w:sz="12" w:space="0" w:color="auto"/>
            </w:tcBorders>
            <w:shd w:val="clear" w:color="auto" w:fill="auto"/>
            <w:tcMar>
              <w:top w:w="142" w:type="dxa"/>
              <w:left w:w="0" w:type="dxa"/>
              <w:bottom w:w="57" w:type="dxa"/>
              <w:right w:w="0" w:type="dxa"/>
            </w:tcMar>
            <w:vAlign w:val="bottom"/>
          </w:tcPr>
          <w:p w14:paraId="6AE34B52" w14:textId="77777777" w:rsidR="000B0E9A" w:rsidRPr="00CA3F6E" w:rsidRDefault="000B0E9A" w:rsidP="00F87BEC">
            <w:pPr>
              <w:spacing w:line="240" w:lineRule="atLeast"/>
              <w:jc w:val="right"/>
              <w:rPr>
                <w:rFonts w:ascii="Tahoma" w:hAnsi="Tahoma"/>
                <w:b/>
                <w:bCs/>
                <w:color w:val="000000" w:themeColor="text1"/>
                <w:w w:val="70"/>
                <w:sz w:val="16"/>
                <w:lang w:val="en-GB"/>
              </w:rPr>
            </w:pPr>
          </w:p>
        </w:tc>
        <w:tc>
          <w:tcPr>
            <w:tcW w:w="708" w:type="dxa"/>
            <w:tcBorders>
              <w:top w:val="single" w:sz="12" w:space="0" w:color="auto"/>
            </w:tcBorders>
            <w:shd w:val="clear" w:color="auto" w:fill="auto"/>
            <w:tcMar>
              <w:top w:w="142" w:type="dxa"/>
              <w:left w:w="0" w:type="dxa"/>
              <w:bottom w:w="57" w:type="dxa"/>
              <w:right w:w="0" w:type="dxa"/>
            </w:tcMar>
            <w:vAlign w:val="bottom"/>
          </w:tcPr>
          <w:p w14:paraId="2CCD883E" w14:textId="77777777" w:rsidR="000B0E9A" w:rsidRPr="00CA3F6E" w:rsidRDefault="000B0E9A" w:rsidP="003377FD">
            <w:pPr>
              <w:spacing w:line="240" w:lineRule="atLeast"/>
              <w:ind w:right="113"/>
              <w:jc w:val="right"/>
              <w:rPr>
                <w:rFonts w:ascii="Tahoma" w:hAnsi="Tahoma"/>
                <w:b/>
                <w:bCs/>
                <w:color w:val="000000" w:themeColor="text1"/>
                <w:w w:val="70"/>
                <w:sz w:val="16"/>
                <w:lang w:val="en-GB"/>
              </w:rPr>
            </w:pPr>
          </w:p>
        </w:tc>
      </w:tr>
      <w:tr w:rsidR="0004453B" w:rsidRPr="00CA3F6E" w14:paraId="55704159" w14:textId="77777777" w:rsidTr="005D0D64">
        <w:trPr>
          <w:trHeight w:val="60"/>
        </w:trPr>
        <w:tc>
          <w:tcPr>
            <w:tcW w:w="397" w:type="dxa"/>
            <w:shd w:val="clear" w:color="auto" w:fill="auto"/>
            <w:tcMar>
              <w:top w:w="57" w:type="dxa"/>
              <w:left w:w="0" w:type="dxa"/>
              <w:bottom w:w="57" w:type="dxa"/>
              <w:right w:w="0" w:type="dxa"/>
            </w:tcMar>
            <w:vAlign w:val="bottom"/>
          </w:tcPr>
          <w:p w14:paraId="1E1D5F45" w14:textId="77777777" w:rsidR="000B0E9A" w:rsidRPr="00CA3F6E" w:rsidRDefault="000B0E9A" w:rsidP="009D23C7">
            <w:pPr>
              <w:spacing w:line="240" w:lineRule="atLeast"/>
              <w:rPr>
                <w:rFonts w:ascii="Tahoma" w:hAnsi="Tahoma"/>
                <w:color w:val="000000" w:themeColor="text1"/>
                <w:sz w:val="16"/>
                <w:lang w:val="en-GB"/>
              </w:rPr>
            </w:pPr>
          </w:p>
        </w:tc>
        <w:tc>
          <w:tcPr>
            <w:tcW w:w="3714" w:type="dxa"/>
            <w:shd w:val="clear" w:color="auto" w:fill="auto"/>
            <w:tcMar>
              <w:top w:w="57" w:type="dxa"/>
              <w:left w:w="0" w:type="dxa"/>
              <w:bottom w:w="57" w:type="dxa"/>
              <w:right w:w="0" w:type="dxa"/>
            </w:tcMar>
            <w:vAlign w:val="bottom"/>
          </w:tcPr>
          <w:p w14:paraId="67DCA06C" w14:textId="77777777" w:rsidR="000B0E9A" w:rsidRPr="00CA3F6E" w:rsidRDefault="000B0E9A" w:rsidP="009D23C7">
            <w:pPr>
              <w:spacing w:line="240" w:lineRule="atLeast"/>
              <w:rPr>
                <w:rFonts w:ascii="Tahoma" w:hAnsi="Tahoma"/>
                <w:b/>
                <w:bCs/>
                <w:color w:val="000000" w:themeColor="text1"/>
                <w:sz w:val="16"/>
                <w:lang w:val="en-GB"/>
              </w:rPr>
            </w:pPr>
            <w:r w:rsidRPr="00CA3F6E">
              <w:rPr>
                <w:rFonts w:ascii="Tahoma" w:hAnsi="Tahoma"/>
                <w:b/>
                <w:bCs/>
                <w:color w:val="000000" w:themeColor="text1"/>
                <w:sz w:val="16"/>
                <w:lang w:val="en-GB"/>
              </w:rPr>
              <w:t>Revenue</w:t>
            </w:r>
          </w:p>
        </w:tc>
        <w:tc>
          <w:tcPr>
            <w:tcW w:w="567" w:type="dxa"/>
            <w:shd w:val="clear" w:color="auto" w:fill="auto"/>
            <w:tcMar>
              <w:top w:w="57" w:type="dxa"/>
              <w:left w:w="0" w:type="dxa"/>
              <w:bottom w:w="57" w:type="dxa"/>
              <w:right w:w="0" w:type="dxa"/>
            </w:tcMar>
            <w:vAlign w:val="bottom"/>
          </w:tcPr>
          <w:p w14:paraId="16033E95" w14:textId="77777777" w:rsidR="000B0E9A" w:rsidRPr="00CA3F6E" w:rsidRDefault="000B0E9A" w:rsidP="00F87BEC">
            <w:pPr>
              <w:spacing w:line="240" w:lineRule="atLeast"/>
              <w:jc w:val="right"/>
              <w:rPr>
                <w:rFonts w:ascii="Tahoma" w:hAnsi="Tahoma"/>
                <w:color w:val="000000" w:themeColor="text1"/>
                <w:w w:val="70"/>
                <w:sz w:val="16"/>
                <w:lang w:val="en-GB"/>
              </w:rPr>
            </w:pPr>
          </w:p>
        </w:tc>
        <w:tc>
          <w:tcPr>
            <w:tcW w:w="851" w:type="dxa"/>
            <w:shd w:val="clear" w:color="auto" w:fill="auto"/>
            <w:tcMar>
              <w:top w:w="57" w:type="dxa"/>
              <w:left w:w="0" w:type="dxa"/>
              <w:bottom w:w="57" w:type="dxa"/>
              <w:right w:w="0" w:type="dxa"/>
            </w:tcMar>
            <w:vAlign w:val="bottom"/>
          </w:tcPr>
          <w:p w14:paraId="15848A76" w14:textId="77777777" w:rsidR="000B0E9A" w:rsidRPr="00CA3F6E" w:rsidRDefault="000B0E9A" w:rsidP="00F87BEC">
            <w:pPr>
              <w:spacing w:line="240" w:lineRule="atLeast"/>
              <w:jc w:val="right"/>
              <w:rPr>
                <w:rFonts w:ascii="Tahoma" w:hAnsi="Tahoma"/>
                <w:color w:val="000000" w:themeColor="text1"/>
                <w:w w:val="70"/>
                <w:sz w:val="16"/>
                <w:lang w:val="en-GB"/>
              </w:rPr>
            </w:pPr>
          </w:p>
        </w:tc>
        <w:tc>
          <w:tcPr>
            <w:tcW w:w="992" w:type="dxa"/>
            <w:shd w:val="clear" w:color="auto" w:fill="auto"/>
            <w:tcMar>
              <w:top w:w="57" w:type="dxa"/>
              <w:left w:w="0" w:type="dxa"/>
              <w:bottom w:w="57" w:type="dxa"/>
              <w:right w:w="0" w:type="dxa"/>
            </w:tcMar>
            <w:vAlign w:val="bottom"/>
          </w:tcPr>
          <w:p w14:paraId="18C08A6A" w14:textId="77777777" w:rsidR="000B0E9A" w:rsidRPr="00CA3F6E" w:rsidRDefault="000B0E9A" w:rsidP="00F87BEC">
            <w:pPr>
              <w:spacing w:line="240" w:lineRule="atLeast"/>
              <w:jc w:val="right"/>
              <w:rPr>
                <w:rFonts w:ascii="Tahoma" w:hAnsi="Tahoma"/>
                <w:color w:val="000000" w:themeColor="text1"/>
                <w:w w:val="70"/>
                <w:sz w:val="16"/>
                <w:lang w:val="en-GB"/>
              </w:rPr>
            </w:pPr>
          </w:p>
        </w:tc>
        <w:tc>
          <w:tcPr>
            <w:tcW w:w="850" w:type="dxa"/>
            <w:shd w:val="clear" w:color="auto" w:fill="auto"/>
            <w:tcMar>
              <w:top w:w="57" w:type="dxa"/>
              <w:left w:w="0" w:type="dxa"/>
              <w:bottom w:w="57" w:type="dxa"/>
              <w:right w:w="0" w:type="dxa"/>
            </w:tcMar>
            <w:vAlign w:val="bottom"/>
          </w:tcPr>
          <w:p w14:paraId="2D8ACB2B" w14:textId="77777777" w:rsidR="000B0E9A" w:rsidRPr="00CA3F6E" w:rsidRDefault="000B0E9A" w:rsidP="00F87BEC">
            <w:pPr>
              <w:spacing w:line="240" w:lineRule="atLeast"/>
              <w:jc w:val="right"/>
              <w:rPr>
                <w:rFonts w:ascii="Tahoma" w:hAnsi="Tahoma"/>
                <w:color w:val="000000" w:themeColor="text1"/>
                <w:w w:val="70"/>
                <w:sz w:val="16"/>
                <w:lang w:val="en-GB"/>
              </w:rPr>
            </w:pPr>
          </w:p>
        </w:tc>
        <w:tc>
          <w:tcPr>
            <w:tcW w:w="709" w:type="dxa"/>
            <w:shd w:val="clear" w:color="auto" w:fill="auto"/>
            <w:tcMar>
              <w:top w:w="57" w:type="dxa"/>
              <w:left w:w="0" w:type="dxa"/>
              <w:bottom w:w="57" w:type="dxa"/>
              <w:right w:w="0" w:type="dxa"/>
            </w:tcMar>
            <w:vAlign w:val="bottom"/>
          </w:tcPr>
          <w:p w14:paraId="40A0EF1D" w14:textId="77777777" w:rsidR="000B0E9A" w:rsidRPr="00CA3F6E" w:rsidRDefault="000B0E9A" w:rsidP="00F87BEC">
            <w:pPr>
              <w:spacing w:line="240" w:lineRule="atLeast"/>
              <w:jc w:val="right"/>
              <w:rPr>
                <w:rFonts w:ascii="Tahoma" w:hAnsi="Tahoma"/>
                <w:color w:val="000000" w:themeColor="text1"/>
                <w:w w:val="70"/>
                <w:sz w:val="16"/>
                <w:lang w:val="en-GB"/>
              </w:rPr>
            </w:pPr>
          </w:p>
        </w:tc>
        <w:tc>
          <w:tcPr>
            <w:tcW w:w="709" w:type="dxa"/>
            <w:shd w:val="clear" w:color="auto" w:fill="auto"/>
            <w:tcMar>
              <w:top w:w="57" w:type="dxa"/>
              <w:left w:w="0" w:type="dxa"/>
              <w:bottom w:w="57" w:type="dxa"/>
              <w:right w:w="0" w:type="dxa"/>
            </w:tcMar>
            <w:vAlign w:val="bottom"/>
          </w:tcPr>
          <w:p w14:paraId="7901F1BD" w14:textId="77777777" w:rsidR="000B0E9A" w:rsidRPr="00CA3F6E" w:rsidRDefault="000B0E9A" w:rsidP="00F87BEC">
            <w:pPr>
              <w:spacing w:line="240" w:lineRule="atLeast"/>
              <w:jc w:val="right"/>
              <w:rPr>
                <w:rFonts w:ascii="Tahoma" w:hAnsi="Tahoma"/>
                <w:color w:val="000000" w:themeColor="text1"/>
                <w:w w:val="70"/>
                <w:sz w:val="16"/>
                <w:lang w:val="en-GB"/>
              </w:rPr>
            </w:pPr>
          </w:p>
        </w:tc>
        <w:tc>
          <w:tcPr>
            <w:tcW w:w="709" w:type="dxa"/>
            <w:shd w:val="clear" w:color="auto" w:fill="auto"/>
            <w:tcMar>
              <w:top w:w="57" w:type="dxa"/>
              <w:left w:w="0" w:type="dxa"/>
              <w:bottom w:w="57" w:type="dxa"/>
              <w:right w:w="0" w:type="dxa"/>
            </w:tcMar>
            <w:vAlign w:val="bottom"/>
          </w:tcPr>
          <w:p w14:paraId="5AA3E76E" w14:textId="77777777" w:rsidR="000B0E9A" w:rsidRPr="00CA3F6E" w:rsidRDefault="000B0E9A" w:rsidP="00F87BEC">
            <w:pPr>
              <w:spacing w:line="240" w:lineRule="atLeast"/>
              <w:jc w:val="right"/>
              <w:rPr>
                <w:rFonts w:ascii="Tahoma" w:hAnsi="Tahoma"/>
                <w:b/>
                <w:bCs/>
                <w:color w:val="000000" w:themeColor="text1"/>
                <w:w w:val="70"/>
                <w:sz w:val="16"/>
                <w:lang w:val="en-GB"/>
              </w:rPr>
            </w:pPr>
          </w:p>
        </w:tc>
        <w:tc>
          <w:tcPr>
            <w:tcW w:w="708" w:type="dxa"/>
            <w:shd w:val="clear" w:color="auto" w:fill="auto"/>
            <w:tcMar>
              <w:top w:w="57" w:type="dxa"/>
              <w:left w:w="0" w:type="dxa"/>
              <w:bottom w:w="57" w:type="dxa"/>
              <w:right w:w="0" w:type="dxa"/>
            </w:tcMar>
            <w:vAlign w:val="bottom"/>
          </w:tcPr>
          <w:p w14:paraId="5CF245E5" w14:textId="77777777" w:rsidR="000B0E9A" w:rsidRPr="00CA3F6E" w:rsidRDefault="000B0E9A" w:rsidP="003377FD">
            <w:pPr>
              <w:spacing w:line="240" w:lineRule="atLeast"/>
              <w:ind w:right="113"/>
              <w:jc w:val="right"/>
              <w:rPr>
                <w:rFonts w:ascii="Tahoma" w:hAnsi="Tahoma"/>
                <w:b/>
                <w:bCs/>
                <w:color w:val="000000" w:themeColor="text1"/>
                <w:w w:val="70"/>
                <w:sz w:val="16"/>
                <w:lang w:val="en-GB"/>
              </w:rPr>
            </w:pPr>
          </w:p>
        </w:tc>
      </w:tr>
      <w:tr w:rsidR="0004453B" w:rsidRPr="00CA3F6E" w14:paraId="4E974649" w14:textId="77777777" w:rsidTr="004A4151">
        <w:trPr>
          <w:trHeight w:val="60"/>
        </w:trPr>
        <w:tc>
          <w:tcPr>
            <w:tcW w:w="397" w:type="dxa"/>
            <w:shd w:val="clear" w:color="auto" w:fill="auto"/>
            <w:tcMar>
              <w:top w:w="57" w:type="dxa"/>
              <w:left w:w="0" w:type="dxa"/>
              <w:bottom w:w="57" w:type="dxa"/>
              <w:right w:w="0" w:type="dxa"/>
            </w:tcMar>
            <w:vAlign w:val="bottom"/>
          </w:tcPr>
          <w:p w14:paraId="4E87E765" w14:textId="77777777" w:rsidR="000B0E9A" w:rsidRPr="00CA3F6E" w:rsidRDefault="000B0E9A" w:rsidP="009D23C7">
            <w:pPr>
              <w:spacing w:line="240" w:lineRule="atLeast"/>
              <w:rPr>
                <w:rFonts w:ascii="Tahoma" w:hAnsi="Tahoma"/>
                <w:color w:val="000000" w:themeColor="text1"/>
                <w:sz w:val="16"/>
                <w:lang w:val="en-GB"/>
              </w:rPr>
            </w:pPr>
          </w:p>
        </w:tc>
        <w:tc>
          <w:tcPr>
            <w:tcW w:w="3714" w:type="dxa"/>
            <w:shd w:val="clear" w:color="auto" w:fill="auto"/>
            <w:tcMar>
              <w:top w:w="57" w:type="dxa"/>
              <w:left w:w="0" w:type="dxa"/>
              <w:bottom w:w="57" w:type="dxa"/>
              <w:right w:w="0" w:type="dxa"/>
            </w:tcMar>
            <w:vAlign w:val="bottom"/>
          </w:tcPr>
          <w:p w14:paraId="4EC4F564" w14:textId="77777777" w:rsidR="000B0E9A" w:rsidRPr="00CA3F6E" w:rsidRDefault="000B0E9A" w:rsidP="009D23C7">
            <w:pPr>
              <w:spacing w:line="240" w:lineRule="atLeast"/>
              <w:rPr>
                <w:rFonts w:ascii="Tahoma" w:hAnsi="Tahoma"/>
                <w:i/>
                <w:iCs/>
                <w:color w:val="000000" w:themeColor="text1"/>
                <w:sz w:val="16"/>
                <w:lang w:val="en-GB"/>
              </w:rPr>
            </w:pPr>
            <w:r w:rsidRPr="00CA3F6E">
              <w:rPr>
                <w:rFonts w:ascii="Tahoma" w:hAnsi="Tahoma"/>
                <w:i/>
                <w:iCs/>
                <w:color w:val="000000" w:themeColor="text1"/>
                <w:sz w:val="16"/>
                <w:lang w:val="en-GB"/>
              </w:rPr>
              <w:t>Ecommerce</w:t>
            </w:r>
          </w:p>
        </w:tc>
        <w:tc>
          <w:tcPr>
            <w:tcW w:w="567" w:type="dxa"/>
            <w:tcBorders>
              <w:bottom w:val="single" w:sz="4" w:space="0" w:color="auto"/>
            </w:tcBorders>
            <w:shd w:val="clear" w:color="auto" w:fill="auto"/>
            <w:tcMar>
              <w:top w:w="57" w:type="dxa"/>
              <w:left w:w="0" w:type="dxa"/>
              <w:bottom w:w="57" w:type="dxa"/>
              <w:right w:w="0" w:type="dxa"/>
            </w:tcMar>
            <w:vAlign w:val="bottom"/>
          </w:tcPr>
          <w:p w14:paraId="7506E626"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3 858</w:t>
            </w:r>
          </w:p>
        </w:tc>
        <w:tc>
          <w:tcPr>
            <w:tcW w:w="851" w:type="dxa"/>
            <w:tcBorders>
              <w:bottom w:val="single" w:sz="4" w:space="0" w:color="auto"/>
            </w:tcBorders>
            <w:shd w:val="clear" w:color="auto" w:fill="auto"/>
            <w:tcMar>
              <w:top w:w="57" w:type="dxa"/>
              <w:left w:w="0" w:type="dxa"/>
              <w:bottom w:w="57" w:type="dxa"/>
              <w:right w:w="0" w:type="dxa"/>
            </w:tcMar>
            <w:vAlign w:val="bottom"/>
          </w:tcPr>
          <w:p w14:paraId="24B8446E"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(39)</w:t>
            </w:r>
          </w:p>
        </w:tc>
        <w:tc>
          <w:tcPr>
            <w:tcW w:w="992" w:type="dxa"/>
            <w:tcBorders>
              <w:bottom w:val="single" w:sz="4" w:space="0" w:color="auto"/>
            </w:tcBorders>
            <w:shd w:val="clear" w:color="auto" w:fill="auto"/>
            <w:tcMar>
              <w:top w:w="57" w:type="dxa"/>
              <w:left w:w="0" w:type="dxa"/>
              <w:bottom w:w="57" w:type="dxa"/>
              <w:right w:w="0" w:type="dxa"/>
            </w:tcMar>
            <w:vAlign w:val="bottom"/>
          </w:tcPr>
          <w:p w14:paraId="4C25F6EB"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416</w:t>
            </w:r>
          </w:p>
        </w:tc>
        <w:tc>
          <w:tcPr>
            <w:tcW w:w="850" w:type="dxa"/>
            <w:tcBorders>
              <w:bottom w:val="single" w:sz="4" w:space="0" w:color="auto"/>
            </w:tcBorders>
            <w:shd w:val="clear" w:color="auto" w:fill="auto"/>
            <w:tcMar>
              <w:top w:w="57" w:type="dxa"/>
              <w:left w:w="0" w:type="dxa"/>
              <w:bottom w:w="57" w:type="dxa"/>
              <w:right w:w="0" w:type="dxa"/>
            </w:tcMar>
            <w:vAlign w:val="bottom"/>
          </w:tcPr>
          <w:p w14:paraId="677E6FBC"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(566)</w:t>
            </w:r>
          </w:p>
        </w:tc>
        <w:tc>
          <w:tcPr>
            <w:tcW w:w="709" w:type="dxa"/>
            <w:tcBorders>
              <w:bottom w:val="single" w:sz="4" w:space="0" w:color="auto"/>
            </w:tcBorders>
            <w:shd w:val="clear" w:color="auto" w:fill="auto"/>
            <w:tcMar>
              <w:top w:w="57" w:type="dxa"/>
              <w:left w:w="0" w:type="dxa"/>
              <w:bottom w:w="57" w:type="dxa"/>
              <w:right w:w="0" w:type="dxa"/>
            </w:tcMar>
            <w:vAlign w:val="bottom"/>
          </w:tcPr>
          <w:p w14:paraId="78915B61"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1 548</w:t>
            </w:r>
          </w:p>
        </w:tc>
        <w:tc>
          <w:tcPr>
            <w:tcW w:w="709" w:type="dxa"/>
            <w:tcBorders>
              <w:bottom w:val="single" w:sz="4" w:space="0" w:color="auto"/>
            </w:tcBorders>
            <w:shd w:val="clear" w:color="auto" w:fill="auto"/>
            <w:tcMar>
              <w:top w:w="57" w:type="dxa"/>
              <w:left w:w="0" w:type="dxa"/>
              <w:bottom w:w="57" w:type="dxa"/>
              <w:right w:w="0" w:type="dxa"/>
            </w:tcMar>
            <w:vAlign w:val="bottom"/>
          </w:tcPr>
          <w:p w14:paraId="7B6BA181"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5 217</w:t>
            </w:r>
          </w:p>
        </w:tc>
        <w:tc>
          <w:tcPr>
            <w:tcW w:w="709" w:type="dxa"/>
            <w:tcBorders>
              <w:bottom w:val="single" w:sz="4" w:space="0" w:color="auto"/>
            </w:tcBorders>
            <w:shd w:val="clear" w:color="auto" w:fill="auto"/>
            <w:tcMar>
              <w:top w:w="57" w:type="dxa"/>
              <w:left w:w="0" w:type="dxa"/>
              <w:bottom w:w="57" w:type="dxa"/>
              <w:right w:w="0" w:type="dxa"/>
            </w:tcMar>
            <w:vAlign w:val="bottom"/>
          </w:tcPr>
          <w:p w14:paraId="6B1FC912" w14:textId="77777777" w:rsidR="000B0E9A" w:rsidRPr="00CA3F6E" w:rsidRDefault="000B0E9A" w:rsidP="00F87BEC">
            <w:pPr>
              <w:spacing w:line="240" w:lineRule="atLeast"/>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41</w:t>
            </w:r>
          </w:p>
        </w:tc>
        <w:tc>
          <w:tcPr>
            <w:tcW w:w="708" w:type="dxa"/>
            <w:tcBorders>
              <w:bottom w:val="single" w:sz="4" w:space="0" w:color="auto"/>
            </w:tcBorders>
            <w:shd w:val="clear" w:color="auto" w:fill="auto"/>
            <w:tcMar>
              <w:top w:w="57" w:type="dxa"/>
              <w:left w:w="0" w:type="dxa"/>
              <w:bottom w:w="57" w:type="dxa"/>
              <w:right w:w="0" w:type="dxa"/>
            </w:tcMar>
            <w:vAlign w:val="bottom"/>
          </w:tcPr>
          <w:p w14:paraId="3D71B771" w14:textId="77777777" w:rsidR="000B0E9A" w:rsidRPr="00CA3F6E" w:rsidRDefault="000B0E9A" w:rsidP="003377FD">
            <w:pPr>
              <w:spacing w:line="240" w:lineRule="atLeast"/>
              <w:ind w:right="113"/>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35</w:t>
            </w:r>
          </w:p>
        </w:tc>
      </w:tr>
      <w:tr w:rsidR="0004453B" w:rsidRPr="00CA3F6E" w14:paraId="495D7988" w14:textId="77777777" w:rsidTr="004A4151">
        <w:trPr>
          <w:trHeight w:val="60"/>
        </w:trPr>
        <w:tc>
          <w:tcPr>
            <w:tcW w:w="397" w:type="dxa"/>
            <w:shd w:val="clear" w:color="auto" w:fill="auto"/>
            <w:tcMar>
              <w:top w:w="57" w:type="dxa"/>
              <w:left w:w="0" w:type="dxa"/>
              <w:bottom w:w="57" w:type="dxa"/>
              <w:right w:w="0" w:type="dxa"/>
            </w:tcMar>
            <w:vAlign w:val="bottom"/>
          </w:tcPr>
          <w:p w14:paraId="1C704F5D" w14:textId="77777777" w:rsidR="000B0E9A" w:rsidRPr="00CA3F6E" w:rsidRDefault="000B0E9A" w:rsidP="009D23C7">
            <w:pPr>
              <w:spacing w:line="240" w:lineRule="atLeast"/>
              <w:rPr>
                <w:rFonts w:ascii="Tahoma" w:hAnsi="Tahoma"/>
                <w:color w:val="000000" w:themeColor="text1"/>
                <w:sz w:val="16"/>
                <w:lang w:val="en-GB"/>
              </w:rPr>
            </w:pPr>
          </w:p>
        </w:tc>
        <w:tc>
          <w:tcPr>
            <w:tcW w:w="3714" w:type="dxa"/>
            <w:tcBorders>
              <w:right w:val="single" w:sz="4" w:space="0" w:color="auto"/>
            </w:tcBorders>
            <w:shd w:val="clear" w:color="auto" w:fill="auto"/>
            <w:tcMar>
              <w:top w:w="57" w:type="dxa"/>
              <w:left w:w="113" w:type="dxa"/>
              <w:bottom w:w="57" w:type="dxa"/>
              <w:right w:w="0" w:type="dxa"/>
            </w:tcMar>
            <w:vAlign w:val="bottom"/>
          </w:tcPr>
          <w:p w14:paraId="1BA16B65" w14:textId="77777777" w:rsidR="000B0E9A" w:rsidRPr="00CA3F6E" w:rsidRDefault="000B0E9A"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Classifieds</w:t>
            </w:r>
            <w:r w:rsidRPr="00CA3F6E">
              <w:rPr>
                <w:rFonts w:ascii="Tahoma" w:hAnsi="Tahoma"/>
                <w:color w:val="000000" w:themeColor="text1"/>
                <w:sz w:val="16"/>
                <w:vertAlign w:val="superscript"/>
                <w:lang w:val="en-GB"/>
              </w:rPr>
              <w:t>5</w:t>
            </w:r>
          </w:p>
        </w:tc>
        <w:tc>
          <w:tcPr>
            <w:tcW w:w="567" w:type="dxa"/>
            <w:tcBorders>
              <w:top w:val="single" w:sz="4" w:space="0" w:color="auto"/>
              <w:left w:val="single" w:sz="4" w:space="0" w:color="auto"/>
            </w:tcBorders>
            <w:shd w:val="clear" w:color="auto" w:fill="auto"/>
            <w:tcMar>
              <w:top w:w="57" w:type="dxa"/>
              <w:left w:w="0" w:type="dxa"/>
              <w:bottom w:w="57" w:type="dxa"/>
              <w:right w:w="0" w:type="dxa"/>
            </w:tcMar>
            <w:vAlign w:val="bottom"/>
          </w:tcPr>
          <w:p w14:paraId="1AA1B58B"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988</w:t>
            </w:r>
          </w:p>
        </w:tc>
        <w:tc>
          <w:tcPr>
            <w:tcW w:w="851" w:type="dxa"/>
            <w:tcBorders>
              <w:top w:val="single" w:sz="4" w:space="0" w:color="auto"/>
            </w:tcBorders>
            <w:shd w:val="clear" w:color="auto" w:fill="auto"/>
            <w:tcMar>
              <w:top w:w="57" w:type="dxa"/>
              <w:left w:w="0" w:type="dxa"/>
              <w:bottom w:w="57" w:type="dxa"/>
              <w:right w:w="0" w:type="dxa"/>
            </w:tcMar>
            <w:vAlign w:val="bottom"/>
          </w:tcPr>
          <w:p w14:paraId="48BE63A5"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(30)</w:t>
            </w:r>
          </w:p>
        </w:tc>
        <w:tc>
          <w:tcPr>
            <w:tcW w:w="992" w:type="dxa"/>
            <w:tcBorders>
              <w:top w:val="single" w:sz="4" w:space="0" w:color="auto"/>
            </w:tcBorders>
            <w:shd w:val="clear" w:color="auto" w:fill="auto"/>
            <w:tcMar>
              <w:top w:w="57" w:type="dxa"/>
              <w:left w:w="0" w:type="dxa"/>
              <w:bottom w:w="57" w:type="dxa"/>
              <w:right w:w="0" w:type="dxa"/>
            </w:tcMar>
            <w:vAlign w:val="bottom"/>
          </w:tcPr>
          <w:p w14:paraId="4B019C17"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1</w:t>
            </w:r>
          </w:p>
        </w:tc>
        <w:tc>
          <w:tcPr>
            <w:tcW w:w="850" w:type="dxa"/>
            <w:tcBorders>
              <w:top w:val="single" w:sz="4" w:space="0" w:color="auto"/>
            </w:tcBorders>
            <w:shd w:val="clear" w:color="auto" w:fill="auto"/>
            <w:tcMar>
              <w:top w:w="57" w:type="dxa"/>
              <w:left w:w="0" w:type="dxa"/>
              <w:bottom w:w="57" w:type="dxa"/>
              <w:right w:w="0" w:type="dxa"/>
            </w:tcMar>
            <w:vAlign w:val="bottom"/>
          </w:tcPr>
          <w:p w14:paraId="17CDEE75"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(191)</w:t>
            </w:r>
          </w:p>
        </w:tc>
        <w:tc>
          <w:tcPr>
            <w:tcW w:w="709" w:type="dxa"/>
            <w:tcBorders>
              <w:top w:val="single" w:sz="4" w:space="0" w:color="auto"/>
            </w:tcBorders>
            <w:shd w:val="clear" w:color="auto" w:fill="auto"/>
            <w:tcMar>
              <w:top w:w="57" w:type="dxa"/>
              <w:left w:w="0" w:type="dxa"/>
              <w:bottom w:w="57" w:type="dxa"/>
              <w:right w:w="0" w:type="dxa"/>
            </w:tcMar>
            <w:vAlign w:val="bottom"/>
          </w:tcPr>
          <w:p w14:paraId="5241B8A6"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571</w:t>
            </w:r>
          </w:p>
        </w:tc>
        <w:tc>
          <w:tcPr>
            <w:tcW w:w="709" w:type="dxa"/>
            <w:tcBorders>
              <w:top w:val="single" w:sz="4" w:space="0" w:color="auto"/>
            </w:tcBorders>
            <w:shd w:val="clear" w:color="auto" w:fill="auto"/>
            <w:tcMar>
              <w:top w:w="57" w:type="dxa"/>
              <w:left w:w="0" w:type="dxa"/>
              <w:bottom w:w="57" w:type="dxa"/>
              <w:right w:w="0" w:type="dxa"/>
            </w:tcMar>
            <w:vAlign w:val="bottom"/>
          </w:tcPr>
          <w:p w14:paraId="3E559059"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1 339</w:t>
            </w:r>
          </w:p>
        </w:tc>
        <w:tc>
          <w:tcPr>
            <w:tcW w:w="709" w:type="dxa"/>
            <w:tcBorders>
              <w:top w:val="single" w:sz="4" w:space="0" w:color="auto"/>
            </w:tcBorders>
            <w:shd w:val="clear" w:color="auto" w:fill="auto"/>
            <w:tcMar>
              <w:top w:w="57" w:type="dxa"/>
              <w:left w:w="0" w:type="dxa"/>
              <w:bottom w:w="57" w:type="dxa"/>
              <w:right w:w="0" w:type="dxa"/>
            </w:tcMar>
            <w:vAlign w:val="bottom"/>
          </w:tcPr>
          <w:p w14:paraId="738F6A37" w14:textId="77777777" w:rsidR="000B0E9A" w:rsidRPr="00CA3F6E" w:rsidRDefault="000B0E9A" w:rsidP="00F87BEC">
            <w:pPr>
              <w:spacing w:line="240" w:lineRule="atLeast"/>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60</w:t>
            </w:r>
          </w:p>
        </w:tc>
        <w:tc>
          <w:tcPr>
            <w:tcW w:w="708" w:type="dxa"/>
            <w:tcBorders>
              <w:top w:val="single" w:sz="4" w:space="0" w:color="auto"/>
              <w:right w:val="single" w:sz="4" w:space="0" w:color="auto"/>
            </w:tcBorders>
            <w:shd w:val="clear" w:color="auto" w:fill="auto"/>
            <w:tcMar>
              <w:top w:w="57" w:type="dxa"/>
              <w:left w:w="0" w:type="dxa"/>
              <w:bottom w:w="57" w:type="dxa"/>
              <w:right w:w="0" w:type="dxa"/>
            </w:tcMar>
            <w:vAlign w:val="bottom"/>
          </w:tcPr>
          <w:p w14:paraId="5FEAAF8C" w14:textId="77777777" w:rsidR="000B0E9A" w:rsidRPr="00CA3F6E" w:rsidRDefault="000B0E9A" w:rsidP="003377FD">
            <w:pPr>
              <w:spacing w:line="240" w:lineRule="atLeast"/>
              <w:ind w:right="113"/>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36</w:t>
            </w:r>
          </w:p>
        </w:tc>
      </w:tr>
      <w:tr w:rsidR="0004453B" w:rsidRPr="00CA3F6E" w14:paraId="62EB6C9F" w14:textId="77777777" w:rsidTr="004A4151">
        <w:trPr>
          <w:trHeight w:val="60"/>
        </w:trPr>
        <w:tc>
          <w:tcPr>
            <w:tcW w:w="397" w:type="dxa"/>
            <w:shd w:val="clear" w:color="auto" w:fill="auto"/>
            <w:tcMar>
              <w:top w:w="57" w:type="dxa"/>
              <w:left w:w="0" w:type="dxa"/>
              <w:bottom w:w="57" w:type="dxa"/>
              <w:right w:w="0" w:type="dxa"/>
            </w:tcMar>
            <w:vAlign w:val="bottom"/>
          </w:tcPr>
          <w:p w14:paraId="220C30EC" w14:textId="77777777" w:rsidR="000B0E9A" w:rsidRPr="00CA3F6E" w:rsidRDefault="000B0E9A" w:rsidP="009D23C7">
            <w:pPr>
              <w:spacing w:line="240" w:lineRule="atLeast"/>
              <w:rPr>
                <w:rFonts w:ascii="Tahoma" w:hAnsi="Tahoma"/>
                <w:color w:val="000000" w:themeColor="text1"/>
                <w:sz w:val="16"/>
                <w:lang w:val="en-GB"/>
              </w:rPr>
            </w:pPr>
          </w:p>
        </w:tc>
        <w:tc>
          <w:tcPr>
            <w:tcW w:w="3714" w:type="dxa"/>
            <w:tcBorders>
              <w:right w:val="single" w:sz="4" w:space="0" w:color="auto"/>
            </w:tcBorders>
            <w:shd w:val="clear" w:color="auto" w:fill="auto"/>
            <w:tcMar>
              <w:top w:w="57" w:type="dxa"/>
              <w:left w:w="113" w:type="dxa"/>
              <w:bottom w:w="57" w:type="dxa"/>
              <w:right w:w="0" w:type="dxa"/>
            </w:tcMar>
            <w:vAlign w:val="bottom"/>
          </w:tcPr>
          <w:p w14:paraId="48BD9165" w14:textId="77777777" w:rsidR="000B0E9A" w:rsidRPr="00CA3F6E" w:rsidRDefault="000B0E9A"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Food Delivery</w:t>
            </w:r>
          </w:p>
        </w:tc>
        <w:tc>
          <w:tcPr>
            <w:tcW w:w="567" w:type="dxa"/>
            <w:tcBorders>
              <w:left w:val="single" w:sz="4" w:space="0" w:color="auto"/>
            </w:tcBorders>
            <w:shd w:val="clear" w:color="auto" w:fill="auto"/>
            <w:tcMar>
              <w:top w:w="57" w:type="dxa"/>
              <w:left w:w="0" w:type="dxa"/>
              <w:bottom w:w="57" w:type="dxa"/>
              <w:right w:w="0" w:type="dxa"/>
            </w:tcMar>
            <w:vAlign w:val="bottom"/>
          </w:tcPr>
          <w:p w14:paraId="2B7FAA5B"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1 261</w:t>
            </w:r>
          </w:p>
        </w:tc>
        <w:tc>
          <w:tcPr>
            <w:tcW w:w="851" w:type="dxa"/>
            <w:shd w:val="clear" w:color="auto" w:fill="auto"/>
            <w:tcMar>
              <w:top w:w="57" w:type="dxa"/>
              <w:left w:w="0" w:type="dxa"/>
              <w:bottom w:w="57" w:type="dxa"/>
              <w:right w:w="0" w:type="dxa"/>
            </w:tcMar>
            <w:vAlign w:val="bottom"/>
          </w:tcPr>
          <w:p w14:paraId="5BB736A7"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(13)</w:t>
            </w:r>
          </w:p>
        </w:tc>
        <w:tc>
          <w:tcPr>
            <w:tcW w:w="992" w:type="dxa"/>
            <w:shd w:val="clear" w:color="auto" w:fill="auto"/>
            <w:tcMar>
              <w:top w:w="57" w:type="dxa"/>
              <w:left w:w="0" w:type="dxa"/>
              <w:bottom w:w="57" w:type="dxa"/>
              <w:right w:w="0" w:type="dxa"/>
            </w:tcMar>
            <w:vAlign w:val="bottom"/>
          </w:tcPr>
          <w:p w14:paraId="1EB89D74"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158</w:t>
            </w:r>
          </w:p>
        </w:tc>
        <w:tc>
          <w:tcPr>
            <w:tcW w:w="850" w:type="dxa"/>
            <w:shd w:val="clear" w:color="auto" w:fill="auto"/>
            <w:tcMar>
              <w:top w:w="57" w:type="dxa"/>
              <w:left w:w="0" w:type="dxa"/>
              <w:bottom w:w="57" w:type="dxa"/>
              <w:right w:w="0" w:type="dxa"/>
            </w:tcMar>
            <w:vAlign w:val="bottom"/>
          </w:tcPr>
          <w:p w14:paraId="2B7D3D7D"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(145)</w:t>
            </w:r>
          </w:p>
        </w:tc>
        <w:tc>
          <w:tcPr>
            <w:tcW w:w="709" w:type="dxa"/>
            <w:shd w:val="clear" w:color="auto" w:fill="auto"/>
            <w:tcMar>
              <w:top w:w="57" w:type="dxa"/>
              <w:left w:w="0" w:type="dxa"/>
              <w:bottom w:w="57" w:type="dxa"/>
              <w:right w:w="0" w:type="dxa"/>
            </w:tcMar>
            <w:vAlign w:val="bottom"/>
          </w:tcPr>
          <w:p w14:paraId="7EACAFC9"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650</w:t>
            </w:r>
          </w:p>
        </w:tc>
        <w:tc>
          <w:tcPr>
            <w:tcW w:w="709" w:type="dxa"/>
            <w:shd w:val="clear" w:color="auto" w:fill="auto"/>
            <w:tcMar>
              <w:top w:w="57" w:type="dxa"/>
              <w:left w:w="0" w:type="dxa"/>
              <w:bottom w:w="57" w:type="dxa"/>
              <w:right w:w="0" w:type="dxa"/>
            </w:tcMar>
            <w:vAlign w:val="bottom"/>
          </w:tcPr>
          <w:p w14:paraId="41E0A7E2"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1 911</w:t>
            </w:r>
          </w:p>
        </w:tc>
        <w:tc>
          <w:tcPr>
            <w:tcW w:w="709" w:type="dxa"/>
            <w:shd w:val="clear" w:color="auto" w:fill="auto"/>
            <w:tcMar>
              <w:top w:w="57" w:type="dxa"/>
              <w:left w:w="0" w:type="dxa"/>
              <w:bottom w:w="57" w:type="dxa"/>
              <w:right w:w="0" w:type="dxa"/>
            </w:tcMar>
            <w:vAlign w:val="bottom"/>
          </w:tcPr>
          <w:p w14:paraId="6295584D" w14:textId="77777777" w:rsidR="000B0E9A" w:rsidRPr="00CA3F6E" w:rsidRDefault="000B0E9A" w:rsidP="00F87BEC">
            <w:pPr>
              <w:spacing w:line="240" w:lineRule="atLeast"/>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52</w:t>
            </w:r>
          </w:p>
        </w:tc>
        <w:tc>
          <w:tcPr>
            <w:tcW w:w="708" w:type="dxa"/>
            <w:tcBorders>
              <w:right w:val="single" w:sz="4" w:space="0" w:color="auto"/>
            </w:tcBorders>
            <w:shd w:val="clear" w:color="auto" w:fill="auto"/>
            <w:tcMar>
              <w:top w:w="57" w:type="dxa"/>
              <w:left w:w="0" w:type="dxa"/>
              <w:bottom w:w="57" w:type="dxa"/>
              <w:right w:w="0" w:type="dxa"/>
            </w:tcMar>
            <w:vAlign w:val="bottom"/>
          </w:tcPr>
          <w:p w14:paraId="16695B97" w14:textId="77777777" w:rsidR="000B0E9A" w:rsidRPr="00CA3F6E" w:rsidRDefault="000B0E9A" w:rsidP="003377FD">
            <w:pPr>
              <w:spacing w:line="240" w:lineRule="atLeast"/>
              <w:ind w:right="113"/>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52</w:t>
            </w:r>
          </w:p>
        </w:tc>
      </w:tr>
      <w:tr w:rsidR="0004453B" w:rsidRPr="00CA3F6E" w14:paraId="621BC41A" w14:textId="77777777" w:rsidTr="004A4151">
        <w:trPr>
          <w:trHeight w:val="60"/>
        </w:trPr>
        <w:tc>
          <w:tcPr>
            <w:tcW w:w="397" w:type="dxa"/>
            <w:shd w:val="clear" w:color="auto" w:fill="auto"/>
            <w:tcMar>
              <w:top w:w="57" w:type="dxa"/>
              <w:left w:w="0" w:type="dxa"/>
              <w:bottom w:w="57" w:type="dxa"/>
              <w:right w:w="0" w:type="dxa"/>
            </w:tcMar>
            <w:vAlign w:val="bottom"/>
          </w:tcPr>
          <w:p w14:paraId="7CB2F583" w14:textId="77777777" w:rsidR="000B0E9A" w:rsidRPr="00CA3F6E" w:rsidRDefault="000B0E9A" w:rsidP="009D23C7">
            <w:pPr>
              <w:spacing w:line="240" w:lineRule="atLeast"/>
              <w:rPr>
                <w:rFonts w:ascii="Tahoma" w:hAnsi="Tahoma"/>
                <w:color w:val="000000" w:themeColor="text1"/>
                <w:sz w:val="16"/>
                <w:lang w:val="en-GB"/>
              </w:rPr>
            </w:pPr>
          </w:p>
        </w:tc>
        <w:tc>
          <w:tcPr>
            <w:tcW w:w="3714" w:type="dxa"/>
            <w:tcBorders>
              <w:right w:val="single" w:sz="4" w:space="0" w:color="auto"/>
            </w:tcBorders>
            <w:shd w:val="clear" w:color="auto" w:fill="auto"/>
            <w:tcMar>
              <w:top w:w="57" w:type="dxa"/>
              <w:left w:w="113" w:type="dxa"/>
              <w:bottom w:w="57" w:type="dxa"/>
              <w:right w:w="0" w:type="dxa"/>
            </w:tcMar>
            <w:vAlign w:val="bottom"/>
          </w:tcPr>
          <w:p w14:paraId="7881960D" w14:textId="77777777" w:rsidR="000B0E9A" w:rsidRPr="00CA3F6E" w:rsidRDefault="000B0E9A"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Payments and Fintech</w:t>
            </w:r>
          </w:p>
        </w:tc>
        <w:tc>
          <w:tcPr>
            <w:tcW w:w="567" w:type="dxa"/>
            <w:tcBorders>
              <w:left w:val="single" w:sz="4" w:space="0" w:color="auto"/>
            </w:tcBorders>
            <w:shd w:val="clear" w:color="auto" w:fill="auto"/>
            <w:tcMar>
              <w:top w:w="57" w:type="dxa"/>
              <w:left w:w="0" w:type="dxa"/>
              <w:bottom w:w="57" w:type="dxa"/>
              <w:right w:w="0" w:type="dxa"/>
            </w:tcMar>
            <w:vAlign w:val="bottom"/>
          </w:tcPr>
          <w:p w14:paraId="1E666D7B"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359</w:t>
            </w:r>
          </w:p>
        </w:tc>
        <w:tc>
          <w:tcPr>
            <w:tcW w:w="851" w:type="dxa"/>
            <w:shd w:val="clear" w:color="auto" w:fill="auto"/>
            <w:tcMar>
              <w:top w:w="57" w:type="dxa"/>
              <w:left w:w="0" w:type="dxa"/>
              <w:bottom w:w="57" w:type="dxa"/>
              <w:right w:w="0" w:type="dxa"/>
            </w:tcMar>
            <w:vAlign w:val="bottom"/>
          </w:tcPr>
          <w:p w14:paraId="5A82CBCB"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(3)</w:t>
            </w:r>
          </w:p>
        </w:tc>
        <w:tc>
          <w:tcPr>
            <w:tcW w:w="992" w:type="dxa"/>
            <w:shd w:val="clear" w:color="auto" w:fill="auto"/>
            <w:tcMar>
              <w:top w:w="57" w:type="dxa"/>
              <w:left w:w="0" w:type="dxa"/>
              <w:bottom w:w="57" w:type="dxa"/>
              <w:right w:w="0" w:type="dxa"/>
            </w:tcMar>
            <w:vAlign w:val="bottom"/>
          </w:tcPr>
          <w:p w14:paraId="66D108DB"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 xml:space="preserve">— </w:t>
            </w:r>
          </w:p>
        </w:tc>
        <w:tc>
          <w:tcPr>
            <w:tcW w:w="850" w:type="dxa"/>
            <w:shd w:val="clear" w:color="auto" w:fill="auto"/>
            <w:tcMar>
              <w:top w:w="57" w:type="dxa"/>
              <w:left w:w="0" w:type="dxa"/>
              <w:bottom w:w="57" w:type="dxa"/>
              <w:right w:w="0" w:type="dxa"/>
            </w:tcMar>
            <w:vAlign w:val="bottom"/>
          </w:tcPr>
          <w:p w14:paraId="7C4D98CA"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(73)</w:t>
            </w:r>
          </w:p>
        </w:tc>
        <w:tc>
          <w:tcPr>
            <w:tcW w:w="709" w:type="dxa"/>
            <w:shd w:val="clear" w:color="auto" w:fill="auto"/>
            <w:tcMar>
              <w:top w:w="57" w:type="dxa"/>
              <w:left w:w="0" w:type="dxa"/>
              <w:bottom w:w="57" w:type="dxa"/>
              <w:right w:w="0" w:type="dxa"/>
            </w:tcMar>
            <w:vAlign w:val="bottom"/>
          </w:tcPr>
          <w:p w14:paraId="47EB786A"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197</w:t>
            </w:r>
          </w:p>
        </w:tc>
        <w:tc>
          <w:tcPr>
            <w:tcW w:w="709" w:type="dxa"/>
            <w:shd w:val="clear" w:color="auto" w:fill="auto"/>
            <w:tcMar>
              <w:top w:w="57" w:type="dxa"/>
              <w:left w:w="0" w:type="dxa"/>
              <w:bottom w:w="57" w:type="dxa"/>
              <w:right w:w="0" w:type="dxa"/>
            </w:tcMar>
            <w:vAlign w:val="bottom"/>
          </w:tcPr>
          <w:p w14:paraId="2F775E3D"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480</w:t>
            </w:r>
          </w:p>
        </w:tc>
        <w:tc>
          <w:tcPr>
            <w:tcW w:w="709" w:type="dxa"/>
            <w:shd w:val="clear" w:color="auto" w:fill="auto"/>
            <w:tcMar>
              <w:top w:w="57" w:type="dxa"/>
              <w:left w:w="0" w:type="dxa"/>
              <w:bottom w:w="57" w:type="dxa"/>
              <w:right w:w="0" w:type="dxa"/>
            </w:tcMar>
            <w:vAlign w:val="bottom"/>
          </w:tcPr>
          <w:p w14:paraId="11671AF0" w14:textId="77777777" w:rsidR="000B0E9A" w:rsidRPr="00CA3F6E" w:rsidRDefault="000B0E9A" w:rsidP="00F87BEC">
            <w:pPr>
              <w:spacing w:line="240" w:lineRule="atLeast"/>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55</w:t>
            </w:r>
          </w:p>
        </w:tc>
        <w:tc>
          <w:tcPr>
            <w:tcW w:w="708" w:type="dxa"/>
            <w:tcBorders>
              <w:right w:val="single" w:sz="4" w:space="0" w:color="auto"/>
            </w:tcBorders>
            <w:shd w:val="clear" w:color="auto" w:fill="auto"/>
            <w:tcMar>
              <w:top w:w="57" w:type="dxa"/>
              <w:left w:w="0" w:type="dxa"/>
              <w:bottom w:w="57" w:type="dxa"/>
              <w:right w:w="0" w:type="dxa"/>
            </w:tcMar>
            <w:vAlign w:val="bottom"/>
          </w:tcPr>
          <w:p w14:paraId="3B811552" w14:textId="77777777" w:rsidR="000B0E9A" w:rsidRPr="00CA3F6E" w:rsidRDefault="000B0E9A" w:rsidP="003377FD">
            <w:pPr>
              <w:spacing w:line="240" w:lineRule="atLeast"/>
              <w:ind w:right="113"/>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34</w:t>
            </w:r>
          </w:p>
        </w:tc>
      </w:tr>
      <w:tr w:rsidR="0004453B" w:rsidRPr="00CA3F6E" w14:paraId="54AF2866" w14:textId="77777777" w:rsidTr="004A4151">
        <w:trPr>
          <w:trHeight w:val="60"/>
        </w:trPr>
        <w:tc>
          <w:tcPr>
            <w:tcW w:w="397" w:type="dxa"/>
            <w:shd w:val="clear" w:color="auto" w:fill="auto"/>
            <w:tcMar>
              <w:top w:w="57" w:type="dxa"/>
              <w:left w:w="0" w:type="dxa"/>
              <w:bottom w:w="57" w:type="dxa"/>
              <w:right w:w="0" w:type="dxa"/>
            </w:tcMar>
            <w:vAlign w:val="bottom"/>
          </w:tcPr>
          <w:p w14:paraId="5E3F0710" w14:textId="77777777" w:rsidR="000B0E9A" w:rsidRPr="00CA3F6E" w:rsidRDefault="000B0E9A" w:rsidP="009D23C7">
            <w:pPr>
              <w:spacing w:line="240" w:lineRule="atLeast"/>
              <w:rPr>
                <w:rFonts w:ascii="Tahoma" w:hAnsi="Tahoma"/>
                <w:color w:val="000000" w:themeColor="text1"/>
                <w:sz w:val="16"/>
                <w:lang w:val="en-GB"/>
              </w:rPr>
            </w:pPr>
          </w:p>
        </w:tc>
        <w:tc>
          <w:tcPr>
            <w:tcW w:w="3714" w:type="dxa"/>
            <w:tcBorders>
              <w:right w:val="single" w:sz="4" w:space="0" w:color="auto"/>
            </w:tcBorders>
            <w:shd w:val="clear" w:color="auto" w:fill="auto"/>
            <w:tcMar>
              <w:top w:w="57" w:type="dxa"/>
              <w:left w:w="113" w:type="dxa"/>
              <w:bottom w:w="57" w:type="dxa"/>
              <w:right w:w="0" w:type="dxa"/>
            </w:tcMar>
            <w:vAlign w:val="bottom"/>
          </w:tcPr>
          <w:p w14:paraId="32FEE70D" w14:textId="77777777" w:rsidR="000B0E9A" w:rsidRPr="00CA3F6E" w:rsidRDefault="000B0E9A"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Edtech</w:t>
            </w:r>
          </w:p>
        </w:tc>
        <w:tc>
          <w:tcPr>
            <w:tcW w:w="567" w:type="dxa"/>
            <w:tcBorders>
              <w:left w:val="single" w:sz="4" w:space="0" w:color="auto"/>
            </w:tcBorders>
            <w:shd w:val="clear" w:color="auto" w:fill="auto"/>
            <w:tcMar>
              <w:top w:w="57" w:type="dxa"/>
              <w:left w:w="0" w:type="dxa"/>
              <w:bottom w:w="57" w:type="dxa"/>
              <w:right w:w="0" w:type="dxa"/>
            </w:tcMar>
            <w:vAlign w:val="bottom"/>
          </w:tcPr>
          <w:p w14:paraId="77F2A952"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120</w:t>
            </w:r>
          </w:p>
        </w:tc>
        <w:tc>
          <w:tcPr>
            <w:tcW w:w="851" w:type="dxa"/>
            <w:shd w:val="clear" w:color="auto" w:fill="auto"/>
            <w:tcMar>
              <w:top w:w="57" w:type="dxa"/>
              <w:left w:w="0" w:type="dxa"/>
              <w:bottom w:w="57" w:type="dxa"/>
              <w:right w:w="0" w:type="dxa"/>
            </w:tcMar>
            <w:vAlign w:val="bottom"/>
          </w:tcPr>
          <w:p w14:paraId="3356B98F"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(2)</w:t>
            </w:r>
          </w:p>
        </w:tc>
        <w:tc>
          <w:tcPr>
            <w:tcW w:w="992" w:type="dxa"/>
            <w:shd w:val="clear" w:color="auto" w:fill="auto"/>
            <w:tcMar>
              <w:top w:w="57" w:type="dxa"/>
              <w:left w:w="0" w:type="dxa"/>
              <w:bottom w:w="57" w:type="dxa"/>
              <w:right w:w="0" w:type="dxa"/>
            </w:tcMar>
            <w:vAlign w:val="bottom"/>
          </w:tcPr>
          <w:p w14:paraId="211965B6"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176</w:t>
            </w:r>
          </w:p>
        </w:tc>
        <w:tc>
          <w:tcPr>
            <w:tcW w:w="850" w:type="dxa"/>
            <w:shd w:val="clear" w:color="auto" w:fill="auto"/>
            <w:tcMar>
              <w:top w:w="57" w:type="dxa"/>
              <w:left w:w="0" w:type="dxa"/>
              <w:bottom w:w="57" w:type="dxa"/>
              <w:right w:w="0" w:type="dxa"/>
            </w:tcMar>
            <w:vAlign w:val="bottom"/>
          </w:tcPr>
          <w:p w14:paraId="665FCAE3"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(5)</w:t>
            </w:r>
          </w:p>
        </w:tc>
        <w:tc>
          <w:tcPr>
            <w:tcW w:w="709" w:type="dxa"/>
            <w:shd w:val="clear" w:color="auto" w:fill="auto"/>
            <w:tcMar>
              <w:top w:w="57" w:type="dxa"/>
              <w:left w:w="0" w:type="dxa"/>
              <w:bottom w:w="57" w:type="dxa"/>
              <w:right w:w="0" w:type="dxa"/>
            </w:tcMar>
            <w:vAlign w:val="bottom"/>
          </w:tcPr>
          <w:p w14:paraId="03F74328"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45</w:t>
            </w:r>
          </w:p>
        </w:tc>
        <w:tc>
          <w:tcPr>
            <w:tcW w:w="709" w:type="dxa"/>
            <w:shd w:val="clear" w:color="auto" w:fill="auto"/>
            <w:tcMar>
              <w:top w:w="57" w:type="dxa"/>
              <w:left w:w="0" w:type="dxa"/>
              <w:bottom w:w="57" w:type="dxa"/>
              <w:right w:w="0" w:type="dxa"/>
            </w:tcMar>
            <w:vAlign w:val="bottom"/>
          </w:tcPr>
          <w:p w14:paraId="3FD7FD18"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334</w:t>
            </w:r>
          </w:p>
        </w:tc>
        <w:tc>
          <w:tcPr>
            <w:tcW w:w="709" w:type="dxa"/>
            <w:shd w:val="clear" w:color="auto" w:fill="auto"/>
            <w:tcMar>
              <w:top w:w="57" w:type="dxa"/>
              <w:left w:w="0" w:type="dxa"/>
              <w:bottom w:w="57" w:type="dxa"/>
              <w:right w:w="0" w:type="dxa"/>
            </w:tcMar>
            <w:vAlign w:val="bottom"/>
          </w:tcPr>
          <w:p w14:paraId="5C1557F6" w14:textId="77777777" w:rsidR="000B0E9A" w:rsidRPr="00CA3F6E" w:rsidRDefault="000B0E9A" w:rsidP="00F87BEC">
            <w:pPr>
              <w:spacing w:line="240" w:lineRule="atLeast"/>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38</w:t>
            </w:r>
          </w:p>
        </w:tc>
        <w:tc>
          <w:tcPr>
            <w:tcW w:w="708" w:type="dxa"/>
            <w:tcBorders>
              <w:right w:val="single" w:sz="4" w:space="0" w:color="auto"/>
            </w:tcBorders>
            <w:shd w:val="clear" w:color="auto" w:fill="auto"/>
            <w:tcMar>
              <w:top w:w="57" w:type="dxa"/>
              <w:left w:w="0" w:type="dxa"/>
              <w:bottom w:w="57" w:type="dxa"/>
              <w:right w:w="0" w:type="dxa"/>
            </w:tcMar>
            <w:vAlign w:val="bottom"/>
          </w:tcPr>
          <w:p w14:paraId="39DC54D4" w14:textId="77777777" w:rsidR="000B0E9A" w:rsidRPr="00CA3F6E" w:rsidRDefault="000B0E9A" w:rsidP="003377FD">
            <w:pPr>
              <w:spacing w:line="240" w:lineRule="atLeast"/>
              <w:ind w:right="113"/>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&gt;100</w:t>
            </w:r>
          </w:p>
        </w:tc>
      </w:tr>
      <w:tr w:rsidR="0004453B" w:rsidRPr="00CA3F6E" w14:paraId="271E0FE3" w14:textId="77777777" w:rsidTr="004A4151">
        <w:trPr>
          <w:trHeight w:val="60"/>
        </w:trPr>
        <w:tc>
          <w:tcPr>
            <w:tcW w:w="397" w:type="dxa"/>
            <w:shd w:val="clear" w:color="auto" w:fill="auto"/>
            <w:tcMar>
              <w:top w:w="57" w:type="dxa"/>
              <w:left w:w="0" w:type="dxa"/>
              <w:bottom w:w="57" w:type="dxa"/>
              <w:right w:w="0" w:type="dxa"/>
            </w:tcMar>
            <w:vAlign w:val="bottom"/>
          </w:tcPr>
          <w:p w14:paraId="5EADB3A9" w14:textId="77777777" w:rsidR="000B0E9A" w:rsidRPr="00CA3F6E" w:rsidRDefault="000B0E9A" w:rsidP="009D23C7">
            <w:pPr>
              <w:spacing w:line="240" w:lineRule="atLeast"/>
              <w:rPr>
                <w:rFonts w:ascii="Tahoma" w:hAnsi="Tahoma"/>
                <w:color w:val="000000" w:themeColor="text1"/>
                <w:sz w:val="16"/>
                <w:lang w:val="en-GB"/>
              </w:rPr>
            </w:pPr>
          </w:p>
        </w:tc>
        <w:tc>
          <w:tcPr>
            <w:tcW w:w="3714" w:type="dxa"/>
            <w:tcBorders>
              <w:right w:val="single" w:sz="4" w:space="0" w:color="auto"/>
            </w:tcBorders>
            <w:shd w:val="clear" w:color="auto" w:fill="auto"/>
            <w:tcMar>
              <w:top w:w="57" w:type="dxa"/>
              <w:left w:w="113" w:type="dxa"/>
              <w:bottom w:w="57" w:type="dxa"/>
              <w:right w:w="0" w:type="dxa"/>
            </w:tcMar>
            <w:vAlign w:val="bottom"/>
          </w:tcPr>
          <w:p w14:paraId="48D235BB" w14:textId="77777777" w:rsidR="000B0E9A" w:rsidRPr="00CA3F6E" w:rsidRDefault="000B0E9A"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Etail</w:t>
            </w:r>
          </w:p>
        </w:tc>
        <w:tc>
          <w:tcPr>
            <w:tcW w:w="567" w:type="dxa"/>
            <w:tcBorders>
              <w:left w:val="single" w:sz="4" w:space="0" w:color="auto"/>
            </w:tcBorders>
            <w:shd w:val="clear" w:color="auto" w:fill="auto"/>
            <w:tcMar>
              <w:top w:w="57" w:type="dxa"/>
              <w:left w:w="0" w:type="dxa"/>
              <w:bottom w:w="57" w:type="dxa"/>
              <w:right w:w="0" w:type="dxa"/>
            </w:tcMar>
            <w:vAlign w:val="bottom"/>
          </w:tcPr>
          <w:p w14:paraId="436430E2"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1 029</w:t>
            </w:r>
          </w:p>
        </w:tc>
        <w:tc>
          <w:tcPr>
            <w:tcW w:w="851" w:type="dxa"/>
            <w:shd w:val="clear" w:color="auto" w:fill="auto"/>
            <w:tcMar>
              <w:top w:w="57" w:type="dxa"/>
              <w:left w:w="0" w:type="dxa"/>
              <w:bottom w:w="57" w:type="dxa"/>
              <w:right w:w="0" w:type="dxa"/>
            </w:tcMar>
            <w:vAlign w:val="bottom"/>
          </w:tcPr>
          <w:p w14:paraId="75B421CB"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w:t>
            </w:r>
          </w:p>
        </w:tc>
        <w:tc>
          <w:tcPr>
            <w:tcW w:w="992" w:type="dxa"/>
            <w:shd w:val="clear" w:color="auto" w:fill="auto"/>
            <w:tcMar>
              <w:top w:w="57" w:type="dxa"/>
              <w:left w:w="0" w:type="dxa"/>
              <w:bottom w:w="57" w:type="dxa"/>
              <w:right w:w="0" w:type="dxa"/>
            </w:tcMar>
            <w:vAlign w:val="bottom"/>
          </w:tcPr>
          <w:p w14:paraId="1A8164D4"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11</w:t>
            </w:r>
          </w:p>
        </w:tc>
        <w:tc>
          <w:tcPr>
            <w:tcW w:w="850" w:type="dxa"/>
            <w:shd w:val="clear" w:color="auto" w:fill="auto"/>
            <w:tcMar>
              <w:top w:w="57" w:type="dxa"/>
              <w:left w:w="0" w:type="dxa"/>
              <w:bottom w:w="57" w:type="dxa"/>
              <w:right w:w="0" w:type="dxa"/>
            </w:tcMar>
            <w:vAlign w:val="bottom"/>
          </w:tcPr>
          <w:p w14:paraId="7105EB0F"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(144)</w:t>
            </w:r>
          </w:p>
        </w:tc>
        <w:tc>
          <w:tcPr>
            <w:tcW w:w="709" w:type="dxa"/>
            <w:shd w:val="clear" w:color="auto" w:fill="auto"/>
            <w:tcMar>
              <w:top w:w="57" w:type="dxa"/>
              <w:left w:w="0" w:type="dxa"/>
              <w:bottom w:w="57" w:type="dxa"/>
              <w:right w:w="0" w:type="dxa"/>
            </w:tcMar>
            <w:vAlign w:val="bottom"/>
          </w:tcPr>
          <w:p w14:paraId="0B179AAF"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(44)</w:t>
            </w:r>
          </w:p>
        </w:tc>
        <w:tc>
          <w:tcPr>
            <w:tcW w:w="709" w:type="dxa"/>
            <w:shd w:val="clear" w:color="auto" w:fill="auto"/>
            <w:tcMar>
              <w:top w:w="57" w:type="dxa"/>
              <w:left w:w="0" w:type="dxa"/>
              <w:bottom w:w="57" w:type="dxa"/>
              <w:right w:w="0" w:type="dxa"/>
            </w:tcMar>
            <w:vAlign w:val="bottom"/>
          </w:tcPr>
          <w:p w14:paraId="2395E559"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852</w:t>
            </w:r>
          </w:p>
        </w:tc>
        <w:tc>
          <w:tcPr>
            <w:tcW w:w="709" w:type="dxa"/>
            <w:shd w:val="clear" w:color="auto" w:fill="auto"/>
            <w:tcMar>
              <w:top w:w="57" w:type="dxa"/>
              <w:left w:w="0" w:type="dxa"/>
              <w:bottom w:w="57" w:type="dxa"/>
              <w:right w:w="0" w:type="dxa"/>
            </w:tcMar>
            <w:vAlign w:val="bottom"/>
          </w:tcPr>
          <w:p w14:paraId="488C3C88" w14:textId="77777777" w:rsidR="000B0E9A" w:rsidRPr="00CA3F6E" w:rsidRDefault="000B0E9A" w:rsidP="00F87BEC">
            <w:pPr>
              <w:spacing w:line="240" w:lineRule="atLeast"/>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(4)</w:t>
            </w:r>
          </w:p>
        </w:tc>
        <w:tc>
          <w:tcPr>
            <w:tcW w:w="708" w:type="dxa"/>
            <w:tcBorders>
              <w:right w:val="single" w:sz="4" w:space="0" w:color="auto"/>
            </w:tcBorders>
            <w:shd w:val="clear" w:color="auto" w:fill="auto"/>
            <w:tcMar>
              <w:top w:w="57" w:type="dxa"/>
              <w:left w:w="0" w:type="dxa"/>
              <w:bottom w:w="57" w:type="dxa"/>
              <w:right w:w="0" w:type="dxa"/>
            </w:tcMar>
            <w:vAlign w:val="bottom"/>
          </w:tcPr>
          <w:p w14:paraId="46FB05E5" w14:textId="77777777" w:rsidR="000B0E9A" w:rsidRPr="00CA3F6E" w:rsidRDefault="000B0E9A" w:rsidP="003377FD">
            <w:pPr>
              <w:spacing w:line="240" w:lineRule="atLeast"/>
              <w:ind w:right="113"/>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(17)</w:t>
            </w:r>
          </w:p>
        </w:tc>
      </w:tr>
      <w:tr w:rsidR="0004453B" w:rsidRPr="00CA3F6E" w14:paraId="0FAFC596" w14:textId="77777777" w:rsidTr="004A4151">
        <w:trPr>
          <w:trHeight w:val="60"/>
        </w:trPr>
        <w:tc>
          <w:tcPr>
            <w:tcW w:w="397" w:type="dxa"/>
            <w:shd w:val="clear" w:color="auto" w:fill="auto"/>
            <w:tcMar>
              <w:top w:w="57" w:type="dxa"/>
              <w:left w:w="0" w:type="dxa"/>
              <w:bottom w:w="57" w:type="dxa"/>
              <w:right w:w="0" w:type="dxa"/>
            </w:tcMar>
            <w:vAlign w:val="bottom"/>
          </w:tcPr>
          <w:p w14:paraId="47544E4E" w14:textId="77777777" w:rsidR="000B0E9A" w:rsidRPr="00CA3F6E" w:rsidRDefault="000B0E9A" w:rsidP="009D23C7">
            <w:pPr>
              <w:spacing w:line="240" w:lineRule="atLeast"/>
              <w:rPr>
                <w:rFonts w:ascii="Tahoma" w:hAnsi="Tahoma"/>
                <w:color w:val="000000" w:themeColor="text1"/>
                <w:sz w:val="16"/>
                <w:lang w:val="en-GB"/>
              </w:rPr>
            </w:pPr>
          </w:p>
        </w:tc>
        <w:tc>
          <w:tcPr>
            <w:tcW w:w="3714" w:type="dxa"/>
            <w:tcBorders>
              <w:right w:val="single" w:sz="4" w:space="0" w:color="auto"/>
            </w:tcBorders>
            <w:shd w:val="clear" w:color="auto" w:fill="auto"/>
            <w:tcMar>
              <w:top w:w="57" w:type="dxa"/>
              <w:left w:w="113" w:type="dxa"/>
              <w:bottom w:w="57" w:type="dxa"/>
              <w:right w:w="0" w:type="dxa"/>
            </w:tcMar>
            <w:vAlign w:val="bottom"/>
          </w:tcPr>
          <w:p w14:paraId="084CF42F" w14:textId="77777777" w:rsidR="000B0E9A" w:rsidRPr="00CA3F6E" w:rsidRDefault="000B0E9A"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Other</w:t>
            </w:r>
          </w:p>
        </w:tc>
        <w:tc>
          <w:tcPr>
            <w:tcW w:w="567" w:type="dxa"/>
            <w:tcBorders>
              <w:left w:val="single" w:sz="4" w:space="0" w:color="auto"/>
              <w:bottom w:val="single" w:sz="4" w:space="0" w:color="auto"/>
            </w:tcBorders>
            <w:shd w:val="clear" w:color="auto" w:fill="auto"/>
            <w:tcMar>
              <w:top w:w="57" w:type="dxa"/>
              <w:left w:w="0" w:type="dxa"/>
              <w:bottom w:w="57" w:type="dxa"/>
              <w:right w:w="0" w:type="dxa"/>
            </w:tcMar>
            <w:vAlign w:val="bottom"/>
          </w:tcPr>
          <w:p w14:paraId="0B406D7E"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101</w:t>
            </w:r>
          </w:p>
        </w:tc>
        <w:tc>
          <w:tcPr>
            <w:tcW w:w="851" w:type="dxa"/>
            <w:tcBorders>
              <w:bottom w:val="single" w:sz="4" w:space="0" w:color="auto"/>
            </w:tcBorders>
            <w:shd w:val="clear" w:color="auto" w:fill="auto"/>
            <w:tcMar>
              <w:top w:w="57" w:type="dxa"/>
              <w:left w:w="0" w:type="dxa"/>
              <w:bottom w:w="57" w:type="dxa"/>
              <w:right w:w="0" w:type="dxa"/>
            </w:tcMar>
            <w:vAlign w:val="bottom"/>
          </w:tcPr>
          <w:p w14:paraId="41B53A03"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9</w:t>
            </w:r>
          </w:p>
        </w:tc>
        <w:tc>
          <w:tcPr>
            <w:tcW w:w="992" w:type="dxa"/>
            <w:tcBorders>
              <w:bottom w:val="single" w:sz="4" w:space="0" w:color="auto"/>
            </w:tcBorders>
            <w:shd w:val="clear" w:color="auto" w:fill="auto"/>
            <w:tcMar>
              <w:top w:w="57" w:type="dxa"/>
              <w:left w:w="0" w:type="dxa"/>
              <w:bottom w:w="57" w:type="dxa"/>
              <w:right w:w="0" w:type="dxa"/>
            </w:tcMar>
            <w:vAlign w:val="bottom"/>
          </w:tcPr>
          <w:p w14:paraId="607F6A9E"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70</w:t>
            </w:r>
          </w:p>
        </w:tc>
        <w:tc>
          <w:tcPr>
            <w:tcW w:w="850" w:type="dxa"/>
            <w:tcBorders>
              <w:bottom w:val="single" w:sz="4" w:space="0" w:color="auto"/>
            </w:tcBorders>
            <w:shd w:val="clear" w:color="auto" w:fill="auto"/>
            <w:tcMar>
              <w:top w:w="57" w:type="dxa"/>
              <w:left w:w="0" w:type="dxa"/>
              <w:bottom w:w="57" w:type="dxa"/>
              <w:right w:w="0" w:type="dxa"/>
            </w:tcMar>
            <w:vAlign w:val="bottom"/>
          </w:tcPr>
          <w:p w14:paraId="132A0DF6"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(8)</w:t>
            </w:r>
          </w:p>
        </w:tc>
        <w:tc>
          <w:tcPr>
            <w:tcW w:w="709" w:type="dxa"/>
            <w:tcBorders>
              <w:bottom w:val="single" w:sz="4" w:space="0" w:color="auto"/>
            </w:tcBorders>
            <w:shd w:val="clear" w:color="auto" w:fill="auto"/>
            <w:tcMar>
              <w:top w:w="57" w:type="dxa"/>
              <w:left w:w="0" w:type="dxa"/>
              <w:bottom w:w="57" w:type="dxa"/>
              <w:right w:w="0" w:type="dxa"/>
            </w:tcMar>
            <w:vAlign w:val="bottom"/>
          </w:tcPr>
          <w:p w14:paraId="4F6652AF"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129</w:t>
            </w:r>
          </w:p>
        </w:tc>
        <w:tc>
          <w:tcPr>
            <w:tcW w:w="709" w:type="dxa"/>
            <w:tcBorders>
              <w:bottom w:val="single" w:sz="4" w:space="0" w:color="auto"/>
            </w:tcBorders>
            <w:shd w:val="clear" w:color="auto" w:fill="auto"/>
            <w:tcMar>
              <w:top w:w="57" w:type="dxa"/>
              <w:left w:w="0" w:type="dxa"/>
              <w:bottom w:w="57" w:type="dxa"/>
              <w:right w:w="0" w:type="dxa"/>
            </w:tcMar>
            <w:vAlign w:val="bottom"/>
          </w:tcPr>
          <w:p w14:paraId="237EE5E2"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301</w:t>
            </w:r>
          </w:p>
        </w:tc>
        <w:tc>
          <w:tcPr>
            <w:tcW w:w="709" w:type="dxa"/>
            <w:tcBorders>
              <w:bottom w:val="single" w:sz="4" w:space="0" w:color="auto"/>
            </w:tcBorders>
            <w:shd w:val="clear" w:color="auto" w:fill="auto"/>
            <w:tcMar>
              <w:top w:w="57" w:type="dxa"/>
              <w:left w:w="0" w:type="dxa"/>
              <w:bottom w:w="57" w:type="dxa"/>
              <w:right w:w="0" w:type="dxa"/>
            </w:tcMar>
            <w:vAlign w:val="bottom"/>
          </w:tcPr>
          <w:p w14:paraId="5645CE91" w14:textId="77777777" w:rsidR="000B0E9A" w:rsidRPr="00CA3F6E" w:rsidRDefault="000B0E9A" w:rsidP="00F87BEC">
            <w:pPr>
              <w:spacing w:line="240" w:lineRule="atLeast"/>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&gt;100</w:t>
            </w:r>
          </w:p>
        </w:tc>
        <w:tc>
          <w:tcPr>
            <w:tcW w:w="708" w:type="dxa"/>
            <w:tcBorders>
              <w:bottom w:val="single" w:sz="4" w:space="0" w:color="auto"/>
              <w:right w:val="single" w:sz="4" w:space="0" w:color="auto"/>
            </w:tcBorders>
            <w:shd w:val="clear" w:color="auto" w:fill="auto"/>
            <w:tcMar>
              <w:top w:w="57" w:type="dxa"/>
              <w:left w:w="0" w:type="dxa"/>
              <w:bottom w:w="57" w:type="dxa"/>
              <w:right w:w="0" w:type="dxa"/>
            </w:tcMar>
            <w:vAlign w:val="bottom"/>
          </w:tcPr>
          <w:p w14:paraId="4F1264BF" w14:textId="77777777" w:rsidR="000B0E9A" w:rsidRPr="00CA3F6E" w:rsidRDefault="000B0E9A" w:rsidP="003377FD">
            <w:pPr>
              <w:spacing w:line="240" w:lineRule="atLeast"/>
              <w:ind w:right="113"/>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&gt;100</w:t>
            </w:r>
          </w:p>
        </w:tc>
      </w:tr>
      <w:tr w:rsidR="0004453B" w:rsidRPr="00CA3F6E" w14:paraId="21574460" w14:textId="77777777" w:rsidTr="000D5B9E">
        <w:trPr>
          <w:trHeight w:val="60"/>
        </w:trPr>
        <w:tc>
          <w:tcPr>
            <w:tcW w:w="397" w:type="dxa"/>
            <w:shd w:val="clear" w:color="auto" w:fill="auto"/>
            <w:tcMar>
              <w:top w:w="57" w:type="dxa"/>
              <w:left w:w="0" w:type="dxa"/>
              <w:bottom w:w="57" w:type="dxa"/>
              <w:right w:w="0" w:type="dxa"/>
            </w:tcMar>
            <w:vAlign w:val="bottom"/>
          </w:tcPr>
          <w:p w14:paraId="653BC8EE" w14:textId="77777777" w:rsidR="000B0E9A" w:rsidRPr="00CA3F6E" w:rsidRDefault="000B0E9A" w:rsidP="009D23C7">
            <w:pPr>
              <w:spacing w:line="240" w:lineRule="atLeast"/>
              <w:rPr>
                <w:rFonts w:ascii="Tahoma" w:hAnsi="Tahoma"/>
                <w:color w:val="000000" w:themeColor="text1"/>
                <w:sz w:val="16"/>
                <w:lang w:val="en-GB"/>
              </w:rPr>
            </w:pPr>
          </w:p>
        </w:tc>
        <w:tc>
          <w:tcPr>
            <w:tcW w:w="3714" w:type="dxa"/>
            <w:shd w:val="clear" w:color="auto" w:fill="auto"/>
            <w:tcMar>
              <w:top w:w="57" w:type="dxa"/>
              <w:left w:w="0" w:type="dxa"/>
              <w:bottom w:w="57" w:type="dxa"/>
              <w:right w:w="0" w:type="dxa"/>
            </w:tcMar>
            <w:vAlign w:val="bottom"/>
          </w:tcPr>
          <w:p w14:paraId="41985091" w14:textId="77777777" w:rsidR="000B0E9A" w:rsidRPr="00CA3F6E" w:rsidRDefault="000B0E9A" w:rsidP="009D23C7">
            <w:pPr>
              <w:spacing w:line="240" w:lineRule="atLeast"/>
              <w:rPr>
                <w:rFonts w:ascii="Tahoma" w:hAnsi="Tahoma"/>
                <w:i/>
                <w:iCs/>
                <w:color w:val="000000" w:themeColor="text1"/>
                <w:sz w:val="16"/>
                <w:lang w:val="en-GB"/>
              </w:rPr>
            </w:pPr>
            <w:r w:rsidRPr="00CA3F6E">
              <w:rPr>
                <w:rFonts w:ascii="Tahoma" w:hAnsi="Tahoma"/>
                <w:i/>
                <w:iCs/>
                <w:color w:val="000000" w:themeColor="text1"/>
                <w:sz w:val="16"/>
                <w:lang w:val="en-GB"/>
              </w:rPr>
              <w:t>Social and Internet Platforms</w:t>
            </w:r>
          </w:p>
        </w:tc>
        <w:tc>
          <w:tcPr>
            <w:tcW w:w="567" w:type="dxa"/>
            <w:tcBorders>
              <w:top w:val="single" w:sz="4" w:space="0" w:color="auto"/>
              <w:bottom w:val="single" w:sz="4" w:space="0" w:color="auto"/>
            </w:tcBorders>
            <w:shd w:val="clear" w:color="auto" w:fill="auto"/>
            <w:tcMar>
              <w:top w:w="57" w:type="dxa"/>
              <w:left w:w="0" w:type="dxa"/>
              <w:bottom w:w="57" w:type="dxa"/>
              <w:right w:w="0" w:type="dxa"/>
            </w:tcMar>
            <w:vAlign w:val="bottom"/>
          </w:tcPr>
          <w:p w14:paraId="0B57990E"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12 463</w:t>
            </w:r>
          </w:p>
        </w:tc>
        <w:tc>
          <w:tcPr>
            <w:tcW w:w="851" w:type="dxa"/>
            <w:tcBorders>
              <w:top w:val="single" w:sz="4" w:space="0" w:color="auto"/>
              <w:bottom w:val="single" w:sz="4" w:space="0" w:color="auto"/>
            </w:tcBorders>
            <w:shd w:val="clear" w:color="auto" w:fill="auto"/>
            <w:tcMar>
              <w:top w:w="57" w:type="dxa"/>
              <w:left w:w="0" w:type="dxa"/>
              <w:bottom w:w="57" w:type="dxa"/>
              <w:right w:w="0" w:type="dxa"/>
            </w:tcMar>
            <w:vAlign w:val="bottom"/>
          </w:tcPr>
          <w:p w14:paraId="3A97616A"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(389)</w:t>
            </w:r>
          </w:p>
        </w:tc>
        <w:tc>
          <w:tcPr>
            <w:tcW w:w="992" w:type="dxa"/>
            <w:tcBorders>
              <w:top w:val="single" w:sz="4" w:space="0" w:color="auto"/>
              <w:bottom w:val="single" w:sz="4" w:space="0" w:color="auto"/>
            </w:tcBorders>
            <w:shd w:val="clear" w:color="auto" w:fill="auto"/>
            <w:tcMar>
              <w:top w:w="57" w:type="dxa"/>
              <w:left w:w="0" w:type="dxa"/>
              <w:bottom w:w="57" w:type="dxa"/>
              <w:right w:w="0" w:type="dxa"/>
            </w:tcMar>
            <w:vAlign w:val="bottom"/>
          </w:tcPr>
          <w:p w14:paraId="5C80E33E"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w:t>
            </w:r>
          </w:p>
        </w:tc>
        <w:tc>
          <w:tcPr>
            <w:tcW w:w="850" w:type="dxa"/>
            <w:tcBorders>
              <w:top w:val="single" w:sz="4" w:space="0" w:color="auto"/>
              <w:bottom w:val="single" w:sz="4" w:space="0" w:color="auto"/>
            </w:tcBorders>
            <w:shd w:val="clear" w:color="auto" w:fill="auto"/>
            <w:tcMar>
              <w:top w:w="57" w:type="dxa"/>
              <w:left w:w="0" w:type="dxa"/>
              <w:bottom w:w="57" w:type="dxa"/>
              <w:right w:w="0" w:type="dxa"/>
            </w:tcMar>
            <w:vAlign w:val="bottom"/>
          </w:tcPr>
          <w:p w14:paraId="579AA327"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(589)</w:t>
            </w:r>
          </w:p>
        </w:tc>
        <w:tc>
          <w:tcPr>
            <w:tcW w:w="709" w:type="dxa"/>
            <w:tcBorders>
              <w:top w:val="single" w:sz="4" w:space="0" w:color="auto"/>
              <w:bottom w:val="single" w:sz="4" w:space="0" w:color="auto"/>
            </w:tcBorders>
            <w:shd w:val="clear" w:color="auto" w:fill="auto"/>
            <w:tcMar>
              <w:top w:w="57" w:type="dxa"/>
              <w:left w:w="0" w:type="dxa"/>
              <w:bottom w:w="57" w:type="dxa"/>
              <w:right w:w="0" w:type="dxa"/>
            </w:tcMar>
            <w:vAlign w:val="bottom"/>
          </w:tcPr>
          <w:p w14:paraId="62720301"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(176)</w:t>
            </w:r>
          </w:p>
        </w:tc>
        <w:tc>
          <w:tcPr>
            <w:tcW w:w="709" w:type="dxa"/>
            <w:tcBorders>
              <w:top w:val="single" w:sz="4" w:space="0" w:color="auto"/>
              <w:bottom w:val="single" w:sz="4" w:space="0" w:color="auto"/>
            </w:tcBorders>
            <w:shd w:val="clear" w:color="auto" w:fill="auto"/>
            <w:tcMar>
              <w:top w:w="57" w:type="dxa"/>
              <w:left w:w="0" w:type="dxa"/>
              <w:bottom w:w="57" w:type="dxa"/>
              <w:right w:w="0" w:type="dxa"/>
            </w:tcMar>
            <w:vAlign w:val="bottom"/>
          </w:tcPr>
          <w:p w14:paraId="4AEA3686"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11 309</w:t>
            </w:r>
          </w:p>
        </w:tc>
        <w:tc>
          <w:tcPr>
            <w:tcW w:w="709" w:type="dxa"/>
            <w:tcBorders>
              <w:top w:val="single" w:sz="4" w:space="0" w:color="auto"/>
              <w:bottom w:val="single" w:sz="4" w:space="0" w:color="auto"/>
            </w:tcBorders>
            <w:shd w:val="clear" w:color="auto" w:fill="auto"/>
            <w:tcMar>
              <w:top w:w="57" w:type="dxa"/>
              <w:left w:w="0" w:type="dxa"/>
              <w:bottom w:w="57" w:type="dxa"/>
              <w:right w:w="0" w:type="dxa"/>
            </w:tcMar>
            <w:vAlign w:val="bottom"/>
          </w:tcPr>
          <w:p w14:paraId="163A8182" w14:textId="77777777" w:rsidR="000B0E9A" w:rsidRPr="00CA3F6E" w:rsidRDefault="000B0E9A" w:rsidP="00F87BEC">
            <w:pPr>
              <w:spacing w:line="240" w:lineRule="atLeast"/>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(1)</w:t>
            </w:r>
          </w:p>
        </w:tc>
        <w:tc>
          <w:tcPr>
            <w:tcW w:w="708" w:type="dxa"/>
            <w:tcBorders>
              <w:top w:val="single" w:sz="4" w:space="0" w:color="auto"/>
              <w:bottom w:val="single" w:sz="4" w:space="0" w:color="auto"/>
            </w:tcBorders>
            <w:shd w:val="clear" w:color="auto" w:fill="auto"/>
            <w:tcMar>
              <w:top w:w="57" w:type="dxa"/>
              <w:left w:w="0" w:type="dxa"/>
              <w:bottom w:w="57" w:type="dxa"/>
              <w:right w:w="0" w:type="dxa"/>
            </w:tcMar>
            <w:vAlign w:val="bottom"/>
          </w:tcPr>
          <w:p w14:paraId="5D870EFF" w14:textId="77777777" w:rsidR="000B0E9A" w:rsidRPr="00CA3F6E" w:rsidRDefault="000B0E9A" w:rsidP="003377FD">
            <w:pPr>
              <w:spacing w:line="240" w:lineRule="atLeast"/>
              <w:ind w:right="113"/>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(9)</w:t>
            </w:r>
          </w:p>
        </w:tc>
      </w:tr>
      <w:tr w:rsidR="0004453B" w:rsidRPr="00CA3F6E" w14:paraId="70B04E92" w14:textId="77777777" w:rsidTr="000D5B9E">
        <w:trPr>
          <w:trHeight w:val="60"/>
        </w:trPr>
        <w:tc>
          <w:tcPr>
            <w:tcW w:w="397" w:type="dxa"/>
            <w:shd w:val="clear" w:color="auto" w:fill="auto"/>
            <w:tcMar>
              <w:top w:w="57" w:type="dxa"/>
              <w:left w:w="0" w:type="dxa"/>
              <w:bottom w:w="57" w:type="dxa"/>
              <w:right w:w="0" w:type="dxa"/>
            </w:tcMar>
            <w:vAlign w:val="bottom"/>
          </w:tcPr>
          <w:p w14:paraId="2BE6D465" w14:textId="77777777" w:rsidR="000B0E9A" w:rsidRPr="00CA3F6E" w:rsidRDefault="000B0E9A" w:rsidP="009D23C7">
            <w:pPr>
              <w:spacing w:line="240" w:lineRule="atLeast"/>
              <w:rPr>
                <w:rFonts w:ascii="Tahoma" w:hAnsi="Tahoma"/>
                <w:color w:val="000000" w:themeColor="text1"/>
                <w:sz w:val="16"/>
                <w:lang w:val="en-GB"/>
              </w:rPr>
            </w:pPr>
          </w:p>
        </w:tc>
        <w:tc>
          <w:tcPr>
            <w:tcW w:w="3714" w:type="dxa"/>
            <w:tcBorders>
              <w:right w:val="single" w:sz="4" w:space="0" w:color="auto"/>
            </w:tcBorders>
            <w:shd w:val="clear" w:color="auto" w:fill="auto"/>
            <w:tcMar>
              <w:top w:w="57" w:type="dxa"/>
              <w:left w:w="113" w:type="dxa"/>
              <w:bottom w:w="57" w:type="dxa"/>
              <w:right w:w="0" w:type="dxa"/>
            </w:tcMar>
            <w:vAlign w:val="bottom"/>
          </w:tcPr>
          <w:p w14:paraId="516EDF09" w14:textId="77777777" w:rsidR="000B0E9A" w:rsidRPr="00CA3F6E" w:rsidRDefault="000B0E9A"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Tencent</w:t>
            </w:r>
          </w:p>
        </w:tc>
        <w:tc>
          <w:tcPr>
            <w:tcW w:w="567" w:type="dxa"/>
            <w:tcBorders>
              <w:top w:val="single" w:sz="4" w:space="0" w:color="auto"/>
              <w:left w:val="single" w:sz="4" w:space="0" w:color="auto"/>
            </w:tcBorders>
            <w:shd w:val="clear" w:color="auto" w:fill="auto"/>
            <w:tcMar>
              <w:top w:w="57" w:type="dxa"/>
              <w:left w:w="0" w:type="dxa"/>
              <w:bottom w:w="57" w:type="dxa"/>
              <w:right w:w="0" w:type="dxa"/>
            </w:tcMar>
            <w:vAlign w:val="bottom"/>
          </w:tcPr>
          <w:p w14:paraId="256F4CE4"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12 250</w:t>
            </w:r>
          </w:p>
        </w:tc>
        <w:tc>
          <w:tcPr>
            <w:tcW w:w="851" w:type="dxa"/>
            <w:tcBorders>
              <w:top w:val="single" w:sz="4" w:space="0" w:color="auto"/>
            </w:tcBorders>
            <w:shd w:val="clear" w:color="auto" w:fill="auto"/>
            <w:tcMar>
              <w:top w:w="57" w:type="dxa"/>
              <w:left w:w="0" w:type="dxa"/>
              <w:bottom w:w="57" w:type="dxa"/>
              <w:right w:w="0" w:type="dxa"/>
            </w:tcMar>
            <w:vAlign w:val="bottom"/>
          </w:tcPr>
          <w:p w14:paraId="39E57A88"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(176)</w:t>
            </w:r>
          </w:p>
        </w:tc>
        <w:tc>
          <w:tcPr>
            <w:tcW w:w="992" w:type="dxa"/>
            <w:tcBorders>
              <w:top w:val="single" w:sz="4" w:space="0" w:color="auto"/>
            </w:tcBorders>
            <w:shd w:val="clear" w:color="auto" w:fill="auto"/>
            <w:tcMar>
              <w:top w:w="57" w:type="dxa"/>
              <w:left w:w="0" w:type="dxa"/>
              <w:bottom w:w="57" w:type="dxa"/>
              <w:right w:w="0" w:type="dxa"/>
            </w:tcMar>
            <w:vAlign w:val="bottom"/>
          </w:tcPr>
          <w:p w14:paraId="339A739F"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 xml:space="preserve">— </w:t>
            </w:r>
          </w:p>
        </w:tc>
        <w:tc>
          <w:tcPr>
            <w:tcW w:w="850" w:type="dxa"/>
            <w:tcBorders>
              <w:top w:val="single" w:sz="4" w:space="0" w:color="auto"/>
            </w:tcBorders>
            <w:shd w:val="clear" w:color="auto" w:fill="auto"/>
            <w:tcMar>
              <w:top w:w="57" w:type="dxa"/>
              <w:left w:w="0" w:type="dxa"/>
              <w:bottom w:w="57" w:type="dxa"/>
              <w:right w:w="0" w:type="dxa"/>
            </w:tcMar>
            <w:vAlign w:val="bottom"/>
          </w:tcPr>
          <w:p w14:paraId="475267CA"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(589)</w:t>
            </w:r>
          </w:p>
        </w:tc>
        <w:tc>
          <w:tcPr>
            <w:tcW w:w="709" w:type="dxa"/>
            <w:tcBorders>
              <w:top w:val="single" w:sz="4" w:space="0" w:color="auto"/>
            </w:tcBorders>
            <w:shd w:val="clear" w:color="auto" w:fill="auto"/>
            <w:tcMar>
              <w:top w:w="57" w:type="dxa"/>
              <w:left w:w="0" w:type="dxa"/>
              <w:bottom w:w="57" w:type="dxa"/>
              <w:right w:w="0" w:type="dxa"/>
            </w:tcMar>
            <w:vAlign w:val="bottom"/>
          </w:tcPr>
          <w:p w14:paraId="3F647FBB"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(176)</w:t>
            </w:r>
          </w:p>
        </w:tc>
        <w:tc>
          <w:tcPr>
            <w:tcW w:w="709" w:type="dxa"/>
            <w:tcBorders>
              <w:top w:val="single" w:sz="4" w:space="0" w:color="auto"/>
            </w:tcBorders>
            <w:shd w:val="clear" w:color="auto" w:fill="auto"/>
            <w:tcMar>
              <w:top w:w="57" w:type="dxa"/>
              <w:left w:w="0" w:type="dxa"/>
              <w:bottom w:w="57" w:type="dxa"/>
              <w:right w:w="0" w:type="dxa"/>
            </w:tcMar>
            <w:vAlign w:val="bottom"/>
          </w:tcPr>
          <w:p w14:paraId="0D85107D"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11 309</w:t>
            </w:r>
          </w:p>
        </w:tc>
        <w:tc>
          <w:tcPr>
            <w:tcW w:w="709" w:type="dxa"/>
            <w:tcBorders>
              <w:top w:val="single" w:sz="4" w:space="0" w:color="auto"/>
            </w:tcBorders>
            <w:shd w:val="clear" w:color="auto" w:fill="auto"/>
            <w:tcMar>
              <w:top w:w="57" w:type="dxa"/>
              <w:left w:w="0" w:type="dxa"/>
              <w:bottom w:w="57" w:type="dxa"/>
              <w:right w:w="0" w:type="dxa"/>
            </w:tcMar>
            <w:vAlign w:val="bottom"/>
          </w:tcPr>
          <w:p w14:paraId="44D63FEF" w14:textId="77777777" w:rsidR="000B0E9A" w:rsidRPr="00CA3F6E" w:rsidRDefault="000B0E9A" w:rsidP="00F87BEC">
            <w:pPr>
              <w:spacing w:line="240" w:lineRule="atLeast"/>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(1)</w:t>
            </w:r>
          </w:p>
        </w:tc>
        <w:tc>
          <w:tcPr>
            <w:tcW w:w="708" w:type="dxa"/>
            <w:tcBorders>
              <w:top w:val="single" w:sz="4" w:space="0" w:color="auto"/>
              <w:right w:val="single" w:sz="4" w:space="0" w:color="auto"/>
            </w:tcBorders>
            <w:shd w:val="clear" w:color="auto" w:fill="auto"/>
            <w:tcMar>
              <w:top w:w="57" w:type="dxa"/>
              <w:left w:w="0" w:type="dxa"/>
              <w:bottom w:w="57" w:type="dxa"/>
              <w:right w:w="0" w:type="dxa"/>
            </w:tcMar>
            <w:vAlign w:val="bottom"/>
          </w:tcPr>
          <w:p w14:paraId="6A5F9A53" w14:textId="77777777" w:rsidR="000B0E9A" w:rsidRPr="00CA3F6E" w:rsidRDefault="000B0E9A" w:rsidP="003377FD">
            <w:pPr>
              <w:spacing w:line="240" w:lineRule="atLeast"/>
              <w:ind w:right="113"/>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(8)</w:t>
            </w:r>
          </w:p>
        </w:tc>
      </w:tr>
      <w:tr w:rsidR="0004453B" w:rsidRPr="00CA3F6E" w14:paraId="07059C70" w14:textId="77777777" w:rsidTr="000D5B9E">
        <w:trPr>
          <w:trHeight w:val="60"/>
        </w:trPr>
        <w:tc>
          <w:tcPr>
            <w:tcW w:w="397" w:type="dxa"/>
            <w:shd w:val="clear" w:color="auto" w:fill="auto"/>
            <w:tcMar>
              <w:top w:w="57" w:type="dxa"/>
              <w:left w:w="0" w:type="dxa"/>
              <w:bottom w:w="57" w:type="dxa"/>
              <w:right w:w="0" w:type="dxa"/>
            </w:tcMar>
            <w:vAlign w:val="bottom"/>
          </w:tcPr>
          <w:p w14:paraId="36C330E0" w14:textId="77777777" w:rsidR="000B0E9A" w:rsidRPr="00CA3F6E" w:rsidRDefault="000B0E9A" w:rsidP="009D23C7">
            <w:pPr>
              <w:spacing w:line="240" w:lineRule="atLeast"/>
              <w:rPr>
                <w:rFonts w:ascii="Tahoma" w:hAnsi="Tahoma"/>
                <w:color w:val="000000" w:themeColor="text1"/>
                <w:sz w:val="16"/>
                <w:lang w:val="en-GB"/>
              </w:rPr>
            </w:pPr>
          </w:p>
        </w:tc>
        <w:tc>
          <w:tcPr>
            <w:tcW w:w="3714" w:type="dxa"/>
            <w:tcBorders>
              <w:right w:val="single" w:sz="4" w:space="0" w:color="auto"/>
            </w:tcBorders>
            <w:shd w:val="clear" w:color="auto" w:fill="auto"/>
            <w:tcMar>
              <w:top w:w="57" w:type="dxa"/>
              <w:left w:w="113" w:type="dxa"/>
              <w:bottom w:w="57" w:type="dxa"/>
              <w:right w:w="0" w:type="dxa"/>
            </w:tcMar>
            <w:vAlign w:val="bottom"/>
          </w:tcPr>
          <w:p w14:paraId="7936C256" w14:textId="77777777" w:rsidR="000B0E9A" w:rsidRPr="00CA3F6E" w:rsidRDefault="000B0E9A"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VK</w:t>
            </w:r>
          </w:p>
        </w:tc>
        <w:tc>
          <w:tcPr>
            <w:tcW w:w="567" w:type="dxa"/>
            <w:tcBorders>
              <w:left w:val="single" w:sz="4" w:space="0" w:color="auto"/>
              <w:bottom w:val="single" w:sz="4" w:space="0" w:color="auto"/>
            </w:tcBorders>
            <w:shd w:val="clear" w:color="auto" w:fill="auto"/>
            <w:tcMar>
              <w:top w:w="57" w:type="dxa"/>
              <w:left w:w="0" w:type="dxa"/>
              <w:bottom w:w="57" w:type="dxa"/>
              <w:right w:w="0" w:type="dxa"/>
            </w:tcMar>
            <w:vAlign w:val="bottom"/>
          </w:tcPr>
          <w:p w14:paraId="44CA4997"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213</w:t>
            </w:r>
          </w:p>
        </w:tc>
        <w:tc>
          <w:tcPr>
            <w:tcW w:w="851" w:type="dxa"/>
            <w:tcBorders>
              <w:bottom w:val="single" w:sz="4" w:space="0" w:color="auto"/>
            </w:tcBorders>
            <w:shd w:val="clear" w:color="auto" w:fill="auto"/>
            <w:tcMar>
              <w:top w:w="57" w:type="dxa"/>
              <w:left w:w="0" w:type="dxa"/>
              <w:bottom w:w="57" w:type="dxa"/>
              <w:right w:w="0" w:type="dxa"/>
            </w:tcMar>
            <w:vAlign w:val="bottom"/>
          </w:tcPr>
          <w:p w14:paraId="1F75F282"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(213)</w:t>
            </w:r>
          </w:p>
        </w:tc>
        <w:tc>
          <w:tcPr>
            <w:tcW w:w="992" w:type="dxa"/>
            <w:tcBorders>
              <w:bottom w:val="single" w:sz="4" w:space="0" w:color="auto"/>
            </w:tcBorders>
            <w:shd w:val="clear" w:color="auto" w:fill="auto"/>
            <w:tcMar>
              <w:top w:w="57" w:type="dxa"/>
              <w:left w:w="0" w:type="dxa"/>
              <w:bottom w:w="57" w:type="dxa"/>
              <w:right w:w="0" w:type="dxa"/>
            </w:tcMar>
            <w:vAlign w:val="bottom"/>
          </w:tcPr>
          <w:p w14:paraId="0AE5381A"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w:t>
            </w:r>
          </w:p>
        </w:tc>
        <w:tc>
          <w:tcPr>
            <w:tcW w:w="850" w:type="dxa"/>
            <w:tcBorders>
              <w:bottom w:val="single" w:sz="4" w:space="0" w:color="auto"/>
            </w:tcBorders>
            <w:shd w:val="clear" w:color="auto" w:fill="auto"/>
            <w:tcMar>
              <w:top w:w="57" w:type="dxa"/>
              <w:left w:w="0" w:type="dxa"/>
              <w:bottom w:w="57" w:type="dxa"/>
              <w:right w:w="0" w:type="dxa"/>
            </w:tcMar>
            <w:vAlign w:val="bottom"/>
          </w:tcPr>
          <w:p w14:paraId="16A5ECE1"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w:t>
            </w:r>
          </w:p>
        </w:tc>
        <w:tc>
          <w:tcPr>
            <w:tcW w:w="709" w:type="dxa"/>
            <w:tcBorders>
              <w:bottom w:val="single" w:sz="4" w:space="0" w:color="auto"/>
            </w:tcBorders>
            <w:shd w:val="clear" w:color="auto" w:fill="auto"/>
            <w:tcMar>
              <w:top w:w="57" w:type="dxa"/>
              <w:left w:w="0" w:type="dxa"/>
              <w:bottom w:w="57" w:type="dxa"/>
              <w:right w:w="0" w:type="dxa"/>
            </w:tcMar>
            <w:vAlign w:val="bottom"/>
          </w:tcPr>
          <w:p w14:paraId="767D2663"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w:t>
            </w:r>
          </w:p>
        </w:tc>
        <w:tc>
          <w:tcPr>
            <w:tcW w:w="709" w:type="dxa"/>
            <w:tcBorders>
              <w:bottom w:val="single" w:sz="4" w:space="0" w:color="auto"/>
            </w:tcBorders>
            <w:shd w:val="clear" w:color="auto" w:fill="auto"/>
            <w:tcMar>
              <w:top w:w="57" w:type="dxa"/>
              <w:left w:w="0" w:type="dxa"/>
              <w:bottom w:w="57" w:type="dxa"/>
              <w:right w:w="0" w:type="dxa"/>
            </w:tcMar>
            <w:vAlign w:val="bottom"/>
          </w:tcPr>
          <w:p w14:paraId="3A369C13"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w:t>
            </w:r>
          </w:p>
        </w:tc>
        <w:tc>
          <w:tcPr>
            <w:tcW w:w="709" w:type="dxa"/>
            <w:tcBorders>
              <w:bottom w:val="single" w:sz="4" w:space="0" w:color="auto"/>
            </w:tcBorders>
            <w:shd w:val="clear" w:color="auto" w:fill="auto"/>
            <w:tcMar>
              <w:top w:w="57" w:type="dxa"/>
              <w:left w:w="0" w:type="dxa"/>
              <w:bottom w:w="57" w:type="dxa"/>
              <w:right w:w="0" w:type="dxa"/>
            </w:tcMar>
            <w:vAlign w:val="bottom"/>
          </w:tcPr>
          <w:p w14:paraId="5C0E6555" w14:textId="77777777" w:rsidR="000B0E9A" w:rsidRPr="00CA3F6E" w:rsidRDefault="000B0E9A" w:rsidP="00F87BEC">
            <w:pPr>
              <w:spacing w:line="240" w:lineRule="atLeast"/>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w:t>
            </w:r>
          </w:p>
        </w:tc>
        <w:tc>
          <w:tcPr>
            <w:tcW w:w="708" w:type="dxa"/>
            <w:tcBorders>
              <w:bottom w:val="single" w:sz="4" w:space="0" w:color="auto"/>
              <w:right w:val="single" w:sz="4" w:space="0" w:color="auto"/>
            </w:tcBorders>
            <w:shd w:val="clear" w:color="auto" w:fill="auto"/>
            <w:tcMar>
              <w:top w:w="57" w:type="dxa"/>
              <w:left w:w="0" w:type="dxa"/>
              <w:bottom w:w="57" w:type="dxa"/>
              <w:right w:w="0" w:type="dxa"/>
            </w:tcMar>
            <w:vAlign w:val="bottom"/>
          </w:tcPr>
          <w:p w14:paraId="2F526551" w14:textId="77777777" w:rsidR="000B0E9A" w:rsidRPr="00CA3F6E" w:rsidRDefault="000B0E9A" w:rsidP="003377FD">
            <w:pPr>
              <w:spacing w:line="240" w:lineRule="atLeast"/>
              <w:ind w:right="113"/>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(100)</w:t>
            </w:r>
          </w:p>
        </w:tc>
      </w:tr>
      <w:tr w:rsidR="0004453B" w:rsidRPr="00CA3F6E" w14:paraId="768C6F65" w14:textId="77777777" w:rsidTr="008D2B2D">
        <w:trPr>
          <w:trHeight w:val="60"/>
        </w:trPr>
        <w:tc>
          <w:tcPr>
            <w:tcW w:w="397" w:type="dxa"/>
            <w:shd w:val="clear" w:color="auto" w:fill="auto"/>
            <w:tcMar>
              <w:top w:w="57" w:type="dxa"/>
              <w:left w:w="0" w:type="dxa"/>
              <w:bottom w:w="85" w:type="dxa"/>
              <w:right w:w="0" w:type="dxa"/>
            </w:tcMar>
            <w:vAlign w:val="bottom"/>
          </w:tcPr>
          <w:p w14:paraId="7D4F1727" w14:textId="77777777" w:rsidR="000B0E9A" w:rsidRPr="00CA3F6E" w:rsidRDefault="000B0E9A" w:rsidP="009D23C7">
            <w:pPr>
              <w:spacing w:line="240" w:lineRule="atLeast"/>
              <w:rPr>
                <w:rFonts w:ascii="Tahoma" w:hAnsi="Tahoma"/>
                <w:color w:val="000000" w:themeColor="text1"/>
                <w:sz w:val="16"/>
                <w:lang w:val="en-GB"/>
              </w:rPr>
            </w:pPr>
          </w:p>
        </w:tc>
        <w:tc>
          <w:tcPr>
            <w:tcW w:w="3714" w:type="dxa"/>
            <w:tcBorders>
              <w:bottom w:val="single" w:sz="4" w:space="0" w:color="auto"/>
            </w:tcBorders>
            <w:shd w:val="clear" w:color="auto" w:fill="auto"/>
            <w:tcMar>
              <w:top w:w="57" w:type="dxa"/>
              <w:left w:w="0" w:type="dxa"/>
              <w:bottom w:w="85" w:type="dxa"/>
              <w:right w:w="0" w:type="dxa"/>
            </w:tcMar>
            <w:vAlign w:val="bottom"/>
          </w:tcPr>
          <w:p w14:paraId="5E382249" w14:textId="77777777" w:rsidR="000B0E9A" w:rsidRPr="00CA3F6E" w:rsidRDefault="000B0E9A" w:rsidP="009D23C7">
            <w:pPr>
              <w:spacing w:line="240" w:lineRule="atLeast"/>
              <w:rPr>
                <w:rFonts w:ascii="Tahoma" w:hAnsi="Tahoma"/>
                <w:i/>
                <w:iCs/>
                <w:color w:val="000000" w:themeColor="text1"/>
                <w:sz w:val="16"/>
                <w:lang w:val="en-GB"/>
              </w:rPr>
            </w:pPr>
            <w:r w:rsidRPr="00CA3F6E">
              <w:rPr>
                <w:rFonts w:ascii="Tahoma" w:hAnsi="Tahoma"/>
                <w:i/>
                <w:iCs/>
                <w:color w:val="000000" w:themeColor="text1"/>
                <w:sz w:val="16"/>
                <w:lang w:val="en-GB"/>
              </w:rPr>
              <w:t>Corporate segment</w:t>
            </w:r>
          </w:p>
        </w:tc>
        <w:tc>
          <w:tcPr>
            <w:tcW w:w="567" w:type="dxa"/>
            <w:tcBorders>
              <w:top w:val="single" w:sz="4" w:space="0" w:color="auto"/>
              <w:bottom w:val="single" w:sz="4" w:space="0" w:color="auto"/>
            </w:tcBorders>
            <w:shd w:val="clear" w:color="auto" w:fill="auto"/>
            <w:tcMar>
              <w:top w:w="57" w:type="dxa"/>
              <w:left w:w="0" w:type="dxa"/>
              <w:bottom w:w="85" w:type="dxa"/>
              <w:right w:w="0" w:type="dxa"/>
            </w:tcMar>
            <w:vAlign w:val="bottom"/>
          </w:tcPr>
          <w:p w14:paraId="2A8832BF"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w:t>
            </w:r>
          </w:p>
        </w:tc>
        <w:tc>
          <w:tcPr>
            <w:tcW w:w="851" w:type="dxa"/>
            <w:tcBorders>
              <w:top w:val="single" w:sz="4" w:space="0" w:color="auto"/>
              <w:bottom w:val="single" w:sz="4" w:space="0" w:color="auto"/>
            </w:tcBorders>
            <w:shd w:val="clear" w:color="auto" w:fill="auto"/>
            <w:tcMar>
              <w:top w:w="57" w:type="dxa"/>
              <w:left w:w="0" w:type="dxa"/>
              <w:bottom w:w="85" w:type="dxa"/>
              <w:right w:w="0" w:type="dxa"/>
            </w:tcMar>
            <w:vAlign w:val="bottom"/>
          </w:tcPr>
          <w:p w14:paraId="460F9643"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w:t>
            </w:r>
          </w:p>
        </w:tc>
        <w:tc>
          <w:tcPr>
            <w:tcW w:w="992" w:type="dxa"/>
            <w:tcBorders>
              <w:top w:val="single" w:sz="4" w:space="0" w:color="auto"/>
              <w:bottom w:val="single" w:sz="4" w:space="0" w:color="auto"/>
            </w:tcBorders>
            <w:shd w:val="clear" w:color="auto" w:fill="auto"/>
            <w:tcMar>
              <w:top w:w="57" w:type="dxa"/>
              <w:left w:w="0" w:type="dxa"/>
              <w:bottom w:w="85" w:type="dxa"/>
              <w:right w:w="0" w:type="dxa"/>
            </w:tcMar>
            <w:vAlign w:val="bottom"/>
          </w:tcPr>
          <w:p w14:paraId="5F04701D"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w:t>
            </w:r>
          </w:p>
        </w:tc>
        <w:tc>
          <w:tcPr>
            <w:tcW w:w="850" w:type="dxa"/>
            <w:tcBorders>
              <w:top w:val="single" w:sz="4" w:space="0" w:color="auto"/>
              <w:bottom w:val="single" w:sz="4" w:space="0" w:color="auto"/>
            </w:tcBorders>
            <w:shd w:val="clear" w:color="auto" w:fill="auto"/>
            <w:tcMar>
              <w:top w:w="57" w:type="dxa"/>
              <w:left w:w="0" w:type="dxa"/>
              <w:bottom w:w="85" w:type="dxa"/>
              <w:right w:w="0" w:type="dxa"/>
            </w:tcMar>
            <w:vAlign w:val="bottom"/>
          </w:tcPr>
          <w:p w14:paraId="484DF854"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w:t>
            </w:r>
          </w:p>
        </w:tc>
        <w:tc>
          <w:tcPr>
            <w:tcW w:w="709" w:type="dxa"/>
            <w:tcBorders>
              <w:top w:val="single" w:sz="4" w:space="0" w:color="auto"/>
              <w:bottom w:val="single" w:sz="4" w:space="0" w:color="auto"/>
            </w:tcBorders>
            <w:shd w:val="clear" w:color="auto" w:fill="auto"/>
            <w:tcMar>
              <w:top w:w="57" w:type="dxa"/>
              <w:left w:w="0" w:type="dxa"/>
              <w:bottom w:w="85" w:type="dxa"/>
              <w:right w:w="0" w:type="dxa"/>
            </w:tcMar>
            <w:vAlign w:val="bottom"/>
          </w:tcPr>
          <w:p w14:paraId="723C88A7"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w:t>
            </w:r>
          </w:p>
        </w:tc>
        <w:tc>
          <w:tcPr>
            <w:tcW w:w="709" w:type="dxa"/>
            <w:tcBorders>
              <w:top w:val="single" w:sz="4" w:space="0" w:color="auto"/>
              <w:bottom w:val="single" w:sz="4" w:space="0" w:color="auto"/>
            </w:tcBorders>
            <w:shd w:val="clear" w:color="auto" w:fill="auto"/>
            <w:tcMar>
              <w:top w:w="57" w:type="dxa"/>
              <w:left w:w="0" w:type="dxa"/>
              <w:bottom w:w="85" w:type="dxa"/>
              <w:right w:w="0" w:type="dxa"/>
            </w:tcMar>
            <w:vAlign w:val="bottom"/>
          </w:tcPr>
          <w:p w14:paraId="17535C37"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w:t>
            </w:r>
          </w:p>
        </w:tc>
        <w:tc>
          <w:tcPr>
            <w:tcW w:w="709" w:type="dxa"/>
            <w:tcBorders>
              <w:top w:val="single" w:sz="4" w:space="0" w:color="auto"/>
              <w:bottom w:val="single" w:sz="4" w:space="0" w:color="auto"/>
            </w:tcBorders>
            <w:shd w:val="clear" w:color="auto" w:fill="auto"/>
            <w:tcMar>
              <w:top w:w="57" w:type="dxa"/>
              <w:left w:w="0" w:type="dxa"/>
              <w:bottom w:w="85" w:type="dxa"/>
              <w:right w:w="0" w:type="dxa"/>
            </w:tcMar>
            <w:vAlign w:val="bottom"/>
          </w:tcPr>
          <w:p w14:paraId="74057308" w14:textId="77777777" w:rsidR="000B0E9A" w:rsidRPr="00CA3F6E" w:rsidRDefault="000B0E9A" w:rsidP="00F87BEC">
            <w:pPr>
              <w:spacing w:line="240" w:lineRule="atLeast"/>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w:t>
            </w:r>
          </w:p>
        </w:tc>
        <w:tc>
          <w:tcPr>
            <w:tcW w:w="708" w:type="dxa"/>
            <w:tcBorders>
              <w:top w:val="single" w:sz="4" w:space="0" w:color="auto"/>
              <w:bottom w:val="single" w:sz="4" w:space="0" w:color="auto"/>
            </w:tcBorders>
            <w:shd w:val="clear" w:color="auto" w:fill="auto"/>
            <w:tcMar>
              <w:top w:w="57" w:type="dxa"/>
              <w:left w:w="0" w:type="dxa"/>
              <w:bottom w:w="85" w:type="dxa"/>
              <w:right w:w="0" w:type="dxa"/>
            </w:tcMar>
            <w:vAlign w:val="bottom"/>
          </w:tcPr>
          <w:p w14:paraId="101AFDEF" w14:textId="77777777" w:rsidR="000B0E9A" w:rsidRPr="00CA3F6E" w:rsidRDefault="000B0E9A" w:rsidP="003377FD">
            <w:pPr>
              <w:spacing w:line="240" w:lineRule="atLeast"/>
              <w:ind w:right="113"/>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w:t>
            </w:r>
          </w:p>
        </w:tc>
      </w:tr>
      <w:tr w:rsidR="0004453B" w:rsidRPr="00CA3F6E" w14:paraId="7EDD927D" w14:textId="77777777" w:rsidTr="00B55BB2">
        <w:trPr>
          <w:trHeight w:val="60"/>
        </w:trPr>
        <w:tc>
          <w:tcPr>
            <w:tcW w:w="397" w:type="dxa"/>
            <w:shd w:val="clear" w:color="auto" w:fill="auto"/>
            <w:tcMar>
              <w:top w:w="85" w:type="dxa"/>
              <w:left w:w="0" w:type="dxa"/>
              <w:bottom w:w="85" w:type="dxa"/>
              <w:right w:w="0" w:type="dxa"/>
            </w:tcMar>
            <w:vAlign w:val="bottom"/>
          </w:tcPr>
          <w:p w14:paraId="049A7107" w14:textId="77777777" w:rsidR="000B0E9A" w:rsidRPr="00CA3F6E" w:rsidRDefault="000B0E9A" w:rsidP="009D23C7">
            <w:pPr>
              <w:spacing w:line="240" w:lineRule="atLeast"/>
              <w:rPr>
                <w:rFonts w:ascii="Tahoma" w:hAnsi="Tahoma"/>
                <w:color w:val="000000" w:themeColor="text1"/>
                <w:sz w:val="16"/>
                <w:lang w:val="en-GB"/>
              </w:rPr>
            </w:pPr>
          </w:p>
        </w:tc>
        <w:tc>
          <w:tcPr>
            <w:tcW w:w="3714" w:type="dxa"/>
            <w:tcBorders>
              <w:top w:val="single" w:sz="4" w:space="0" w:color="auto"/>
              <w:bottom w:val="single" w:sz="4" w:space="0" w:color="auto"/>
            </w:tcBorders>
            <w:shd w:val="clear" w:color="auto" w:fill="auto"/>
            <w:tcMar>
              <w:top w:w="85" w:type="dxa"/>
              <w:left w:w="0" w:type="dxa"/>
              <w:bottom w:w="85" w:type="dxa"/>
              <w:right w:w="0" w:type="dxa"/>
            </w:tcMar>
            <w:vAlign w:val="bottom"/>
          </w:tcPr>
          <w:p w14:paraId="33EECC6C" w14:textId="77777777" w:rsidR="000B0E9A" w:rsidRPr="00CA3F6E" w:rsidRDefault="000B0E9A" w:rsidP="009D23C7">
            <w:pPr>
              <w:spacing w:line="240" w:lineRule="atLeast"/>
              <w:rPr>
                <w:rFonts w:ascii="Tahoma" w:hAnsi="Tahoma"/>
                <w:b/>
                <w:bCs/>
                <w:color w:val="000000" w:themeColor="text1"/>
                <w:sz w:val="16"/>
                <w:lang w:val="en-GB"/>
              </w:rPr>
            </w:pPr>
            <w:r w:rsidRPr="00CA3F6E">
              <w:rPr>
                <w:rFonts w:ascii="Tahoma" w:hAnsi="Tahoma"/>
                <w:b/>
                <w:bCs/>
                <w:color w:val="000000" w:themeColor="text1"/>
                <w:sz w:val="16"/>
                <w:lang w:val="en-GB"/>
              </w:rPr>
              <w:t>Economic interest from continuing operations</w:t>
            </w:r>
          </w:p>
        </w:tc>
        <w:tc>
          <w:tcPr>
            <w:tcW w:w="567" w:type="dxa"/>
            <w:tcBorders>
              <w:top w:val="single" w:sz="4" w:space="0" w:color="auto"/>
              <w:bottom w:val="single" w:sz="4" w:space="0" w:color="auto"/>
            </w:tcBorders>
            <w:shd w:val="clear" w:color="auto" w:fill="auto"/>
            <w:tcMar>
              <w:top w:w="85" w:type="dxa"/>
              <w:left w:w="0" w:type="dxa"/>
              <w:bottom w:w="85" w:type="dxa"/>
              <w:right w:w="0" w:type="dxa"/>
            </w:tcMar>
            <w:vAlign w:val="bottom"/>
          </w:tcPr>
          <w:p w14:paraId="6B250B85"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16 321</w:t>
            </w:r>
          </w:p>
        </w:tc>
        <w:tc>
          <w:tcPr>
            <w:tcW w:w="851" w:type="dxa"/>
            <w:tcBorders>
              <w:top w:val="single" w:sz="4" w:space="0" w:color="auto"/>
              <w:bottom w:val="single" w:sz="4" w:space="0" w:color="auto"/>
            </w:tcBorders>
            <w:shd w:val="clear" w:color="auto" w:fill="auto"/>
            <w:tcMar>
              <w:top w:w="85" w:type="dxa"/>
              <w:left w:w="0" w:type="dxa"/>
              <w:bottom w:w="85" w:type="dxa"/>
              <w:right w:w="0" w:type="dxa"/>
            </w:tcMar>
            <w:vAlign w:val="bottom"/>
          </w:tcPr>
          <w:p w14:paraId="0737E7AE"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(428)</w:t>
            </w:r>
          </w:p>
        </w:tc>
        <w:tc>
          <w:tcPr>
            <w:tcW w:w="992" w:type="dxa"/>
            <w:tcBorders>
              <w:top w:val="single" w:sz="4" w:space="0" w:color="auto"/>
              <w:bottom w:val="single" w:sz="4" w:space="0" w:color="auto"/>
            </w:tcBorders>
            <w:shd w:val="clear" w:color="auto" w:fill="auto"/>
            <w:tcMar>
              <w:top w:w="85" w:type="dxa"/>
              <w:left w:w="0" w:type="dxa"/>
              <w:bottom w:w="85" w:type="dxa"/>
              <w:right w:w="0" w:type="dxa"/>
            </w:tcMar>
            <w:vAlign w:val="bottom"/>
          </w:tcPr>
          <w:p w14:paraId="06BFA328"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416</w:t>
            </w:r>
          </w:p>
        </w:tc>
        <w:tc>
          <w:tcPr>
            <w:tcW w:w="850" w:type="dxa"/>
            <w:tcBorders>
              <w:top w:val="single" w:sz="4" w:space="0" w:color="auto"/>
              <w:bottom w:val="single" w:sz="4" w:space="0" w:color="auto"/>
            </w:tcBorders>
            <w:shd w:val="clear" w:color="auto" w:fill="auto"/>
            <w:tcMar>
              <w:top w:w="85" w:type="dxa"/>
              <w:left w:w="0" w:type="dxa"/>
              <w:bottom w:w="85" w:type="dxa"/>
              <w:right w:w="0" w:type="dxa"/>
            </w:tcMar>
            <w:vAlign w:val="bottom"/>
          </w:tcPr>
          <w:p w14:paraId="00E2D7B4"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(1 155)</w:t>
            </w:r>
          </w:p>
        </w:tc>
        <w:tc>
          <w:tcPr>
            <w:tcW w:w="709" w:type="dxa"/>
            <w:tcBorders>
              <w:top w:val="single" w:sz="4" w:space="0" w:color="auto"/>
              <w:bottom w:val="single" w:sz="4" w:space="0" w:color="auto"/>
            </w:tcBorders>
            <w:shd w:val="clear" w:color="auto" w:fill="auto"/>
            <w:tcMar>
              <w:top w:w="85" w:type="dxa"/>
              <w:left w:w="0" w:type="dxa"/>
              <w:bottom w:w="85" w:type="dxa"/>
              <w:right w:w="0" w:type="dxa"/>
            </w:tcMar>
            <w:vAlign w:val="bottom"/>
          </w:tcPr>
          <w:p w14:paraId="1979C146"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1 372</w:t>
            </w:r>
          </w:p>
        </w:tc>
        <w:tc>
          <w:tcPr>
            <w:tcW w:w="709" w:type="dxa"/>
            <w:tcBorders>
              <w:top w:val="single" w:sz="4" w:space="0" w:color="auto"/>
              <w:bottom w:val="single" w:sz="4" w:space="0" w:color="auto"/>
            </w:tcBorders>
            <w:shd w:val="clear" w:color="auto" w:fill="auto"/>
            <w:tcMar>
              <w:top w:w="85" w:type="dxa"/>
              <w:left w:w="0" w:type="dxa"/>
              <w:bottom w:w="85" w:type="dxa"/>
              <w:right w:w="0" w:type="dxa"/>
            </w:tcMar>
            <w:vAlign w:val="bottom"/>
          </w:tcPr>
          <w:p w14:paraId="6EF86CB3"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16 526</w:t>
            </w:r>
          </w:p>
        </w:tc>
        <w:tc>
          <w:tcPr>
            <w:tcW w:w="709" w:type="dxa"/>
            <w:tcBorders>
              <w:top w:val="single" w:sz="4" w:space="0" w:color="auto"/>
              <w:bottom w:val="single" w:sz="4" w:space="0" w:color="auto"/>
            </w:tcBorders>
            <w:shd w:val="clear" w:color="auto" w:fill="auto"/>
            <w:tcMar>
              <w:top w:w="85" w:type="dxa"/>
              <w:left w:w="0" w:type="dxa"/>
              <w:bottom w:w="85" w:type="dxa"/>
              <w:right w:w="0" w:type="dxa"/>
            </w:tcMar>
            <w:vAlign w:val="bottom"/>
          </w:tcPr>
          <w:p w14:paraId="4B6F054D" w14:textId="77777777" w:rsidR="000B0E9A" w:rsidRPr="00CA3F6E" w:rsidRDefault="000B0E9A" w:rsidP="00F87BEC">
            <w:pPr>
              <w:spacing w:line="240" w:lineRule="atLeast"/>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9</w:t>
            </w:r>
          </w:p>
        </w:tc>
        <w:tc>
          <w:tcPr>
            <w:tcW w:w="708" w:type="dxa"/>
            <w:tcBorders>
              <w:top w:val="single" w:sz="4" w:space="0" w:color="auto"/>
              <w:bottom w:val="single" w:sz="4" w:space="0" w:color="auto"/>
            </w:tcBorders>
            <w:shd w:val="clear" w:color="auto" w:fill="auto"/>
            <w:tcMar>
              <w:top w:w="85" w:type="dxa"/>
              <w:left w:w="0" w:type="dxa"/>
              <w:bottom w:w="85" w:type="dxa"/>
              <w:right w:w="0" w:type="dxa"/>
            </w:tcMar>
            <w:vAlign w:val="bottom"/>
          </w:tcPr>
          <w:p w14:paraId="7D2B3D5A" w14:textId="77777777" w:rsidR="000B0E9A" w:rsidRPr="00CA3F6E" w:rsidRDefault="000B0E9A" w:rsidP="003377FD">
            <w:pPr>
              <w:spacing w:line="240" w:lineRule="atLeast"/>
              <w:ind w:right="113"/>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1</w:t>
            </w:r>
          </w:p>
        </w:tc>
      </w:tr>
      <w:tr w:rsidR="0004453B" w:rsidRPr="00CA3F6E" w14:paraId="10977526" w14:textId="77777777" w:rsidTr="00B55BB2">
        <w:trPr>
          <w:trHeight w:val="60"/>
        </w:trPr>
        <w:tc>
          <w:tcPr>
            <w:tcW w:w="397" w:type="dxa"/>
            <w:shd w:val="clear" w:color="auto" w:fill="auto"/>
            <w:tcMar>
              <w:top w:w="85" w:type="dxa"/>
              <w:left w:w="0" w:type="dxa"/>
              <w:bottom w:w="85" w:type="dxa"/>
              <w:right w:w="0" w:type="dxa"/>
            </w:tcMar>
            <w:vAlign w:val="bottom"/>
          </w:tcPr>
          <w:p w14:paraId="1549BBBA" w14:textId="77777777" w:rsidR="000B0E9A" w:rsidRPr="00CA3F6E" w:rsidRDefault="000B0E9A" w:rsidP="009D23C7">
            <w:pPr>
              <w:spacing w:line="240" w:lineRule="atLeast"/>
              <w:rPr>
                <w:rFonts w:ascii="Tahoma" w:hAnsi="Tahoma"/>
                <w:color w:val="000000" w:themeColor="text1"/>
                <w:sz w:val="16"/>
                <w:lang w:val="en-GB"/>
              </w:rPr>
            </w:pPr>
          </w:p>
        </w:tc>
        <w:tc>
          <w:tcPr>
            <w:tcW w:w="3714" w:type="dxa"/>
            <w:tcBorders>
              <w:top w:val="single" w:sz="4" w:space="0" w:color="auto"/>
              <w:bottom w:val="single" w:sz="4" w:space="0" w:color="auto"/>
            </w:tcBorders>
            <w:shd w:val="clear" w:color="auto" w:fill="auto"/>
            <w:tcMar>
              <w:top w:w="85" w:type="dxa"/>
              <w:left w:w="0" w:type="dxa"/>
              <w:bottom w:w="85" w:type="dxa"/>
              <w:right w:w="0" w:type="dxa"/>
            </w:tcMar>
            <w:vAlign w:val="bottom"/>
          </w:tcPr>
          <w:p w14:paraId="48B37ADA" w14:textId="77777777" w:rsidR="000B0E9A" w:rsidRPr="00CA3F6E" w:rsidRDefault="000B0E9A" w:rsidP="009D23C7">
            <w:pPr>
              <w:spacing w:line="240" w:lineRule="atLeast"/>
              <w:rPr>
                <w:rFonts w:ascii="Tahoma" w:hAnsi="Tahoma"/>
                <w:b/>
                <w:bCs/>
                <w:color w:val="000000" w:themeColor="text1"/>
                <w:sz w:val="16"/>
                <w:lang w:val="en-GB"/>
              </w:rPr>
            </w:pPr>
            <w:r w:rsidRPr="00CA3F6E">
              <w:rPr>
                <w:rFonts w:ascii="Tahoma" w:hAnsi="Tahoma"/>
                <w:b/>
                <w:bCs/>
                <w:color w:val="000000" w:themeColor="text1"/>
                <w:sz w:val="16"/>
                <w:lang w:val="en-GB"/>
              </w:rPr>
              <w:t>Discontinued operations</w:t>
            </w:r>
            <w:r w:rsidRPr="00CA3F6E">
              <w:rPr>
                <w:rFonts w:ascii="Tahoma" w:hAnsi="Tahoma"/>
                <w:b/>
                <w:bCs/>
                <w:color w:val="000000" w:themeColor="text1"/>
                <w:sz w:val="16"/>
                <w:vertAlign w:val="superscript"/>
                <w:lang w:val="en-GB"/>
              </w:rPr>
              <w:t>5</w:t>
            </w:r>
          </w:p>
        </w:tc>
        <w:tc>
          <w:tcPr>
            <w:tcW w:w="567" w:type="dxa"/>
            <w:tcBorders>
              <w:top w:val="single" w:sz="4" w:space="0" w:color="auto"/>
              <w:bottom w:val="single" w:sz="4" w:space="0" w:color="auto"/>
            </w:tcBorders>
            <w:shd w:val="clear" w:color="auto" w:fill="auto"/>
            <w:tcMar>
              <w:top w:w="85" w:type="dxa"/>
              <w:left w:w="0" w:type="dxa"/>
              <w:bottom w:w="85" w:type="dxa"/>
              <w:right w:w="0" w:type="dxa"/>
            </w:tcMar>
            <w:vAlign w:val="bottom"/>
          </w:tcPr>
          <w:p w14:paraId="287CE473"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312</w:t>
            </w:r>
          </w:p>
        </w:tc>
        <w:tc>
          <w:tcPr>
            <w:tcW w:w="851" w:type="dxa"/>
            <w:tcBorders>
              <w:top w:val="single" w:sz="4" w:space="0" w:color="auto"/>
              <w:bottom w:val="single" w:sz="4" w:space="0" w:color="auto"/>
            </w:tcBorders>
            <w:shd w:val="clear" w:color="auto" w:fill="auto"/>
            <w:tcMar>
              <w:top w:w="85" w:type="dxa"/>
              <w:left w:w="0" w:type="dxa"/>
              <w:bottom w:w="85" w:type="dxa"/>
              <w:right w:w="0" w:type="dxa"/>
            </w:tcMar>
            <w:vAlign w:val="bottom"/>
          </w:tcPr>
          <w:p w14:paraId="5A54CECA"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w:t>
            </w:r>
          </w:p>
        </w:tc>
        <w:tc>
          <w:tcPr>
            <w:tcW w:w="992" w:type="dxa"/>
            <w:tcBorders>
              <w:top w:val="single" w:sz="4" w:space="0" w:color="auto"/>
              <w:bottom w:val="single" w:sz="4" w:space="0" w:color="auto"/>
            </w:tcBorders>
            <w:shd w:val="clear" w:color="auto" w:fill="auto"/>
            <w:tcMar>
              <w:top w:w="85" w:type="dxa"/>
              <w:left w:w="0" w:type="dxa"/>
              <w:bottom w:w="85" w:type="dxa"/>
              <w:right w:w="0" w:type="dxa"/>
            </w:tcMar>
            <w:vAlign w:val="bottom"/>
          </w:tcPr>
          <w:p w14:paraId="028E125F"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1</w:t>
            </w:r>
          </w:p>
        </w:tc>
        <w:tc>
          <w:tcPr>
            <w:tcW w:w="850" w:type="dxa"/>
            <w:tcBorders>
              <w:top w:val="single" w:sz="4" w:space="0" w:color="auto"/>
              <w:bottom w:val="single" w:sz="4" w:space="0" w:color="auto"/>
            </w:tcBorders>
            <w:shd w:val="clear" w:color="auto" w:fill="auto"/>
            <w:tcMar>
              <w:top w:w="85" w:type="dxa"/>
              <w:left w:w="0" w:type="dxa"/>
              <w:bottom w:w="85" w:type="dxa"/>
              <w:right w:w="0" w:type="dxa"/>
            </w:tcMar>
            <w:vAlign w:val="bottom"/>
          </w:tcPr>
          <w:p w14:paraId="1F638B13"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78</w:t>
            </w:r>
          </w:p>
        </w:tc>
        <w:tc>
          <w:tcPr>
            <w:tcW w:w="709" w:type="dxa"/>
            <w:tcBorders>
              <w:top w:val="single" w:sz="4" w:space="0" w:color="auto"/>
              <w:bottom w:val="single" w:sz="4" w:space="0" w:color="auto"/>
            </w:tcBorders>
            <w:shd w:val="clear" w:color="auto" w:fill="auto"/>
            <w:tcMar>
              <w:top w:w="85" w:type="dxa"/>
              <w:left w:w="0" w:type="dxa"/>
              <w:bottom w:w="85" w:type="dxa"/>
              <w:right w:w="0" w:type="dxa"/>
            </w:tcMar>
            <w:vAlign w:val="bottom"/>
          </w:tcPr>
          <w:p w14:paraId="48DB1319"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149</w:t>
            </w:r>
          </w:p>
        </w:tc>
        <w:tc>
          <w:tcPr>
            <w:tcW w:w="709" w:type="dxa"/>
            <w:tcBorders>
              <w:top w:val="single" w:sz="4" w:space="0" w:color="auto"/>
              <w:bottom w:val="single" w:sz="4" w:space="0" w:color="auto"/>
            </w:tcBorders>
            <w:shd w:val="clear" w:color="auto" w:fill="auto"/>
            <w:tcMar>
              <w:top w:w="85" w:type="dxa"/>
              <w:left w:w="0" w:type="dxa"/>
              <w:bottom w:w="85" w:type="dxa"/>
              <w:right w:w="0" w:type="dxa"/>
            </w:tcMar>
            <w:vAlign w:val="bottom"/>
          </w:tcPr>
          <w:p w14:paraId="17788398"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540</w:t>
            </w:r>
          </w:p>
        </w:tc>
        <w:tc>
          <w:tcPr>
            <w:tcW w:w="709" w:type="dxa"/>
            <w:tcBorders>
              <w:top w:val="single" w:sz="4" w:space="0" w:color="auto"/>
              <w:bottom w:val="single" w:sz="4" w:space="0" w:color="auto"/>
            </w:tcBorders>
            <w:shd w:val="clear" w:color="auto" w:fill="auto"/>
            <w:tcMar>
              <w:top w:w="85" w:type="dxa"/>
              <w:left w:w="0" w:type="dxa"/>
              <w:bottom w:w="85" w:type="dxa"/>
              <w:right w:w="0" w:type="dxa"/>
            </w:tcMar>
            <w:vAlign w:val="bottom"/>
          </w:tcPr>
          <w:p w14:paraId="055D2C13" w14:textId="77777777" w:rsidR="000B0E9A" w:rsidRPr="00CA3F6E" w:rsidRDefault="000B0E9A" w:rsidP="00F87BEC">
            <w:pPr>
              <w:spacing w:line="240" w:lineRule="atLeast"/>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48</w:t>
            </w:r>
          </w:p>
        </w:tc>
        <w:tc>
          <w:tcPr>
            <w:tcW w:w="708" w:type="dxa"/>
            <w:tcBorders>
              <w:top w:val="single" w:sz="4" w:space="0" w:color="auto"/>
              <w:bottom w:val="single" w:sz="4" w:space="0" w:color="auto"/>
            </w:tcBorders>
            <w:shd w:val="clear" w:color="auto" w:fill="auto"/>
            <w:tcMar>
              <w:top w:w="85" w:type="dxa"/>
              <w:left w:w="0" w:type="dxa"/>
              <w:bottom w:w="85" w:type="dxa"/>
              <w:right w:w="0" w:type="dxa"/>
            </w:tcMar>
            <w:vAlign w:val="bottom"/>
          </w:tcPr>
          <w:p w14:paraId="62707DD0" w14:textId="77777777" w:rsidR="000B0E9A" w:rsidRPr="00CA3F6E" w:rsidRDefault="000B0E9A" w:rsidP="003377FD">
            <w:pPr>
              <w:spacing w:line="240" w:lineRule="atLeast"/>
              <w:ind w:right="113"/>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73</w:t>
            </w:r>
          </w:p>
        </w:tc>
      </w:tr>
      <w:tr w:rsidR="0004453B" w:rsidRPr="00CA3F6E" w14:paraId="76CDA7B9" w14:textId="77777777" w:rsidTr="00B55BB2">
        <w:trPr>
          <w:trHeight w:val="60"/>
        </w:trPr>
        <w:tc>
          <w:tcPr>
            <w:tcW w:w="397" w:type="dxa"/>
            <w:shd w:val="clear" w:color="auto" w:fill="auto"/>
            <w:tcMar>
              <w:top w:w="85" w:type="dxa"/>
              <w:left w:w="0" w:type="dxa"/>
              <w:bottom w:w="85" w:type="dxa"/>
              <w:right w:w="0" w:type="dxa"/>
            </w:tcMar>
            <w:vAlign w:val="bottom"/>
          </w:tcPr>
          <w:p w14:paraId="1D75EB74" w14:textId="77777777" w:rsidR="000B0E9A" w:rsidRPr="00CA3F6E" w:rsidRDefault="000B0E9A" w:rsidP="009D23C7">
            <w:pPr>
              <w:spacing w:line="240" w:lineRule="atLeast"/>
              <w:rPr>
                <w:rFonts w:ascii="Tahoma" w:hAnsi="Tahoma"/>
                <w:color w:val="000000" w:themeColor="text1"/>
                <w:sz w:val="16"/>
                <w:lang w:val="en-GB"/>
              </w:rPr>
            </w:pPr>
          </w:p>
        </w:tc>
        <w:tc>
          <w:tcPr>
            <w:tcW w:w="3714"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4FD680E7" w14:textId="77777777" w:rsidR="000B0E9A" w:rsidRPr="00CA3F6E" w:rsidRDefault="000B0E9A" w:rsidP="009D23C7">
            <w:pPr>
              <w:spacing w:line="240" w:lineRule="atLeast"/>
              <w:rPr>
                <w:rFonts w:ascii="Tahoma" w:hAnsi="Tahoma"/>
                <w:b/>
                <w:bCs/>
                <w:color w:val="000000" w:themeColor="text1"/>
                <w:sz w:val="16"/>
                <w:lang w:val="en-GB"/>
              </w:rPr>
            </w:pPr>
            <w:r w:rsidRPr="00CA3F6E">
              <w:rPr>
                <w:rFonts w:ascii="Tahoma" w:hAnsi="Tahoma"/>
                <w:b/>
                <w:bCs/>
                <w:color w:val="000000" w:themeColor="text1"/>
                <w:sz w:val="16"/>
                <w:lang w:val="en-GB"/>
              </w:rPr>
              <w:t>Group economic interest</w:t>
            </w:r>
          </w:p>
        </w:tc>
        <w:tc>
          <w:tcPr>
            <w:tcW w:w="567"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731C0DDC"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16 633</w:t>
            </w:r>
          </w:p>
        </w:tc>
        <w:tc>
          <w:tcPr>
            <w:tcW w:w="851"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164C9900"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(428)</w:t>
            </w:r>
          </w:p>
        </w:tc>
        <w:tc>
          <w:tcPr>
            <w:tcW w:w="992"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13965405"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417</w:t>
            </w:r>
          </w:p>
        </w:tc>
        <w:tc>
          <w:tcPr>
            <w:tcW w:w="850"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0921EE14"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(1 077)</w:t>
            </w:r>
          </w:p>
        </w:tc>
        <w:tc>
          <w:tcPr>
            <w:tcW w:w="709"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75B739D2"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1 521</w:t>
            </w:r>
          </w:p>
        </w:tc>
        <w:tc>
          <w:tcPr>
            <w:tcW w:w="709"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11323536" w14:textId="77777777" w:rsidR="000B0E9A" w:rsidRPr="00CA3F6E" w:rsidRDefault="000B0E9A" w:rsidP="00F87BE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17 066</w:t>
            </w:r>
          </w:p>
        </w:tc>
        <w:tc>
          <w:tcPr>
            <w:tcW w:w="709"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4E301F46" w14:textId="77777777" w:rsidR="000B0E9A" w:rsidRPr="00CA3F6E" w:rsidRDefault="000B0E9A" w:rsidP="00F87BEC">
            <w:pPr>
              <w:spacing w:line="240" w:lineRule="atLeast"/>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9</w:t>
            </w:r>
          </w:p>
        </w:tc>
        <w:tc>
          <w:tcPr>
            <w:tcW w:w="708"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272CA549" w14:textId="77777777" w:rsidR="000B0E9A" w:rsidRPr="00CA3F6E" w:rsidRDefault="000B0E9A" w:rsidP="003377FD">
            <w:pPr>
              <w:spacing w:line="240" w:lineRule="atLeast"/>
              <w:ind w:right="113"/>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3</w:t>
            </w:r>
          </w:p>
        </w:tc>
      </w:tr>
      <w:tr w:rsidR="000B0E9A" w:rsidRPr="00CA3F6E" w14:paraId="2D96F61A" w14:textId="77777777" w:rsidTr="008F25E6">
        <w:trPr>
          <w:trHeight w:val="60"/>
        </w:trPr>
        <w:tc>
          <w:tcPr>
            <w:tcW w:w="397" w:type="dxa"/>
            <w:shd w:val="clear" w:color="auto" w:fill="auto"/>
            <w:tcMar>
              <w:top w:w="85" w:type="dxa"/>
              <w:left w:w="0" w:type="dxa"/>
              <w:bottom w:w="57" w:type="dxa"/>
              <w:right w:w="0" w:type="dxa"/>
            </w:tcMar>
            <w:vAlign w:val="bottom"/>
          </w:tcPr>
          <w:p w14:paraId="4AA86BFA" w14:textId="77777777" w:rsidR="000B0E9A" w:rsidRPr="001E0397" w:rsidRDefault="000B0E9A" w:rsidP="001E0397">
            <w:pPr>
              <w:pStyle w:val="FootnotesProsus2022FrontStylesProsus2022"/>
            </w:pPr>
          </w:p>
        </w:tc>
        <w:tc>
          <w:tcPr>
            <w:tcW w:w="9809" w:type="dxa"/>
            <w:gridSpan w:val="9"/>
            <w:tcBorders>
              <w:top w:val="single" w:sz="12" w:space="0" w:color="auto"/>
            </w:tcBorders>
            <w:shd w:val="clear" w:color="auto" w:fill="auto"/>
            <w:tcMar>
              <w:top w:w="85" w:type="dxa"/>
              <w:left w:w="0" w:type="dxa"/>
              <w:bottom w:w="57" w:type="dxa"/>
              <w:right w:w="0" w:type="dxa"/>
            </w:tcMar>
            <w:vAlign w:val="bottom"/>
          </w:tcPr>
          <w:p w14:paraId="3A4334C1" w14:textId="77777777" w:rsidR="000B0E9A" w:rsidRPr="001E0397" w:rsidRDefault="000B0E9A" w:rsidP="001E0397">
            <w:pPr>
              <w:pStyle w:val="FootnotesProsus2022FrontStylesProsus2022"/>
            </w:pPr>
            <w:r w:rsidRPr="001E0397">
              <w:t>1</w:t>
            </w:r>
            <w:r w:rsidRPr="001E0397">
              <w:tab/>
              <w:t>Figures presented on an economic-interest basis as per the segmental review.</w:t>
            </w:r>
          </w:p>
          <w:p w14:paraId="3F4BAF46" w14:textId="77777777" w:rsidR="000B0E9A" w:rsidRPr="001E0397" w:rsidRDefault="000B0E9A" w:rsidP="001E0397">
            <w:pPr>
              <w:pStyle w:val="FootnotesProsus2022FrontStylesProsus2022"/>
            </w:pPr>
            <w:r w:rsidRPr="001E0397">
              <w:t>2</w:t>
            </w:r>
            <w:r w:rsidRPr="001E0397">
              <w:tab/>
              <w:t>A + B + C + D + E.</w:t>
            </w:r>
          </w:p>
          <w:p w14:paraId="558FDE21" w14:textId="77777777" w:rsidR="000B0E9A" w:rsidRPr="001E0397" w:rsidRDefault="000B0E9A" w:rsidP="001E0397">
            <w:pPr>
              <w:pStyle w:val="FootnotesProsus2022FrontStylesProsus2022"/>
            </w:pPr>
            <w:r w:rsidRPr="001E0397">
              <w:t>3</w:t>
            </w:r>
            <w:r w:rsidRPr="001E0397">
              <w:tab/>
              <w:t>[E</w:t>
            </w:r>
            <w:proofErr w:type="gramStart"/>
            <w:r w:rsidRPr="001E0397">
              <w:t>/(</w:t>
            </w:r>
            <w:proofErr w:type="gramEnd"/>
            <w:r w:rsidRPr="001E0397">
              <w:t>A + B)] x 100.</w:t>
            </w:r>
          </w:p>
          <w:p w14:paraId="0B497FB1" w14:textId="77777777" w:rsidR="000B0E9A" w:rsidRPr="001E0397" w:rsidRDefault="000B0E9A" w:rsidP="001E0397">
            <w:pPr>
              <w:pStyle w:val="FootnotesProsus2022FrontStylesProsus2022"/>
            </w:pPr>
            <w:r w:rsidRPr="001E0397">
              <w:t>4</w:t>
            </w:r>
            <w:r w:rsidRPr="001E0397">
              <w:tab/>
              <w:t>[(F/A) – 1] x 100.</w:t>
            </w:r>
          </w:p>
          <w:p w14:paraId="1DB46BC4" w14:textId="77777777" w:rsidR="000B0E9A" w:rsidRPr="001E0397" w:rsidRDefault="000B0E9A" w:rsidP="001E0397">
            <w:pPr>
              <w:pStyle w:val="FootnotesProsus2022FrontStylesProsus2022"/>
            </w:pPr>
            <w:r w:rsidRPr="001E0397">
              <w:t>5</w:t>
            </w:r>
            <w:r w:rsidRPr="001E0397">
              <w:tab/>
              <w:t xml:space="preserve">From 1 April 2022, following the separation from OLX Group, the CODM reviewed the financial results of </w:t>
            </w:r>
            <w:proofErr w:type="spellStart"/>
            <w:r w:rsidRPr="001E0397">
              <w:t>Avito</w:t>
            </w:r>
            <w:proofErr w:type="spellEnd"/>
            <w:r w:rsidRPr="001E0397">
              <w:t xml:space="preserve"> separately. Subsequent to the group’s decision to exit this Russian business, </w:t>
            </w:r>
            <w:proofErr w:type="spellStart"/>
            <w:r w:rsidRPr="001E0397">
              <w:t>Avito</w:t>
            </w:r>
            <w:proofErr w:type="spellEnd"/>
            <w:r w:rsidRPr="001E0397">
              <w:t xml:space="preserve"> was presented as a discontinued operation. The change has no impact on the overall group revenue, adjusted EBITDA and trading (loss)/profit in prior periods.</w:t>
            </w:r>
          </w:p>
        </w:tc>
      </w:tr>
    </w:tbl>
    <w:p w14:paraId="136C0A41" w14:textId="77777777" w:rsidR="00E3169B" w:rsidRDefault="00E3169B" w:rsidP="00615190">
      <w:pPr>
        <w:spacing w:line="240" w:lineRule="atLeast"/>
        <w:rPr>
          <w:rFonts w:ascii="Tahoma" w:hAnsi="Tahoma"/>
          <w:color w:val="000000" w:themeColor="text1"/>
          <w:sz w:val="16"/>
        </w:rPr>
      </w:pPr>
    </w:p>
    <w:p w14:paraId="32D22C0B" w14:textId="77777777" w:rsidR="00E3169B" w:rsidRDefault="00E3169B">
      <w:pPr>
        <w:rPr>
          <w:rFonts w:ascii="Tahoma" w:hAnsi="Tahoma"/>
          <w:color w:val="000000" w:themeColor="text1"/>
          <w:sz w:val="16"/>
        </w:rPr>
      </w:pPr>
      <w:r>
        <w:rPr>
          <w:rFonts w:ascii="Tahoma" w:hAnsi="Tahoma"/>
          <w:color w:val="000000" w:themeColor="text1"/>
          <w:sz w:val="16"/>
        </w:rPr>
        <w:br w:type="page"/>
      </w:r>
    </w:p>
    <w:p w14:paraId="43F05FF6" w14:textId="77777777" w:rsidR="00CA3F6E" w:rsidRDefault="00CA3F6E" w:rsidP="00615190">
      <w:pPr>
        <w:spacing w:line="240" w:lineRule="atLeast"/>
        <w:rPr>
          <w:rFonts w:ascii="Tahoma" w:hAnsi="Tahoma"/>
          <w:color w:val="000000" w:themeColor="text1"/>
          <w:sz w:val="16"/>
        </w:rPr>
      </w:pPr>
    </w:p>
    <w:tbl>
      <w:tblPr>
        <w:tblW w:w="10206" w:type="dxa"/>
        <w:tblInd w:w="-8" w:type="dxa"/>
        <w:tblLayout w:type="fixed"/>
        <w:tblCellMar>
          <w:left w:w="0" w:type="dxa"/>
          <w:right w:w="0" w:type="dxa"/>
        </w:tblCellMar>
        <w:tblLook w:val="0000" w:firstRow="0" w:lastRow="0" w:firstColumn="0" w:lastColumn="0" w:noHBand="0" w:noVBand="0"/>
      </w:tblPr>
      <w:tblGrid>
        <w:gridCol w:w="397"/>
        <w:gridCol w:w="3714"/>
        <w:gridCol w:w="567"/>
        <w:gridCol w:w="851"/>
        <w:gridCol w:w="992"/>
        <w:gridCol w:w="850"/>
        <w:gridCol w:w="709"/>
        <w:gridCol w:w="709"/>
        <w:gridCol w:w="709"/>
        <w:gridCol w:w="708"/>
      </w:tblGrid>
      <w:tr w:rsidR="00E630B5" w:rsidRPr="00875F95" w14:paraId="591C4B6D" w14:textId="77777777" w:rsidTr="009D23C7">
        <w:trPr>
          <w:trHeight w:val="60"/>
        </w:trPr>
        <w:tc>
          <w:tcPr>
            <w:tcW w:w="397" w:type="dxa"/>
            <w:shd w:val="clear" w:color="auto" w:fill="auto"/>
            <w:tcMar>
              <w:top w:w="0" w:type="dxa"/>
              <w:left w:w="0" w:type="dxa"/>
              <w:bottom w:w="57" w:type="dxa"/>
              <w:right w:w="0" w:type="dxa"/>
            </w:tcMar>
            <w:vAlign w:val="bottom"/>
          </w:tcPr>
          <w:p w14:paraId="779E4285" w14:textId="77777777" w:rsidR="00E630B5" w:rsidRPr="00875F95" w:rsidRDefault="00E630B5" w:rsidP="009D23C7">
            <w:pPr>
              <w:spacing w:line="240" w:lineRule="atLeast"/>
              <w:rPr>
                <w:rFonts w:ascii="Tahoma" w:hAnsi="Tahoma"/>
                <w:b/>
                <w:bCs/>
                <w:color w:val="000000" w:themeColor="text1"/>
                <w:sz w:val="16"/>
                <w:lang w:val="en-GB"/>
              </w:rPr>
            </w:pPr>
            <w:r w:rsidRPr="00875F95">
              <w:rPr>
                <w:rFonts w:ascii="Tahoma" w:hAnsi="Tahoma"/>
                <w:b/>
                <w:bCs/>
                <w:color w:val="000000" w:themeColor="text1"/>
                <w:sz w:val="16"/>
                <w:lang w:val="en-GB"/>
              </w:rPr>
              <w:t>A.</w:t>
            </w:r>
          </w:p>
        </w:tc>
        <w:tc>
          <w:tcPr>
            <w:tcW w:w="9809" w:type="dxa"/>
            <w:gridSpan w:val="9"/>
            <w:shd w:val="clear" w:color="auto" w:fill="auto"/>
            <w:tcMar>
              <w:top w:w="0" w:type="dxa"/>
              <w:left w:w="0" w:type="dxa"/>
              <w:bottom w:w="57" w:type="dxa"/>
              <w:right w:w="0" w:type="dxa"/>
            </w:tcMar>
            <w:vAlign w:val="bottom"/>
          </w:tcPr>
          <w:p w14:paraId="0D6AE693" w14:textId="77777777" w:rsidR="00E630B5" w:rsidRPr="00875F95" w:rsidRDefault="00E630B5" w:rsidP="009D23C7">
            <w:pPr>
              <w:spacing w:line="240" w:lineRule="atLeast"/>
              <w:rPr>
                <w:rFonts w:ascii="Tahoma" w:hAnsi="Tahoma"/>
                <w:b/>
                <w:bCs/>
                <w:color w:val="000000" w:themeColor="text1"/>
                <w:sz w:val="16"/>
                <w:lang w:val="en-GB"/>
              </w:rPr>
            </w:pPr>
            <w:r w:rsidRPr="00875F95">
              <w:rPr>
                <w:rFonts w:ascii="Tahoma" w:hAnsi="Tahoma"/>
                <w:b/>
                <w:bCs/>
                <w:color w:val="000000" w:themeColor="text1"/>
                <w:sz w:val="16"/>
                <w:lang w:val="en-GB"/>
              </w:rPr>
              <w:t>NON-IFRS FINANCIAL MEASURES AND ALTERNATIVE PERFORMANCE MEASURES (continued)</w:t>
            </w:r>
          </w:p>
        </w:tc>
      </w:tr>
      <w:tr w:rsidR="00E630B5" w:rsidRPr="00CA3F6E" w14:paraId="3A4016E4" w14:textId="77777777" w:rsidTr="009D23C7">
        <w:trPr>
          <w:trHeight w:val="60"/>
        </w:trPr>
        <w:tc>
          <w:tcPr>
            <w:tcW w:w="397" w:type="dxa"/>
            <w:shd w:val="clear" w:color="auto" w:fill="auto"/>
            <w:tcMar>
              <w:top w:w="57" w:type="dxa"/>
              <w:left w:w="0" w:type="dxa"/>
              <w:bottom w:w="57" w:type="dxa"/>
              <w:right w:w="0" w:type="dxa"/>
            </w:tcMar>
            <w:vAlign w:val="bottom"/>
          </w:tcPr>
          <w:p w14:paraId="2D866D04" w14:textId="77777777" w:rsidR="00E630B5" w:rsidRPr="00CA3F6E" w:rsidRDefault="00E630B5" w:rsidP="009D23C7">
            <w:pPr>
              <w:spacing w:line="240" w:lineRule="atLeast"/>
              <w:rPr>
                <w:rFonts w:ascii="Tahoma" w:hAnsi="Tahoma"/>
                <w:b/>
                <w:bCs/>
                <w:color w:val="000000" w:themeColor="text1"/>
                <w:sz w:val="16"/>
                <w:lang w:val="en-GB"/>
              </w:rPr>
            </w:pPr>
            <w:r w:rsidRPr="00CA3F6E">
              <w:rPr>
                <w:rFonts w:ascii="Tahoma" w:hAnsi="Tahoma"/>
                <w:b/>
                <w:bCs/>
                <w:color w:val="000000" w:themeColor="text1"/>
                <w:sz w:val="16"/>
                <w:lang w:val="en-GB"/>
              </w:rPr>
              <w:t>A.2</w:t>
            </w:r>
          </w:p>
        </w:tc>
        <w:tc>
          <w:tcPr>
            <w:tcW w:w="9809" w:type="dxa"/>
            <w:gridSpan w:val="9"/>
            <w:shd w:val="clear" w:color="auto" w:fill="auto"/>
            <w:tcMar>
              <w:top w:w="57" w:type="dxa"/>
              <w:left w:w="0" w:type="dxa"/>
              <w:bottom w:w="57" w:type="dxa"/>
              <w:right w:w="0" w:type="dxa"/>
            </w:tcMar>
            <w:vAlign w:val="bottom"/>
          </w:tcPr>
          <w:p w14:paraId="1910F2D2" w14:textId="77777777" w:rsidR="00E630B5" w:rsidRPr="00CA3F6E" w:rsidRDefault="00E630B5" w:rsidP="009D23C7">
            <w:pPr>
              <w:spacing w:line="240" w:lineRule="atLeast"/>
              <w:rPr>
                <w:rFonts w:ascii="Tahoma" w:hAnsi="Tahoma"/>
                <w:b/>
                <w:bCs/>
                <w:color w:val="000000" w:themeColor="text1"/>
                <w:sz w:val="16"/>
                <w:lang w:val="en-GB"/>
              </w:rPr>
            </w:pPr>
            <w:r w:rsidRPr="00CA3F6E">
              <w:rPr>
                <w:rFonts w:ascii="Tahoma" w:hAnsi="Tahoma"/>
                <w:b/>
                <w:bCs/>
                <w:color w:val="000000" w:themeColor="text1"/>
                <w:sz w:val="16"/>
                <w:lang w:val="en-GB"/>
              </w:rPr>
              <w:t>Growth in local currency, excluding acquisitions and disposals (continued)</w:t>
            </w:r>
          </w:p>
        </w:tc>
      </w:tr>
      <w:tr w:rsidR="00E630B5" w:rsidRPr="00CA3F6E" w14:paraId="5C737B78" w14:textId="77777777" w:rsidTr="009D23C7">
        <w:trPr>
          <w:trHeight w:val="60"/>
        </w:trPr>
        <w:tc>
          <w:tcPr>
            <w:tcW w:w="397" w:type="dxa"/>
            <w:shd w:val="clear" w:color="auto" w:fill="auto"/>
            <w:tcMar>
              <w:top w:w="57" w:type="dxa"/>
              <w:left w:w="0" w:type="dxa"/>
              <w:bottom w:w="113" w:type="dxa"/>
              <w:right w:w="0" w:type="dxa"/>
            </w:tcMar>
            <w:vAlign w:val="bottom"/>
          </w:tcPr>
          <w:p w14:paraId="47BAEFEF" w14:textId="77777777" w:rsidR="00E630B5" w:rsidRPr="00CA3F6E" w:rsidRDefault="00E630B5" w:rsidP="009D23C7">
            <w:pPr>
              <w:spacing w:line="240" w:lineRule="atLeast"/>
              <w:rPr>
                <w:rFonts w:ascii="Tahoma" w:hAnsi="Tahoma"/>
                <w:color w:val="000000" w:themeColor="text1"/>
                <w:sz w:val="16"/>
                <w:lang w:val="en-GB"/>
              </w:rPr>
            </w:pPr>
          </w:p>
        </w:tc>
        <w:tc>
          <w:tcPr>
            <w:tcW w:w="9809" w:type="dxa"/>
            <w:gridSpan w:val="9"/>
            <w:shd w:val="clear" w:color="auto" w:fill="auto"/>
            <w:tcMar>
              <w:top w:w="57" w:type="dxa"/>
              <w:left w:w="0" w:type="dxa"/>
              <w:bottom w:w="113" w:type="dxa"/>
              <w:right w:w="0" w:type="dxa"/>
            </w:tcMar>
            <w:vAlign w:val="bottom"/>
          </w:tcPr>
          <w:p w14:paraId="69938C1F" w14:textId="77777777" w:rsidR="00E630B5" w:rsidRPr="00CA3F6E" w:rsidRDefault="00E630B5"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The adjustments to the amounts, reported in terms of IFRS, that have been made in arriving at the pro forma financial information are presented in the table below:</w:t>
            </w:r>
          </w:p>
        </w:tc>
      </w:tr>
      <w:tr w:rsidR="00E630B5" w:rsidRPr="00CA3F6E" w14:paraId="13D49455" w14:textId="77777777" w:rsidTr="009D23C7">
        <w:trPr>
          <w:trHeight w:val="60"/>
        </w:trPr>
        <w:tc>
          <w:tcPr>
            <w:tcW w:w="397" w:type="dxa"/>
            <w:shd w:val="clear" w:color="auto" w:fill="auto"/>
            <w:tcMar>
              <w:top w:w="85" w:type="dxa"/>
              <w:left w:w="0" w:type="dxa"/>
              <w:bottom w:w="85" w:type="dxa"/>
              <w:right w:w="0" w:type="dxa"/>
            </w:tcMar>
            <w:vAlign w:val="bottom"/>
          </w:tcPr>
          <w:p w14:paraId="55548E3F" w14:textId="77777777" w:rsidR="00E630B5" w:rsidRPr="00CA3F6E" w:rsidRDefault="00E630B5" w:rsidP="009D23C7">
            <w:pPr>
              <w:spacing w:line="240" w:lineRule="atLeast"/>
              <w:rPr>
                <w:rFonts w:ascii="Tahoma" w:hAnsi="Tahoma"/>
                <w:color w:val="000000" w:themeColor="text1"/>
                <w:sz w:val="16"/>
                <w:lang w:val="en-GB"/>
              </w:rPr>
            </w:pPr>
          </w:p>
        </w:tc>
        <w:tc>
          <w:tcPr>
            <w:tcW w:w="3714" w:type="dxa"/>
            <w:shd w:val="clear" w:color="auto" w:fill="auto"/>
            <w:tcMar>
              <w:top w:w="85" w:type="dxa"/>
              <w:left w:w="0" w:type="dxa"/>
              <w:bottom w:w="85" w:type="dxa"/>
              <w:right w:w="0" w:type="dxa"/>
            </w:tcMar>
            <w:vAlign w:val="bottom"/>
          </w:tcPr>
          <w:p w14:paraId="27E1F70E" w14:textId="77777777" w:rsidR="00E630B5" w:rsidRPr="00CA3F6E" w:rsidRDefault="00E630B5" w:rsidP="009D23C7">
            <w:pPr>
              <w:spacing w:line="240" w:lineRule="atLeast"/>
              <w:rPr>
                <w:rFonts w:ascii="Tahoma" w:hAnsi="Tahoma"/>
                <w:color w:val="000000" w:themeColor="text1"/>
                <w:sz w:val="16"/>
                <w:lang w:val="en-GB"/>
              </w:rPr>
            </w:pPr>
          </w:p>
        </w:tc>
        <w:tc>
          <w:tcPr>
            <w:tcW w:w="6095" w:type="dxa"/>
            <w:gridSpan w:val="8"/>
            <w:shd w:val="clear" w:color="auto" w:fill="auto"/>
            <w:tcMar>
              <w:top w:w="85" w:type="dxa"/>
              <w:left w:w="0" w:type="dxa"/>
              <w:bottom w:w="85" w:type="dxa"/>
              <w:right w:w="0" w:type="dxa"/>
            </w:tcMar>
            <w:vAlign w:val="bottom"/>
          </w:tcPr>
          <w:p w14:paraId="22CFAAB5" w14:textId="77777777" w:rsidR="00E630B5" w:rsidRPr="00CA3F6E" w:rsidRDefault="00E630B5" w:rsidP="00E3169B">
            <w:pPr>
              <w:spacing w:line="240" w:lineRule="atLeast"/>
              <w:jc w:val="center"/>
              <w:rPr>
                <w:rFonts w:ascii="Tahoma" w:hAnsi="Tahoma"/>
                <w:b/>
                <w:bCs/>
                <w:color w:val="000000" w:themeColor="text1"/>
                <w:sz w:val="16"/>
                <w:lang w:val="en-GB"/>
              </w:rPr>
            </w:pPr>
            <w:r w:rsidRPr="00CA3F6E">
              <w:rPr>
                <w:rFonts w:ascii="Tahoma" w:hAnsi="Tahoma"/>
                <w:b/>
                <w:bCs/>
                <w:color w:val="000000" w:themeColor="text1"/>
                <w:sz w:val="16"/>
                <w:lang w:val="en-GB"/>
              </w:rPr>
              <w:t>Six months ended 30 September</w:t>
            </w:r>
          </w:p>
        </w:tc>
      </w:tr>
      <w:tr w:rsidR="00E630B5" w:rsidRPr="00CA3F6E" w14:paraId="1926E172" w14:textId="77777777" w:rsidTr="00DA18D3">
        <w:trPr>
          <w:trHeight w:val="60"/>
        </w:trPr>
        <w:tc>
          <w:tcPr>
            <w:tcW w:w="397" w:type="dxa"/>
            <w:shd w:val="clear" w:color="auto" w:fill="auto"/>
            <w:tcMar>
              <w:top w:w="113" w:type="dxa"/>
              <w:left w:w="0" w:type="dxa"/>
              <w:bottom w:w="57" w:type="dxa"/>
              <w:right w:w="0" w:type="dxa"/>
            </w:tcMar>
            <w:vAlign w:val="bottom"/>
          </w:tcPr>
          <w:p w14:paraId="5D4B4BA8" w14:textId="77777777" w:rsidR="00E630B5" w:rsidRPr="00CA3F6E" w:rsidRDefault="00E630B5" w:rsidP="009D23C7">
            <w:pPr>
              <w:spacing w:line="240" w:lineRule="atLeast"/>
              <w:rPr>
                <w:rFonts w:ascii="Tahoma" w:hAnsi="Tahoma"/>
                <w:color w:val="000000" w:themeColor="text1"/>
                <w:sz w:val="16"/>
                <w:lang w:val="en-GB"/>
              </w:rPr>
            </w:pPr>
          </w:p>
        </w:tc>
        <w:tc>
          <w:tcPr>
            <w:tcW w:w="3714" w:type="dxa"/>
            <w:shd w:val="clear" w:color="auto" w:fill="auto"/>
            <w:tcMar>
              <w:top w:w="113" w:type="dxa"/>
              <w:left w:w="0" w:type="dxa"/>
              <w:bottom w:w="57" w:type="dxa"/>
              <w:right w:w="0" w:type="dxa"/>
            </w:tcMar>
            <w:vAlign w:val="bottom"/>
          </w:tcPr>
          <w:p w14:paraId="2CA25083" w14:textId="77777777" w:rsidR="00E630B5" w:rsidRPr="00CA3F6E" w:rsidRDefault="00E630B5" w:rsidP="009D23C7">
            <w:pPr>
              <w:spacing w:line="240" w:lineRule="atLeast"/>
              <w:rPr>
                <w:rFonts w:ascii="Tahoma" w:hAnsi="Tahoma"/>
                <w:color w:val="000000" w:themeColor="text1"/>
                <w:sz w:val="16"/>
                <w:lang w:val="en-GB"/>
              </w:rPr>
            </w:pPr>
          </w:p>
        </w:tc>
        <w:tc>
          <w:tcPr>
            <w:tcW w:w="567" w:type="dxa"/>
            <w:shd w:val="clear" w:color="auto" w:fill="auto"/>
            <w:tcMar>
              <w:top w:w="113" w:type="dxa"/>
              <w:left w:w="0" w:type="dxa"/>
              <w:bottom w:w="57" w:type="dxa"/>
              <w:right w:w="0" w:type="dxa"/>
            </w:tcMar>
            <w:vAlign w:val="bottom"/>
          </w:tcPr>
          <w:p w14:paraId="69F77B51"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2021</w:t>
            </w:r>
          </w:p>
          <w:p w14:paraId="5642C870"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A</w:t>
            </w:r>
          </w:p>
        </w:tc>
        <w:tc>
          <w:tcPr>
            <w:tcW w:w="851" w:type="dxa"/>
            <w:shd w:val="clear" w:color="auto" w:fill="auto"/>
            <w:tcMar>
              <w:top w:w="113" w:type="dxa"/>
              <w:left w:w="0" w:type="dxa"/>
              <w:bottom w:w="57" w:type="dxa"/>
              <w:right w:w="0" w:type="dxa"/>
            </w:tcMar>
            <w:vAlign w:val="bottom"/>
          </w:tcPr>
          <w:p w14:paraId="5B104DBF" w14:textId="77777777" w:rsidR="00E630B5" w:rsidRPr="00CA3F6E" w:rsidRDefault="00E630B5" w:rsidP="003F70CC">
            <w:pPr>
              <w:spacing w:line="240" w:lineRule="atLeast"/>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2022</w:t>
            </w:r>
          </w:p>
          <w:p w14:paraId="1B838928" w14:textId="77777777" w:rsidR="00E630B5" w:rsidRPr="00CA3F6E" w:rsidRDefault="00E630B5" w:rsidP="003F70CC">
            <w:pPr>
              <w:spacing w:line="240" w:lineRule="atLeast"/>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B</w:t>
            </w:r>
          </w:p>
        </w:tc>
        <w:tc>
          <w:tcPr>
            <w:tcW w:w="992" w:type="dxa"/>
            <w:shd w:val="clear" w:color="auto" w:fill="auto"/>
            <w:tcMar>
              <w:top w:w="113" w:type="dxa"/>
              <w:left w:w="0" w:type="dxa"/>
              <w:bottom w:w="57" w:type="dxa"/>
              <w:right w:w="0" w:type="dxa"/>
            </w:tcMar>
            <w:vAlign w:val="bottom"/>
          </w:tcPr>
          <w:p w14:paraId="2031852C" w14:textId="77777777" w:rsidR="00E630B5" w:rsidRPr="00CA3F6E" w:rsidRDefault="00E630B5" w:rsidP="003F70CC">
            <w:pPr>
              <w:spacing w:line="240" w:lineRule="atLeast"/>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2022</w:t>
            </w:r>
          </w:p>
          <w:p w14:paraId="26CEA0F5" w14:textId="77777777" w:rsidR="00E630B5" w:rsidRPr="00CA3F6E" w:rsidRDefault="00E630B5" w:rsidP="003F70CC">
            <w:pPr>
              <w:spacing w:line="240" w:lineRule="atLeast"/>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C</w:t>
            </w:r>
          </w:p>
        </w:tc>
        <w:tc>
          <w:tcPr>
            <w:tcW w:w="850" w:type="dxa"/>
            <w:shd w:val="clear" w:color="auto" w:fill="auto"/>
            <w:tcMar>
              <w:top w:w="113" w:type="dxa"/>
              <w:left w:w="0" w:type="dxa"/>
              <w:bottom w:w="57" w:type="dxa"/>
              <w:right w:w="0" w:type="dxa"/>
            </w:tcMar>
            <w:vAlign w:val="bottom"/>
          </w:tcPr>
          <w:p w14:paraId="6001A4C7" w14:textId="77777777" w:rsidR="00E630B5" w:rsidRPr="00CA3F6E" w:rsidRDefault="00E630B5" w:rsidP="003F70CC">
            <w:pPr>
              <w:spacing w:line="240" w:lineRule="atLeast"/>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2022</w:t>
            </w:r>
          </w:p>
          <w:p w14:paraId="3A1B54F6" w14:textId="77777777" w:rsidR="00E630B5" w:rsidRPr="00CA3F6E" w:rsidRDefault="00E630B5" w:rsidP="003F70CC">
            <w:pPr>
              <w:spacing w:line="240" w:lineRule="atLeast"/>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D</w:t>
            </w:r>
          </w:p>
        </w:tc>
        <w:tc>
          <w:tcPr>
            <w:tcW w:w="709" w:type="dxa"/>
            <w:shd w:val="clear" w:color="auto" w:fill="auto"/>
            <w:tcMar>
              <w:top w:w="113" w:type="dxa"/>
              <w:left w:w="0" w:type="dxa"/>
              <w:bottom w:w="57" w:type="dxa"/>
              <w:right w:w="0" w:type="dxa"/>
            </w:tcMar>
            <w:vAlign w:val="bottom"/>
          </w:tcPr>
          <w:p w14:paraId="45974612" w14:textId="77777777" w:rsidR="00E630B5" w:rsidRPr="00CA3F6E" w:rsidRDefault="00E630B5" w:rsidP="003F70CC">
            <w:pPr>
              <w:spacing w:line="240" w:lineRule="atLeast"/>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2022</w:t>
            </w:r>
          </w:p>
          <w:p w14:paraId="5767FF2C" w14:textId="77777777" w:rsidR="00E630B5" w:rsidRPr="00CA3F6E" w:rsidRDefault="00E630B5" w:rsidP="003F70CC">
            <w:pPr>
              <w:spacing w:line="240" w:lineRule="atLeast"/>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E</w:t>
            </w:r>
          </w:p>
        </w:tc>
        <w:tc>
          <w:tcPr>
            <w:tcW w:w="709" w:type="dxa"/>
            <w:shd w:val="clear" w:color="auto" w:fill="auto"/>
            <w:tcMar>
              <w:top w:w="113" w:type="dxa"/>
              <w:left w:w="0" w:type="dxa"/>
              <w:bottom w:w="57" w:type="dxa"/>
              <w:right w:w="0" w:type="dxa"/>
            </w:tcMar>
            <w:vAlign w:val="bottom"/>
          </w:tcPr>
          <w:p w14:paraId="4BB524A2" w14:textId="77777777" w:rsidR="00E630B5" w:rsidRPr="00CA3F6E" w:rsidRDefault="00E630B5" w:rsidP="003F70CC">
            <w:pPr>
              <w:spacing w:line="240" w:lineRule="atLeast"/>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2022</w:t>
            </w:r>
          </w:p>
          <w:p w14:paraId="7F4B3908" w14:textId="77777777" w:rsidR="00E630B5" w:rsidRPr="00CA3F6E" w:rsidRDefault="00E630B5" w:rsidP="003F70CC">
            <w:pPr>
              <w:spacing w:line="240" w:lineRule="atLeast"/>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F</w:t>
            </w:r>
            <w:r w:rsidRPr="00CA3F6E">
              <w:rPr>
                <w:rFonts w:ascii="Tahoma" w:hAnsi="Tahoma"/>
                <w:b/>
                <w:bCs/>
                <w:color w:val="000000" w:themeColor="text1"/>
                <w:w w:val="70"/>
                <w:sz w:val="16"/>
                <w:vertAlign w:val="superscript"/>
                <w:lang w:val="en-GB"/>
              </w:rPr>
              <w:t>2</w:t>
            </w:r>
          </w:p>
        </w:tc>
        <w:tc>
          <w:tcPr>
            <w:tcW w:w="709" w:type="dxa"/>
            <w:shd w:val="clear" w:color="auto" w:fill="auto"/>
            <w:tcMar>
              <w:top w:w="113" w:type="dxa"/>
              <w:left w:w="0" w:type="dxa"/>
              <w:bottom w:w="57" w:type="dxa"/>
              <w:right w:w="0" w:type="dxa"/>
            </w:tcMar>
            <w:vAlign w:val="bottom"/>
          </w:tcPr>
          <w:p w14:paraId="03D7F47A" w14:textId="77777777" w:rsidR="00E630B5" w:rsidRPr="00CA3F6E" w:rsidRDefault="00E630B5" w:rsidP="003F70CC">
            <w:pPr>
              <w:spacing w:line="240" w:lineRule="atLeast"/>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2022</w:t>
            </w:r>
          </w:p>
          <w:p w14:paraId="0ECA9682" w14:textId="77777777" w:rsidR="00E630B5" w:rsidRPr="00CA3F6E" w:rsidRDefault="00E630B5" w:rsidP="003F70CC">
            <w:pPr>
              <w:spacing w:line="240" w:lineRule="atLeast"/>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G</w:t>
            </w:r>
            <w:r w:rsidRPr="00CA3F6E">
              <w:rPr>
                <w:rFonts w:ascii="Tahoma" w:hAnsi="Tahoma"/>
                <w:b/>
                <w:bCs/>
                <w:color w:val="000000" w:themeColor="text1"/>
                <w:w w:val="70"/>
                <w:sz w:val="16"/>
                <w:vertAlign w:val="superscript"/>
                <w:lang w:val="en-GB"/>
              </w:rPr>
              <w:t>3</w:t>
            </w:r>
          </w:p>
        </w:tc>
        <w:tc>
          <w:tcPr>
            <w:tcW w:w="708" w:type="dxa"/>
            <w:shd w:val="clear" w:color="auto" w:fill="auto"/>
            <w:tcMar>
              <w:top w:w="113" w:type="dxa"/>
              <w:left w:w="0" w:type="dxa"/>
              <w:bottom w:w="57" w:type="dxa"/>
              <w:right w:w="0" w:type="dxa"/>
            </w:tcMar>
            <w:vAlign w:val="bottom"/>
          </w:tcPr>
          <w:p w14:paraId="0CFCB6D2" w14:textId="77777777" w:rsidR="00E630B5" w:rsidRPr="00CA3F6E" w:rsidRDefault="00E630B5" w:rsidP="003F70CC">
            <w:pPr>
              <w:spacing w:line="240" w:lineRule="atLeast"/>
              <w:ind w:right="113"/>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2022</w:t>
            </w:r>
          </w:p>
          <w:p w14:paraId="55FE559A" w14:textId="77777777" w:rsidR="00E630B5" w:rsidRPr="00CA3F6E" w:rsidRDefault="00E630B5" w:rsidP="003F70CC">
            <w:pPr>
              <w:spacing w:line="240" w:lineRule="atLeast"/>
              <w:ind w:right="113"/>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H</w:t>
            </w:r>
            <w:r w:rsidRPr="00CA3F6E">
              <w:rPr>
                <w:rFonts w:ascii="Tahoma" w:hAnsi="Tahoma"/>
                <w:b/>
                <w:bCs/>
                <w:color w:val="000000" w:themeColor="text1"/>
                <w:w w:val="70"/>
                <w:sz w:val="16"/>
                <w:vertAlign w:val="superscript"/>
                <w:lang w:val="en-GB"/>
              </w:rPr>
              <w:t>4</w:t>
            </w:r>
          </w:p>
        </w:tc>
      </w:tr>
      <w:tr w:rsidR="00E630B5" w:rsidRPr="00CA3F6E" w14:paraId="21D96F9F" w14:textId="77777777" w:rsidTr="00DA18D3">
        <w:trPr>
          <w:trHeight w:val="60"/>
        </w:trPr>
        <w:tc>
          <w:tcPr>
            <w:tcW w:w="397" w:type="dxa"/>
            <w:shd w:val="clear" w:color="auto" w:fill="auto"/>
            <w:tcMar>
              <w:top w:w="57" w:type="dxa"/>
              <w:left w:w="0" w:type="dxa"/>
              <w:bottom w:w="113" w:type="dxa"/>
              <w:right w:w="0" w:type="dxa"/>
            </w:tcMar>
            <w:vAlign w:val="bottom"/>
          </w:tcPr>
          <w:p w14:paraId="03A3867E" w14:textId="77777777" w:rsidR="00E630B5" w:rsidRPr="00CA3F6E" w:rsidRDefault="00E630B5" w:rsidP="009D23C7">
            <w:pPr>
              <w:spacing w:line="240" w:lineRule="atLeast"/>
              <w:rPr>
                <w:rFonts w:ascii="Tahoma" w:hAnsi="Tahoma"/>
                <w:color w:val="000000" w:themeColor="text1"/>
                <w:sz w:val="16"/>
                <w:lang w:val="en-GB"/>
              </w:rPr>
            </w:pPr>
          </w:p>
        </w:tc>
        <w:tc>
          <w:tcPr>
            <w:tcW w:w="3714" w:type="dxa"/>
            <w:tcBorders>
              <w:bottom w:val="single" w:sz="12" w:space="0" w:color="auto"/>
            </w:tcBorders>
            <w:shd w:val="clear" w:color="auto" w:fill="auto"/>
            <w:tcMar>
              <w:top w:w="57" w:type="dxa"/>
              <w:left w:w="0" w:type="dxa"/>
              <w:bottom w:w="113" w:type="dxa"/>
              <w:right w:w="0" w:type="dxa"/>
            </w:tcMar>
            <w:vAlign w:val="bottom"/>
          </w:tcPr>
          <w:p w14:paraId="336B4C77" w14:textId="77777777" w:rsidR="00E630B5" w:rsidRPr="00CA3F6E" w:rsidRDefault="00E630B5" w:rsidP="009D23C7">
            <w:pPr>
              <w:spacing w:line="240" w:lineRule="atLeast"/>
              <w:rPr>
                <w:rFonts w:ascii="Tahoma" w:hAnsi="Tahoma"/>
                <w:color w:val="000000" w:themeColor="text1"/>
                <w:sz w:val="16"/>
                <w:lang w:val="en-GB"/>
              </w:rPr>
            </w:pPr>
          </w:p>
        </w:tc>
        <w:tc>
          <w:tcPr>
            <w:tcW w:w="567" w:type="dxa"/>
            <w:tcBorders>
              <w:bottom w:val="single" w:sz="12" w:space="0" w:color="auto"/>
            </w:tcBorders>
            <w:shd w:val="clear" w:color="auto" w:fill="auto"/>
            <w:tcMar>
              <w:top w:w="57" w:type="dxa"/>
              <w:left w:w="0" w:type="dxa"/>
              <w:bottom w:w="113" w:type="dxa"/>
              <w:right w:w="0" w:type="dxa"/>
            </w:tcMar>
            <w:vAlign w:val="bottom"/>
          </w:tcPr>
          <w:p w14:paraId="36615004"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IFRS</w:t>
            </w:r>
            <w:r w:rsidRPr="00CA3F6E">
              <w:rPr>
                <w:rFonts w:ascii="Tahoma" w:hAnsi="Tahoma"/>
                <w:color w:val="000000" w:themeColor="text1"/>
                <w:w w:val="70"/>
                <w:sz w:val="16"/>
                <w:vertAlign w:val="superscript"/>
                <w:lang w:val="en-GB"/>
              </w:rPr>
              <w:t>1</w:t>
            </w:r>
          </w:p>
          <w:p w14:paraId="4E477AAD" w14:textId="77777777" w:rsidR="00E630B5" w:rsidRPr="00CA3F6E" w:rsidRDefault="00E630B5" w:rsidP="003F70CC">
            <w:pPr>
              <w:spacing w:line="240" w:lineRule="atLeast"/>
              <w:jc w:val="right"/>
              <w:rPr>
                <w:rFonts w:ascii="Tahoma" w:hAnsi="Tahoma"/>
                <w:color w:val="000000" w:themeColor="text1"/>
                <w:w w:val="70"/>
                <w:sz w:val="16"/>
                <w:lang w:val="en-GB"/>
              </w:rPr>
            </w:pPr>
            <w:proofErr w:type="spellStart"/>
            <w:r w:rsidRPr="00CA3F6E">
              <w:rPr>
                <w:rFonts w:ascii="Tahoma" w:hAnsi="Tahoma"/>
                <w:color w:val="000000" w:themeColor="text1"/>
                <w:w w:val="70"/>
                <w:sz w:val="16"/>
                <w:lang w:val="en-GB"/>
              </w:rPr>
              <w:t>US$’m</w:t>
            </w:r>
            <w:proofErr w:type="spellEnd"/>
          </w:p>
        </w:tc>
        <w:tc>
          <w:tcPr>
            <w:tcW w:w="851" w:type="dxa"/>
            <w:tcBorders>
              <w:bottom w:val="single" w:sz="12" w:space="0" w:color="auto"/>
            </w:tcBorders>
            <w:shd w:val="clear" w:color="auto" w:fill="auto"/>
            <w:tcMar>
              <w:top w:w="57" w:type="dxa"/>
              <w:left w:w="0" w:type="dxa"/>
              <w:bottom w:w="113" w:type="dxa"/>
              <w:right w:w="0" w:type="dxa"/>
            </w:tcMar>
            <w:vAlign w:val="bottom"/>
          </w:tcPr>
          <w:p w14:paraId="273A14CB" w14:textId="77777777" w:rsidR="00E630B5" w:rsidRPr="00CA3F6E" w:rsidRDefault="00E630B5" w:rsidP="003F70CC">
            <w:pPr>
              <w:spacing w:line="240" w:lineRule="atLeast"/>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 xml:space="preserve">Group </w:t>
            </w:r>
          </w:p>
          <w:p w14:paraId="7A3C7055" w14:textId="77777777" w:rsidR="00E630B5" w:rsidRPr="00CA3F6E" w:rsidRDefault="00E630B5" w:rsidP="003F70CC">
            <w:pPr>
              <w:spacing w:line="240" w:lineRule="atLeast"/>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 xml:space="preserve">composition </w:t>
            </w:r>
          </w:p>
          <w:p w14:paraId="7BAE5CBE" w14:textId="77777777" w:rsidR="00E630B5" w:rsidRPr="00CA3F6E" w:rsidRDefault="00E630B5" w:rsidP="003F70CC">
            <w:pPr>
              <w:spacing w:line="240" w:lineRule="atLeast"/>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 xml:space="preserve">disposal </w:t>
            </w:r>
          </w:p>
          <w:p w14:paraId="6B28EC91" w14:textId="77777777" w:rsidR="00E630B5" w:rsidRPr="00CA3F6E" w:rsidRDefault="00E630B5" w:rsidP="003F70CC">
            <w:pPr>
              <w:spacing w:line="240" w:lineRule="atLeast"/>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adjustment</w:t>
            </w:r>
          </w:p>
          <w:p w14:paraId="1C086725" w14:textId="77777777" w:rsidR="00E630B5" w:rsidRPr="00CA3F6E" w:rsidRDefault="00E630B5" w:rsidP="003F70CC">
            <w:pPr>
              <w:spacing w:line="240" w:lineRule="atLeast"/>
              <w:jc w:val="right"/>
              <w:rPr>
                <w:rFonts w:ascii="Tahoma" w:hAnsi="Tahoma"/>
                <w:b/>
                <w:bCs/>
                <w:color w:val="000000" w:themeColor="text1"/>
                <w:w w:val="70"/>
                <w:sz w:val="16"/>
                <w:lang w:val="en-GB"/>
              </w:rPr>
            </w:pPr>
            <w:proofErr w:type="spellStart"/>
            <w:r w:rsidRPr="00CA3F6E">
              <w:rPr>
                <w:rFonts w:ascii="Tahoma" w:hAnsi="Tahoma"/>
                <w:b/>
                <w:bCs/>
                <w:color w:val="000000" w:themeColor="text1"/>
                <w:w w:val="70"/>
                <w:sz w:val="16"/>
                <w:lang w:val="en-GB"/>
              </w:rPr>
              <w:t>US$’m</w:t>
            </w:r>
            <w:proofErr w:type="spellEnd"/>
          </w:p>
        </w:tc>
        <w:tc>
          <w:tcPr>
            <w:tcW w:w="992" w:type="dxa"/>
            <w:tcBorders>
              <w:bottom w:val="single" w:sz="12" w:space="0" w:color="auto"/>
            </w:tcBorders>
            <w:shd w:val="clear" w:color="auto" w:fill="auto"/>
            <w:tcMar>
              <w:top w:w="57" w:type="dxa"/>
              <w:left w:w="0" w:type="dxa"/>
              <w:bottom w:w="113" w:type="dxa"/>
              <w:right w:w="0" w:type="dxa"/>
            </w:tcMar>
            <w:vAlign w:val="bottom"/>
          </w:tcPr>
          <w:p w14:paraId="0969C2A6" w14:textId="77777777" w:rsidR="00E630B5" w:rsidRPr="00CA3F6E" w:rsidRDefault="00E630B5" w:rsidP="003F70CC">
            <w:pPr>
              <w:spacing w:line="240" w:lineRule="atLeast"/>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 xml:space="preserve">Group </w:t>
            </w:r>
          </w:p>
          <w:p w14:paraId="395D035E" w14:textId="77777777" w:rsidR="00E630B5" w:rsidRPr="00CA3F6E" w:rsidRDefault="00E630B5" w:rsidP="003F70CC">
            <w:pPr>
              <w:spacing w:line="240" w:lineRule="atLeast"/>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 xml:space="preserve">composition </w:t>
            </w:r>
          </w:p>
          <w:p w14:paraId="4056F54E" w14:textId="77777777" w:rsidR="00E630B5" w:rsidRPr="00CA3F6E" w:rsidRDefault="00E630B5" w:rsidP="003F70CC">
            <w:pPr>
              <w:spacing w:line="240" w:lineRule="atLeast"/>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 xml:space="preserve">acquisition </w:t>
            </w:r>
          </w:p>
          <w:p w14:paraId="630D881A" w14:textId="77777777" w:rsidR="00E630B5" w:rsidRPr="00CA3F6E" w:rsidRDefault="00E630B5" w:rsidP="003F70CC">
            <w:pPr>
              <w:spacing w:line="240" w:lineRule="atLeast"/>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adjustment</w:t>
            </w:r>
          </w:p>
          <w:p w14:paraId="192B3453" w14:textId="77777777" w:rsidR="00E630B5" w:rsidRPr="00CA3F6E" w:rsidRDefault="00E630B5" w:rsidP="003F70CC">
            <w:pPr>
              <w:spacing w:line="240" w:lineRule="atLeast"/>
              <w:jc w:val="right"/>
              <w:rPr>
                <w:rFonts w:ascii="Tahoma" w:hAnsi="Tahoma"/>
                <w:b/>
                <w:bCs/>
                <w:color w:val="000000" w:themeColor="text1"/>
                <w:w w:val="70"/>
                <w:sz w:val="16"/>
                <w:lang w:val="en-GB"/>
              </w:rPr>
            </w:pPr>
            <w:proofErr w:type="spellStart"/>
            <w:r w:rsidRPr="00CA3F6E">
              <w:rPr>
                <w:rFonts w:ascii="Tahoma" w:hAnsi="Tahoma"/>
                <w:b/>
                <w:bCs/>
                <w:color w:val="000000" w:themeColor="text1"/>
                <w:w w:val="70"/>
                <w:sz w:val="16"/>
                <w:lang w:val="en-GB"/>
              </w:rPr>
              <w:t>US$’m</w:t>
            </w:r>
            <w:proofErr w:type="spellEnd"/>
          </w:p>
        </w:tc>
        <w:tc>
          <w:tcPr>
            <w:tcW w:w="850" w:type="dxa"/>
            <w:tcBorders>
              <w:bottom w:val="single" w:sz="12" w:space="0" w:color="auto"/>
            </w:tcBorders>
            <w:shd w:val="clear" w:color="auto" w:fill="auto"/>
            <w:tcMar>
              <w:top w:w="57" w:type="dxa"/>
              <w:left w:w="0" w:type="dxa"/>
              <w:bottom w:w="113" w:type="dxa"/>
              <w:right w:w="0" w:type="dxa"/>
            </w:tcMar>
            <w:vAlign w:val="bottom"/>
          </w:tcPr>
          <w:p w14:paraId="298316B1" w14:textId="77777777" w:rsidR="00E630B5" w:rsidRPr="00CA3F6E" w:rsidRDefault="00E630B5" w:rsidP="003F70CC">
            <w:pPr>
              <w:spacing w:line="240" w:lineRule="atLeast"/>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 xml:space="preserve">Foreign </w:t>
            </w:r>
          </w:p>
          <w:p w14:paraId="250A432B" w14:textId="77777777" w:rsidR="00E630B5" w:rsidRPr="00CA3F6E" w:rsidRDefault="00E630B5" w:rsidP="003F70CC">
            <w:pPr>
              <w:spacing w:line="240" w:lineRule="atLeast"/>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 xml:space="preserve">currency </w:t>
            </w:r>
          </w:p>
          <w:p w14:paraId="15BF8B4F" w14:textId="77777777" w:rsidR="00E630B5" w:rsidRPr="00CA3F6E" w:rsidRDefault="00E630B5" w:rsidP="003F70CC">
            <w:pPr>
              <w:spacing w:line="240" w:lineRule="atLeast"/>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adjustment</w:t>
            </w:r>
          </w:p>
          <w:p w14:paraId="70502280" w14:textId="77777777" w:rsidR="00E630B5" w:rsidRPr="00CA3F6E" w:rsidRDefault="00E630B5" w:rsidP="003F70CC">
            <w:pPr>
              <w:spacing w:line="240" w:lineRule="atLeast"/>
              <w:jc w:val="right"/>
              <w:rPr>
                <w:rFonts w:ascii="Tahoma" w:hAnsi="Tahoma"/>
                <w:b/>
                <w:bCs/>
                <w:color w:val="000000" w:themeColor="text1"/>
                <w:w w:val="70"/>
                <w:sz w:val="16"/>
                <w:lang w:val="en-GB"/>
              </w:rPr>
            </w:pPr>
            <w:proofErr w:type="spellStart"/>
            <w:r w:rsidRPr="00CA3F6E">
              <w:rPr>
                <w:rFonts w:ascii="Tahoma" w:hAnsi="Tahoma"/>
                <w:b/>
                <w:bCs/>
                <w:color w:val="000000" w:themeColor="text1"/>
                <w:w w:val="70"/>
                <w:sz w:val="16"/>
                <w:lang w:val="en-GB"/>
              </w:rPr>
              <w:t>US$’m</w:t>
            </w:r>
            <w:proofErr w:type="spellEnd"/>
          </w:p>
        </w:tc>
        <w:tc>
          <w:tcPr>
            <w:tcW w:w="709" w:type="dxa"/>
            <w:tcBorders>
              <w:bottom w:val="single" w:sz="12" w:space="0" w:color="auto"/>
            </w:tcBorders>
            <w:shd w:val="clear" w:color="auto" w:fill="auto"/>
            <w:tcMar>
              <w:top w:w="57" w:type="dxa"/>
              <w:left w:w="0" w:type="dxa"/>
              <w:bottom w:w="113" w:type="dxa"/>
              <w:right w:w="0" w:type="dxa"/>
            </w:tcMar>
            <w:vAlign w:val="bottom"/>
          </w:tcPr>
          <w:p w14:paraId="4D48694F" w14:textId="77777777" w:rsidR="00E630B5" w:rsidRPr="00CA3F6E" w:rsidRDefault="00E630B5" w:rsidP="003F70CC">
            <w:pPr>
              <w:spacing w:line="240" w:lineRule="atLeast"/>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 xml:space="preserve">Local </w:t>
            </w:r>
          </w:p>
          <w:p w14:paraId="6DFCC93F" w14:textId="77777777" w:rsidR="00E630B5" w:rsidRPr="00CA3F6E" w:rsidRDefault="00E630B5" w:rsidP="003F70CC">
            <w:pPr>
              <w:spacing w:line="240" w:lineRule="atLeast"/>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 xml:space="preserve">currency </w:t>
            </w:r>
          </w:p>
          <w:p w14:paraId="15C17604" w14:textId="77777777" w:rsidR="00E630B5" w:rsidRPr="00CA3F6E" w:rsidRDefault="00E630B5" w:rsidP="003F70CC">
            <w:pPr>
              <w:spacing w:line="240" w:lineRule="atLeast"/>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growth</w:t>
            </w:r>
          </w:p>
          <w:p w14:paraId="39D9424F" w14:textId="77777777" w:rsidR="00E630B5" w:rsidRPr="00CA3F6E" w:rsidRDefault="00E630B5" w:rsidP="003F70CC">
            <w:pPr>
              <w:spacing w:line="240" w:lineRule="atLeast"/>
              <w:jc w:val="right"/>
              <w:rPr>
                <w:rFonts w:ascii="Tahoma" w:hAnsi="Tahoma"/>
                <w:b/>
                <w:bCs/>
                <w:color w:val="000000" w:themeColor="text1"/>
                <w:w w:val="70"/>
                <w:sz w:val="16"/>
                <w:lang w:val="en-GB"/>
              </w:rPr>
            </w:pPr>
            <w:proofErr w:type="spellStart"/>
            <w:r w:rsidRPr="00CA3F6E">
              <w:rPr>
                <w:rFonts w:ascii="Tahoma" w:hAnsi="Tahoma"/>
                <w:b/>
                <w:bCs/>
                <w:color w:val="000000" w:themeColor="text1"/>
                <w:w w:val="70"/>
                <w:sz w:val="16"/>
                <w:lang w:val="en-GB"/>
              </w:rPr>
              <w:t>US$’m</w:t>
            </w:r>
            <w:proofErr w:type="spellEnd"/>
          </w:p>
        </w:tc>
        <w:tc>
          <w:tcPr>
            <w:tcW w:w="709" w:type="dxa"/>
            <w:tcBorders>
              <w:bottom w:val="single" w:sz="12" w:space="0" w:color="auto"/>
            </w:tcBorders>
            <w:shd w:val="clear" w:color="auto" w:fill="auto"/>
            <w:tcMar>
              <w:top w:w="57" w:type="dxa"/>
              <w:left w:w="0" w:type="dxa"/>
              <w:bottom w:w="113" w:type="dxa"/>
              <w:right w:w="0" w:type="dxa"/>
            </w:tcMar>
            <w:vAlign w:val="bottom"/>
          </w:tcPr>
          <w:p w14:paraId="5ED195C8" w14:textId="77777777" w:rsidR="00E630B5" w:rsidRPr="00CA3F6E" w:rsidRDefault="00E630B5" w:rsidP="003F70CC">
            <w:pPr>
              <w:spacing w:line="240" w:lineRule="atLeast"/>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IFRS</w:t>
            </w:r>
            <w:r w:rsidRPr="00CA3F6E">
              <w:rPr>
                <w:rFonts w:ascii="Tahoma" w:hAnsi="Tahoma"/>
                <w:b/>
                <w:bCs/>
                <w:color w:val="000000" w:themeColor="text1"/>
                <w:w w:val="70"/>
                <w:sz w:val="16"/>
                <w:vertAlign w:val="superscript"/>
                <w:lang w:val="en-GB"/>
              </w:rPr>
              <w:t>1</w:t>
            </w:r>
          </w:p>
          <w:p w14:paraId="296C05A1" w14:textId="77777777" w:rsidR="00E630B5" w:rsidRPr="00CA3F6E" w:rsidRDefault="00E630B5" w:rsidP="003F70CC">
            <w:pPr>
              <w:spacing w:line="240" w:lineRule="atLeast"/>
              <w:jc w:val="right"/>
              <w:rPr>
                <w:rFonts w:ascii="Tahoma" w:hAnsi="Tahoma"/>
                <w:b/>
                <w:bCs/>
                <w:color w:val="000000" w:themeColor="text1"/>
                <w:w w:val="70"/>
                <w:sz w:val="16"/>
                <w:lang w:val="en-GB"/>
              </w:rPr>
            </w:pPr>
            <w:proofErr w:type="spellStart"/>
            <w:r w:rsidRPr="00CA3F6E">
              <w:rPr>
                <w:rFonts w:ascii="Tahoma" w:hAnsi="Tahoma"/>
                <w:b/>
                <w:bCs/>
                <w:color w:val="000000" w:themeColor="text1"/>
                <w:w w:val="70"/>
                <w:sz w:val="16"/>
                <w:lang w:val="en-GB"/>
              </w:rPr>
              <w:t>US$’m</w:t>
            </w:r>
            <w:proofErr w:type="spellEnd"/>
          </w:p>
        </w:tc>
        <w:tc>
          <w:tcPr>
            <w:tcW w:w="709" w:type="dxa"/>
            <w:tcBorders>
              <w:bottom w:val="single" w:sz="12" w:space="0" w:color="auto"/>
            </w:tcBorders>
            <w:shd w:val="clear" w:color="auto" w:fill="auto"/>
            <w:tcMar>
              <w:top w:w="57" w:type="dxa"/>
              <w:left w:w="0" w:type="dxa"/>
              <w:bottom w:w="113" w:type="dxa"/>
              <w:right w:w="0" w:type="dxa"/>
            </w:tcMar>
            <w:vAlign w:val="bottom"/>
          </w:tcPr>
          <w:p w14:paraId="3020C183" w14:textId="77777777" w:rsidR="00E630B5" w:rsidRPr="00CA3F6E" w:rsidRDefault="00E630B5" w:rsidP="003F70CC">
            <w:pPr>
              <w:spacing w:line="240" w:lineRule="atLeast"/>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 xml:space="preserve">Local </w:t>
            </w:r>
          </w:p>
          <w:p w14:paraId="73AC9820" w14:textId="77777777" w:rsidR="00E630B5" w:rsidRPr="00CA3F6E" w:rsidRDefault="00E630B5" w:rsidP="003F70CC">
            <w:pPr>
              <w:spacing w:line="240" w:lineRule="atLeast"/>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 xml:space="preserve">currency </w:t>
            </w:r>
          </w:p>
          <w:p w14:paraId="3F550627" w14:textId="77777777" w:rsidR="00E630B5" w:rsidRPr="00CA3F6E" w:rsidRDefault="00E630B5" w:rsidP="003F70CC">
            <w:pPr>
              <w:spacing w:line="240" w:lineRule="atLeast"/>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growth</w:t>
            </w:r>
          </w:p>
          <w:p w14:paraId="3BD9C9D4" w14:textId="77777777" w:rsidR="00E630B5" w:rsidRPr="00CA3F6E" w:rsidRDefault="00E630B5" w:rsidP="003F70CC">
            <w:pPr>
              <w:spacing w:line="240" w:lineRule="atLeast"/>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 xml:space="preserve">% </w:t>
            </w:r>
            <w:proofErr w:type="gramStart"/>
            <w:r w:rsidRPr="00CA3F6E">
              <w:rPr>
                <w:rFonts w:ascii="Tahoma" w:hAnsi="Tahoma"/>
                <w:b/>
                <w:bCs/>
                <w:color w:val="000000" w:themeColor="text1"/>
                <w:w w:val="70"/>
                <w:sz w:val="16"/>
                <w:lang w:val="en-GB"/>
              </w:rPr>
              <w:t>change</w:t>
            </w:r>
            <w:proofErr w:type="gramEnd"/>
          </w:p>
        </w:tc>
        <w:tc>
          <w:tcPr>
            <w:tcW w:w="708" w:type="dxa"/>
            <w:tcBorders>
              <w:bottom w:val="single" w:sz="12" w:space="0" w:color="auto"/>
            </w:tcBorders>
            <w:shd w:val="clear" w:color="auto" w:fill="auto"/>
            <w:tcMar>
              <w:top w:w="57" w:type="dxa"/>
              <w:left w:w="0" w:type="dxa"/>
              <w:bottom w:w="113" w:type="dxa"/>
              <w:right w:w="0" w:type="dxa"/>
            </w:tcMar>
            <w:vAlign w:val="bottom"/>
          </w:tcPr>
          <w:p w14:paraId="2D20A4AE" w14:textId="77777777" w:rsidR="00E630B5" w:rsidRPr="00CA3F6E" w:rsidRDefault="00E630B5" w:rsidP="003F70CC">
            <w:pPr>
              <w:spacing w:line="240" w:lineRule="atLeast"/>
              <w:ind w:right="113"/>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IFRS</w:t>
            </w:r>
          </w:p>
          <w:p w14:paraId="585A78CF" w14:textId="77777777" w:rsidR="00E630B5" w:rsidRPr="00CA3F6E" w:rsidRDefault="00E630B5" w:rsidP="003F70CC">
            <w:pPr>
              <w:spacing w:line="240" w:lineRule="atLeast"/>
              <w:ind w:right="113"/>
              <w:jc w:val="right"/>
              <w:rPr>
                <w:rFonts w:ascii="Tahoma" w:hAnsi="Tahoma"/>
                <w:b/>
                <w:bCs/>
                <w:color w:val="000000" w:themeColor="text1"/>
                <w:w w:val="70"/>
                <w:sz w:val="16"/>
                <w:lang w:val="en-GB"/>
              </w:rPr>
            </w:pPr>
            <w:r w:rsidRPr="00CA3F6E">
              <w:rPr>
                <w:rFonts w:ascii="Tahoma" w:hAnsi="Tahoma"/>
                <w:b/>
                <w:bCs/>
                <w:color w:val="000000" w:themeColor="text1"/>
                <w:w w:val="70"/>
                <w:sz w:val="16"/>
                <w:lang w:val="en-GB"/>
              </w:rPr>
              <w:t xml:space="preserve">% </w:t>
            </w:r>
            <w:proofErr w:type="gramStart"/>
            <w:r w:rsidRPr="00CA3F6E">
              <w:rPr>
                <w:rFonts w:ascii="Tahoma" w:hAnsi="Tahoma"/>
                <w:b/>
                <w:bCs/>
                <w:color w:val="000000" w:themeColor="text1"/>
                <w:w w:val="70"/>
                <w:sz w:val="16"/>
                <w:lang w:val="en-GB"/>
              </w:rPr>
              <w:t>change</w:t>
            </w:r>
            <w:proofErr w:type="gramEnd"/>
          </w:p>
        </w:tc>
      </w:tr>
      <w:tr w:rsidR="00E630B5" w:rsidRPr="00CA3F6E" w14:paraId="4792F363" w14:textId="77777777" w:rsidTr="00DA18D3">
        <w:trPr>
          <w:trHeight w:val="60"/>
        </w:trPr>
        <w:tc>
          <w:tcPr>
            <w:tcW w:w="397" w:type="dxa"/>
            <w:shd w:val="clear" w:color="auto" w:fill="auto"/>
            <w:tcMar>
              <w:top w:w="142" w:type="dxa"/>
              <w:left w:w="0" w:type="dxa"/>
              <w:bottom w:w="57" w:type="dxa"/>
              <w:right w:w="0" w:type="dxa"/>
            </w:tcMar>
            <w:vAlign w:val="bottom"/>
          </w:tcPr>
          <w:p w14:paraId="2D9BF91C" w14:textId="77777777" w:rsidR="00E630B5" w:rsidRPr="00CA3F6E" w:rsidRDefault="00E630B5" w:rsidP="009D23C7">
            <w:pPr>
              <w:spacing w:line="240" w:lineRule="atLeast"/>
              <w:rPr>
                <w:rFonts w:ascii="Tahoma" w:hAnsi="Tahoma"/>
                <w:color w:val="000000" w:themeColor="text1"/>
                <w:sz w:val="16"/>
                <w:lang w:val="en-GB"/>
              </w:rPr>
            </w:pPr>
          </w:p>
        </w:tc>
        <w:tc>
          <w:tcPr>
            <w:tcW w:w="3714" w:type="dxa"/>
            <w:tcBorders>
              <w:top w:val="single" w:sz="12" w:space="0" w:color="auto"/>
            </w:tcBorders>
            <w:shd w:val="clear" w:color="auto" w:fill="auto"/>
            <w:tcMar>
              <w:top w:w="142" w:type="dxa"/>
              <w:left w:w="0" w:type="dxa"/>
              <w:bottom w:w="57" w:type="dxa"/>
              <w:right w:w="0" w:type="dxa"/>
            </w:tcMar>
            <w:vAlign w:val="bottom"/>
          </w:tcPr>
          <w:p w14:paraId="53B0728D" w14:textId="77777777" w:rsidR="00E630B5" w:rsidRPr="00CA3F6E" w:rsidRDefault="00E630B5" w:rsidP="009D23C7">
            <w:pPr>
              <w:spacing w:line="240" w:lineRule="atLeast"/>
              <w:rPr>
                <w:rFonts w:ascii="Tahoma" w:hAnsi="Tahoma"/>
                <w:b/>
                <w:bCs/>
                <w:color w:val="000000" w:themeColor="text1"/>
                <w:sz w:val="16"/>
                <w:lang w:val="en-GB"/>
              </w:rPr>
            </w:pPr>
            <w:r w:rsidRPr="00CA3F6E">
              <w:rPr>
                <w:rFonts w:ascii="Tahoma" w:hAnsi="Tahoma"/>
                <w:b/>
                <w:bCs/>
                <w:color w:val="000000" w:themeColor="text1"/>
                <w:sz w:val="16"/>
                <w:lang w:val="en-GB"/>
              </w:rPr>
              <w:t>Continuing operations</w:t>
            </w:r>
          </w:p>
        </w:tc>
        <w:tc>
          <w:tcPr>
            <w:tcW w:w="567" w:type="dxa"/>
            <w:tcBorders>
              <w:top w:val="single" w:sz="12" w:space="0" w:color="auto"/>
            </w:tcBorders>
            <w:shd w:val="clear" w:color="auto" w:fill="auto"/>
            <w:tcMar>
              <w:top w:w="142" w:type="dxa"/>
              <w:left w:w="0" w:type="dxa"/>
              <w:bottom w:w="57" w:type="dxa"/>
              <w:right w:w="0" w:type="dxa"/>
            </w:tcMar>
            <w:vAlign w:val="bottom"/>
          </w:tcPr>
          <w:p w14:paraId="33275AB9" w14:textId="77777777" w:rsidR="00E630B5" w:rsidRPr="00CA3F6E" w:rsidRDefault="00E630B5" w:rsidP="003F70CC">
            <w:pPr>
              <w:spacing w:line="240" w:lineRule="atLeast"/>
              <w:jc w:val="right"/>
              <w:rPr>
                <w:rFonts w:ascii="Tahoma" w:hAnsi="Tahoma"/>
                <w:color w:val="000000" w:themeColor="text1"/>
                <w:w w:val="70"/>
                <w:sz w:val="16"/>
                <w:lang w:val="en-GB"/>
              </w:rPr>
            </w:pPr>
          </w:p>
        </w:tc>
        <w:tc>
          <w:tcPr>
            <w:tcW w:w="851" w:type="dxa"/>
            <w:tcBorders>
              <w:top w:val="single" w:sz="12" w:space="0" w:color="auto"/>
            </w:tcBorders>
            <w:shd w:val="clear" w:color="auto" w:fill="auto"/>
            <w:tcMar>
              <w:top w:w="142" w:type="dxa"/>
              <w:left w:w="0" w:type="dxa"/>
              <w:bottom w:w="57" w:type="dxa"/>
              <w:right w:w="0" w:type="dxa"/>
            </w:tcMar>
            <w:vAlign w:val="bottom"/>
          </w:tcPr>
          <w:p w14:paraId="07D03A56" w14:textId="77777777" w:rsidR="00E630B5" w:rsidRPr="00CA3F6E" w:rsidRDefault="00E630B5" w:rsidP="003F70CC">
            <w:pPr>
              <w:spacing w:line="240" w:lineRule="atLeast"/>
              <w:jc w:val="right"/>
              <w:rPr>
                <w:rFonts w:ascii="Tahoma" w:hAnsi="Tahoma"/>
                <w:color w:val="000000" w:themeColor="text1"/>
                <w:w w:val="70"/>
                <w:sz w:val="16"/>
                <w:lang w:val="en-GB"/>
              </w:rPr>
            </w:pPr>
          </w:p>
        </w:tc>
        <w:tc>
          <w:tcPr>
            <w:tcW w:w="992" w:type="dxa"/>
            <w:tcBorders>
              <w:top w:val="single" w:sz="12" w:space="0" w:color="auto"/>
            </w:tcBorders>
            <w:shd w:val="clear" w:color="auto" w:fill="auto"/>
            <w:tcMar>
              <w:top w:w="142" w:type="dxa"/>
              <w:left w:w="0" w:type="dxa"/>
              <w:bottom w:w="57" w:type="dxa"/>
              <w:right w:w="0" w:type="dxa"/>
            </w:tcMar>
            <w:vAlign w:val="bottom"/>
          </w:tcPr>
          <w:p w14:paraId="5A5AA186" w14:textId="77777777" w:rsidR="00E630B5" w:rsidRPr="00CA3F6E" w:rsidRDefault="00E630B5" w:rsidP="003F70CC">
            <w:pPr>
              <w:spacing w:line="240" w:lineRule="atLeast"/>
              <w:jc w:val="right"/>
              <w:rPr>
                <w:rFonts w:ascii="Tahoma" w:hAnsi="Tahoma"/>
                <w:color w:val="000000" w:themeColor="text1"/>
                <w:w w:val="70"/>
                <w:sz w:val="16"/>
                <w:lang w:val="en-GB"/>
              </w:rPr>
            </w:pPr>
          </w:p>
        </w:tc>
        <w:tc>
          <w:tcPr>
            <w:tcW w:w="850" w:type="dxa"/>
            <w:tcBorders>
              <w:top w:val="single" w:sz="12" w:space="0" w:color="auto"/>
            </w:tcBorders>
            <w:shd w:val="clear" w:color="auto" w:fill="auto"/>
            <w:tcMar>
              <w:top w:w="142" w:type="dxa"/>
              <w:left w:w="0" w:type="dxa"/>
              <w:bottom w:w="57" w:type="dxa"/>
              <w:right w:w="0" w:type="dxa"/>
            </w:tcMar>
            <w:vAlign w:val="bottom"/>
          </w:tcPr>
          <w:p w14:paraId="61F378EE" w14:textId="77777777" w:rsidR="00E630B5" w:rsidRPr="00CA3F6E" w:rsidRDefault="00E630B5" w:rsidP="003F70CC">
            <w:pPr>
              <w:spacing w:line="240" w:lineRule="atLeast"/>
              <w:jc w:val="right"/>
              <w:rPr>
                <w:rFonts w:ascii="Tahoma" w:hAnsi="Tahoma"/>
                <w:color w:val="000000" w:themeColor="text1"/>
                <w:w w:val="70"/>
                <w:sz w:val="16"/>
                <w:lang w:val="en-GB"/>
              </w:rPr>
            </w:pPr>
          </w:p>
        </w:tc>
        <w:tc>
          <w:tcPr>
            <w:tcW w:w="709" w:type="dxa"/>
            <w:tcBorders>
              <w:top w:val="single" w:sz="12" w:space="0" w:color="auto"/>
            </w:tcBorders>
            <w:shd w:val="clear" w:color="auto" w:fill="auto"/>
            <w:tcMar>
              <w:top w:w="142" w:type="dxa"/>
              <w:left w:w="0" w:type="dxa"/>
              <w:bottom w:w="57" w:type="dxa"/>
              <w:right w:w="0" w:type="dxa"/>
            </w:tcMar>
            <w:vAlign w:val="bottom"/>
          </w:tcPr>
          <w:p w14:paraId="547327D7" w14:textId="77777777" w:rsidR="00E630B5" w:rsidRPr="00CA3F6E" w:rsidRDefault="00E630B5" w:rsidP="003F70CC">
            <w:pPr>
              <w:spacing w:line="240" w:lineRule="atLeast"/>
              <w:jc w:val="right"/>
              <w:rPr>
                <w:rFonts w:ascii="Tahoma" w:hAnsi="Tahoma"/>
                <w:color w:val="000000" w:themeColor="text1"/>
                <w:w w:val="70"/>
                <w:sz w:val="16"/>
                <w:lang w:val="en-GB"/>
              </w:rPr>
            </w:pPr>
          </w:p>
        </w:tc>
        <w:tc>
          <w:tcPr>
            <w:tcW w:w="709" w:type="dxa"/>
            <w:tcBorders>
              <w:top w:val="single" w:sz="12" w:space="0" w:color="auto"/>
            </w:tcBorders>
            <w:shd w:val="clear" w:color="auto" w:fill="auto"/>
            <w:tcMar>
              <w:top w:w="142" w:type="dxa"/>
              <w:left w:w="0" w:type="dxa"/>
              <w:bottom w:w="57" w:type="dxa"/>
              <w:right w:w="0" w:type="dxa"/>
            </w:tcMar>
            <w:vAlign w:val="bottom"/>
          </w:tcPr>
          <w:p w14:paraId="60CC33BA" w14:textId="77777777" w:rsidR="00E630B5" w:rsidRPr="00CA3F6E" w:rsidRDefault="00E630B5" w:rsidP="003F70CC">
            <w:pPr>
              <w:spacing w:line="240" w:lineRule="atLeast"/>
              <w:jc w:val="right"/>
              <w:rPr>
                <w:rFonts w:ascii="Tahoma" w:hAnsi="Tahoma"/>
                <w:color w:val="000000" w:themeColor="text1"/>
                <w:w w:val="70"/>
                <w:sz w:val="16"/>
                <w:lang w:val="en-GB"/>
              </w:rPr>
            </w:pPr>
          </w:p>
        </w:tc>
        <w:tc>
          <w:tcPr>
            <w:tcW w:w="709" w:type="dxa"/>
            <w:tcBorders>
              <w:top w:val="single" w:sz="12" w:space="0" w:color="auto"/>
            </w:tcBorders>
            <w:shd w:val="clear" w:color="auto" w:fill="auto"/>
            <w:tcMar>
              <w:top w:w="142" w:type="dxa"/>
              <w:left w:w="0" w:type="dxa"/>
              <w:bottom w:w="57" w:type="dxa"/>
              <w:right w:w="0" w:type="dxa"/>
            </w:tcMar>
            <w:vAlign w:val="bottom"/>
          </w:tcPr>
          <w:p w14:paraId="14E9517F" w14:textId="77777777" w:rsidR="00E630B5" w:rsidRPr="00CA3F6E" w:rsidRDefault="00E630B5" w:rsidP="003F70CC">
            <w:pPr>
              <w:spacing w:line="240" w:lineRule="atLeast"/>
              <w:jc w:val="right"/>
              <w:rPr>
                <w:rFonts w:ascii="Tahoma" w:hAnsi="Tahoma"/>
                <w:color w:val="000000" w:themeColor="text1"/>
                <w:w w:val="70"/>
                <w:sz w:val="16"/>
                <w:lang w:val="en-GB"/>
              </w:rPr>
            </w:pPr>
          </w:p>
        </w:tc>
        <w:tc>
          <w:tcPr>
            <w:tcW w:w="708" w:type="dxa"/>
            <w:tcBorders>
              <w:top w:val="single" w:sz="12" w:space="0" w:color="auto"/>
            </w:tcBorders>
            <w:shd w:val="clear" w:color="auto" w:fill="auto"/>
            <w:tcMar>
              <w:top w:w="142" w:type="dxa"/>
              <w:left w:w="0" w:type="dxa"/>
              <w:bottom w:w="57" w:type="dxa"/>
              <w:right w:w="0" w:type="dxa"/>
            </w:tcMar>
            <w:vAlign w:val="bottom"/>
          </w:tcPr>
          <w:p w14:paraId="55E83054" w14:textId="77777777" w:rsidR="00E630B5" w:rsidRPr="00CA3F6E" w:rsidRDefault="00E630B5" w:rsidP="003F70CC">
            <w:pPr>
              <w:spacing w:line="240" w:lineRule="atLeast"/>
              <w:ind w:right="113"/>
              <w:jc w:val="right"/>
              <w:rPr>
                <w:rFonts w:ascii="Tahoma" w:hAnsi="Tahoma"/>
                <w:color w:val="000000" w:themeColor="text1"/>
                <w:w w:val="70"/>
                <w:sz w:val="16"/>
                <w:lang w:val="en-GB"/>
              </w:rPr>
            </w:pPr>
          </w:p>
        </w:tc>
      </w:tr>
      <w:tr w:rsidR="00E630B5" w:rsidRPr="00CA3F6E" w14:paraId="4C5F291A" w14:textId="77777777" w:rsidTr="009D23C7">
        <w:trPr>
          <w:trHeight w:val="60"/>
        </w:trPr>
        <w:tc>
          <w:tcPr>
            <w:tcW w:w="397" w:type="dxa"/>
            <w:shd w:val="clear" w:color="auto" w:fill="auto"/>
            <w:tcMar>
              <w:top w:w="57" w:type="dxa"/>
              <w:left w:w="0" w:type="dxa"/>
              <w:bottom w:w="57" w:type="dxa"/>
              <w:right w:w="0" w:type="dxa"/>
            </w:tcMar>
            <w:vAlign w:val="bottom"/>
          </w:tcPr>
          <w:p w14:paraId="6B8FF3E1" w14:textId="77777777" w:rsidR="00E630B5" w:rsidRPr="00CA3F6E" w:rsidRDefault="00E630B5" w:rsidP="009D23C7">
            <w:pPr>
              <w:spacing w:line="240" w:lineRule="atLeast"/>
              <w:rPr>
                <w:rFonts w:ascii="Tahoma" w:hAnsi="Tahoma"/>
                <w:color w:val="000000" w:themeColor="text1"/>
                <w:sz w:val="16"/>
                <w:lang w:val="en-GB"/>
              </w:rPr>
            </w:pPr>
          </w:p>
        </w:tc>
        <w:tc>
          <w:tcPr>
            <w:tcW w:w="3714" w:type="dxa"/>
            <w:shd w:val="clear" w:color="auto" w:fill="auto"/>
            <w:tcMar>
              <w:top w:w="57" w:type="dxa"/>
              <w:left w:w="0" w:type="dxa"/>
              <w:bottom w:w="57" w:type="dxa"/>
              <w:right w:w="0" w:type="dxa"/>
            </w:tcMar>
            <w:vAlign w:val="bottom"/>
          </w:tcPr>
          <w:p w14:paraId="0C8BF38E" w14:textId="77777777" w:rsidR="00E630B5" w:rsidRPr="00CA3F6E" w:rsidRDefault="00E630B5" w:rsidP="009D23C7">
            <w:pPr>
              <w:spacing w:line="240" w:lineRule="atLeast"/>
              <w:rPr>
                <w:rFonts w:ascii="Tahoma" w:hAnsi="Tahoma"/>
                <w:b/>
                <w:bCs/>
                <w:color w:val="000000" w:themeColor="text1"/>
                <w:sz w:val="16"/>
                <w:lang w:val="en-GB"/>
              </w:rPr>
            </w:pPr>
            <w:r w:rsidRPr="00CA3F6E">
              <w:rPr>
                <w:rFonts w:ascii="Tahoma" w:hAnsi="Tahoma"/>
                <w:b/>
                <w:bCs/>
                <w:color w:val="000000" w:themeColor="text1"/>
                <w:sz w:val="16"/>
                <w:lang w:val="en-GB"/>
              </w:rPr>
              <w:t>Trading profit</w:t>
            </w:r>
          </w:p>
        </w:tc>
        <w:tc>
          <w:tcPr>
            <w:tcW w:w="567" w:type="dxa"/>
            <w:shd w:val="clear" w:color="auto" w:fill="auto"/>
            <w:tcMar>
              <w:top w:w="57" w:type="dxa"/>
              <w:left w:w="0" w:type="dxa"/>
              <w:bottom w:w="57" w:type="dxa"/>
              <w:right w:w="0" w:type="dxa"/>
            </w:tcMar>
            <w:vAlign w:val="bottom"/>
          </w:tcPr>
          <w:p w14:paraId="700B48F4" w14:textId="77777777" w:rsidR="00E630B5" w:rsidRPr="00CA3F6E" w:rsidRDefault="00E630B5" w:rsidP="003F70CC">
            <w:pPr>
              <w:spacing w:line="240" w:lineRule="atLeast"/>
              <w:jc w:val="right"/>
              <w:rPr>
                <w:rFonts w:ascii="Tahoma" w:hAnsi="Tahoma"/>
                <w:color w:val="000000" w:themeColor="text1"/>
                <w:w w:val="70"/>
                <w:sz w:val="16"/>
                <w:lang w:val="en-GB"/>
              </w:rPr>
            </w:pPr>
          </w:p>
        </w:tc>
        <w:tc>
          <w:tcPr>
            <w:tcW w:w="851" w:type="dxa"/>
            <w:shd w:val="clear" w:color="auto" w:fill="auto"/>
            <w:tcMar>
              <w:top w:w="57" w:type="dxa"/>
              <w:left w:w="0" w:type="dxa"/>
              <w:bottom w:w="57" w:type="dxa"/>
              <w:right w:w="0" w:type="dxa"/>
            </w:tcMar>
            <w:vAlign w:val="bottom"/>
          </w:tcPr>
          <w:p w14:paraId="7BFAA595" w14:textId="77777777" w:rsidR="00E630B5" w:rsidRPr="00CA3F6E" w:rsidRDefault="00E630B5" w:rsidP="003F70CC">
            <w:pPr>
              <w:spacing w:line="240" w:lineRule="atLeast"/>
              <w:jc w:val="right"/>
              <w:rPr>
                <w:rFonts w:ascii="Tahoma" w:hAnsi="Tahoma"/>
                <w:color w:val="000000" w:themeColor="text1"/>
                <w:w w:val="70"/>
                <w:sz w:val="16"/>
                <w:lang w:val="en-GB"/>
              </w:rPr>
            </w:pPr>
          </w:p>
        </w:tc>
        <w:tc>
          <w:tcPr>
            <w:tcW w:w="992" w:type="dxa"/>
            <w:shd w:val="clear" w:color="auto" w:fill="auto"/>
            <w:tcMar>
              <w:top w:w="57" w:type="dxa"/>
              <w:left w:w="0" w:type="dxa"/>
              <w:bottom w:w="57" w:type="dxa"/>
              <w:right w:w="0" w:type="dxa"/>
            </w:tcMar>
            <w:vAlign w:val="bottom"/>
          </w:tcPr>
          <w:p w14:paraId="59AF4987" w14:textId="77777777" w:rsidR="00E630B5" w:rsidRPr="00CA3F6E" w:rsidRDefault="00E630B5" w:rsidP="003F70CC">
            <w:pPr>
              <w:spacing w:line="240" w:lineRule="atLeast"/>
              <w:jc w:val="right"/>
              <w:rPr>
                <w:rFonts w:ascii="Tahoma" w:hAnsi="Tahoma"/>
                <w:color w:val="000000" w:themeColor="text1"/>
                <w:w w:val="70"/>
                <w:sz w:val="16"/>
                <w:lang w:val="en-GB"/>
              </w:rPr>
            </w:pPr>
          </w:p>
        </w:tc>
        <w:tc>
          <w:tcPr>
            <w:tcW w:w="850" w:type="dxa"/>
            <w:shd w:val="clear" w:color="auto" w:fill="auto"/>
            <w:tcMar>
              <w:top w:w="57" w:type="dxa"/>
              <w:left w:w="0" w:type="dxa"/>
              <w:bottom w:w="57" w:type="dxa"/>
              <w:right w:w="0" w:type="dxa"/>
            </w:tcMar>
            <w:vAlign w:val="bottom"/>
          </w:tcPr>
          <w:p w14:paraId="34A49862" w14:textId="77777777" w:rsidR="00E630B5" w:rsidRPr="00CA3F6E" w:rsidRDefault="00E630B5" w:rsidP="003F70CC">
            <w:pPr>
              <w:spacing w:line="240" w:lineRule="atLeast"/>
              <w:jc w:val="right"/>
              <w:rPr>
                <w:rFonts w:ascii="Tahoma" w:hAnsi="Tahoma"/>
                <w:color w:val="000000" w:themeColor="text1"/>
                <w:w w:val="70"/>
                <w:sz w:val="16"/>
                <w:lang w:val="en-GB"/>
              </w:rPr>
            </w:pPr>
          </w:p>
        </w:tc>
        <w:tc>
          <w:tcPr>
            <w:tcW w:w="709" w:type="dxa"/>
            <w:shd w:val="clear" w:color="auto" w:fill="auto"/>
            <w:tcMar>
              <w:top w:w="57" w:type="dxa"/>
              <w:left w:w="0" w:type="dxa"/>
              <w:bottom w:w="57" w:type="dxa"/>
              <w:right w:w="0" w:type="dxa"/>
            </w:tcMar>
            <w:vAlign w:val="bottom"/>
          </w:tcPr>
          <w:p w14:paraId="2976C75D" w14:textId="77777777" w:rsidR="00E630B5" w:rsidRPr="00CA3F6E" w:rsidRDefault="00E630B5" w:rsidP="003F70CC">
            <w:pPr>
              <w:spacing w:line="240" w:lineRule="atLeast"/>
              <w:jc w:val="right"/>
              <w:rPr>
                <w:rFonts w:ascii="Tahoma" w:hAnsi="Tahoma"/>
                <w:color w:val="000000" w:themeColor="text1"/>
                <w:w w:val="70"/>
                <w:sz w:val="16"/>
                <w:lang w:val="en-GB"/>
              </w:rPr>
            </w:pPr>
          </w:p>
        </w:tc>
        <w:tc>
          <w:tcPr>
            <w:tcW w:w="709" w:type="dxa"/>
            <w:shd w:val="clear" w:color="auto" w:fill="auto"/>
            <w:tcMar>
              <w:top w:w="57" w:type="dxa"/>
              <w:left w:w="0" w:type="dxa"/>
              <w:bottom w:w="57" w:type="dxa"/>
              <w:right w:w="0" w:type="dxa"/>
            </w:tcMar>
            <w:vAlign w:val="bottom"/>
          </w:tcPr>
          <w:p w14:paraId="4CCAF381" w14:textId="77777777" w:rsidR="00E630B5" w:rsidRPr="00CA3F6E" w:rsidRDefault="00E630B5" w:rsidP="003F70CC">
            <w:pPr>
              <w:spacing w:line="240" w:lineRule="atLeast"/>
              <w:jc w:val="right"/>
              <w:rPr>
                <w:rFonts w:ascii="Tahoma" w:hAnsi="Tahoma"/>
                <w:color w:val="000000" w:themeColor="text1"/>
                <w:w w:val="70"/>
                <w:sz w:val="16"/>
                <w:lang w:val="en-GB"/>
              </w:rPr>
            </w:pPr>
          </w:p>
        </w:tc>
        <w:tc>
          <w:tcPr>
            <w:tcW w:w="709" w:type="dxa"/>
            <w:shd w:val="clear" w:color="auto" w:fill="auto"/>
            <w:tcMar>
              <w:top w:w="57" w:type="dxa"/>
              <w:left w:w="0" w:type="dxa"/>
              <w:bottom w:w="57" w:type="dxa"/>
              <w:right w:w="0" w:type="dxa"/>
            </w:tcMar>
            <w:vAlign w:val="bottom"/>
          </w:tcPr>
          <w:p w14:paraId="20EC88F6" w14:textId="77777777" w:rsidR="00E630B5" w:rsidRPr="00CA3F6E" w:rsidRDefault="00E630B5" w:rsidP="003F70CC">
            <w:pPr>
              <w:spacing w:line="240" w:lineRule="atLeast"/>
              <w:jc w:val="right"/>
              <w:rPr>
                <w:rFonts w:ascii="Tahoma" w:hAnsi="Tahoma"/>
                <w:color w:val="000000" w:themeColor="text1"/>
                <w:w w:val="70"/>
                <w:sz w:val="16"/>
                <w:lang w:val="en-GB"/>
              </w:rPr>
            </w:pPr>
          </w:p>
        </w:tc>
        <w:tc>
          <w:tcPr>
            <w:tcW w:w="708" w:type="dxa"/>
            <w:shd w:val="clear" w:color="auto" w:fill="auto"/>
            <w:tcMar>
              <w:top w:w="57" w:type="dxa"/>
              <w:left w:w="0" w:type="dxa"/>
              <w:bottom w:w="57" w:type="dxa"/>
              <w:right w:w="0" w:type="dxa"/>
            </w:tcMar>
            <w:vAlign w:val="bottom"/>
          </w:tcPr>
          <w:p w14:paraId="2D4F0AD4" w14:textId="77777777" w:rsidR="00E630B5" w:rsidRPr="00CA3F6E" w:rsidRDefault="00E630B5" w:rsidP="003F70CC">
            <w:pPr>
              <w:spacing w:line="240" w:lineRule="atLeast"/>
              <w:ind w:right="113"/>
              <w:jc w:val="right"/>
              <w:rPr>
                <w:rFonts w:ascii="Tahoma" w:hAnsi="Tahoma"/>
                <w:color w:val="000000" w:themeColor="text1"/>
                <w:w w:val="70"/>
                <w:sz w:val="16"/>
                <w:lang w:val="en-GB"/>
              </w:rPr>
            </w:pPr>
          </w:p>
        </w:tc>
      </w:tr>
      <w:tr w:rsidR="00E630B5" w:rsidRPr="00CA3F6E" w14:paraId="02EAD26F" w14:textId="77777777" w:rsidTr="00831432">
        <w:trPr>
          <w:trHeight w:val="60"/>
        </w:trPr>
        <w:tc>
          <w:tcPr>
            <w:tcW w:w="397" w:type="dxa"/>
            <w:shd w:val="clear" w:color="auto" w:fill="auto"/>
            <w:tcMar>
              <w:top w:w="57" w:type="dxa"/>
              <w:left w:w="0" w:type="dxa"/>
              <w:bottom w:w="57" w:type="dxa"/>
              <w:right w:w="0" w:type="dxa"/>
            </w:tcMar>
            <w:vAlign w:val="bottom"/>
          </w:tcPr>
          <w:p w14:paraId="79B8AC39" w14:textId="77777777" w:rsidR="00E630B5" w:rsidRPr="00CA3F6E" w:rsidRDefault="00E630B5" w:rsidP="009D23C7">
            <w:pPr>
              <w:spacing w:line="240" w:lineRule="atLeast"/>
              <w:rPr>
                <w:rFonts w:ascii="Tahoma" w:hAnsi="Tahoma"/>
                <w:color w:val="000000" w:themeColor="text1"/>
                <w:sz w:val="16"/>
                <w:lang w:val="en-GB"/>
              </w:rPr>
            </w:pPr>
          </w:p>
        </w:tc>
        <w:tc>
          <w:tcPr>
            <w:tcW w:w="3714" w:type="dxa"/>
            <w:shd w:val="clear" w:color="auto" w:fill="auto"/>
            <w:tcMar>
              <w:top w:w="57" w:type="dxa"/>
              <w:left w:w="0" w:type="dxa"/>
              <w:bottom w:w="57" w:type="dxa"/>
              <w:right w:w="0" w:type="dxa"/>
            </w:tcMar>
            <w:vAlign w:val="bottom"/>
          </w:tcPr>
          <w:p w14:paraId="3CB4087C" w14:textId="77777777" w:rsidR="00E630B5" w:rsidRPr="00CA3F6E" w:rsidRDefault="00E630B5" w:rsidP="009D23C7">
            <w:pPr>
              <w:spacing w:line="240" w:lineRule="atLeast"/>
              <w:rPr>
                <w:rFonts w:ascii="Tahoma" w:hAnsi="Tahoma"/>
                <w:i/>
                <w:iCs/>
                <w:color w:val="000000" w:themeColor="text1"/>
                <w:sz w:val="16"/>
                <w:lang w:val="en-GB"/>
              </w:rPr>
            </w:pPr>
            <w:r w:rsidRPr="00CA3F6E">
              <w:rPr>
                <w:rFonts w:ascii="Tahoma" w:hAnsi="Tahoma"/>
                <w:i/>
                <w:iCs/>
                <w:color w:val="000000" w:themeColor="text1"/>
                <w:sz w:val="16"/>
                <w:lang w:val="en-GB"/>
              </w:rPr>
              <w:t>Ecommerce</w:t>
            </w:r>
          </w:p>
        </w:tc>
        <w:tc>
          <w:tcPr>
            <w:tcW w:w="567" w:type="dxa"/>
            <w:tcBorders>
              <w:bottom w:val="single" w:sz="4" w:space="0" w:color="auto"/>
            </w:tcBorders>
            <w:shd w:val="clear" w:color="auto" w:fill="auto"/>
            <w:tcMar>
              <w:top w:w="57" w:type="dxa"/>
              <w:left w:w="0" w:type="dxa"/>
              <w:bottom w:w="57" w:type="dxa"/>
              <w:right w:w="0" w:type="dxa"/>
            </w:tcMar>
            <w:vAlign w:val="bottom"/>
          </w:tcPr>
          <w:p w14:paraId="61B64799"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(522)</w:t>
            </w:r>
          </w:p>
        </w:tc>
        <w:tc>
          <w:tcPr>
            <w:tcW w:w="851" w:type="dxa"/>
            <w:tcBorders>
              <w:bottom w:val="single" w:sz="4" w:space="0" w:color="auto"/>
            </w:tcBorders>
            <w:shd w:val="clear" w:color="auto" w:fill="auto"/>
            <w:tcMar>
              <w:top w:w="57" w:type="dxa"/>
              <w:left w:w="0" w:type="dxa"/>
              <w:bottom w:w="57" w:type="dxa"/>
              <w:right w:w="0" w:type="dxa"/>
            </w:tcMar>
            <w:vAlign w:val="bottom"/>
          </w:tcPr>
          <w:p w14:paraId="28E5AE85"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5</w:t>
            </w:r>
          </w:p>
        </w:tc>
        <w:tc>
          <w:tcPr>
            <w:tcW w:w="992" w:type="dxa"/>
            <w:tcBorders>
              <w:bottom w:val="single" w:sz="4" w:space="0" w:color="auto"/>
            </w:tcBorders>
            <w:shd w:val="clear" w:color="auto" w:fill="auto"/>
            <w:tcMar>
              <w:top w:w="57" w:type="dxa"/>
              <w:left w:w="0" w:type="dxa"/>
              <w:bottom w:w="57" w:type="dxa"/>
              <w:right w:w="0" w:type="dxa"/>
            </w:tcMar>
            <w:vAlign w:val="bottom"/>
          </w:tcPr>
          <w:p w14:paraId="0E64FA6A"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(198)</w:t>
            </w:r>
          </w:p>
        </w:tc>
        <w:tc>
          <w:tcPr>
            <w:tcW w:w="850" w:type="dxa"/>
            <w:tcBorders>
              <w:bottom w:val="single" w:sz="4" w:space="0" w:color="auto"/>
            </w:tcBorders>
            <w:shd w:val="clear" w:color="auto" w:fill="auto"/>
            <w:tcMar>
              <w:top w:w="57" w:type="dxa"/>
              <w:left w:w="0" w:type="dxa"/>
              <w:bottom w:w="57" w:type="dxa"/>
              <w:right w:w="0" w:type="dxa"/>
            </w:tcMar>
            <w:vAlign w:val="bottom"/>
          </w:tcPr>
          <w:p w14:paraId="52E75CAB"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37</w:t>
            </w:r>
          </w:p>
        </w:tc>
        <w:tc>
          <w:tcPr>
            <w:tcW w:w="709" w:type="dxa"/>
            <w:tcBorders>
              <w:bottom w:val="single" w:sz="4" w:space="0" w:color="auto"/>
            </w:tcBorders>
            <w:shd w:val="clear" w:color="auto" w:fill="auto"/>
            <w:tcMar>
              <w:top w:w="57" w:type="dxa"/>
              <w:left w:w="0" w:type="dxa"/>
              <w:bottom w:w="57" w:type="dxa"/>
              <w:right w:w="0" w:type="dxa"/>
            </w:tcMar>
            <w:vAlign w:val="bottom"/>
          </w:tcPr>
          <w:p w14:paraId="10DAF3C0"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(320)</w:t>
            </w:r>
          </w:p>
        </w:tc>
        <w:tc>
          <w:tcPr>
            <w:tcW w:w="709" w:type="dxa"/>
            <w:tcBorders>
              <w:bottom w:val="single" w:sz="4" w:space="0" w:color="auto"/>
            </w:tcBorders>
            <w:shd w:val="clear" w:color="auto" w:fill="auto"/>
            <w:tcMar>
              <w:top w:w="57" w:type="dxa"/>
              <w:left w:w="0" w:type="dxa"/>
              <w:bottom w:w="57" w:type="dxa"/>
              <w:right w:w="0" w:type="dxa"/>
            </w:tcMar>
            <w:vAlign w:val="bottom"/>
          </w:tcPr>
          <w:p w14:paraId="3AC5C83E"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(998)</w:t>
            </w:r>
          </w:p>
        </w:tc>
        <w:tc>
          <w:tcPr>
            <w:tcW w:w="709" w:type="dxa"/>
            <w:tcBorders>
              <w:bottom w:val="single" w:sz="4" w:space="0" w:color="auto"/>
            </w:tcBorders>
            <w:shd w:val="clear" w:color="auto" w:fill="auto"/>
            <w:tcMar>
              <w:top w:w="57" w:type="dxa"/>
              <w:left w:w="0" w:type="dxa"/>
              <w:bottom w:w="57" w:type="dxa"/>
              <w:right w:w="0" w:type="dxa"/>
            </w:tcMar>
            <w:vAlign w:val="bottom"/>
          </w:tcPr>
          <w:p w14:paraId="509FD4E7" w14:textId="77777777" w:rsidR="00E630B5" w:rsidRPr="002571CB" w:rsidRDefault="00E630B5" w:rsidP="003F70CC">
            <w:pPr>
              <w:spacing w:line="240" w:lineRule="atLeast"/>
              <w:jc w:val="right"/>
              <w:rPr>
                <w:rFonts w:ascii="Tahoma" w:hAnsi="Tahoma"/>
                <w:b/>
                <w:bCs/>
                <w:color w:val="000000" w:themeColor="text1"/>
                <w:w w:val="70"/>
                <w:sz w:val="16"/>
                <w:lang w:val="en-GB"/>
              </w:rPr>
            </w:pPr>
            <w:r w:rsidRPr="002571CB">
              <w:rPr>
                <w:rFonts w:ascii="Tahoma" w:hAnsi="Tahoma"/>
                <w:b/>
                <w:bCs/>
                <w:color w:val="000000" w:themeColor="text1"/>
                <w:w w:val="70"/>
                <w:sz w:val="16"/>
                <w:lang w:val="en-GB"/>
              </w:rPr>
              <w:t>(62)</w:t>
            </w:r>
          </w:p>
        </w:tc>
        <w:tc>
          <w:tcPr>
            <w:tcW w:w="708" w:type="dxa"/>
            <w:tcBorders>
              <w:bottom w:val="single" w:sz="4" w:space="0" w:color="auto"/>
            </w:tcBorders>
            <w:shd w:val="clear" w:color="auto" w:fill="auto"/>
            <w:tcMar>
              <w:top w:w="57" w:type="dxa"/>
              <w:left w:w="0" w:type="dxa"/>
              <w:bottom w:w="57" w:type="dxa"/>
              <w:right w:w="0" w:type="dxa"/>
            </w:tcMar>
            <w:vAlign w:val="bottom"/>
          </w:tcPr>
          <w:p w14:paraId="1EB78EB7" w14:textId="77777777" w:rsidR="00E630B5" w:rsidRPr="002571CB" w:rsidRDefault="00E630B5" w:rsidP="003F70CC">
            <w:pPr>
              <w:spacing w:line="240" w:lineRule="atLeast"/>
              <w:ind w:right="113"/>
              <w:jc w:val="right"/>
              <w:rPr>
                <w:rFonts w:ascii="Tahoma" w:hAnsi="Tahoma"/>
                <w:b/>
                <w:bCs/>
                <w:color w:val="000000" w:themeColor="text1"/>
                <w:w w:val="70"/>
                <w:sz w:val="16"/>
                <w:lang w:val="en-GB"/>
              </w:rPr>
            </w:pPr>
            <w:r w:rsidRPr="002571CB">
              <w:rPr>
                <w:rFonts w:ascii="Tahoma" w:hAnsi="Tahoma"/>
                <w:b/>
                <w:bCs/>
                <w:color w:val="000000" w:themeColor="text1"/>
                <w:w w:val="70"/>
                <w:sz w:val="16"/>
                <w:lang w:val="en-GB"/>
              </w:rPr>
              <w:t>(91)</w:t>
            </w:r>
          </w:p>
        </w:tc>
      </w:tr>
      <w:tr w:rsidR="00E630B5" w:rsidRPr="00CA3F6E" w14:paraId="5F5898F8" w14:textId="77777777" w:rsidTr="00831432">
        <w:trPr>
          <w:trHeight w:val="60"/>
        </w:trPr>
        <w:tc>
          <w:tcPr>
            <w:tcW w:w="397" w:type="dxa"/>
            <w:shd w:val="clear" w:color="auto" w:fill="auto"/>
            <w:tcMar>
              <w:top w:w="57" w:type="dxa"/>
              <w:left w:w="0" w:type="dxa"/>
              <w:bottom w:w="57" w:type="dxa"/>
              <w:right w:w="0" w:type="dxa"/>
            </w:tcMar>
            <w:vAlign w:val="bottom"/>
          </w:tcPr>
          <w:p w14:paraId="05979889" w14:textId="77777777" w:rsidR="00E630B5" w:rsidRPr="00CA3F6E" w:rsidRDefault="00E630B5" w:rsidP="009D23C7">
            <w:pPr>
              <w:spacing w:line="240" w:lineRule="atLeast"/>
              <w:rPr>
                <w:rFonts w:ascii="Tahoma" w:hAnsi="Tahoma"/>
                <w:color w:val="000000" w:themeColor="text1"/>
                <w:sz w:val="16"/>
                <w:lang w:val="en-GB"/>
              </w:rPr>
            </w:pPr>
          </w:p>
        </w:tc>
        <w:tc>
          <w:tcPr>
            <w:tcW w:w="3714" w:type="dxa"/>
            <w:tcBorders>
              <w:right w:val="single" w:sz="4" w:space="0" w:color="auto"/>
            </w:tcBorders>
            <w:shd w:val="clear" w:color="auto" w:fill="auto"/>
            <w:tcMar>
              <w:top w:w="57" w:type="dxa"/>
              <w:left w:w="113" w:type="dxa"/>
              <w:bottom w:w="57" w:type="dxa"/>
              <w:right w:w="0" w:type="dxa"/>
            </w:tcMar>
            <w:vAlign w:val="bottom"/>
          </w:tcPr>
          <w:p w14:paraId="23C379B2" w14:textId="77777777" w:rsidR="00E630B5" w:rsidRPr="00CA3F6E" w:rsidRDefault="00E630B5"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Classifieds</w:t>
            </w:r>
            <w:r w:rsidRPr="00CA3F6E">
              <w:rPr>
                <w:rFonts w:ascii="Tahoma" w:hAnsi="Tahoma"/>
                <w:color w:val="000000" w:themeColor="text1"/>
                <w:sz w:val="16"/>
                <w:vertAlign w:val="superscript"/>
                <w:lang w:val="en-GB"/>
              </w:rPr>
              <w:t>5</w:t>
            </w:r>
          </w:p>
        </w:tc>
        <w:tc>
          <w:tcPr>
            <w:tcW w:w="567" w:type="dxa"/>
            <w:tcBorders>
              <w:top w:val="single" w:sz="4" w:space="0" w:color="auto"/>
              <w:left w:val="single" w:sz="4" w:space="0" w:color="auto"/>
            </w:tcBorders>
            <w:shd w:val="clear" w:color="auto" w:fill="auto"/>
            <w:tcMar>
              <w:top w:w="57" w:type="dxa"/>
              <w:left w:w="0" w:type="dxa"/>
              <w:bottom w:w="57" w:type="dxa"/>
              <w:right w:w="0" w:type="dxa"/>
            </w:tcMar>
            <w:vAlign w:val="bottom"/>
          </w:tcPr>
          <w:p w14:paraId="1D20556F"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(42)</w:t>
            </w:r>
          </w:p>
        </w:tc>
        <w:tc>
          <w:tcPr>
            <w:tcW w:w="851" w:type="dxa"/>
            <w:tcBorders>
              <w:top w:val="single" w:sz="4" w:space="0" w:color="auto"/>
            </w:tcBorders>
            <w:shd w:val="clear" w:color="auto" w:fill="auto"/>
            <w:tcMar>
              <w:top w:w="57" w:type="dxa"/>
              <w:left w:w="0" w:type="dxa"/>
              <w:bottom w:w="57" w:type="dxa"/>
              <w:right w:w="0" w:type="dxa"/>
            </w:tcMar>
            <w:vAlign w:val="bottom"/>
          </w:tcPr>
          <w:p w14:paraId="7C7A3B41"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(1)</w:t>
            </w:r>
          </w:p>
        </w:tc>
        <w:tc>
          <w:tcPr>
            <w:tcW w:w="992" w:type="dxa"/>
            <w:tcBorders>
              <w:top w:val="single" w:sz="4" w:space="0" w:color="auto"/>
            </w:tcBorders>
            <w:shd w:val="clear" w:color="auto" w:fill="auto"/>
            <w:tcMar>
              <w:top w:w="57" w:type="dxa"/>
              <w:left w:w="0" w:type="dxa"/>
              <w:bottom w:w="57" w:type="dxa"/>
              <w:right w:w="0" w:type="dxa"/>
            </w:tcMar>
            <w:vAlign w:val="bottom"/>
          </w:tcPr>
          <w:p w14:paraId="78403072"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w:t>
            </w:r>
          </w:p>
        </w:tc>
        <w:tc>
          <w:tcPr>
            <w:tcW w:w="850" w:type="dxa"/>
            <w:tcBorders>
              <w:top w:val="single" w:sz="4" w:space="0" w:color="auto"/>
            </w:tcBorders>
            <w:shd w:val="clear" w:color="auto" w:fill="auto"/>
            <w:tcMar>
              <w:top w:w="57" w:type="dxa"/>
              <w:left w:w="0" w:type="dxa"/>
              <w:bottom w:w="57" w:type="dxa"/>
              <w:right w:w="0" w:type="dxa"/>
            </w:tcMar>
            <w:vAlign w:val="bottom"/>
          </w:tcPr>
          <w:p w14:paraId="518F895D"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4</w:t>
            </w:r>
          </w:p>
        </w:tc>
        <w:tc>
          <w:tcPr>
            <w:tcW w:w="709" w:type="dxa"/>
            <w:tcBorders>
              <w:top w:val="single" w:sz="4" w:space="0" w:color="auto"/>
            </w:tcBorders>
            <w:shd w:val="clear" w:color="auto" w:fill="auto"/>
            <w:tcMar>
              <w:top w:w="57" w:type="dxa"/>
              <w:left w:w="0" w:type="dxa"/>
              <w:bottom w:w="57" w:type="dxa"/>
              <w:right w:w="0" w:type="dxa"/>
            </w:tcMar>
            <w:vAlign w:val="bottom"/>
          </w:tcPr>
          <w:p w14:paraId="0A9589AF"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(120)</w:t>
            </w:r>
          </w:p>
        </w:tc>
        <w:tc>
          <w:tcPr>
            <w:tcW w:w="709" w:type="dxa"/>
            <w:tcBorders>
              <w:top w:val="single" w:sz="4" w:space="0" w:color="auto"/>
            </w:tcBorders>
            <w:shd w:val="clear" w:color="auto" w:fill="auto"/>
            <w:tcMar>
              <w:top w:w="57" w:type="dxa"/>
              <w:left w:w="0" w:type="dxa"/>
              <w:bottom w:w="57" w:type="dxa"/>
              <w:right w:w="0" w:type="dxa"/>
            </w:tcMar>
            <w:vAlign w:val="bottom"/>
          </w:tcPr>
          <w:p w14:paraId="25CFAA56"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(159)</w:t>
            </w:r>
          </w:p>
        </w:tc>
        <w:tc>
          <w:tcPr>
            <w:tcW w:w="709" w:type="dxa"/>
            <w:tcBorders>
              <w:top w:val="single" w:sz="4" w:space="0" w:color="auto"/>
            </w:tcBorders>
            <w:shd w:val="clear" w:color="auto" w:fill="auto"/>
            <w:tcMar>
              <w:top w:w="57" w:type="dxa"/>
              <w:left w:w="0" w:type="dxa"/>
              <w:bottom w:w="57" w:type="dxa"/>
              <w:right w:w="0" w:type="dxa"/>
            </w:tcMar>
            <w:vAlign w:val="bottom"/>
          </w:tcPr>
          <w:p w14:paraId="2AC65BB7" w14:textId="77777777" w:rsidR="00E630B5" w:rsidRPr="002571CB" w:rsidRDefault="00E630B5" w:rsidP="003F70CC">
            <w:pPr>
              <w:spacing w:line="240" w:lineRule="atLeast"/>
              <w:jc w:val="right"/>
              <w:rPr>
                <w:rFonts w:ascii="Tahoma" w:hAnsi="Tahoma"/>
                <w:b/>
                <w:bCs/>
                <w:color w:val="000000" w:themeColor="text1"/>
                <w:w w:val="70"/>
                <w:sz w:val="16"/>
                <w:lang w:val="en-GB"/>
              </w:rPr>
            </w:pPr>
            <w:proofErr w:type="gramStart"/>
            <w:r w:rsidRPr="002571CB">
              <w:rPr>
                <w:rFonts w:ascii="Tahoma" w:hAnsi="Tahoma"/>
                <w:b/>
                <w:bCs/>
                <w:color w:val="000000" w:themeColor="text1"/>
                <w:w w:val="70"/>
                <w:sz w:val="16"/>
                <w:lang w:val="en-GB"/>
              </w:rPr>
              <w:t>&gt;(</w:t>
            </w:r>
            <w:proofErr w:type="gramEnd"/>
            <w:r w:rsidRPr="002571CB">
              <w:rPr>
                <w:rFonts w:ascii="Tahoma" w:hAnsi="Tahoma"/>
                <w:b/>
                <w:bCs/>
                <w:color w:val="000000" w:themeColor="text1"/>
                <w:w w:val="70"/>
                <w:sz w:val="16"/>
                <w:lang w:val="en-GB"/>
              </w:rPr>
              <w:t>100)</w:t>
            </w:r>
          </w:p>
        </w:tc>
        <w:tc>
          <w:tcPr>
            <w:tcW w:w="708" w:type="dxa"/>
            <w:tcBorders>
              <w:top w:val="single" w:sz="4" w:space="0" w:color="auto"/>
              <w:right w:val="single" w:sz="4" w:space="0" w:color="auto"/>
            </w:tcBorders>
            <w:shd w:val="clear" w:color="auto" w:fill="auto"/>
            <w:tcMar>
              <w:top w:w="57" w:type="dxa"/>
              <w:left w:w="0" w:type="dxa"/>
              <w:bottom w:w="57" w:type="dxa"/>
              <w:right w:w="0" w:type="dxa"/>
            </w:tcMar>
            <w:vAlign w:val="bottom"/>
          </w:tcPr>
          <w:p w14:paraId="16B95758" w14:textId="77777777" w:rsidR="00E630B5" w:rsidRPr="002571CB" w:rsidRDefault="00E630B5" w:rsidP="003F70CC">
            <w:pPr>
              <w:spacing w:line="240" w:lineRule="atLeast"/>
              <w:ind w:right="113"/>
              <w:jc w:val="right"/>
              <w:rPr>
                <w:rFonts w:ascii="Tahoma" w:hAnsi="Tahoma"/>
                <w:b/>
                <w:bCs/>
                <w:color w:val="000000" w:themeColor="text1"/>
                <w:w w:val="70"/>
                <w:sz w:val="16"/>
                <w:lang w:val="en-GB"/>
              </w:rPr>
            </w:pPr>
            <w:proofErr w:type="gramStart"/>
            <w:r w:rsidRPr="002571CB">
              <w:rPr>
                <w:rFonts w:ascii="Tahoma" w:hAnsi="Tahoma"/>
                <w:b/>
                <w:bCs/>
                <w:color w:val="000000" w:themeColor="text1"/>
                <w:w w:val="70"/>
                <w:sz w:val="16"/>
                <w:lang w:val="en-GB"/>
              </w:rPr>
              <w:t>&gt;(</w:t>
            </w:r>
            <w:proofErr w:type="gramEnd"/>
            <w:r w:rsidRPr="002571CB">
              <w:rPr>
                <w:rFonts w:ascii="Tahoma" w:hAnsi="Tahoma"/>
                <w:b/>
                <w:bCs/>
                <w:color w:val="000000" w:themeColor="text1"/>
                <w:w w:val="70"/>
                <w:sz w:val="16"/>
                <w:lang w:val="en-GB"/>
              </w:rPr>
              <w:t>100)</w:t>
            </w:r>
          </w:p>
        </w:tc>
      </w:tr>
      <w:tr w:rsidR="00E630B5" w:rsidRPr="00CA3F6E" w14:paraId="55E824F1" w14:textId="77777777" w:rsidTr="00831432">
        <w:trPr>
          <w:trHeight w:val="60"/>
        </w:trPr>
        <w:tc>
          <w:tcPr>
            <w:tcW w:w="397" w:type="dxa"/>
            <w:shd w:val="clear" w:color="auto" w:fill="auto"/>
            <w:tcMar>
              <w:top w:w="57" w:type="dxa"/>
              <w:left w:w="0" w:type="dxa"/>
              <w:bottom w:w="57" w:type="dxa"/>
              <w:right w:w="0" w:type="dxa"/>
            </w:tcMar>
            <w:vAlign w:val="bottom"/>
          </w:tcPr>
          <w:p w14:paraId="64F13F4D" w14:textId="77777777" w:rsidR="00E630B5" w:rsidRPr="00CA3F6E" w:rsidRDefault="00E630B5" w:rsidP="009D23C7">
            <w:pPr>
              <w:spacing w:line="240" w:lineRule="atLeast"/>
              <w:rPr>
                <w:rFonts w:ascii="Tahoma" w:hAnsi="Tahoma"/>
                <w:color w:val="000000" w:themeColor="text1"/>
                <w:sz w:val="16"/>
                <w:lang w:val="en-GB"/>
              </w:rPr>
            </w:pPr>
          </w:p>
        </w:tc>
        <w:tc>
          <w:tcPr>
            <w:tcW w:w="3714" w:type="dxa"/>
            <w:tcBorders>
              <w:right w:val="single" w:sz="4" w:space="0" w:color="auto"/>
            </w:tcBorders>
            <w:shd w:val="clear" w:color="auto" w:fill="auto"/>
            <w:tcMar>
              <w:top w:w="57" w:type="dxa"/>
              <w:left w:w="113" w:type="dxa"/>
              <w:bottom w:w="57" w:type="dxa"/>
              <w:right w:w="0" w:type="dxa"/>
            </w:tcMar>
            <w:vAlign w:val="bottom"/>
          </w:tcPr>
          <w:p w14:paraId="16166BAE" w14:textId="77777777" w:rsidR="00E630B5" w:rsidRPr="00CA3F6E" w:rsidRDefault="00E630B5"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Food Delivery</w:t>
            </w:r>
          </w:p>
        </w:tc>
        <w:tc>
          <w:tcPr>
            <w:tcW w:w="567" w:type="dxa"/>
            <w:tcBorders>
              <w:left w:val="single" w:sz="4" w:space="0" w:color="auto"/>
            </w:tcBorders>
            <w:shd w:val="clear" w:color="auto" w:fill="auto"/>
            <w:tcMar>
              <w:top w:w="57" w:type="dxa"/>
              <w:left w:w="0" w:type="dxa"/>
              <w:bottom w:w="57" w:type="dxa"/>
              <w:right w:w="0" w:type="dxa"/>
            </w:tcMar>
            <w:vAlign w:val="bottom"/>
          </w:tcPr>
          <w:p w14:paraId="752DAB9A"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(312)</w:t>
            </w:r>
          </w:p>
        </w:tc>
        <w:tc>
          <w:tcPr>
            <w:tcW w:w="851" w:type="dxa"/>
            <w:shd w:val="clear" w:color="auto" w:fill="auto"/>
            <w:tcMar>
              <w:top w:w="57" w:type="dxa"/>
              <w:left w:w="0" w:type="dxa"/>
              <w:bottom w:w="57" w:type="dxa"/>
              <w:right w:w="0" w:type="dxa"/>
            </w:tcMar>
            <w:vAlign w:val="bottom"/>
          </w:tcPr>
          <w:p w14:paraId="741D3864"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5</w:t>
            </w:r>
          </w:p>
        </w:tc>
        <w:tc>
          <w:tcPr>
            <w:tcW w:w="992" w:type="dxa"/>
            <w:shd w:val="clear" w:color="auto" w:fill="auto"/>
            <w:tcMar>
              <w:top w:w="57" w:type="dxa"/>
              <w:left w:w="0" w:type="dxa"/>
              <w:bottom w:w="57" w:type="dxa"/>
              <w:right w:w="0" w:type="dxa"/>
            </w:tcMar>
            <w:vAlign w:val="bottom"/>
          </w:tcPr>
          <w:p w14:paraId="20094180"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(70)</w:t>
            </w:r>
          </w:p>
        </w:tc>
        <w:tc>
          <w:tcPr>
            <w:tcW w:w="850" w:type="dxa"/>
            <w:shd w:val="clear" w:color="auto" w:fill="auto"/>
            <w:tcMar>
              <w:top w:w="57" w:type="dxa"/>
              <w:left w:w="0" w:type="dxa"/>
              <w:bottom w:w="57" w:type="dxa"/>
              <w:right w:w="0" w:type="dxa"/>
            </w:tcMar>
            <w:vAlign w:val="bottom"/>
          </w:tcPr>
          <w:p w14:paraId="1E229801"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26</w:t>
            </w:r>
          </w:p>
        </w:tc>
        <w:tc>
          <w:tcPr>
            <w:tcW w:w="709" w:type="dxa"/>
            <w:shd w:val="clear" w:color="auto" w:fill="auto"/>
            <w:tcMar>
              <w:top w:w="57" w:type="dxa"/>
              <w:left w:w="0" w:type="dxa"/>
              <w:bottom w:w="57" w:type="dxa"/>
              <w:right w:w="0" w:type="dxa"/>
            </w:tcMar>
            <w:vAlign w:val="bottom"/>
          </w:tcPr>
          <w:p w14:paraId="302E234C"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(30)</w:t>
            </w:r>
          </w:p>
        </w:tc>
        <w:tc>
          <w:tcPr>
            <w:tcW w:w="709" w:type="dxa"/>
            <w:shd w:val="clear" w:color="auto" w:fill="auto"/>
            <w:tcMar>
              <w:top w:w="57" w:type="dxa"/>
              <w:left w:w="0" w:type="dxa"/>
              <w:bottom w:w="57" w:type="dxa"/>
              <w:right w:w="0" w:type="dxa"/>
            </w:tcMar>
            <w:vAlign w:val="bottom"/>
          </w:tcPr>
          <w:p w14:paraId="750CF8A4"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(381)</w:t>
            </w:r>
          </w:p>
        </w:tc>
        <w:tc>
          <w:tcPr>
            <w:tcW w:w="709" w:type="dxa"/>
            <w:shd w:val="clear" w:color="auto" w:fill="auto"/>
            <w:tcMar>
              <w:top w:w="57" w:type="dxa"/>
              <w:left w:w="0" w:type="dxa"/>
              <w:bottom w:w="57" w:type="dxa"/>
              <w:right w:w="0" w:type="dxa"/>
            </w:tcMar>
            <w:vAlign w:val="bottom"/>
          </w:tcPr>
          <w:p w14:paraId="0DABAA36" w14:textId="77777777" w:rsidR="00E630B5" w:rsidRPr="002571CB" w:rsidRDefault="00E630B5" w:rsidP="003F70CC">
            <w:pPr>
              <w:spacing w:line="240" w:lineRule="atLeast"/>
              <w:jc w:val="right"/>
              <w:rPr>
                <w:rFonts w:ascii="Tahoma" w:hAnsi="Tahoma"/>
                <w:b/>
                <w:bCs/>
                <w:color w:val="000000" w:themeColor="text1"/>
                <w:w w:val="70"/>
                <w:sz w:val="16"/>
                <w:lang w:val="en-GB"/>
              </w:rPr>
            </w:pPr>
            <w:r w:rsidRPr="002571CB">
              <w:rPr>
                <w:rFonts w:ascii="Tahoma" w:hAnsi="Tahoma"/>
                <w:b/>
                <w:bCs/>
                <w:color w:val="000000" w:themeColor="text1"/>
                <w:w w:val="70"/>
                <w:sz w:val="16"/>
                <w:lang w:val="en-GB"/>
              </w:rPr>
              <w:t>(10)</w:t>
            </w:r>
          </w:p>
        </w:tc>
        <w:tc>
          <w:tcPr>
            <w:tcW w:w="708" w:type="dxa"/>
            <w:tcBorders>
              <w:right w:val="single" w:sz="4" w:space="0" w:color="auto"/>
            </w:tcBorders>
            <w:shd w:val="clear" w:color="auto" w:fill="auto"/>
            <w:tcMar>
              <w:top w:w="57" w:type="dxa"/>
              <w:left w:w="0" w:type="dxa"/>
              <w:bottom w:w="57" w:type="dxa"/>
              <w:right w:w="0" w:type="dxa"/>
            </w:tcMar>
            <w:vAlign w:val="bottom"/>
          </w:tcPr>
          <w:p w14:paraId="0DAD8C32" w14:textId="77777777" w:rsidR="00E630B5" w:rsidRPr="002571CB" w:rsidRDefault="00E630B5" w:rsidP="003F70CC">
            <w:pPr>
              <w:spacing w:line="240" w:lineRule="atLeast"/>
              <w:ind w:right="113"/>
              <w:jc w:val="right"/>
              <w:rPr>
                <w:rFonts w:ascii="Tahoma" w:hAnsi="Tahoma"/>
                <w:b/>
                <w:bCs/>
                <w:color w:val="000000" w:themeColor="text1"/>
                <w:w w:val="70"/>
                <w:sz w:val="16"/>
                <w:lang w:val="en-GB"/>
              </w:rPr>
            </w:pPr>
            <w:r w:rsidRPr="002571CB">
              <w:rPr>
                <w:rFonts w:ascii="Tahoma" w:hAnsi="Tahoma"/>
                <w:b/>
                <w:bCs/>
                <w:color w:val="000000" w:themeColor="text1"/>
                <w:w w:val="70"/>
                <w:sz w:val="16"/>
                <w:lang w:val="en-GB"/>
              </w:rPr>
              <w:t>(22)</w:t>
            </w:r>
          </w:p>
        </w:tc>
      </w:tr>
      <w:tr w:rsidR="00E630B5" w:rsidRPr="00CA3F6E" w14:paraId="1276AE64" w14:textId="77777777" w:rsidTr="00831432">
        <w:trPr>
          <w:trHeight w:val="60"/>
        </w:trPr>
        <w:tc>
          <w:tcPr>
            <w:tcW w:w="397" w:type="dxa"/>
            <w:shd w:val="clear" w:color="auto" w:fill="auto"/>
            <w:tcMar>
              <w:top w:w="57" w:type="dxa"/>
              <w:left w:w="0" w:type="dxa"/>
              <w:bottom w:w="57" w:type="dxa"/>
              <w:right w:w="0" w:type="dxa"/>
            </w:tcMar>
            <w:vAlign w:val="bottom"/>
          </w:tcPr>
          <w:p w14:paraId="45DE1608" w14:textId="77777777" w:rsidR="00E630B5" w:rsidRPr="00CA3F6E" w:rsidRDefault="00E630B5" w:rsidP="009D23C7">
            <w:pPr>
              <w:spacing w:line="240" w:lineRule="atLeast"/>
              <w:rPr>
                <w:rFonts w:ascii="Tahoma" w:hAnsi="Tahoma"/>
                <w:color w:val="000000" w:themeColor="text1"/>
                <w:sz w:val="16"/>
                <w:lang w:val="en-GB"/>
              </w:rPr>
            </w:pPr>
          </w:p>
        </w:tc>
        <w:tc>
          <w:tcPr>
            <w:tcW w:w="3714" w:type="dxa"/>
            <w:tcBorders>
              <w:right w:val="single" w:sz="4" w:space="0" w:color="auto"/>
            </w:tcBorders>
            <w:shd w:val="clear" w:color="auto" w:fill="auto"/>
            <w:tcMar>
              <w:top w:w="57" w:type="dxa"/>
              <w:left w:w="113" w:type="dxa"/>
              <w:bottom w:w="57" w:type="dxa"/>
              <w:right w:w="0" w:type="dxa"/>
            </w:tcMar>
            <w:vAlign w:val="bottom"/>
          </w:tcPr>
          <w:p w14:paraId="73FFFAA2" w14:textId="77777777" w:rsidR="00E630B5" w:rsidRPr="00CA3F6E" w:rsidRDefault="00E630B5"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Payments and Fintech</w:t>
            </w:r>
          </w:p>
        </w:tc>
        <w:tc>
          <w:tcPr>
            <w:tcW w:w="567" w:type="dxa"/>
            <w:tcBorders>
              <w:left w:val="single" w:sz="4" w:space="0" w:color="auto"/>
            </w:tcBorders>
            <w:shd w:val="clear" w:color="auto" w:fill="auto"/>
            <w:tcMar>
              <w:top w:w="57" w:type="dxa"/>
              <w:left w:w="0" w:type="dxa"/>
              <w:bottom w:w="57" w:type="dxa"/>
              <w:right w:w="0" w:type="dxa"/>
            </w:tcMar>
            <w:vAlign w:val="bottom"/>
          </w:tcPr>
          <w:p w14:paraId="3E3F0EDD"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(31)</w:t>
            </w:r>
          </w:p>
        </w:tc>
        <w:tc>
          <w:tcPr>
            <w:tcW w:w="851" w:type="dxa"/>
            <w:shd w:val="clear" w:color="auto" w:fill="auto"/>
            <w:tcMar>
              <w:top w:w="57" w:type="dxa"/>
              <w:left w:w="0" w:type="dxa"/>
              <w:bottom w:w="57" w:type="dxa"/>
              <w:right w:w="0" w:type="dxa"/>
            </w:tcMar>
            <w:vAlign w:val="bottom"/>
          </w:tcPr>
          <w:p w14:paraId="142A116D"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w:t>
            </w:r>
          </w:p>
        </w:tc>
        <w:tc>
          <w:tcPr>
            <w:tcW w:w="992" w:type="dxa"/>
            <w:shd w:val="clear" w:color="auto" w:fill="auto"/>
            <w:tcMar>
              <w:top w:w="57" w:type="dxa"/>
              <w:left w:w="0" w:type="dxa"/>
              <w:bottom w:w="57" w:type="dxa"/>
              <w:right w:w="0" w:type="dxa"/>
            </w:tcMar>
            <w:vAlign w:val="bottom"/>
          </w:tcPr>
          <w:p w14:paraId="2CEB2D9C"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(1)</w:t>
            </w:r>
          </w:p>
        </w:tc>
        <w:tc>
          <w:tcPr>
            <w:tcW w:w="850" w:type="dxa"/>
            <w:shd w:val="clear" w:color="auto" w:fill="auto"/>
            <w:tcMar>
              <w:top w:w="57" w:type="dxa"/>
              <w:left w:w="0" w:type="dxa"/>
              <w:bottom w:w="57" w:type="dxa"/>
              <w:right w:w="0" w:type="dxa"/>
            </w:tcMar>
            <w:vAlign w:val="bottom"/>
          </w:tcPr>
          <w:p w14:paraId="55417730"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(5)</w:t>
            </w:r>
          </w:p>
        </w:tc>
        <w:tc>
          <w:tcPr>
            <w:tcW w:w="709" w:type="dxa"/>
            <w:shd w:val="clear" w:color="auto" w:fill="auto"/>
            <w:tcMar>
              <w:top w:w="57" w:type="dxa"/>
              <w:left w:w="0" w:type="dxa"/>
              <w:bottom w:w="57" w:type="dxa"/>
              <w:right w:w="0" w:type="dxa"/>
            </w:tcMar>
            <w:vAlign w:val="bottom"/>
          </w:tcPr>
          <w:p w14:paraId="4B864B25"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(60)</w:t>
            </w:r>
          </w:p>
        </w:tc>
        <w:tc>
          <w:tcPr>
            <w:tcW w:w="709" w:type="dxa"/>
            <w:shd w:val="clear" w:color="auto" w:fill="auto"/>
            <w:tcMar>
              <w:top w:w="57" w:type="dxa"/>
              <w:left w:w="0" w:type="dxa"/>
              <w:bottom w:w="57" w:type="dxa"/>
              <w:right w:w="0" w:type="dxa"/>
            </w:tcMar>
            <w:vAlign w:val="bottom"/>
          </w:tcPr>
          <w:p w14:paraId="79FDBB0E"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(97)</w:t>
            </w:r>
          </w:p>
        </w:tc>
        <w:tc>
          <w:tcPr>
            <w:tcW w:w="709" w:type="dxa"/>
            <w:shd w:val="clear" w:color="auto" w:fill="auto"/>
            <w:tcMar>
              <w:top w:w="57" w:type="dxa"/>
              <w:left w:w="0" w:type="dxa"/>
              <w:bottom w:w="57" w:type="dxa"/>
              <w:right w:w="0" w:type="dxa"/>
            </w:tcMar>
            <w:vAlign w:val="bottom"/>
          </w:tcPr>
          <w:p w14:paraId="15FE0884" w14:textId="77777777" w:rsidR="00E630B5" w:rsidRPr="002571CB" w:rsidRDefault="00E630B5" w:rsidP="003F70CC">
            <w:pPr>
              <w:spacing w:line="240" w:lineRule="atLeast"/>
              <w:jc w:val="right"/>
              <w:rPr>
                <w:rFonts w:ascii="Tahoma" w:hAnsi="Tahoma"/>
                <w:b/>
                <w:bCs/>
                <w:color w:val="000000" w:themeColor="text1"/>
                <w:w w:val="70"/>
                <w:sz w:val="16"/>
                <w:lang w:val="en-GB"/>
              </w:rPr>
            </w:pPr>
            <w:proofErr w:type="gramStart"/>
            <w:r w:rsidRPr="002571CB">
              <w:rPr>
                <w:rFonts w:ascii="Tahoma" w:hAnsi="Tahoma"/>
                <w:b/>
                <w:bCs/>
                <w:color w:val="000000" w:themeColor="text1"/>
                <w:w w:val="70"/>
                <w:sz w:val="16"/>
                <w:lang w:val="en-GB"/>
              </w:rPr>
              <w:t>&gt;(</w:t>
            </w:r>
            <w:proofErr w:type="gramEnd"/>
            <w:r w:rsidRPr="002571CB">
              <w:rPr>
                <w:rFonts w:ascii="Tahoma" w:hAnsi="Tahoma"/>
                <w:b/>
                <w:bCs/>
                <w:color w:val="000000" w:themeColor="text1"/>
                <w:w w:val="70"/>
                <w:sz w:val="16"/>
                <w:lang w:val="en-GB"/>
              </w:rPr>
              <w:t>100)</w:t>
            </w:r>
          </w:p>
        </w:tc>
        <w:tc>
          <w:tcPr>
            <w:tcW w:w="708" w:type="dxa"/>
            <w:tcBorders>
              <w:right w:val="single" w:sz="4" w:space="0" w:color="auto"/>
            </w:tcBorders>
            <w:shd w:val="clear" w:color="auto" w:fill="auto"/>
            <w:tcMar>
              <w:top w:w="57" w:type="dxa"/>
              <w:left w:w="0" w:type="dxa"/>
              <w:bottom w:w="57" w:type="dxa"/>
              <w:right w:w="0" w:type="dxa"/>
            </w:tcMar>
            <w:vAlign w:val="bottom"/>
          </w:tcPr>
          <w:p w14:paraId="4D997051" w14:textId="77777777" w:rsidR="00E630B5" w:rsidRPr="002571CB" w:rsidRDefault="00E630B5" w:rsidP="003F70CC">
            <w:pPr>
              <w:spacing w:line="240" w:lineRule="atLeast"/>
              <w:ind w:right="113"/>
              <w:jc w:val="right"/>
              <w:rPr>
                <w:rFonts w:ascii="Tahoma" w:hAnsi="Tahoma"/>
                <w:b/>
                <w:bCs/>
                <w:color w:val="000000" w:themeColor="text1"/>
                <w:w w:val="70"/>
                <w:sz w:val="16"/>
                <w:lang w:val="en-GB"/>
              </w:rPr>
            </w:pPr>
            <w:proofErr w:type="gramStart"/>
            <w:r w:rsidRPr="002571CB">
              <w:rPr>
                <w:rFonts w:ascii="Tahoma" w:hAnsi="Tahoma"/>
                <w:b/>
                <w:bCs/>
                <w:color w:val="000000" w:themeColor="text1"/>
                <w:w w:val="70"/>
                <w:sz w:val="16"/>
                <w:lang w:val="en-GB"/>
              </w:rPr>
              <w:t>&gt;(</w:t>
            </w:r>
            <w:proofErr w:type="gramEnd"/>
            <w:r w:rsidRPr="002571CB">
              <w:rPr>
                <w:rFonts w:ascii="Tahoma" w:hAnsi="Tahoma"/>
                <w:b/>
                <w:bCs/>
                <w:color w:val="000000" w:themeColor="text1"/>
                <w:w w:val="70"/>
                <w:sz w:val="16"/>
                <w:lang w:val="en-GB"/>
              </w:rPr>
              <w:t>100)</w:t>
            </w:r>
          </w:p>
        </w:tc>
      </w:tr>
      <w:tr w:rsidR="00E630B5" w:rsidRPr="00CA3F6E" w14:paraId="20F054D1" w14:textId="77777777" w:rsidTr="00831432">
        <w:trPr>
          <w:trHeight w:val="60"/>
        </w:trPr>
        <w:tc>
          <w:tcPr>
            <w:tcW w:w="397" w:type="dxa"/>
            <w:shd w:val="clear" w:color="auto" w:fill="auto"/>
            <w:tcMar>
              <w:top w:w="57" w:type="dxa"/>
              <w:left w:w="0" w:type="dxa"/>
              <w:bottom w:w="57" w:type="dxa"/>
              <w:right w:w="0" w:type="dxa"/>
            </w:tcMar>
            <w:vAlign w:val="bottom"/>
          </w:tcPr>
          <w:p w14:paraId="6E0CF96F" w14:textId="77777777" w:rsidR="00E630B5" w:rsidRPr="00CA3F6E" w:rsidRDefault="00E630B5" w:rsidP="009D23C7">
            <w:pPr>
              <w:spacing w:line="240" w:lineRule="atLeast"/>
              <w:rPr>
                <w:rFonts w:ascii="Tahoma" w:hAnsi="Tahoma"/>
                <w:color w:val="000000" w:themeColor="text1"/>
                <w:sz w:val="16"/>
                <w:lang w:val="en-GB"/>
              </w:rPr>
            </w:pPr>
          </w:p>
        </w:tc>
        <w:tc>
          <w:tcPr>
            <w:tcW w:w="3714" w:type="dxa"/>
            <w:tcBorders>
              <w:right w:val="single" w:sz="4" w:space="0" w:color="auto"/>
            </w:tcBorders>
            <w:shd w:val="clear" w:color="auto" w:fill="auto"/>
            <w:tcMar>
              <w:top w:w="57" w:type="dxa"/>
              <w:left w:w="113" w:type="dxa"/>
              <w:bottom w:w="57" w:type="dxa"/>
              <w:right w:w="0" w:type="dxa"/>
            </w:tcMar>
            <w:vAlign w:val="bottom"/>
          </w:tcPr>
          <w:p w14:paraId="02C9FFA1" w14:textId="77777777" w:rsidR="00E630B5" w:rsidRPr="00CA3F6E" w:rsidRDefault="00E630B5"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Edtech</w:t>
            </w:r>
          </w:p>
        </w:tc>
        <w:tc>
          <w:tcPr>
            <w:tcW w:w="567" w:type="dxa"/>
            <w:tcBorders>
              <w:left w:val="single" w:sz="4" w:space="0" w:color="auto"/>
            </w:tcBorders>
            <w:shd w:val="clear" w:color="auto" w:fill="auto"/>
            <w:tcMar>
              <w:top w:w="57" w:type="dxa"/>
              <w:left w:w="0" w:type="dxa"/>
              <w:bottom w:w="57" w:type="dxa"/>
              <w:right w:w="0" w:type="dxa"/>
            </w:tcMar>
            <w:vAlign w:val="bottom"/>
          </w:tcPr>
          <w:p w14:paraId="1A6070F9"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(48)</w:t>
            </w:r>
          </w:p>
        </w:tc>
        <w:tc>
          <w:tcPr>
            <w:tcW w:w="851" w:type="dxa"/>
            <w:shd w:val="clear" w:color="auto" w:fill="auto"/>
            <w:tcMar>
              <w:top w:w="57" w:type="dxa"/>
              <w:left w:w="0" w:type="dxa"/>
              <w:bottom w:w="57" w:type="dxa"/>
              <w:right w:w="0" w:type="dxa"/>
            </w:tcMar>
            <w:vAlign w:val="bottom"/>
          </w:tcPr>
          <w:p w14:paraId="00DABDC1"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w:t>
            </w:r>
          </w:p>
        </w:tc>
        <w:tc>
          <w:tcPr>
            <w:tcW w:w="992" w:type="dxa"/>
            <w:shd w:val="clear" w:color="auto" w:fill="auto"/>
            <w:tcMar>
              <w:top w:w="57" w:type="dxa"/>
              <w:left w:w="0" w:type="dxa"/>
              <w:bottom w:w="57" w:type="dxa"/>
              <w:right w:w="0" w:type="dxa"/>
            </w:tcMar>
            <w:vAlign w:val="bottom"/>
          </w:tcPr>
          <w:p w14:paraId="62AE4F8E"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(94)</w:t>
            </w:r>
          </w:p>
        </w:tc>
        <w:tc>
          <w:tcPr>
            <w:tcW w:w="850" w:type="dxa"/>
            <w:shd w:val="clear" w:color="auto" w:fill="auto"/>
            <w:tcMar>
              <w:top w:w="57" w:type="dxa"/>
              <w:left w:w="0" w:type="dxa"/>
              <w:bottom w:w="57" w:type="dxa"/>
              <w:right w:w="0" w:type="dxa"/>
            </w:tcMar>
            <w:vAlign w:val="bottom"/>
          </w:tcPr>
          <w:p w14:paraId="542EEE80"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3</w:t>
            </w:r>
          </w:p>
        </w:tc>
        <w:tc>
          <w:tcPr>
            <w:tcW w:w="709" w:type="dxa"/>
            <w:shd w:val="clear" w:color="auto" w:fill="auto"/>
            <w:tcMar>
              <w:top w:w="57" w:type="dxa"/>
              <w:left w:w="0" w:type="dxa"/>
              <w:bottom w:w="57" w:type="dxa"/>
              <w:right w:w="0" w:type="dxa"/>
            </w:tcMar>
            <w:vAlign w:val="bottom"/>
          </w:tcPr>
          <w:p w14:paraId="278089BB"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(39)</w:t>
            </w:r>
          </w:p>
        </w:tc>
        <w:tc>
          <w:tcPr>
            <w:tcW w:w="709" w:type="dxa"/>
            <w:shd w:val="clear" w:color="auto" w:fill="auto"/>
            <w:tcMar>
              <w:top w:w="57" w:type="dxa"/>
              <w:left w:w="0" w:type="dxa"/>
              <w:bottom w:w="57" w:type="dxa"/>
              <w:right w:w="0" w:type="dxa"/>
            </w:tcMar>
            <w:vAlign w:val="bottom"/>
          </w:tcPr>
          <w:p w14:paraId="09308DA0"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(178)</w:t>
            </w:r>
          </w:p>
        </w:tc>
        <w:tc>
          <w:tcPr>
            <w:tcW w:w="709" w:type="dxa"/>
            <w:shd w:val="clear" w:color="auto" w:fill="auto"/>
            <w:tcMar>
              <w:top w:w="57" w:type="dxa"/>
              <w:left w:w="0" w:type="dxa"/>
              <w:bottom w:w="57" w:type="dxa"/>
              <w:right w:w="0" w:type="dxa"/>
            </w:tcMar>
            <w:vAlign w:val="bottom"/>
          </w:tcPr>
          <w:p w14:paraId="26B5D991" w14:textId="77777777" w:rsidR="00E630B5" w:rsidRPr="002571CB" w:rsidRDefault="00E630B5" w:rsidP="003F70CC">
            <w:pPr>
              <w:spacing w:line="240" w:lineRule="atLeast"/>
              <w:jc w:val="right"/>
              <w:rPr>
                <w:rFonts w:ascii="Tahoma" w:hAnsi="Tahoma"/>
                <w:b/>
                <w:bCs/>
                <w:color w:val="000000" w:themeColor="text1"/>
                <w:w w:val="70"/>
                <w:sz w:val="16"/>
                <w:lang w:val="en-GB"/>
              </w:rPr>
            </w:pPr>
            <w:r w:rsidRPr="002571CB">
              <w:rPr>
                <w:rFonts w:ascii="Tahoma" w:hAnsi="Tahoma"/>
                <w:b/>
                <w:bCs/>
                <w:color w:val="000000" w:themeColor="text1"/>
                <w:w w:val="70"/>
                <w:sz w:val="16"/>
                <w:lang w:val="en-GB"/>
              </w:rPr>
              <w:t>(81)</w:t>
            </w:r>
          </w:p>
        </w:tc>
        <w:tc>
          <w:tcPr>
            <w:tcW w:w="708" w:type="dxa"/>
            <w:tcBorders>
              <w:right w:val="single" w:sz="4" w:space="0" w:color="auto"/>
            </w:tcBorders>
            <w:shd w:val="clear" w:color="auto" w:fill="auto"/>
            <w:tcMar>
              <w:top w:w="57" w:type="dxa"/>
              <w:left w:w="0" w:type="dxa"/>
              <w:bottom w:w="57" w:type="dxa"/>
              <w:right w:w="0" w:type="dxa"/>
            </w:tcMar>
            <w:vAlign w:val="bottom"/>
          </w:tcPr>
          <w:p w14:paraId="29684A1F" w14:textId="77777777" w:rsidR="00E630B5" w:rsidRPr="002571CB" w:rsidRDefault="00E630B5" w:rsidP="003F70CC">
            <w:pPr>
              <w:spacing w:line="240" w:lineRule="atLeast"/>
              <w:ind w:right="113"/>
              <w:jc w:val="right"/>
              <w:rPr>
                <w:rFonts w:ascii="Tahoma" w:hAnsi="Tahoma"/>
                <w:b/>
                <w:bCs/>
                <w:color w:val="000000" w:themeColor="text1"/>
                <w:w w:val="70"/>
                <w:sz w:val="16"/>
                <w:lang w:val="en-GB"/>
              </w:rPr>
            </w:pPr>
            <w:proofErr w:type="gramStart"/>
            <w:r w:rsidRPr="002571CB">
              <w:rPr>
                <w:rFonts w:ascii="Tahoma" w:hAnsi="Tahoma"/>
                <w:b/>
                <w:bCs/>
                <w:color w:val="000000" w:themeColor="text1"/>
                <w:w w:val="70"/>
                <w:sz w:val="16"/>
                <w:lang w:val="en-GB"/>
              </w:rPr>
              <w:t>&gt;(</w:t>
            </w:r>
            <w:proofErr w:type="gramEnd"/>
            <w:r w:rsidRPr="002571CB">
              <w:rPr>
                <w:rFonts w:ascii="Tahoma" w:hAnsi="Tahoma"/>
                <w:b/>
                <w:bCs/>
                <w:color w:val="000000" w:themeColor="text1"/>
                <w:w w:val="70"/>
                <w:sz w:val="16"/>
                <w:lang w:val="en-GB"/>
              </w:rPr>
              <w:t>100)</w:t>
            </w:r>
          </w:p>
        </w:tc>
      </w:tr>
      <w:tr w:rsidR="00E630B5" w:rsidRPr="00CA3F6E" w14:paraId="757F1213" w14:textId="77777777" w:rsidTr="00831432">
        <w:trPr>
          <w:trHeight w:val="60"/>
        </w:trPr>
        <w:tc>
          <w:tcPr>
            <w:tcW w:w="397" w:type="dxa"/>
            <w:shd w:val="clear" w:color="auto" w:fill="auto"/>
            <w:tcMar>
              <w:top w:w="57" w:type="dxa"/>
              <w:left w:w="0" w:type="dxa"/>
              <w:bottom w:w="57" w:type="dxa"/>
              <w:right w:w="0" w:type="dxa"/>
            </w:tcMar>
            <w:vAlign w:val="bottom"/>
          </w:tcPr>
          <w:p w14:paraId="3EF28954" w14:textId="77777777" w:rsidR="00E630B5" w:rsidRPr="00CA3F6E" w:rsidRDefault="00E630B5" w:rsidP="009D23C7">
            <w:pPr>
              <w:spacing w:line="240" w:lineRule="atLeast"/>
              <w:rPr>
                <w:rFonts w:ascii="Tahoma" w:hAnsi="Tahoma"/>
                <w:color w:val="000000" w:themeColor="text1"/>
                <w:sz w:val="16"/>
                <w:lang w:val="en-GB"/>
              </w:rPr>
            </w:pPr>
          </w:p>
        </w:tc>
        <w:tc>
          <w:tcPr>
            <w:tcW w:w="3714" w:type="dxa"/>
            <w:tcBorders>
              <w:right w:val="single" w:sz="4" w:space="0" w:color="auto"/>
            </w:tcBorders>
            <w:shd w:val="clear" w:color="auto" w:fill="auto"/>
            <w:tcMar>
              <w:top w:w="57" w:type="dxa"/>
              <w:left w:w="113" w:type="dxa"/>
              <w:bottom w:w="57" w:type="dxa"/>
              <w:right w:w="0" w:type="dxa"/>
            </w:tcMar>
            <w:vAlign w:val="bottom"/>
          </w:tcPr>
          <w:p w14:paraId="798B2637" w14:textId="77777777" w:rsidR="00E630B5" w:rsidRPr="00CA3F6E" w:rsidRDefault="00E630B5"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Etail</w:t>
            </w:r>
          </w:p>
        </w:tc>
        <w:tc>
          <w:tcPr>
            <w:tcW w:w="567" w:type="dxa"/>
            <w:tcBorders>
              <w:left w:val="single" w:sz="4" w:space="0" w:color="auto"/>
            </w:tcBorders>
            <w:shd w:val="clear" w:color="auto" w:fill="auto"/>
            <w:tcMar>
              <w:top w:w="57" w:type="dxa"/>
              <w:left w:w="0" w:type="dxa"/>
              <w:bottom w:w="57" w:type="dxa"/>
              <w:right w:w="0" w:type="dxa"/>
            </w:tcMar>
            <w:vAlign w:val="bottom"/>
          </w:tcPr>
          <w:p w14:paraId="6A460FDA"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(11)</w:t>
            </w:r>
          </w:p>
        </w:tc>
        <w:tc>
          <w:tcPr>
            <w:tcW w:w="851" w:type="dxa"/>
            <w:shd w:val="clear" w:color="auto" w:fill="auto"/>
            <w:tcMar>
              <w:top w:w="57" w:type="dxa"/>
              <w:left w:w="0" w:type="dxa"/>
              <w:bottom w:w="57" w:type="dxa"/>
              <w:right w:w="0" w:type="dxa"/>
            </w:tcMar>
            <w:vAlign w:val="bottom"/>
          </w:tcPr>
          <w:p w14:paraId="1CDB1269"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(1)</w:t>
            </w:r>
          </w:p>
        </w:tc>
        <w:tc>
          <w:tcPr>
            <w:tcW w:w="992" w:type="dxa"/>
            <w:shd w:val="clear" w:color="auto" w:fill="auto"/>
            <w:tcMar>
              <w:top w:w="57" w:type="dxa"/>
              <w:left w:w="0" w:type="dxa"/>
              <w:bottom w:w="57" w:type="dxa"/>
              <w:right w:w="0" w:type="dxa"/>
            </w:tcMar>
            <w:vAlign w:val="bottom"/>
          </w:tcPr>
          <w:p w14:paraId="1B5E156C"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(3)</w:t>
            </w:r>
          </w:p>
        </w:tc>
        <w:tc>
          <w:tcPr>
            <w:tcW w:w="850" w:type="dxa"/>
            <w:shd w:val="clear" w:color="auto" w:fill="auto"/>
            <w:tcMar>
              <w:top w:w="57" w:type="dxa"/>
              <w:left w:w="0" w:type="dxa"/>
              <w:bottom w:w="57" w:type="dxa"/>
              <w:right w:w="0" w:type="dxa"/>
            </w:tcMar>
            <w:vAlign w:val="bottom"/>
          </w:tcPr>
          <w:p w14:paraId="03688A75"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4</w:t>
            </w:r>
          </w:p>
        </w:tc>
        <w:tc>
          <w:tcPr>
            <w:tcW w:w="709" w:type="dxa"/>
            <w:shd w:val="clear" w:color="auto" w:fill="auto"/>
            <w:tcMar>
              <w:top w:w="57" w:type="dxa"/>
              <w:left w:w="0" w:type="dxa"/>
              <w:bottom w:w="57" w:type="dxa"/>
              <w:right w:w="0" w:type="dxa"/>
            </w:tcMar>
            <w:vAlign w:val="bottom"/>
          </w:tcPr>
          <w:p w14:paraId="5C946326"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(27)</w:t>
            </w:r>
          </w:p>
        </w:tc>
        <w:tc>
          <w:tcPr>
            <w:tcW w:w="709" w:type="dxa"/>
            <w:shd w:val="clear" w:color="auto" w:fill="auto"/>
            <w:tcMar>
              <w:top w:w="57" w:type="dxa"/>
              <w:left w:w="0" w:type="dxa"/>
              <w:bottom w:w="57" w:type="dxa"/>
              <w:right w:w="0" w:type="dxa"/>
            </w:tcMar>
            <w:vAlign w:val="bottom"/>
          </w:tcPr>
          <w:p w14:paraId="43AC8EEF"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(38)</w:t>
            </w:r>
          </w:p>
        </w:tc>
        <w:tc>
          <w:tcPr>
            <w:tcW w:w="709" w:type="dxa"/>
            <w:shd w:val="clear" w:color="auto" w:fill="auto"/>
            <w:tcMar>
              <w:top w:w="57" w:type="dxa"/>
              <w:left w:w="0" w:type="dxa"/>
              <w:bottom w:w="57" w:type="dxa"/>
              <w:right w:w="0" w:type="dxa"/>
            </w:tcMar>
            <w:vAlign w:val="bottom"/>
          </w:tcPr>
          <w:p w14:paraId="4DF43067" w14:textId="77777777" w:rsidR="00E630B5" w:rsidRPr="002571CB" w:rsidRDefault="00E630B5" w:rsidP="003F70CC">
            <w:pPr>
              <w:spacing w:line="240" w:lineRule="atLeast"/>
              <w:jc w:val="right"/>
              <w:rPr>
                <w:rFonts w:ascii="Tahoma" w:hAnsi="Tahoma"/>
                <w:b/>
                <w:bCs/>
                <w:color w:val="000000" w:themeColor="text1"/>
                <w:w w:val="70"/>
                <w:sz w:val="16"/>
                <w:lang w:val="en-GB"/>
              </w:rPr>
            </w:pPr>
            <w:proofErr w:type="gramStart"/>
            <w:r w:rsidRPr="002571CB">
              <w:rPr>
                <w:rFonts w:ascii="Tahoma" w:hAnsi="Tahoma"/>
                <w:b/>
                <w:bCs/>
                <w:color w:val="000000" w:themeColor="text1"/>
                <w:w w:val="70"/>
                <w:sz w:val="16"/>
                <w:lang w:val="en-GB"/>
              </w:rPr>
              <w:t>&gt;(</w:t>
            </w:r>
            <w:proofErr w:type="gramEnd"/>
            <w:r w:rsidRPr="002571CB">
              <w:rPr>
                <w:rFonts w:ascii="Tahoma" w:hAnsi="Tahoma"/>
                <w:b/>
                <w:bCs/>
                <w:color w:val="000000" w:themeColor="text1"/>
                <w:w w:val="70"/>
                <w:sz w:val="16"/>
                <w:lang w:val="en-GB"/>
              </w:rPr>
              <w:t>100)</w:t>
            </w:r>
          </w:p>
        </w:tc>
        <w:tc>
          <w:tcPr>
            <w:tcW w:w="708" w:type="dxa"/>
            <w:tcBorders>
              <w:right w:val="single" w:sz="4" w:space="0" w:color="auto"/>
            </w:tcBorders>
            <w:shd w:val="clear" w:color="auto" w:fill="auto"/>
            <w:tcMar>
              <w:top w:w="57" w:type="dxa"/>
              <w:left w:w="0" w:type="dxa"/>
              <w:bottom w:w="57" w:type="dxa"/>
              <w:right w:w="0" w:type="dxa"/>
            </w:tcMar>
            <w:vAlign w:val="bottom"/>
          </w:tcPr>
          <w:p w14:paraId="2BF1C77F" w14:textId="77777777" w:rsidR="00E630B5" w:rsidRPr="002571CB" w:rsidRDefault="00E630B5" w:rsidP="003F70CC">
            <w:pPr>
              <w:spacing w:line="240" w:lineRule="atLeast"/>
              <w:ind w:right="113"/>
              <w:jc w:val="right"/>
              <w:rPr>
                <w:rFonts w:ascii="Tahoma" w:hAnsi="Tahoma"/>
                <w:b/>
                <w:bCs/>
                <w:color w:val="000000" w:themeColor="text1"/>
                <w:w w:val="70"/>
                <w:sz w:val="16"/>
                <w:lang w:val="en-GB"/>
              </w:rPr>
            </w:pPr>
            <w:proofErr w:type="gramStart"/>
            <w:r w:rsidRPr="002571CB">
              <w:rPr>
                <w:rFonts w:ascii="Tahoma" w:hAnsi="Tahoma"/>
                <w:b/>
                <w:bCs/>
                <w:color w:val="000000" w:themeColor="text1"/>
                <w:w w:val="70"/>
                <w:sz w:val="16"/>
                <w:lang w:val="en-GB"/>
              </w:rPr>
              <w:t>&gt;(</w:t>
            </w:r>
            <w:proofErr w:type="gramEnd"/>
            <w:r w:rsidRPr="002571CB">
              <w:rPr>
                <w:rFonts w:ascii="Tahoma" w:hAnsi="Tahoma"/>
                <w:b/>
                <w:bCs/>
                <w:color w:val="000000" w:themeColor="text1"/>
                <w:w w:val="70"/>
                <w:sz w:val="16"/>
                <w:lang w:val="en-GB"/>
              </w:rPr>
              <w:t>100)</w:t>
            </w:r>
          </w:p>
        </w:tc>
      </w:tr>
      <w:tr w:rsidR="00E630B5" w:rsidRPr="00CA3F6E" w14:paraId="49F4E577" w14:textId="77777777" w:rsidTr="00831432">
        <w:trPr>
          <w:trHeight w:val="60"/>
        </w:trPr>
        <w:tc>
          <w:tcPr>
            <w:tcW w:w="397" w:type="dxa"/>
            <w:shd w:val="clear" w:color="auto" w:fill="auto"/>
            <w:tcMar>
              <w:top w:w="57" w:type="dxa"/>
              <w:left w:w="0" w:type="dxa"/>
              <w:bottom w:w="57" w:type="dxa"/>
              <w:right w:w="0" w:type="dxa"/>
            </w:tcMar>
            <w:vAlign w:val="bottom"/>
          </w:tcPr>
          <w:p w14:paraId="26E552EC" w14:textId="77777777" w:rsidR="00E630B5" w:rsidRPr="00CA3F6E" w:rsidRDefault="00E630B5" w:rsidP="009D23C7">
            <w:pPr>
              <w:spacing w:line="240" w:lineRule="atLeast"/>
              <w:rPr>
                <w:rFonts w:ascii="Tahoma" w:hAnsi="Tahoma"/>
                <w:color w:val="000000" w:themeColor="text1"/>
                <w:sz w:val="16"/>
                <w:lang w:val="en-GB"/>
              </w:rPr>
            </w:pPr>
          </w:p>
        </w:tc>
        <w:tc>
          <w:tcPr>
            <w:tcW w:w="3714" w:type="dxa"/>
            <w:tcBorders>
              <w:right w:val="single" w:sz="4" w:space="0" w:color="auto"/>
            </w:tcBorders>
            <w:shd w:val="clear" w:color="auto" w:fill="auto"/>
            <w:tcMar>
              <w:top w:w="57" w:type="dxa"/>
              <w:left w:w="113" w:type="dxa"/>
              <w:bottom w:w="57" w:type="dxa"/>
              <w:right w:w="0" w:type="dxa"/>
            </w:tcMar>
            <w:vAlign w:val="bottom"/>
          </w:tcPr>
          <w:p w14:paraId="46AAF07D" w14:textId="77777777" w:rsidR="00E630B5" w:rsidRPr="00CA3F6E" w:rsidRDefault="00E630B5"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Other</w:t>
            </w:r>
          </w:p>
        </w:tc>
        <w:tc>
          <w:tcPr>
            <w:tcW w:w="567" w:type="dxa"/>
            <w:tcBorders>
              <w:left w:val="single" w:sz="4" w:space="0" w:color="auto"/>
              <w:bottom w:val="single" w:sz="4" w:space="0" w:color="auto"/>
            </w:tcBorders>
            <w:shd w:val="clear" w:color="auto" w:fill="auto"/>
            <w:tcMar>
              <w:top w:w="57" w:type="dxa"/>
              <w:left w:w="0" w:type="dxa"/>
              <w:bottom w:w="57" w:type="dxa"/>
              <w:right w:w="0" w:type="dxa"/>
            </w:tcMar>
            <w:vAlign w:val="bottom"/>
          </w:tcPr>
          <w:p w14:paraId="26D8D390"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(78)</w:t>
            </w:r>
          </w:p>
        </w:tc>
        <w:tc>
          <w:tcPr>
            <w:tcW w:w="851" w:type="dxa"/>
            <w:tcBorders>
              <w:bottom w:val="single" w:sz="4" w:space="0" w:color="auto"/>
            </w:tcBorders>
            <w:shd w:val="clear" w:color="auto" w:fill="auto"/>
            <w:tcMar>
              <w:top w:w="57" w:type="dxa"/>
              <w:left w:w="0" w:type="dxa"/>
              <w:bottom w:w="57" w:type="dxa"/>
              <w:right w:w="0" w:type="dxa"/>
            </w:tcMar>
            <w:vAlign w:val="bottom"/>
          </w:tcPr>
          <w:p w14:paraId="67390138"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2</w:t>
            </w:r>
          </w:p>
        </w:tc>
        <w:tc>
          <w:tcPr>
            <w:tcW w:w="992" w:type="dxa"/>
            <w:tcBorders>
              <w:bottom w:val="single" w:sz="4" w:space="0" w:color="auto"/>
            </w:tcBorders>
            <w:shd w:val="clear" w:color="auto" w:fill="auto"/>
            <w:tcMar>
              <w:top w:w="57" w:type="dxa"/>
              <w:left w:w="0" w:type="dxa"/>
              <w:bottom w:w="57" w:type="dxa"/>
              <w:right w:w="0" w:type="dxa"/>
            </w:tcMar>
            <w:vAlign w:val="bottom"/>
          </w:tcPr>
          <w:p w14:paraId="10F0AD3E"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(30)</w:t>
            </w:r>
          </w:p>
        </w:tc>
        <w:tc>
          <w:tcPr>
            <w:tcW w:w="850" w:type="dxa"/>
            <w:tcBorders>
              <w:bottom w:val="single" w:sz="4" w:space="0" w:color="auto"/>
            </w:tcBorders>
            <w:shd w:val="clear" w:color="auto" w:fill="auto"/>
            <w:tcMar>
              <w:top w:w="57" w:type="dxa"/>
              <w:left w:w="0" w:type="dxa"/>
              <w:bottom w:w="57" w:type="dxa"/>
              <w:right w:w="0" w:type="dxa"/>
            </w:tcMar>
            <w:vAlign w:val="bottom"/>
          </w:tcPr>
          <w:p w14:paraId="7C32EC93"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5</w:t>
            </w:r>
          </w:p>
        </w:tc>
        <w:tc>
          <w:tcPr>
            <w:tcW w:w="709" w:type="dxa"/>
            <w:tcBorders>
              <w:bottom w:val="single" w:sz="4" w:space="0" w:color="auto"/>
            </w:tcBorders>
            <w:shd w:val="clear" w:color="auto" w:fill="auto"/>
            <w:tcMar>
              <w:top w:w="57" w:type="dxa"/>
              <w:left w:w="0" w:type="dxa"/>
              <w:bottom w:w="57" w:type="dxa"/>
              <w:right w:w="0" w:type="dxa"/>
            </w:tcMar>
            <w:vAlign w:val="bottom"/>
          </w:tcPr>
          <w:p w14:paraId="48AAC76D"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(44)</w:t>
            </w:r>
          </w:p>
        </w:tc>
        <w:tc>
          <w:tcPr>
            <w:tcW w:w="709" w:type="dxa"/>
            <w:tcBorders>
              <w:bottom w:val="single" w:sz="4" w:space="0" w:color="auto"/>
            </w:tcBorders>
            <w:shd w:val="clear" w:color="auto" w:fill="auto"/>
            <w:tcMar>
              <w:top w:w="57" w:type="dxa"/>
              <w:left w:w="0" w:type="dxa"/>
              <w:bottom w:w="57" w:type="dxa"/>
              <w:right w:w="0" w:type="dxa"/>
            </w:tcMar>
            <w:vAlign w:val="bottom"/>
          </w:tcPr>
          <w:p w14:paraId="5AB17C89"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(145)</w:t>
            </w:r>
          </w:p>
        </w:tc>
        <w:tc>
          <w:tcPr>
            <w:tcW w:w="709" w:type="dxa"/>
            <w:tcBorders>
              <w:bottom w:val="single" w:sz="4" w:space="0" w:color="auto"/>
            </w:tcBorders>
            <w:shd w:val="clear" w:color="auto" w:fill="auto"/>
            <w:tcMar>
              <w:top w:w="57" w:type="dxa"/>
              <w:left w:w="0" w:type="dxa"/>
              <w:bottom w:w="57" w:type="dxa"/>
              <w:right w:w="0" w:type="dxa"/>
            </w:tcMar>
            <w:vAlign w:val="bottom"/>
          </w:tcPr>
          <w:p w14:paraId="660368BC" w14:textId="77777777" w:rsidR="00E630B5" w:rsidRPr="002571CB" w:rsidRDefault="00E630B5" w:rsidP="003F70CC">
            <w:pPr>
              <w:spacing w:line="240" w:lineRule="atLeast"/>
              <w:jc w:val="right"/>
              <w:rPr>
                <w:rFonts w:ascii="Tahoma" w:hAnsi="Tahoma"/>
                <w:b/>
                <w:bCs/>
                <w:color w:val="000000" w:themeColor="text1"/>
                <w:w w:val="70"/>
                <w:sz w:val="16"/>
                <w:lang w:val="en-GB"/>
              </w:rPr>
            </w:pPr>
            <w:r w:rsidRPr="002571CB">
              <w:rPr>
                <w:rFonts w:ascii="Tahoma" w:hAnsi="Tahoma"/>
                <w:b/>
                <w:bCs/>
                <w:color w:val="000000" w:themeColor="text1"/>
                <w:w w:val="70"/>
                <w:sz w:val="16"/>
                <w:lang w:val="en-GB"/>
              </w:rPr>
              <w:t>(58)</w:t>
            </w:r>
          </w:p>
        </w:tc>
        <w:tc>
          <w:tcPr>
            <w:tcW w:w="708" w:type="dxa"/>
            <w:tcBorders>
              <w:bottom w:val="single" w:sz="4" w:space="0" w:color="auto"/>
              <w:right w:val="single" w:sz="4" w:space="0" w:color="auto"/>
            </w:tcBorders>
            <w:shd w:val="clear" w:color="auto" w:fill="auto"/>
            <w:tcMar>
              <w:top w:w="57" w:type="dxa"/>
              <w:left w:w="0" w:type="dxa"/>
              <w:bottom w:w="57" w:type="dxa"/>
              <w:right w:w="0" w:type="dxa"/>
            </w:tcMar>
            <w:vAlign w:val="bottom"/>
          </w:tcPr>
          <w:p w14:paraId="2BD5F3C0" w14:textId="77777777" w:rsidR="00E630B5" w:rsidRPr="002571CB" w:rsidRDefault="00E630B5" w:rsidP="003F70CC">
            <w:pPr>
              <w:spacing w:line="240" w:lineRule="atLeast"/>
              <w:ind w:right="113"/>
              <w:jc w:val="right"/>
              <w:rPr>
                <w:rFonts w:ascii="Tahoma" w:hAnsi="Tahoma"/>
                <w:b/>
                <w:bCs/>
                <w:color w:val="000000" w:themeColor="text1"/>
                <w:w w:val="70"/>
                <w:sz w:val="16"/>
                <w:lang w:val="en-GB"/>
              </w:rPr>
            </w:pPr>
            <w:r w:rsidRPr="002571CB">
              <w:rPr>
                <w:rFonts w:ascii="Tahoma" w:hAnsi="Tahoma"/>
                <w:b/>
                <w:bCs/>
                <w:color w:val="000000" w:themeColor="text1"/>
                <w:w w:val="70"/>
                <w:sz w:val="16"/>
                <w:lang w:val="en-GB"/>
              </w:rPr>
              <w:t>(86)</w:t>
            </w:r>
          </w:p>
        </w:tc>
      </w:tr>
      <w:tr w:rsidR="00E630B5" w:rsidRPr="00CA3F6E" w14:paraId="5980D992" w14:textId="77777777" w:rsidTr="00831432">
        <w:trPr>
          <w:trHeight w:val="60"/>
        </w:trPr>
        <w:tc>
          <w:tcPr>
            <w:tcW w:w="397" w:type="dxa"/>
            <w:shd w:val="clear" w:color="auto" w:fill="auto"/>
            <w:tcMar>
              <w:top w:w="57" w:type="dxa"/>
              <w:left w:w="0" w:type="dxa"/>
              <w:bottom w:w="57" w:type="dxa"/>
              <w:right w:w="0" w:type="dxa"/>
            </w:tcMar>
            <w:vAlign w:val="bottom"/>
          </w:tcPr>
          <w:p w14:paraId="5313E277" w14:textId="77777777" w:rsidR="00E630B5" w:rsidRPr="00CA3F6E" w:rsidRDefault="00E630B5" w:rsidP="009D23C7">
            <w:pPr>
              <w:spacing w:line="240" w:lineRule="atLeast"/>
              <w:rPr>
                <w:rFonts w:ascii="Tahoma" w:hAnsi="Tahoma"/>
                <w:color w:val="000000" w:themeColor="text1"/>
                <w:sz w:val="16"/>
                <w:lang w:val="en-GB"/>
              </w:rPr>
            </w:pPr>
          </w:p>
        </w:tc>
        <w:tc>
          <w:tcPr>
            <w:tcW w:w="3714" w:type="dxa"/>
            <w:shd w:val="clear" w:color="auto" w:fill="auto"/>
            <w:tcMar>
              <w:top w:w="57" w:type="dxa"/>
              <w:left w:w="0" w:type="dxa"/>
              <w:bottom w:w="57" w:type="dxa"/>
              <w:right w:w="0" w:type="dxa"/>
            </w:tcMar>
            <w:vAlign w:val="bottom"/>
          </w:tcPr>
          <w:p w14:paraId="3CE3E013" w14:textId="77777777" w:rsidR="00E630B5" w:rsidRPr="00CA3F6E" w:rsidRDefault="00E630B5" w:rsidP="009D23C7">
            <w:pPr>
              <w:spacing w:line="240" w:lineRule="atLeast"/>
              <w:rPr>
                <w:rFonts w:ascii="Tahoma" w:hAnsi="Tahoma"/>
                <w:i/>
                <w:iCs/>
                <w:color w:val="000000" w:themeColor="text1"/>
                <w:sz w:val="16"/>
                <w:lang w:val="en-GB"/>
              </w:rPr>
            </w:pPr>
            <w:r w:rsidRPr="00CA3F6E">
              <w:rPr>
                <w:rFonts w:ascii="Tahoma" w:hAnsi="Tahoma"/>
                <w:i/>
                <w:iCs/>
                <w:color w:val="000000" w:themeColor="text1"/>
                <w:sz w:val="16"/>
                <w:lang w:val="en-GB"/>
              </w:rPr>
              <w:t>Social and Internet Platforms</w:t>
            </w:r>
          </w:p>
        </w:tc>
        <w:tc>
          <w:tcPr>
            <w:tcW w:w="567" w:type="dxa"/>
            <w:tcBorders>
              <w:top w:val="single" w:sz="4" w:space="0" w:color="auto"/>
              <w:bottom w:val="single" w:sz="4" w:space="0" w:color="auto"/>
            </w:tcBorders>
            <w:shd w:val="clear" w:color="auto" w:fill="auto"/>
            <w:tcMar>
              <w:top w:w="57" w:type="dxa"/>
              <w:left w:w="0" w:type="dxa"/>
              <w:bottom w:w="57" w:type="dxa"/>
              <w:right w:w="0" w:type="dxa"/>
            </w:tcMar>
            <w:vAlign w:val="bottom"/>
          </w:tcPr>
          <w:p w14:paraId="0D180183"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3 385</w:t>
            </w:r>
          </w:p>
        </w:tc>
        <w:tc>
          <w:tcPr>
            <w:tcW w:w="851" w:type="dxa"/>
            <w:tcBorders>
              <w:top w:val="single" w:sz="4" w:space="0" w:color="auto"/>
              <w:bottom w:val="single" w:sz="4" w:space="0" w:color="auto"/>
            </w:tcBorders>
            <w:shd w:val="clear" w:color="auto" w:fill="auto"/>
            <w:tcMar>
              <w:top w:w="57" w:type="dxa"/>
              <w:left w:w="0" w:type="dxa"/>
              <w:bottom w:w="57" w:type="dxa"/>
              <w:right w:w="0" w:type="dxa"/>
            </w:tcMar>
            <w:vAlign w:val="bottom"/>
          </w:tcPr>
          <w:p w14:paraId="6CFEB270"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(59)</w:t>
            </w:r>
          </w:p>
        </w:tc>
        <w:tc>
          <w:tcPr>
            <w:tcW w:w="992" w:type="dxa"/>
            <w:tcBorders>
              <w:top w:val="single" w:sz="4" w:space="0" w:color="auto"/>
              <w:bottom w:val="single" w:sz="4" w:space="0" w:color="auto"/>
            </w:tcBorders>
            <w:shd w:val="clear" w:color="auto" w:fill="auto"/>
            <w:tcMar>
              <w:top w:w="57" w:type="dxa"/>
              <w:left w:w="0" w:type="dxa"/>
              <w:bottom w:w="57" w:type="dxa"/>
              <w:right w:w="0" w:type="dxa"/>
            </w:tcMar>
            <w:vAlign w:val="bottom"/>
          </w:tcPr>
          <w:p w14:paraId="02106735"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w:t>
            </w:r>
          </w:p>
        </w:tc>
        <w:tc>
          <w:tcPr>
            <w:tcW w:w="850" w:type="dxa"/>
            <w:tcBorders>
              <w:top w:val="single" w:sz="4" w:space="0" w:color="auto"/>
              <w:bottom w:val="single" w:sz="4" w:space="0" w:color="auto"/>
            </w:tcBorders>
            <w:shd w:val="clear" w:color="auto" w:fill="auto"/>
            <w:tcMar>
              <w:top w:w="57" w:type="dxa"/>
              <w:left w:w="0" w:type="dxa"/>
              <w:bottom w:w="57" w:type="dxa"/>
              <w:right w:w="0" w:type="dxa"/>
            </w:tcMar>
            <w:vAlign w:val="bottom"/>
          </w:tcPr>
          <w:p w14:paraId="4A53FAC0"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(130)</w:t>
            </w:r>
          </w:p>
        </w:tc>
        <w:tc>
          <w:tcPr>
            <w:tcW w:w="709" w:type="dxa"/>
            <w:tcBorders>
              <w:top w:val="single" w:sz="4" w:space="0" w:color="auto"/>
              <w:bottom w:val="single" w:sz="4" w:space="0" w:color="auto"/>
            </w:tcBorders>
            <w:shd w:val="clear" w:color="auto" w:fill="auto"/>
            <w:tcMar>
              <w:top w:w="57" w:type="dxa"/>
              <w:left w:w="0" w:type="dxa"/>
              <w:bottom w:w="57" w:type="dxa"/>
              <w:right w:w="0" w:type="dxa"/>
            </w:tcMar>
            <w:vAlign w:val="bottom"/>
          </w:tcPr>
          <w:p w14:paraId="12C76ED2"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(699)</w:t>
            </w:r>
          </w:p>
        </w:tc>
        <w:tc>
          <w:tcPr>
            <w:tcW w:w="709" w:type="dxa"/>
            <w:tcBorders>
              <w:top w:val="single" w:sz="4" w:space="0" w:color="auto"/>
              <w:bottom w:val="single" w:sz="4" w:space="0" w:color="auto"/>
            </w:tcBorders>
            <w:shd w:val="clear" w:color="auto" w:fill="auto"/>
            <w:tcMar>
              <w:top w:w="57" w:type="dxa"/>
              <w:left w:w="0" w:type="dxa"/>
              <w:bottom w:w="57" w:type="dxa"/>
              <w:right w:w="0" w:type="dxa"/>
            </w:tcMar>
            <w:vAlign w:val="bottom"/>
          </w:tcPr>
          <w:p w14:paraId="07F33B52"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2 497</w:t>
            </w:r>
          </w:p>
        </w:tc>
        <w:tc>
          <w:tcPr>
            <w:tcW w:w="709" w:type="dxa"/>
            <w:tcBorders>
              <w:top w:val="single" w:sz="4" w:space="0" w:color="auto"/>
              <w:bottom w:val="single" w:sz="4" w:space="0" w:color="auto"/>
            </w:tcBorders>
            <w:shd w:val="clear" w:color="auto" w:fill="auto"/>
            <w:tcMar>
              <w:top w:w="57" w:type="dxa"/>
              <w:left w:w="0" w:type="dxa"/>
              <w:bottom w:w="57" w:type="dxa"/>
              <w:right w:w="0" w:type="dxa"/>
            </w:tcMar>
            <w:vAlign w:val="bottom"/>
          </w:tcPr>
          <w:p w14:paraId="193761C7" w14:textId="77777777" w:rsidR="00E630B5" w:rsidRPr="002571CB" w:rsidRDefault="00E630B5" w:rsidP="003F70CC">
            <w:pPr>
              <w:spacing w:line="240" w:lineRule="atLeast"/>
              <w:jc w:val="right"/>
              <w:rPr>
                <w:rFonts w:ascii="Tahoma" w:hAnsi="Tahoma"/>
                <w:b/>
                <w:bCs/>
                <w:color w:val="000000" w:themeColor="text1"/>
                <w:w w:val="70"/>
                <w:sz w:val="16"/>
                <w:lang w:val="en-GB"/>
              </w:rPr>
            </w:pPr>
            <w:r w:rsidRPr="002571CB">
              <w:rPr>
                <w:rFonts w:ascii="Tahoma" w:hAnsi="Tahoma"/>
                <w:b/>
                <w:bCs/>
                <w:color w:val="000000" w:themeColor="text1"/>
                <w:w w:val="70"/>
                <w:sz w:val="16"/>
                <w:lang w:val="en-GB"/>
              </w:rPr>
              <w:t>(21)</w:t>
            </w:r>
          </w:p>
        </w:tc>
        <w:tc>
          <w:tcPr>
            <w:tcW w:w="708" w:type="dxa"/>
            <w:tcBorders>
              <w:top w:val="single" w:sz="4" w:space="0" w:color="auto"/>
              <w:bottom w:val="single" w:sz="4" w:space="0" w:color="auto"/>
            </w:tcBorders>
            <w:shd w:val="clear" w:color="auto" w:fill="auto"/>
            <w:tcMar>
              <w:top w:w="57" w:type="dxa"/>
              <w:left w:w="0" w:type="dxa"/>
              <w:bottom w:w="57" w:type="dxa"/>
              <w:right w:w="0" w:type="dxa"/>
            </w:tcMar>
            <w:vAlign w:val="bottom"/>
          </w:tcPr>
          <w:p w14:paraId="7CAED07A" w14:textId="77777777" w:rsidR="00E630B5" w:rsidRPr="002571CB" w:rsidRDefault="00E630B5" w:rsidP="003F70CC">
            <w:pPr>
              <w:spacing w:line="240" w:lineRule="atLeast"/>
              <w:ind w:right="113"/>
              <w:jc w:val="right"/>
              <w:rPr>
                <w:rFonts w:ascii="Tahoma" w:hAnsi="Tahoma"/>
                <w:b/>
                <w:bCs/>
                <w:color w:val="000000" w:themeColor="text1"/>
                <w:w w:val="70"/>
                <w:sz w:val="16"/>
                <w:lang w:val="en-GB"/>
              </w:rPr>
            </w:pPr>
            <w:r w:rsidRPr="002571CB">
              <w:rPr>
                <w:rFonts w:ascii="Tahoma" w:hAnsi="Tahoma"/>
                <w:b/>
                <w:bCs/>
                <w:color w:val="000000" w:themeColor="text1"/>
                <w:w w:val="70"/>
                <w:sz w:val="16"/>
                <w:lang w:val="en-GB"/>
              </w:rPr>
              <w:t>(26)</w:t>
            </w:r>
          </w:p>
        </w:tc>
      </w:tr>
      <w:tr w:rsidR="00E630B5" w:rsidRPr="00CA3F6E" w14:paraId="6930A916" w14:textId="77777777" w:rsidTr="00831432">
        <w:trPr>
          <w:trHeight w:val="60"/>
        </w:trPr>
        <w:tc>
          <w:tcPr>
            <w:tcW w:w="397" w:type="dxa"/>
            <w:shd w:val="clear" w:color="auto" w:fill="auto"/>
            <w:tcMar>
              <w:top w:w="57" w:type="dxa"/>
              <w:left w:w="0" w:type="dxa"/>
              <w:bottom w:w="57" w:type="dxa"/>
              <w:right w:w="0" w:type="dxa"/>
            </w:tcMar>
            <w:vAlign w:val="bottom"/>
          </w:tcPr>
          <w:p w14:paraId="3F279C9E" w14:textId="77777777" w:rsidR="00E630B5" w:rsidRPr="00CA3F6E" w:rsidRDefault="00E630B5" w:rsidP="009D23C7">
            <w:pPr>
              <w:spacing w:line="240" w:lineRule="atLeast"/>
              <w:rPr>
                <w:rFonts w:ascii="Tahoma" w:hAnsi="Tahoma"/>
                <w:color w:val="000000" w:themeColor="text1"/>
                <w:sz w:val="16"/>
                <w:lang w:val="en-GB"/>
              </w:rPr>
            </w:pPr>
          </w:p>
        </w:tc>
        <w:tc>
          <w:tcPr>
            <w:tcW w:w="3714" w:type="dxa"/>
            <w:tcBorders>
              <w:right w:val="single" w:sz="4" w:space="0" w:color="auto"/>
            </w:tcBorders>
            <w:shd w:val="clear" w:color="auto" w:fill="auto"/>
            <w:tcMar>
              <w:top w:w="57" w:type="dxa"/>
              <w:left w:w="113" w:type="dxa"/>
              <w:bottom w:w="57" w:type="dxa"/>
              <w:right w:w="0" w:type="dxa"/>
            </w:tcMar>
            <w:vAlign w:val="bottom"/>
          </w:tcPr>
          <w:p w14:paraId="6DB0266C" w14:textId="77777777" w:rsidR="00E630B5" w:rsidRPr="00CA3F6E" w:rsidRDefault="00E630B5"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Tencent</w:t>
            </w:r>
          </w:p>
        </w:tc>
        <w:tc>
          <w:tcPr>
            <w:tcW w:w="567" w:type="dxa"/>
            <w:tcBorders>
              <w:top w:val="single" w:sz="4" w:space="0" w:color="auto"/>
              <w:left w:val="single" w:sz="4" w:space="0" w:color="auto"/>
            </w:tcBorders>
            <w:shd w:val="clear" w:color="auto" w:fill="auto"/>
            <w:tcMar>
              <w:top w:w="57" w:type="dxa"/>
              <w:left w:w="0" w:type="dxa"/>
              <w:bottom w:w="57" w:type="dxa"/>
              <w:right w:w="0" w:type="dxa"/>
            </w:tcMar>
            <w:vAlign w:val="bottom"/>
          </w:tcPr>
          <w:p w14:paraId="19BEF2F3"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3 373</w:t>
            </w:r>
          </w:p>
        </w:tc>
        <w:tc>
          <w:tcPr>
            <w:tcW w:w="851" w:type="dxa"/>
            <w:tcBorders>
              <w:top w:val="single" w:sz="4" w:space="0" w:color="auto"/>
            </w:tcBorders>
            <w:shd w:val="clear" w:color="auto" w:fill="auto"/>
            <w:tcMar>
              <w:top w:w="57" w:type="dxa"/>
              <w:left w:w="0" w:type="dxa"/>
              <w:bottom w:w="57" w:type="dxa"/>
              <w:right w:w="0" w:type="dxa"/>
            </w:tcMar>
            <w:vAlign w:val="bottom"/>
          </w:tcPr>
          <w:p w14:paraId="4D7B158A"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(47)</w:t>
            </w:r>
          </w:p>
        </w:tc>
        <w:tc>
          <w:tcPr>
            <w:tcW w:w="992" w:type="dxa"/>
            <w:tcBorders>
              <w:top w:val="single" w:sz="4" w:space="0" w:color="auto"/>
            </w:tcBorders>
            <w:shd w:val="clear" w:color="auto" w:fill="auto"/>
            <w:tcMar>
              <w:top w:w="57" w:type="dxa"/>
              <w:left w:w="0" w:type="dxa"/>
              <w:bottom w:w="57" w:type="dxa"/>
              <w:right w:w="0" w:type="dxa"/>
            </w:tcMar>
            <w:vAlign w:val="bottom"/>
          </w:tcPr>
          <w:p w14:paraId="05F630FE"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w:t>
            </w:r>
          </w:p>
        </w:tc>
        <w:tc>
          <w:tcPr>
            <w:tcW w:w="850" w:type="dxa"/>
            <w:tcBorders>
              <w:top w:val="single" w:sz="4" w:space="0" w:color="auto"/>
            </w:tcBorders>
            <w:shd w:val="clear" w:color="auto" w:fill="auto"/>
            <w:tcMar>
              <w:top w:w="57" w:type="dxa"/>
              <w:left w:w="0" w:type="dxa"/>
              <w:bottom w:w="57" w:type="dxa"/>
              <w:right w:w="0" w:type="dxa"/>
            </w:tcMar>
            <w:vAlign w:val="bottom"/>
          </w:tcPr>
          <w:p w14:paraId="50C23C4A"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(130)</w:t>
            </w:r>
          </w:p>
        </w:tc>
        <w:tc>
          <w:tcPr>
            <w:tcW w:w="709" w:type="dxa"/>
            <w:tcBorders>
              <w:top w:val="single" w:sz="4" w:space="0" w:color="auto"/>
            </w:tcBorders>
            <w:shd w:val="clear" w:color="auto" w:fill="auto"/>
            <w:tcMar>
              <w:top w:w="57" w:type="dxa"/>
              <w:left w:w="0" w:type="dxa"/>
              <w:bottom w:w="57" w:type="dxa"/>
              <w:right w:w="0" w:type="dxa"/>
            </w:tcMar>
            <w:vAlign w:val="bottom"/>
          </w:tcPr>
          <w:p w14:paraId="468FCFAE"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(699)</w:t>
            </w:r>
          </w:p>
        </w:tc>
        <w:tc>
          <w:tcPr>
            <w:tcW w:w="709" w:type="dxa"/>
            <w:tcBorders>
              <w:top w:val="single" w:sz="4" w:space="0" w:color="auto"/>
            </w:tcBorders>
            <w:shd w:val="clear" w:color="auto" w:fill="auto"/>
            <w:tcMar>
              <w:top w:w="57" w:type="dxa"/>
              <w:left w:w="0" w:type="dxa"/>
              <w:bottom w:w="57" w:type="dxa"/>
              <w:right w:w="0" w:type="dxa"/>
            </w:tcMar>
            <w:vAlign w:val="bottom"/>
          </w:tcPr>
          <w:p w14:paraId="161F162A"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2 497</w:t>
            </w:r>
          </w:p>
        </w:tc>
        <w:tc>
          <w:tcPr>
            <w:tcW w:w="709" w:type="dxa"/>
            <w:tcBorders>
              <w:top w:val="single" w:sz="4" w:space="0" w:color="auto"/>
            </w:tcBorders>
            <w:shd w:val="clear" w:color="auto" w:fill="auto"/>
            <w:tcMar>
              <w:top w:w="57" w:type="dxa"/>
              <w:left w:w="0" w:type="dxa"/>
              <w:bottom w:w="57" w:type="dxa"/>
              <w:right w:w="0" w:type="dxa"/>
            </w:tcMar>
            <w:vAlign w:val="bottom"/>
          </w:tcPr>
          <w:p w14:paraId="41A1F577" w14:textId="77777777" w:rsidR="00E630B5" w:rsidRPr="002571CB" w:rsidRDefault="00E630B5" w:rsidP="003F70CC">
            <w:pPr>
              <w:spacing w:line="240" w:lineRule="atLeast"/>
              <w:jc w:val="right"/>
              <w:rPr>
                <w:rFonts w:ascii="Tahoma" w:hAnsi="Tahoma"/>
                <w:b/>
                <w:bCs/>
                <w:color w:val="000000" w:themeColor="text1"/>
                <w:w w:val="70"/>
                <w:sz w:val="16"/>
                <w:lang w:val="en-GB"/>
              </w:rPr>
            </w:pPr>
            <w:r w:rsidRPr="002571CB">
              <w:rPr>
                <w:rFonts w:ascii="Tahoma" w:hAnsi="Tahoma"/>
                <w:b/>
                <w:bCs/>
                <w:color w:val="000000" w:themeColor="text1"/>
                <w:w w:val="70"/>
                <w:sz w:val="16"/>
                <w:lang w:val="en-GB"/>
              </w:rPr>
              <w:t>(21)</w:t>
            </w:r>
          </w:p>
        </w:tc>
        <w:tc>
          <w:tcPr>
            <w:tcW w:w="708" w:type="dxa"/>
            <w:tcBorders>
              <w:top w:val="single" w:sz="4" w:space="0" w:color="auto"/>
              <w:right w:val="single" w:sz="4" w:space="0" w:color="auto"/>
            </w:tcBorders>
            <w:shd w:val="clear" w:color="auto" w:fill="auto"/>
            <w:tcMar>
              <w:top w:w="57" w:type="dxa"/>
              <w:left w:w="0" w:type="dxa"/>
              <w:bottom w:w="57" w:type="dxa"/>
              <w:right w:w="0" w:type="dxa"/>
            </w:tcMar>
            <w:vAlign w:val="bottom"/>
          </w:tcPr>
          <w:p w14:paraId="7D52B683" w14:textId="77777777" w:rsidR="00E630B5" w:rsidRPr="002571CB" w:rsidRDefault="00E630B5" w:rsidP="003F70CC">
            <w:pPr>
              <w:spacing w:line="240" w:lineRule="atLeast"/>
              <w:ind w:right="113"/>
              <w:jc w:val="right"/>
              <w:rPr>
                <w:rFonts w:ascii="Tahoma" w:hAnsi="Tahoma"/>
                <w:b/>
                <w:bCs/>
                <w:color w:val="000000" w:themeColor="text1"/>
                <w:w w:val="70"/>
                <w:sz w:val="16"/>
                <w:lang w:val="en-GB"/>
              </w:rPr>
            </w:pPr>
            <w:r w:rsidRPr="002571CB">
              <w:rPr>
                <w:rFonts w:ascii="Tahoma" w:hAnsi="Tahoma"/>
                <w:b/>
                <w:bCs/>
                <w:color w:val="000000" w:themeColor="text1"/>
                <w:w w:val="70"/>
                <w:sz w:val="16"/>
                <w:lang w:val="en-GB"/>
              </w:rPr>
              <w:t>(26)</w:t>
            </w:r>
          </w:p>
        </w:tc>
      </w:tr>
      <w:tr w:rsidR="00E630B5" w:rsidRPr="00CA3F6E" w14:paraId="63BC9A7B" w14:textId="77777777" w:rsidTr="00831432">
        <w:trPr>
          <w:trHeight w:val="60"/>
        </w:trPr>
        <w:tc>
          <w:tcPr>
            <w:tcW w:w="397" w:type="dxa"/>
            <w:shd w:val="clear" w:color="auto" w:fill="auto"/>
            <w:tcMar>
              <w:top w:w="57" w:type="dxa"/>
              <w:left w:w="0" w:type="dxa"/>
              <w:bottom w:w="57" w:type="dxa"/>
              <w:right w:w="0" w:type="dxa"/>
            </w:tcMar>
            <w:vAlign w:val="bottom"/>
          </w:tcPr>
          <w:p w14:paraId="0AD3A79B" w14:textId="77777777" w:rsidR="00E630B5" w:rsidRPr="00CA3F6E" w:rsidRDefault="00E630B5" w:rsidP="009D23C7">
            <w:pPr>
              <w:spacing w:line="240" w:lineRule="atLeast"/>
              <w:rPr>
                <w:rFonts w:ascii="Tahoma" w:hAnsi="Tahoma"/>
                <w:color w:val="000000" w:themeColor="text1"/>
                <w:sz w:val="16"/>
                <w:lang w:val="en-GB"/>
              </w:rPr>
            </w:pPr>
          </w:p>
        </w:tc>
        <w:tc>
          <w:tcPr>
            <w:tcW w:w="3714" w:type="dxa"/>
            <w:tcBorders>
              <w:right w:val="single" w:sz="4" w:space="0" w:color="auto"/>
            </w:tcBorders>
            <w:shd w:val="clear" w:color="auto" w:fill="auto"/>
            <w:tcMar>
              <w:top w:w="57" w:type="dxa"/>
              <w:left w:w="113" w:type="dxa"/>
              <w:bottom w:w="57" w:type="dxa"/>
              <w:right w:w="0" w:type="dxa"/>
            </w:tcMar>
            <w:vAlign w:val="bottom"/>
          </w:tcPr>
          <w:p w14:paraId="74D1AD63" w14:textId="77777777" w:rsidR="00E630B5" w:rsidRPr="00CA3F6E" w:rsidRDefault="00E630B5" w:rsidP="009D23C7">
            <w:pPr>
              <w:spacing w:line="240" w:lineRule="atLeast"/>
              <w:rPr>
                <w:rFonts w:ascii="Tahoma" w:hAnsi="Tahoma"/>
                <w:color w:val="000000" w:themeColor="text1"/>
                <w:sz w:val="16"/>
                <w:lang w:val="en-GB"/>
              </w:rPr>
            </w:pPr>
            <w:r w:rsidRPr="00CA3F6E">
              <w:rPr>
                <w:rFonts w:ascii="Tahoma" w:hAnsi="Tahoma"/>
                <w:color w:val="000000" w:themeColor="text1"/>
                <w:sz w:val="16"/>
                <w:lang w:val="en-GB"/>
              </w:rPr>
              <w:t>VK</w:t>
            </w:r>
          </w:p>
        </w:tc>
        <w:tc>
          <w:tcPr>
            <w:tcW w:w="567" w:type="dxa"/>
            <w:tcBorders>
              <w:left w:val="single" w:sz="4" w:space="0" w:color="auto"/>
              <w:bottom w:val="single" w:sz="4" w:space="0" w:color="auto"/>
            </w:tcBorders>
            <w:shd w:val="clear" w:color="auto" w:fill="auto"/>
            <w:tcMar>
              <w:top w:w="57" w:type="dxa"/>
              <w:left w:w="0" w:type="dxa"/>
              <w:bottom w:w="57" w:type="dxa"/>
              <w:right w:w="0" w:type="dxa"/>
            </w:tcMar>
            <w:vAlign w:val="bottom"/>
          </w:tcPr>
          <w:p w14:paraId="2AF5A521"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12</w:t>
            </w:r>
          </w:p>
        </w:tc>
        <w:tc>
          <w:tcPr>
            <w:tcW w:w="851" w:type="dxa"/>
            <w:tcBorders>
              <w:bottom w:val="single" w:sz="4" w:space="0" w:color="auto"/>
            </w:tcBorders>
            <w:shd w:val="clear" w:color="auto" w:fill="auto"/>
            <w:tcMar>
              <w:top w:w="57" w:type="dxa"/>
              <w:left w:w="0" w:type="dxa"/>
              <w:bottom w:w="57" w:type="dxa"/>
              <w:right w:w="0" w:type="dxa"/>
            </w:tcMar>
            <w:vAlign w:val="bottom"/>
          </w:tcPr>
          <w:p w14:paraId="2CCCA7B3"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(12)</w:t>
            </w:r>
          </w:p>
        </w:tc>
        <w:tc>
          <w:tcPr>
            <w:tcW w:w="992" w:type="dxa"/>
            <w:tcBorders>
              <w:bottom w:val="single" w:sz="4" w:space="0" w:color="auto"/>
            </w:tcBorders>
            <w:shd w:val="clear" w:color="auto" w:fill="auto"/>
            <w:tcMar>
              <w:top w:w="57" w:type="dxa"/>
              <w:left w:w="0" w:type="dxa"/>
              <w:bottom w:w="57" w:type="dxa"/>
              <w:right w:w="0" w:type="dxa"/>
            </w:tcMar>
            <w:vAlign w:val="bottom"/>
          </w:tcPr>
          <w:p w14:paraId="424A4728"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w:t>
            </w:r>
          </w:p>
        </w:tc>
        <w:tc>
          <w:tcPr>
            <w:tcW w:w="850" w:type="dxa"/>
            <w:tcBorders>
              <w:bottom w:val="single" w:sz="4" w:space="0" w:color="auto"/>
            </w:tcBorders>
            <w:shd w:val="clear" w:color="auto" w:fill="auto"/>
            <w:tcMar>
              <w:top w:w="57" w:type="dxa"/>
              <w:left w:w="0" w:type="dxa"/>
              <w:bottom w:w="57" w:type="dxa"/>
              <w:right w:w="0" w:type="dxa"/>
            </w:tcMar>
            <w:vAlign w:val="bottom"/>
          </w:tcPr>
          <w:p w14:paraId="3698AE29"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w:t>
            </w:r>
          </w:p>
        </w:tc>
        <w:tc>
          <w:tcPr>
            <w:tcW w:w="709" w:type="dxa"/>
            <w:tcBorders>
              <w:bottom w:val="single" w:sz="4" w:space="0" w:color="auto"/>
            </w:tcBorders>
            <w:shd w:val="clear" w:color="auto" w:fill="auto"/>
            <w:tcMar>
              <w:top w:w="57" w:type="dxa"/>
              <w:left w:w="0" w:type="dxa"/>
              <w:bottom w:w="57" w:type="dxa"/>
              <w:right w:w="0" w:type="dxa"/>
            </w:tcMar>
            <w:vAlign w:val="bottom"/>
          </w:tcPr>
          <w:p w14:paraId="1A5E3290"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w:t>
            </w:r>
          </w:p>
        </w:tc>
        <w:tc>
          <w:tcPr>
            <w:tcW w:w="709" w:type="dxa"/>
            <w:tcBorders>
              <w:bottom w:val="single" w:sz="4" w:space="0" w:color="auto"/>
            </w:tcBorders>
            <w:shd w:val="clear" w:color="auto" w:fill="auto"/>
            <w:tcMar>
              <w:top w:w="57" w:type="dxa"/>
              <w:left w:w="0" w:type="dxa"/>
              <w:bottom w:w="57" w:type="dxa"/>
              <w:right w:w="0" w:type="dxa"/>
            </w:tcMar>
            <w:vAlign w:val="bottom"/>
          </w:tcPr>
          <w:p w14:paraId="2AC685B9"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w:t>
            </w:r>
          </w:p>
        </w:tc>
        <w:tc>
          <w:tcPr>
            <w:tcW w:w="709" w:type="dxa"/>
            <w:tcBorders>
              <w:bottom w:val="single" w:sz="4" w:space="0" w:color="auto"/>
            </w:tcBorders>
            <w:shd w:val="clear" w:color="auto" w:fill="auto"/>
            <w:tcMar>
              <w:top w:w="57" w:type="dxa"/>
              <w:left w:w="0" w:type="dxa"/>
              <w:bottom w:w="57" w:type="dxa"/>
              <w:right w:w="0" w:type="dxa"/>
            </w:tcMar>
            <w:vAlign w:val="bottom"/>
          </w:tcPr>
          <w:p w14:paraId="1D04C1A8" w14:textId="77777777" w:rsidR="00E630B5" w:rsidRPr="002571CB" w:rsidRDefault="00E630B5" w:rsidP="003F70CC">
            <w:pPr>
              <w:spacing w:line="240" w:lineRule="atLeast"/>
              <w:jc w:val="right"/>
              <w:rPr>
                <w:rFonts w:ascii="Tahoma" w:hAnsi="Tahoma"/>
                <w:b/>
                <w:bCs/>
                <w:color w:val="000000" w:themeColor="text1"/>
                <w:w w:val="70"/>
                <w:sz w:val="16"/>
                <w:lang w:val="en-GB"/>
              </w:rPr>
            </w:pPr>
            <w:r w:rsidRPr="002571CB">
              <w:rPr>
                <w:rFonts w:ascii="Tahoma" w:hAnsi="Tahoma"/>
                <w:b/>
                <w:bCs/>
                <w:color w:val="000000" w:themeColor="text1"/>
                <w:w w:val="70"/>
                <w:sz w:val="16"/>
                <w:lang w:val="en-GB"/>
              </w:rPr>
              <w:t>—</w:t>
            </w:r>
          </w:p>
        </w:tc>
        <w:tc>
          <w:tcPr>
            <w:tcW w:w="708" w:type="dxa"/>
            <w:tcBorders>
              <w:bottom w:val="single" w:sz="4" w:space="0" w:color="auto"/>
              <w:right w:val="single" w:sz="4" w:space="0" w:color="auto"/>
            </w:tcBorders>
            <w:shd w:val="clear" w:color="auto" w:fill="auto"/>
            <w:tcMar>
              <w:top w:w="57" w:type="dxa"/>
              <w:left w:w="0" w:type="dxa"/>
              <w:bottom w:w="57" w:type="dxa"/>
              <w:right w:w="0" w:type="dxa"/>
            </w:tcMar>
            <w:vAlign w:val="bottom"/>
          </w:tcPr>
          <w:p w14:paraId="5A860D64" w14:textId="77777777" w:rsidR="00E630B5" w:rsidRPr="002571CB" w:rsidRDefault="00E630B5" w:rsidP="003F70CC">
            <w:pPr>
              <w:spacing w:line="240" w:lineRule="atLeast"/>
              <w:ind w:right="113"/>
              <w:jc w:val="right"/>
              <w:rPr>
                <w:rFonts w:ascii="Tahoma" w:hAnsi="Tahoma"/>
                <w:b/>
                <w:bCs/>
                <w:color w:val="000000" w:themeColor="text1"/>
                <w:w w:val="70"/>
                <w:sz w:val="16"/>
                <w:lang w:val="en-GB"/>
              </w:rPr>
            </w:pPr>
            <w:r w:rsidRPr="002571CB">
              <w:rPr>
                <w:rFonts w:ascii="Tahoma" w:hAnsi="Tahoma"/>
                <w:b/>
                <w:bCs/>
                <w:color w:val="000000" w:themeColor="text1"/>
                <w:w w:val="70"/>
                <w:sz w:val="16"/>
                <w:lang w:val="en-GB"/>
              </w:rPr>
              <w:t>(100)</w:t>
            </w:r>
          </w:p>
        </w:tc>
      </w:tr>
      <w:tr w:rsidR="00E630B5" w:rsidRPr="00CA3F6E" w14:paraId="708C9040" w14:textId="77777777" w:rsidTr="00D81429">
        <w:trPr>
          <w:trHeight w:val="60"/>
        </w:trPr>
        <w:tc>
          <w:tcPr>
            <w:tcW w:w="397" w:type="dxa"/>
            <w:shd w:val="clear" w:color="auto" w:fill="auto"/>
            <w:tcMar>
              <w:top w:w="57" w:type="dxa"/>
              <w:left w:w="0" w:type="dxa"/>
              <w:bottom w:w="85" w:type="dxa"/>
              <w:right w:w="0" w:type="dxa"/>
            </w:tcMar>
            <w:vAlign w:val="bottom"/>
          </w:tcPr>
          <w:p w14:paraId="557F42C4" w14:textId="77777777" w:rsidR="00E630B5" w:rsidRPr="00CA3F6E" w:rsidRDefault="00E630B5" w:rsidP="009D23C7">
            <w:pPr>
              <w:spacing w:line="240" w:lineRule="atLeast"/>
              <w:rPr>
                <w:rFonts w:ascii="Tahoma" w:hAnsi="Tahoma"/>
                <w:color w:val="000000" w:themeColor="text1"/>
                <w:sz w:val="16"/>
                <w:lang w:val="en-GB"/>
              </w:rPr>
            </w:pPr>
          </w:p>
        </w:tc>
        <w:tc>
          <w:tcPr>
            <w:tcW w:w="3714" w:type="dxa"/>
            <w:tcBorders>
              <w:bottom w:val="single" w:sz="4" w:space="0" w:color="auto"/>
            </w:tcBorders>
            <w:shd w:val="clear" w:color="auto" w:fill="auto"/>
            <w:tcMar>
              <w:top w:w="57" w:type="dxa"/>
              <w:left w:w="0" w:type="dxa"/>
              <w:bottom w:w="85" w:type="dxa"/>
              <w:right w:w="0" w:type="dxa"/>
            </w:tcMar>
            <w:vAlign w:val="bottom"/>
          </w:tcPr>
          <w:p w14:paraId="0E312A21" w14:textId="77777777" w:rsidR="00E630B5" w:rsidRPr="00CA3F6E" w:rsidRDefault="00E630B5" w:rsidP="009D23C7">
            <w:pPr>
              <w:spacing w:line="240" w:lineRule="atLeast"/>
              <w:rPr>
                <w:rFonts w:ascii="Tahoma" w:hAnsi="Tahoma"/>
                <w:i/>
                <w:iCs/>
                <w:color w:val="000000" w:themeColor="text1"/>
                <w:sz w:val="16"/>
                <w:lang w:val="en-GB"/>
              </w:rPr>
            </w:pPr>
            <w:r w:rsidRPr="00CA3F6E">
              <w:rPr>
                <w:rFonts w:ascii="Tahoma" w:hAnsi="Tahoma"/>
                <w:i/>
                <w:iCs/>
                <w:color w:val="000000" w:themeColor="text1"/>
                <w:sz w:val="16"/>
                <w:lang w:val="en-GB"/>
              </w:rPr>
              <w:t>Corporate segment</w:t>
            </w:r>
          </w:p>
        </w:tc>
        <w:tc>
          <w:tcPr>
            <w:tcW w:w="567" w:type="dxa"/>
            <w:tcBorders>
              <w:top w:val="single" w:sz="4" w:space="0" w:color="auto"/>
              <w:bottom w:val="single" w:sz="4" w:space="0" w:color="auto"/>
            </w:tcBorders>
            <w:shd w:val="clear" w:color="auto" w:fill="auto"/>
            <w:tcMar>
              <w:top w:w="57" w:type="dxa"/>
              <w:left w:w="0" w:type="dxa"/>
              <w:bottom w:w="85" w:type="dxa"/>
              <w:right w:w="0" w:type="dxa"/>
            </w:tcMar>
            <w:vAlign w:val="bottom"/>
          </w:tcPr>
          <w:p w14:paraId="0F29EE10"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(78)</w:t>
            </w:r>
          </w:p>
        </w:tc>
        <w:tc>
          <w:tcPr>
            <w:tcW w:w="851" w:type="dxa"/>
            <w:tcBorders>
              <w:top w:val="single" w:sz="4" w:space="0" w:color="auto"/>
              <w:bottom w:val="single" w:sz="4" w:space="0" w:color="auto"/>
            </w:tcBorders>
            <w:shd w:val="clear" w:color="auto" w:fill="auto"/>
            <w:tcMar>
              <w:top w:w="57" w:type="dxa"/>
              <w:left w:w="0" w:type="dxa"/>
              <w:bottom w:w="85" w:type="dxa"/>
              <w:right w:w="0" w:type="dxa"/>
            </w:tcMar>
            <w:vAlign w:val="bottom"/>
          </w:tcPr>
          <w:p w14:paraId="569E8685"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w:t>
            </w:r>
          </w:p>
        </w:tc>
        <w:tc>
          <w:tcPr>
            <w:tcW w:w="992" w:type="dxa"/>
            <w:tcBorders>
              <w:top w:val="single" w:sz="4" w:space="0" w:color="auto"/>
              <w:bottom w:val="single" w:sz="4" w:space="0" w:color="auto"/>
            </w:tcBorders>
            <w:shd w:val="clear" w:color="auto" w:fill="auto"/>
            <w:tcMar>
              <w:top w:w="57" w:type="dxa"/>
              <w:left w:w="0" w:type="dxa"/>
              <w:bottom w:w="85" w:type="dxa"/>
              <w:right w:w="0" w:type="dxa"/>
            </w:tcMar>
            <w:vAlign w:val="bottom"/>
          </w:tcPr>
          <w:p w14:paraId="1A9B8AB0"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w:t>
            </w:r>
          </w:p>
        </w:tc>
        <w:tc>
          <w:tcPr>
            <w:tcW w:w="850" w:type="dxa"/>
            <w:tcBorders>
              <w:top w:val="single" w:sz="4" w:space="0" w:color="auto"/>
              <w:bottom w:val="single" w:sz="4" w:space="0" w:color="auto"/>
            </w:tcBorders>
            <w:shd w:val="clear" w:color="auto" w:fill="auto"/>
            <w:tcMar>
              <w:top w:w="57" w:type="dxa"/>
              <w:left w:w="0" w:type="dxa"/>
              <w:bottom w:w="85" w:type="dxa"/>
              <w:right w:w="0" w:type="dxa"/>
            </w:tcMar>
            <w:vAlign w:val="bottom"/>
          </w:tcPr>
          <w:p w14:paraId="5C244AC4"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w:t>
            </w:r>
          </w:p>
        </w:tc>
        <w:tc>
          <w:tcPr>
            <w:tcW w:w="709" w:type="dxa"/>
            <w:tcBorders>
              <w:top w:val="single" w:sz="4" w:space="0" w:color="auto"/>
              <w:bottom w:val="single" w:sz="4" w:space="0" w:color="auto"/>
            </w:tcBorders>
            <w:shd w:val="clear" w:color="auto" w:fill="auto"/>
            <w:tcMar>
              <w:top w:w="57" w:type="dxa"/>
              <w:left w:w="0" w:type="dxa"/>
              <w:bottom w:w="85" w:type="dxa"/>
              <w:right w:w="0" w:type="dxa"/>
            </w:tcMar>
            <w:vAlign w:val="bottom"/>
          </w:tcPr>
          <w:p w14:paraId="77553052"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(3)</w:t>
            </w:r>
          </w:p>
        </w:tc>
        <w:tc>
          <w:tcPr>
            <w:tcW w:w="709" w:type="dxa"/>
            <w:tcBorders>
              <w:top w:val="single" w:sz="4" w:space="0" w:color="auto"/>
              <w:bottom w:val="single" w:sz="4" w:space="0" w:color="auto"/>
            </w:tcBorders>
            <w:shd w:val="clear" w:color="auto" w:fill="auto"/>
            <w:tcMar>
              <w:top w:w="57" w:type="dxa"/>
              <w:left w:w="0" w:type="dxa"/>
              <w:bottom w:w="85" w:type="dxa"/>
              <w:right w:w="0" w:type="dxa"/>
            </w:tcMar>
            <w:vAlign w:val="bottom"/>
          </w:tcPr>
          <w:p w14:paraId="1A2BA1F1"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(81)</w:t>
            </w:r>
          </w:p>
        </w:tc>
        <w:tc>
          <w:tcPr>
            <w:tcW w:w="709" w:type="dxa"/>
            <w:tcBorders>
              <w:top w:val="single" w:sz="4" w:space="0" w:color="auto"/>
              <w:bottom w:val="single" w:sz="4" w:space="0" w:color="auto"/>
            </w:tcBorders>
            <w:shd w:val="clear" w:color="auto" w:fill="auto"/>
            <w:tcMar>
              <w:top w:w="57" w:type="dxa"/>
              <w:left w:w="0" w:type="dxa"/>
              <w:bottom w:w="85" w:type="dxa"/>
              <w:right w:w="0" w:type="dxa"/>
            </w:tcMar>
            <w:vAlign w:val="bottom"/>
          </w:tcPr>
          <w:p w14:paraId="16F0609D" w14:textId="77777777" w:rsidR="00E630B5" w:rsidRPr="002571CB" w:rsidRDefault="00E630B5" w:rsidP="003F70CC">
            <w:pPr>
              <w:spacing w:line="240" w:lineRule="atLeast"/>
              <w:jc w:val="right"/>
              <w:rPr>
                <w:rFonts w:ascii="Tahoma" w:hAnsi="Tahoma"/>
                <w:b/>
                <w:bCs/>
                <w:color w:val="000000" w:themeColor="text1"/>
                <w:w w:val="70"/>
                <w:sz w:val="16"/>
                <w:lang w:val="en-GB"/>
              </w:rPr>
            </w:pPr>
            <w:r w:rsidRPr="002571CB">
              <w:rPr>
                <w:rFonts w:ascii="Tahoma" w:hAnsi="Tahoma"/>
                <w:b/>
                <w:bCs/>
                <w:color w:val="000000" w:themeColor="text1"/>
                <w:w w:val="70"/>
                <w:sz w:val="16"/>
                <w:lang w:val="en-GB"/>
              </w:rPr>
              <w:t>(4)</w:t>
            </w:r>
          </w:p>
        </w:tc>
        <w:tc>
          <w:tcPr>
            <w:tcW w:w="708" w:type="dxa"/>
            <w:tcBorders>
              <w:top w:val="single" w:sz="4" w:space="0" w:color="auto"/>
              <w:bottom w:val="single" w:sz="4" w:space="0" w:color="auto"/>
            </w:tcBorders>
            <w:shd w:val="clear" w:color="auto" w:fill="auto"/>
            <w:tcMar>
              <w:top w:w="57" w:type="dxa"/>
              <w:left w:w="0" w:type="dxa"/>
              <w:bottom w:w="85" w:type="dxa"/>
              <w:right w:w="0" w:type="dxa"/>
            </w:tcMar>
            <w:vAlign w:val="bottom"/>
          </w:tcPr>
          <w:p w14:paraId="1EB71425" w14:textId="77777777" w:rsidR="00E630B5" w:rsidRPr="002571CB" w:rsidRDefault="00E630B5" w:rsidP="003F70CC">
            <w:pPr>
              <w:spacing w:line="240" w:lineRule="atLeast"/>
              <w:ind w:right="113"/>
              <w:jc w:val="right"/>
              <w:rPr>
                <w:rFonts w:ascii="Tahoma" w:hAnsi="Tahoma"/>
                <w:b/>
                <w:bCs/>
                <w:color w:val="000000" w:themeColor="text1"/>
                <w:w w:val="70"/>
                <w:sz w:val="16"/>
                <w:lang w:val="en-GB"/>
              </w:rPr>
            </w:pPr>
            <w:r w:rsidRPr="002571CB">
              <w:rPr>
                <w:rFonts w:ascii="Tahoma" w:hAnsi="Tahoma"/>
                <w:b/>
                <w:bCs/>
                <w:color w:val="000000" w:themeColor="text1"/>
                <w:w w:val="70"/>
                <w:sz w:val="16"/>
                <w:lang w:val="en-GB"/>
              </w:rPr>
              <w:t>(4)</w:t>
            </w:r>
          </w:p>
        </w:tc>
      </w:tr>
      <w:tr w:rsidR="00E630B5" w:rsidRPr="00CA3F6E" w14:paraId="17A9D113" w14:textId="77777777" w:rsidTr="009D1770">
        <w:trPr>
          <w:trHeight w:val="60"/>
        </w:trPr>
        <w:tc>
          <w:tcPr>
            <w:tcW w:w="397" w:type="dxa"/>
            <w:shd w:val="clear" w:color="auto" w:fill="auto"/>
            <w:tcMar>
              <w:top w:w="85" w:type="dxa"/>
              <w:left w:w="0" w:type="dxa"/>
              <w:bottom w:w="85" w:type="dxa"/>
              <w:right w:w="0" w:type="dxa"/>
            </w:tcMar>
            <w:vAlign w:val="bottom"/>
          </w:tcPr>
          <w:p w14:paraId="5B86EC06" w14:textId="77777777" w:rsidR="00E630B5" w:rsidRPr="00CA3F6E" w:rsidRDefault="00E630B5" w:rsidP="009D23C7">
            <w:pPr>
              <w:spacing w:line="240" w:lineRule="atLeast"/>
              <w:rPr>
                <w:rFonts w:ascii="Tahoma" w:hAnsi="Tahoma"/>
                <w:color w:val="000000" w:themeColor="text1"/>
                <w:sz w:val="16"/>
                <w:lang w:val="en-GB"/>
              </w:rPr>
            </w:pPr>
          </w:p>
        </w:tc>
        <w:tc>
          <w:tcPr>
            <w:tcW w:w="3714" w:type="dxa"/>
            <w:tcBorders>
              <w:top w:val="single" w:sz="4" w:space="0" w:color="auto"/>
              <w:bottom w:val="single" w:sz="4" w:space="0" w:color="auto"/>
            </w:tcBorders>
            <w:shd w:val="clear" w:color="auto" w:fill="auto"/>
            <w:tcMar>
              <w:top w:w="85" w:type="dxa"/>
              <w:left w:w="0" w:type="dxa"/>
              <w:bottom w:w="85" w:type="dxa"/>
              <w:right w:w="0" w:type="dxa"/>
            </w:tcMar>
            <w:vAlign w:val="bottom"/>
          </w:tcPr>
          <w:p w14:paraId="621976EC" w14:textId="77777777" w:rsidR="00E630B5" w:rsidRPr="00CA3F6E" w:rsidRDefault="00E630B5" w:rsidP="009D23C7">
            <w:pPr>
              <w:spacing w:line="240" w:lineRule="atLeast"/>
              <w:rPr>
                <w:rFonts w:ascii="Tahoma" w:hAnsi="Tahoma"/>
                <w:b/>
                <w:bCs/>
                <w:color w:val="000000" w:themeColor="text1"/>
                <w:sz w:val="16"/>
                <w:lang w:val="en-GB"/>
              </w:rPr>
            </w:pPr>
            <w:r w:rsidRPr="00CA3F6E">
              <w:rPr>
                <w:rFonts w:ascii="Tahoma" w:hAnsi="Tahoma"/>
                <w:b/>
                <w:bCs/>
                <w:color w:val="000000" w:themeColor="text1"/>
                <w:sz w:val="16"/>
                <w:lang w:val="en-GB"/>
              </w:rPr>
              <w:t>Economic interest from continuing operations</w:t>
            </w:r>
          </w:p>
        </w:tc>
        <w:tc>
          <w:tcPr>
            <w:tcW w:w="567" w:type="dxa"/>
            <w:tcBorders>
              <w:top w:val="single" w:sz="4" w:space="0" w:color="auto"/>
              <w:bottom w:val="single" w:sz="4" w:space="0" w:color="auto"/>
            </w:tcBorders>
            <w:shd w:val="clear" w:color="auto" w:fill="auto"/>
            <w:tcMar>
              <w:top w:w="85" w:type="dxa"/>
              <w:left w:w="0" w:type="dxa"/>
              <w:bottom w:w="85" w:type="dxa"/>
              <w:right w:w="0" w:type="dxa"/>
            </w:tcMar>
            <w:vAlign w:val="bottom"/>
          </w:tcPr>
          <w:p w14:paraId="05F42649"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2 785</w:t>
            </w:r>
          </w:p>
        </w:tc>
        <w:tc>
          <w:tcPr>
            <w:tcW w:w="851" w:type="dxa"/>
            <w:tcBorders>
              <w:top w:val="single" w:sz="4" w:space="0" w:color="auto"/>
              <w:bottom w:val="single" w:sz="4" w:space="0" w:color="auto"/>
            </w:tcBorders>
            <w:shd w:val="clear" w:color="auto" w:fill="auto"/>
            <w:tcMar>
              <w:top w:w="85" w:type="dxa"/>
              <w:left w:w="0" w:type="dxa"/>
              <w:bottom w:w="85" w:type="dxa"/>
              <w:right w:w="0" w:type="dxa"/>
            </w:tcMar>
            <w:vAlign w:val="bottom"/>
          </w:tcPr>
          <w:p w14:paraId="026D7D3D"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(54)</w:t>
            </w:r>
          </w:p>
        </w:tc>
        <w:tc>
          <w:tcPr>
            <w:tcW w:w="992" w:type="dxa"/>
            <w:tcBorders>
              <w:top w:val="single" w:sz="4" w:space="0" w:color="auto"/>
              <w:bottom w:val="single" w:sz="4" w:space="0" w:color="auto"/>
            </w:tcBorders>
            <w:shd w:val="clear" w:color="auto" w:fill="auto"/>
            <w:tcMar>
              <w:top w:w="85" w:type="dxa"/>
              <w:left w:w="0" w:type="dxa"/>
              <w:bottom w:w="85" w:type="dxa"/>
              <w:right w:w="0" w:type="dxa"/>
            </w:tcMar>
            <w:vAlign w:val="bottom"/>
          </w:tcPr>
          <w:p w14:paraId="3D6A41E9"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(198)</w:t>
            </w:r>
          </w:p>
        </w:tc>
        <w:tc>
          <w:tcPr>
            <w:tcW w:w="850" w:type="dxa"/>
            <w:tcBorders>
              <w:top w:val="single" w:sz="4" w:space="0" w:color="auto"/>
              <w:bottom w:val="single" w:sz="4" w:space="0" w:color="auto"/>
            </w:tcBorders>
            <w:shd w:val="clear" w:color="auto" w:fill="auto"/>
            <w:tcMar>
              <w:top w:w="85" w:type="dxa"/>
              <w:left w:w="0" w:type="dxa"/>
              <w:bottom w:w="85" w:type="dxa"/>
              <w:right w:w="0" w:type="dxa"/>
            </w:tcMar>
            <w:vAlign w:val="bottom"/>
          </w:tcPr>
          <w:p w14:paraId="306F5CB1"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(93)</w:t>
            </w:r>
          </w:p>
        </w:tc>
        <w:tc>
          <w:tcPr>
            <w:tcW w:w="709" w:type="dxa"/>
            <w:tcBorders>
              <w:top w:val="single" w:sz="4" w:space="0" w:color="auto"/>
              <w:bottom w:val="single" w:sz="4" w:space="0" w:color="auto"/>
            </w:tcBorders>
            <w:shd w:val="clear" w:color="auto" w:fill="auto"/>
            <w:tcMar>
              <w:top w:w="85" w:type="dxa"/>
              <w:left w:w="0" w:type="dxa"/>
              <w:bottom w:w="85" w:type="dxa"/>
              <w:right w:w="0" w:type="dxa"/>
            </w:tcMar>
            <w:vAlign w:val="bottom"/>
          </w:tcPr>
          <w:p w14:paraId="3B43C300"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(1 022)</w:t>
            </w:r>
          </w:p>
        </w:tc>
        <w:tc>
          <w:tcPr>
            <w:tcW w:w="709" w:type="dxa"/>
            <w:tcBorders>
              <w:top w:val="single" w:sz="4" w:space="0" w:color="auto"/>
              <w:bottom w:val="single" w:sz="4" w:space="0" w:color="auto"/>
            </w:tcBorders>
            <w:shd w:val="clear" w:color="auto" w:fill="auto"/>
            <w:tcMar>
              <w:top w:w="85" w:type="dxa"/>
              <w:left w:w="0" w:type="dxa"/>
              <w:bottom w:w="85" w:type="dxa"/>
              <w:right w:w="0" w:type="dxa"/>
            </w:tcMar>
            <w:vAlign w:val="bottom"/>
          </w:tcPr>
          <w:p w14:paraId="319CA287"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1 418</w:t>
            </w:r>
          </w:p>
        </w:tc>
        <w:tc>
          <w:tcPr>
            <w:tcW w:w="709" w:type="dxa"/>
            <w:tcBorders>
              <w:top w:val="single" w:sz="4" w:space="0" w:color="auto"/>
              <w:bottom w:val="single" w:sz="4" w:space="0" w:color="auto"/>
            </w:tcBorders>
            <w:shd w:val="clear" w:color="auto" w:fill="auto"/>
            <w:tcMar>
              <w:top w:w="85" w:type="dxa"/>
              <w:left w:w="0" w:type="dxa"/>
              <w:bottom w:w="85" w:type="dxa"/>
              <w:right w:w="0" w:type="dxa"/>
            </w:tcMar>
            <w:vAlign w:val="bottom"/>
          </w:tcPr>
          <w:p w14:paraId="6113F27A" w14:textId="77777777" w:rsidR="00E630B5" w:rsidRPr="002571CB" w:rsidRDefault="00E630B5" w:rsidP="003F70CC">
            <w:pPr>
              <w:spacing w:line="240" w:lineRule="atLeast"/>
              <w:jc w:val="right"/>
              <w:rPr>
                <w:rFonts w:ascii="Tahoma" w:hAnsi="Tahoma"/>
                <w:b/>
                <w:bCs/>
                <w:color w:val="000000" w:themeColor="text1"/>
                <w:w w:val="70"/>
                <w:sz w:val="16"/>
                <w:lang w:val="en-GB"/>
              </w:rPr>
            </w:pPr>
            <w:r w:rsidRPr="002571CB">
              <w:rPr>
                <w:rFonts w:ascii="Tahoma" w:hAnsi="Tahoma"/>
                <w:b/>
                <w:bCs/>
                <w:color w:val="000000" w:themeColor="text1"/>
                <w:w w:val="70"/>
                <w:sz w:val="16"/>
                <w:lang w:val="en-GB"/>
              </w:rPr>
              <w:t>(37)</w:t>
            </w:r>
          </w:p>
        </w:tc>
        <w:tc>
          <w:tcPr>
            <w:tcW w:w="708" w:type="dxa"/>
            <w:tcBorders>
              <w:top w:val="single" w:sz="4" w:space="0" w:color="auto"/>
              <w:bottom w:val="single" w:sz="4" w:space="0" w:color="auto"/>
            </w:tcBorders>
            <w:shd w:val="clear" w:color="auto" w:fill="auto"/>
            <w:tcMar>
              <w:top w:w="85" w:type="dxa"/>
              <w:left w:w="0" w:type="dxa"/>
              <w:bottom w:w="85" w:type="dxa"/>
              <w:right w:w="0" w:type="dxa"/>
            </w:tcMar>
            <w:vAlign w:val="bottom"/>
          </w:tcPr>
          <w:p w14:paraId="554A1F91" w14:textId="77777777" w:rsidR="00E630B5" w:rsidRPr="002571CB" w:rsidRDefault="00E630B5" w:rsidP="003F70CC">
            <w:pPr>
              <w:spacing w:line="240" w:lineRule="atLeast"/>
              <w:ind w:right="113"/>
              <w:jc w:val="right"/>
              <w:rPr>
                <w:rFonts w:ascii="Tahoma" w:hAnsi="Tahoma"/>
                <w:b/>
                <w:bCs/>
                <w:color w:val="000000" w:themeColor="text1"/>
                <w:w w:val="70"/>
                <w:sz w:val="16"/>
                <w:lang w:val="en-GB"/>
              </w:rPr>
            </w:pPr>
            <w:r w:rsidRPr="002571CB">
              <w:rPr>
                <w:rFonts w:ascii="Tahoma" w:hAnsi="Tahoma"/>
                <w:b/>
                <w:bCs/>
                <w:color w:val="000000" w:themeColor="text1"/>
                <w:w w:val="70"/>
                <w:sz w:val="16"/>
                <w:lang w:val="en-GB"/>
              </w:rPr>
              <w:t>(49)</w:t>
            </w:r>
          </w:p>
        </w:tc>
      </w:tr>
      <w:tr w:rsidR="00E630B5" w:rsidRPr="00CA3F6E" w14:paraId="27E6B425" w14:textId="77777777" w:rsidTr="009D1770">
        <w:trPr>
          <w:trHeight w:val="60"/>
        </w:trPr>
        <w:tc>
          <w:tcPr>
            <w:tcW w:w="397" w:type="dxa"/>
            <w:shd w:val="clear" w:color="auto" w:fill="auto"/>
            <w:tcMar>
              <w:top w:w="85" w:type="dxa"/>
              <w:left w:w="0" w:type="dxa"/>
              <w:bottom w:w="85" w:type="dxa"/>
              <w:right w:w="0" w:type="dxa"/>
            </w:tcMar>
            <w:vAlign w:val="bottom"/>
          </w:tcPr>
          <w:p w14:paraId="68C67FBF" w14:textId="77777777" w:rsidR="00E630B5" w:rsidRPr="00CA3F6E" w:rsidRDefault="00E630B5" w:rsidP="009D23C7">
            <w:pPr>
              <w:spacing w:line="240" w:lineRule="atLeast"/>
              <w:rPr>
                <w:rFonts w:ascii="Tahoma" w:hAnsi="Tahoma"/>
                <w:color w:val="000000" w:themeColor="text1"/>
                <w:sz w:val="16"/>
                <w:lang w:val="en-GB"/>
              </w:rPr>
            </w:pPr>
          </w:p>
        </w:tc>
        <w:tc>
          <w:tcPr>
            <w:tcW w:w="3714" w:type="dxa"/>
            <w:tcBorders>
              <w:top w:val="single" w:sz="4" w:space="0" w:color="auto"/>
              <w:bottom w:val="single" w:sz="4" w:space="0" w:color="auto"/>
            </w:tcBorders>
            <w:shd w:val="clear" w:color="auto" w:fill="auto"/>
            <w:tcMar>
              <w:top w:w="85" w:type="dxa"/>
              <w:left w:w="0" w:type="dxa"/>
              <w:bottom w:w="85" w:type="dxa"/>
              <w:right w:w="0" w:type="dxa"/>
            </w:tcMar>
            <w:vAlign w:val="bottom"/>
          </w:tcPr>
          <w:p w14:paraId="221FA4EB" w14:textId="77777777" w:rsidR="00E630B5" w:rsidRPr="00CA3F6E" w:rsidRDefault="00E630B5" w:rsidP="009D23C7">
            <w:pPr>
              <w:spacing w:line="240" w:lineRule="atLeast"/>
              <w:rPr>
                <w:rFonts w:ascii="Tahoma" w:hAnsi="Tahoma"/>
                <w:b/>
                <w:bCs/>
                <w:color w:val="000000" w:themeColor="text1"/>
                <w:sz w:val="16"/>
                <w:lang w:val="en-GB"/>
              </w:rPr>
            </w:pPr>
            <w:r w:rsidRPr="00CA3F6E">
              <w:rPr>
                <w:rFonts w:ascii="Tahoma" w:hAnsi="Tahoma"/>
                <w:b/>
                <w:bCs/>
                <w:color w:val="000000" w:themeColor="text1"/>
                <w:sz w:val="16"/>
                <w:lang w:val="en-GB"/>
              </w:rPr>
              <w:t>Discontinued operations</w:t>
            </w:r>
            <w:r w:rsidRPr="00CA3F6E">
              <w:rPr>
                <w:rFonts w:ascii="Tahoma" w:hAnsi="Tahoma"/>
                <w:b/>
                <w:bCs/>
                <w:color w:val="000000" w:themeColor="text1"/>
                <w:sz w:val="16"/>
                <w:vertAlign w:val="superscript"/>
                <w:lang w:val="en-GB"/>
              </w:rPr>
              <w:t>5</w:t>
            </w:r>
          </w:p>
        </w:tc>
        <w:tc>
          <w:tcPr>
            <w:tcW w:w="567" w:type="dxa"/>
            <w:tcBorders>
              <w:top w:val="single" w:sz="4" w:space="0" w:color="auto"/>
              <w:bottom w:val="single" w:sz="4" w:space="0" w:color="auto"/>
            </w:tcBorders>
            <w:shd w:val="clear" w:color="auto" w:fill="auto"/>
            <w:tcMar>
              <w:top w:w="85" w:type="dxa"/>
              <w:left w:w="0" w:type="dxa"/>
              <w:bottom w:w="85" w:type="dxa"/>
              <w:right w:w="0" w:type="dxa"/>
            </w:tcMar>
            <w:vAlign w:val="bottom"/>
          </w:tcPr>
          <w:p w14:paraId="33069FBE"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151</w:t>
            </w:r>
          </w:p>
        </w:tc>
        <w:tc>
          <w:tcPr>
            <w:tcW w:w="851" w:type="dxa"/>
            <w:tcBorders>
              <w:top w:val="single" w:sz="4" w:space="0" w:color="auto"/>
              <w:bottom w:val="single" w:sz="4" w:space="0" w:color="auto"/>
            </w:tcBorders>
            <w:shd w:val="clear" w:color="auto" w:fill="auto"/>
            <w:tcMar>
              <w:top w:w="85" w:type="dxa"/>
              <w:left w:w="0" w:type="dxa"/>
              <w:bottom w:w="85" w:type="dxa"/>
              <w:right w:w="0" w:type="dxa"/>
            </w:tcMar>
            <w:vAlign w:val="bottom"/>
          </w:tcPr>
          <w:p w14:paraId="202B03BB"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w:t>
            </w:r>
          </w:p>
        </w:tc>
        <w:tc>
          <w:tcPr>
            <w:tcW w:w="992" w:type="dxa"/>
            <w:tcBorders>
              <w:top w:val="single" w:sz="4" w:space="0" w:color="auto"/>
              <w:bottom w:val="single" w:sz="4" w:space="0" w:color="auto"/>
            </w:tcBorders>
            <w:shd w:val="clear" w:color="auto" w:fill="auto"/>
            <w:tcMar>
              <w:top w:w="85" w:type="dxa"/>
              <w:left w:w="0" w:type="dxa"/>
              <w:bottom w:w="85" w:type="dxa"/>
              <w:right w:w="0" w:type="dxa"/>
            </w:tcMar>
            <w:vAlign w:val="bottom"/>
          </w:tcPr>
          <w:p w14:paraId="2D3AF041"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23</w:t>
            </w:r>
          </w:p>
        </w:tc>
        <w:tc>
          <w:tcPr>
            <w:tcW w:w="850" w:type="dxa"/>
            <w:tcBorders>
              <w:top w:val="single" w:sz="4" w:space="0" w:color="auto"/>
              <w:bottom w:val="single" w:sz="4" w:space="0" w:color="auto"/>
            </w:tcBorders>
            <w:shd w:val="clear" w:color="auto" w:fill="auto"/>
            <w:tcMar>
              <w:top w:w="85" w:type="dxa"/>
              <w:left w:w="0" w:type="dxa"/>
              <w:bottom w:w="85" w:type="dxa"/>
              <w:right w:w="0" w:type="dxa"/>
            </w:tcMar>
            <w:vAlign w:val="bottom"/>
          </w:tcPr>
          <w:p w14:paraId="491FC6DA"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28</w:t>
            </w:r>
          </w:p>
        </w:tc>
        <w:tc>
          <w:tcPr>
            <w:tcW w:w="709" w:type="dxa"/>
            <w:tcBorders>
              <w:top w:val="single" w:sz="4" w:space="0" w:color="auto"/>
              <w:bottom w:val="single" w:sz="4" w:space="0" w:color="auto"/>
            </w:tcBorders>
            <w:shd w:val="clear" w:color="auto" w:fill="auto"/>
            <w:tcMar>
              <w:top w:w="85" w:type="dxa"/>
              <w:left w:w="0" w:type="dxa"/>
              <w:bottom w:w="85" w:type="dxa"/>
              <w:right w:w="0" w:type="dxa"/>
            </w:tcMar>
            <w:vAlign w:val="bottom"/>
          </w:tcPr>
          <w:p w14:paraId="631C7FD8"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8</w:t>
            </w:r>
          </w:p>
        </w:tc>
        <w:tc>
          <w:tcPr>
            <w:tcW w:w="709" w:type="dxa"/>
            <w:tcBorders>
              <w:top w:val="single" w:sz="4" w:space="0" w:color="auto"/>
              <w:bottom w:val="single" w:sz="4" w:space="0" w:color="auto"/>
            </w:tcBorders>
            <w:shd w:val="clear" w:color="auto" w:fill="auto"/>
            <w:tcMar>
              <w:top w:w="85" w:type="dxa"/>
              <w:left w:w="0" w:type="dxa"/>
              <w:bottom w:w="85" w:type="dxa"/>
              <w:right w:w="0" w:type="dxa"/>
            </w:tcMar>
            <w:vAlign w:val="bottom"/>
          </w:tcPr>
          <w:p w14:paraId="57617BD3"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210</w:t>
            </w:r>
          </w:p>
        </w:tc>
        <w:tc>
          <w:tcPr>
            <w:tcW w:w="709" w:type="dxa"/>
            <w:tcBorders>
              <w:top w:val="single" w:sz="4" w:space="0" w:color="auto"/>
              <w:bottom w:val="single" w:sz="4" w:space="0" w:color="auto"/>
            </w:tcBorders>
            <w:shd w:val="clear" w:color="auto" w:fill="auto"/>
            <w:tcMar>
              <w:top w:w="85" w:type="dxa"/>
              <w:left w:w="0" w:type="dxa"/>
              <w:bottom w:w="85" w:type="dxa"/>
              <w:right w:w="0" w:type="dxa"/>
            </w:tcMar>
            <w:vAlign w:val="bottom"/>
          </w:tcPr>
          <w:p w14:paraId="51D83F3E" w14:textId="77777777" w:rsidR="00E630B5" w:rsidRPr="002571CB" w:rsidRDefault="00E630B5" w:rsidP="003F70CC">
            <w:pPr>
              <w:spacing w:line="240" w:lineRule="atLeast"/>
              <w:jc w:val="right"/>
              <w:rPr>
                <w:rFonts w:ascii="Tahoma" w:hAnsi="Tahoma"/>
                <w:b/>
                <w:bCs/>
                <w:color w:val="000000" w:themeColor="text1"/>
                <w:w w:val="70"/>
                <w:sz w:val="16"/>
                <w:lang w:val="en-GB"/>
              </w:rPr>
            </w:pPr>
            <w:r w:rsidRPr="002571CB">
              <w:rPr>
                <w:rFonts w:ascii="Tahoma" w:hAnsi="Tahoma"/>
                <w:b/>
                <w:bCs/>
                <w:color w:val="000000" w:themeColor="text1"/>
                <w:w w:val="70"/>
                <w:sz w:val="16"/>
                <w:lang w:val="en-GB"/>
              </w:rPr>
              <w:t>5</w:t>
            </w:r>
          </w:p>
        </w:tc>
        <w:tc>
          <w:tcPr>
            <w:tcW w:w="708" w:type="dxa"/>
            <w:tcBorders>
              <w:top w:val="single" w:sz="4" w:space="0" w:color="auto"/>
              <w:bottom w:val="single" w:sz="4" w:space="0" w:color="auto"/>
            </w:tcBorders>
            <w:shd w:val="clear" w:color="auto" w:fill="auto"/>
            <w:tcMar>
              <w:top w:w="85" w:type="dxa"/>
              <w:left w:w="0" w:type="dxa"/>
              <w:bottom w:w="85" w:type="dxa"/>
              <w:right w:w="0" w:type="dxa"/>
            </w:tcMar>
            <w:vAlign w:val="bottom"/>
          </w:tcPr>
          <w:p w14:paraId="6FFF1572" w14:textId="77777777" w:rsidR="00E630B5" w:rsidRPr="002571CB" w:rsidRDefault="00E630B5" w:rsidP="003F70CC">
            <w:pPr>
              <w:spacing w:line="240" w:lineRule="atLeast"/>
              <w:ind w:right="113"/>
              <w:jc w:val="right"/>
              <w:rPr>
                <w:rFonts w:ascii="Tahoma" w:hAnsi="Tahoma"/>
                <w:b/>
                <w:bCs/>
                <w:color w:val="000000" w:themeColor="text1"/>
                <w:w w:val="70"/>
                <w:sz w:val="16"/>
                <w:lang w:val="en-GB"/>
              </w:rPr>
            </w:pPr>
            <w:r w:rsidRPr="002571CB">
              <w:rPr>
                <w:rFonts w:ascii="Tahoma" w:hAnsi="Tahoma"/>
                <w:b/>
                <w:bCs/>
                <w:color w:val="000000" w:themeColor="text1"/>
                <w:w w:val="70"/>
                <w:sz w:val="16"/>
                <w:lang w:val="en-GB"/>
              </w:rPr>
              <w:t>39</w:t>
            </w:r>
          </w:p>
        </w:tc>
      </w:tr>
      <w:tr w:rsidR="00E630B5" w:rsidRPr="00CA3F6E" w14:paraId="23BF5201" w14:textId="77777777" w:rsidTr="009D1770">
        <w:trPr>
          <w:trHeight w:val="60"/>
        </w:trPr>
        <w:tc>
          <w:tcPr>
            <w:tcW w:w="397" w:type="dxa"/>
            <w:shd w:val="clear" w:color="auto" w:fill="auto"/>
            <w:tcMar>
              <w:top w:w="85" w:type="dxa"/>
              <w:left w:w="0" w:type="dxa"/>
              <w:bottom w:w="85" w:type="dxa"/>
              <w:right w:w="0" w:type="dxa"/>
            </w:tcMar>
            <w:vAlign w:val="bottom"/>
          </w:tcPr>
          <w:p w14:paraId="5899C17D" w14:textId="77777777" w:rsidR="00E630B5" w:rsidRPr="00CA3F6E" w:rsidRDefault="00E630B5" w:rsidP="009D23C7">
            <w:pPr>
              <w:spacing w:line="240" w:lineRule="atLeast"/>
              <w:rPr>
                <w:rFonts w:ascii="Tahoma" w:hAnsi="Tahoma"/>
                <w:color w:val="000000" w:themeColor="text1"/>
                <w:sz w:val="16"/>
                <w:lang w:val="en-GB"/>
              </w:rPr>
            </w:pPr>
          </w:p>
        </w:tc>
        <w:tc>
          <w:tcPr>
            <w:tcW w:w="3714"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1DA0AE48" w14:textId="77777777" w:rsidR="00E630B5" w:rsidRPr="00CA3F6E" w:rsidRDefault="00E630B5" w:rsidP="009D23C7">
            <w:pPr>
              <w:spacing w:line="240" w:lineRule="atLeast"/>
              <w:rPr>
                <w:rFonts w:ascii="Tahoma" w:hAnsi="Tahoma"/>
                <w:b/>
                <w:bCs/>
                <w:color w:val="000000" w:themeColor="text1"/>
                <w:sz w:val="16"/>
                <w:lang w:val="en-GB"/>
              </w:rPr>
            </w:pPr>
            <w:r w:rsidRPr="00CA3F6E">
              <w:rPr>
                <w:rFonts w:ascii="Tahoma" w:hAnsi="Tahoma"/>
                <w:b/>
                <w:bCs/>
                <w:color w:val="000000" w:themeColor="text1"/>
                <w:sz w:val="16"/>
                <w:lang w:val="en-GB"/>
              </w:rPr>
              <w:t>Group economic interest</w:t>
            </w:r>
          </w:p>
        </w:tc>
        <w:tc>
          <w:tcPr>
            <w:tcW w:w="567"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384AB9C7"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2 936</w:t>
            </w:r>
          </w:p>
        </w:tc>
        <w:tc>
          <w:tcPr>
            <w:tcW w:w="851"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25C5D4EC"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(54)</w:t>
            </w:r>
          </w:p>
        </w:tc>
        <w:tc>
          <w:tcPr>
            <w:tcW w:w="992"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31861C1B"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(175)</w:t>
            </w:r>
          </w:p>
        </w:tc>
        <w:tc>
          <w:tcPr>
            <w:tcW w:w="850"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00F0FE65"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(65)</w:t>
            </w:r>
          </w:p>
        </w:tc>
        <w:tc>
          <w:tcPr>
            <w:tcW w:w="709"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385C2037"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(1 014)</w:t>
            </w:r>
          </w:p>
        </w:tc>
        <w:tc>
          <w:tcPr>
            <w:tcW w:w="709"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414CA850" w14:textId="77777777" w:rsidR="00E630B5" w:rsidRPr="00CA3F6E" w:rsidRDefault="00E630B5" w:rsidP="003F70CC">
            <w:pPr>
              <w:spacing w:line="240" w:lineRule="atLeast"/>
              <w:jc w:val="right"/>
              <w:rPr>
                <w:rFonts w:ascii="Tahoma" w:hAnsi="Tahoma"/>
                <w:color w:val="000000" w:themeColor="text1"/>
                <w:w w:val="70"/>
                <w:sz w:val="16"/>
                <w:lang w:val="en-GB"/>
              </w:rPr>
            </w:pPr>
            <w:r w:rsidRPr="00CA3F6E">
              <w:rPr>
                <w:rFonts w:ascii="Tahoma" w:hAnsi="Tahoma"/>
                <w:color w:val="000000" w:themeColor="text1"/>
                <w:w w:val="70"/>
                <w:sz w:val="16"/>
                <w:lang w:val="en-GB"/>
              </w:rPr>
              <w:t>1 628</w:t>
            </w:r>
          </w:p>
        </w:tc>
        <w:tc>
          <w:tcPr>
            <w:tcW w:w="709"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34E1CB32" w14:textId="77777777" w:rsidR="00E630B5" w:rsidRPr="002571CB" w:rsidRDefault="00E630B5" w:rsidP="003F70CC">
            <w:pPr>
              <w:spacing w:line="240" w:lineRule="atLeast"/>
              <w:jc w:val="right"/>
              <w:rPr>
                <w:rFonts w:ascii="Tahoma" w:hAnsi="Tahoma"/>
                <w:b/>
                <w:bCs/>
                <w:color w:val="000000" w:themeColor="text1"/>
                <w:w w:val="70"/>
                <w:sz w:val="16"/>
                <w:lang w:val="en-GB"/>
              </w:rPr>
            </w:pPr>
            <w:r w:rsidRPr="002571CB">
              <w:rPr>
                <w:rFonts w:ascii="Tahoma" w:hAnsi="Tahoma"/>
                <w:b/>
                <w:bCs/>
                <w:color w:val="000000" w:themeColor="text1"/>
                <w:w w:val="70"/>
                <w:sz w:val="16"/>
                <w:lang w:val="en-GB"/>
              </w:rPr>
              <w:t>(35)</w:t>
            </w:r>
          </w:p>
        </w:tc>
        <w:tc>
          <w:tcPr>
            <w:tcW w:w="708" w:type="dxa"/>
            <w:tcBorders>
              <w:top w:val="single" w:sz="4" w:space="0" w:color="auto"/>
              <w:bottom w:val="single" w:sz="12" w:space="0" w:color="auto"/>
            </w:tcBorders>
            <w:shd w:val="clear" w:color="auto" w:fill="auto"/>
            <w:tcMar>
              <w:top w:w="85" w:type="dxa"/>
              <w:left w:w="0" w:type="dxa"/>
              <w:bottom w:w="85" w:type="dxa"/>
              <w:right w:w="0" w:type="dxa"/>
            </w:tcMar>
            <w:vAlign w:val="bottom"/>
          </w:tcPr>
          <w:p w14:paraId="553D179A" w14:textId="77777777" w:rsidR="00E630B5" w:rsidRPr="002571CB" w:rsidRDefault="00E630B5" w:rsidP="003F70CC">
            <w:pPr>
              <w:spacing w:line="240" w:lineRule="atLeast"/>
              <w:ind w:right="113"/>
              <w:jc w:val="right"/>
              <w:rPr>
                <w:rFonts w:ascii="Tahoma" w:hAnsi="Tahoma"/>
                <w:b/>
                <w:bCs/>
                <w:color w:val="000000" w:themeColor="text1"/>
                <w:w w:val="70"/>
                <w:sz w:val="16"/>
                <w:lang w:val="en-GB"/>
              </w:rPr>
            </w:pPr>
            <w:r w:rsidRPr="002571CB">
              <w:rPr>
                <w:rFonts w:ascii="Tahoma" w:hAnsi="Tahoma"/>
                <w:b/>
                <w:bCs/>
                <w:color w:val="000000" w:themeColor="text1"/>
                <w:w w:val="70"/>
                <w:sz w:val="16"/>
                <w:lang w:val="en-GB"/>
              </w:rPr>
              <w:t>(45)</w:t>
            </w:r>
          </w:p>
        </w:tc>
      </w:tr>
      <w:tr w:rsidR="00E630B5" w:rsidRPr="00CA3F6E" w14:paraId="52AC1637" w14:textId="77777777" w:rsidTr="009D1770">
        <w:trPr>
          <w:trHeight w:val="60"/>
        </w:trPr>
        <w:tc>
          <w:tcPr>
            <w:tcW w:w="397" w:type="dxa"/>
            <w:shd w:val="clear" w:color="auto" w:fill="auto"/>
            <w:tcMar>
              <w:top w:w="85" w:type="dxa"/>
              <w:left w:w="0" w:type="dxa"/>
              <w:bottom w:w="57" w:type="dxa"/>
              <w:right w:w="0" w:type="dxa"/>
            </w:tcMar>
            <w:vAlign w:val="bottom"/>
          </w:tcPr>
          <w:p w14:paraId="7DB9A8C8" w14:textId="77777777" w:rsidR="00E630B5" w:rsidRPr="00CA3F6E" w:rsidRDefault="00E630B5" w:rsidP="009D23C7">
            <w:pPr>
              <w:spacing w:line="240" w:lineRule="atLeast"/>
              <w:rPr>
                <w:rFonts w:ascii="Tahoma" w:hAnsi="Tahoma"/>
                <w:color w:val="000000" w:themeColor="text1"/>
                <w:sz w:val="16"/>
                <w:lang w:val="en-GB"/>
              </w:rPr>
            </w:pPr>
          </w:p>
        </w:tc>
        <w:tc>
          <w:tcPr>
            <w:tcW w:w="9809" w:type="dxa"/>
            <w:gridSpan w:val="9"/>
            <w:tcBorders>
              <w:top w:val="single" w:sz="12" w:space="0" w:color="auto"/>
            </w:tcBorders>
            <w:shd w:val="clear" w:color="auto" w:fill="auto"/>
            <w:tcMar>
              <w:top w:w="85" w:type="dxa"/>
              <w:left w:w="0" w:type="dxa"/>
              <w:bottom w:w="57" w:type="dxa"/>
              <w:right w:w="0" w:type="dxa"/>
            </w:tcMar>
            <w:vAlign w:val="bottom"/>
          </w:tcPr>
          <w:p w14:paraId="568CF83E" w14:textId="77777777" w:rsidR="00E630B5" w:rsidRPr="0014063A" w:rsidRDefault="00E630B5" w:rsidP="0014063A">
            <w:pPr>
              <w:pStyle w:val="FootnotesProsus2022FrontStylesProsus2022"/>
            </w:pPr>
            <w:r w:rsidRPr="0014063A">
              <w:t>1</w:t>
            </w:r>
            <w:r w:rsidRPr="0014063A">
              <w:tab/>
              <w:t>Figures presented on an economic-interest basis as per the segmental review.</w:t>
            </w:r>
          </w:p>
          <w:p w14:paraId="791C3877" w14:textId="77777777" w:rsidR="00E630B5" w:rsidRPr="0014063A" w:rsidRDefault="00E630B5" w:rsidP="0014063A">
            <w:pPr>
              <w:pStyle w:val="FootnotesProsus2022FrontStylesProsus2022"/>
            </w:pPr>
            <w:r w:rsidRPr="0014063A">
              <w:t>2</w:t>
            </w:r>
            <w:r w:rsidRPr="0014063A">
              <w:tab/>
              <w:t>A + B + C + D + E.</w:t>
            </w:r>
          </w:p>
          <w:p w14:paraId="4AAF142E" w14:textId="77777777" w:rsidR="00E630B5" w:rsidRPr="0014063A" w:rsidRDefault="00E630B5" w:rsidP="0014063A">
            <w:pPr>
              <w:pStyle w:val="FootnotesProsus2022FrontStylesProsus2022"/>
            </w:pPr>
            <w:r w:rsidRPr="0014063A">
              <w:t>3</w:t>
            </w:r>
            <w:r w:rsidRPr="0014063A">
              <w:tab/>
              <w:t>[E</w:t>
            </w:r>
            <w:proofErr w:type="gramStart"/>
            <w:r w:rsidRPr="0014063A">
              <w:t>/(</w:t>
            </w:r>
            <w:proofErr w:type="gramEnd"/>
            <w:r w:rsidRPr="0014063A">
              <w:t>A + B)] x 100.</w:t>
            </w:r>
          </w:p>
          <w:p w14:paraId="39A618BB" w14:textId="77777777" w:rsidR="00E630B5" w:rsidRPr="0014063A" w:rsidRDefault="00E630B5" w:rsidP="0014063A">
            <w:pPr>
              <w:pStyle w:val="FootnotesProsus2022FrontStylesProsus2022"/>
            </w:pPr>
            <w:r w:rsidRPr="0014063A">
              <w:t>4</w:t>
            </w:r>
            <w:r w:rsidRPr="0014063A">
              <w:tab/>
              <w:t>[(F/A) – 1] x 100.</w:t>
            </w:r>
          </w:p>
          <w:p w14:paraId="340F869D" w14:textId="77777777" w:rsidR="00E630B5" w:rsidRPr="00CA3F6E" w:rsidRDefault="00E630B5" w:rsidP="0014063A">
            <w:pPr>
              <w:pStyle w:val="FootnotesProsus2022FrontStylesProsus2022"/>
            </w:pPr>
            <w:r w:rsidRPr="0014063A">
              <w:t>5</w:t>
            </w:r>
            <w:r w:rsidRPr="0014063A">
              <w:tab/>
              <w:t xml:space="preserve">From 1 April 2022, following the separation from OLX Group, the CODM reviewed the financial results of </w:t>
            </w:r>
            <w:proofErr w:type="spellStart"/>
            <w:r w:rsidRPr="0014063A">
              <w:t>Avito</w:t>
            </w:r>
            <w:proofErr w:type="spellEnd"/>
            <w:r w:rsidRPr="0014063A">
              <w:t xml:space="preserve"> separately. Subsequent to the group’s decision to exit this Russian business, </w:t>
            </w:r>
            <w:proofErr w:type="spellStart"/>
            <w:r w:rsidRPr="0014063A">
              <w:t>Avito</w:t>
            </w:r>
            <w:proofErr w:type="spellEnd"/>
            <w:r w:rsidRPr="0014063A">
              <w:t xml:space="preserve"> was presented as a discontinued operation. The change has no impact on the overall group revenue, adjusted EBITDA and trading (loss)/profit in prior periods.</w:t>
            </w:r>
          </w:p>
        </w:tc>
      </w:tr>
    </w:tbl>
    <w:p w14:paraId="2EDD2C60" w14:textId="77777777" w:rsidR="00A8710A" w:rsidRDefault="00A8710A" w:rsidP="00615190">
      <w:pPr>
        <w:spacing w:line="240" w:lineRule="atLeast"/>
        <w:rPr>
          <w:rFonts w:ascii="Tahoma" w:hAnsi="Tahoma"/>
          <w:color w:val="000000" w:themeColor="text1"/>
          <w:sz w:val="16"/>
        </w:rPr>
      </w:pPr>
    </w:p>
    <w:p w14:paraId="75FC2408" w14:textId="77777777" w:rsidR="009279C5" w:rsidRPr="00615190" w:rsidRDefault="00A8710A" w:rsidP="009279C5">
      <w:pPr>
        <w:rPr>
          <w:rFonts w:ascii="Tahoma" w:hAnsi="Tahoma"/>
          <w:color w:val="000000" w:themeColor="text1"/>
          <w:sz w:val="16"/>
        </w:rPr>
      </w:pPr>
      <w:r>
        <w:rPr>
          <w:rFonts w:ascii="Tahoma" w:hAnsi="Tahoma"/>
          <w:color w:val="000000" w:themeColor="text1"/>
          <w:sz w:val="16"/>
        </w:rPr>
        <w:br w:type="page"/>
      </w:r>
    </w:p>
    <w:p w14:paraId="64FF39D8" w14:textId="77777777" w:rsidR="00CA3F6E" w:rsidRPr="00DF1DA9" w:rsidRDefault="00DF1DA9" w:rsidP="00615190">
      <w:pPr>
        <w:spacing w:line="240" w:lineRule="atLeast"/>
        <w:rPr>
          <w:rFonts w:ascii="Tahoma" w:hAnsi="Tahoma"/>
          <w:b/>
          <w:bCs/>
          <w:color w:val="000000" w:themeColor="text1"/>
          <w:sz w:val="20"/>
          <w:szCs w:val="20"/>
        </w:rPr>
      </w:pPr>
      <w:r w:rsidRPr="00DF1DA9">
        <w:rPr>
          <w:rFonts w:ascii="Tahoma" w:hAnsi="Tahoma"/>
          <w:b/>
          <w:bCs/>
          <w:color w:val="000000" w:themeColor="text1"/>
          <w:sz w:val="20"/>
          <w:szCs w:val="20"/>
        </w:rPr>
        <w:lastRenderedPageBreak/>
        <w:t>ADMINISTRATION AND CORPORATE INFORMATION</w:t>
      </w:r>
    </w:p>
    <w:p w14:paraId="2E5B05E3" w14:textId="77777777" w:rsidR="00CA3F6E" w:rsidRPr="00615190" w:rsidRDefault="00CA3F6E" w:rsidP="00615190">
      <w:pPr>
        <w:spacing w:line="240" w:lineRule="atLeast"/>
        <w:rPr>
          <w:rFonts w:ascii="Tahoma" w:hAnsi="Tahoma"/>
          <w:color w:val="000000" w:themeColor="text1"/>
          <w:sz w:val="16"/>
        </w:rPr>
      </w:pPr>
    </w:p>
    <w:p w14:paraId="74FD96F3" w14:textId="77777777" w:rsidR="00CA3F6E" w:rsidRDefault="00CA3F6E" w:rsidP="00615190">
      <w:pPr>
        <w:spacing w:line="240" w:lineRule="atLeast"/>
        <w:rPr>
          <w:rFonts w:ascii="Tahoma" w:hAnsi="Tahoma"/>
          <w:color w:val="000000" w:themeColor="text1"/>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45"/>
      </w:tblGrid>
      <w:tr w:rsidR="00FE3C8C" w14:paraId="685B9433" w14:textId="77777777" w:rsidTr="00133CD2">
        <w:tc>
          <w:tcPr>
            <w:tcW w:w="4820" w:type="dxa"/>
          </w:tcPr>
          <w:p w14:paraId="3F94DF0A" w14:textId="77777777" w:rsidR="00FE3C8C" w:rsidRPr="00FD60F3" w:rsidRDefault="00FE3C8C" w:rsidP="000A60DE">
            <w:pPr>
              <w:spacing w:line="240" w:lineRule="atLeast"/>
              <w:ind w:right="308"/>
              <w:rPr>
                <w:rFonts w:ascii="Tahoma" w:hAnsi="Tahoma"/>
                <w:b/>
                <w:bCs/>
                <w:color w:val="000000" w:themeColor="text1"/>
                <w:sz w:val="16"/>
              </w:rPr>
            </w:pPr>
            <w:proofErr w:type="spellStart"/>
            <w:r w:rsidRPr="00FD60F3">
              <w:rPr>
                <w:rFonts w:ascii="Tahoma" w:hAnsi="Tahoma"/>
                <w:b/>
                <w:bCs/>
                <w:color w:val="000000" w:themeColor="text1"/>
                <w:sz w:val="16"/>
              </w:rPr>
              <w:t>Prosus</w:t>
            </w:r>
            <w:proofErr w:type="spellEnd"/>
            <w:r w:rsidRPr="00FD60F3">
              <w:rPr>
                <w:rFonts w:ascii="Tahoma" w:hAnsi="Tahoma"/>
                <w:b/>
                <w:bCs/>
                <w:color w:val="000000" w:themeColor="text1"/>
                <w:sz w:val="16"/>
              </w:rPr>
              <w:t xml:space="preserve"> N.V.</w:t>
            </w:r>
          </w:p>
          <w:p w14:paraId="4D3D58BA" w14:textId="77777777" w:rsidR="00FE3C8C" w:rsidRPr="00615190" w:rsidRDefault="00FE3C8C" w:rsidP="00FE3C8C">
            <w:pPr>
              <w:spacing w:line="240" w:lineRule="atLeast"/>
              <w:rPr>
                <w:rFonts w:ascii="Tahoma" w:hAnsi="Tahoma"/>
                <w:color w:val="000000" w:themeColor="text1"/>
                <w:sz w:val="16"/>
              </w:rPr>
            </w:pPr>
            <w:r w:rsidRPr="00615190">
              <w:rPr>
                <w:rFonts w:ascii="Tahoma" w:hAnsi="Tahoma"/>
                <w:color w:val="000000" w:themeColor="text1"/>
                <w:sz w:val="16"/>
              </w:rPr>
              <w:t>Incorporated in the Netherlands</w:t>
            </w:r>
          </w:p>
          <w:p w14:paraId="4581A618" w14:textId="77777777" w:rsidR="00FE3C8C" w:rsidRPr="00615190" w:rsidRDefault="00FE3C8C" w:rsidP="00FE3C8C">
            <w:pPr>
              <w:spacing w:line="240" w:lineRule="atLeast"/>
              <w:rPr>
                <w:rFonts w:ascii="Tahoma" w:hAnsi="Tahoma"/>
                <w:color w:val="000000" w:themeColor="text1"/>
                <w:sz w:val="16"/>
              </w:rPr>
            </w:pPr>
            <w:r w:rsidRPr="00615190">
              <w:rPr>
                <w:rFonts w:ascii="Tahoma" w:hAnsi="Tahoma"/>
                <w:color w:val="000000" w:themeColor="text1"/>
                <w:sz w:val="16"/>
              </w:rPr>
              <w:t>(Registration number: 34099856)</w:t>
            </w:r>
          </w:p>
          <w:p w14:paraId="19CDCE59" w14:textId="77777777" w:rsidR="00FE3C8C" w:rsidRPr="00615190" w:rsidRDefault="00FE3C8C" w:rsidP="00FE3C8C">
            <w:pPr>
              <w:spacing w:line="240" w:lineRule="atLeast"/>
              <w:rPr>
                <w:rFonts w:ascii="Tahoma" w:hAnsi="Tahoma"/>
                <w:color w:val="000000" w:themeColor="text1"/>
                <w:sz w:val="16"/>
              </w:rPr>
            </w:pPr>
            <w:r w:rsidRPr="00615190">
              <w:rPr>
                <w:rFonts w:ascii="Tahoma" w:hAnsi="Tahoma"/>
                <w:color w:val="000000" w:themeColor="text1"/>
                <w:sz w:val="16"/>
              </w:rPr>
              <w:t>(</w:t>
            </w:r>
            <w:proofErr w:type="spellStart"/>
            <w:r w:rsidRPr="00615190">
              <w:rPr>
                <w:rFonts w:ascii="Tahoma" w:hAnsi="Tahoma"/>
                <w:color w:val="000000" w:themeColor="text1"/>
                <w:sz w:val="16"/>
              </w:rPr>
              <w:t>Prosus</w:t>
            </w:r>
            <w:proofErr w:type="spellEnd"/>
            <w:r w:rsidRPr="00615190">
              <w:rPr>
                <w:rFonts w:ascii="Tahoma" w:hAnsi="Tahoma"/>
                <w:color w:val="000000" w:themeColor="text1"/>
                <w:sz w:val="16"/>
              </w:rPr>
              <w:t>)</w:t>
            </w:r>
          </w:p>
          <w:p w14:paraId="0771E7D4" w14:textId="77777777" w:rsidR="008C2CE3" w:rsidRDefault="00FE3C8C" w:rsidP="00FE3C8C">
            <w:pPr>
              <w:spacing w:line="240" w:lineRule="atLeast"/>
              <w:rPr>
                <w:rFonts w:ascii="Tahoma" w:hAnsi="Tahoma"/>
                <w:color w:val="000000" w:themeColor="text1"/>
                <w:sz w:val="16"/>
              </w:rPr>
            </w:pPr>
            <w:r w:rsidRPr="00615190">
              <w:rPr>
                <w:rFonts w:ascii="Tahoma" w:hAnsi="Tahoma"/>
                <w:color w:val="000000" w:themeColor="text1"/>
                <w:sz w:val="16"/>
              </w:rPr>
              <w:t xml:space="preserve">Euronext Amsterdam and JSE share code: PRX </w:t>
            </w:r>
          </w:p>
          <w:p w14:paraId="37D76C09" w14:textId="77777777" w:rsidR="00FE3C8C" w:rsidRPr="00615190" w:rsidRDefault="00FE3C8C" w:rsidP="00FE3C8C">
            <w:pPr>
              <w:spacing w:line="240" w:lineRule="atLeast"/>
              <w:rPr>
                <w:rFonts w:ascii="Tahoma" w:hAnsi="Tahoma"/>
                <w:color w:val="000000" w:themeColor="text1"/>
                <w:sz w:val="16"/>
              </w:rPr>
            </w:pPr>
            <w:r w:rsidRPr="00615190">
              <w:rPr>
                <w:rFonts w:ascii="Tahoma" w:hAnsi="Tahoma"/>
                <w:color w:val="000000" w:themeColor="text1"/>
                <w:sz w:val="16"/>
              </w:rPr>
              <w:t>ISIN: NL 0013654783</w:t>
            </w:r>
          </w:p>
          <w:p w14:paraId="5E585BB3" w14:textId="77777777" w:rsidR="00FE3C8C" w:rsidRPr="00615190" w:rsidRDefault="00FE3C8C" w:rsidP="00FE3C8C">
            <w:pPr>
              <w:spacing w:line="240" w:lineRule="atLeast"/>
              <w:rPr>
                <w:rFonts w:ascii="Tahoma" w:hAnsi="Tahoma"/>
                <w:color w:val="000000" w:themeColor="text1"/>
                <w:sz w:val="16"/>
              </w:rPr>
            </w:pPr>
          </w:p>
          <w:p w14:paraId="7EC2D856" w14:textId="77777777" w:rsidR="00FE3C8C" w:rsidRPr="00A3081C" w:rsidRDefault="00FE3C8C" w:rsidP="00FE3C8C">
            <w:pPr>
              <w:spacing w:line="240" w:lineRule="atLeast"/>
              <w:rPr>
                <w:rFonts w:ascii="Tahoma" w:hAnsi="Tahoma"/>
                <w:b/>
                <w:bCs/>
                <w:color w:val="000000" w:themeColor="text1"/>
                <w:sz w:val="16"/>
              </w:rPr>
            </w:pPr>
            <w:r w:rsidRPr="00A3081C">
              <w:rPr>
                <w:rFonts w:ascii="Tahoma" w:hAnsi="Tahoma"/>
                <w:b/>
                <w:bCs/>
                <w:color w:val="000000" w:themeColor="text1"/>
                <w:sz w:val="16"/>
              </w:rPr>
              <w:t>Directors</w:t>
            </w:r>
          </w:p>
          <w:p w14:paraId="13F2542E" w14:textId="77777777" w:rsidR="004A3BAF" w:rsidRDefault="00FE3C8C" w:rsidP="00FE3C8C">
            <w:pPr>
              <w:spacing w:line="240" w:lineRule="atLeast"/>
              <w:rPr>
                <w:rFonts w:ascii="Tahoma" w:hAnsi="Tahoma"/>
                <w:color w:val="000000" w:themeColor="text1"/>
                <w:sz w:val="16"/>
              </w:rPr>
            </w:pPr>
            <w:r w:rsidRPr="00615190">
              <w:rPr>
                <w:rFonts w:ascii="Tahoma" w:hAnsi="Tahoma"/>
                <w:color w:val="000000" w:themeColor="text1"/>
                <w:sz w:val="16"/>
              </w:rPr>
              <w:t xml:space="preserve">JP </w:t>
            </w:r>
            <w:proofErr w:type="spellStart"/>
            <w:r w:rsidRPr="00615190">
              <w:rPr>
                <w:rFonts w:ascii="Tahoma" w:hAnsi="Tahoma"/>
                <w:color w:val="000000" w:themeColor="text1"/>
                <w:sz w:val="16"/>
              </w:rPr>
              <w:t>Bekker</w:t>
            </w:r>
            <w:proofErr w:type="spellEnd"/>
            <w:r w:rsidRPr="00615190">
              <w:rPr>
                <w:rFonts w:ascii="Tahoma" w:hAnsi="Tahoma"/>
                <w:color w:val="000000" w:themeColor="text1"/>
                <w:sz w:val="16"/>
              </w:rPr>
              <w:t xml:space="preserve"> (chair), B van Dijk (chief executive), </w:t>
            </w:r>
          </w:p>
          <w:p w14:paraId="529422C8" w14:textId="77777777" w:rsidR="00FE3C8C" w:rsidRPr="00615190" w:rsidRDefault="00FE3C8C" w:rsidP="00FE3C8C">
            <w:pPr>
              <w:spacing w:line="240" w:lineRule="atLeast"/>
              <w:rPr>
                <w:rFonts w:ascii="Tahoma" w:hAnsi="Tahoma"/>
                <w:color w:val="000000" w:themeColor="text1"/>
                <w:sz w:val="16"/>
              </w:rPr>
            </w:pPr>
            <w:r w:rsidRPr="00615190">
              <w:rPr>
                <w:rFonts w:ascii="Tahoma" w:hAnsi="Tahoma"/>
                <w:color w:val="000000" w:themeColor="text1"/>
                <w:sz w:val="16"/>
              </w:rPr>
              <w:t xml:space="preserve">S Dubey, HJ du Toit, CL </w:t>
            </w:r>
            <w:proofErr w:type="spellStart"/>
            <w:r w:rsidRPr="00615190">
              <w:rPr>
                <w:rFonts w:ascii="Tahoma" w:hAnsi="Tahoma"/>
                <w:color w:val="000000" w:themeColor="text1"/>
                <w:sz w:val="16"/>
              </w:rPr>
              <w:t>Enenstein</w:t>
            </w:r>
            <w:proofErr w:type="spellEnd"/>
            <w:r w:rsidRPr="00615190">
              <w:rPr>
                <w:rFonts w:ascii="Tahoma" w:hAnsi="Tahoma"/>
                <w:color w:val="000000" w:themeColor="text1"/>
                <w:sz w:val="16"/>
              </w:rPr>
              <w:t>,</w:t>
            </w:r>
          </w:p>
          <w:p w14:paraId="180723BB" w14:textId="77777777" w:rsidR="00FE3C8C" w:rsidRPr="00615190" w:rsidRDefault="00FE3C8C" w:rsidP="00FE3C8C">
            <w:pPr>
              <w:spacing w:line="240" w:lineRule="atLeast"/>
              <w:rPr>
                <w:rFonts w:ascii="Tahoma" w:hAnsi="Tahoma"/>
                <w:color w:val="000000" w:themeColor="text1"/>
                <w:sz w:val="16"/>
              </w:rPr>
            </w:pPr>
            <w:r w:rsidRPr="00615190">
              <w:rPr>
                <w:rFonts w:ascii="Tahoma" w:hAnsi="Tahoma"/>
                <w:color w:val="000000" w:themeColor="text1"/>
                <w:sz w:val="16"/>
              </w:rPr>
              <w:t xml:space="preserve">M </w:t>
            </w:r>
            <w:proofErr w:type="spellStart"/>
            <w:r w:rsidRPr="00615190">
              <w:rPr>
                <w:rFonts w:ascii="Tahoma" w:hAnsi="Tahoma"/>
                <w:color w:val="000000" w:themeColor="text1"/>
                <w:sz w:val="16"/>
              </w:rPr>
              <w:t>Girotra</w:t>
            </w:r>
            <w:proofErr w:type="spellEnd"/>
            <w:r w:rsidRPr="00615190">
              <w:rPr>
                <w:rFonts w:ascii="Tahoma" w:hAnsi="Tahoma"/>
                <w:color w:val="000000" w:themeColor="text1"/>
                <w:sz w:val="16"/>
              </w:rPr>
              <w:t xml:space="preserve">, RCC Jafta, AGZ </w:t>
            </w:r>
            <w:proofErr w:type="spellStart"/>
            <w:r w:rsidRPr="00615190">
              <w:rPr>
                <w:rFonts w:ascii="Tahoma" w:hAnsi="Tahoma"/>
                <w:color w:val="000000" w:themeColor="text1"/>
                <w:sz w:val="16"/>
              </w:rPr>
              <w:t>Kemna</w:t>
            </w:r>
            <w:proofErr w:type="spellEnd"/>
            <w:r w:rsidRPr="00615190">
              <w:rPr>
                <w:rFonts w:ascii="Tahoma" w:hAnsi="Tahoma"/>
                <w:color w:val="000000" w:themeColor="text1"/>
                <w:sz w:val="16"/>
              </w:rPr>
              <w:t>,</w:t>
            </w:r>
          </w:p>
          <w:p w14:paraId="64F284F0" w14:textId="77777777" w:rsidR="00FE3C8C" w:rsidRPr="00615190" w:rsidRDefault="00FE3C8C" w:rsidP="00FE3C8C">
            <w:pPr>
              <w:spacing w:line="240" w:lineRule="atLeast"/>
              <w:rPr>
                <w:rFonts w:ascii="Tahoma" w:hAnsi="Tahoma"/>
                <w:color w:val="000000" w:themeColor="text1"/>
                <w:sz w:val="16"/>
              </w:rPr>
            </w:pPr>
            <w:r w:rsidRPr="00615190">
              <w:rPr>
                <w:rFonts w:ascii="Tahoma" w:hAnsi="Tahoma"/>
                <w:color w:val="000000" w:themeColor="text1"/>
                <w:sz w:val="16"/>
              </w:rPr>
              <w:t xml:space="preserve">FLN </w:t>
            </w:r>
            <w:proofErr w:type="spellStart"/>
            <w:r w:rsidRPr="00615190">
              <w:rPr>
                <w:rFonts w:ascii="Tahoma" w:hAnsi="Tahoma"/>
                <w:color w:val="000000" w:themeColor="text1"/>
                <w:sz w:val="16"/>
              </w:rPr>
              <w:t>Letele</w:t>
            </w:r>
            <w:proofErr w:type="spellEnd"/>
            <w:r w:rsidRPr="00615190">
              <w:rPr>
                <w:rFonts w:ascii="Tahoma" w:hAnsi="Tahoma"/>
                <w:color w:val="000000" w:themeColor="text1"/>
                <w:sz w:val="16"/>
              </w:rPr>
              <w:t>, D Meyer, R Oliveira de Lima,</w:t>
            </w:r>
          </w:p>
          <w:p w14:paraId="46E2DA62" w14:textId="77777777" w:rsidR="00FE3C8C" w:rsidRPr="00615190" w:rsidRDefault="00FE3C8C" w:rsidP="00FE3C8C">
            <w:pPr>
              <w:spacing w:line="240" w:lineRule="atLeast"/>
              <w:rPr>
                <w:rFonts w:ascii="Tahoma" w:hAnsi="Tahoma"/>
                <w:color w:val="000000" w:themeColor="text1"/>
                <w:sz w:val="16"/>
              </w:rPr>
            </w:pPr>
            <w:r w:rsidRPr="00615190">
              <w:rPr>
                <w:rFonts w:ascii="Tahoma" w:hAnsi="Tahoma"/>
                <w:color w:val="000000" w:themeColor="text1"/>
                <w:sz w:val="16"/>
              </w:rPr>
              <w:t xml:space="preserve">SJZ </w:t>
            </w:r>
            <w:proofErr w:type="spellStart"/>
            <w:r w:rsidRPr="00615190">
              <w:rPr>
                <w:rFonts w:ascii="Tahoma" w:hAnsi="Tahoma"/>
                <w:color w:val="000000" w:themeColor="text1"/>
                <w:sz w:val="16"/>
              </w:rPr>
              <w:t>Pacak</w:t>
            </w:r>
            <w:proofErr w:type="spellEnd"/>
            <w:r w:rsidRPr="00615190">
              <w:rPr>
                <w:rFonts w:ascii="Tahoma" w:hAnsi="Tahoma"/>
                <w:color w:val="000000" w:themeColor="text1"/>
                <w:sz w:val="16"/>
              </w:rPr>
              <w:t xml:space="preserve">, V </w:t>
            </w:r>
            <w:proofErr w:type="spellStart"/>
            <w:r w:rsidRPr="00615190">
              <w:rPr>
                <w:rFonts w:ascii="Tahoma" w:hAnsi="Tahoma"/>
                <w:color w:val="000000" w:themeColor="text1"/>
                <w:sz w:val="16"/>
              </w:rPr>
              <w:t>Sgourdos</w:t>
            </w:r>
            <w:proofErr w:type="spellEnd"/>
            <w:r w:rsidRPr="00615190">
              <w:rPr>
                <w:rFonts w:ascii="Tahoma" w:hAnsi="Tahoma"/>
                <w:color w:val="000000" w:themeColor="text1"/>
                <w:sz w:val="16"/>
              </w:rPr>
              <w:t xml:space="preserve">, MR </w:t>
            </w:r>
            <w:proofErr w:type="spellStart"/>
            <w:r w:rsidRPr="00615190">
              <w:rPr>
                <w:rFonts w:ascii="Tahoma" w:hAnsi="Tahoma"/>
                <w:color w:val="000000" w:themeColor="text1"/>
                <w:sz w:val="16"/>
              </w:rPr>
              <w:t>Sorour</w:t>
            </w:r>
            <w:proofErr w:type="spellEnd"/>
            <w:r w:rsidRPr="00615190">
              <w:rPr>
                <w:rFonts w:ascii="Tahoma" w:hAnsi="Tahoma"/>
                <w:color w:val="000000" w:themeColor="text1"/>
                <w:sz w:val="16"/>
              </w:rPr>
              <w:t>,</w:t>
            </w:r>
          </w:p>
          <w:p w14:paraId="07E0AA5C" w14:textId="77777777" w:rsidR="00FE3C8C" w:rsidRPr="00615190" w:rsidRDefault="00FE3C8C" w:rsidP="00FE3C8C">
            <w:pPr>
              <w:spacing w:line="240" w:lineRule="atLeast"/>
              <w:rPr>
                <w:rFonts w:ascii="Tahoma" w:hAnsi="Tahoma"/>
                <w:color w:val="000000" w:themeColor="text1"/>
                <w:sz w:val="16"/>
              </w:rPr>
            </w:pPr>
            <w:r w:rsidRPr="00615190">
              <w:rPr>
                <w:rFonts w:ascii="Tahoma" w:hAnsi="Tahoma"/>
                <w:color w:val="000000" w:themeColor="text1"/>
                <w:sz w:val="16"/>
              </w:rPr>
              <w:t xml:space="preserve">JDT </w:t>
            </w:r>
            <w:proofErr w:type="spellStart"/>
            <w:r w:rsidRPr="00615190">
              <w:rPr>
                <w:rFonts w:ascii="Tahoma" w:hAnsi="Tahoma"/>
                <w:color w:val="000000" w:themeColor="text1"/>
                <w:sz w:val="16"/>
              </w:rPr>
              <w:t>Stofberg</w:t>
            </w:r>
            <w:proofErr w:type="spellEnd"/>
            <w:r w:rsidRPr="00615190">
              <w:rPr>
                <w:rFonts w:ascii="Tahoma" w:hAnsi="Tahoma"/>
                <w:color w:val="000000" w:themeColor="text1"/>
                <w:sz w:val="16"/>
              </w:rPr>
              <w:t>, Y Xu</w:t>
            </w:r>
          </w:p>
          <w:p w14:paraId="50F44D35" w14:textId="77777777" w:rsidR="00FE3C8C" w:rsidRPr="00615190" w:rsidRDefault="00FE3C8C" w:rsidP="00FE3C8C">
            <w:pPr>
              <w:spacing w:line="240" w:lineRule="atLeast"/>
              <w:rPr>
                <w:rFonts w:ascii="Tahoma" w:hAnsi="Tahoma"/>
                <w:color w:val="000000" w:themeColor="text1"/>
                <w:sz w:val="16"/>
              </w:rPr>
            </w:pPr>
          </w:p>
          <w:p w14:paraId="4742D686" w14:textId="77777777" w:rsidR="00FE3C8C" w:rsidRPr="003074D2" w:rsidRDefault="00FE3C8C" w:rsidP="00FE3C8C">
            <w:pPr>
              <w:spacing w:line="240" w:lineRule="atLeast"/>
              <w:rPr>
                <w:rFonts w:ascii="Tahoma" w:hAnsi="Tahoma"/>
                <w:b/>
                <w:bCs/>
                <w:color w:val="000000" w:themeColor="text1"/>
                <w:sz w:val="16"/>
              </w:rPr>
            </w:pPr>
            <w:r w:rsidRPr="003074D2">
              <w:rPr>
                <w:rFonts w:ascii="Tahoma" w:hAnsi="Tahoma"/>
                <w:b/>
                <w:bCs/>
                <w:color w:val="000000" w:themeColor="text1"/>
                <w:sz w:val="16"/>
              </w:rPr>
              <w:t>Company secretary</w:t>
            </w:r>
          </w:p>
          <w:p w14:paraId="6A2CBE93" w14:textId="77777777" w:rsidR="00FE3C8C" w:rsidRPr="00615190" w:rsidRDefault="00FE3C8C" w:rsidP="00FE3C8C">
            <w:pPr>
              <w:spacing w:line="240" w:lineRule="atLeast"/>
              <w:rPr>
                <w:rFonts w:ascii="Tahoma" w:hAnsi="Tahoma"/>
                <w:color w:val="000000" w:themeColor="text1"/>
                <w:sz w:val="16"/>
              </w:rPr>
            </w:pPr>
            <w:r w:rsidRPr="00615190">
              <w:rPr>
                <w:rFonts w:ascii="Tahoma" w:hAnsi="Tahoma"/>
                <w:color w:val="000000" w:themeColor="text1"/>
                <w:sz w:val="16"/>
              </w:rPr>
              <w:t xml:space="preserve">L </w:t>
            </w:r>
            <w:proofErr w:type="spellStart"/>
            <w:r w:rsidRPr="00615190">
              <w:rPr>
                <w:rFonts w:ascii="Tahoma" w:hAnsi="Tahoma"/>
                <w:color w:val="000000" w:themeColor="text1"/>
                <w:sz w:val="16"/>
              </w:rPr>
              <w:t>Bagwandeen</w:t>
            </w:r>
            <w:proofErr w:type="spellEnd"/>
          </w:p>
          <w:p w14:paraId="5197FCD2" w14:textId="77777777" w:rsidR="00FE3C8C" w:rsidRPr="00615190" w:rsidRDefault="00FE3C8C" w:rsidP="00FE3C8C">
            <w:pPr>
              <w:spacing w:line="240" w:lineRule="atLeast"/>
              <w:rPr>
                <w:rFonts w:ascii="Tahoma" w:hAnsi="Tahoma"/>
                <w:color w:val="000000" w:themeColor="text1"/>
                <w:sz w:val="16"/>
              </w:rPr>
            </w:pPr>
            <w:r w:rsidRPr="00615190">
              <w:rPr>
                <w:rFonts w:ascii="Tahoma" w:hAnsi="Tahoma"/>
                <w:color w:val="000000" w:themeColor="text1"/>
                <w:sz w:val="16"/>
              </w:rPr>
              <w:t xml:space="preserve">Gustav </w:t>
            </w:r>
            <w:proofErr w:type="spellStart"/>
            <w:r w:rsidRPr="00615190">
              <w:rPr>
                <w:rFonts w:ascii="Tahoma" w:hAnsi="Tahoma"/>
                <w:color w:val="000000" w:themeColor="text1"/>
                <w:sz w:val="16"/>
              </w:rPr>
              <w:t>Mahlerplein</w:t>
            </w:r>
            <w:proofErr w:type="spellEnd"/>
            <w:r w:rsidRPr="00615190">
              <w:rPr>
                <w:rFonts w:ascii="Tahoma" w:hAnsi="Tahoma"/>
                <w:color w:val="000000" w:themeColor="text1"/>
                <w:sz w:val="16"/>
              </w:rPr>
              <w:t xml:space="preserve"> 5</w:t>
            </w:r>
          </w:p>
          <w:p w14:paraId="4ECAE1F3" w14:textId="77777777" w:rsidR="00FE3C8C" w:rsidRPr="00615190" w:rsidRDefault="00FE3C8C" w:rsidP="00FE3C8C">
            <w:pPr>
              <w:spacing w:line="240" w:lineRule="atLeast"/>
              <w:rPr>
                <w:rFonts w:ascii="Tahoma" w:hAnsi="Tahoma"/>
                <w:color w:val="000000" w:themeColor="text1"/>
                <w:sz w:val="16"/>
              </w:rPr>
            </w:pPr>
            <w:r w:rsidRPr="00615190">
              <w:rPr>
                <w:rFonts w:ascii="Tahoma" w:hAnsi="Tahoma"/>
                <w:color w:val="000000" w:themeColor="text1"/>
                <w:sz w:val="16"/>
              </w:rPr>
              <w:t>Symphony Offices</w:t>
            </w:r>
          </w:p>
          <w:p w14:paraId="584B0310" w14:textId="77777777" w:rsidR="00FE3C8C" w:rsidRPr="00615190" w:rsidRDefault="00FE3C8C" w:rsidP="00FE3C8C">
            <w:pPr>
              <w:spacing w:line="240" w:lineRule="atLeast"/>
              <w:rPr>
                <w:rFonts w:ascii="Tahoma" w:hAnsi="Tahoma"/>
                <w:color w:val="000000" w:themeColor="text1"/>
                <w:sz w:val="16"/>
              </w:rPr>
            </w:pPr>
            <w:r w:rsidRPr="00615190">
              <w:rPr>
                <w:rFonts w:ascii="Tahoma" w:hAnsi="Tahoma"/>
                <w:color w:val="000000" w:themeColor="text1"/>
                <w:sz w:val="16"/>
              </w:rPr>
              <w:t>1082 MS Amsterdam</w:t>
            </w:r>
          </w:p>
          <w:p w14:paraId="50C16A35" w14:textId="77777777" w:rsidR="00FE3C8C" w:rsidRPr="00615190" w:rsidRDefault="00FE3C8C" w:rsidP="00FE3C8C">
            <w:pPr>
              <w:spacing w:line="240" w:lineRule="atLeast"/>
              <w:rPr>
                <w:rFonts w:ascii="Tahoma" w:hAnsi="Tahoma"/>
                <w:color w:val="000000" w:themeColor="text1"/>
                <w:sz w:val="16"/>
              </w:rPr>
            </w:pPr>
            <w:r w:rsidRPr="00615190">
              <w:rPr>
                <w:rFonts w:ascii="Tahoma" w:hAnsi="Tahoma"/>
                <w:color w:val="000000" w:themeColor="text1"/>
                <w:sz w:val="16"/>
              </w:rPr>
              <w:t>The Netherlands</w:t>
            </w:r>
          </w:p>
          <w:p w14:paraId="27145496" w14:textId="77777777" w:rsidR="00FE3C8C" w:rsidRPr="00615190" w:rsidRDefault="00FE3C8C" w:rsidP="00FE3C8C">
            <w:pPr>
              <w:spacing w:line="240" w:lineRule="atLeast"/>
              <w:rPr>
                <w:rFonts w:ascii="Tahoma" w:hAnsi="Tahoma"/>
                <w:color w:val="000000" w:themeColor="text1"/>
                <w:sz w:val="16"/>
              </w:rPr>
            </w:pPr>
          </w:p>
          <w:p w14:paraId="51FDD675" w14:textId="77777777" w:rsidR="00FE3C8C" w:rsidRPr="009E21E2" w:rsidRDefault="00FE3C8C" w:rsidP="00FE3C8C">
            <w:pPr>
              <w:spacing w:line="240" w:lineRule="atLeast"/>
              <w:rPr>
                <w:rFonts w:ascii="Tahoma" w:hAnsi="Tahoma"/>
                <w:b/>
                <w:bCs/>
                <w:color w:val="000000" w:themeColor="text1"/>
                <w:sz w:val="16"/>
              </w:rPr>
            </w:pPr>
            <w:r w:rsidRPr="009E21E2">
              <w:rPr>
                <w:rFonts w:ascii="Tahoma" w:hAnsi="Tahoma"/>
                <w:b/>
                <w:bCs/>
                <w:color w:val="000000" w:themeColor="text1"/>
                <w:sz w:val="16"/>
              </w:rPr>
              <w:t>Registered office</w:t>
            </w:r>
          </w:p>
          <w:p w14:paraId="121929C9" w14:textId="77777777" w:rsidR="00FE3C8C" w:rsidRPr="00615190" w:rsidRDefault="00FE3C8C" w:rsidP="00FE3C8C">
            <w:pPr>
              <w:spacing w:line="240" w:lineRule="atLeast"/>
              <w:rPr>
                <w:rFonts w:ascii="Tahoma" w:hAnsi="Tahoma"/>
                <w:color w:val="000000" w:themeColor="text1"/>
                <w:sz w:val="16"/>
              </w:rPr>
            </w:pPr>
            <w:r w:rsidRPr="00615190">
              <w:rPr>
                <w:rFonts w:ascii="Tahoma" w:hAnsi="Tahoma"/>
                <w:color w:val="000000" w:themeColor="text1"/>
                <w:sz w:val="16"/>
              </w:rPr>
              <w:t xml:space="preserve">Gustav </w:t>
            </w:r>
            <w:proofErr w:type="spellStart"/>
            <w:r w:rsidRPr="00615190">
              <w:rPr>
                <w:rFonts w:ascii="Tahoma" w:hAnsi="Tahoma"/>
                <w:color w:val="000000" w:themeColor="text1"/>
                <w:sz w:val="16"/>
              </w:rPr>
              <w:t>Mahlerplein</w:t>
            </w:r>
            <w:proofErr w:type="spellEnd"/>
            <w:r w:rsidRPr="00615190">
              <w:rPr>
                <w:rFonts w:ascii="Tahoma" w:hAnsi="Tahoma"/>
                <w:color w:val="000000" w:themeColor="text1"/>
                <w:sz w:val="16"/>
              </w:rPr>
              <w:t xml:space="preserve"> 5</w:t>
            </w:r>
          </w:p>
          <w:p w14:paraId="6A64D158" w14:textId="77777777" w:rsidR="00FE3C8C" w:rsidRPr="00615190" w:rsidRDefault="00FE3C8C" w:rsidP="00FE3C8C">
            <w:pPr>
              <w:spacing w:line="240" w:lineRule="atLeast"/>
              <w:rPr>
                <w:rFonts w:ascii="Tahoma" w:hAnsi="Tahoma"/>
                <w:color w:val="000000" w:themeColor="text1"/>
                <w:sz w:val="16"/>
              </w:rPr>
            </w:pPr>
            <w:r w:rsidRPr="00615190">
              <w:rPr>
                <w:rFonts w:ascii="Tahoma" w:hAnsi="Tahoma"/>
                <w:color w:val="000000" w:themeColor="text1"/>
                <w:sz w:val="16"/>
              </w:rPr>
              <w:t>Symphony Offices</w:t>
            </w:r>
          </w:p>
          <w:p w14:paraId="38C00831" w14:textId="77777777" w:rsidR="00FE3C8C" w:rsidRPr="00615190" w:rsidRDefault="00FE3C8C" w:rsidP="00FE3C8C">
            <w:pPr>
              <w:spacing w:line="240" w:lineRule="atLeast"/>
              <w:rPr>
                <w:rFonts w:ascii="Tahoma" w:hAnsi="Tahoma"/>
                <w:color w:val="000000" w:themeColor="text1"/>
                <w:sz w:val="16"/>
              </w:rPr>
            </w:pPr>
            <w:r w:rsidRPr="00615190">
              <w:rPr>
                <w:rFonts w:ascii="Tahoma" w:hAnsi="Tahoma"/>
                <w:color w:val="000000" w:themeColor="text1"/>
                <w:sz w:val="16"/>
              </w:rPr>
              <w:t>1082 MS Amsterdam</w:t>
            </w:r>
          </w:p>
          <w:p w14:paraId="3A0716DE" w14:textId="77777777" w:rsidR="00FE3C8C" w:rsidRPr="00615190" w:rsidRDefault="00FE3C8C" w:rsidP="00FE3C8C">
            <w:pPr>
              <w:spacing w:line="240" w:lineRule="atLeast"/>
              <w:rPr>
                <w:rFonts w:ascii="Tahoma" w:hAnsi="Tahoma"/>
                <w:color w:val="000000" w:themeColor="text1"/>
                <w:sz w:val="16"/>
              </w:rPr>
            </w:pPr>
            <w:r w:rsidRPr="00615190">
              <w:rPr>
                <w:rFonts w:ascii="Tahoma" w:hAnsi="Tahoma"/>
                <w:color w:val="000000" w:themeColor="text1"/>
                <w:sz w:val="16"/>
              </w:rPr>
              <w:t>The Netherlands</w:t>
            </w:r>
          </w:p>
          <w:p w14:paraId="3D051F09" w14:textId="77777777" w:rsidR="00FE3C8C" w:rsidRPr="00615190" w:rsidRDefault="00FE3C8C" w:rsidP="00FE3C8C">
            <w:pPr>
              <w:spacing w:line="240" w:lineRule="atLeast"/>
              <w:rPr>
                <w:rFonts w:ascii="Tahoma" w:hAnsi="Tahoma"/>
                <w:color w:val="000000" w:themeColor="text1"/>
                <w:sz w:val="16"/>
              </w:rPr>
            </w:pPr>
            <w:r w:rsidRPr="00615190">
              <w:rPr>
                <w:rFonts w:ascii="Tahoma" w:hAnsi="Tahoma"/>
                <w:color w:val="000000" w:themeColor="text1"/>
                <w:sz w:val="16"/>
              </w:rPr>
              <w:t>Tel: +31 20 299 9777</w:t>
            </w:r>
          </w:p>
          <w:p w14:paraId="088474B0" w14:textId="77777777" w:rsidR="00FE3C8C" w:rsidRPr="002A194D" w:rsidRDefault="00FE3C8C" w:rsidP="00FE3C8C">
            <w:pPr>
              <w:spacing w:line="240" w:lineRule="atLeast"/>
              <w:rPr>
                <w:rFonts w:ascii="Tahoma" w:hAnsi="Tahoma"/>
                <w:b/>
                <w:bCs/>
                <w:color w:val="000000" w:themeColor="text1"/>
                <w:sz w:val="16"/>
              </w:rPr>
            </w:pPr>
            <w:r w:rsidRPr="002A194D">
              <w:rPr>
                <w:rFonts w:ascii="Tahoma" w:hAnsi="Tahoma"/>
                <w:b/>
                <w:bCs/>
                <w:color w:val="000000" w:themeColor="text1"/>
                <w:sz w:val="16"/>
              </w:rPr>
              <w:t>www.prosus.com</w:t>
            </w:r>
          </w:p>
          <w:p w14:paraId="5C7D444D" w14:textId="77777777" w:rsidR="00FE3C8C" w:rsidRPr="00615190" w:rsidRDefault="00FE3C8C" w:rsidP="00FE3C8C">
            <w:pPr>
              <w:spacing w:line="240" w:lineRule="atLeast"/>
              <w:rPr>
                <w:rFonts w:ascii="Tahoma" w:hAnsi="Tahoma"/>
                <w:color w:val="000000" w:themeColor="text1"/>
                <w:sz w:val="16"/>
              </w:rPr>
            </w:pPr>
          </w:p>
          <w:p w14:paraId="4CB218EF" w14:textId="77777777" w:rsidR="00FE3C8C" w:rsidRPr="00E7672F" w:rsidRDefault="00FE3C8C" w:rsidP="00FE3C8C">
            <w:pPr>
              <w:spacing w:line="240" w:lineRule="atLeast"/>
              <w:rPr>
                <w:rFonts w:ascii="Tahoma" w:hAnsi="Tahoma"/>
                <w:b/>
                <w:bCs/>
                <w:color w:val="000000" w:themeColor="text1"/>
                <w:sz w:val="16"/>
              </w:rPr>
            </w:pPr>
            <w:r w:rsidRPr="00E7672F">
              <w:rPr>
                <w:rFonts w:ascii="Tahoma" w:hAnsi="Tahoma"/>
                <w:b/>
                <w:bCs/>
                <w:color w:val="000000" w:themeColor="text1"/>
                <w:sz w:val="16"/>
              </w:rPr>
              <w:t>Independent auditor</w:t>
            </w:r>
          </w:p>
          <w:p w14:paraId="6773764B" w14:textId="77777777" w:rsidR="00FE3C8C" w:rsidRPr="00615190" w:rsidRDefault="00FE3C8C" w:rsidP="00FE3C8C">
            <w:pPr>
              <w:spacing w:line="240" w:lineRule="atLeast"/>
              <w:rPr>
                <w:rFonts w:ascii="Tahoma" w:hAnsi="Tahoma"/>
                <w:color w:val="000000" w:themeColor="text1"/>
                <w:sz w:val="16"/>
              </w:rPr>
            </w:pPr>
            <w:r w:rsidRPr="00615190">
              <w:rPr>
                <w:rFonts w:ascii="Tahoma" w:hAnsi="Tahoma"/>
                <w:color w:val="000000" w:themeColor="text1"/>
                <w:sz w:val="16"/>
              </w:rPr>
              <w:t>PricewaterhouseCoopers Accountants N.V.</w:t>
            </w:r>
          </w:p>
          <w:p w14:paraId="538E038C" w14:textId="77777777" w:rsidR="00FE3C8C" w:rsidRPr="00615190" w:rsidRDefault="00FE3C8C" w:rsidP="00FE3C8C">
            <w:pPr>
              <w:spacing w:line="240" w:lineRule="atLeast"/>
              <w:rPr>
                <w:rFonts w:ascii="Tahoma" w:hAnsi="Tahoma"/>
                <w:color w:val="000000" w:themeColor="text1"/>
                <w:sz w:val="16"/>
              </w:rPr>
            </w:pPr>
            <w:r w:rsidRPr="00615190">
              <w:rPr>
                <w:rFonts w:ascii="Tahoma" w:hAnsi="Tahoma"/>
                <w:color w:val="000000" w:themeColor="text1"/>
                <w:sz w:val="16"/>
              </w:rPr>
              <w:t xml:space="preserve">Thomas R. </w:t>
            </w:r>
            <w:proofErr w:type="spellStart"/>
            <w:r w:rsidRPr="00615190">
              <w:rPr>
                <w:rFonts w:ascii="Tahoma" w:hAnsi="Tahoma"/>
                <w:color w:val="000000" w:themeColor="text1"/>
                <w:sz w:val="16"/>
              </w:rPr>
              <w:t>Malthusstraat</w:t>
            </w:r>
            <w:proofErr w:type="spellEnd"/>
            <w:r w:rsidRPr="00615190">
              <w:rPr>
                <w:rFonts w:ascii="Tahoma" w:hAnsi="Tahoma"/>
                <w:color w:val="000000" w:themeColor="text1"/>
                <w:sz w:val="16"/>
              </w:rPr>
              <w:t xml:space="preserve"> 5</w:t>
            </w:r>
          </w:p>
          <w:p w14:paraId="0A2AE5B5" w14:textId="77777777" w:rsidR="00FE3C8C" w:rsidRPr="00615190" w:rsidRDefault="00FE3C8C" w:rsidP="00FE3C8C">
            <w:pPr>
              <w:spacing w:line="240" w:lineRule="atLeast"/>
              <w:rPr>
                <w:rFonts w:ascii="Tahoma" w:hAnsi="Tahoma"/>
                <w:color w:val="000000" w:themeColor="text1"/>
                <w:sz w:val="16"/>
              </w:rPr>
            </w:pPr>
            <w:r w:rsidRPr="00615190">
              <w:rPr>
                <w:rFonts w:ascii="Tahoma" w:hAnsi="Tahoma"/>
                <w:color w:val="000000" w:themeColor="text1"/>
                <w:sz w:val="16"/>
              </w:rPr>
              <w:t>1066 JR Amsterdam</w:t>
            </w:r>
          </w:p>
          <w:p w14:paraId="2ABB0E0C" w14:textId="77777777" w:rsidR="00FE3C8C" w:rsidRPr="00615190" w:rsidRDefault="00FE3C8C" w:rsidP="00FE3C8C">
            <w:pPr>
              <w:spacing w:line="240" w:lineRule="atLeast"/>
              <w:rPr>
                <w:rFonts w:ascii="Tahoma" w:hAnsi="Tahoma"/>
                <w:color w:val="000000" w:themeColor="text1"/>
                <w:sz w:val="16"/>
              </w:rPr>
            </w:pPr>
            <w:r w:rsidRPr="00615190">
              <w:rPr>
                <w:rFonts w:ascii="Tahoma" w:hAnsi="Tahoma"/>
                <w:color w:val="000000" w:themeColor="text1"/>
                <w:sz w:val="16"/>
              </w:rPr>
              <w:t>The Netherlands</w:t>
            </w:r>
          </w:p>
          <w:p w14:paraId="6516AC29" w14:textId="77777777" w:rsidR="00FE3C8C" w:rsidRPr="00615190" w:rsidRDefault="00FE3C8C" w:rsidP="00FE3C8C">
            <w:pPr>
              <w:spacing w:line="240" w:lineRule="atLeast"/>
              <w:rPr>
                <w:rFonts w:ascii="Tahoma" w:hAnsi="Tahoma"/>
                <w:color w:val="000000" w:themeColor="text1"/>
                <w:sz w:val="16"/>
              </w:rPr>
            </w:pPr>
          </w:p>
          <w:p w14:paraId="31D79DE0" w14:textId="77777777" w:rsidR="00FE3C8C" w:rsidRPr="00F42C3D" w:rsidRDefault="00FE3C8C" w:rsidP="00FE3C8C">
            <w:pPr>
              <w:spacing w:line="240" w:lineRule="atLeast"/>
              <w:rPr>
                <w:rFonts w:ascii="Tahoma" w:hAnsi="Tahoma"/>
                <w:b/>
                <w:bCs/>
                <w:color w:val="000000" w:themeColor="text1"/>
                <w:sz w:val="16"/>
              </w:rPr>
            </w:pPr>
            <w:r w:rsidRPr="00F42C3D">
              <w:rPr>
                <w:rFonts w:ascii="Tahoma" w:hAnsi="Tahoma"/>
                <w:b/>
                <w:bCs/>
                <w:color w:val="000000" w:themeColor="text1"/>
                <w:sz w:val="16"/>
              </w:rPr>
              <w:t>Euronext listing agent</w:t>
            </w:r>
          </w:p>
          <w:p w14:paraId="37D07351" w14:textId="77777777" w:rsidR="00FE3C8C" w:rsidRPr="00615190" w:rsidRDefault="00FE3C8C" w:rsidP="00FE3C8C">
            <w:pPr>
              <w:spacing w:line="240" w:lineRule="atLeast"/>
              <w:rPr>
                <w:rFonts w:ascii="Tahoma" w:hAnsi="Tahoma"/>
                <w:color w:val="000000" w:themeColor="text1"/>
                <w:sz w:val="16"/>
              </w:rPr>
            </w:pPr>
            <w:r w:rsidRPr="00615190">
              <w:rPr>
                <w:rFonts w:ascii="Tahoma" w:hAnsi="Tahoma"/>
                <w:color w:val="000000" w:themeColor="text1"/>
                <w:sz w:val="16"/>
              </w:rPr>
              <w:t>ING Bank N.V.</w:t>
            </w:r>
          </w:p>
          <w:p w14:paraId="52E4B534" w14:textId="77777777" w:rsidR="00FE3C8C" w:rsidRPr="00615190" w:rsidRDefault="00FE3C8C" w:rsidP="00FE3C8C">
            <w:pPr>
              <w:spacing w:line="240" w:lineRule="atLeast"/>
              <w:rPr>
                <w:rFonts w:ascii="Tahoma" w:hAnsi="Tahoma"/>
                <w:color w:val="000000" w:themeColor="text1"/>
                <w:sz w:val="16"/>
              </w:rPr>
            </w:pPr>
            <w:proofErr w:type="spellStart"/>
            <w:r w:rsidRPr="00615190">
              <w:rPr>
                <w:rFonts w:ascii="Tahoma" w:hAnsi="Tahoma"/>
                <w:color w:val="000000" w:themeColor="text1"/>
                <w:sz w:val="16"/>
              </w:rPr>
              <w:t>Bijlmerplein</w:t>
            </w:r>
            <w:proofErr w:type="spellEnd"/>
            <w:r w:rsidRPr="00615190">
              <w:rPr>
                <w:rFonts w:ascii="Tahoma" w:hAnsi="Tahoma"/>
                <w:color w:val="000000" w:themeColor="text1"/>
                <w:sz w:val="16"/>
              </w:rPr>
              <w:t xml:space="preserve"> 888</w:t>
            </w:r>
          </w:p>
          <w:p w14:paraId="2B08705F" w14:textId="77777777" w:rsidR="00FE3C8C" w:rsidRPr="00615190" w:rsidRDefault="00FE3C8C" w:rsidP="00FE3C8C">
            <w:pPr>
              <w:spacing w:line="240" w:lineRule="atLeast"/>
              <w:rPr>
                <w:rFonts w:ascii="Tahoma" w:hAnsi="Tahoma"/>
                <w:color w:val="000000" w:themeColor="text1"/>
                <w:sz w:val="16"/>
              </w:rPr>
            </w:pPr>
            <w:r w:rsidRPr="00615190">
              <w:rPr>
                <w:rFonts w:ascii="Tahoma" w:hAnsi="Tahoma"/>
                <w:color w:val="000000" w:themeColor="text1"/>
                <w:sz w:val="16"/>
              </w:rPr>
              <w:t>1102 MG Amsterdam</w:t>
            </w:r>
          </w:p>
          <w:p w14:paraId="7DCBB63D" w14:textId="77777777" w:rsidR="00FE3C8C" w:rsidRPr="00615190" w:rsidRDefault="00FE3C8C" w:rsidP="00FE3C8C">
            <w:pPr>
              <w:spacing w:line="240" w:lineRule="atLeast"/>
              <w:rPr>
                <w:rFonts w:ascii="Tahoma" w:hAnsi="Tahoma"/>
                <w:color w:val="000000" w:themeColor="text1"/>
                <w:sz w:val="16"/>
              </w:rPr>
            </w:pPr>
            <w:r w:rsidRPr="00615190">
              <w:rPr>
                <w:rFonts w:ascii="Tahoma" w:hAnsi="Tahoma"/>
                <w:color w:val="000000" w:themeColor="text1"/>
                <w:sz w:val="16"/>
              </w:rPr>
              <w:t>The Netherlands</w:t>
            </w:r>
          </w:p>
          <w:p w14:paraId="0B1B382D" w14:textId="77777777" w:rsidR="00FE3C8C" w:rsidRPr="00615190" w:rsidRDefault="00FE3C8C" w:rsidP="00FE3C8C">
            <w:pPr>
              <w:spacing w:line="240" w:lineRule="atLeast"/>
              <w:rPr>
                <w:rFonts w:ascii="Tahoma" w:hAnsi="Tahoma"/>
                <w:color w:val="000000" w:themeColor="text1"/>
                <w:sz w:val="16"/>
              </w:rPr>
            </w:pPr>
          </w:p>
          <w:p w14:paraId="2E46CD1F" w14:textId="77777777" w:rsidR="00FE3C8C" w:rsidRPr="007F1554" w:rsidRDefault="00FE3C8C" w:rsidP="00FE3C8C">
            <w:pPr>
              <w:spacing w:line="240" w:lineRule="atLeast"/>
              <w:rPr>
                <w:rFonts w:ascii="Tahoma" w:hAnsi="Tahoma"/>
                <w:b/>
                <w:bCs/>
                <w:color w:val="000000" w:themeColor="text1"/>
                <w:sz w:val="16"/>
              </w:rPr>
            </w:pPr>
            <w:r w:rsidRPr="007F1554">
              <w:rPr>
                <w:rFonts w:ascii="Tahoma" w:hAnsi="Tahoma"/>
                <w:b/>
                <w:bCs/>
                <w:color w:val="000000" w:themeColor="text1"/>
                <w:sz w:val="16"/>
              </w:rPr>
              <w:t>Euronext paying agent</w:t>
            </w:r>
          </w:p>
          <w:p w14:paraId="6D37EFA2" w14:textId="77777777" w:rsidR="00FE3C8C" w:rsidRPr="00615190" w:rsidRDefault="00FE3C8C" w:rsidP="00FE3C8C">
            <w:pPr>
              <w:spacing w:line="240" w:lineRule="atLeast"/>
              <w:rPr>
                <w:rFonts w:ascii="Tahoma" w:hAnsi="Tahoma"/>
                <w:color w:val="000000" w:themeColor="text1"/>
                <w:sz w:val="16"/>
              </w:rPr>
            </w:pPr>
            <w:r w:rsidRPr="00615190">
              <w:rPr>
                <w:rFonts w:ascii="Tahoma" w:hAnsi="Tahoma"/>
                <w:color w:val="000000" w:themeColor="text1"/>
                <w:sz w:val="16"/>
              </w:rPr>
              <w:t>ABN AMRO Bank N.V.</w:t>
            </w:r>
          </w:p>
          <w:p w14:paraId="15F0FDBC" w14:textId="77777777" w:rsidR="00FE3C8C" w:rsidRPr="00615190" w:rsidRDefault="00FE3C8C" w:rsidP="00FE3C8C">
            <w:pPr>
              <w:spacing w:line="240" w:lineRule="atLeast"/>
              <w:rPr>
                <w:rFonts w:ascii="Tahoma" w:hAnsi="Tahoma"/>
                <w:color w:val="000000" w:themeColor="text1"/>
                <w:sz w:val="16"/>
              </w:rPr>
            </w:pPr>
            <w:r w:rsidRPr="00615190">
              <w:rPr>
                <w:rFonts w:ascii="Tahoma" w:hAnsi="Tahoma"/>
                <w:color w:val="000000" w:themeColor="text1"/>
                <w:sz w:val="16"/>
              </w:rPr>
              <w:t>Corporate Broking and Issuer Services</w:t>
            </w:r>
          </w:p>
          <w:p w14:paraId="5942CDB7" w14:textId="77777777" w:rsidR="00FE3C8C" w:rsidRPr="00615190" w:rsidRDefault="00FE3C8C" w:rsidP="00FE3C8C">
            <w:pPr>
              <w:spacing w:line="240" w:lineRule="atLeast"/>
              <w:rPr>
                <w:rFonts w:ascii="Tahoma" w:hAnsi="Tahoma"/>
                <w:color w:val="000000" w:themeColor="text1"/>
                <w:sz w:val="16"/>
              </w:rPr>
            </w:pPr>
            <w:r w:rsidRPr="00615190">
              <w:rPr>
                <w:rFonts w:ascii="Tahoma" w:hAnsi="Tahoma"/>
                <w:color w:val="000000" w:themeColor="text1"/>
                <w:sz w:val="16"/>
              </w:rPr>
              <w:t>HQ 7212</w:t>
            </w:r>
          </w:p>
          <w:p w14:paraId="72DADD10" w14:textId="77777777" w:rsidR="00FE3C8C" w:rsidRPr="00615190" w:rsidRDefault="00FE3C8C" w:rsidP="00FE3C8C">
            <w:pPr>
              <w:spacing w:line="240" w:lineRule="atLeast"/>
              <w:rPr>
                <w:rFonts w:ascii="Tahoma" w:hAnsi="Tahoma"/>
                <w:color w:val="000000" w:themeColor="text1"/>
                <w:sz w:val="16"/>
              </w:rPr>
            </w:pPr>
            <w:r w:rsidRPr="00615190">
              <w:rPr>
                <w:rFonts w:ascii="Tahoma" w:hAnsi="Tahoma"/>
                <w:color w:val="000000" w:themeColor="text1"/>
                <w:sz w:val="16"/>
              </w:rPr>
              <w:t xml:space="preserve">Gustav </w:t>
            </w:r>
            <w:proofErr w:type="spellStart"/>
            <w:r w:rsidRPr="00615190">
              <w:rPr>
                <w:rFonts w:ascii="Tahoma" w:hAnsi="Tahoma"/>
                <w:color w:val="000000" w:themeColor="text1"/>
                <w:sz w:val="16"/>
              </w:rPr>
              <w:t>Mahlerlaan</w:t>
            </w:r>
            <w:proofErr w:type="spellEnd"/>
            <w:r w:rsidRPr="00615190">
              <w:rPr>
                <w:rFonts w:ascii="Tahoma" w:hAnsi="Tahoma"/>
                <w:color w:val="000000" w:themeColor="text1"/>
                <w:sz w:val="16"/>
              </w:rPr>
              <w:t xml:space="preserve"> 10</w:t>
            </w:r>
          </w:p>
          <w:p w14:paraId="515FAB1E" w14:textId="77777777" w:rsidR="00FE3C8C" w:rsidRPr="00615190" w:rsidRDefault="00FE3C8C" w:rsidP="00FE3C8C">
            <w:pPr>
              <w:spacing w:line="240" w:lineRule="atLeast"/>
              <w:rPr>
                <w:rFonts w:ascii="Tahoma" w:hAnsi="Tahoma"/>
                <w:color w:val="000000" w:themeColor="text1"/>
                <w:sz w:val="16"/>
              </w:rPr>
            </w:pPr>
            <w:r w:rsidRPr="00615190">
              <w:rPr>
                <w:rFonts w:ascii="Tahoma" w:hAnsi="Tahoma"/>
                <w:color w:val="000000" w:themeColor="text1"/>
                <w:sz w:val="16"/>
              </w:rPr>
              <w:t>1082 PP Amsterdam</w:t>
            </w:r>
          </w:p>
          <w:p w14:paraId="5E3484EC" w14:textId="77777777" w:rsidR="00FE3C8C" w:rsidRDefault="00FE3C8C" w:rsidP="00FE3C8C">
            <w:pPr>
              <w:spacing w:line="240" w:lineRule="atLeast"/>
              <w:rPr>
                <w:rFonts w:ascii="Tahoma" w:hAnsi="Tahoma"/>
                <w:color w:val="000000" w:themeColor="text1"/>
                <w:sz w:val="16"/>
              </w:rPr>
            </w:pPr>
            <w:r w:rsidRPr="00615190">
              <w:rPr>
                <w:rFonts w:ascii="Tahoma" w:hAnsi="Tahoma"/>
                <w:color w:val="000000" w:themeColor="text1"/>
                <w:sz w:val="16"/>
              </w:rPr>
              <w:t>The Netherlands</w:t>
            </w:r>
          </w:p>
        </w:tc>
        <w:tc>
          <w:tcPr>
            <w:tcW w:w="5245" w:type="dxa"/>
          </w:tcPr>
          <w:p w14:paraId="1FDC4893" w14:textId="77777777" w:rsidR="00FE3C8C" w:rsidRPr="00742520" w:rsidRDefault="00FE3C8C" w:rsidP="00FE3C8C">
            <w:pPr>
              <w:spacing w:line="240" w:lineRule="atLeast"/>
              <w:rPr>
                <w:rFonts w:ascii="Tahoma" w:hAnsi="Tahoma"/>
                <w:b/>
                <w:bCs/>
                <w:color w:val="000000" w:themeColor="text1"/>
                <w:sz w:val="16"/>
              </w:rPr>
            </w:pPr>
            <w:r w:rsidRPr="00742520">
              <w:rPr>
                <w:rFonts w:ascii="Tahoma" w:hAnsi="Tahoma"/>
                <w:b/>
                <w:bCs/>
                <w:color w:val="000000" w:themeColor="text1"/>
                <w:sz w:val="16"/>
              </w:rPr>
              <w:t>Cross-border settlement agent</w:t>
            </w:r>
          </w:p>
          <w:p w14:paraId="60D8E606" w14:textId="77777777" w:rsidR="00FE3C8C" w:rsidRPr="00615190" w:rsidRDefault="00FE3C8C" w:rsidP="00FE3C8C">
            <w:pPr>
              <w:spacing w:line="240" w:lineRule="atLeast"/>
              <w:rPr>
                <w:rFonts w:ascii="Tahoma" w:hAnsi="Tahoma"/>
                <w:color w:val="000000" w:themeColor="text1"/>
                <w:sz w:val="16"/>
              </w:rPr>
            </w:pPr>
            <w:r w:rsidRPr="00615190">
              <w:rPr>
                <w:rFonts w:ascii="Tahoma" w:hAnsi="Tahoma"/>
                <w:color w:val="000000" w:themeColor="text1"/>
                <w:sz w:val="16"/>
              </w:rPr>
              <w:t>Citibank, N.A. South Africa Branch</w:t>
            </w:r>
          </w:p>
          <w:p w14:paraId="7BFD5DFA" w14:textId="77777777" w:rsidR="00FE3C8C" w:rsidRPr="00615190" w:rsidRDefault="00FE3C8C" w:rsidP="00FE3C8C">
            <w:pPr>
              <w:spacing w:line="240" w:lineRule="atLeast"/>
              <w:rPr>
                <w:rFonts w:ascii="Tahoma" w:hAnsi="Tahoma"/>
                <w:color w:val="000000" w:themeColor="text1"/>
                <w:sz w:val="16"/>
              </w:rPr>
            </w:pPr>
            <w:r w:rsidRPr="00615190">
              <w:rPr>
                <w:rFonts w:ascii="Tahoma" w:hAnsi="Tahoma"/>
                <w:color w:val="000000" w:themeColor="text1"/>
                <w:sz w:val="16"/>
              </w:rPr>
              <w:t>145 West Street</w:t>
            </w:r>
          </w:p>
          <w:p w14:paraId="420B2BF1" w14:textId="77777777" w:rsidR="00FE3C8C" w:rsidRPr="00615190" w:rsidRDefault="00FE3C8C" w:rsidP="00FE3C8C">
            <w:pPr>
              <w:spacing w:line="240" w:lineRule="atLeast"/>
              <w:rPr>
                <w:rFonts w:ascii="Tahoma" w:hAnsi="Tahoma"/>
                <w:color w:val="000000" w:themeColor="text1"/>
                <w:sz w:val="16"/>
              </w:rPr>
            </w:pPr>
            <w:r w:rsidRPr="00615190">
              <w:rPr>
                <w:rFonts w:ascii="Tahoma" w:hAnsi="Tahoma"/>
                <w:color w:val="000000" w:themeColor="text1"/>
                <w:sz w:val="16"/>
              </w:rPr>
              <w:t>Sandown</w:t>
            </w:r>
          </w:p>
          <w:p w14:paraId="41A19A96" w14:textId="77777777" w:rsidR="00FE3C8C" w:rsidRPr="00615190" w:rsidRDefault="00FE3C8C" w:rsidP="00FE3C8C">
            <w:pPr>
              <w:spacing w:line="240" w:lineRule="atLeast"/>
              <w:rPr>
                <w:rFonts w:ascii="Tahoma" w:hAnsi="Tahoma"/>
                <w:color w:val="000000" w:themeColor="text1"/>
                <w:sz w:val="16"/>
              </w:rPr>
            </w:pPr>
            <w:r w:rsidRPr="00615190">
              <w:rPr>
                <w:rFonts w:ascii="Tahoma" w:hAnsi="Tahoma"/>
                <w:color w:val="000000" w:themeColor="text1"/>
                <w:sz w:val="16"/>
              </w:rPr>
              <w:t>Johannesburg 2196</w:t>
            </w:r>
          </w:p>
          <w:p w14:paraId="6FB444C1" w14:textId="77777777" w:rsidR="00FE3C8C" w:rsidRPr="00615190" w:rsidRDefault="00FE3C8C" w:rsidP="00FE3C8C">
            <w:pPr>
              <w:spacing w:line="240" w:lineRule="atLeast"/>
              <w:rPr>
                <w:rFonts w:ascii="Tahoma" w:hAnsi="Tahoma"/>
                <w:color w:val="000000" w:themeColor="text1"/>
                <w:sz w:val="16"/>
              </w:rPr>
            </w:pPr>
            <w:r w:rsidRPr="00615190">
              <w:rPr>
                <w:rFonts w:ascii="Tahoma" w:hAnsi="Tahoma"/>
                <w:color w:val="000000" w:themeColor="text1"/>
                <w:sz w:val="16"/>
              </w:rPr>
              <w:t>South Africa</w:t>
            </w:r>
          </w:p>
          <w:p w14:paraId="71BE9F44" w14:textId="77777777" w:rsidR="00FE3C8C" w:rsidRPr="00615190" w:rsidRDefault="00FE3C8C" w:rsidP="00FE3C8C">
            <w:pPr>
              <w:spacing w:line="240" w:lineRule="atLeast"/>
              <w:rPr>
                <w:rFonts w:ascii="Tahoma" w:hAnsi="Tahoma"/>
                <w:color w:val="000000" w:themeColor="text1"/>
                <w:sz w:val="16"/>
              </w:rPr>
            </w:pPr>
          </w:p>
          <w:p w14:paraId="38F0D6FC" w14:textId="77777777" w:rsidR="00FE3C8C" w:rsidRPr="004A05E9" w:rsidRDefault="00FE3C8C" w:rsidP="00FE3C8C">
            <w:pPr>
              <w:spacing w:line="240" w:lineRule="atLeast"/>
              <w:rPr>
                <w:rFonts w:ascii="Tahoma" w:hAnsi="Tahoma"/>
                <w:b/>
                <w:bCs/>
                <w:color w:val="000000" w:themeColor="text1"/>
                <w:sz w:val="16"/>
              </w:rPr>
            </w:pPr>
            <w:r w:rsidRPr="004A05E9">
              <w:rPr>
                <w:rFonts w:ascii="Tahoma" w:hAnsi="Tahoma"/>
                <w:b/>
                <w:bCs/>
                <w:color w:val="000000" w:themeColor="text1"/>
                <w:sz w:val="16"/>
              </w:rPr>
              <w:t>JSE transfer secretary</w:t>
            </w:r>
          </w:p>
          <w:p w14:paraId="0A744EF4" w14:textId="77777777" w:rsidR="00FE3C8C" w:rsidRPr="00615190" w:rsidRDefault="00FE3C8C" w:rsidP="00FE3C8C">
            <w:pPr>
              <w:spacing w:line="240" w:lineRule="atLeast"/>
              <w:rPr>
                <w:rFonts w:ascii="Tahoma" w:hAnsi="Tahoma"/>
                <w:color w:val="000000" w:themeColor="text1"/>
                <w:sz w:val="16"/>
              </w:rPr>
            </w:pPr>
            <w:r w:rsidRPr="00615190">
              <w:rPr>
                <w:rFonts w:ascii="Tahoma" w:hAnsi="Tahoma"/>
                <w:color w:val="000000" w:themeColor="text1"/>
                <w:sz w:val="16"/>
              </w:rPr>
              <w:t>Computershare Investor Services</w:t>
            </w:r>
          </w:p>
          <w:p w14:paraId="2B058C1B" w14:textId="77777777" w:rsidR="00FE3C8C" w:rsidRPr="00615190" w:rsidRDefault="00FE3C8C" w:rsidP="00FE3C8C">
            <w:pPr>
              <w:spacing w:line="240" w:lineRule="atLeast"/>
              <w:rPr>
                <w:rFonts w:ascii="Tahoma" w:hAnsi="Tahoma"/>
                <w:color w:val="000000" w:themeColor="text1"/>
                <w:sz w:val="16"/>
              </w:rPr>
            </w:pPr>
            <w:r w:rsidRPr="00615190">
              <w:rPr>
                <w:rFonts w:ascii="Tahoma" w:hAnsi="Tahoma"/>
                <w:color w:val="000000" w:themeColor="text1"/>
                <w:sz w:val="16"/>
              </w:rPr>
              <w:t>Proprietary Limited</w:t>
            </w:r>
          </w:p>
          <w:p w14:paraId="0EDCBAC2" w14:textId="77777777" w:rsidR="00FE3C8C" w:rsidRPr="00615190" w:rsidRDefault="00FE3C8C" w:rsidP="00FE3C8C">
            <w:pPr>
              <w:spacing w:line="240" w:lineRule="atLeast"/>
              <w:rPr>
                <w:rFonts w:ascii="Tahoma" w:hAnsi="Tahoma"/>
                <w:color w:val="000000" w:themeColor="text1"/>
                <w:sz w:val="16"/>
              </w:rPr>
            </w:pPr>
            <w:r w:rsidRPr="00615190">
              <w:rPr>
                <w:rFonts w:ascii="Tahoma" w:hAnsi="Tahoma"/>
                <w:color w:val="000000" w:themeColor="text1"/>
                <w:sz w:val="16"/>
              </w:rPr>
              <w:t>Rosebank Towers, 15 Biermann Avenue</w:t>
            </w:r>
          </w:p>
          <w:p w14:paraId="44F55AE0" w14:textId="77777777" w:rsidR="00FE3C8C" w:rsidRPr="00615190" w:rsidRDefault="00FE3C8C" w:rsidP="00FE3C8C">
            <w:pPr>
              <w:spacing w:line="240" w:lineRule="atLeast"/>
              <w:rPr>
                <w:rFonts w:ascii="Tahoma" w:hAnsi="Tahoma"/>
                <w:color w:val="000000" w:themeColor="text1"/>
                <w:sz w:val="16"/>
              </w:rPr>
            </w:pPr>
            <w:r w:rsidRPr="00615190">
              <w:rPr>
                <w:rFonts w:ascii="Tahoma" w:hAnsi="Tahoma"/>
                <w:color w:val="000000" w:themeColor="text1"/>
                <w:sz w:val="16"/>
              </w:rPr>
              <w:t>Rosebank, Johannesburg 2196</w:t>
            </w:r>
          </w:p>
          <w:p w14:paraId="13AC1846" w14:textId="77777777" w:rsidR="00FE3C8C" w:rsidRPr="00615190" w:rsidRDefault="00FE3C8C" w:rsidP="00FE3C8C">
            <w:pPr>
              <w:spacing w:line="240" w:lineRule="atLeast"/>
              <w:rPr>
                <w:rFonts w:ascii="Tahoma" w:hAnsi="Tahoma"/>
                <w:color w:val="000000" w:themeColor="text1"/>
                <w:sz w:val="16"/>
              </w:rPr>
            </w:pPr>
            <w:r w:rsidRPr="00615190">
              <w:rPr>
                <w:rFonts w:ascii="Tahoma" w:hAnsi="Tahoma"/>
                <w:color w:val="000000" w:themeColor="text1"/>
                <w:sz w:val="16"/>
              </w:rPr>
              <w:t>South Africa</w:t>
            </w:r>
          </w:p>
          <w:p w14:paraId="4C2BE130" w14:textId="77777777" w:rsidR="00FE3C8C" w:rsidRPr="00615190" w:rsidRDefault="00FE3C8C" w:rsidP="00FE3C8C">
            <w:pPr>
              <w:spacing w:line="240" w:lineRule="atLeast"/>
              <w:rPr>
                <w:rFonts w:ascii="Tahoma" w:hAnsi="Tahoma"/>
                <w:color w:val="000000" w:themeColor="text1"/>
                <w:sz w:val="16"/>
              </w:rPr>
            </w:pPr>
            <w:r w:rsidRPr="00615190">
              <w:rPr>
                <w:rFonts w:ascii="Tahoma" w:hAnsi="Tahoma"/>
                <w:color w:val="000000" w:themeColor="text1"/>
                <w:sz w:val="16"/>
              </w:rPr>
              <w:t>Tel: +27 (0)86 110 0933</w:t>
            </w:r>
          </w:p>
          <w:p w14:paraId="4A6ACB46" w14:textId="77777777" w:rsidR="00FE3C8C" w:rsidRPr="00615190" w:rsidRDefault="00FE3C8C" w:rsidP="00FE3C8C">
            <w:pPr>
              <w:spacing w:line="240" w:lineRule="atLeast"/>
              <w:rPr>
                <w:rFonts w:ascii="Tahoma" w:hAnsi="Tahoma"/>
                <w:color w:val="000000" w:themeColor="text1"/>
                <w:sz w:val="16"/>
              </w:rPr>
            </w:pPr>
          </w:p>
          <w:p w14:paraId="7E05184A" w14:textId="77777777" w:rsidR="00FE3C8C" w:rsidRPr="00587468" w:rsidRDefault="00FE3C8C" w:rsidP="00FE3C8C">
            <w:pPr>
              <w:spacing w:line="240" w:lineRule="atLeast"/>
              <w:rPr>
                <w:rFonts w:ascii="Tahoma" w:hAnsi="Tahoma"/>
                <w:b/>
                <w:bCs/>
                <w:color w:val="000000" w:themeColor="text1"/>
                <w:sz w:val="16"/>
              </w:rPr>
            </w:pPr>
            <w:r w:rsidRPr="00587468">
              <w:rPr>
                <w:rFonts w:ascii="Tahoma" w:hAnsi="Tahoma"/>
                <w:b/>
                <w:bCs/>
                <w:color w:val="000000" w:themeColor="text1"/>
                <w:sz w:val="16"/>
              </w:rPr>
              <w:t>JSE sponsor</w:t>
            </w:r>
          </w:p>
          <w:p w14:paraId="2481C340" w14:textId="77777777" w:rsidR="00FE3C8C" w:rsidRPr="00615190" w:rsidRDefault="00FE3C8C" w:rsidP="00FE3C8C">
            <w:pPr>
              <w:spacing w:line="240" w:lineRule="atLeast"/>
              <w:rPr>
                <w:rFonts w:ascii="Tahoma" w:hAnsi="Tahoma"/>
                <w:color w:val="000000" w:themeColor="text1"/>
                <w:sz w:val="16"/>
              </w:rPr>
            </w:pPr>
            <w:r w:rsidRPr="00615190">
              <w:rPr>
                <w:rFonts w:ascii="Tahoma" w:hAnsi="Tahoma"/>
                <w:color w:val="000000" w:themeColor="text1"/>
                <w:sz w:val="16"/>
              </w:rPr>
              <w:t>Investec Bank Limited</w:t>
            </w:r>
          </w:p>
          <w:p w14:paraId="212C252D" w14:textId="2763BB0D" w:rsidR="00FE3C8C" w:rsidRPr="00615190" w:rsidRDefault="00FE3C8C" w:rsidP="00FE3C8C">
            <w:pPr>
              <w:spacing w:line="240" w:lineRule="atLeast"/>
              <w:rPr>
                <w:rFonts w:ascii="Tahoma" w:hAnsi="Tahoma"/>
                <w:color w:val="000000" w:themeColor="text1"/>
                <w:sz w:val="16"/>
              </w:rPr>
            </w:pPr>
            <w:r w:rsidRPr="00615190">
              <w:rPr>
                <w:rFonts w:ascii="Tahoma" w:hAnsi="Tahoma"/>
                <w:color w:val="000000" w:themeColor="text1"/>
                <w:sz w:val="16"/>
              </w:rPr>
              <w:t>(Registration number: 1969/004763/06</w:t>
            </w:r>
            <w:r w:rsidR="002571CB">
              <w:rPr>
                <w:rFonts w:ascii="Tahoma" w:hAnsi="Tahoma"/>
                <w:color w:val="000000" w:themeColor="text1"/>
                <w:sz w:val="16"/>
              </w:rPr>
              <w:t>)</w:t>
            </w:r>
          </w:p>
          <w:p w14:paraId="359AE84B" w14:textId="77777777" w:rsidR="00FE3C8C" w:rsidRPr="00615190" w:rsidRDefault="00FE3C8C" w:rsidP="00FE3C8C">
            <w:pPr>
              <w:spacing w:line="240" w:lineRule="atLeast"/>
              <w:rPr>
                <w:rFonts w:ascii="Tahoma" w:hAnsi="Tahoma"/>
                <w:color w:val="000000" w:themeColor="text1"/>
                <w:sz w:val="16"/>
              </w:rPr>
            </w:pPr>
            <w:r w:rsidRPr="00615190">
              <w:rPr>
                <w:rFonts w:ascii="Tahoma" w:hAnsi="Tahoma"/>
                <w:color w:val="000000" w:themeColor="text1"/>
                <w:sz w:val="16"/>
              </w:rPr>
              <w:t>PO Box 785700</w:t>
            </w:r>
          </w:p>
          <w:p w14:paraId="12CE60E3" w14:textId="77777777" w:rsidR="00FE3C8C" w:rsidRPr="00615190" w:rsidRDefault="00FE3C8C" w:rsidP="00FE3C8C">
            <w:pPr>
              <w:spacing w:line="240" w:lineRule="atLeast"/>
              <w:rPr>
                <w:rFonts w:ascii="Tahoma" w:hAnsi="Tahoma"/>
                <w:color w:val="000000" w:themeColor="text1"/>
                <w:sz w:val="16"/>
              </w:rPr>
            </w:pPr>
            <w:r w:rsidRPr="00615190">
              <w:rPr>
                <w:rFonts w:ascii="Tahoma" w:hAnsi="Tahoma"/>
                <w:color w:val="000000" w:themeColor="text1"/>
                <w:sz w:val="16"/>
              </w:rPr>
              <w:t>Sandton 2146</w:t>
            </w:r>
          </w:p>
          <w:p w14:paraId="12679D90" w14:textId="77777777" w:rsidR="00FE3C8C" w:rsidRPr="00615190" w:rsidRDefault="00FE3C8C" w:rsidP="00FE3C8C">
            <w:pPr>
              <w:spacing w:line="240" w:lineRule="atLeast"/>
              <w:rPr>
                <w:rFonts w:ascii="Tahoma" w:hAnsi="Tahoma"/>
                <w:color w:val="000000" w:themeColor="text1"/>
                <w:sz w:val="16"/>
              </w:rPr>
            </w:pPr>
            <w:r w:rsidRPr="00615190">
              <w:rPr>
                <w:rFonts w:ascii="Tahoma" w:hAnsi="Tahoma"/>
                <w:color w:val="000000" w:themeColor="text1"/>
                <w:sz w:val="16"/>
              </w:rPr>
              <w:t>South Africa</w:t>
            </w:r>
          </w:p>
          <w:p w14:paraId="2C146086" w14:textId="77777777" w:rsidR="00FE3C8C" w:rsidRPr="00615190" w:rsidRDefault="00FE3C8C" w:rsidP="00FE3C8C">
            <w:pPr>
              <w:spacing w:line="240" w:lineRule="atLeast"/>
              <w:rPr>
                <w:rFonts w:ascii="Tahoma" w:hAnsi="Tahoma"/>
                <w:color w:val="000000" w:themeColor="text1"/>
                <w:sz w:val="16"/>
              </w:rPr>
            </w:pPr>
            <w:r w:rsidRPr="00615190">
              <w:rPr>
                <w:rFonts w:ascii="Tahoma" w:hAnsi="Tahoma"/>
                <w:color w:val="000000" w:themeColor="text1"/>
                <w:sz w:val="16"/>
              </w:rPr>
              <w:t>Tel: +24 (0)11 286 7326</w:t>
            </w:r>
          </w:p>
          <w:p w14:paraId="24C7CBE6" w14:textId="77777777" w:rsidR="00FE3C8C" w:rsidRPr="00615190" w:rsidRDefault="00FE3C8C" w:rsidP="00FE3C8C">
            <w:pPr>
              <w:spacing w:line="240" w:lineRule="atLeast"/>
              <w:rPr>
                <w:rFonts w:ascii="Tahoma" w:hAnsi="Tahoma"/>
                <w:color w:val="000000" w:themeColor="text1"/>
                <w:sz w:val="16"/>
              </w:rPr>
            </w:pPr>
            <w:r w:rsidRPr="00615190">
              <w:rPr>
                <w:rFonts w:ascii="Tahoma" w:hAnsi="Tahoma"/>
                <w:color w:val="000000" w:themeColor="text1"/>
                <w:sz w:val="16"/>
              </w:rPr>
              <w:t>Fax: +27 (0)11 286 9986</w:t>
            </w:r>
          </w:p>
          <w:p w14:paraId="1FE5FA84" w14:textId="77777777" w:rsidR="00FE3C8C" w:rsidRPr="00615190" w:rsidRDefault="00FE3C8C" w:rsidP="00FE3C8C">
            <w:pPr>
              <w:spacing w:line="240" w:lineRule="atLeast"/>
              <w:rPr>
                <w:rFonts w:ascii="Tahoma" w:hAnsi="Tahoma"/>
                <w:color w:val="000000" w:themeColor="text1"/>
                <w:sz w:val="16"/>
              </w:rPr>
            </w:pPr>
          </w:p>
          <w:p w14:paraId="54C86A20" w14:textId="77777777" w:rsidR="00FE3C8C" w:rsidRPr="00B016C2" w:rsidRDefault="00FE3C8C" w:rsidP="00FE3C8C">
            <w:pPr>
              <w:spacing w:line="240" w:lineRule="atLeast"/>
              <w:rPr>
                <w:rFonts w:ascii="Tahoma" w:hAnsi="Tahoma"/>
                <w:b/>
                <w:bCs/>
                <w:color w:val="000000" w:themeColor="text1"/>
                <w:sz w:val="16"/>
              </w:rPr>
            </w:pPr>
            <w:r w:rsidRPr="00B016C2">
              <w:rPr>
                <w:rFonts w:ascii="Tahoma" w:hAnsi="Tahoma"/>
                <w:b/>
                <w:bCs/>
                <w:color w:val="000000" w:themeColor="text1"/>
                <w:sz w:val="16"/>
              </w:rPr>
              <w:t>ADR programme</w:t>
            </w:r>
          </w:p>
          <w:p w14:paraId="279C351A" w14:textId="77777777" w:rsidR="00A738C4" w:rsidRDefault="00FE3C8C" w:rsidP="00FE3C8C">
            <w:pPr>
              <w:spacing w:line="240" w:lineRule="atLeast"/>
              <w:rPr>
                <w:rFonts w:ascii="Tahoma" w:hAnsi="Tahoma"/>
                <w:color w:val="000000" w:themeColor="text1"/>
                <w:sz w:val="16"/>
              </w:rPr>
            </w:pPr>
            <w:r w:rsidRPr="00615190">
              <w:rPr>
                <w:rFonts w:ascii="Tahoma" w:hAnsi="Tahoma"/>
                <w:color w:val="000000" w:themeColor="text1"/>
                <w:sz w:val="16"/>
              </w:rPr>
              <w:t xml:space="preserve">Bank of New York Mellon maintains a </w:t>
            </w:r>
          </w:p>
          <w:p w14:paraId="2EADFA5E" w14:textId="77777777" w:rsidR="00FE3C8C" w:rsidRPr="00615190" w:rsidRDefault="00FE3C8C" w:rsidP="00FE3C8C">
            <w:pPr>
              <w:spacing w:line="240" w:lineRule="atLeast"/>
              <w:rPr>
                <w:rFonts w:ascii="Tahoma" w:hAnsi="Tahoma"/>
                <w:color w:val="000000" w:themeColor="text1"/>
                <w:sz w:val="16"/>
              </w:rPr>
            </w:pPr>
            <w:proofErr w:type="spellStart"/>
            <w:r w:rsidRPr="00615190">
              <w:rPr>
                <w:rFonts w:ascii="Tahoma" w:hAnsi="Tahoma"/>
                <w:color w:val="000000" w:themeColor="text1"/>
                <w:sz w:val="16"/>
              </w:rPr>
              <w:t>GlobalBuyDIRECT</w:t>
            </w:r>
            <w:r w:rsidRPr="002571CB">
              <w:rPr>
                <w:rFonts w:ascii="Tahoma" w:hAnsi="Tahoma"/>
                <w:color w:val="000000" w:themeColor="text1"/>
                <w:sz w:val="16"/>
                <w:vertAlign w:val="superscript"/>
              </w:rPr>
              <w:t>SM</w:t>
            </w:r>
            <w:proofErr w:type="spellEnd"/>
            <w:r w:rsidRPr="00615190">
              <w:rPr>
                <w:rFonts w:ascii="Tahoma" w:hAnsi="Tahoma"/>
                <w:color w:val="000000" w:themeColor="text1"/>
                <w:sz w:val="16"/>
              </w:rPr>
              <w:t xml:space="preserve"> plan for </w:t>
            </w:r>
            <w:proofErr w:type="spellStart"/>
            <w:r w:rsidRPr="00615190">
              <w:rPr>
                <w:rFonts w:ascii="Tahoma" w:hAnsi="Tahoma"/>
                <w:color w:val="000000" w:themeColor="text1"/>
                <w:sz w:val="16"/>
              </w:rPr>
              <w:t>Prosus</w:t>
            </w:r>
            <w:proofErr w:type="spellEnd"/>
            <w:r w:rsidRPr="00615190">
              <w:rPr>
                <w:rFonts w:ascii="Tahoma" w:hAnsi="Tahoma"/>
                <w:color w:val="000000" w:themeColor="text1"/>
                <w:sz w:val="16"/>
              </w:rPr>
              <w:t xml:space="preserve"> N.V.</w:t>
            </w:r>
          </w:p>
          <w:p w14:paraId="636AAC68" w14:textId="77777777" w:rsidR="00FE3C8C" w:rsidRPr="00615190" w:rsidRDefault="00FE3C8C" w:rsidP="00FE3C8C">
            <w:pPr>
              <w:spacing w:line="240" w:lineRule="atLeast"/>
              <w:rPr>
                <w:rFonts w:ascii="Tahoma" w:hAnsi="Tahoma"/>
                <w:color w:val="000000" w:themeColor="text1"/>
                <w:sz w:val="16"/>
              </w:rPr>
            </w:pPr>
            <w:r w:rsidRPr="00615190">
              <w:rPr>
                <w:rFonts w:ascii="Tahoma" w:hAnsi="Tahoma"/>
                <w:color w:val="000000" w:themeColor="text1"/>
                <w:sz w:val="16"/>
              </w:rPr>
              <w:t>For additional information, please visit</w:t>
            </w:r>
          </w:p>
          <w:p w14:paraId="0E64FDD5" w14:textId="77777777" w:rsidR="00FE3C8C" w:rsidRPr="00615190" w:rsidRDefault="00FE3C8C" w:rsidP="00FE3C8C">
            <w:pPr>
              <w:spacing w:line="240" w:lineRule="atLeast"/>
              <w:rPr>
                <w:rFonts w:ascii="Tahoma" w:hAnsi="Tahoma"/>
                <w:color w:val="000000" w:themeColor="text1"/>
                <w:sz w:val="16"/>
              </w:rPr>
            </w:pPr>
            <w:r w:rsidRPr="00615190">
              <w:rPr>
                <w:rFonts w:ascii="Tahoma" w:hAnsi="Tahoma"/>
                <w:color w:val="000000" w:themeColor="text1"/>
                <w:sz w:val="16"/>
              </w:rPr>
              <w:t>Bank of New York Mellon’s website</w:t>
            </w:r>
          </w:p>
          <w:p w14:paraId="536A8502" w14:textId="77777777" w:rsidR="00FE3C8C" w:rsidRPr="00615190" w:rsidRDefault="00FE3C8C" w:rsidP="00FE3C8C">
            <w:pPr>
              <w:spacing w:line="240" w:lineRule="atLeast"/>
              <w:rPr>
                <w:rFonts w:ascii="Tahoma" w:hAnsi="Tahoma"/>
                <w:color w:val="000000" w:themeColor="text1"/>
                <w:sz w:val="16"/>
              </w:rPr>
            </w:pPr>
            <w:r w:rsidRPr="00615190">
              <w:rPr>
                <w:rFonts w:ascii="Tahoma" w:hAnsi="Tahoma"/>
                <w:color w:val="000000" w:themeColor="text1"/>
                <w:sz w:val="16"/>
              </w:rPr>
              <w:t>at www.globalbuydirect.com or call</w:t>
            </w:r>
          </w:p>
          <w:p w14:paraId="387D7325" w14:textId="77777777" w:rsidR="00FE3C8C" w:rsidRPr="00615190" w:rsidRDefault="00FE3C8C" w:rsidP="00FE3C8C">
            <w:pPr>
              <w:spacing w:line="240" w:lineRule="atLeast"/>
              <w:rPr>
                <w:rFonts w:ascii="Tahoma" w:hAnsi="Tahoma"/>
                <w:color w:val="000000" w:themeColor="text1"/>
                <w:sz w:val="16"/>
              </w:rPr>
            </w:pPr>
            <w:r w:rsidRPr="00615190">
              <w:rPr>
                <w:rFonts w:ascii="Tahoma" w:hAnsi="Tahoma"/>
                <w:color w:val="000000" w:themeColor="text1"/>
                <w:sz w:val="16"/>
              </w:rPr>
              <w:t xml:space="preserve">Shareholder Relations at 1-888-BNY-ADRS </w:t>
            </w:r>
            <w:r w:rsidR="004371F7">
              <w:rPr>
                <w:rFonts w:ascii="Tahoma" w:hAnsi="Tahoma"/>
                <w:color w:val="000000" w:themeColor="text1"/>
                <w:sz w:val="16"/>
              </w:rPr>
              <w:br/>
            </w:r>
            <w:r w:rsidRPr="00615190">
              <w:rPr>
                <w:rFonts w:ascii="Tahoma" w:hAnsi="Tahoma"/>
                <w:color w:val="000000" w:themeColor="text1"/>
                <w:sz w:val="16"/>
              </w:rPr>
              <w:t xml:space="preserve">or 1-800-345-1612 or write to: </w:t>
            </w:r>
          </w:p>
          <w:p w14:paraId="3FB72EFA" w14:textId="77777777" w:rsidR="00FE3C8C" w:rsidRPr="00615190" w:rsidRDefault="00FE3C8C" w:rsidP="00FE3C8C">
            <w:pPr>
              <w:spacing w:line="240" w:lineRule="atLeast"/>
              <w:rPr>
                <w:rFonts w:ascii="Tahoma" w:hAnsi="Tahoma"/>
                <w:color w:val="000000" w:themeColor="text1"/>
                <w:sz w:val="16"/>
              </w:rPr>
            </w:pPr>
            <w:r w:rsidRPr="00615190">
              <w:rPr>
                <w:rFonts w:ascii="Tahoma" w:hAnsi="Tahoma"/>
                <w:color w:val="000000" w:themeColor="text1"/>
                <w:sz w:val="16"/>
              </w:rPr>
              <w:t>Bank of New York Mellon, Shareholder</w:t>
            </w:r>
          </w:p>
          <w:p w14:paraId="7192132B" w14:textId="77777777" w:rsidR="00C87B0D" w:rsidRDefault="00FE3C8C" w:rsidP="00FE3C8C">
            <w:pPr>
              <w:spacing w:line="240" w:lineRule="atLeast"/>
              <w:rPr>
                <w:rFonts w:ascii="Tahoma" w:hAnsi="Tahoma"/>
                <w:color w:val="000000" w:themeColor="text1"/>
                <w:sz w:val="16"/>
              </w:rPr>
            </w:pPr>
            <w:r w:rsidRPr="00615190">
              <w:rPr>
                <w:rFonts w:ascii="Tahoma" w:hAnsi="Tahoma"/>
                <w:color w:val="000000" w:themeColor="text1"/>
                <w:sz w:val="16"/>
              </w:rPr>
              <w:t xml:space="preserve">Relations Department – </w:t>
            </w:r>
            <w:proofErr w:type="spellStart"/>
            <w:r w:rsidRPr="00615190">
              <w:rPr>
                <w:rFonts w:ascii="Tahoma" w:hAnsi="Tahoma"/>
                <w:color w:val="000000" w:themeColor="text1"/>
                <w:sz w:val="16"/>
              </w:rPr>
              <w:t>GlobalBuyDIRECT</w:t>
            </w:r>
            <w:r w:rsidRPr="002571CB">
              <w:rPr>
                <w:rFonts w:ascii="Tahoma" w:hAnsi="Tahoma"/>
                <w:color w:val="000000" w:themeColor="text1"/>
                <w:sz w:val="16"/>
                <w:vertAlign w:val="superscript"/>
              </w:rPr>
              <w:t>SM</w:t>
            </w:r>
            <w:proofErr w:type="spellEnd"/>
            <w:r w:rsidRPr="00615190">
              <w:rPr>
                <w:rFonts w:ascii="Tahoma" w:hAnsi="Tahoma"/>
                <w:color w:val="000000" w:themeColor="text1"/>
                <w:sz w:val="16"/>
              </w:rPr>
              <w:t xml:space="preserve"> </w:t>
            </w:r>
          </w:p>
          <w:p w14:paraId="0BF65D79" w14:textId="77777777" w:rsidR="00FE3C8C" w:rsidRPr="00615190" w:rsidRDefault="00FE3C8C" w:rsidP="00FE3C8C">
            <w:pPr>
              <w:spacing w:line="240" w:lineRule="atLeast"/>
              <w:rPr>
                <w:rFonts w:ascii="Tahoma" w:hAnsi="Tahoma"/>
                <w:color w:val="000000" w:themeColor="text1"/>
                <w:sz w:val="16"/>
              </w:rPr>
            </w:pPr>
            <w:r w:rsidRPr="00615190">
              <w:rPr>
                <w:rFonts w:ascii="Tahoma" w:hAnsi="Tahoma"/>
                <w:color w:val="000000" w:themeColor="text1"/>
                <w:sz w:val="16"/>
              </w:rPr>
              <w:t>Church Street Station</w:t>
            </w:r>
          </w:p>
          <w:p w14:paraId="056CA063" w14:textId="77777777" w:rsidR="00FE3C8C" w:rsidRPr="00615190" w:rsidRDefault="00FE3C8C" w:rsidP="00FE3C8C">
            <w:pPr>
              <w:spacing w:line="240" w:lineRule="atLeast"/>
              <w:rPr>
                <w:rFonts w:ascii="Tahoma" w:hAnsi="Tahoma"/>
                <w:color w:val="000000" w:themeColor="text1"/>
                <w:sz w:val="16"/>
              </w:rPr>
            </w:pPr>
            <w:r w:rsidRPr="00615190">
              <w:rPr>
                <w:rFonts w:ascii="Tahoma" w:hAnsi="Tahoma"/>
                <w:color w:val="000000" w:themeColor="text1"/>
                <w:sz w:val="16"/>
              </w:rPr>
              <w:t>PO Box 11258</w:t>
            </w:r>
          </w:p>
          <w:p w14:paraId="335196A2" w14:textId="77777777" w:rsidR="00FE3C8C" w:rsidRPr="00615190" w:rsidRDefault="00FE3C8C" w:rsidP="00FE3C8C">
            <w:pPr>
              <w:spacing w:line="240" w:lineRule="atLeast"/>
              <w:rPr>
                <w:rFonts w:ascii="Tahoma" w:hAnsi="Tahoma"/>
                <w:color w:val="000000" w:themeColor="text1"/>
                <w:sz w:val="16"/>
              </w:rPr>
            </w:pPr>
            <w:r w:rsidRPr="00615190">
              <w:rPr>
                <w:rFonts w:ascii="Tahoma" w:hAnsi="Tahoma"/>
                <w:color w:val="000000" w:themeColor="text1"/>
                <w:sz w:val="16"/>
              </w:rPr>
              <w:t>New York</w:t>
            </w:r>
          </w:p>
          <w:p w14:paraId="5C0CA62F" w14:textId="77777777" w:rsidR="00FE3C8C" w:rsidRPr="00615190" w:rsidRDefault="00FE3C8C" w:rsidP="00FE3C8C">
            <w:pPr>
              <w:spacing w:line="240" w:lineRule="atLeast"/>
              <w:rPr>
                <w:rFonts w:ascii="Tahoma" w:hAnsi="Tahoma"/>
                <w:color w:val="000000" w:themeColor="text1"/>
                <w:sz w:val="16"/>
              </w:rPr>
            </w:pPr>
            <w:r w:rsidRPr="00615190">
              <w:rPr>
                <w:rFonts w:ascii="Tahoma" w:hAnsi="Tahoma"/>
                <w:color w:val="000000" w:themeColor="text1"/>
                <w:sz w:val="16"/>
              </w:rPr>
              <w:t>NY 10286-1258</w:t>
            </w:r>
          </w:p>
          <w:p w14:paraId="6C50310A" w14:textId="77777777" w:rsidR="00FE3C8C" w:rsidRPr="00615190" w:rsidRDefault="00FE3C8C" w:rsidP="00FE3C8C">
            <w:pPr>
              <w:spacing w:line="240" w:lineRule="atLeast"/>
              <w:rPr>
                <w:rFonts w:ascii="Tahoma" w:hAnsi="Tahoma"/>
                <w:color w:val="000000" w:themeColor="text1"/>
                <w:sz w:val="16"/>
              </w:rPr>
            </w:pPr>
            <w:r w:rsidRPr="00615190">
              <w:rPr>
                <w:rFonts w:ascii="Tahoma" w:hAnsi="Tahoma"/>
                <w:color w:val="000000" w:themeColor="text1"/>
                <w:sz w:val="16"/>
              </w:rPr>
              <w:t>USA</w:t>
            </w:r>
          </w:p>
          <w:p w14:paraId="5B762FE9" w14:textId="77777777" w:rsidR="00FE3C8C" w:rsidRPr="00615190" w:rsidRDefault="00FE3C8C" w:rsidP="00FE3C8C">
            <w:pPr>
              <w:spacing w:line="240" w:lineRule="atLeast"/>
              <w:rPr>
                <w:rFonts w:ascii="Tahoma" w:hAnsi="Tahoma"/>
                <w:color w:val="000000" w:themeColor="text1"/>
                <w:sz w:val="16"/>
              </w:rPr>
            </w:pPr>
          </w:p>
          <w:p w14:paraId="6018F168" w14:textId="77777777" w:rsidR="00FE3C8C" w:rsidRPr="005E21A5" w:rsidRDefault="00FE3C8C" w:rsidP="00FE3C8C">
            <w:pPr>
              <w:spacing w:line="240" w:lineRule="atLeast"/>
              <w:rPr>
                <w:rFonts w:ascii="Tahoma" w:hAnsi="Tahoma"/>
                <w:b/>
                <w:bCs/>
                <w:color w:val="000000" w:themeColor="text1"/>
                <w:sz w:val="16"/>
              </w:rPr>
            </w:pPr>
            <w:r w:rsidRPr="005E21A5">
              <w:rPr>
                <w:rFonts w:ascii="Tahoma" w:hAnsi="Tahoma"/>
                <w:b/>
                <w:bCs/>
                <w:color w:val="000000" w:themeColor="text1"/>
                <w:sz w:val="16"/>
              </w:rPr>
              <w:t>Attorney</w:t>
            </w:r>
          </w:p>
          <w:p w14:paraId="37F214F9" w14:textId="77777777" w:rsidR="00FE3C8C" w:rsidRPr="00CD5F67" w:rsidRDefault="00FE3C8C" w:rsidP="00FE3C8C">
            <w:pPr>
              <w:spacing w:line="240" w:lineRule="atLeast"/>
              <w:rPr>
                <w:rFonts w:ascii="Tahoma" w:hAnsi="Tahoma"/>
                <w:b/>
                <w:bCs/>
                <w:color w:val="7F7F7F" w:themeColor="text1" w:themeTint="80"/>
                <w:sz w:val="16"/>
              </w:rPr>
            </w:pPr>
            <w:r w:rsidRPr="00CD5F67">
              <w:rPr>
                <w:rFonts w:ascii="Tahoma" w:hAnsi="Tahoma"/>
                <w:b/>
                <w:bCs/>
                <w:color w:val="7F7F7F" w:themeColor="text1" w:themeTint="80"/>
                <w:sz w:val="16"/>
              </w:rPr>
              <w:t xml:space="preserve">Allen &amp; </w:t>
            </w:r>
            <w:proofErr w:type="spellStart"/>
            <w:r w:rsidRPr="00CD5F67">
              <w:rPr>
                <w:rFonts w:ascii="Tahoma" w:hAnsi="Tahoma"/>
                <w:b/>
                <w:bCs/>
                <w:color w:val="7F7F7F" w:themeColor="text1" w:themeTint="80"/>
                <w:sz w:val="16"/>
              </w:rPr>
              <w:t>Overy</w:t>
            </w:r>
            <w:proofErr w:type="spellEnd"/>
            <w:r w:rsidRPr="00CD5F67">
              <w:rPr>
                <w:rFonts w:ascii="Tahoma" w:hAnsi="Tahoma"/>
                <w:b/>
                <w:bCs/>
                <w:color w:val="7F7F7F" w:themeColor="text1" w:themeTint="80"/>
                <w:sz w:val="16"/>
              </w:rPr>
              <w:t xml:space="preserve"> LLP</w:t>
            </w:r>
          </w:p>
          <w:p w14:paraId="5D1B6767" w14:textId="77777777" w:rsidR="00FE3C8C" w:rsidRPr="00615190" w:rsidRDefault="00FE3C8C" w:rsidP="00FE3C8C">
            <w:pPr>
              <w:spacing w:line="240" w:lineRule="atLeast"/>
              <w:rPr>
                <w:rFonts w:ascii="Tahoma" w:hAnsi="Tahoma"/>
                <w:color w:val="000000" w:themeColor="text1"/>
                <w:sz w:val="16"/>
              </w:rPr>
            </w:pPr>
            <w:proofErr w:type="spellStart"/>
            <w:r w:rsidRPr="00615190">
              <w:rPr>
                <w:rFonts w:ascii="Tahoma" w:hAnsi="Tahoma"/>
                <w:color w:val="000000" w:themeColor="text1"/>
                <w:sz w:val="16"/>
              </w:rPr>
              <w:t>Apollolaan</w:t>
            </w:r>
            <w:proofErr w:type="spellEnd"/>
            <w:r w:rsidRPr="00615190">
              <w:rPr>
                <w:rFonts w:ascii="Tahoma" w:hAnsi="Tahoma"/>
                <w:color w:val="000000" w:themeColor="text1"/>
                <w:sz w:val="16"/>
              </w:rPr>
              <w:t xml:space="preserve"> 15</w:t>
            </w:r>
          </w:p>
          <w:p w14:paraId="7F5AB72D" w14:textId="77777777" w:rsidR="00FE3C8C" w:rsidRPr="00615190" w:rsidRDefault="00FE3C8C" w:rsidP="00FE3C8C">
            <w:pPr>
              <w:spacing w:line="240" w:lineRule="atLeast"/>
              <w:rPr>
                <w:rFonts w:ascii="Tahoma" w:hAnsi="Tahoma"/>
                <w:color w:val="000000" w:themeColor="text1"/>
                <w:sz w:val="16"/>
              </w:rPr>
            </w:pPr>
            <w:r w:rsidRPr="00615190">
              <w:rPr>
                <w:rFonts w:ascii="Tahoma" w:hAnsi="Tahoma"/>
                <w:color w:val="000000" w:themeColor="text1"/>
                <w:sz w:val="16"/>
              </w:rPr>
              <w:t>1077 AB Amsterdam</w:t>
            </w:r>
          </w:p>
          <w:p w14:paraId="5632349B" w14:textId="77777777" w:rsidR="00FE3C8C" w:rsidRPr="00615190" w:rsidRDefault="00FE3C8C" w:rsidP="00FE3C8C">
            <w:pPr>
              <w:spacing w:line="240" w:lineRule="atLeast"/>
              <w:rPr>
                <w:rFonts w:ascii="Tahoma" w:hAnsi="Tahoma"/>
                <w:color w:val="000000" w:themeColor="text1"/>
                <w:sz w:val="16"/>
              </w:rPr>
            </w:pPr>
            <w:r w:rsidRPr="00615190">
              <w:rPr>
                <w:rFonts w:ascii="Tahoma" w:hAnsi="Tahoma"/>
                <w:color w:val="000000" w:themeColor="text1"/>
                <w:sz w:val="16"/>
              </w:rPr>
              <w:t>The Netherlands</w:t>
            </w:r>
          </w:p>
          <w:p w14:paraId="5F18F081" w14:textId="77777777" w:rsidR="00FE3C8C" w:rsidRPr="00615190" w:rsidRDefault="00FE3C8C" w:rsidP="00FE3C8C">
            <w:pPr>
              <w:spacing w:line="240" w:lineRule="atLeast"/>
              <w:rPr>
                <w:rFonts w:ascii="Tahoma" w:hAnsi="Tahoma"/>
                <w:color w:val="000000" w:themeColor="text1"/>
                <w:sz w:val="16"/>
              </w:rPr>
            </w:pPr>
          </w:p>
          <w:p w14:paraId="5ACF68AB" w14:textId="77777777" w:rsidR="00FE3C8C" w:rsidRPr="00E112C3" w:rsidRDefault="00FE3C8C" w:rsidP="00FE3C8C">
            <w:pPr>
              <w:spacing w:line="240" w:lineRule="atLeast"/>
              <w:rPr>
                <w:rFonts w:ascii="Tahoma" w:hAnsi="Tahoma"/>
                <w:b/>
                <w:bCs/>
                <w:color w:val="000000" w:themeColor="text1"/>
                <w:sz w:val="16"/>
              </w:rPr>
            </w:pPr>
            <w:r w:rsidRPr="00E112C3">
              <w:rPr>
                <w:rFonts w:ascii="Tahoma" w:hAnsi="Tahoma"/>
                <w:b/>
                <w:bCs/>
                <w:color w:val="000000" w:themeColor="text1"/>
                <w:sz w:val="16"/>
              </w:rPr>
              <w:t>Investor relations</w:t>
            </w:r>
          </w:p>
          <w:p w14:paraId="61EF3FDC" w14:textId="77777777" w:rsidR="00FE3C8C" w:rsidRPr="00615190" w:rsidRDefault="00FE3C8C" w:rsidP="00FE3C8C">
            <w:pPr>
              <w:spacing w:line="240" w:lineRule="atLeast"/>
              <w:rPr>
                <w:rFonts w:ascii="Tahoma" w:hAnsi="Tahoma"/>
                <w:color w:val="000000" w:themeColor="text1"/>
                <w:sz w:val="16"/>
              </w:rPr>
            </w:pPr>
            <w:r w:rsidRPr="00615190">
              <w:rPr>
                <w:rFonts w:ascii="Tahoma" w:hAnsi="Tahoma"/>
                <w:color w:val="000000" w:themeColor="text1"/>
                <w:sz w:val="16"/>
              </w:rPr>
              <w:t>Eoin Ryan</w:t>
            </w:r>
          </w:p>
          <w:p w14:paraId="3271CFA9" w14:textId="77777777" w:rsidR="00FE3C8C" w:rsidRPr="00615190" w:rsidRDefault="00FE3C8C" w:rsidP="00FE3C8C">
            <w:pPr>
              <w:spacing w:line="240" w:lineRule="atLeast"/>
              <w:rPr>
                <w:rFonts w:ascii="Tahoma" w:hAnsi="Tahoma"/>
                <w:color w:val="000000" w:themeColor="text1"/>
                <w:sz w:val="16"/>
              </w:rPr>
            </w:pPr>
            <w:r w:rsidRPr="00615190">
              <w:rPr>
                <w:rFonts w:ascii="Tahoma" w:hAnsi="Tahoma"/>
                <w:color w:val="000000" w:themeColor="text1"/>
                <w:sz w:val="16"/>
              </w:rPr>
              <w:t>InvestorRelations@prosus.com</w:t>
            </w:r>
          </w:p>
          <w:p w14:paraId="53386015" w14:textId="77777777" w:rsidR="00FE3C8C" w:rsidRPr="00615190" w:rsidRDefault="00FE3C8C" w:rsidP="00FE3C8C">
            <w:pPr>
              <w:spacing w:line="240" w:lineRule="atLeast"/>
              <w:rPr>
                <w:rFonts w:ascii="Tahoma" w:hAnsi="Tahoma"/>
                <w:color w:val="000000" w:themeColor="text1"/>
                <w:sz w:val="16"/>
              </w:rPr>
            </w:pPr>
            <w:r w:rsidRPr="00615190">
              <w:rPr>
                <w:rFonts w:ascii="Tahoma" w:hAnsi="Tahoma"/>
                <w:color w:val="000000" w:themeColor="text1"/>
                <w:sz w:val="16"/>
              </w:rPr>
              <w:t>Tel: +1 347-210-4305</w:t>
            </w:r>
          </w:p>
          <w:p w14:paraId="34CAEFBA" w14:textId="77777777" w:rsidR="00FE3C8C" w:rsidRDefault="00FE3C8C" w:rsidP="00615190">
            <w:pPr>
              <w:spacing w:line="240" w:lineRule="atLeast"/>
              <w:rPr>
                <w:rFonts w:ascii="Tahoma" w:hAnsi="Tahoma"/>
                <w:color w:val="000000" w:themeColor="text1"/>
                <w:sz w:val="16"/>
              </w:rPr>
            </w:pPr>
          </w:p>
        </w:tc>
      </w:tr>
    </w:tbl>
    <w:p w14:paraId="1C515C5E" w14:textId="77777777" w:rsidR="009279C5" w:rsidRDefault="009279C5" w:rsidP="00615190">
      <w:pPr>
        <w:spacing w:line="240" w:lineRule="atLeast"/>
        <w:rPr>
          <w:rFonts w:ascii="Tahoma" w:hAnsi="Tahoma"/>
          <w:color w:val="000000" w:themeColor="text1"/>
          <w:sz w:val="16"/>
        </w:rPr>
      </w:pPr>
    </w:p>
    <w:p w14:paraId="785154F1" w14:textId="77777777" w:rsidR="009279C5" w:rsidRDefault="009279C5" w:rsidP="00615190">
      <w:pPr>
        <w:spacing w:line="240" w:lineRule="atLeast"/>
        <w:rPr>
          <w:rFonts w:ascii="Tahoma" w:hAnsi="Tahoma"/>
          <w:color w:val="000000" w:themeColor="text1"/>
          <w:sz w:val="16"/>
        </w:rPr>
      </w:pPr>
    </w:p>
    <w:p w14:paraId="633496BD" w14:textId="77777777" w:rsidR="009279C5" w:rsidRPr="00615190" w:rsidRDefault="009279C5" w:rsidP="00615190">
      <w:pPr>
        <w:spacing w:line="240" w:lineRule="atLeast"/>
        <w:rPr>
          <w:rFonts w:ascii="Tahoma" w:hAnsi="Tahoma"/>
          <w:color w:val="000000" w:themeColor="text1"/>
          <w:sz w:val="16"/>
        </w:rPr>
      </w:pPr>
    </w:p>
    <w:p w14:paraId="7387ADCB" w14:textId="77777777" w:rsidR="00CA3F6E" w:rsidRPr="00615190" w:rsidRDefault="00CA3F6E" w:rsidP="00615190">
      <w:pPr>
        <w:spacing w:line="240" w:lineRule="atLeast"/>
        <w:rPr>
          <w:rFonts w:ascii="Tahoma" w:hAnsi="Tahoma"/>
          <w:color w:val="000000" w:themeColor="text1"/>
          <w:sz w:val="16"/>
        </w:rPr>
      </w:pPr>
    </w:p>
    <w:p w14:paraId="37233C7B" w14:textId="77777777" w:rsidR="00CA3F6E" w:rsidRPr="00615190" w:rsidRDefault="00CA3F6E" w:rsidP="00615190">
      <w:pPr>
        <w:spacing w:line="240" w:lineRule="atLeast"/>
        <w:rPr>
          <w:rFonts w:ascii="Tahoma" w:hAnsi="Tahoma"/>
          <w:color w:val="000000" w:themeColor="text1"/>
          <w:sz w:val="16"/>
        </w:rPr>
      </w:pPr>
    </w:p>
    <w:p w14:paraId="5DD41EB6" w14:textId="77777777" w:rsidR="00CA3F6E" w:rsidRPr="00615190" w:rsidRDefault="00CA3F6E" w:rsidP="00615190">
      <w:pPr>
        <w:spacing w:line="240" w:lineRule="atLeast"/>
        <w:rPr>
          <w:rFonts w:ascii="Tahoma" w:hAnsi="Tahoma"/>
          <w:color w:val="000000" w:themeColor="text1"/>
          <w:sz w:val="16"/>
        </w:rPr>
      </w:pPr>
    </w:p>
    <w:p w14:paraId="2DAB18C4" w14:textId="77777777" w:rsidR="00CA3F6E" w:rsidRPr="00615190" w:rsidRDefault="00CA3F6E" w:rsidP="00615190">
      <w:pPr>
        <w:spacing w:line="240" w:lineRule="atLeast"/>
        <w:rPr>
          <w:rFonts w:ascii="Tahoma" w:hAnsi="Tahoma"/>
          <w:color w:val="000000" w:themeColor="text1"/>
          <w:sz w:val="16"/>
        </w:rPr>
      </w:pPr>
    </w:p>
    <w:p w14:paraId="17E1D938" w14:textId="77777777" w:rsidR="00CA3F6E" w:rsidRPr="00615190" w:rsidRDefault="00CA3F6E" w:rsidP="00615190">
      <w:pPr>
        <w:spacing w:line="240" w:lineRule="atLeast"/>
        <w:rPr>
          <w:rFonts w:ascii="Tahoma" w:hAnsi="Tahoma"/>
          <w:color w:val="000000" w:themeColor="text1"/>
          <w:sz w:val="16"/>
        </w:rPr>
      </w:pPr>
    </w:p>
    <w:p w14:paraId="4E56EDCB" w14:textId="77777777" w:rsidR="003B2F76" w:rsidRDefault="003B2F76">
      <w:pPr>
        <w:rPr>
          <w:rFonts w:ascii="Tahoma" w:hAnsi="Tahoma"/>
          <w:b/>
          <w:bCs/>
          <w:color w:val="000000" w:themeColor="text1"/>
          <w:sz w:val="16"/>
        </w:rPr>
      </w:pPr>
      <w:r>
        <w:rPr>
          <w:rFonts w:ascii="Tahoma" w:hAnsi="Tahoma"/>
          <w:b/>
          <w:bCs/>
          <w:color w:val="000000" w:themeColor="text1"/>
          <w:sz w:val="16"/>
        </w:rPr>
        <w:br w:type="page"/>
      </w:r>
    </w:p>
    <w:p w14:paraId="77ED6447" w14:textId="7D055CBB" w:rsidR="00CA3F6E" w:rsidRPr="002124F0" w:rsidRDefault="002571CB" w:rsidP="00615190">
      <w:pPr>
        <w:spacing w:line="240" w:lineRule="atLeast"/>
        <w:rPr>
          <w:rFonts w:ascii="Tahoma" w:hAnsi="Tahoma"/>
          <w:b/>
          <w:bCs/>
          <w:color w:val="000000" w:themeColor="text1"/>
          <w:sz w:val="16"/>
        </w:rPr>
      </w:pPr>
      <w:r>
        <w:rPr>
          <w:rFonts w:ascii="Tahoma" w:hAnsi="Tahoma"/>
          <w:b/>
          <w:bCs/>
          <w:color w:val="000000" w:themeColor="text1"/>
          <w:sz w:val="16"/>
        </w:rPr>
        <w:lastRenderedPageBreak/>
        <w:t>Important information</w:t>
      </w:r>
    </w:p>
    <w:p w14:paraId="692CE855" w14:textId="77777777" w:rsidR="00CA3F6E" w:rsidRPr="008679AC" w:rsidRDefault="00CA3F6E" w:rsidP="00615190">
      <w:pPr>
        <w:spacing w:line="240" w:lineRule="atLeast"/>
        <w:rPr>
          <w:rFonts w:ascii="Tahoma" w:hAnsi="Tahoma" w:cs="Times New Roman (Body CS)"/>
          <w:color w:val="000000" w:themeColor="text1"/>
          <w:spacing w:val="-4"/>
          <w:sz w:val="16"/>
        </w:rPr>
      </w:pPr>
      <w:r w:rsidRPr="008679AC">
        <w:rPr>
          <w:rFonts w:ascii="Tahoma" w:hAnsi="Tahoma" w:cs="Times New Roman (Body CS)"/>
          <w:color w:val="000000" w:themeColor="text1"/>
          <w:spacing w:val="-4"/>
          <w:sz w:val="16"/>
        </w:rPr>
        <w:t>This report contains forward-looking statements as defined in the United States Private Securities Litigation Reform Act of 1995. Words such as ‘believe’, ‘anticipate’, ‘intend’, ‘seek’, ‘will’, ‘plan’, ‘could’, ‘may’, ‘endeavour’ and similar expressions are intended to identify such forward-looking statements, but are not the exclusive means of identifying such statements. By their nature, forward-looking statements involve risk and uncertainty because they relate to future events and circumstances and should be considered in light of various important factors. While these forward-looking statements represent our judgements and future expectations, a number of risks, uncertainties and other important factors could cause actual developments and results to differ materially from our expectations. The key factors that could cause our actual results performance, or achievements to differ materially from those in the forward-looking statements include, among others, changes to IFRS and the interpretations, applications and practices subject thereto as they apply to past, present and future periods; ongoing and future acquisitions; changes to domestic and international business and market conditions such as exchange rate and interest rate movements; changes in the domestic and international regulatory and legislative environments; changes to domestic and international operational, social, economic and political conditions; the occurrence of labour disruptions and industrial action; and the effects of both current and future litigation. We are not under any obligation to (and expressly disclaim any such obligation to) revise or update any forward-looking statements contained in this report, whether as a result of new information, future events or otherwise. We cannot give any assurance that forward-looking statements will prove to be correct and investors are cautioned not to place undue reliance on any forward-looking statements contained herein.</w:t>
      </w:r>
    </w:p>
    <w:p w14:paraId="7AD9FE7C" w14:textId="77777777" w:rsidR="00CA3F6E" w:rsidRPr="00615190" w:rsidRDefault="00CA3F6E" w:rsidP="00615190">
      <w:pPr>
        <w:spacing w:line="240" w:lineRule="atLeast"/>
        <w:rPr>
          <w:rFonts w:ascii="Tahoma" w:hAnsi="Tahoma"/>
          <w:color w:val="000000" w:themeColor="text1"/>
          <w:sz w:val="16"/>
        </w:rPr>
      </w:pPr>
    </w:p>
    <w:sectPr w:rsidR="00CA3F6E" w:rsidRPr="00615190" w:rsidSect="00D54BEE">
      <w:pgSz w:w="11901" w:h="16840"/>
      <w:pgMar w:top="851" w:right="851" w:bottom="851"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inion Pro">
    <w:altName w:val="Cambria"/>
    <w:panose1 w:val="020B0604020202020204"/>
    <w:charset w:val="00"/>
    <w:family w:val="roman"/>
    <w:pitch w:val="variable"/>
    <w:sig w:usb0="60000287" w:usb1="00000001" w:usb2="00000000" w:usb3="00000000" w:csb0="0000019F" w:csb1="00000000"/>
  </w:font>
  <w:font w:name="NeuzeitGroLig">
    <w:panose1 w:val="00000400000000000000"/>
    <w:charset w:val="4D"/>
    <w:family w:val="auto"/>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New Roman (Body CS)">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A2972"/>
    <w:multiLevelType w:val="hybridMultilevel"/>
    <w:tmpl w:val="B7A830BE"/>
    <w:lvl w:ilvl="0" w:tplc="4A44A94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FC0F68"/>
    <w:multiLevelType w:val="hybridMultilevel"/>
    <w:tmpl w:val="91D65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B7650E"/>
    <w:multiLevelType w:val="hybridMultilevel"/>
    <w:tmpl w:val="172E8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4478307">
    <w:abstractNumId w:val="0"/>
  </w:num>
  <w:num w:numId="2" w16cid:durableId="698435399">
    <w:abstractNumId w:val="1"/>
  </w:num>
  <w:num w:numId="3" w16cid:durableId="1935278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7D4"/>
    <w:rsid w:val="00001397"/>
    <w:rsid w:val="00002031"/>
    <w:rsid w:val="00007026"/>
    <w:rsid w:val="00010189"/>
    <w:rsid w:val="00011A5E"/>
    <w:rsid w:val="00012F7B"/>
    <w:rsid w:val="00013A65"/>
    <w:rsid w:val="00014AEC"/>
    <w:rsid w:val="00022E94"/>
    <w:rsid w:val="00023DB6"/>
    <w:rsid w:val="00025811"/>
    <w:rsid w:val="00025E7F"/>
    <w:rsid w:val="00027569"/>
    <w:rsid w:val="000307D7"/>
    <w:rsid w:val="00030AFD"/>
    <w:rsid w:val="000317D4"/>
    <w:rsid w:val="00031D0F"/>
    <w:rsid w:val="000403BD"/>
    <w:rsid w:val="00042639"/>
    <w:rsid w:val="000440EF"/>
    <w:rsid w:val="0004453B"/>
    <w:rsid w:val="00046631"/>
    <w:rsid w:val="00046A2B"/>
    <w:rsid w:val="000535F1"/>
    <w:rsid w:val="000554B9"/>
    <w:rsid w:val="00060720"/>
    <w:rsid w:val="00062647"/>
    <w:rsid w:val="00062F0A"/>
    <w:rsid w:val="00065319"/>
    <w:rsid w:val="0006573B"/>
    <w:rsid w:val="00070628"/>
    <w:rsid w:val="00074DD5"/>
    <w:rsid w:val="000774AD"/>
    <w:rsid w:val="00080694"/>
    <w:rsid w:val="00083FDC"/>
    <w:rsid w:val="000906A7"/>
    <w:rsid w:val="00090813"/>
    <w:rsid w:val="0009341A"/>
    <w:rsid w:val="000950D5"/>
    <w:rsid w:val="000A13A7"/>
    <w:rsid w:val="000A2BE8"/>
    <w:rsid w:val="000A4856"/>
    <w:rsid w:val="000A4902"/>
    <w:rsid w:val="000A4BB2"/>
    <w:rsid w:val="000A4FD8"/>
    <w:rsid w:val="000A60DE"/>
    <w:rsid w:val="000A72B1"/>
    <w:rsid w:val="000B0E9A"/>
    <w:rsid w:val="000B2079"/>
    <w:rsid w:val="000C0AEE"/>
    <w:rsid w:val="000C7879"/>
    <w:rsid w:val="000D1CA5"/>
    <w:rsid w:val="000D22D2"/>
    <w:rsid w:val="000D4D00"/>
    <w:rsid w:val="000D5B9E"/>
    <w:rsid w:val="000E23E6"/>
    <w:rsid w:val="000E64BB"/>
    <w:rsid w:val="000F2214"/>
    <w:rsid w:val="00100D94"/>
    <w:rsid w:val="00102508"/>
    <w:rsid w:val="0010258D"/>
    <w:rsid w:val="00103C3E"/>
    <w:rsid w:val="00112C80"/>
    <w:rsid w:val="00114302"/>
    <w:rsid w:val="00115399"/>
    <w:rsid w:val="00117D6D"/>
    <w:rsid w:val="001200B7"/>
    <w:rsid w:val="00120230"/>
    <w:rsid w:val="00122801"/>
    <w:rsid w:val="001237B8"/>
    <w:rsid w:val="00124978"/>
    <w:rsid w:val="00125B65"/>
    <w:rsid w:val="00126683"/>
    <w:rsid w:val="001302BF"/>
    <w:rsid w:val="001307BB"/>
    <w:rsid w:val="00130C49"/>
    <w:rsid w:val="00131BB3"/>
    <w:rsid w:val="0013225C"/>
    <w:rsid w:val="00133CD2"/>
    <w:rsid w:val="00134171"/>
    <w:rsid w:val="0013798F"/>
    <w:rsid w:val="0014001B"/>
    <w:rsid w:val="0014063A"/>
    <w:rsid w:val="00142A25"/>
    <w:rsid w:val="00144571"/>
    <w:rsid w:val="001467B5"/>
    <w:rsid w:val="00147083"/>
    <w:rsid w:val="00154C7C"/>
    <w:rsid w:val="00154D93"/>
    <w:rsid w:val="0015559D"/>
    <w:rsid w:val="00155D50"/>
    <w:rsid w:val="001563CA"/>
    <w:rsid w:val="00156C1D"/>
    <w:rsid w:val="00162B1D"/>
    <w:rsid w:val="00164EA5"/>
    <w:rsid w:val="001730A8"/>
    <w:rsid w:val="00176D31"/>
    <w:rsid w:val="0018093D"/>
    <w:rsid w:val="00181D51"/>
    <w:rsid w:val="00182978"/>
    <w:rsid w:val="0018481C"/>
    <w:rsid w:val="0018651B"/>
    <w:rsid w:val="00187F74"/>
    <w:rsid w:val="001950DE"/>
    <w:rsid w:val="001A22BB"/>
    <w:rsid w:val="001A2A4E"/>
    <w:rsid w:val="001A3E00"/>
    <w:rsid w:val="001A4382"/>
    <w:rsid w:val="001A46E0"/>
    <w:rsid w:val="001A46E8"/>
    <w:rsid w:val="001A6AE5"/>
    <w:rsid w:val="001B3C95"/>
    <w:rsid w:val="001B464E"/>
    <w:rsid w:val="001B4ACA"/>
    <w:rsid w:val="001B4E8B"/>
    <w:rsid w:val="001B6BC2"/>
    <w:rsid w:val="001C365A"/>
    <w:rsid w:val="001D0C97"/>
    <w:rsid w:val="001D14BF"/>
    <w:rsid w:val="001D3437"/>
    <w:rsid w:val="001D43F5"/>
    <w:rsid w:val="001D461A"/>
    <w:rsid w:val="001D4F5C"/>
    <w:rsid w:val="001D5FF4"/>
    <w:rsid w:val="001E0397"/>
    <w:rsid w:val="001E1B8D"/>
    <w:rsid w:val="001E2952"/>
    <w:rsid w:val="001E3D50"/>
    <w:rsid w:val="001F0F54"/>
    <w:rsid w:val="001F10B9"/>
    <w:rsid w:val="001F14EF"/>
    <w:rsid w:val="001F17C8"/>
    <w:rsid w:val="001F2F92"/>
    <w:rsid w:val="001F300C"/>
    <w:rsid w:val="00200D91"/>
    <w:rsid w:val="00200D95"/>
    <w:rsid w:val="00200E0F"/>
    <w:rsid w:val="0020228D"/>
    <w:rsid w:val="00202BC5"/>
    <w:rsid w:val="00202E23"/>
    <w:rsid w:val="002048AF"/>
    <w:rsid w:val="00212010"/>
    <w:rsid w:val="002124F0"/>
    <w:rsid w:val="002132EF"/>
    <w:rsid w:val="00216F86"/>
    <w:rsid w:val="0022001C"/>
    <w:rsid w:val="002225A9"/>
    <w:rsid w:val="00222D05"/>
    <w:rsid w:val="002315C1"/>
    <w:rsid w:val="00233307"/>
    <w:rsid w:val="00233DEC"/>
    <w:rsid w:val="00237E79"/>
    <w:rsid w:val="002442AD"/>
    <w:rsid w:val="002454B4"/>
    <w:rsid w:val="00247C82"/>
    <w:rsid w:val="0025027B"/>
    <w:rsid w:val="002538EA"/>
    <w:rsid w:val="00256288"/>
    <w:rsid w:val="002571CB"/>
    <w:rsid w:val="002605C7"/>
    <w:rsid w:val="002629D6"/>
    <w:rsid w:val="00264936"/>
    <w:rsid w:val="00265726"/>
    <w:rsid w:val="00271B20"/>
    <w:rsid w:val="00275164"/>
    <w:rsid w:val="00275CEF"/>
    <w:rsid w:val="00276472"/>
    <w:rsid w:val="00276C58"/>
    <w:rsid w:val="002773B9"/>
    <w:rsid w:val="002779FF"/>
    <w:rsid w:val="00280293"/>
    <w:rsid w:val="00280856"/>
    <w:rsid w:val="00281003"/>
    <w:rsid w:val="002862F7"/>
    <w:rsid w:val="00287486"/>
    <w:rsid w:val="002923D8"/>
    <w:rsid w:val="002935AE"/>
    <w:rsid w:val="00293BB6"/>
    <w:rsid w:val="00293FE6"/>
    <w:rsid w:val="002957A8"/>
    <w:rsid w:val="00297938"/>
    <w:rsid w:val="00297C5C"/>
    <w:rsid w:val="002A007B"/>
    <w:rsid w:val="002A09BD"/>
    <w:rsid w:val="002A194D"/>
    <w:rsid w:val="002A41CB"/>
    <w:rsid w:val="002B21D5"/>
    <w:rsid w:val="002B3BB2"/>
    <w:rsid w:val="002B48A0"/>
    <w:rsid w:val="002B6B96"/>
    <w:rsid w:val="002B6FF2"/>
    <w:rsid w:val="002B79F3"/>
    <w:rsid w:val="002B7CCE"/>
    <w:rsid w:val="002C15D3"/>
    <w:rsid w:val="002C26E0"/>
    <w:rsid w:val="002C2B60"/>
    <w:rsid w:val="002C2E3C"/>
    <w:rsid w:val="002C53B3"/>
    <w:rsid w:val="002C6F78"/>
    <w:rsid w:val="002C71AA"/>
    <w:rsid w:val="002C7323"/>
    <w:rsid w:val="002C7A20"/>
    <w:rsid w:val="002D21D8"/>
    <w:rsid w:val="002D5AFB"/>
    <w:rsid w:val="002E0AAD"/>
    <w:rsid w:val="002E20F4"/>
    <w:rsid w:val="002E319C"/>
    <w:rsid w:val="002E5137"/>
    <w:rsid w:val="002E610C"/>
    <w:rsid w:val="002E6B6D"/>
    <w:rsid w:val="002E6CC3"/>
    <w:rsid w:val="002E77A3"/>
    <w:rsid w:val="002F078E"/>
    <w:rsid w:val="002F1BA4"/>
    <w:rsid w:val="002F6DD3"/>
    <w:rsid w:val="00300078"/>
    <w:rsid w:val="00300C25"/>
    <w:rsid w:val="00300D79"/>
    <w:rsid w:val="003023F9"/>
    <w:rsid w:val="00302F1B"/>
    <w:rsid w:val="003030AC"/>
    <w:rsid w:val="00304B3E"/>
    <w:rsid w:val="003067F6"/>
    <w:rsid w:val="003074D2"/>
    <w:rsid w:val="003140F8"/>
    <w:rsid w:val="003147E3"/>
    <w:rsid w:val="00320753"/>
    <w:rsid w:val="00321DD9"/>
    <w:rsid w:val="0032666F"/>
    <w:rsid w:val="003332AD"/>
    <w:rsid w:val="00336845"/>
    <w:rsid w:val="003377FD"/>
    <w:rsid w:val="003400A6"/>
    <w:rsid w:val="0034239F"/>
    <w:rsid w:val="003429E3"/>
    <w:rsid w:val="00343935"/>
    <w:rsid w:val="00343E80"/>
    <w:rsid w:val="00345E46"/>
    <w:rsid w:val="00347912"/>
    <w:rsid w:val="00353E69"/>
    <w:rsid w:val="00356089"/>
    <w:rsid w:val="00357E6C"/>
    <w:rsid w:val="00361574"/>
    <w:rsid w:val="003723BD"/>
    <w:rsid w:val="0038251B"/>
    <w:rsid w:val="00384459"/>
    <w:rsid w:val="0038468E"/>
    <w:rsid w:val="00385495"/>
    <w:rsid w:val="00387398"/>
    <w:rsid w:val="0039188C"/>
    <w:rsid w:val="00391CA7"/>
    <w:rsid w:val="00392E56"/>
    <w:rsid w:val="00393210"/>
    <w:rsid w:val="00394980"/>
    <w:rsid w:val="003A0FDA"/>
    <w:rsid w:val="003A2F36"/>
    <w:rsid w:val="003A4304"/>
    <w:rsid w:val="003A5152"/>
    <w:rsid w:val="003B2F76"/>
    <w:rsid w:val="003B44A2"/>
    <w:rsid w:val="003C1618"/>
    <w:rsid w:val="003C223F"/>
    <w:rsid w:val="003C3ADE"/>
    <w:rsid w:val="003C45AC"/>
    <w:rsid w:val="003C5EE0"/>
    <w:rsid w:val="003D0069"/>
    <w:rsid w:val="003D1051"/>
    <w:rsid w:val="003D2409"/>
    <w:rsid w:val="003D2E67"/>
    <w:rsid w:val="003D4174"/>
    <w:rsid w:val="003D52EF"/>
    <w:rsid w:val="003D5E26"/>
    <w:rsid w:val="003E0860"/>
    <w:rsid w:val="003E1D85"/>
    <w:rsid w:val="003E2611"/>
    <w:rsid w:val="003E42DC"/>
    <w:rsid w:val="003F20A0"/>
    <w:rsid w:val="003F594C"/>
    <w:rsid w:val="003F6CC4"/>
    <w:rsid w:val="003F6F7C"/>
    <w:rsid w:val="003F6FAC"/>
    <w:rsid w:val="003F70CC"/>
    <w:rsid w:val="003F7F62"/>
    <w:rsid w:val="0040324C"/>
    <w:rsid w:val="00405E70"/>
    <w:rsid w:val="00406449"/>
    <w:rsid w:val="0041420C"/>
    <w:rsid w:val="00414621"/>
    <w:rsid w:val="004204B7"/>
    <w:rsid w:val="00420C89"/>
    <w:rsid w:val="00420F96"/>
    <w:rsid w:val="00422011"/>
    <w:rsid w:val="004271FC"/>
    <w:rsid w:val="00431AA9"/>
    <w:rsid w:val="00432B97"/>
    <w:rsid w:val="00432C4F"/>
    <w:rsid w:val="00436295"/>
    <w:rsid w:val="004363A5"/>
    <w:rsid w:val="00436EFB"/>
    <w:rsid w:val="004371F7"/>
    <w:rsid w:val="004437A5"/>
    <w:rsid w:val="00443911"/>
    <w:rsid w:val="004528DA"/>
    <w:rsid w:val="004644ED"/>
    <w:rsid w:val="00465C08"/>
    <w:rsid w:val="00466F39"/>
    <w:rsid w:val="004678C6"/>
    <w:rsid w:val="0047005B"/>
    <w:rsid w:val="00470DFF"/>
    <w:rsid w:val="00471433"/>
    <w:rsid w:val="00472E5D"/>
    <w:rsid w:val="0047312F"/>
    <w:rsid w:val="00480C8B"/>
    <w:rsid w:val="00481C3D"/>
    <w:rsid w:val="00482AC7"/>
    <w:rsid w:val="0048316F"/>
    <w:rsid w:val="00483963"/>
    <w:rsid w:val="00484B0F"/>
    <w:rsid w:val="00487CE4"/>
    <w:rsid w:val="0049019F"/>
    <w:rsid w:val="00490880"/>
    <w:rsid w:val="00490D62"/>
    <w:rsid w:val="00491566"/>
    <w:rsid w:val="00491E51"/>
    <w:rsid w:val="0049295D"/>
    <w:rsid w:val="004934F8"/>
    <w:rsid w:val="00495E4C"/>
    <w:rsid w:val="00496163"/>
    <w:rsid w:val="004A030E"/>
    <w:rsid w:val="004A05E9"/>
    <w:rsid w:val="004A3BAF"/>
    <w:rsid w:val="004A4151"/>
    <w:rsid w:val="004A4A90"/>
    <w:rsid w:val="004A5EFA"/>
    <w:rsid w:val="004B18E8"/>
    <w:rsid w:val="004B2889"/>
    <w:rsid w:val="004B5808"/>
    <w:rsid w:val="004C6F14"/>
    <w:rsid w:val="004D12B7"/>
    <w:rsid w:val="004D2D1F"/>
    <w:rsid w:val="004E0075"/>
    <w:rsid w:val="004E61D0"/>
    <w:rsid w:val="004F3B62"/>
    <w:rsid w:val="004F4406"/>
    <w:rsid w:val="004F557B"/>
    <w:rsid w:val="004F7E32"/>
    <w:rsid w:val="005001CB"/>
    <w:rsid w:val="00500DDE"/>
    <w:rsid w:val="00501182"/>
    <w:rsid w:val="005014EE"/>
    <w:rsid w:val="00502325"/>
    <w:rsid w:val="005059C5"/>
    <w:rsid w:val="00505D53"/>
    <w:rsid w:val="00513009"/>
    <w:rsid w:val="005145D1"/>
    <w:rsid w:val="005175DF"/>
    <w:rsid w:val="00522057"/>
    <w:rsid w:val="0052778D"/>
    <w:rsid w:val="0053067F"/>
    <w:rsid w:val="00530BA5"/>
    <w:rsid w:val="00534C18"/>
    <w:rsid w:val="005356D2"/>
    <w:rsid w:val="00535AC6"/>
    <w:rsid w:val="005372C1"/>
    <w:rsid w:val="00541790"/>
    <w:rsid w:val="00545308"/>
    <w:rsid w:val="00546086"/>
    <w:rsid w:val="00546A14"/>
    <w:rsid w:val="00546FCB"/>
    <w:rsid w:val="00550AF0"/>
    <w:rsid w:val="00550BF3"/>
    <w:rsid w:val="00553311"/>
    <w:rsid w:val="005561C8"/>
    <w:rsid w:val="00556449"/>
    <w:rsid w:val="005572D1"/>
    <w:rsid w:val="005575C4"/>
    <w:rsid w:val="0056184E"/>
    <w:rsid w:val="0056228C"/>
    <w:rsid w:val="0056233B"/>
    <w:rsid w:val="00581D85"/>
    <w:rsid w:val="0058677E"/>
    <w:rsid w:val="00587468"/>
    <w:rsid w:val="0059083C"/>
    <w:rsid w:val="00591E16"/>
    <w:rsid w:val="00593031"/>
    <w:rsid w:val="0059624D"/>
    <w:rsid w:val="005A0B0F"/>
    <w:rsid w:val="005A1569"/>
    <w:rsid w:val="005A2A25"/>
    <w:rsid w:val="005B09F1"/>
    <w:rsid w:val="005B27B6"/>
    <w:rsid w:val="005B79EA"/>
    <w:rsid w:val="005C4325"/>
    <w:rsid w:val="005C7F00"/>
    <w:rsid w:val="005D0953"/>
    <w:rsid w:val="005D0D64"/>
    <w:rsid w:val="005D2741"/>
    <w:rsid w:val="005D3A30"/>
    <w:rsid w:val="005D4D6E"/>
    <w:rsid w:val="005E1A82"/>
    <w:rsid w:val="005E21A5"/>
    <w:rsid w:val="005E22EF"/>
    <w:rsid w:val="005E4D2D"/>
    <w:rsid w:val="005E53BC"/>
    <w:rsid w:val="005E7CA1"/>
    <w:rsid w:val="005F1B9F"/>
    <w:rsid w:val="005F295B"/>
    <w:rsid w:val="005F30DB"/>
    <w:rsid w:val="005F48D7"/>
    <w:rsid w:val="00603C8F"/>
    <w:rsid w:val="00605924"/>
    <w:rsid w:val="00610C1E"/>
    <w:rsid w:val="00611470"/>
    <w:rsid w:val="00612839"/>
    <w:rsid w:val="00612A1E"/>
    <w:rsid w:val="0061431E"/>
    <w:rsid w:val="00614F62"/>
    <w:rsid w:val="00615190"/>
    <w:rsid w:val="00615F61"/>
    <w:rsid w:val="006173D5"/>
    <w:rsid w:val="00623A97"/>
    <w:rsid w:val="0062475A"/>
    <w:rsid w:val="00633D8A"/>
    <w:rsid w:val="006356A9"/>
    <w:rsid w:val="00635FE6"/>
    <w:rsid w:val="0064111E"/>
    <w:rsid w:val="00641A95"/>
    <w:rsid w:val="006440AE"/>
    <w:rsid w:val="0064589D"/>
    <w:rsid w:val="006500E6"/>
    <w:rsid w:val="00652238"/>
    <w:rsid w:val="006567F2"/>
    <w:rsid w:val="00671934"/>
    <w:rsid w:val="0067338B"/>
    <w:rsid w:val="0067367B"/>
    <w:rsid w:val="00675752"/>
    <w:rsid w:val="00677C40"/>
    <w:rsid w:val="0068173D"/>
    <w:rsid w:val="00683FA3"/>
    <w:rsid w:val="00687BFF"/>
    <w:rsid w:val="00690551"/>
    <w:rsid w:val="00692B1F"/>
    <w:rsid w:val="0069560D"/>
    <w:rsid w:val="00696470"/>
    <w:rsid w:val="006965E5"/>
    <w:rsid w:val="00697525"/>
    <w:rsid w:val="006977DE"/>
    <w:rsid w:val="006A1641"/>
    <w:rsid w:val="006A4793"/>
    <w:rsid w:val="006A5D0C"/>
    <w:rsid w:val="006B0E52"/>
    <w:rsid w:val="006B15CF"/>
    <w:rsid w:val="006B28AE"/>
    <w:rsid w:val="006B2C92"/>
    <w:rsid w:val="006B36AE"/>
    <w:rsid w:val="006B389E"/>
    <w:rsid w:val="006B4203"/>
    <w:rsid w:val="006B45D6"/>
    <w:rsid w:val="006C0889"/>
    <w:rsid w:val="006C3435"/>
    <w:rsid w:val="006C36CD"/>
    <w:rsid w:val="006C5982"/>
    <w:rsid w:val="006C7411"/>
    <w:rsid w:val="006C78F0"/>
    <w:rsid w:val="006D2F11"/>
    <w:rsid w:val="006D3F08"/>
    <w:rsid w:val="006D42E1"/>
    <w:rsid w:val="006D6A96"/>
    <w:rsid w:val="006D6B12"/>
    <w:rsid w:val="006D7D1D"/>
    <w:rsid w:val="006E0888"/>
    <w:rsid w:val="006E38DB"/>
    <w:rsid w:val="006E4017"/>
    <w:rsid w:val="006E4C30"/>
    <w:rsid w:val="006F15EC"/>
    <w:rsid w:val="006F2168"/>
    <w:rsid w:val="006F2CA3"/>
    <w:rsid w:val="006F6C01"/>
    <w:rsid w:val="00700298"/>
    <w:rsid w:val="0070518B"/>
    <w:rsid w:val="00705BF6"/>
    <w:rsid w:val="00710A16"/>
    <w:rsid w:val="00713496"/>
    <w:rsid w:val="00715988"/>
    <w:rsid w:val="00717FDD"/>
    <w:rsid w:val="0072175C"/>
    <w:rsid w:val="00724326"/>
    <w:rsid w:val="007251F6"/>
    <w:rsid w:val="00735F5E"/>
    <w:rsid w:val="00740DEC"/>
    <w:rsid w:val="0074120A"/>
    <w:rsid w:val="00742520"/>
    <w:rsid w:val="0074264D"/>
    <w:rsid w:val="00743676"/>
    <w:rsid w:val="00746408"/>
    <w:rsid w:val="007465D8"/>
    <w:rsid w:val="007470E1"/>
    <w:rsid w:val="00750149"/>
    <w:rsid w:val="007502A4"/>
    <w:rsid w:val="007538B5"/>
    <w:rsid w:val="00756C57"/>
    <w:rsid w:val="007573CE"/>
    <w:rsid w:val="00760455"/>
    <w:rsid w:val="0076061F"/>
    <w:rsid w:val="00764102"/>
    <w:rsid w:val="00764E3C"/>
    <w:rsid w:val="00766F32"/>
    <w:rsid w:val="007730EE"/>
    <w:rsid w:val="007747B2"/>
    <w:rsid w:val="007817BD"/>
    <w:rsid w:val="007848D4"/>
    <w:rsid w:val="0078621A"/>
    <w:rsid w:val="00786360"/>
    <w:rsid w:val="00786981"/>
    <w:rsid w:val="0079346A"/>
    <w:rsid w:val="0079598B"/>
    <w:rsid w:val="007A164E"/>
    <w:rsid w:val="007A195E"/>
    <w:rsid w:val="007A2225"/>
    <w:rsid w:val="007A5827"/>
    <w:rsid w:val="007A6F12"/>
    <w:rsid w:val="007B09C3"/>
    <w:rsid w:val="007B0B2A"/>
    <w:rsid w:val="007B2337"/>
    <w:rsid w:val="007B67D9"/>
    <w:rsid w:val="007C1CBB"/>
    <w:rsid w:val="007C2FCE"/>
    <w:rsid w:val="007C3435"/>
    <w:rsid w:val="007D190B"/>
    <w:rsid w:val="007D4F7A"/>
    <w:rsid w:val="007D602F"/>
    <w:rsid w:val="007D6733"/>
    <w:rsid w:val="007D75BB"/>
    <w:rsid w:val="007E0CB4"/>
    <w:rsid w:val="007E3B2E"/>
    <w:rsid w:val="007F1554"/>
    <w:rsid w:val="007F5F50"/>
    <w:rsid w:val="007F7F85"/>
    <w:rsid w:val="00802826"/>
    <w:rsid w:val="0080317E"/>
    <w:rsid w:val="00804283"/>
    <w:rsid w:val="00804913"/>
    <w:rsid w:val="00804C36"/>
    <w:rsid w:val="00807325"/>
    <w:rsid w:val="008122A3"/>
    <w:rsid w:val="00812EDD"/>
    <w:rsid w:val="008130B9"/>
    <w:rsid w:val="00815414"/>
    <w:rsid w:val="00816522"/>
    <w:rsid w:val="008166FA"/>
    <w:rsid w:val="00816CCA"/>
    <w:rsid w:val="008232F8"/>
    <w:rsid w:val="008258F3"/>
    <w:rsid w:val="00831432"/>
    <w:rsid w:val="0083393F"/>
    <w:rsid w:val="008344B2"/>
    <w:rsid w:val="00835E6F"/>
    <w:rsid w:val="00836C36"/>
    <w:rsid w:val="00837E2F"/>
    <w:rsid w:val="00846454"/>
    <w:rsid w:val="00846A23"/>
    <w:rsid w:val="00851D60"/>
    <w:rsid w:val="008528A5"/>
    <w:rsid w:val="008562E6"/>
    <w:rsid w:val="0086266B"/>
    <w:rsid w:val="00864451"/>
    <w:rsid w:val="0086507E"/>
    <w:rsid w:val="00865268"/>
    <w:rsid w:val="008679AC"/>
    <w:rsid w:val="00870E3D"/>
    <w:rsid w:val="00871A3D"/>
    <w:rsid w:val="00875A31"/>
    <w:rsid w:val="00875F95"/>
    <w:rsid w:val="008809D2"/>
    <w:rsid w:val="00884807"/>
    <w:rsid w:val="00885EB2"/>
    <w:rsid w:val="00885EF8"/>
    <w:rsid w:val="00892AC6"/>
    <w:rsid w:val="0089346E"/>
    <w:rsid w:val="00893BDD"/>
    <w:rsid w:val="008A32E4"/>
    <w:rsid w:val="008A4F30"/>
    <w:rsid w:val="008A64E6"/>
    <w:rsid w:val="008A766F"/>
    <w:rsid w:val="008B05A0"/>
    <w:rsid w:val="008B5634"/>
    <w:rsid w:val="008B5CC8"/>
    <w:rsid w:val="008B6132"/>
    <w:rsid w:val="008C22A8"/>
    <w:rsid w:val="008C2CE3"/>
    <w:rsid w:val="008C55BB"/>
    <w:rsid w:val="008D0D9F"/>
    <w:rsid w:val="008D2B2D"/>
    <w:rsid w:val="008D2C2F"/>
    <w:rsid w:val="008D2E0F"/>
    <w:rsid w:val="008D5B08"/>
    <w:rsid w:val="008E0645"/>
    <w:rsid w:val="008E4FB2"/>
    <w:rsid w:val="008F06B1"/>
    <w:rsid w:val="008F0747"/>
    <w:rsid w:val="008F25E6"/>
    <w:rsid w:val="008F3F1A"/>
    <w:rsid w:val="00904E22"/>
    <w:rsid w:val="009071CC"/>
    <w:rsid w:val="009077FF"/>
    <w:rsid w:val="00915EFC"/>
    <w:rsid w:val="009206DC"/>
    <w:rsid w:val="0092233A"/>
    <w:rsid w:val="009229E0"/>
    <w:rsid w:val="00922C21"/>
    <w:rsid w:val="009251B6"/>
    <w:rsid w:val="00927027"/>
    <w:rsid w:val="009279C5"/>
    <w:rsid w:val="009330F2"/>
    <w:rsid w:val="009373E2"/>
    <w:rsid w:val="00937851"/>
    <w:rsid w:val="00940FE7"/>
    <w:rsid w:val="00941F93"/>
    <w:rsid w:val="009430EA"/>
    <w:rsid w:val="0094625A"/>
    <w:rsid w:val="0096305D"/>
    <w:rsid w:val="00963111"/>
    <w:rsid w:val="00965AF9"/>
    <w:rsid w:val="00966359"/>
    <w:rsid w:val="00970F9A"/>
    <w:rsid w:val="00971900"/>
    <w:rsid w:val="0097607E"/>
    <w:rsid w:val="00981345"/>
    <w:rsid w:val="00981EE7"/>
    <w:rsid w:val="00984A76"/>
    <w:rsid w:val="00984B98"/>
    <w:rsid w:val="00985986"/>
    <w:rsid w:val="00986036"/>
    <w:rsid w:val="0098732C"/>
    <w:rsid w:val="00993F4D"/>
    <w:rsid w:val="009940F7"/>
    <w:rsid w:val="0099451A"/>
    <w:rsid w:val="00995A00"/>
    <w:rsid w:val="009A22BA"/>
    <w:rsid w:val="009A2757"/>
    <w:rsid w:val="009A6BB9"/>
    <w:rsid w:val="009A75C3"/>
    <w:rsid w:val="009B33FF"/>
    <w:rsid w:val="009B50A3"/>
    <w:rsid w:val="009B58A7"/>
    <w:rsid w:val="009C1D25"/>
    <w:rsid w:val="009C574A"/>
    <w:rsid w:val="009C5DCC"/>
    <w:rsid w:val="009C622D"/>
    <w:rsid w:val="009D0121"/>
    <w:rsid w:val="009D05E9"/>
    <w:rsid w:val="009D0FC4"/>
    <w:rsid w:val="009D11A5"/>
    <w:rsid w:val="009D1770"/>
    <w:rsid w:val="009D2B5C"/>
    <w:rsid w:val="009D387D"/>
    <w:rsid w:val="009D4076"/>
    <w:rsid w:val="009D41C4"/>
    <w:rsid w:val="009D777D"/>
    <w:rsid w:val="009D7950"/>
    <w:rsid w:val="009E0A0F"/>
    <w:rsid w:val="009E16D0"/>
    <w:rsid w:val="009E1F6D"/>
    <w:rsid w:val="009E21E2"/>
    <w:rsid w:val="009E3CB0"/>
    <w:rsid w:val="009E6263"/>
    <w:rsid w:val="009E664A"/>
    <w:rsid w:val="009F4D03"/>
    <w:rsid w:val="00A00676"/>
    <w:rsid w:val="00A060CD"/>
    <w:rsid w:val="00A10425"/>
    <w:rsid w:val="00A125C5"/>
    <w:rsid w:val="00A138FA"/>
    <w:rsid w:val="00A15F4D"/>
    <w:rsid w:val="00A24E18"/>
    <w:rsid w:val="00A3017E"/>
    <w:rsid w:val="00A302FA"/>
    <w:rsid w:val="00A3081C"/>
    <w:rsid w:val="00A31C61"/>
    <w:rsid w:val="00A31D35"/>
    <w:rsid w:val="00A35A9B"/>
    <w:rsid w:val="00A360F6"/>
    <w:rsid w:val="00A47722"/>
    <w:rsid w:val="00A559F4"/>
    <w:rsid w:val="00A57C80"/>
    <w:rsid w:val="00A57D62"/>
    <w:rsid w:val="00A62E51"/>
    <w:rsid w:val="00A63A93"/>
    <w:rsid w:val="00A64BBE"/>
    <w:rsid w:val="00A738C4"/>
    <w:rsid w:val="00A759A2"/>
    <w:rsid w:val="00A776C0"/>
    <w:rsid w:val="00A8314A"/>
    <w:rsid w:val="00A8710A"/>
    <w:rsid w:val="00A90537"/>
    <w:rsid w:val="00A91325"/>
    <w:rsid w:val="00A91FDB"/>
    <w:rsid w:val="00AA0D9E"/>
    <w:rsid w:val="00AA0E4C"/>
    <w:rsid w:val="00AB1F2D"/>
    <w:rsid w:val="00AB29D7"/>
    <w:rsid w:val="00AB3D77"/>
    <w:rsid w:val="00AB4BE5"/>
    <w:rsid w:val="00AB56A8"/>
    <w:rsid w:val="00AC1048"/>
    <w:rsid w:val="00AC73C8"/>
    <w:rsid w:val="00AD05D8"/>
    <w:rsid w:val="00AE5250"/>
    <w:rsid w:val="00AF03E7"/>
    <w:rsid w:val="00AF2964"/>
    <w:rsid w:val="00AF3707"/>
    <w:rsid w:val="00AF3BEA"/>
    <w:rsid w:val="00AF641F"/>
    <w:rsid w:val="00B016C2"/>
    <w:rsid w:val="00B04452"/>
    <w:rsid w:val="00B06808"/>
    <w:rsid w:val="00B06FF9"/>
    <w:rsid w:val="00B1303F"/>
    <w:rsid w:val="00B13261"/>
    <w:rsid w:val="00B13315"/>
    <w:rsid w:val="00B16C9F"/>
    <w:rsid w:val="00B17D6A"/>
    <w:rsid w:val="00B20994"/>
    <w:rsid w:val="00B227FB"/>
    <w:rsid w:val="00B32D3F"/>
    <w:rsid w:val="00B3355F"/>
    <w:rsid w:val="00B40B56"/>
    <w:rsid w:val="00B5242A"/>
    <w:rsid w:val="00B53BDB"/>
    <w:rsid w:val="00B55BB2"/>
    <w:rsid w:val="00B57BC1"/>
    <w:rsid w:val="00B60AF8"/>
    <w:rsid w:val="00B646C2"/>
    <w:rsid w:val="00B663B8"/>
    <w:rsid w:val="00B66ED3"/>
    <w:rsid w:val="00B679E7"/>
    <w:rsid w:val="00B71177"/>
    <w:rsid w:val="00B73D54"/>
    <w:rsid w:val="00B74396"/>
    <w:rsid w:val="00B802D5"/>
    <w:rsid w:val="00B82395"/>
    <w:rsid w:val="00B84D12"/>
    <w:rsid w:val="00B86610"/>
    <w:rsid w:val="00B8749C"/>
    <w:rsid w:val="00B90834"/>
    <w:rsid w:val="00B933E1"/>
    <w:rsid w:val="00B94CD1"/>
    <w:rsid w:val="00B96896"/>
    <w:rsid w:val="00BA10F6"/>
    <w:rsid w:val="00BA30EC"/>
    <w:rsid w:val="00BA5D51"/>
    <w:rsid w:val="00BA6E22"/>
    <w:rsid w:val="00BA76F0"/>
    <w:rsid w:val="00BA7BA6"/>
    <w:rsid w:val="00BB63B9"/>
    <w:rsid w:val="00BC10B9"/>
    <w:rsid w:val="00BC1266"/>
    <w:rsid w:val="00BC3A30"/>
    <w:rsid w:val="00BC3C1F"/>
    <w:rsid w:val="00BC40BC"/>
    <w:rsid w:val="00BC67C3"/>
    <w:rsid w:val="00BD044C"/>
    <w:rsid w:val="00BD0E73"/>
    <w:rsid w:val="00BD26CF"/>
    <w:rsid w:val="00BD3BB3"/>
    <w:rsid w:val="00BD4402"/>
    <w:rsid w:val="00BD4BF0"/>
    <w:rsid w:val="00BD553A"/>
    <w:rsid w:val="00BD7141"/>
    <w:rsid w:val="00BE1762"/>
    <w:rsid w:val="00BF1495"/>
    <w:rsid w:val="00BF2369"/>
    <w:rsid w:val="00BF7B7D"/>
    <w:rsid w:val="00C0032E"/>
    <w:rsid w:val="00C00DCF"/>
    <w:rsid w:val="00C029CD"/>
    <w:rsid w:val="00C10442"/>
    <w:rsid w:val="00C16178"/>
    <w:rsid w:val="00C202AA"/>
    <w:rsid w:val="00C209E9"/>
    <w:rsid w:val="00C22CDE"/>
    <w:rsid w:val="00C24266"/>
    <w:rsid w:val="00C24936"/>
    <w:rsid w:val="00C24DA0"/>
    <w:rsid w:val="00C25BF9"/>
    <w:rsid w:val="00C273BC"/>
    <w:rsid w:val="00C30B2C"/>
    <w:rsid w:val="00C32588"/>
    <w:rsid w:val="00C4038B"/>
    <w:rsid w:val="00C405B0"/>
    <w:rsid w:val="00C41D2A"/>
    <w:rsid w:val="00C44DE6"/>
    <w:rsid w:val="00C5103D"/>
    <w:rsid w:val="00C53754"/>
    <w:rsid w:val="00C53A15"/>
    <w:rsid w:val="00C54521"/>
    <w:rsid w:val="00C558CA"/>
    <w:rsid w:val="00C61500"/>
    <w:rsid w:val="00C617D0"/>
    <w:rsid w:val="00C63B28"/>
    <w:rsid w:val="00C6683C"/>
    <w:rsid w:val="00C66EEB"/>
    <w:rsid w:val="00C721BB"/>
    <w:rsid w:val="00C72699"/>
    <w:rsid w:val="00C72DDE"/>
    <w:rsid w:val="00C73C4C"/>
    <w:rsid w:val="00C747C7"/>
    <w:rsid w:val="00C839F4"/>
    <w:rsid w:val="00C85486"/>
    <w:rsid w:val="00C85B20"/>
    <w:rsid w:val="00C85FF0"/>
    <w:rsid w:val="00C87A11"/>
    <w:rsid w:val="00C87B0D"/>
    <w:rsid w:val="00C920A4"/>
    <w:rsid w:val="00C92DCB"/>
    <w:rsid w:val="00C94521"/>
    <w:rsid w:val="00C94B60"/>
    <w:rsid w:val="00CA3F6E"/>
    <w:rsid w:val="00CA4314"/>
    <w:rsid w:val="00CB07E1"/>
    <w:rsid w:val="00CB1DE5"/>
    <w:rsid w:val="00CB1E83"/>
    <w:rsid w:val="00CB29C0"/>
    <w:rsid w:val="00CB6302"/>
    <w:rsid w:val="00CB7A29"/>
    <w:rsid w:val="00CB7BF6"/>
    <w:rsid w:val="00CC3185"/>
    <w:rsid w:val="00CC397C"/>
    <w:rsid w:val="00CC3CDA"/>
    <w:rsid w:val="00CC5C23"/>
    <w:rsid w:val="00CC650C"/>
    <w:rsid w:val="00CD42E5"/>
    <w:rsid w:val="00CD5F67"/>
    <w:rsid w:val="00CD63AD"/>
    <w:rsid w:val="00CD6D55"/>
    <w:rsid w:val="00CD7073"/>
    <w:rsid w:val="00CD7166"/>
    <w:rsid w:val="00CD7A84"/>
    <w:rsid w:val="00CE385A"/>
    <w:rsid w:val="00CE3DD9"/>
    <w:rsid w:val="00CE6139"/>
    <w:rsid w:val="00CF11A2"/>
    <w:rsid w:val="00CF19AA"/>
    <w:rsid w:val="00CF208C"/>
    <w:rsid w:val="00CF2B59"/>
    <w:rsid w:val="00CF3680"/>
    <w:rsid w:val="00CF447D"/>
    <w:rsid w:val="00CF44E9"/>
    <w:rsid w:val="00CF620E"/>
    <w:rsid w:val="00D00EBD"/>
    <w:rsid w:val="00D03C3F"/>
    <w:rsid w:val="00D1206A"/>
    <w:rsid w:val="00D127E6"/>
    <w:rsid w:val="00D12BBD"/>
    <w:rsid w:val="00D12F5C"/>
    <w:rsid w:val="00D1564A"/>
    <w:rsid w:val="00D171DE"/>
    <w:rsid w:val="00D23431"/>
    <w:rsid w:val="00D247B7"/>
    <w:rsid w:val="00D2708C"/>
    <w:rsid w:val="00D3114D"/>
    <w:rsid w:val="00D3245A"/>
    <w:rsid w:val="00D34D5B"/>
    <w:rsid w:val="00D36A3D"/>
    <w:rsid w:val="00D36D8E"/>
    <w:rsid w:val="00D40AE1"/>
    <w:rsid w:val="00D40B19"/>
    <w:rsid w:val="00D46660"/>
    <w:rsid w:val="00D50D56"/>
    <w:rsid w:val="00D54BEE"/>
    <w:rsid w:val="00D559F9"/>
    <w:rsid w:val="00D55A90"/>
    <w:rsid w:val="00D5749D"/>
    <w:rsid w:val="00D6167B"/>
    <w:rsid w:val="00D66A68"/>
    <w:rsid w:val="00D67B0E"/>
    <w:rsid w:val="00D70E98"/>
    <w:rsid w:val="00D71E2B"/>
    <w:rsid w:val="00D7398B"/>
    <w:rsid w:val="00D73F68"/>
    <w:rsid w:val="00D81429"/>
    <w:rsid w:val="00D819DA"/>
    <w:rsid w:val="00D8212B"/>
    <w:rsid w:val="00D86AA8"/>
    <w:rsid w:val="00D9344A"/>
    <w:rsid w:val="00D94ABA"/>
    <w:rsid w:val="00D963AC"/>
    <w:rsid w:val="00D96A7C"/>
    <w:rsid w:val="00DA18D3"/>
    <w:rsid w:val="00DB1431"/>
    <w:rsid w:val="00DB2333"/>
    <w:rsid w:val="00DC2263"/>
    <w:rsid w:val="00DC28FA"/>
    <w:rsid w:val="00DD136F"/>
    <w:rsid w:val="00DD4C30"/>
    <w:rsid w:val="00DE1785"/>
    <w:rsid w:val="00DE2928"/>
    <w:rsid w:val="00DE2C75"/>
    <w:rsid w:val="00DE4083"/>
    <w:rsid w:val="00DE4A27"/>
    <w:rsid w:val="00DE6EA7"/>
    <w:rsid w:val="00DF1DA9"/>
    <w:rsid w:val="00DF423C"/>
    <w:rsid w:val="00DF6C86"/>
    <w:rsid w:val="00DF6D22"/>
    <w:rsid w:val="00E04732"/>
    <w:rsid w:val="00E04F8A"/>
    <w:rsid w:val="00E07578"/>
    <w:rsid w:val="00E07849"/>
    <w:rsid w:val="00E112C3"/>
    <w:rsid w:val="00E127D5"/>
    <w:rsid w:val="00E12822"/>
    <w:rsid w:val="00E15A01"/>
    <w:rsid w:val="00E16558"/>
    <w:rsid w:val="00E227A4"/>
    <w:rsid w:val="00E23E96"/>
    <w:rsid w:val="00E24F95"/>
    <w:rsid w:val="00E3169B"/>
    <w:rsid w:val="00E317D6"/>
    <w:rsid w:val="00E36B54"/>
    <w:rsid w:val="00E37910"/>
    <w:rsid w:val="00E425CB"/>
    <w:rsid w:val="00E472D1"/>
    <w:rsid w:val="00E47834"/>
    <w:rsid w:val="00E5204E"/>
    <w:rsid w:val="00E540A1"/>
    <w:rsid w:val="00E54456"/>
    <w:rsid w:val="00E61AF9"/>
    <w:rsid w:val="00E630B5"/>
    <w:rsid w:val="00E646E1"/>
    <w:rsid w:val="00E67732"/>
    <w:rsid w:val="00E67F34"/>
    <w:rsid w:val="00E715C0"/>
    <w:rsid w:val="00E7672F"/>
    <w:rsid w:val="00E81CE1"/>
    <w:rsid w:val="00E8202E"/>
    <w:rsid w:val="00E82A74"/>
    <w:rsid w:val="00E83A7B"/>
    <w:rsid w:val="00E84A96"/>
    <w:rsid w:val="00E86022"/>
    <w:rsid w:val="00E872CB"/>
    <w:rsid w:val="00E91B67"/>
    <w:rsid w:val="00E92123"/>
    <w:rsid w:val="00E9574E"/>
    <w:rsid w:val="00E97049"/>
    <w:rsid w:val="00E975C7"/>
    <w:rsid w:val="00EA1F9B"/>
    <w:rsid w:val="00EA2899"/>
    <w:rsid w:val="00EA2D24"/>
    <w:rsid w:val="00EA4BE7"/>
    <w:rsid w:val="00EA589B"/>
    <w:rsid w:val="00EA6EE4"/>
    <w:rsid w:val="00EA7E57"/>
    <w:rsid w:val="00EB0475"/>
    <w:rsid w:val="00EB06B1"/>
    <w:rsid w:val="00EB67AF"/>
    <w:rsid w:val="00EC294A"/>
    <w:rsid w:val="00ED0940"/>
    <w:rsid w:val="00ED0B82"/>
    <w:rsid w:val="00ED4EC2"/>
    <w:rsid w:val="00EE50B5"/>
    <w:rsid w:val="00EE5FEE"/>
    <w:rsid w:val="00EE7F9C"/>
    <w:rsid w:val="00EF35EC"/>
    <w:rsid w:val="00EF738D"/>
    <w:rsid w:val="00F048F7"/>
    <w:rsid w:val="00F066EE"/>
    <w:rsid w:val="00F078CC"/>
    <w:rsid w:val="00F13EEC"/>
    <w:rsid w:val="00F16514"/>
    <w:rsid w:val="00F16638"/>
    <w:rsid w:val="00F200A7"/>
    <w:rsid w:val="00F2158F"/>
    <w:rsid w:val="00F2402F"/>
    <w:rsid w:val="00F24A97"/>
    <w:rsid w:val="00F33C3B"/>
    <w:rsid w:val="00F35171"/>
    <w:rsid w:val="00F370D7"/>
    <w:rsid w:val="00F42C3D"/>
    <w:rsid w:val="00F4563F"/>
    <w:rsid w:val="00F518E2"/>
    <w:rsid w:val="00F549F6"/>
    <w:rsid w:val="00F57DEB"/>
    <w:rsid w:val="00F60CFC"/>
    <w:rsid w:val="00F61AC0"/>
    <w:rsid w:val="00F6354A"/>
    <w:rsid w:val="00F6384D"/>
    <w:rsid w:val="00F6771F"/>
    <w:rsid w:val="00F704E2"/>
    <w:rsid w:val="00F70D96"/>
    <w:rsid w:val="00F72EAF"/>
    <w:rsid w:val="00F771A7"/>
    <w:rsid w:val="00F77490"/>
    <w:rsid w:val="00F832C1"/>
    <w:rsid w:val="00F87BEC"/>
    <w:rsid w:val="00F91552"/>
    <w:rsid w:val="00F9279C"/>
    <w:rsid w:val="00F93433"/>
    <w:rsid w:val="00F948A4"/>
    <w:rsid w:val="00F94F6F"/>
    <w:rsid w:val="00F96150"/>
    <w:rsid w:val="00FA1E1B"/>
    <w:rsid w:val="00FA24AB"/>
    <w:rsid w:val="00FA2EBA"/>
    <w:rsid w:val="00FA3FBC"/>
    <w:rsid w:val="00FA72A8"/>
    <w:rsid w:val="00FA7399"/>
    <w:rsid w:val="00FA73E5"/>
    <w:rsid w:val="00FA7408"/>
    <w:rsid w:val="00FB03B7"/>
    <w:rsid w:val="00FB1994"/>
    <w:rsid w:val="00FB30A6"/>
    <w:rsid w:val="00FB4519"/>
    <w:rsid w:val="00FB680D"/>
    <w:rsid w:val="00FC6416"/>
    <w:rsid w:val="00FC65B4"/>
    <w:rsid w:val="00FC68E5"/>
    <w:rsid w:val="00FD0A9F"/>
    <w:rsid w:val="00FD2703"/>
    <w:rsid w:val="00FD60F3"/>
    <w:rsid w:val="00FD7C54"/>
    <w:rsid w:val="00FE3C8C"/>
    <w:rsid w:val="00FE4448"/>
    <w:rsid w:val="00FE5376"/>
    <w:rsid w:val="00FE6C7E"/>
    <w:rsid w:val="00FE73D6"/>
    <w:rsid w:val="00FF26F9"/>
    <w:rsid w:val="00FF610B"/>
    <w:rsid w:val="00FF77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9A523"/>
  <w15:chartTrackingRefBased/>
  <w15:docId w15:val="{666AF1FA-D26E-6649-BCB9-CFADAD0C4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408"/>
    <w:pPr>
      <w:ind w:left="720"/>
      <w:contextualSpacing/>
    </w:pPr>
  </w:style>
  <w:style w:type="paragraph" w:customStyle="1" w:styleId="NoParagraphStyle">
    <w:name w:val="[No Paragraph Style]"/>
    <w:rsid w:val="00D40B19"/>
    <w:pPr>
      <w:autoSpaceDE w:val="0"/>
      <w:autoSpaceDN w:val="0"/>
      <w:adjustRightInd w:val="0"/>
      <w:spacing w:line="288" w:lineRule="auto"/>
      <w:textAlignment w:val="center"/>
    </w:pPr>
    <w:rPr>
      <w:rFonts w:ascii="Minion Pro" w:hAnsi="Minion Pro" w:cs="Minion Pro"/>
      <w:color w:val="000000"/>
      <w:lang w:val="en-GB"/>
    </w:rPr>
  </w:style>
  <w:style w:type="table" w:styleId="TableGrid">
    <w:name w:val="Table Grid"/>
    <w:basedOn w:val="TableNormal"/>
    <w:uiPriority w:val="39"/>
    <w:rsid w:val="00FE3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Prosus2022FrontStylesProsus2022">
    <w:name w:val="Footnotes__Prosus2022 (Front Styles__Prosus2022)"/>
    <w:basedOn w:val="Normal"/>
    <w:next w:val="NoParagraphStyle"/>
    <w:uiPriority w:val="99"/>
    <w:rsid w:val="001E2952"/>
    <w:pPr>
      <w:suppressAutoHyphens/>
      <w:autoSpaceDE w:val="0"/>
      <w:autoSpaceDN w:val="0"/>
      <w:adjustRightInd w:val="0"/>
      <w:spacing w:line="140" w:lineRule="atLeast"/>
      <w:ind w:left="142" w:hanging="142"/>
      <w:textAlignment w:val="center"/>
    </w:pPr>
    <w:rPr>
      <w:rFonts w:ascii="NeuzeitGroLig" w:hAnsi="NeuzeitGroLig" w:cs="NeuzeitGroLig"/>
      <w:color w:val="323232"/>
      <w:sz w:val="12"/>
      <w:szCs w:val="1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CB0C64831414DABABF09C05DE95E2" ma:contentTypeVersion="16" ma:contentTypeDescription="Create a new document." ma:contentTypeScope="" ma:versionID="a03eb80941f803d172a6418420c95ac8">
  <xsd:schema xmlns:xsd="http://www.w3.org/2001/XMLSchema" xmlns:xs="http://www.w3.org/2001/XMLSchema" xmlns:p="http://schemas.microsoft.com/office/2006/metadata/properties" xmlns:ns2="943f1af2-e785-4394-9b2d-dfaf95e92f60" xmlns:ns3="d830a163-2bd2-4904-a356-455e0fdb518a" targetNamespace="http://schemas.microsoft.com/office/2006/metadata/properties" ma:root="true" ma:fieldsID="e66a8292eb05a86d7fbf78feb4937e25" ns2:_="" ns3:_="">
    <xsd:import namespace="943f1af2-e785-4394-9b2d-dfaf95e92f60"/>
    <xsd:import namespace="d830a163-2bd2-4904-a356-455e0fdb51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f1af2-e785-4394-9b2d-dfaf95e92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b0b32f-e310-49b4-ae0d-6de30dafcd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30a163-2bd2-4904-a356-455e0fdb51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03a627-04b7-47c3-ba6b-59e14afa6e89}" ma:internalName="TaxCatchAll" ma:showField="CatchAllData" ma:web="d830a163-2bd2-4904-a356-455e0fdb51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15D726-3523-479F-9F94-ED8C9FF659F6}"/>
</file>

<file path=customXml/itemProps2.xml><?xml version="1.0" encoding="utf-8"?>
<ds:datastoreItem xmlns:ds="http://schemas.openxmlformats.org/officeDocument/2006/customXml" ds:itemID="{617F3F56-8B5E-4A3A-B5F3-8EFC4896DDFE}"/>
</file>

<file path=docProps/app.xml><?xml version="1.0" encoding="utf-8"?>
<Properties xmlns="http://schemas.openxmlformats.org/officeDocument/2006/extended-properties" xmlns:vt="http://schemas.openxmlformats.org/officeDocument/2006/docPropsVTypes">
  <Template>Normal.dotm</Template>
  <TotalTime>416</TotalTime>
  <Pages>53</Pages>
  <Words>23334</Words>
  <Characters>133009</Characters>
  <Application>Microsoft Office Word</Application>
  <DocSecurity>0</DocSecurity>
  <Lines>1108</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Oliver</dc:creator>
  <cp:keywords/>
  <dc:description/>
  <cp:lastModifiedBy>Tiny</cp:lastModifiedBy>
  <cp:revision>1081</cp:revision>
  <cp:lastPrinted>2022-11-22T12:36:00Z</cp:lastPrinted>
  <dcterms:created xsi:type="dcterms:W3CDTF">2022-11-22T04:32:00Z</dcterms:created>
  <dcterms:modified xsi:type="dcterms:W3CDTF">2022-11-22T16:39:00Z</dcterms:modified>
</cp:coreProperties>
</file>