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51D8" w14:textId="77777777" w:rsidR="00000000" w:rsidRDefault="00B71F42">
      <w:pPr>
        <w:pStyle w:val="NormalWeb"/>
        <w:jc w:val="center"/>
        <w:divId w:val="336811615"/>
        <w:rPr>
          <w:rFonts w:ascii="Arial" w:hAnsi="Arial" w:cs="Arial"/>
          <w:color w:val="000000"/>
          <w:sz w:val="20"/>
          <w:szCs w:val="20"/>
        </w:rPr>
      </w:pPr>
      <w:r>
        <w:rPr>
          <w:rFonts w:ascii="Arial" w:hAnsi="Arial" w:cs="Arial"/>
          <w:b/>
          <w:bCs/>
          <w:color w:val="000000"/>
          <w:sz w:val="20"/>
          <w:szCs w:val="20"/>
        </w:rPr>
        <w:t>Tetragon Financial Group Limited Announcement of Dividend and Intention to Conduct Tender Offer</w:t>
      </w:r>
      <w:r>
        <w:rPr>
          <w:rFonts w:ascii="Arial" w:hAnsi="Arial" w:cs="Arial"/>
          <w:color w:val="000000"/>
          <w:sz w:val="20"/>
          <w:szCs w:val="20"/>
        </w:rPr>
        <w:t xml:space="preserve"> </w:t>
      </w:r>
    </w:p>
    <w:p w14:paraId="649D9F9C"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LONDON, March 7, 2022 /PRNewswire/ --</w:t>
      </w:r>
    </w:p>
    <w:p w14:paraId="0E012334" w14:textId="77777777" w:rsidR="00000000" w:rsidRDefault="00B71F42">
      <w:pPr>
        <w:pStyle w:val="NormalWeb"/>
        <w:divId w:val="1365792270"/>
        <w:rPr>
          <w:rFonts w:ascii="Arial" w:hAnsi="Arial" w:cs="Arial"/>
          <w:color w:val="000000"/>
          <w:sz w:val="20"/>
          <w:szCs w:val="20"/>
          <w:lang w:val="fr-FR"/>
        </w:rPr>
      </w:pPr>
      <w:r>
        <w:rPr>
          <w:rFonts w:ascii="Arial" w:hAnsi="Arial" w:cs="Arial"/>
          <w:color w:val="000000"/>
          <w:sz w:val="20"/>
          <w:szCs w:val="20"/>
          <w:lang w:val="fr-FR"/>
        </w:rPr>
        <w:t xml:space="preserve">Photo - </w:t>
      </w:r>
      <w:hyperlink r:id="rId6" w:tgtFrame="_blank" w:history="1">
        <w:r>
          <w:rPr>
            <w:rStyle w:val="Hyperlink"/>
            <w:rFonts w:ascii="Arial" w:hAnsi="Arial" w:cs="Arial"/>
            <w:sz w:val="20"/>
            <w:szCs w:val="20"/>
            <w:lang w:val="fr-FR"/>
          </w:rPr>
          <w:t>https://mma.prnewswire.com/media</w:t>
        </w:r>
        <w:r>
          <w:rPr>
            <w:rStyle w:val="Hyperlink"/>
            <w:rFonts w:ascii="Arial" w:hAnsi="Arial" w:cs="Arial"/>
            <w:sz w:val="20"/>
            <w:szCs w:val="20"/>
            <w:lang w:val="fr-FR"/>
          </w:rPr>
          <w:t>/1760325/TetraInfo.jpg</w:t>
        </w:r>
      </w:hyperlink>
      <w:r>
        <w:rPr>
          <w:rFonts w:ascii="Arial" w:hAnsi="Arial" w:cs="Arial"/>
          <w:color w:val="000000"/>
          <w:sz w:val="20"/>
          <w:szCs w:val="20"/>
          <w:lang w:val="fr-FR"/>
        </w:rPr>
        <w:t xml:space="preserve"> </w:t>
      </w:r>
    </w:p>
    <w:p w14:paraId="5CB03B36" w14:textId="77777777" w:rsidR="00000000" w:rsidRDefault="00B71F42">
      <w:pPr>
        <w:pStyle w:val="NormalWeb"/>
        <w:divId w:val="1365792270"/>
        <w:rPr>
          <w:rFonts w:ascii="Arial" w:hAnsi="Arial" w:cs="Arial"/>
          <w:color w:val="000000"/>
          <w:sz w:val="20"/>
          <w:szCs w:val="20"/>
        </w:rPr>
      </w:pPr>
      <w:r>
        <w:rPr>
          <w:rFonts w:ascii="Arial" w:hAnsi="Arial" w:cs="Arial"/>
          <w:b/>
          <w:bCs/>
          <w:color w:val="000000"/>
          <w:sz w:val="20"/>
          <w:szCs w:val="20"/>
        </w:rPr>
        <w:t>Dividend Announcement:</w:t>
      </w:r>
    </w:p>
    <w:p w14:paraId="6FDC5EBB"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On 4 March 2022, the Board of Directors of Tetragon declared a dividend of U.S.$0.11 (11.00 cents) per share in respect of the fourth quarter of 2021. The ex-dividend date is 8 March 2022. The record date is 9</w:t>
      </w:r>
      <w:r>
        <w:rPr>
          <w:rFonts w:ascii="Arial" w:hAnsi="Arial" w:cs="Arial"/>
          <w:color w:val="000000"/>
          <w:sz w:val="20"/>
          <w:szCs w:val="20"/>
        </w:rPr>
        <w:t xml:space="preserve"> March 2022. Payment of the dividend will take place from 1 April 2022.</w:t>
      </w:r>
    </w:p>
    <w:p w14:paraId="742B1D26"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Tetragon's website (</w:t>
      </w:r>
      <w:hyperlink r:id="rId7" w:tgtFrame="_blank" w:history="1">
        <w:r>
          <w:rPr>
            <w:rStyle w:val="Hyperlink"/>
            <w:rFonts w:ascii="Arial" w:hAnsi="Arial" w:cs="Arial"/>
            <w:sz w:val="20"/>
            <w:szCs w:val="20"/>
          </w:rPr>
          <w:t>www.tetragoninv.c</w:t>
        </w:r>
        <w:r>
          <w:rPr>
            <w:rStyle w:val="Hyperlink"/>
            <w:rFonts w:ascii="Arial" w:hAnsi="Arial" w:cs="Arial"/>
            <w:sz w:val="20"/>
            <w:szCs w:val="20"/>
          </w:rPr>
          <w:t>om</w:t>
        </w:r>
      </w:hyperlink>
      <w:r>
        <w:rPr>
          <w:rFonts w:ascii="Arial" w:hAnsi="Arial" w:cs="Arial"/>
          <w:color w:val="000000"/>
          <w:sz w:val="20"/>
          <w:szCs w:val="20"/>
        </w:rPr>
        <w:t>) includes information on Tetragon's Optional Stock Dividend Plan for those shareholders electing to receive dividends in the form of Tetragon shares. Shareholders may elect to receive dividends in the form of Tetragon shares by making a dividend share e</w:t>
      </w:r>
      <w:r>
        <w:rPr>
          <w:rFonts w:ascii="Arial" w:hAnsi="Arial" w:cs="Arial"/>
          <w:color w:val="000000"/>
          <w:sz w:val="20"/>
          <w:szCs w:val="20"/>
        </w:rPr>
        <w:t>lection up to 21 March 2022. If no election is made, the dividend will be paid in cash from 1 April 2022.</w:t>
      </w:r>
    </w:p>
    <w:p w14:paraId="350A2654"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 xml:space="preserve">Cash dividends may be received in Sterling by those shareholders making a dividend currency election up to 21 March 2022. If no election is made, the </w:t>
      </w:r>
      <w:r>
        <w:rPr>
          <w:rFonts w:ascii="Arial" w:hAnsi="Arial" w:cs="Arial"/>
          <w:color w:val="000000"/>
          <w:sz w:val="20"/>
          <w:szCs w:val="20"/>
        </w:rPr>
        <w:t>dividend will be paid in U.S. dollars from 1 April 2022.</w:t>
      </w:r>
    </w:p>
    <w:p w14:paraId="616D312A" w14:textId="77777777" w:rsidR="00000000" w:rsidRDefault="00B71F42">
      <w:pPr>
        <w:pStyle w:val="NormalWeb"/>
        <w:divId w:val="1365792270"/>
        <w:rPr>
          <w:rFonts w:ascii="Arial" w:hAnsi="Arial" w:cs="Arial"/>
          <w:color w:val="000000"/>
          <w:sz w:val="20"/>
          <w:szCs w:val="20"/>
        </w:rPr>
      </w:pPr>
      <w:r>
        <w:rPr>
          <w:rFonts w:ascii="Arial" w:hAnsi="Arial" w:cs="Arial"/>
          <w:b/>
          <w:bCs/>
          <w:color w:val="000000"/>
          <w:sz w:val="20"/>
          <w:szCs w:val="20"/>
        </w:rPr>
        <w:t>Intention to Conduct a Tender Offer:</w:t>
      </w:r>
    </w:p>
    <w:p w14:paraId="3504117E"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Tetragon intends to conduct a tender offer for a number of Tetragon non-voting shares with a maximum value of up to U.S.$50 million, to be held as treasury shares</w:t>
      </w:r>
      <w:r>
        <w:rPr>
          <w:rFonts w:ascii="Arial" w:hAnsi="Arial" w:cs="Arial"/>
          <w:color w:val="000000"/>
          <w:sz w:val="20"/>
          <w:szCs w:val="20"/>
        </w:rPr>
        <w:t>. J.P. Morgan Securities plc (which conducts its U.K. investment banking business as J.P. Morgan Cazenove) will act as dealer manager in the tender offer, which will use a modified Dutch auction structure. Details of this planned tender offer will be annou</w:t>
      </w:r>
      <w:r>
        <w:rPr>
          <w:rFonts w:ascii="Arial" w:hAnsi="Arial" w:cs="Arial"/>
          <w:color w:val="000000"/>
          <w:sz w:val="20"/>
          <w:szCs w:val="20"/>
        </w:rPr>
        <w:t>nced shortly. A repurchase of Tetragon shares at a price below NAV will be accretive to its fully diluted NAV per share.</w:t>
      </w:r>
    </w:p>
    <w:p w14:paraId="781FE490" w14:textId="77777777" w:rsidR="00000000" w:rsidRDefault="00B71F42">
      <w:pPr>
        <w:pStyle w:val="NormalWeb"/>
        <w:divId w:val="1365792270"/>
        <w:rPr>
          <w:rFonts w:ascii="Arial" w:hAnsi="Arial" w:cs="Arial"/>
          <w:color w:val="000000"/>
          <w:sz w:val="20"/>
          <w:szCs w:val="20"/>
        </w:rPr>
      </w:pPr>
      <w:r>
        <w:rPr>
          <w:rFonts w:ascii="Arial" w:hAnsi="Arial" w:cs="Arial"/>
          <w:b/>
          <w:bCs/>
          <w:color w:val="000000"/>
          <w:sz w:val="20"/>
          <w:szCs w:val="20"/>
        </w:rPr>
        <w:t>About Tetragon:</w:t>
      </w:r>
    </w:p>
    <w:p w14:paraId="7A9067B0"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Tetragon is a closed-ended investment company that invests in a broad range of assets, including public and private equ</w:t>
      </w:r>
      <w:r>
        <w:rPr>
          <w:rFonts w:ascii="Arial" w:hAnsi="Arial" w:cs="Arial"/>
          <w:color w:val="000000"/>
          <w:sz w:val="20"/>
          <w:szCs w:val="20"/>
        </w:rPr>
        <w:t xml:space="preserve">ities and credit (including distressed securities and structured credit), convertible bonds, real estate, venture capital, infrastructure, bank loans and TFG Asset Management, a diversified alternative asset management business. Where appropriate, through </w:t>
      </w:r>
      <w:r>
        <w:rPr>
          <w:rFonts w:ascii="Arial" w:hAnsi="Arial" w:cs="Arial"/>
          <w:color w:val="000000"/>
          <w:sz w:val="20"/>
          <w:szCs w:val="20"/>
        </w:rPr>
        <w:t>TFG Asset Management, Tetragon seeks to own all, or a portion, of asset management companies with which it invests in order to enhance the returns achieved on its capital. Tetragon's investment objective is to generate distributable income and capital appr</w:t>
      </w:r>
      <w:r>
        <w:rPr>
          <w:rFonts w:ascii="Arial" w:hAnsi="Arial" w:cs="Arial"/>
          <w:color w:val="000000"/>
          <w:sz w:val="20"/>
          <w:szCs w:val="20"/>
        </w:rPr>
        <w:t>eciation. It aims to provide stable returns to investors across various credit, equity, interest rate, inflation and real estate cycles. The company's non-voting shares are traded on Euronext in Amsterdam, a regulated market of Euronext Amsterdam N.V., and</w:t>
      </w:r>
      <w:r>
        <w:rPr>
          <w:rFonts w:ascii="Arial" w:hAnsi="Arial" w:cs="Arial"/>
          <w:color w:val="000000"/>
          <w:sz w:val="20"/>
          <w:szCs w:val="20"/>
        </w:rPr>
        <w:t xml:space="preserve"> on the Specialist Fund Segment of the main market of the London Stock Exchange. For more information please visit the company's website at </w:t>
      </w:r>
      <w:hyperlink r:id="rId8" w:tgtFrame="_blank" w:history="1">
        <w:r>
          <w:rPr>
            <w:rStyle w:val="Hyperlink"/>
            <w:rFonts w:ascii="Arial" w:hAnsi="Arial" w:cs="Arial"/>
            <w:sz w:val="20"/>
            <w:szCs w:val="20"/>
          </w:rPr>
          <w:t>www.tetragoninv.com</w:t>
        </w:r>
      </w:hyperlink>
      <w:r>
        <w:rPr>
          <w:rFonts w:ascii="Arial" w:hAnsi="Arial" w:cs="Arial"/>
          <w:color w:val="000000"/>
          <w:sz w:val="20"/>
          <w:szCs w:val="20"/>
        </w:rPr>
        <w:t>.</w:t>
      </w:r>
    </w:p>
    <w:tbl>
      <w:tblPr>
        <w:tblW w:w="0" w:type="auto"/>
        <w:tblCellSpacing w:w="0" w:type="dxa"/>
        <w:tblCellMar>
          <w:left w:w="0" w:type="dxa"/>
          <w:right w:w="0" w:type="dxa"/>
        </w:tblCellMar>
        <w:tblLook w:val="04A0" w:firstRow="1" w:lastRow="0" w:firstColumn="1" w:lastColumn="0" w:noHBand="0" w:noVBand="1"/>
      </w:tblPr>
      <w:tblGrid>
        <w:gridCol w:w="1618"/>
        <w:gridCol w:w="2951"/>
        <w:gridCol w:w="3084"/>
      </w:tblGrid>
      <w:tr w:rsidR="00000000" w14:paraId="77C85966" w14:textId="77777777">
        <w:trPr>
          <w:divId w:val="523056831"/>
          <w:tblCellSpacing w:w="0" w:type="dxa"/>
        </w:trPr>
        <w:tc>
          <w:tcPr>
            <w:tcW w:w="0" w:type="auto"/>
            <w:noWrap/>
            <w:tcMar>
              <w:top w:w="0" w:type="dxa"/>
              <w:left w:w="108" w:type="dxa"/>
              <w:bottom w:w="0" w:type="dxa"/>
              <w:right w:w="120" w:type="dxa"/>
            </w:tcMar>
            <w:vAlign w:val="bottom"/>
            <w:hideMark/>
          </w:tcPr>
          <w:p w14:paraId="10E6C30D"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b/>
                <w:bCs/>
                <w:color w:val="000000"/>
                <w:sz w:val="16"/>
                <w:szCs w:val="16"/>
              </w:rPr>
              <w:t>Tetragon:</w:t>
            </w:r>
          </w:p>
          <w:p w14:paraId="7FD583CA"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3D2DD3D2"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Yuko Thomas</w:t>
            </w:r>
          </w:p>
          <w:p w14:paraId="2223E772"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Investor Relations</w:t>
            </w:r>
          </w:p>
          <w:p w14:paraId="5672D72E" w14:textId="77777777" w:rsidR="00000000" w:rsidRDefault="00B71F42">
            <w:pPr>
              <w:pStyle w:val="NormalWeb"/>
              <w:spacing w:before="0" w:beforeAutospacing="0" w:after="0" w:afterAutospacing="0"/>
              <w:rPr>
                <w:rFonts w:ascii="Arial" w:hAnsi="Arial" w:cs="Arial"/>
                <w:color w:val="000000"/>
                <w:sz w:val="16"/>
                <w:szCs w:val="16"/>
              </w:rPr>
            </w:pPr>
            <w:hyperlink r:id="rId9" w:tgtFrame="_blank" w:history="1">
              <w:r>
                <w:rPr>
                  <w:rStyle w:val="Hyperlink"/>
                  <w:rFonts w:ascii="Arial" w:hAnsi="Arial" w:cs="Arial"/>
                  <w:sz w:val="16"/>
                  <w:szCs w:val="16"/>
                </w:rPr>
                <w:t>ir@tetragoninv.com</w:t>
              </w:r>
            </w:hyperlink>
          </w:p>
          <w:p w14:paraId="0EB5E697"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735BF164"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29486E8F"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tc>
        <w:tc>
          <w:tcPr>
            <w:tcW w:w="0" w:type="auto"/>
            <w:tcMar>
              <w:top w:w="0" w:type="dxa"/>
              <w:left w:w="108" w:type="dxa"/>
              <w:bottom w:w="0" w:type="dxa"/>
              <w:right w:w="120" w:type="dxa"/>
            </w:tcMar>
            <w:vAlign w:val="bottom"/>
            <w:hideMark/>
          </w:tcPr>
          <w:p w14:paraId="5AC626B6"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b/>
                <w:bCs/>
                <w:color w:val="000000"/>
                <w:sz w:val="16"/>
                <w:szCs w:val="16"/>
              </w:rPr>
              <w:t>Press Inquiries:</w:t>
            </w:r>
          </w:p>
          <w:p w14:paraId="7EC7E7E2"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5617CC26" w14:textId="77777777" w:rsidR="00000000" w:rsidRDefault="00B71F42">
            <w:pPr>
              <w:pStyle w:val="NormalWeb"/>
              <w:spacing w:before="0" w:beforeAutospacing="0" w:after="0" w:afterAutospacing="0"/>
              <w:rPr>
                <w:rFonts w:ascii="Arial" w:hAnsi="Arial" w:cs="Arial"/>
                <w:color w:val="000000"/>
                <w:sz w:val="16"/>
                <w:szCs w:val="16"/>
              </w:rPr>
            </w:pPr>
            <w:proofErr w:type="spellStart"/>
            <w:r>
              <w:rPr>
                <w:rFonts w:ascii="Arial" w:hAnsi="Arial" w:cs="Arial"/>
                <w:color w:val="000000"/>
                <w:sz w:val="16"/>
                <w:szCs w:val="16"/>
              </w:rPr>
              <w:t>Prosek</w:t>
            </w:r>
            <w:proofErr w:type="spellEnd"/>
            <w:r>
              <w:rPr>
                <w:rFonts w:ascii="Arial" w:hAnsi="Arial" w:cs="Arial"/>
                <w:color w:val="000000"/>
                <w:sz w:val="16"/>
                <w:szCs w:val="16"/>
              </w:rPr>
              <w:t xml:space="preserve"> Partners</w:t>
            </w:r>
          </w:p>
          <w:p w14:paraId="69FFC22B" w14:textId="77777777" w:rsidR="00000000" w:rsidRDefault="00B71F42">
            <w:pPr>
              <w:pStyle w:val="NormalWeb"/>
              <w:spacing w:before="0" w:beforeAutospacing="0" w:after="0" w:afterAutospacing="0"/>
              <w:rPr>
                <w:rFonts w:ascii="Arial" w:hAnsi="Arial" w:cs="Arial"/>
                <w:color w:val="000000"/>
                <w:sz w:val="16"/>
                <w:szCs w:val="16"/>
              </w:rPr>
            </w:pPr>
            <w:hyperlink r:id="rId10" w:tgtFrame="_blank" w:history="1">
              <w:r>
                <w:rPr>
                  <w:rStyle w:val="Hyperlink"/>
                  <w:rFonts w:ascii="Arial" w:hAnsi="Arial" w:cs="Arial"/>
                  <w:sz w:val="16"/>
                  <w:szCs w:val="16"/>
                </w:rPr>
                <w:t>Pro-tetragon@prosek.com</w:t>
              </w:r>
            </w:hyperlink>
          </w:p>
          <w:p w14:paraId="13C8C8D6"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18CD6BB9"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United States</w:t>
            </w:r>
          </w:p>
          <w:p w14:paraId="1BAA519B"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Ryan </w:t>
            </w:r>
            <w:proofErr w:type="spellStart"/>
            <w:r>
              <w:rPr>
                <w:rFonts w:ascii="Arial" w:hAnsi="Arial" w:cs="Arial"/>
                <w:color w:val="000000"/>
                <w:sz w:val="16"/>
                <w:szCs w:val="16"/>
              </w:rPr>
              <w:t>FitzGibbon</w:t>
            </w:r>
            <w:proofErr w:type="spellEnd"/>
            <w:r>
              <w:rPr>
                <w:rFonts w:ascii="Arial" w:hAnsi="Arial" w:cs="Arial"/>
                <w:color w:val="000000"/>
                <w:sz w:val="16"/>
                <w:szCs w:val="16"/>
              </w:rPr>
              <w:t>        Remy Marin</w:t>
            </w:r>
          </w:p>
          <w:p w14:paraId="70096007"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+1 646 818 9298       +1 646 818 9234</w:t>
            </w:r>
          </w:p>
        </w:tc>
        <w:tc>
          <w:tcPr>
            <w:tcW w:w="0" w:type="auto"/>
            <w:noWrap/>
            <w:tcMar>
              <w:top w:w="0" w:type="dxa"/>
              <w:left w:w="108" w:type="dxa"/>
              <w:bottom w:w="0" w:type="dxa"/>
              <w:right w:w="120" w:type="dxa"/>
            </w:tcMar>
            <w:vAlign w:val="bottom"/>
            <w:hideMark/>
          </w:tcPr>
          <w:p w14:paraId="32B5D9A4" w14:textId="77777777" w:rsidR="00000000" w:rsidRDefault="00B71F42">
            <w:pPr>
              <w:pStyle w:val="NormalWeb"/>
              <w:spacing w:before="0" w:beforeAutospacing="0" w:after="0" w:afterAutospacing="0"/>
              <w:rPr>
                <w:rFonts w:ascii="Arial" w:hAnsi="Arial" w:cs="Arial"/>
                <w:color w:val="000000"/>
                <w:sz w:val="16"/>
                <w:szCs w:val="16"/>
                <w:lang w:val="sv-SE"/>
              </w:rPr>
            </w:pPr>
            <w:r>
              <w:rPr>
                <w:rFonts w:ascii="Arial" w:hAnsi="Arial" w:cs="Arial"/>
                <w:color w:val="000000"/>
                <w:sz w:val="16"/>
                <w:szCs w:val="16"/>
                <w:lang w:val="sv-SE"/>
              </w:rPr>
              <w:t> </w:t>
            </w:r>
          </w:p>
          <w:p w14:paraId="056B2E0A" w14:textId="77777777" w:rsidR="00000000" w:rsidRDefault="00B71F42">
            <w:pPr>
              <w:pStyle w:val="NormalWeb"/>
              <w:spacing w:before="0" w:beforeAutospacing="0" w:after="0" w:afterAutospacing="0"/>
              <w:rPr>
                <w:rFonts w:ascii="Arial" w:hAnsi="Arial" w:cs="Arial"/>
                <w:color w:val="000000"/>
                <w:sz w:val="16"/>
                <w:szCs w:val="16"/>
                <w:lang w:val="sv-SE"/>
              </w:rPr>
            </w:pPr>
            <w:r>
              <w:rPr>
                <w:rFonts w:ascii="Arial" w:hAnsi="Arial" w:cs="Arial"/>
                <w:color w:val="000000"/>
                <w:sz w:val="16"/>
                <w:szCs w:val="16"/>
                <w:lang w:val="sv-SE"/>
              </w:rPr>
              <w:t> </w:t>
            </w:r>
          </w:p>
          <w:p w14:paraId="7BD1F7B7" w14:textId="77777777" w:rsidR="00000000" w:rsidRDefault="00B71F42">
            <w:pPr>
              <w:pStyle w:val="NormalWeb"/>
              <w:spacing w:before="0" w:beforeAutospacing="0" w:after="0" w:afterAutospacing="0"/>
              <w:rPr>
                <w:rFonts w:ascii="Arial" w:hAnsi="Arial" w:cs="Arial"/>
                <w:color w:val="000000"/>
                <w:sz w:val="16"/>
                <w:szCs w:val="16"/>
                <w:lang w:val="sv-SE"/>
              </w:rPr>
            </w:pPr>
            <w:r>
              <w:rPr>
                <w:rFonts w:ascii="Arial" w:hAnsi="Arial" w:cs="Arial"/>
                <w:color w:val="000000"/>
                <w:sz w:val="16"/>
                <w:szCs w:val="16"/>
                <w:lang w:val="sv-SE"/>
              </w:rPr>
              <w:t> </w:t>
            </w:r>
          </w:p>
          <w:p w14:paraId="41192FA0" w14:textId="77777777" w:rsidR="00000000" w:rsidRDefault="00B71F42">
            <w:pPr>
              <w:pStyle w:val="NormalWeb"/>
              <w:spacing w:before="0" w:beforeAutospacing="0" w:after="0" w:afterAutospacing="0"/>
              <w:rPr>
                <w:rFonts w:ascii="Arial" w:hAnsi="Arial" w:cs="Arial"/>
                <w:color w:val="000000"/>
                <w:sz w:val="16"/>
                <w:szCs w:val="16"/>
                <w:lang w:val="sv-SE"/>
              </w:rPr>
            </w:pPr>
            <w:r>
              <w:rPr>
                <w:rFonts w:ascii="Arial" w:hAnsi="Arial" w:cs="Arial"/>
                <w:color w:val="000000"/>
                <w:sz w:val="16"/>
                <w:szCs w:val="16"/>
                <w:lang w:val="sv-SE"/>
              </w:rPr>
              <w:t xml:space="preserve">United </w:t>
            </w:r>
            <w:proofErr w:type="spellStart"/>
            <w:r>
              <w:rPr>
                <w:rFonts w:ascii="Arial" w:hAnsi="Arial" w:cs="Arial"/>
                <w:color w:val="000000"/>
                <w:sz w:val="16"/>
                <w:szCs w:val="16"/>
                <w:lang w:val="sv-SE"/>
              </w:rPr>
              <w:t>Kingdom</w:t>
            </w:r>
            <w:proofErr w:type="spellEnd"/>
            <w:r>
              <w:rPr>
                <w:rFonts w:ascii="Arial" w:hAnsi="Arial" w:cs="Arial"/>
                <w:color w:val="000000"/>
                <w:sz w:val="16"/>
                <w:szCs w:val="16"/>
                <w:lang w:val="sv-SE"/>
              </w:rPr>
              <w:t xml:space="preserve">  </w:t>
            </w:r>
          </w:p>
          <w:p w14:paraId="7E44E89C" w14:textId="77777777" w:rsidR="00000000" w:rsidRDefault="00B71F42">
            <w:pPr>
              <w:pStyle w:val="NormalWeb"/>
              <w:spacing w:before="0" w:beforeAutospacing="0" w:after="0" w:afterAutospacing="0"/>
              <w:rPr>
                <w:rFonts w:ascii="Arial" w:hAnsi="Arial" w:cs="Arial"/>
                <w:color w:val="000000"/>
                <w:sz w:val="16"/>
                <w:szCs w:val="16"/>
                <w:lang w:val="sv-SE"/>
              </w:rPr>
            </w:pPr>
            <w:r>
              <w:rPr>
                <w:rFonts w:ascii="Arial" w:hAnsi="Arial" w:cs="Arial"/>
                <w:color w:val="000000"/>
                <w:sz w:val="16"/>
                <w:szCs w:val="16"/>
                <w:lang w:val="sv-SE"/>
              </w:rPr>
              <w:t xml:space="preserve">Henrietta </w:t>
            </w:r>
            <w:proofErr w:type="spellStart"/>
            <w:r>
              <w:rPr>
                <w:rFonts w:ascii="Arial" w:hAnsi="Arial" w:cs="Arial"/>
                <w:color w:val="000000"/>
                <w:sz w:val="16"/>
                <w:szCs w:val="16"/>
                <w:lang w:val="sv-SE"/>
              </w:rPr>
              <w:t>Dehn</w:t>
            </w:r>
            <w:proofErr w:type="spellEnd"/>
            <w:r>
              <w:rPr>
                <w:rFonts w:ascii="Arial" w:hAnsi="Arial" w:cs="Arial"/>
                <w:color w:val="000000"/>
                <w:sz w:val="16"/>
                <w:szCs w:val="16"/>
                <w:lang w:val="sv-SE"/>
              </w:rPr>
              <w:t xml:space="preserve">            </w:t>
            </w:r>
            <w:proofErr w:type="spellStart"/>
            <w:r>
              <w:rPr>
                <w:rFonts w:ascii="Arial" w:hAnsi="Arial" w:cs="Arial"/>
                <w:color w:val="000000"/>
                <w:sz w:val="16"/>
                <w:szCs w:val="16"/>
                <w:lang w:val="sv-SE"/>
              </w:rPr>
              <w:t>Alexa</w:t>
            </w:r>
            <w:proofErr w:type="spellEnd"/>
            <w:r>
              <w:rPr>
                <w:rFonts w:ascii="Arial" w:hAnsi="Arial" w:cs="Arial"/>
                <w:color w:val="000000"/>
                <w:sz w:val="16"/>
                <w:szCs w:val="16"/>
                <w:lang w:val="sv-SE"/>
              </w:rPr>
              <w:t xml:space="preserve"> </w:t>
            </w:r>
            <w:proofErr w:type="spellStart"/>
            <w:r>
              <w:rPr>
                <w:rFonts w:ascii="Arial" w:hAnsi="Arial" w:cs="Arial"/>
                <w:color w:val="000000"/>
                <w:sz w:val="16"/>
                <w:szCs w:val="16"/>
                <w:lang w:val="sv-SE"/>
              </w:rPr>
              <w:t>Bethell</w:t>
            </w:r>
            <w:proofErr w:type="spellEnd"/>
          </w:p>
          <w:p w14:paraId="349CA08F" w14:textId="77777777" w:rsidR="00000000" w:rsidRDefault="00B71F42">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+44 7717 281 665      +44 7940 166 251</w:t>
            </w:r>
          </w:p>
        </w:tc>
      </w:tr>
    </w:tbl>
    <w:p w14:paraId="5C1A9AE2" w14:textId="77777777" w:rsidR="00000000" w:rsidRDefault="00B71F42">
      <w:pPr>
        <w:pStyle w:val="NormalWeb"/>
        <w:divId w:val="1365792270"/>
        <w:rPr>
          <w:rFonts w:ascii="Arial" w:hAnsi="Arial" w:cs="Arial"/>
          <w:color w:val="000000"/>
          <w:sz w:val="20"/>
          <w:szCs w:val="20"/>
        </w:rPr>
      </w:pPr>
      <w:r>
        <w:rPr>
          <w:rFonts w:ascii="Arial" w:hAnsi="Arial" w:cs="Arial"/>
          <w:b/>
          <w:bCs/>
          <w:i/>
          <w:iCs/>
          <w:color w:val="000000"/>
          <w:sz w:val="20"/>
          <w:szCs w:val="20"/>
        </w:rPr>
        <w:lastRenderedPageBreak/>
        <w:t>This release contains inside information within the meaning of Article 7(1) of the EU Market Abuse Regulation (2014/596/EU), or EU MAR, and of the UK version of EU MAR as it forms part of UK law by virtue of the Euro</w:t>
      </w:r>
      <w:r>
        <w:rPr>
          <w:rFonts w:ascii="Arial" w:hAnsi="Arial" w:cs="Arial"/>
          <w:b/>
          <w:bCs/>
          <w:i/>
          <w:iCs/>
          <w:color w:val="000000"/>
          <w:sz w:val="20"/>
          <w:szCs w:val="20"/>
        </w:rPr>
        <w:t>pean Union (Withdrawal) Act (as amended).</w:t>
      </w:r>
    </w:p>
    <w:p w14:paraId="03B4C19F" w14:textId="77777777" w:rsidR="00000000" w:rsidRDefault="00B71F42">
      <w:pPr>
        <w:pStyle w:val="NormalWeb"/>
        <w:divId w:val="1365792270"/>
        <w:rPr>
          <w:rFonts w:ascii="Arial" w:hAnsi="Arial" w:cs="Arial"/>
          <w:color w:val="000000"/>
          <w:sz w:val="20"/>
          <w:szCs w:val="20"/>
        </w:rPr>
      </w:pPr>
      <w:r>
        <w:rPr>
          <w:rFonts w:ascii="Arial" w:hAnsi="Arial" w:cs="Arial"/>
          <w:color w:val="000000"/>
          <w:sz w:val="20"/>
          <w:szCs w:val="20"/>
        </w:rPr>
        <w:t>This release does not contain or constitute an offer to sell or a solicitation of an offer to purchase securities in the United States or any other jurisdiction. The securities of Tetragon have not been and will no</w:t>
      </w:r>
      <w:r>
        <w:rPr>
          <w:rFonts w:ascii="Arial" w:hAnsi="Arial" w:cs="Arial"/>
          <w:color w:val="000000"/>
          <w:sz w:val="20"/>
          <w:szCs w:val="20"/>
        </w:rPr>
        <w:t>t be registered under the U.S. Securities Act of 1933 and may not be offered or sold in the United States or to U.S. persons unless they are registered under applicable law or exempt from registration. Tetragon does not intend to register any portion of it</w:t>
      </w:r>
      <w:r>
        <w:rPr>
          <w:rFonts w:ascii="Arial" w:hAnsi="Arial" w:cs="Arial"/>
          <w:color w:val="000000"/>
          <w:sz w:val="20"/>
          <w:szCs w:val="20"/>
        </w:rPr>
        <w:t>s securities in the United States or to conduct a public offer of securities in the United States. In addition, Tetragon has not been and will not be registered under the U.S. Investment Company Act of 1940 and investors will not be entitled to the benefit</w:t>
      </w:r>
      <w:r>
        <w:rPr>
          <w:rFonts w:ascii="Arial" w:hAnsi="Arial" w:cs="Arial"/>
          <w:color w:val="000000"/>
          <w:sz w:val="20"/>
          <w:szCs w:val="20"/>
        </w:rPr>
        <w:t>s of such Act. Tetragon is registered in the public register of the Netherlands Authority for the Financial Markets under Section 1:107 of the Dutch Financial Markets Supervision Act as an alternative investment fund from a designated state.</w:t>
      </w:r>
    </w:p>
    <w:sectPr w:rsidR="00000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DBA2" w14:textId="77777777" w:rsidR="00000000" w:rsidRDefault="00B71F42">
      <w:r>
        <w:separator/>
      </w:r>
    </w:p>
  </w:endnote>
  <w:endnote w:type="continuationSeparator" w:id="0">
    <w:p w14:paraId="0F535AC5" w14:textId="77777777" w:rsidR="00000000" w:rsidRDefault="00B7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AB5B" w14:textId="77777777" w:rsidR="00000000" w:rsidRDefault="00B71F42">
      <w:r>
        <w:separator/>
      </w:r>
    </w:p>
  </w:footnote>
  <w:footnote w:type="continuationSeparator" w:id="0">
    <w:p w14:paraId="7D4ED561" w14:textId="77777777" w:rsidR="00000000" w:rsidRDefault="00B71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3073"/>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1F42"/>
    <w:rsid w:val="00B7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72BB56BE"/>
  <w15:chartTrackingRefBased/>
  <w15:docId w15:val="{471C3797-D01C-4BAC-B49B-C8450C66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DengXian" w:eastAsiaTheme="minorEastAsia" w:hAnsi="DengXian" w:hint="eastAsia"/>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DengXian" w:eastAsiaTheme="minorEastAsia" w:hAnsi="DengXian"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581">
      <w:marLeft w:val="200"/>
      <w:marRight w:val="0"/>
      <w:marTop w:val="0"/>
      <w:marBottom w:val="0"/>
      <w:divBdr>
        <w:top w:val="none" w:sz="0" w:space="0" w:color="auto"/>
        <w:left w:val="none" w:sz="0" w:space="0" w:color="auto"/>
        <w:bottom w:val="none" w:sz="0" w:space="0" w:color="auto"/>
        <w:right w:val="none" w:sz="0" w:space="0" w:color="auto"/>
      </w:divBdr>
      <w:divsChild>
        <w:div w:id="1365792270">
          <w:marLeft w:val="0"/>
          <w:marRight w:val="0"/>
          <w:marTop w:val="319"/>
          <w:marBottom w:val="0"/>
          <w:divBdr>
            <w:top w:val="none" w:sz="0" w:space="0" w:color="auto"/>
            <w:left w:val="none" w:sz="0" w:space="0" w:color="auto"/>
            <w:bottom w:val="none" w:sz="0" w:space="0" w:color="auto"/>
            <w:right w:val="none" w:sz="0" w:space="0" w:color="auto"/>
          </w:divBdr>
          <w:divsChild>
            <w:div w:id="523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1615">
      <w:marLeft w:val="20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3463862-1&amp;h=1158377388&amp;u=https%3A%2F%2Fwww.tetragoninv.com%2F&amp;a=www.tetragoninv.com" TargetMode="External"/><Relationship Id="rId3" Type="http://schemas.openxmlformats.org/officeDocument/2006/relationships/webSettings" Target="webSettings.xml"/><Relationship Id="rId7" Type="http://schemas.openxmlformats.org/officeDocument/2006/relationships/hyperlink" Target="https://c212.net/c/link/?t=0&amp;l=en&amp;o=3463862-1&amp;h=3760004008&amp;u=http%3A%2F%2Fwww.tetragoninv.com%2F&amp;a=www.tetragoninv.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212.net/c/link/?t=0&amp;l=en&amp;o=3463862-1&amp;h=837997395&amp;u=https%3A%2F%2Fmma.prnewswire.com%2Fmedia%2F1760325%2FTetraInfo.jpg&amp;a=https%3A%2F%2Fmma.prnewswire.com%2Fmedia%2F1760325%2FTetraInfo.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o-tetragon@prosek.com" TargetMode="External"/><Relationship Id="rId4" Type="http://schemas.openxmlformats.org/officeDocument/2006/relationships/footnotes" Target="footnotes.xml"/><Relationship Id="rId9" Type="http://schemas.openxmlformats.org/officeDocument/2006/relationships/hyperlink" Target="mailto:ir@tetragonin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4250</Characters>
  <Application>Microsoft Office Word</Application>
  <DocSecurity>0</DocSecurity>
  <Lines>35</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Mak</dc:creator>
  <cp:keywords/>
  <dc:description/>
  <cp:lastModifiedBy>Joanna Mak</cp:lastModifiedBy>
  <cp:revision>2</cp:revision>
  <dcterms:created xsi:type="dcterms:W3CDTF">2022-03-06T22:47:00Z</dcterms:created>
  <dcterms:modified xsi:type="dcterms:W3CDTF">2022-03-06T22:47:00Z</dcterms:modified>
</cp:coreProperties>
</file>