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E5" w:rsidRPr="00B45633" w:rsidRDefault="00A45BE5" w:rsidP="00A45BE5">
      <w:pPr>
        <w:pStyle w:val="BodyText"/>
        <w:spacing w:after="0" w:line="240" w:lineRule="auto"/>
        <w:ind w:right="340"/>
        <w:rPr>
          <w:rFonts w:asciiTheme="minorHAnsi" w:hAnsiTheme="minorHAnsi"/>
          <w:b/>
          <w:sz w:val="22"/>
          <w:szCs w:val="22"/>
        </w:rPr>
      </w:pPr>
      <w:r>
        <w:rPr>
          <w:rFonts w:asciiTheme="minorHAnsi" w:hAnsiTheme="minorHAnsi"/>
          <w:b/>
          <w:sz w:val="22"/>
          <w:szCs w:val="22"/>
        </w:rPr>
        <w:t>SHELL</w:t>
      </w:r>
      <w:r w:rsidRPr="00B45633">
        <w:rPr>
          <w:rFonts w:asciiTheme="minorHAnsi" w:hAnsiTheme="minorHAnsi"/>
          <w:b/>
          <w:sz w:val="22"/>
          <w:szCs w:val="22"/>
        </w:rPr>
        <w:t xml:space="preserve"> </w:t>
      </w:r>
      <w:r w:rsidR="00446406">
        <w:rPr>
          <w:rFonts w:asciiTheme="minorHAnsi" w:hAnsiTheme="minorHAnsi"/>
          <w:b/>
          <w:sz w:val="22"/>
          <w:szCs w:val="22"/>
        </w:rPr>
        <w:t xml:space="preserve">UPSIZES </w:t>
      </w:r>
      <w:r w:rsidRPr="00B45633">
        <w:rPr>
          <w:rFonts w:asciiTheme="minorHAnsi" w:hAnsiTheme="minorHAnsi"/>
          <w:b/>
          <w:sz w:val="22"/>
          <w:szCs w:val="22"/>
        </w:rPr>
        <w:t xml:space="preserve">SELL DOWN OF SHARES IN </w:t>
      </w:r>
      <w:r>
        <w:rPr>
          <w:rFonts w:asciiTheme="minorHAnsi" w:hAnsiTheme="minorHAnsi"/>
          <w:b/>
          <w:sz w:val="22"/>
          <w:szCs w:val="22"/>
        </w:rPr>
        <w:t>WOODSIDE</w:t>
      </w:r>
      <w:r w:rsidRPr="00B45633">
        <w:rPr>
          <w:rFonts w:asciiTheme="minorHAnsi" w:hAnsiTheme="minorHAnsi"/>
          <w:b/>
          <w:sz w:val="22"/>
          <w:szCs w:val="22"/>
        </w:rPr>
        <w:t xml:space="preserve"> </w:t>
      </w:r>
    </w:p>
    <w:p w:rsidR="00A45BE5" w:rsidRDefault="00A45BE5" w:rsidP="009E2EE3">
      <w:pPr>
        <w:jc w:val="both"/>
        <w:rPr>
          <w:b/>
          <w:bCs/>
        </w:rPr>
      </w:pPr>
    </w:p>
    <w:p w:rsidR="009E2EE3" w:rsidRDefault="009E2EE3" w:rsidP="009E2EE3">
      <w:pPr>
        <w:jc w:val="both"/>
        <w:rPr>
          <w:b/>
          <w:bCs/>
        </w:rPr>
      </w:pPr>
      <w:r>
        <w:rPr>
          <w:b/>
          <w:bCs/>
        </w:rPr>
        <w:t xml:space="preserve">The Hague, November 13, 2017. </w:t>
      </w:r>
      <w:r w:rsidR="00A45BE5">
        <w:rPr>
          <w:b/>
          <w:bCs/>
        </w:rPr>
        <w:t xml:space="preserve">Further to the announcement on November 13, 2017, </w:t>
      </w:r>
      <w:r>
        <w:rPr>
          <w:b/>
          <w:bCs/>
        </w:rPr>
        <w:t xml:space="preserve">Royal Dutch Shell plc (“Shell”) </w:t>
      </w:r>
      <w:r w:rsidR="00A45BE5" w:rsidRPr="00B45633">
        <w:rPr>
          <w:rFonts w:cs="Verdana"/>
        </w:rPr>
        <w:t xml:space="preserve">confirms </w:t>
      </w:r>
      <w:r w:rsidR="00446406">
        <w:rPr>
          <w:rFonts w:cs="Verdana"/>
        </w:rPr>
        <w:t xml:space="preserve">that, following strong demand from institutional investors, </w:t>
      </w:r>
      <w:r w:rsidR="006874C5">
        <w:rPr>
          <w:rFonts w:cs="Arial"/>
        </w:rPr>
        <w:t>Shell Energy Holdings Australia Limited</w:t>
      </w:r>
      <w:r w:rsidR="0096089C">
        <w:rPr>
          <w:rFonts w:cs="Arial"/>
        </w:rPr>
        <w:t xml:space="preserve"> </w:t>
      </w:r>
      <w:bookmarkStart w:id="0" w:name="_GoBack"/>
      <w:bookmarkEnd w:id="0"/>
      <w:r w:rsidR="006874C5" w:rsidRPr="00B45633">
        <w:rPr>
          <w:rFonts w:cs="Arial"/>
        </w:rPr>
        <w:t>(“</w:t>
      </w:r>
      <w:r w:rsidR="006874C5">
        <w:rPr>
          <w:rFonts w:cs="Arial"/>
        </w:rPr>
        <w:t>SEHAL</w:t>
      </w:r>
      <w:r w:rsidR="006874C5" w:rsidRPr="00B45633">
        <w:rPr>
          <w:rFonts w:cs="Arial"/>
        </w:rPr>
        <w:t>”)</w:t>
      </w:r>
      <w:r w:rsidR="00446406">
        <w:rPr>
          <w:rFonts w:cs="Verdana"/>
        </w:rPr>
        <w:t xml:space="preserve"> has upsized </w:t>
      </w:r>
      <w:r w:rsidR="00A45BE5" w:rsidRPr="002F43D6">
        <w:rPr>
          <w:bCs/>
        </w:rPr>
        <w:t xml:space="preserve">its previously announced </w:t>
      </w:r>
      <w:r w:rsidRPr="002F43D6">
        <w:rPr>
          <w:bCs/>
        </w:rPr>
        <w:t>agreement to sell shares in Woodside Petroleum Limited (“Woodside”).</w:t>
      </w:r>
      <w:r>
        <w:rPr>
          <w:b/>
          <w:bCs/>
        </w:rPr>
        <w:t xml:space="preserve"> </w:t>
      </w:r>
      <w:r w:rsidR="00A45BE5">
        <w:t xml:space="preserve">A total of </w:t>
      </w:r>
      <w:r w:rsidR="00776DD4">
        <w:t>111.8 million</w:t>
      </w:r>
      <w:r w:rsidR="00A45BE5">
        <w:t xml:space="preserve"> shares were </w:t>
      </w:r>
      <w:r w:rsidR="005220BB">
        <w:t xml:space="preserve">agreed to be </w:t>
      </w:r>
      <w:r w:rsidR="00A45BE5">
        <w:t xml:space="preserve">sold, representing </w:t>
      </w:r>
      <w:r w:rsidR="00776DD4">
        <w:t>13.28%</w:t>
      </w:r>
      <w:r w:rsidR="00A45BE5">
        <w:t xml:space="preserve"> of the issued share capital of Woodside and </w:t>
      </w:r>
      <w:r w:rsidR="00291D8B">
        <w:t>the entirety</w:t>
      </w:r>
      <w:r w:rsidR="00A45BE5">
        <w:t xml:space="preserve"> of </w:t>
      </w:r>
      <w:r w:rsidR="006874C5">
        <w:t>SEHAL</w:t>
      </w:r>
      <w:r w:rsidR="006874C5">
        <w:t xml:space="preserve">’s </w:t>
      </w:r>
      <w:r w:rsidR="00A45BE5">
        <w:t>total shareholding in Woodside</w:t>
      </w:r>
      <w:r w:rsidR="00291D8B">
        <w:t>,</w:t>
      </w:r>
      <w:r w:rsidR="00A45BE5">
        <w:t xml:space="preserve"> for total pre-tax proceeds of $</w:t>
      </w:r>
      <w:r w:rsidR="00776DD4">
        <w:t>2.7</w:t>
      </w:r>
      <w:r w:rsidR="00A45BE5">
        <w:t xml:space="preserve"> billion (A$</w:t>
      </w:r>
      <w:r w:rsidR="00776DD4">
        <w:t>3.5</w:t>
      </w:r>
      <w:r w:rsidR="00A45BE5">
        <w:t xml:space="preserve"> billion)</w:t>
      </w:r>
      <w:r>
        <w:rPr>
          <w:b/>
          <w:bCs/>
        </w:rPr>
        <w:t xml:space="preserve">. </w:t>
      </w:r>
    </w:p>
    <w:p w:rsidR="009E2EE3" w:rsidRDefault="00446406" w:rsidP="009E2EE3">
      <w:pPr>
        <w:jc w:val="both"/>
      </w:pPr>
      <w:r>
        <w:t>Completion is expected to take place</w:t>
      </w:r>
      <w:r w:rsidR="00A139CC">
        <w:t xml:space="preserve"> </w:t>
      </w:r>
      <w:r w:rsidR="009E2EE3">
        <w:t xml:space="preserve">on November </w:t>
      </w:r>
      <w:r w:rsidR="002F43D6">
        <w:t>14</w:t>
      </w:r>
      <w:r w:rsidR="009E2EE3">
        <w:t>, 2017</w:t>
      </w:r>
      <w:r w:rsidR="002F43D6">
        <w:t xml:space="preserve">, with settlement expected </w:t>
      </w:r>
      <w:r w:rsidR="00A733C5">
        <w:t xml:space="preserve">on </w:t>
      </w:r>
      <w:r w:rsidR="002F43D6">
        <w:t>November 16, 2017.</w:t>
      </w:r>
    </w:p>
    <w:p w:rsidR="009E2EE3" w:rsidRDefault="009E2EE3" w:rsidP="009E2EE3">
      <w:pPr>
        <w:jc w:val="both"/>
      </w:pPr>
    </w:p>
    <w:p w:rsidR="00F30763" w:rsidRDefault="00F30763" w:rsidP="00F30763">
      <w:pPr>
        <w:pStyle w:val="Heading3"/>
        <w:shd w:val="clear" w:color="auto" w:fill="FFFFFF"/>
        <w:textAlignment w:val="baseline"/>
        <w:rPr>
          <w:rFonts w:ascii="inherit" w:hAnsi="inherit" w:cs="Arial"/>
          <w:color w:val="404040"/>
        </w:rPr>
      </w:pPr>
      <w:bookmarkStart w:id="1" w:name="_Hlk498319969"/>
      <w:r>
        <w:rPr>
          <w:rFonts w:ascii="inherit" w:hAnsi="inherit" w:cs="Arial"/>
          <w:color w:val="404040"/>
        </w:rPr>
        <w:t>Enquiries</w:t>
      </w:r>
    </w:p>
    <w:p w:rsidR="00F30763" w:rsidRDefault="00F30763" w:rsidP="00F30763">
      <w:pPr>
        <w:pStyle w:val="NormalWeb"/>
        <w:shd w:val="clear" w:color="auto" w:fill="FFFFFF"/>
        <w:spacing w:before="0" w:after="0"/>
        <w:textAlignment w:val="baseline"/>
        <w:rPr>
          <w:rFonts w:ascii="inherit" w:hAnsi="inherit" w:cs="Arial"/>
          <w:color w:val="404040"/>
          <w:sz w:val="21"/>
          <w:szCs w:val="21"/>
        </w:rPr>
      </w:pPr>
      <w:r>
        <w:rPr>
          <w:rStyle w:val="Strong"/>
          <w:rFonts w:ascii="inherit" w:hAnsi="inherit" w:cs="Arial"/>
          <w:color w:val="404040"/>
          <w:sz w:val="21"/>
          <w:szCs w:val="21"/>
          <w:bdr w:val="none" w:sz="0" w:space="0" w:color="auto" w:frame="1"/>
        </w:rPr>
        <w:t>Investor Relations </w:t>
      </w:r>
      <w:r>
        <w:rPr>
          <w:rFonts w:ascii="inherit" w:hAnsi="inherit" w:cs="Arial"/>
          <w:b/>
          <w:bCs/>
          <w:color w:val="404040"/>
          <w:sz w:val="21"/>
          <w:szCs w:val="21"/>
          <w:bdr w:val="none" w:sz="0" w:space="0" w:color="auto" w:frame="1"/>
        </w:rPr>
        <w:br/>
      </w:r>
      <w:r>
        <w:rPr>
          <w:rFonts w:ascii="inherit" w:hAnsi="inherit" w:cs="Arial"/>
          <w:color w:val="404040"/>
          <w:sz w:val="21"/>
          <w:szCs w:val="21"/>
        </w:rPr>
        <w:t>International: +31 70 377 4540</w:t>
      </w:r>
      <w:r>
        <w:rPr>
          <w:rFonts w:ascii="inherit" w:hAnsi="inherit" w:cs="Arial"/>
          <w:color w:val="404040"/>
          <w:sz w:val="21"/>
          <w:szCs w:val="21"/>
        </w:rPr>
        <w:br/>
        <w:t>North America: +1 832 337 2034</w:t>
      </w:r>
    </w:p>
    <w:p w:rsidR="00F30763" w:rsidRDefault="00F30763" w:rsidP="00F30763">
      <w:pPr>
        <w:pStyle w:val="NormalWeb"/>
        <w:shd w:val="clear" w:color="auto" w:fill="FFFFFF"/>
        <w:spacing w:before="0" w:after="0"/>
        <w:textAlignment w:val="baseline"/>
        <w:rPr>
          <w:rFonts w:ascii="inherit" w:hAnsi="inherit" w:cs="Arial"/>
          <w:color w:val="404040"/>
          <w:sz w:val="21"/>
          <w:szCs w:val="21"/>
        </w:rPr>
      </w:pPr>
      <w:r>
        <w:rPr>
          <w:rStyle w:val="Strong"/>
          <w:rFonts w:ascii="inherit" w:hAnsi="inherit" w:cs="Arial"/>
          <w:color w:val="404040"/>
          <w:sz w:val="21"/>
          <w:szCs w:val="21"/>
          <w:bdr w:val="none" w:sz="0" w:space="0" w:color="auto" w:frame="1"/>
        </w:rPr>
        <w:t>Media</w:t>
      </w:r>
    </w:p>
    <w:p w:rsidR="00F30763" w:rsidRDefault="00F30763" w:rsidP="00F30763">
      <w:pPr>
        <w:pStyle w:val="NormalWeb"/>
        <w:shd w:val="clear" w:color="auto" w:fill="FFFFFF"/>
        <w:textAlignment w:val="baseline"/>
        <w:rPr>
          <w:rFonts w:ascii="inherit" w:hAnsi="inherit" w:cs="Arial"/>
          <w:color w:val="404040"/>
          <w:sz w:val="21"/>
          <w:szCs w:val="21"/>
        </w:rPr>
      </w:pPr>
      <w:r w:rsidRPr="00474927">
        <w:rPr>
          <w:rFonts w:ascii="inherit" w:hAnsi="inherit" w:cs="Arial"/>
          <w:color w:val="404040"/>
          <w:sz w:val="21"/>
          <w:szCs w:val="21"/>
        </w:rPr>
        <w:t>Shell Australia Media Relations: +61 417-007-344</w:t>
      </w:r>
      <w:r>
        <w:rPr>
          <w:rFonts w:ascii="inherit" w:hAnsi="inherit" w:cs="Arial"/>
          <w:color w:val="404040"/>
          <w:sz w:val="21"/>
          <w:szCs w:val="21"/>
        </w:rPr>
        <w:br/>
        <w:t>Shell International Media Relations: +44 207 934 5550</w:t>
      </w:r>
      <w:r>
        <w:rPr>
          <w:rFonts w:ascii="inherit" w:hAnsi="inherit" w:cs="Arial"/>
          <w:color w:val="404040"/>
          <w:sz w:val="21"/>
          <w:szCs w:val="21"/>
        </w:rPr>
        <w:br/>
        <w:t xml:space="preserve">Shell US Media Relations: </w:t>
      </w:r>
      <w:r w:rsidRPr="00F33A5D">
        <w:rPr>
          <w:rFonts w:ascii="inherit" w:hAnsi="inherit" w:cs="Arial"/>
          <w:color w:val="404040"/>
          <w:sz w:val="21"/>
          <w:szCs w:val="21"/>
        </w:rPr>
        <w:t>+1 832 337 4355</w:t>
      </w:r>
    </w:p>
    <w:p w:rsidR="00F30763" w:rsidRDefault="00F30763" w:rsidP="00F30763">
      <w:pPr>
        <w:pStyle w:val="NormalWeb"/>
        <w:shd w:val="clear" w:color="auto" w:fill="FFFFFF"/>
        <w:spacing w:before="0" w:after="0"/>
        <w:textAlignment w:val="baseline"/>
        <w:rPr>
          <w:rFonts w:ascii="inherit" w:hAnsi="inherit" w:cs="Arial"/>
          <w:color w:val="404040"/>
          <w:sz w:val="21"/>
          <w:szCs w:val="21"/>
        </w:rPr>
      </w:pPr>
      <w:r>
        <w:rPr>
          <w:rStyle w:val="Strong"/>
          <w:rFonts w:ascii="inherit" w:hAnsi="inherit" w:cs="Arial"/>
          <w:color w:val="404040"/>
          <w:sz w:val="21"/>
          <w:szCs w:val="21"/>
          <w:bdr w:val="none" w:sz="0" w:space="0" w:color="auto" w:frame="1"/>
        </w:rPr>
        <w:t>Cautionary note</w:t>
      </w:r>
    </w:p>
    <w:p w:rsidR="00F30763" w:rsidRDefault="00F30763" w:rsidP="00F30763">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subsidiaries in general or to those who work for them. These expressions are also used where no useful purpose is served by identifying the </w:t>
      </w:r>
      <w:proofErr w:type="gramStart"/>
      <w:r>
        <w:rPr>
          <w:rFonts w:ascii="inherit" w:hAnsi="inherit" w:cs="Arial"/>
          <w:color w:val="404040"/>
          <w:sz w:val="21"/>
          <w:szCs w:val="21"/>
        </w:rPr>
        <w:t>particular company</w:t>
      </w:r>
      <w:proofErr w:type="gramEnd"/>
      <w:r>
        <w:rPr>
          <w:rFonts w:ascii="inherit" w:hAnsi="inherit" w:cs="Arial"/>
          <w:color w:val="404040"/>
          <w:sz w:val="21"/>
          <w:szCs w:val="21"/>
        </w:rPr>
        <w:t xml:space="preserve"> or companies. ‘‘Subsidiaries’’, “Shell subsidiaries” and “Shell companies” as used in this announcement refer to companies over which Royal Dutch Shell </w:t>
      </w:r>
      <w:proofErr w:type="gramStart"/>
      <w:r>
        <w:rPr>
          <w:rFonts w:ascii="inherit" w:hAnsi="inherit" w:cs="Arial"/>
          <w:color w:val="404040"/>
          <w:sz w:val="21"/>
          <w:szCs w:val="21"/>
        </w:rPr>
        <w:t>plc  either</w:t>
      </w:r>
      <w:proofErr w:type="gramEnd"/>
      <w:r>
        <w:rPr>
          <w:rFonts w:ascii="inherit" w:hAnsi="inherit" w:cs="Arial"/>
          <w:color w:val="404040"/>
          <w:sz w:val="21"/>
          <w:szCs w:val="21"/>
        </w:rPr>
        <w:t xml:space="preserve">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 venture, partnership or company, after exclusion of all third-party interest.</w:t>
      </w:r>
    </w:p>
    <w:p w:rsidR="00F30763" w:rsidRDefault="00F30763" w:rsidP="00F30763">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 xml:space="preserve">This announcement contains forward-looking statements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‘‘anticipate’’, ‘‘believe’’, ‘‘could’’, </w:t>
      </w:r>
      <w:r>
        <w:rPr>
          <w:rFonts w:ascii="inherit" w:hAnsi="inherit" w:cs="Arial"/>
          <w:color w:val="404040"/>
          <w:sz w:val="21"/>
          <w:szCs w:val="21"/>
        </w:rPr>
        <w:lastRenderedPageBreak/>
        <w:t>‘‘estimate’’,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w:t>
      </w:r>
      <w:proofErr w:type="spellStart"/>
      <w:r>
        <w:rPr>
          <w:rFonts w:ascii="inherit" w:hAnsi="inherit" w:cs="Arial"/>
          <w:color w:val="404040"/>
          <w:sz w:val="21"/>
          <w:szCs w:val="21"/>
        </w:rPr>
        <w:t>i</w:t>
      </w:r>
      <w:proofErr w:type="spellEnd"/>
      <w:r>
        <w:rPr>
          <w:rFonts w:ascii="inherit" w:hAnsi="inherit" w:cs="Arial"/>
          <w:color w:val="404040"/>
          <w:sz w:val="21"/>
          <w:szCs w:val="21"/>
        </w:rPr>
        <w:t xml:space="preserve">)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w:t>
      </w:r>
      <w:r w:rsidRPr="003A39F9">
        <w:rPr>
          <w:rFonts w:ascii="inherit" w:hAnsi="inherit" w:cs="Arial"/>
          <w:color w:val="404040"/>
          <w:sz w:val="21"/>
          <w:szCs w:val="21"/>
        </w:rPr>
        <w:t>No assurance is provided that future dividend payments will match or exceed previous dividend payments</w:t>
      </w:r>
      <w:r>
        <w:rPr>
          <w:rFonts w:ascii="inherit" w:hAnsi="inherit" w:cs="Arial"/>
          <w:color w:val="404040"/>
          <w:sz w:val="21"/>
          <w:szCs w:val="21"/>
        </w:rPr>
        <w:t xml:space="preserve">. All forward-looking statements contained in this announcement are expressly qualified in their entirety by the cautionary statements contained or referred to in this announcement. Readers should not place undue reliance on forward-looking statements. Additional risk factors that may affect future results are contained in Royal Dutch Shell’s 20-F for the year ended December 31, 2016 (available at www.shell.com/investor and www.sec.gov). These risk factors also expressly qualify all </w:t>
      </w:r>
      <w:proofErr w:type="gramStart"/>
      <w:r>
        <w:rPr>
          <w:rFonts w:ascii="inherit" w:hAnsi="inherit" w:cs="Arial"/>
          <w:color w:val="404040"/>
          <w:sz w:val="21"/>
          <w:szCs w:val="21"/>
        </w:rPr>
        <w:t>forward looking</w:t>
      </w:r>
      <w:proofErr w:type="gramEnd"/>
      <w:r>
        <w:rPr>
          <w:rFonts w:ascii="inherit" w:hAnsi="inherit" w:cs="Arial"/>
          <w:color w:val="404040"/>
          <w:sz w:val="21"/>
          <w:szCs w:val="21"/>
        </w:rPr>
        <w:t xml:space="preserve"> statements contained in this announcement and should be considered by the reader.  Each forward-looking statement speaks only as of the date of this announcement</w:t>
      </w:r>
      <w:r w:rsidRPr="00474927">
        <w:rPr>
          <w:rFonts w:ascii="inherit" w:hAnsi="inherit" w:cs="Arial"/>
          <w:color w:val="404040"/>
          <w:sz w:val="21"/>
          <w:szCs w:val="21"/>
        </w:rPr>
        <w:t>, November 13,</w:t>
      </w:r>
      <w:r>
        <w:rPr>
          <w:rFonts w:ascii="inherit" w:hAnsi="inherit" w:cs="Arial"/>
          <w:color w:val="404040"/>
          <w:sz w:val="21"/>
          <w:szCs w:val="21"/>
        </w:rPr>
        <w:t xml:space="preserve"> 2017. Neither Royal Dutch Shell plc nor any of its subsidiaries undertake any obligation to publicly update or revise any forward-looking statement </w:t>
      </w:r>
      <w:proofErr w:type="gramStart"/>
      <w:r>
        <w:rPr>
          <w:rFonts w:ascii="inherit" w:hAnsi="inherit" w:cs="Arial"/>
          <w:color w:val="404040"/>
          <w:sz w:val="21"/>
          <w:szCs w:val="21"/>
        </w:rPr>
        <w:t>as a result of</w:t>
      </w:r>
      <w:proofErr w:type="gramEnd"/>
      <w:r>
        <w:rPr>
          <w:rFonts w:ascii="inherit" w:hAnsi="inherit" w:cs="Arial"/>
          <w:color w:val="404040"/>
          <w:sz w:val="21"/>
          <w:szCs w:val="21"/>
        </w:rPr>
        <w:t xml:space="preserve"> new information, future events or other information. </w:t>
      </w:r>
      <w:proofErr w:type="gramStart"/>
      <w:r>
        <w:rPr>
          <w:rFonts w:ascii="inherit" w:hAnsi="inherit" w:cs="Arial"/>
          <w:color w:val="404040"/>
          <w:sz w:val="21"/>
          <w:szCs w:val="21"/>
        </w:rPr>
        <w:t>In light of</w:t>
      </w:r>
      <w:proofErr w:type="gramEnd"/>
      <w:r>
        <w:rPr>
          <w:rFonts w:ascii="inherit" w:hAnsi="inherit" w:cs="Arial"/>
          <w:color w:val="404040"/>
          <w:sz w:val="21"/>
          <w:szCs w:val="21"/>
        </w:rPr>
        <w:t xml:space="preserve"> these risks, results could differ materially from those stated, implied or inferred from the forward-looking statements contained in this announcement.</w:t>
      </w:r>
    </w:p>
    <w:p w:rsidR="00F30763" w:rsidRDefault="00F30763" w:rsidP="00F30763">
      <w:pPr>
        <w:pStyle w:val="NormalWeb"/>
        <w:shd w:val="clear" w:color="auto" w:fill="FFFFFF"/>
        <w:spacing w:before="0" w:after="0"/>
        <w:textAlignment w:val="baseline"/>
        <w:rPr>
          <w:rFonts w:ascii="inherit" w:hAnsi="inherit" w:cs="Arial"/>
          <w:color w:val="404040"/>
          <w:sz w:val="21"/>
          <w:szCs w:val="21"/>
        </w:rPr>
      </w:pPr>
      <w:r>
        <w:rPr>
          <w:rStyle w:val="Emphasis"/>
          <w:rFonts w:ascii="inherit" w:hAnsi="inherit" w:cs="Arial"/>
          <w:color w:val="404040"/>
          <w:sz w:val="21"/>
          <w:szCs w:val="21"/>
          <w:bdr w:val="none" w:sz="0" w:space="0" w:color="auto" w:frame="1"/>
        </w:rPr>
        <w:t>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t>
      </w:r>
      <w:hyperlink r:id="rId4" w:tgtFrame="_blank" w:history="1">
        <w:r>
          <w:rPr>
            <w:rStyle w:val="Hyperlink"/>
            <w:rFonts w:ascii="inherit" w:hAnsi="inherit" w:cs="Arial"/>
            <w:b/>
            <w:bCs/>
            <w:sz w:val="21"/>
            <w:szCs w:val="21"/>
            <w:bdr w:val="none" w:sz="0" w:space="0" w:color="auto" w:frame="1"/>
          </w:rPr>
          <w:t>www.sec.gov</w:t>
        </w:r>
      </w:hyperlink>
    </w:p>
    <w:p w:rsidR="00F30763" w:rsidRDefault="00F30763" w:rsidP="00F30763">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LEI number of Royal Dutch Shell plc: 21380068P1DRHMJ8KU70</w:t>
      </w:r>
    </w:p>
    <w:p w:rsidR="00F30763" w:rsidRDefault="00F30763" w:rsidP="00F30763">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Classification: None</w:t>
      </w:r>
    </w:p>
    <w:bookmarkEnd w:id="1"/>
    <w:p w:rsidR="00B40566" w:rsidRDefault="00B40566"/>
    <w:sectPr w:rsidR="00B40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66"/>
    <w:rsid w:val="00047D60"/>
    <w:rsid w:val="00270312"/>
    <w:rsid w:val="00291D8B"/>
    <w:rsid w:val="002F43D6"/>
    <w:rsid w:val="003A6D16"/>
    <w:rsid w:val="00446406"/>
    <w:rsid w:val="004C1B5B"/>
    <w:rsid w:val="005220BB"/>
    <w:rsid w:val="005A6528"/>
    <w:rsid w:val="006874C5"/>
    <w:rsid w:val="006D35BB"/>
    <w:rsid w:val="00776DD4"/>
    <w:rsid w:val="009541BB"/>
    <w:rsid w:val="0096089C"/>
    <w:rsid w:val="009E2EE3"/>
    <w:rsid w:val="00A1079D"/>
    <w:rsid w:val="00A139CC"/>
    <w:rsid w:val="00A45BE5"/>
    <w:rsid w:val="00A733C5"/>
    <w:rsid w:val="00B40566"/>
    <w:rsid w:val="00D4123C"/>
    <w:rsid w:val="00D51EE0"/>
    <w:rsid w:val="00DD51DB"/>
    <w:rsid w:val="00F30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34622"/>
  <w15:docId w15:val="{0F0F3708-D3F5-4918-AD82-41FD7A3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30763"/>
    <w:pPr>
      <w:keepNext/>
      <w:keepLines/>
      <w:spacing w:before="200" w:after="0"/>
      <w:outlineLvl w:val="2"/>
    </w:pPr>
    <w:rPr>
      <w:rFonts w:asciiTheme="majorHAnsi" w:eastAsiaTheme="majorEastAsia" w:hAnsiTheme="majorHAnsi" w:cstheme="majorBidi"/>
      <w:b/>
      <w:bCs/>
      <w:color w:val="4F81BD" w:themeColor="accent1"/>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 Paragraph1,FooterText,Bullet List,numbered,Paragraphe de liste1,Bulletr List Paragraph,列出段落,列出段落1,Listeafsnit1,Parágrafo da Lista1,List Paragraph2,List Paragraph21,Párrafo de lista1,リスト段落1"/>
    <w:basedOn w:val="Normal"/>
    <w:link w:val="ListParagraphChar"/>
    <w:uiPriority w:val="34"/>
    <w:qFormat/>
    <w:rsid w:val="00B40566"/>
    <w:pPr>
      <w:ind w:left="720"/>
      <w:contextualSpacing/>
    </w:pPr>
    <w:rPr>
      <w:rFonts w:eastAsiaTheme="minorEastAsia"/>
      <w:lang w:val="en-AU" w:eastAsia="en-AU"/>
    </w:rPr>
  </w:style>
  <w:style w:type="character" w:customStyle="1" w:styleId="ListParagraphChar">
    <w:name w:val="List Paragraph Char"/>
    <w:aliases w:val="Bullet points Char,List Paragraph1 Char,FooterText Char,Bullet List Char,numbered Char,Paragraphe de liste1 Char,Bulletr List Paragraph Char,列出段落 Char,列出段落1 Char,Listeafsnit1 Char,Parágrafo da Lista1 Char,List Paragraph2 Char"/>
    <w:basedOn w:val="DefaultParagraphFont"/>
    <w:link w:val="ListParagraph"/>
    <w:uiPriority w:val="34"/>
    <w:locked/>
    <w:rsid w:val="00B40566"/>
    <w:rPr>
      <w:rFonts w:eastAsiaTheme="minorEastAsia"/>
      <w:lang w:val="en-AU" w:eastAsia="en-AU"/>
    </w:rPr>
  </w:style>
  <w:style w:type="paragraph" w:customStyle="1" w:styleId="BodyText">
    <w:name w:val="BodyText"/>
    <w:basedOn w:val="Normal"/>
    <w:uiPriority w:val="99"/>
    <w:rsid w:val="00A45BE5"/>
    <w:pPr>
      <w:spacing w:after="300" w:line="350" w:lineRule="exact"/>
      <w:ind w:right="567"/>
      <w:jc w:val="both"/>
    </w:pPr>
    <w:rPr>
      <w:rFonts w:ascii="Garamond" w:eastAsia="Times New Roman" w:hAnsi="Garamond" w:cs="Times New Roman"/>
      <w:sz w:val="24"/>
      <w:szCs w:val="20"/>
      <w:lang w:eastAsia="en-AU"/>
    </w:rPr>
  </w:style>
  <w:style w:type="paragraph" w:styleId="BalloonText">
    <w:name w:val="Balloon Text"/>
    <w:basedOn w:val="Normal"/>
    <w:link w:val="BalloonTextChar"/>
    <w:uiPriority w:val="99"/>
    <w:semiHidden/>
    <w:unhideWhenUsed/>
    <w:rsid w:val="004C1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5B"/>
    <w:rPr>
      <w:rFonts w:ascii="Segoe UI" w:hAnsi="Segoe UI" w:cs="Segoe UI"/>
      <w:sz w:val="18"/>
      <w:szCs w:val="18"/>
    </w:rPr>
  </w:style>
  <w:style w:type="character" w:customStyle="1" w:styleId="Heading3Char">
    <w:name w:val="Heading 3 Char"/>
    <w:basedOn w:val="DefaultParagraphFont"/>
    <w:link w:val="Heading3"/>
    <w:uiPriority w:val="9"/>
    <w:semiHidden/>
    <w:rsid w:val="00F30763"/>
    <w:rPr>
      <w:rFonts w:asciiTheme="majorHAnsi" w:eastAsiaTheme="majorEastAsia" w:hAnsiTheme="majorHAnsi" w:cstheme="majorBidi"/>
      <w:b/>
      <w:bCs/>
      <w:color w:val="4F81BD" w:themeColor="accent1"/>
      <w:lang w:val="en-AU" w:eastAsia="en-AU"/>
    </w:rPr>
  </w:style>
  <w:style w:type="character" w:styleId="Hyperlink">
    <w:name w:val="Hyperlink"/>
    <w:basedOn w:val="DefaultParagraphFont"/>
    <w:uiPriority w:val="99"/>
    <w:unhideWhenUsed/>
    <w:rsid w:val="00F30763"/>
    <w:rPr>
      <w:color w:val="0000FF"/>
      <w:u w:val="single"/>
    </w:rPr>
  </w:style>
  <w:style w:type="paragraph" w:styleId="NormalWeb">
    <w:name w:val="Normal (Web)"/>
    <w:basedOn w:val="Normal"/>
    <w:uiPriority w:val="99"/>
    <w:unhideWhenUsed/>
    <w:rsid w:val="00F3076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F30763"/>
    <w:rPr>
      <w:b/>
      <w:bCs/>
    </w:rPr>
  </w:style>
  <w:style w:type="character" w:styleId="Emphasis">
    <w:name w:val="Emphasis"/>
    <w:basedOn w:val="DefaultParagraphFont"/>
    <w:uiPriority w:val="20"/>
    <w:qFormat/>
    <w:rsid w:val="00F3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6290">
      <w:bodyDiv w:val="1"/>
      <w:marLeft w:val="0"/>
      <w:marRight w:val="0"/>
      <w:marTop w:val="0"/>
      <w:marBottom w:val="0"/>
      <w:divBdr>
        <w:top w:val="none" w:sz="0" w:space="0" w:color="auto"/>
        <w:left w:val="none" w:sz="0" w:space="0" w:color="auto"/>
        <w:bottom w:val="none" w:sz="0" w:space="0" w:color="auto"/>
        <w:right w:val="none" w:sz="0" w:space="0" w:color="auto"/>
      </w:divBdr>
    </w:div>
    <w:div w:id="4622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ell.com/media/news-and-media-releases/2017/shell-divests-oil-sands-interests-in-canada/_jcr_content/par/textimage_842d.disclaimer.html/aHR0cDovL3d3dy5zZWMuZ292Lw/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Rothschild Group</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Cerys L SI-FR</dc:creator>
  <cp:lastModifiedBy>Reece, Cerys L SI-FR</cp:lastModifiedBy>
  <cp:revision>6</cp:revision>
  <dcterms:created xsi:type="dcterms:W3CDTF">2017-11-13T13:41:00Z</dcterms:created>
  <dcterms:modified xsi:type="dcterms:W3CDTF">2017-11-13T13:49:00Z</dcterms:modified>
</cp:coreProperties>
</file>