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203B" w14:textId="77777777" w:rsidR="00FF1DB0" w:rsidRPr="001B56F9" w:rsidRDefault="00B548F8" w:rsidP="001B56F9">
      <w:pPr>
        <w:pStyle w:val="WWBodyText"/>
        <w:spacing w:after="0" w:line="240" w:lineRule="auto"/>
        <w:jc w:val="center"/>
        <w:rPr>
          <w:rFonts w:ascii="Verdana" w:hAnsi="Verdana"/>
          <w:b/>
          <w:sz w:val="20"/>
          <w:szCs w:val="20"/>
        </w:rPr>
      </w:pPr>
      <w:r w:rsidRPr="001B56F9">
        <w:rPr>
          <w:rFonts w:ascii="Verdana" w:hAnsi="Verdana"/>
          <w:b/>
          <w:sz w:val="20"/>
          <w:szCs w:val="20"/>
        </w:rPr>
        <w:t>Prosus N.V.</w:t>
      </w:r>
    </w:p>
    <w:p w14:paraId="601548A7"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(Incorporated in the Netherlands)</w:t>
      </w:r>
    </w:p>
    <w:p w14:paraId="2B912AFA"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(Legal Entity Identifier: 635400Z5LQ5F9OLVT688)</w:t>
      </w:r>
    </w:p>
    <w:p w14:paraId="7B2A7968" w14:textId="77777777" w:rsidR="00FF1DB0" w:rsidRPr="001B56F9" w:rsidRDefault="00B548F8" w:rsidP="001B56F9">
      <w:pPr>
        <w:pStyle w:val="WWBodyText"/>
        <w:spacing w:after="0" w:line="240" w:lineRule="auto"/>
        <w:jc w:val="center"/>
        <w:rPr>
          <w:rFonts w:ascii="Verdana" w:hAnsi="Verdana"/>
          <w:sz w:val="20"/>
          <w:szCs w:val="20"/>
          <w:lang w:val="en-ZA"/>
        </w:rPr>
      </w:pPr>
      <w:r w:rsidRPr="001B56F9">
        <w:rPr>
          <w:rFonts w:ascii="Verdana" w:hAnsi="Verdana"/>
          <w:sz w:val="20"/>
          <w:szCs w:val="20"/>
          <w:lang w:val="en-ZA"/>
        </w:rPr>
        <w:t>AEX and JSE Share Code: PRX ISIN: NL0013654783</w:t>
      </w:r>
    </w:p>
    <w:p w14:paraId="27807AA7" w14:textId="5E2808DD" w:rsidR="00FF1DB0" w:rsidRDefault="00B548F8" w:rsidP="001B56F9">
      <w:pPr>
        <w:pStyle w:val="WWBodyText"/>
        <w:spacing w:line="240" w:lineRule="auto"/>
        <w:jc w:val="center"/>
        <w:rPr>
          <w:rFonts w:ascii="Verdana" w:hAnsi="Verdana"/>
          <w:sz w:val="20"/>
          <w:szCs w:val="20"/>
          <w:lang w:val="en-ZA"/>
        </w:rPr>
      </w:pPr>
      <w:r w:rsidRPr="001B56F9">
        <w:rPr>
          <w:rFonts w:ascii="Verdana" w:hAnsi="Verdana"/>
          <w:sz w:val="20"/>
          <w:szCs w:val="20"/>
          <w:lang w:val="en-ZA"/>
        </w:rPr>
        <w:t>(</w:t>
      </w:r>
      <w:r w:rsidRPr="001B56F9">
        <w:rPr>
          <w:rFonts w:ascii="Verdana" w:hAnsi="Verdana"/>
          <w:b/>
          <w:sz w:val="20"/>
          <w:szCs w:val="20"/>
          <w:lang w:val="en-ZA"/>
        </w:rPr>
        <w:t>Prosus</w:t>
      </w:r>
      <w:r w:rsidRPr="001B56F9">
        <w:rPr>
          <w:rFonts w:ascii="Verdana" w:hAnsi="Verdana"/>
          <w:sz w:val="20"/>
          <w:szCs w:val="20"/>
          <w:lang w:val="en-ZA"/>
        </w:rPr>
        <w:t>)</w:t>
      </w:r>
    </w:p>
    <w:p w14:paraId="40E8F0D5" w14:textId="77777777" w:rsidR="001B56F9" w:rsidRPr="001B56F9" w:rsidRDefault="001B56F9" w:rsidP="001B56F9">
      <w:pPr>
        <w:pStyle w:val="WWBodyText"/>
        <w:spacing w:line="240" w:lineRule="auto"/>
        <w:jc w:val="center"/>
        <w:rPr>
          <w:rFonts w:ascii="Verdana" w:hAnsi="Verdana"/>
          <w:sz w:val="20"/>
          <w:szCs w:val="20"/>
          <w:lang w:val="en-ZA"/>
        </w:rPr>
      </w:pPr>
    </w:p>
    <w:p w14:paraId="06EE137E" w14:textId="043A3C70" w:rsidR="00FF1DB0" w:rsidRDefault="00B548F8" w:rsidP="001B56F9">
      <w:pPr>
        <w:pStyle w:val="AOHead1"/>
        <w:numPr>
          <w:ilvl w:val="0"/>
          <w:numId w:val="0"/>
        </w:numPr>
        <w:ind w:left="720" w:hanging="720"/>
        <w:jc w:val="center"/>
        <w:rPr>
          <w:rFonts w:ascii="Verdana" w:hAnsi="Verdana"/>
          <w:sz w:val="20"/>
          <w:szCs w:val="20"/>
        </w:rPr>
      </w:pPr>
      <w:r w:rsidRPr="001B56F9">
        <w:rPr>
          <w:rFonts w:ascii="Verdana" w:hAnsi="Verdana"/>
          <w:sz w:val="20"/>
          <w:szCs w:val="20"/>
        </w:rPr>
        <w:t xml:space="preserve">Update on </w:t>
      </w:r>
      <w:r w:rsidR="00006C99">
        <w:rPr>
          <w:rFonts w:ascii="Verdana" w:hAnsi="Verdana"/>
          <w:sz w:val="20"/>
          <w:szCs w:val="20"/>
        </w:rPr>
        <w:t xml:space="preserve">PROSUS </w:t>
      </w:r>
      <w:r w:rsidRPr="001B56F9">
        <w:rPr>
          <w:rFonts w:ascii="Verdana" w:hAnsi="Verdana"/>
          <w:sz w:val="20"/>
          <w:szCs w:val="20"/>
        </w:rPr>
        <w:t xml:space="preserve">share </w:t>
      </w:r>
      <w:r w:rsidR="00A11278" w:rsidRPr="001B56F9">
        <w:rPr>
          <w:rFonts w:ascii="Verdana" w:hAnsi="Verdana"/>
          <w:sz w:val="20"/>
          <w:szCs w:val="20"/>
        </w:rPr>
        <w:t>REPURCHASE</w:t>
      </w:r>
    </w:p>
    <w:p w14:paraId="766E6C70" w14:textId="044B412D" w:rsidR="00931405" w:rsidRPr="001B56F9" w:rsidRDefault="00B548F8" w:rsidP="00E37575">
      <w:pPr>
        <w:pStyle w:val="AODocTxt"/>
        <w:rPr>
          <w:rFonts w:ascii="Verdana" w:hAnsi="Verdana"/>
          <w:sz w:val="20"/>
          <w:szCs w:val="20"/>
        </w:rPr>
      </w:pPr>
      <w:r w:rsidRPr="001B56F9">
        <w:rPr>
          <w:rFonts w:ascii="Verdana" w:hAnsi="Verdana"/>
          <w:sz w:val="20"/>
          <w:szCs w:val="20"/>
        </w:rPr>
        <w:t xml:space="preserve">Prosus today announces an update to its share repurchase programme of Prosus ordinary shares N (the </w:t>
      </w:r>
      <w:r w:rsidR="008B12F2" w:rsidRPr="00654298">
        <w:rPr>
          <w:rFonts w:ascii="Verdana" w:hAnsi="Verdana"/>
          <w:b/>
          <w:bCs/>
          <w:sz w:val="20"/>
          <w:szCs w:val="20"/>
        </w:rPr>
        <w:t xml:space="preserve">Share </w:t>
      </w:r>
      <w:r w:rsidRPr="00654298">
        <w:rPr>
          <w:rFonts w:ascii="Verdana" w:hAnsi="Verdana"/>
          <w:b/>
          <w:bCs/>
          <w:sz w:val="20"/>
          <w:szCs w:val="20"/>
        </w:rPr>
        <w:t>Repurchase</w:t>
      </w:r>
      <w:r w:rsidRPr="001B56F9">
        <w:rPr>
          <w:rFonts w:ascii="Verdana" w:hAnsi="Verdana"/>
          <w:sz w:val="20"/>
          <w:szCs w:val="20"/>
        </w:rPr>
        <w:t>)</w:t>
      </w:r>
      <w:r w:rsidR="004C1607">
        <w:rPr>
          <w:rFonts w:ascii="Verdana" w:hAnsi="Verdana"/>
          <w:sz w:val="20"/>
          <w:szCs w:val="20"/>
        </w:rPr>
        <w:t xml:space="preserve"> </w:t>
      </w:r>
      <w:r w:rsidRPr="001B56F9">
        <w:rPr>
          <w:rFonts w:ascii="Verdana" w:hAnsi="Verdana"/>
          <w:sz w:val="20"/>
          <w:szCs w:val="20"/>
        </w:rPr>
        <w:t>announced on</w:t>
      </w:r>
      <w:r w:rsidR="00DF6012" w:rsidRPr="001B56F9">
        <w:rPr>
          <w:rFonts w:ascii="Verdana" w:hAnsi="Verdana"/>
          <w:sz w:val="20"/>
          <w:szCs w:val="20"/>
        </w:rPr>
        <w:t xml:space="preserve"> 23 </w:t>
      </w:r>
      <w:r w:rsidR="007D4176">
        <w:rPr>
          <w:rFonts w:ascii="Verdana" w:hAnsi="Verdana"/>
          <w:sz w:val="20"/>
          <w:szCs w:val="20"/>
        </w:rPr>
        <w:t>August</w:t>
      </w:r>
      <w:r w:rsidR="00DF6012" w:rsidRPr="001B56F9">
        <w:rPr>
          <w:rFonts w:ascii="Verdana" w:hAnsi="Verdana"/>
          <w:sz w:val="20"/>
          <w:szCs w:val="20"/>
        </w:rPr>
        <w:t> 202</w:t>
      </w:r>
      <w:r w:rsidR="007D4176">
        <w:rPr>
          <w:rFonts w:ascii="Verdana" w:hAnsi="Verdana"/>
          <w:sz w:val="20"/>
          <w:szCs w:val="20"/>
        </w:rPr>
        <w:t>1</w:t>
      </w:r>
      <w:r w:rsidRPr="001B56F9">
        <w:rPr>
          <w:rFonts w:ascii="Verdana" w:hAnsi="Verdana"/>
          <w:sz w:val="20"/>
          <w:szCs w:val="20"/>
        </w:rPr>
        <w:t>.</w:t>
      </w:r>
    </w:p>
    <w:p w14:paraId="0542F037" w14:textId="08414933" w:rsidR="00FF1DB0" w:rsidRDefault="00B548F8" w:rsidP="00654298">
      <w:pPr>
        <w:pStyle w:val="AODocTxt"/>
        <w:rPr>
          <w:rFonts w:ascii="Verdana" w:hAnsi="Verdana"/>
          <w:sz w:val="20"/>
          <w:szCs w:val="20"/>
        </w:rPr>
      </w:pPr>
      <w:r w:rsidRPr="001B56F9">
        <w:rPr>
          <w:rFonts w:ascii="Verdana" w:hAnsi="Verdana"/>
          <w:sz w:val="20"/>
          <w:szCs w:val="20"/>
        </w:rPr>
        <w:t>As part of the Share Repurchase</w:t>
      </w:r>
      <w:r w:rsidR="00F664CD" w:rsidRPr="001B56F9">
        <w:rPr>
          <w:rFonts w:ascii="Verdana" w:hAnsi="Verdana"/>
          <w:sz w:val="20"/>
          <w:szCs w:val="20"/>
        </w:rPr>
        <w:t>,</w:t>
      </w:r>
      <w:r w:rsidRPr="001B56F9">
        <w:rPr>
          <w:rFonts w:ascii="Verdana" w:hAnsi="Verdana"/>
          <w:sz w:val="20"/>
          <w:szCs w:val="20"/>
        </w:rPr>
        <w:t xml:space="preserve"> </w:t>
      </w:r>
      <w:r w:rsidR="00931405" w:rsidRPr="001B56F9">
        <w:rPr>
          <w:rFonts w:ascii="Verdana" w:hAnsi="Verdana"/>
          <w:sz w:val="20"/>
          <w:szCs w:val="20"/>
        </w:rPr>
        <w:t xml:space="preserve">for the period between </w:t>
      </w:r>
      <w:r w:rsidR="00624317">
        <w:rPr>
          <w:rFonts w:ascii="Verdana" w:hAnsi="Verdana"/>
          <w:sz w:val="20"/>
          <w:szCs w:val="20"/>
        </w:rPr>
        <w:t>20 </w:t>
      </w:r>
      <w:r w:rsidR="00EC319E">
        <w:rPr>
          <w:rFonts w:ascii="Verdana" w:hAnsi="Verdana"/>
          <w:sz w:val="20"/>
          <w:szCs w:val="20"/>
        </w:rPr>
        <w:t>December </w:t>
      </w:r>
      <w:r w:rsidR="00DF6012" w:rsidRPr="001B56F9">
        <w:rPr>
          <w:rFonts w:ascii="Verdana" w:hAnsi="Verdana"/>
          <w:sz w:val="20"/>
          <w:szCs w:val="20"/>
        </w:rPr>
        <w:t>202</w:t>
      </w:r>
      <w:r w:rsidR="007D4176">
        <w:rPr>
          <w:rFonts w:ascii="Verdana" w:hAnsi="Verdana"/>
          <w:sz w:val="20"/>
          <w:szCs w:val="20"/>
        </w:rPr>
        <w:t>1</w:t>
      </w:r>
      <w:r w:rsidR="000524E4">
        <w:rPr>
          <w:rFonts w:ascii="Verdana" w:hAnsi="Verdana"/>
          <w:sz w:val="20"/>
          <w:szCs w:val="20"/>
        </w:rPr>
        <w:t xml:space="preserve"> </w:t>
      </w:r>
      <w:r w:rsidR="00931405" w:rsidRPr="001B56F9">
        <w:rPr>
          <w:rFonts w:ascii="Verdana" w:hAnsi="Verdana"/>
          <w:sz w:val="20"/>
          <w:szCs w:val="20"/>
        </w:rPr>
        <w:t xml:space="preserve">and </w:t>
      </w:r>
      <w:r w:rsidR="00624317">
        <w:rPr>
          <w:rFonts w:ascii="Verdana" w:hAnsi="Verdana"/>
          <w:sz w:val="20"/>
          <w:szCs w:val="20"/>
        </w:rPr>
        <w:t>24 </w:t>
      </w:r>
      <w:r w:rsidR="007B63FA">
        <w:rPr>
          <w:rFonts w:ascii="Verdana" w:hAnsi="Verdana"/>
          <w:sz w:val="20"/>
          <w:szCs w:val="20"/>
        </w:rPr>
        <w:t>December </w:t>
      </w:r>
      <w:r w:rsidR="00DF6012" w:rsidRPr="001B56F9">
        <w:rPr>
          <w:rFonts w:ascii="Verdana" w:hAnsi="Verdana"/>
          <w:sz w:val="20"/>
          <w:szCs w:val="20"/>
        </w:rPr>
        <w:t>202</w:t>
      </w:r>
      <w:r w:rsidR="007D4176">
        <w:rPr>
          <w:rFonts w:ascii="Verdana" w:hAnsi="Verdana"/>
          <w:sz w:val="20"/>
          <w:szCs w:val="20"/>
        </w:rPr>
        <w:t>1</w:t>
      </w:r>
      <w:r w:rsidR="00DF6012" w:rsidRPr="001B56F9">
        <w:rPr>
          <w:rFonts w:ascii="Verdana" w:hAnsi="Verdana"/>
          <w:sz w:val="20"/>
          <w:szCs w:val="20"/>
        </w:rPr>
        <w:t xml:space="preserve">, </w:t>
      </w:r>
      <w:r w:rsidRPr="001B56F9">
        <w:rPr>
          <w:rFonts w:ascii="Verdana" w:hAnsi="Verdana"/>
          <w:sz w:val="20"/>
          <w:szCs w:val="20"/>
        </w:rPr>
        <w:t xml:space="preserve">Prosus repurchased </w:t>
      </w:r>
      <w:r w:rsidR="00624317" w:rsidRPr="00624317">
        <w:rPr>
          <w:rFonts w:ascii="Verdana" w:hAnsi="Verdana"/>
          <w:sz w:val="20"/>
          <w:szCs w:val="20"/>
        </w:rPr>
        <w:t>1</w:t>
      </w:r>
      <w:r w:rsidR="00624317">
        <w:rPr>
          <w:rFonts w:ascii="Verdana" w:hAnsi="Verdana"/>
          <w:sz w:val="20"/>
          <w:szCs w:val="20"/>
        </w:rPr>
        <w:t> </w:t>
      </w:r>
      <w:r w:rsidR="00624317" w:rsidRPr="00624317">
        <w:rPr>
          <w:rFonts w:ascii="Verdana" w:hAnsi="Verdana"/>
          <w:sz w:val="20"/>
          <w:szCs w:val="20"/>
        </w:rPr>
        <w:t>507</w:t>
      </w:r>
      <w:r w:rsidR="00624317">
        <w:rPr>
          <w:rFonts w:ascii="Verdana" w:hAnsi="Verdana"/>
          <w:sz w:val="20"/>
          <w:szCs w:val="20"/>
        </w:rPr>
        <w:t> </w:t>
      </w:r>
      <w:r w:rsidR="00624317" w:rsidRPr="00624317">
        <w:rPr>
          <w:rFonts w:ascii="Verdana" w:hAnsi="Verdana"/>
          <w:sz w:val="20"/>
          <w:szCs w:val="20"/>
        </w:rPr>
        <w:t>243</w:t>
      </w:r>
      <w:r w:rsidR="00624317">
        <w:rPr>
          <w:rFonts w:ascii="Verdana" w:hAnsi="Verdana"/>
          <w:sz w:val="20"/>
          <w:szCs w:val="20"/>
        </w:rPr>
        <w:t xml:space="preserve"> </w:t>
      </w:r>
      <w:r w:rsidRPr="001B56F9">
        <w:rPr>
          <w:rFonts w:ascii="Verdana" w:hAnsi="Verdana"/>
          <w:sz w:val="20"/>
          <w:szCs w:val="20"/>
        </w:rPr>
        <w:t xml:space="preserve">Prosus ordinary shares N at an average price of </w:t>
      </w:r>
      <w:r w:rsidR="00156736" w:rsidRPr="00156736">
        <w:rPr>
          <w:rFonts w:ascii="Verdana" w:hAnsi="Verdana"/>
          <w:sz w:val="20"/>
          <w:szCs w:val="20"/>
        </w:rPr>
        <w:t>€</w:t>
      </w:r>
      <w:r w:rsidR="00624317" w:rsidRPr="00624317">
        <w:rPr>
          <w:rFonts w:ascii="Verdana" w:hAnsi="Verdana"/>
          <w:sz w:val="20"/>
          <w:szCs w:val="20"/>
        </w:rPr>
        <w:t>69</w:t>
      </w:r>
      <w:r w:rsidR="00624317">
        <w:rPr>
          <w:rFonts w:ascii="Verdana" w:hAnsi="Verdana"/>
          <w:sz w:val="20"/>
          <w:szCs w:val="20"/>
        </w:rPr>
        <w:t>.</w:t>
      </w:r>
      <w:r w:rsidR="00624317" w:rsidRPr="00624317">
        <w:rPr>
          <w:rFonts w:ascii="Verdana" w:hAnsi="Verdana"/>
          <w:sz w:val="20"/>
          <w:szCs w:val="20"/>
        </w:rPr>
        <w:t xml:space="preserve">6075 </w:t>
      </w:r>
      <w:r w:rsidRPr="001B56F9">
        <w:rPr>
          <w:rFonts w:ascii="Verdana" w:hAnsi="Verdana"/>
          <w:sz w:val="20"/>
          <w:szCs w:val="20"/>
        </w:rPr>
        <w:t xml:space="preserve">per share for a total </w:t>
      </w:r>
      <w:r w:rsidR="00977A87" w:rsidRPr="001B56F9">
        <w:rPr>
          <w:rFonts w:ascii="Verdana" w:hAnsi="Verdana"/>
          <w:sz w:val="20"/>
          <w:szCs w:val="20"/>
        </w:rPr>
        <w:t xml:space="preserve">consideration </w:t>
      </w:r>
      <w:r w:rsidRPr="001B56F9">
        <w:rPr>
          <w:rFonts w:ascii="Verdana" w:hAnsi="Verdana"/>
          <w:sz w:val="20"/>
          <w:szCs w:val="20"/>
        </w:rPr>
        <w:t xml:space="preserve">of </w:t>
      </w:r>
      <w:r w:rsidR="007D4176" w:rsidRPr="007D4176">
        <w:rPr>
          <w:rFonts w:ascii="Verdana" w:hAnsi="Verdana"/>
          <w:sz w:val="20"/>
          <w:szCs w:val="20"/>
        </w:rPr>
        <w:t>€</w:t>
      </w:r>
      <w:r w:rsidR="00624317" w:rsidRPr="00624317">
        <w:rPr>
          <w:rFonts w:ascii="Verdana" w:hAnsi="Verdana"/>
          <w:sz w:val="20"/>
          <w:szCs w:val="20"/>
        </w:rPr>
        <w:t>104</w:t>
      </w:r>
      <w:r w:rsidR="00624317">
        <w:rPr>
          <w:rFonts w:ascii="Verdana" w:hAnsi="Verdana"/>
          <w:sz w:val="20"/>
          <w:szCs w:val="20"/>
        </w:rPr>
        <w:t> </w:t>
      </w:r>
      <w:r w:rsidR="00624317" w:rsidRPr="00624317">
        <w:rPr>
          <w:rFonts w:ascii="Verdana" w:hAnsi="Verdana"/>
          <w:sz w:val="20"/>
          <w:szCs w:val="20"/>
        </w:rPr>
        <w:t>915</w:t>
      </w:r>
      <w:r w:rsidR="00624317">
        <w:rPr>
          <w:rFonts w:ascii="Verdana" w:hAnsi="Verdana"/>
          <w:sz w:val="20"/>
          <w:szCs w:val="20"/>
        </w:rPr>
        <w:t> </w:t>
      </w:r>
      <w:r w:rsidR="00624317" w:rsidRPr="00624317">
        <w:rPr>
          <w:rFonts w:ascii="Verdana" w:hAnsi="Verdana"/>
          <w:sz w:val="20"/>
          <w:szCs w:val="20"/>
        </w:rPr>
        <w:t>418</w:t>
      </w:r>
      <w:r w:rsidR="00624317">
        <w:rPr>
          <w:rFonts w:ascii="Verdana" w:hAnsi="Verdana"/>
          <w:sz w:val="20"/>
          <w:szCs w:val="20"/>
        </w:rPr>
        <w:t>.</w:t>
      </w:r>
      <w:r w:rsidR="00624317" w:rsidRPr="00624317">
        <w:rPr>
          <w:rFonts w:ascii="Verdana" w:hAnsi="Verdana"/>
          <w:sz w:val="20"/>
          <w:szCs w:val="20"/>
        </w:rPr>
        <w:t xml:space="preserve">70 </w:t>
      </w:r>
      <w:r w:rsidR="001B56F9" w:rsidRPr="001B56F9">
        <w:rPr>
          <w:rFonts w:ascii="Verdana" w:hAnsi="Verdana"/>
          <w:sz w:val="20"/>
          <w:szCs w:val="20"/>
        </w:rPr>
        <w:t>(</w:t>
      </w:r>
      <w:r w:rsidR="002A058D" w:rsidRPr="001B56F9">
        <w:rPr>
          <w:rFonts w:ascii="Verdana" w:hAnsi="Verdana"/>
          <w:sz w:val="20"/>
          <w:szCs w:val="20"/>
        </w:rPr>
        <w:t>US$</w:t>
      </w:r>
      <w:r w:rsidR="00624317" w:rsidRPr="00624317">
        <w:rPr>
          <w:rFonts w:ascii="Verdana" w:hAnsi="Verdana"/>
          <w:sz w:val="20"/>
          <w:szCs w:val="20"/>
        </w:rPr>
        <w:t>118</w:t>
      </w:r>
      <w:r w:rsidR="00624317">
        <w:rPr>
          <w:rFonts w:ascii="Verdana" w:hAnsi="Verdana"/>
          <w:sz w:val="20"/>
          <w:szCs w:val="20"/>
        </w:rPr>
        <w:t> </w:t>
      </w:r>
      <w:r w:rsidR="00624317" w:rsidRPr="00624317">
        <w:rPr>
          <w:rFonts w:ascii="Verdana" w:hAnsi="Verdana"/>
          <w:sz w:val="20"/>
          <w:szCs w:val="20"/>
        </w:rPr>
        <w:t>544</w:t>
      </w:r>
      <w:r w:rsidR="00624317">
        <w:rPr>
          <w:rFonts w:ascii="Verdana" w:hAnsi="Verdana"/>
          <w:sz w:val="20"/>
          <w:szCs w:val="20"/>
        </w:rPr>
        <w:t> </w:t>
      </w:r>
      <w:r w:rsidR="00624317" w:rsidRPr="00624317">
        <w:rPr>
          <w:rFonts w:ascii="Verdana" w:hAnsi="Verdana"/>
          <w:sz w:val="20"/>
          <w:szCs w:val="20"/>
        </w:rPr>
        <w:t>498.01</w:t>
      </w:r>
      <w:r w:rsidR="001B56F9">
        <w:rPr>
          <w:rFonts w:ascii="Verdana" w:hAnsi="Verdana"/>
          <w:sz w:val="20"/>
          <w:szCs w:val="20"/>
        </w:rPr>
        <w:t>)</w:t>
      </w:r>
      <w:r w:rsidRPr="001B56F9">
        <w:rPr>
          <w:rFonts w:ascii="Verdana" w:hAnsi="Verdana"/>
          <w:sz w:val="20"/>
          <w:szCs w:val="20"/>
        </w:rPr>
        <w:t>.</w:t>
      </w:r>
      <w:r w:rsidR="00931405" w:rsidRPr="001B56F9">
        <w:rPr>
          <w:rFonts w:ascii="Verdana" w:hAnsi="Verdana"/>
          <w:sz w:val="20"/>
          <w:szCs w:val="20"/>
        </w:rPr>
        <w:t xml:space="preserve"> </w:t>
      </w:r>
    </w:p>
    <w:p w14:paraId="74061444" w14:textId="74CF232B" w:rsidR="00F83481" w:rsidRPr="008D0750" w:rsidRDefault="00B548F8" w:rsidP="00654298">
      <w:pPr>
        <w:pStyle w:val="AODocTxt"/>
        <w:rPr>
          <w:rFonts w:ascii="Verdana" w:hAnsi="Verdana"/>
          <w:sz w:val="20"/>
          <w:szCs w:val="20"/>
        </w:rPr>
      </w:pPr>
      <w:r w:rsidRPr="001B56F9">
        <w:rPr>
          <w:rFonts w:ascii="Verdana" w:hAnsi="Verdana"/>
          <w:sz w:val="20"/>
          <w:szCs w:val="20"/>
        </w:rPr>
        <w:t xml:space="preserve">More </w:t>
      </w:r>
      <w:r w:rsidR="00D854F7" w:rsidRPr="001B56F9">
        <w:rPr>
          <w:rFonts w:ascii="Verdana" w:hAnsi="Verdana"/>
          <w:sz w:val="20"/>
          <w:szCs w:val="20"/>
        </w:rPr>
        <w:t>information on</w:t>
      </w:r>
      <w:r w:rsidRPr="001B56F9">
        <w:rPr>
          <w:rFonts w:ascii="Verdana" w:hAnsi="Verdana"/>
          <w:sz w:val="20"/>
          <w:szCs w:val="20"/>
        </w:rPr>
        <w:t xml:space="preserve"> </w:t>
      </w:r>
      <w:r w:rsidR="00A11278" w:rsidRPr="001B56F9">
        <w:rPr>
          <w:rFonts w:ascii="Verdana" w:hAnsi="Verdana"/>
          <w:sz w:val="20"/>
          <w:szCs w:val="20"/>
        </w:rPr>
        <w:t>the</w:t>
      </w:r>
      <w:r w:rsidR="008B12F2" w:rsidRPr="001B56F9">
        <w:rPr>
          <w:rFonts w:ascii="Verdana" w:hAnsi="Verdana"/>
          <w:sz w:val="20"/>
          <w:szCs w:val="20"/>
        </w:rPr>
        <w:t xml:space="preserve"> </w:t>
      </w:r>
      <w:r w:rsidR="00C33767" w:rsidRPr="001B56F9">
        <w:rPr>
          <w:rFonts w:ascii="Verdana" w:hAnsi="Verdana"/>
          <w:sz w:val="20"/>
          <w:szCs w:val="20"/>
        </w:rPr>
        <w:t xml:space="preserve">Share Repurchase </w:t>
      </w:r>
      <w:r w:rsidRPr="001B56F9">
        <w:rPr>
          <w:rFonts w:ascii="Verdana" w:hAnsi="Verdana"/>
          <w:sz w:val="20"/>
          <w:szCs w:val="20"/>
        </w:rPr>
        <w:t xml:space="preserve">is available on </w:t>
      </w:r>
      <w:hyperlink r:id="rId10" w:history="1">
        <w:r w:rsidR="008D0750" w:rsidRPr="00FF74BB">
          <w:rPr>
            <w:rStyle w:val="Hyperlink"/>
            <w:rFonts w:ascii="Verdana" w:hAnsi="Verdana"/>
            <w:sz w:val="20"/>
            <w:szCs w:val="20"/>
          </w:rPr>
          <w:t>https://www.prosus.com/news/investors-shareholder-information/</w:t>
        </w:r>
      </w:hyperlink>
      <w:r w:rsidR="008D0750">
        <w:rPr>
          <w:rFonts w:ascii="Verdana" w:hAnsi="Verdana"/>
          <w:sz w:val="20"/>
          <w:szCs w:val="20"/>
        </w:rPr>
        <w:t xml:space="preserve">. </w:t>
      </w:r>
    </w:p>
    <w:p w14:paraId="28446DF0"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Amsterdam, the Netherlands</w:t>
      </w:r>
    </w:p>
    <w:p w14:paraId="643A6621" w14:textId="4BA1E851" w:rsidR="00FF1DB0" w:rsidRPr="001B56F9" w:rsidRDefault="00EC319E" w:rsidP="00FF1DB0">
      <w:pPr>
        <w:pStyle w:val="AODocTxt"/>
        <w:spacing w:before="0"/>
        <w:rPr>
          <w:rFonts w:ascii="Verdana" w:hAnsi="Verdana"/>
          <w:sz w:val="20"/>
          <w:szCs w:val="20"/>
        </w:rPr>
      </w:pPr>
      <w:r>
        <w:rPr>
          <w:rFonts w:ascii="Verdana" w:hAnsi="Verdana"/>
          <w:sz w:val="20"/>
          <w:szCs w:val="20"/>
        </w:rPr>
        <w:t>2</w:t>
      </w:r>
      <w:r w:rsidR="00624317">
        <w:rPr>
          <w:rFonts w:ascii="Verdana" w:hAnsi="Verdana"/>
          <w:sz w:val="20"/>
          <w:szCs w:val="20"/>
        </w:rPr>
        <w:t>8</w:t>
      </w:r>
      <w:r w:rsidRPr="001B56F9">
        <w:rPr>
          <w:rFonts w:ascii="Verdana" w:hAnsi="Verdana"/>
          <w:sz w:val="20"/>
          <w:szCs w:val="20"/>
        </w:rPr>
        <w:t xml:space="preserve"> </w:t>
      </w:r>
      <w:r w:rsidR="007B63FA">
        <w:rPr>
          <w:rFonts w:ascii="Verdana" w:hAnsi="Verdana"/>
          <w:sz w:val="20"/>
          <w:szCs w:val="20"/>
        </w:rPr>
        <w:t xml:space="preserve">December </w:t>
      </w:r>
      <w:r w:rsidR="00B548F8" w:rsidRPr="001B56F9">
        <w:rPr>
          <w:rFonts w:ascii="Verdana" w:hAnsi="Verdana"/>
          <w:sz w:val="20"/>
          <w:szCs w:val="20"/>
        </w:rPr>
        <w:t>202</w:t>
      </w:r>
      <w:r w:rsidR="007D4176">
        <w:rPr>
          <w:rFonts w:ascii="Verdana" w:hAnsi="Verdana"/>
          <w:sz w:val="20"/>
          <w:szCs w:val="20"/>
        </w:rPr>
        <w:t>1</w:t>
      </w:r>
    </w:p>
    <w:p w14:paraId="2F6CE6F1"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JSE sponsor to Prosus</w:t>
      </w:r>
    </w:p>
    <w:p w14:paraId="7FE4750D" w14:textId="18BA90BE" w:rsidR="00FF1DB0" w:rsidRDefault="00B548F8" w:rsidP="00FF1DB0">
      <w:pPr>
        <w:pStyle w:val="AODocTxt"/>
        <w:spacing w:before="0"/>
        <w:rPr>
          <w:rFonts w:ascii="Verdana" w:hAnsi="Verdana"/>
          <w:sz w:val="20"/>
          <w:szCs w:val="20"/>
        </w:rPr>
      </w:pPr>
      <w:r w:rsidRPr="001B56F9">
        <w:rPr>
          <w:rFonts w:ascii="Verdana" w:hAnsi="Verdana"/>
          <w:sz w:val="20"/>
          <w:szCs w:val="20"/>
        </w:rPr>
        <w:t>Investec Bank Limited</w:t>
      </w:r>
    </w:p>
    <w:p w14:paraId="484F7621" w14:textId="2B73B72B" w:rsidR="001B56F9" w:rsidRDefault="001B56F9" w:rsidP="00FF1DB0">
      <w:pPr>
        <w:pStyle w:val="AODocTxt"/>
        <w:spacing w:before="0"/>
        <w:rPr>
          <w:rFonts w:ascii="Verdana" w:hAnsi="Verdana"/>
          <w:sz w:val="20"/>
          <w:szCs w:val="20"/>
        </w:rPr>
      </w:pPr>
    </w:p>
    <w:p w14:paraId="1146A4AC" w14:textId="77777777" w:rsidR="001B56F9" w:rsidRPr="001B56F9" w:rsidRDefault="001B56F9" w:rsidP="00FF1DB0">
      <w:pPr>
        <w:pStyle w:val="AODocTxt"/>
        <w:spacing w:before="0"/>
        <w:rPr>
          <w:rFonts w:ascii="Verdana" w:hAnsi="Verdana"/>
          <w:sz w:val="20"/>
          <w:szCs w:val="20"/>
        </w:rPr>
      </w:pPr>
    </w:p>
    <w:tbl>
      <w:tblPr>
        <w:tblStyle w:val="TableGrid"/>
        <w:tblW w:w="9570" w:type="dxa"/>
        <w:tblLook w:val="04A0" w:firstRow="1" w:lastRow="0" w:firstColumn="1" w:lastColumn="0" w:noHBand="0" w:noVBand="1"/>
      </w:tblPr>
      <w:tblGrid>
        <w:gridCol w:w="9348"/>
        <w:gridCol w:w="222"/>
      </w:tblGrid>
      <w:tr w:rsidR="00D9672C" w:rsidRPr="001B56F9" w14:paraId="4FF837DB" w14:textId="77777777" w:rsidTr="00A9600B">
        <w:tc>
          <w:tcPr>
            <w:tcW w:w="9348" w:type="dxa"/>
            <w:tcBorders>
              <w:top w:val="nil"/>
              <w:left w:val="nil"/>
              <w:bottom w:val="nil"/>
              <w:right w:val="nil"/>
            </w:tcBorders>
          </w:tcPr>
          <w:p w14:paraId="7A6B7B31" w14:textId="77777777" w:rsidR="00FF1DB0" w:rsidRPr="001B56F9" w:rsidRDefault="00B548F8" w:rsidP="00FF1DB0">
            <w:pPr>
              <w:pStyle w:val="AODocTxt"/>
              <w:rPr>
                <w:rFonts w:ascii="Verdana" w:hAnsi="Verdana"/>
                <w:b/>
                <w:bCs/>
                <w:sz w:val="20"/>
                <w:szCs w:val="20"/>
                <w:lang w:val="en-ZA"/>
              </w:rPr>
            </w:pPr>
            <w:r w:rsidRPr="001B56F9">
              <w:rPr>
                <w:rFonts w:ascii="Verdana" w:hAnsi="Verdana"/>
                <w:b/>
                <w:bCs/>
                <w:sz w:val="20"/>
                <w:szCs w:val="20"/>
                <w:lang w:val="en-ZA"/>
              </w:rPr>
              <w:t>Enquiries</w:t>
            </w:r>
          </w:p>
          <w:tbl>
            <w:tblPr>
              <w:tblStyle w:val="TableGrid"/>
              <w:tblW w:w="9209" w:type="dxa"/>
              <w:tblLook w:val="04A0" w:firstRow="1" w:lastRow="0" w:firstColumn="1" w:lastColumn="0" w:noHBand="0" w:noVBand="1"/>
            </w:tblPr>
            <w:tblGrid>
              <w:gridCol w:w="4815"/>
              <w:gridCol w:w="4394"/>
            </w:tblGrid>
            <w:tr w:rsidR="00D9672C" w:rsidRPr="001B56F9" w14:paraId="6B0A52DE" w14:textId="77777777" w:rsidTr="00A9600B">
              <w:tc>
                <w:tcPr>
                  <w:tcW w:w="4815" w:type="dxa"/>
                  <w:tcBorders>
                    <w:top w:val="nil"/>
                    <w:left w:val="nil"/>
                    <w:bottom w:val="nil"/>
                    <w:right w:val="nil"/>
                  </w:tcBorders>
                  <w:hideMark/>
                </w:tcPr>
                <w:p w14:paraId="0861F03B"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Investor Enquiries</w:t>
                  </w:r>
                </w:p>
                <w:p w14:paraId="3049AA6D" w14:textId="77777777" w:rsidR="00FF1DB0" w:rsidRPr="001B56F9" w:rsidRDefault="00B548F8" w:rsidP="00785F2B">
                  <w:pPr>
                    <w:pStyle w:val="AODocTxt"/>
                    <w:spacing w:before="0"/>
                    <w:rPr>
                      <w:rFonts w:ascii="Verdana" w:hAnsi="Verdana"/>
                      <w:sz w:val="20"/>
                      <w:szCs w:val="20"/>
                    </w:rPr>
                  </w:pPr>
                  <w:r w:rsidRPr="001B56F9">
                    <w:rPr>
                      <w:rFonts w:ascii="Verdana" w:hAnsi="Verdana"/>
                      <w:sz w:val="20"/>
                      <w:szCs w:val="20"/>
                    </w:rPr>
                    <w:t>Eoin Ryan, Head of Investor Relations</w:t>
                  </w:r>
                </w:p>
              </w:tc>
              <w:tc>
                <w:tcPr>
                  <w:tcW w:w="4394" w:type="dxa"/>
                  <w:tcBorders>
                    <w:top w:val="nil"/>
                    <w:left w:val="nil"/>
                    <w:bottom w:val="nil"/>
                    <w:right w:val="nil"/>
                  </w:tcBorders>
                </w:tcPr>
                <w:p w14:paraId="151BEAC5"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+1 347-210-4305</w:t>
                  </w:r>
                </w:p>
              </w:tc>
            </w:tr>
            <w:tr w:rsidR="00D9672C" w:rsidRPr="001B56F9" w14:paraId="4C1B7705" w14:textId="77777777" w:rsidTr="00A9600B">
              <w:trPr>
                <w:trHeight w:val="80"/>
              </w:trPr>
              <w:tc>
                <w:tcPr>
                  <w:tcW w:w="4815" w:type="dxa"/>
                  <w:tcBorders>
                    <w:top w:val="nil"/>
                    <w:left w:val="nil"/>
                    <w:bottom w:val="nil"/>
                    <w:right w:val="nil"/>
                  </w:tcBorders>
                </w:tcPr>
                <w:p w14:paraId="0619FD8C"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Media Enquiries</w:t>
                  </w:r>
                </w:p>
                <w:p w14:paraId="2E2090BE" w14:textId="77777777" w:rsidR="00FF1DB0" w:rsidRPr="001B56F9" w:rsidRDefault="00B548F8" w:rsidP="00FF1DB0">
                  <w:pPr>
                    <w:pStyle w:val="AODocTxt"/>
                    <w:spacing w:before="0"/>
                    <w:rPr>
                      <w:rFonts w:ascii="Verdana" w:hAnsi="Verdana"/>
                      <w:bCs/>
                      <w:sz w:val="20"/>
                      <w:szCs w:val="20"/>
                      <w:lang w:val="en-ZA"/>
                    </w:rPr>
                  </w:pPr>
                  <w:r w:rsidRPr="001B56F9">
                    <w:rPr>
                      <w:rFonts w:ascii="Verdana" w:hAnsi="Verdana"/>
                      <w:sz w:val="20"/>
                      <w:szCs w:val="20"/>
                    </w:rPr>
                    <w:t>Sarah Ryan, International Media Relations</w:t>
                  </w:r>
                </w:p>
              </w:tc>
              <w:tc>
                <w:tcPr>
                  <w:tcW w:w="4394" w:type="dxa"/>
                  <w:tcBorders>
                    <w:top w:val="nil"/>
                    <w:left w:val="nil"/>
                    <w:bottom w:val="nil"/>
                    <w:right w:val="nil"/>
                  </w:tcBorders>
                </w:tcPr>
                <w:p w14:paraId="325D9B4C"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+ 31 6 29721038</w:t>
                  </w:r>
                </w:p>
              </w:tc>
            </w:tr>
          </w:tbl>
          <w:p w14:paraId="54B1CE6F" w14:textId="77777777" w:rsidR="00FF1DB0" w:rsidRPr="001B56F9" w:rsidRDefault="00FF1DB0" w:rsidP="00FF1DB0">
            <w:pPr>
              <w:pStyle w:val="AODocTxt"/>
              <w:rPr>
                <w:rFonts w:ascii="Verdana" w:hAnsi="Verdana"/>
                <w:sz w:val="20"/>
                <w:szCs w:val="20"/>
              </w:rPr>
            </w:pPr>
          </w:p>
        </w:tc>
        <w:tc>
          <w:tcPr>
            <w:tcW w:w="222" w:type="dxa"/>
            <w:tcBorders>
              <w:top w:val="nil"/>
              <w:left w:val="nil"/>
              <w:bottom w:val="nil"/>
              <w:right w:val="nil"/>
            </w:tcBorders>
          </w:tcPr>
          <w:p w14:paraId="44496D70" w14:textId="77777777" w:rsidR="00FF1DB0" w:rsidRPr="001B56F9" w:rsidRDefault="00FF1DB0" w:rsidP="00FF1DB0">
            <w:pPr>
              <w:pStyle w:val="AODocTxt"/>
              <w:rPr>
                <w:rFonts w:ascii="Verdana" w:hAnsi="Verdana"/>
                <w:bCs/>
                <w:sz w:val="20"/>
                <w:szCs w:val="20"/>
                <w:lang w:val="en-ZA"/>
              </w:rPr>
            </w:pPr>
          </w:p>
        </w:tc>
      </w:tr>
    </w:tbl>
    <w:p w14:paraId="75A0C1E2" w14:textId="77777777" w:rsidR="007D4176" w:rsidRDefault="007D4176" w:rsidP="007D4176">
      <w:pPr>
        <w:jc w:val="both"/>
        <w:rPr>
          <w:rFonts w:ascii="Verdana" w:hAnsi="Verdana"/>
          <w:b/>
          <w:i/>
          <w:iCs/>
          <w:sz w:val="16"/>
          <w:szCs w:val="16"/>
        </w:rPr>
      </w:pPr>
    </w:p>
    <w:p w14:paraId="0FDDF6E3" w14:textId="1EE9424A" w:rsidR="007D4176" w:rsidRDefault="007D4176" w:rsidP="007D4176">
      <w:pPr>
        <w:jc w:val="both"/>
        <w:rPr>
          <w:rFonts w:ascii="Verdana" w:hAnsi="Verdana"/>
          <w:b/>
          <w:bCs/>
          <w:i/>
          <w:iCs/>
          <w:sz w:val="16"/>
          <w:szCs w:val="16"/>
        </w:rPr>
      </w:pPr>
      <w:r w:rsidRPr="002D33A9">
        <w:rPr>
          <w:rFonts w:ascii="Verdana" w:hAnsi="Verdana"/>
          <w:b/>
          <w:i/>
          <w:iCs/>
          <w:sz w:val="16"/>
          <w:szCs w:val="16"/>
        </w:rPr>
        <w:t xml:space="preserve">About </w:t>
      </w:r>
      <w:r w:rsidRPr="002D33A9">
        <w:rPr>
          <w:rFonts w:ascii="Verdana" w:hAnsi="Verdana"/>
          <w:b/>
          <w:bCs/>
          <w:i/>
          <w:iCs/>
          <w:sz w:val="16"/>
          <w:szCs w:val="16"/>
        </w:rPr>
        <w:t>Prosus</w:t>
      </w:r>
    </w:p>
    <w:p w14:paraId="51550E72" w14:textId="77777777" w:rsidR="007D4176" w:rsidRPr="002D33A9" w:rsidRDefault="007D4176" w:rsidP="007D4176">
      <w:pPr>
        <w:jc w:val="both"/>
        <w:rPr>
          <w:rFonts w:ascii="Verdana" w:hAnsi="Verdana"/>
          <w:b/>
          <w:i/>
          <w:iCs/>
          <w:sz w:val="16"/>
          <w:szCs w:val="16"/>
        </w:rPr>
      </w:pPr>
    </w:p>
    <w:p w14:paraId="47181D28"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03235709" w14:textId="77777777" w:rsidR="007D4176" w:rsidRPr="00D86808" w:rsidRDefault="007D4176" w:rsidP="007D4176">
      <w:pPr>
        <w:jc w:val="both"/>
        <w:rPr>
          <w:rFonts w:ascii="Verdana" w:hAnsi="Verdana"/>
          <w:i/>
          <w:iCs/>
          <w:sz w:val="16"/>
          <w:szCs w:val="16"/>
        </w:rPr>
      </w:pPr>
    </w:p>
    <w:p w14:paraId="7DCE9D07"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The group is focused on building meaningful businesses in the online classifieds, food delivery, payments and fintech, and education technology sectors in markets including India, Russia and Brazil. Through its ventures team, Prosus invests in areas including health, logistics, blockchain, and social commerce. Prosus actively seeks new opportunities to partner with exceptional entrepreneurs who are using technology to improve people's everyday lives.</w:t>
      </w:r>
    </w:p>
    <w:p w14:paraId="7A6B0E8D" w14:textId="77777777" w:rsidR="007D4176" w:rsidRPr="00D86808" w:rsidRDefault="007D4176" w:rsidP="007D4176">
      <w:pPr>
        <w:jc w:val="both"/>
        <w:rPr>
          <w:rFonts w:ascii="Verdana" w:hAnsi="Verdana"/>
          <w:i/>
          <w:iCs/>
          <w:sz w:val="16"/>
          <w:szCs w:val="16"/>
        </w:rPr>
      </w:pPr>
    </w:p>
    <w:p w14:paraId="781A3579"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 xml:space="preserve">Every day, millions of people use the products and services of companies that Prosus has invested in, acquired or built, including </w:t>
      </w:r>
      <w:proofErr w:type="spellStart"/>
      <w:r w:rsidRPr="00D86808">
        <w:rPr>
          <w:rFonts w:ascii="Verdana" w:hAnsi="Verdana"/>
          <w:i/>
          <w:iCs/>
          <w:sz w:val="16"/>
          <w:szCs w:val="16"/>
        </w:rPr>
        <w:t>Avito</w:t>
      </w:r>
      <w:proofErr w:type="spellEnd"/>
      <w:r w:rsidRPr="00D86808">
        <w:rPr>
          <w:rFonts w:ascii="Verdana" w:hAnsi="Verdana"/>
          <w:i/>
          <w:iCs/>
          <w:sz w:val="16"/>
          <w:szCs w:val="16"/>
        </w:rPr>
        <w:t xml:space="preserve">, Brainly, BYJU'S, </w:t>
      </w:r>
      <w:proofErr w:type="spellStart"/>
      <w:r w:rsidRPr="00D86808">
        <w:rPr>
          <w:rFonts w:ascii="Verdana" w:hAnsi="Verdana"/>
          <w:i/>
          <w:iCs/>
          <w:sz w:val="16"/>
          <w:szCs w:val="16"/>
        </w:rPr>
        <w:t>Bykea</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Codecademy</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DappRadar</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DeHaat</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dott</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ElasticRun</w:t>
      </w:r>
      <w:proofErr w:type="spellEnd"/>
      <w:r w:rsidRPr="00D86808">
        <w:rPr>
          <w:rFonts w:ascii="Verdana" w:hAnsi="Verdana"/>
          <w:i/>
          <w:iCs/>
          <w:sz w:val="16"/>
          <w:szCs w:val="16"/>
        </w:rPr>
        <w:t xml:space="preserve">, eMAG, </w:t>
      </w:r>
      <w:proofErr w:type="spellStart"/>
      <w:r w:rsidRPr="00D86808">
        <w:rPr>
          <w:rFonts w:ascii="Verdana" w:hAnsi="Verdana"/>
          <w:i/>
          <w:iCs/>
          <w:sz w:val="16"/>
          <w:szCs w:val="16"/>
        </w:rPr>
        <w:t>Eruditus</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Honor</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iFood</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Klar</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LazyPay</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letgo</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Meesho</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Movile</w:t>
      </w:r>
      <w:proofErr w:type="spellEnd"/>
      <w:r w:rsidRPr="00D86808">
        <w:rPr>
          <w:rFonts w:ascii="Verdana" w:hAnsi="Verdana"/>
          <w:i/>
          <w:iCs/>
          <w:sz w:val="16"/>
          <w:szCs w:val="16"/>
        </w:rPr>
        <w:t xml:space="preserve">, OLX, PayU, Quick Ride, Red Dot Payment, </w:t>
      </w:r>
      <w:proofErr w:type="spellStart"/>
      <w:r w:rsidRPr="00D86808">
        <w:rPr>
          <w:rFonts w:ascii="Verdana" w:hAnsi="Verdana"/>
          <w:i/>
          <w:iCs/>
          <w:sz w:val="16"/>
          <w:szCs w:val="16"/>
        </w:rPr>
        <w:t>Remitly</w:t>
      </w:r>
      <w:proofErr w:type="spellEnd"/>
      <w:r w:rsidRPr="00D86808">
        <w:rPr>
          <w:rFonts w:ascii="Verdana" w:hAnsi="Verdana"/>
          <w:i/>
          <w:iCs/>
          <w:sz w:val="16"/>
          <w:szCs w:val="16"/>
        </w:rPr>
        <w:t xml:space="preserve">, Republic, </w:t>
      </w:r>
      <w:proofErr w:type="spellStart"/>
      <w:r w:rsidRPr="00D86808">
        <w:rPr>
          <w:rFonts w:ascii="Verdana" w:hAnsi="Verdana"/>
          <w:i/>
          <w:iCs/>
          <w:sz w:val="16"/>
          <w:szCs w:val="16"/>
        </w:rPr>
        <w:t>SimilarWeb</w:t>
      </w:r>
      <w:proofErr w:type="spellEnd"/>
      <w:r w:rsidRPr="00D86808">
        <w:rPr>
          <w:rFonts w:ascii="Verdana" w:hAnsi="Verdana"/>
          <w:i/>
          <w:iCs/>
          <w:sz w:val="16"/>
          <w:szCs w:val="16"/>
        </w:rPr>
        <w:t xml:space="preserve">, Shipper, Skillsoft, </w:t>
      </w:r>
      <w:proofErr w:type="spellStart"/>
      <w:r w:rsidRPr="00D86808">
        <w:rPr>
          <w:rFonts w:ascii="Verdana" w:hAnsi="Verdana"/>
          <w:i/>
          <w:iCs/>
          <w:sz w:val="16"/>
          <w:szCs w:val="16"/>
        </w:rPr>
        <w:t>SoloLearn</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Swiggy</w:t>
      </w:r>
      <w:proofErr w:type="spellEnd"/>
      <w:r w:rsidRPr="00D86808">
        <w:rPr>
          <w:rFonts w:ascii="Verdana" w:hAnsi="Verdana"/>
          <w:i/>
          <w:iCs/>
          <w:sz w:val="16"/>
          <w:szCs w:val="16"/>
        </w:rPr>
        <w:t>, and Udemy.</w:t>
      </w:r>
    </w:p>
    <w:p w14:paraId="208265B6" w14:textId="77777777" w:rsidR="007D4176" w:rsidRPr="00D86808" w:rsidRDefault="007D4176" w:rsidP="007D4176">
      <w:pPr>
        <w:jc w:val="both"/>
        <w:rPr>
          <w:rFonts w:ascii="Verdana" w:hAnsi="Verdana"/>
          <w:i/>
          <w:iCs/>
          <w:sz w:val="16"/>
          <w:szCs w:val="16"/>
        </w:rPr>
      </w:pPr>
    </w:p>
    <w:p w14:paraId="4584A93F"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 xml:space="preserve">Hundreds of millions of people have made the platforms of Prosus’s associates a part of their daily lives. For listed companies where we have an interest, please see: Tencent (www.tencent.com), Mail.ru (www.corp.mail.ru), Trip.com Group Limited (www.trip.com), and </w:t>
      </w:r>
      <w:proofErr w:type="spellStart"/>
      <w:r w:rsidRPr="00D86808">
        <w:rPr>
          <w:rFonts w:ascii="Verdana" w:hAnsi="Verdana"/>
          <w:i/>
          <w:iCs/>
          <w:sz w:val="16"/>
          <w:szCs w:val="16"/>
        </w:rPr>
        <w:t>DeliveryHero</w:t>
      </w:r>
      <w:proofErr w:type="spellEnd"/>
      <w:r w:rsidRPr="00D86808">
        <w:rPr>
          <w:rFonts w:ascii="Verdana" w:hAnsi="Verdana"/>
          <w:i/>
          <w:iCs/>
          <w:sz w:val="16"/>
          <w:szCs w:val="16"/>
        </w:rPr>
        <w:t xml:space="preserve"> (www.deliveryhero.com).</w:t>
      </w:r>
    </w:p>
    <w:p w14:paraId="0D5D9D39"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Today, Prosus companies and associates help improve the lives of around a fifth of the world's population.</w:t>
      </w:r>
    </w:p>
    <w:p w14:paraId="5B65442F" w14:textId="77777777" w:rsidR="007D4176" w:rsidRPr="00D86808" w:rsidRDefault="007D4176" w:rsidP="007D4176">
      <w:pPr>
        <w:jc w:val="both"/>
        <w:rPr>
          <w:rFonts w:ascii="Verdana" w:hAnsi="Verdana"/>
          <w:i/>
          <w:iCs/>
          <w:sz w:val="16"/>
          <w:szCs w:val="16"/>
        </w:rPr>
      </w:pPr>
    </w:p>
    <w:p w14:paraId="56F5ACEB" w14:textId="77777777" w:rsidR="007D4176" w:rsidRPr="0013706E" w:rsidRDefault="007D4176" w:rsidP="007D4176">
      <w:pPr>
        <w:jc w:val="both"/>
        <w:rPr>
          <w:rFonts w:ascii="Verdana" w:hAnsi="Verdana"/>
          <w:i/>
          <w:iCs/>
          <w:sz w:val="16"/>
          <w:szCs w:val="16"/>
        </w:rPr>
      </w:pPr>
      <w:r w:rsidRPr="0013706E">
        <w:rPr>
          <w:rFonts w:ascii="Verdana" w:hAnsi="Verdana"/>
          <w:i/>
          <w:iCs/>
          <w:sz w:val="16"/>
          <w:szCs w:val="16"/>
        </w:rPr>
        <w:t>Prosus has a primary listing on Euronext Amsterdam (AEX:PRX) and secondary listings on the Johannesburg Stock Exchange (XJSE:PRX) and a2X Markets (PRX.AJ). Prosus is majority owned by Naspers. For more information, please visit www.prosus.com.</w:t>
      </w:r>
    </w:p>
    <w:p w14:paraId="29F79827" w14:textId="77777777" w:rsidR="007D4176" w:rsidRPr="0013706E" w:rsidRDefault="007D4176" w:rsidP="007D4176">
      <w:pPr>
        <w:jc w:val="both"/>
        <w:rPr>
          <w:rFonts w:ascii="Verdana" w:eastAsia="MS Mincho" w:hAnsi="Verdana"/>
          <w:sz w:val="20"/>
          <w:szCs w:val="20"/>
        </w:rPr>
      </w:pPr>
    </w:p>
    <w:p w14:paraId="1A94CF69" w14:textId="77777777" w:rsidR="007D4176" w:rsidRPr="0013706E" w:rsidRDefault="007D4176" w:rsidP="00654298">
      <w:pPr>
        <w:keepNext/>
        <w:keepLines/>
        <w:jc w:val="both"/>
        <w:rPr>
          <w:rFonts w:ascii="Verdana" w:hAnsi="Verdana"/>
          <w:b/>
          <w:i/>
          <w:iCs/>
          <w:sz w:val="16"/>
          <w:szCs w:val="16"/>
        </w:rPr>
      </w:pPr>
      <w:r w:rsidRPr="0013706E">
        <w:rPr>
          <w:rFonts w:ascii="Verdana" w:hAnsi="Verdana"/>
          <w:b/>
          <w:i/>
          <w:iCs/>
          <w:sz w:val="16"/>
          <w:szCs w:val="16"/>
        </w:rPr>
        <w:lastRenderedPageBreak/>
        <w:t>Disclaimer</w:t>
      </w:r>
    </w:p>
    <w:p w14:paraId="59E5AE4F" w14:textId="77777777" w:rsidR="007D4176" w:rsidRPr="0013706E" w:rsidRDefault="007D4176" w:rsidP="00654298">
      <w:pPr>
        <w:keepNext/>
        <w:keepLines/>
        <w:jc w:val="both"/>
        <w:rPr>
          <w:rFonts w:ascii="Verdana" w:hAnsi="Verdana"/>
          <w:b/>
          <w:i/>
          <w:iCs/>
          <w:sz w:val="16"/>
          <w:szCs w:val="16"/>
        </w:rPr>
      </w:pPr>
    </w:p>
    <w:p w14:paraId="5B5CEB42"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 xml:space="preserve">The </w:t>
      </w:r>
      <w:proofErr w:type="spellStart"/>
      <w:r w:rsidRPr="0013706E">
        <w:rPr>
          <w:rFonts w:ascii="Verdana" w:hAnsi="Verdana"/>
          <w:i/>
          <w:iCs/>
          <w:sz w:val="16"/>
          <w:szCs w:val="16"/>
          <w:lang w:val="en-US"/>
        </w:rPr>
        <w:t>Programme</w:t>
      </w:r>
      <w:proofErr w:type="spellEnd"/>
      <w:r w:rsidRPr="0013706E">
        <w:rPr>
          <w:rFonts w:ascii="Verdana" w:hAnsi="Verdana"/>
          <w:i/>
          <w:iCs/>
          <w:sz w:val="16"/>
          <w:szCs w:val="16"/>
          <w:lang w:val="en-US"/>
        </w:rPr>
        <w:t xml:space="preserve"> is being conducted in accordance with Articles 5(1) and 5(3) of Regulation (EU) No 596/2014 of the European Parliament and of the Council of 16 April 2014 on market abuse (“</w:t>
      </w:r>
      <w:r w:rsidRPr="0013706E">
        <w:rPr>
          <w:rFonts w:ascii="Verdana" w:hAnsi="Verdana"/>
          <w:b/>
          <w:i/>
          <w:iCs/>
          <w:sz w:val="16"/>
          <w:szCs w:val="16"/>
          <w:lang w:val="en-US"/>
        </w:rPr>
        <w:t>Market Abuse Regulation”</w:t>
      </w:r>
      <w:r w:rsidRPr="0013706E">
        <w:rPr>
          <w:rFonts w:ascii="Verdana" w:hAnsi="Verdana"/>
          <w:i/>
          <w:iCs/>
          <w:sz w:val="16"/>
          <w:szCs w:val="16"/>
          <w:lang w:val="en-US"/>
        </w:rPr>
        <w:t xml:space="preserve">) and Articles 2 to 4 of Commission Delegated Regulation (EU) 2016/1052 supplementing the Market Abuse Regulation with regard to regulatory technical standards for the conditions applicable to buy-back </w:t>
      </w:r>
      <w:proofErr w:type="spellStart"/>
      <w:r w:rsidRPr="0013706E">
        <w:rPr>
          <w:rFonts w:ascii="Verdana" w:hAnsi="Verdana"/>
          <w:i/>
          <w:iCs/>
          <w:sz w:val="16"/>
          <w:szCs w:val="16"/>
          <w:lang w:val="en-US"/>
        </w:rPr>
        <w:t>programmes</w:t>
      </w:r>
      <w:proofErr w:type="spellEnd"/>
      <w:r w:rsidRPr="0013706E">
        <w:rPr>
          <w:rFonts w:ascii="Verdana" w:hAnsi="Verdana"/>
          <w:i/>
          <w:iCs/>
          <w:sz w:val="16"/>
          <w:szCs w:val="16"/>
          <w:lang w:val="en-US"/>
        </w:rPr>
        <w:t xml:space="preserve"> and </w:t>
      </w:r>
      <w:proofErr w:type="spellStart"/>
      <w:r w:rsidRPr="0013706E">
        <w:rPr>
          <w:rFonts w:ascii="Verdana" w:hAnsi="Verdana"/>
          <w:i/>
          <w:iCs/>
          <w:sz w:val="16"/>
          <w:szCs w:val="16"/>
          <w:lang w:val="en-US"/>
        </w:rPr>
        <w:t>stabilisation</w:t>
      </w:r>
      <w:proofErr w:type="spellEnd"/>
      <w:r w:rsidRPr="0013706E">
        <w:rPr>
          <w:rFonts w:ascii="Verdana" w:hAnsi="Verdana"/>
          <w:i/>
          <w:iCs/>
          <w:sz w:val="16"/>
          <w:szCs w:val="16"/>
          <w:lang w:val="en-US"/>
        </w:rPr>
        <w:t xml:space="preserve"> measures (the “</w:t>
      </w:r>
      <w:r w:rsidRPr="0013706E">
        <w:rPr>
          <w:rFonts w:ascii="Verdana" w:hAnsi="Verdana"/>
          <w:b/>
          <w:i/>
          <w:iCs/>
          <w:sz w:val="16"/>
          <w:szCs w:val="16"/>
          <w:lang w:val="en-US"/>
        </w:rPr>
        <w:t>Delegated Regulation</w:t>
      </w:r>
      <w:r w:rsidRPr="0013706E">
        <w:rPr>
          <w:rFonts w:ascii="Verdana" w:hAnsi="Verdana"/>
          <w:i/>
          <w:iCs/>
          <w:sz w:val="16"/>
          <w:szCs w:val="16"/>
          <w:lang w:val="en-US"/>
        </w:rPr>
        <w:t xml:space="preserve">”). This document is issued in connection with the disclosure and reporting obligation set out in Article 2(1) of the Delegated Regulation. </w:t>
      </w:r>
    </w:p>
    <w:p w14:paraId="16BA25A9"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This document contains information that qualifies as inside information within the meaning of Article 7(1) of the Market Abuse Regulation.</w:t>
      </w:r>
    </w:p>
    <w:p w14:paraId="7E438055"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This announcement does not constitute, or form part of, an offer or any solicitation of an offer for securities in any jurisdiction.</w:t>
      </w:r>
    </w:p>
    <w:p w14:paraId="7E9F4911"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The information contained in this announcement may contain forward-looking statements, estimates and projections. Forward-looking statements involve all matters that are not historical and may be identified by the words “anticipate”, ”believe”, ”estimate”, ”expect”, ”intend”, ”may”, ”should”, ”will”, ”would” and similar expressions or their negatives, but the absence of these words does not necessarily mean that a statement is not forward-looking. These statements reflect Prosus’s intentions, beliefs or current expectations, involve elements of subjective judgement and analysis and are based upon the best judgement of Prosus as of the date of this announcement, but could prove to be wrong. These statements are subject to change without notice and are based on a number of assumptions and entail known and unknown risks and uncertainties. Therefore, you should not rely on these forward-looking statements as a prediction of actual results. </w:t>
      </w:r>
    </w:p>
    <w:p w14:paraId="3FC30BAF" w14:textId="77777777" w:rsidR="007D4176" w:rsidRPr="00051471"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Any forward-looking statements are made only as of the date of this announcement and neither Prosus nor any other person gives any undertaking, or is under any obligation, to update these forward-looking statements for events or circumstances that occur subsequent to the date of this announcement or to update</w:t>
      </w:r>
      <w:r w:rsidRPr="00051471">
        <w:rPr>
          <w:rFonts w:ascii="Verdana" w:hAnsi="Verdana"/>
          <w:i/>
          <w:iCs/>
          <w:sz w:val="16"/>
          <w:szCs w:val="16"/>
          <w:lang w:val="en-US"/>
        </w:rPr>
        <w:t xml:space="preserve"> or keep current any of the information contained herein, any changes in assumptions or changes in factors affecting these statements and this announcement is not a representation by Prosus or any other person that they will do so, except to the extent required by law.</w:t>
      </w:r>
    </w:p>
    <w:p w14:paraId="14C932C9" w14:textId="2657C2EE" w:rsidR="00A97AFA" w:rsidRPr="001B56F9" w:rsidRDefault="00F664CD" w:rsidP="00A97AFA">
      <w:pPr>
        <w:pStyle w:val="AODocTxt"/>
        <w:rPr>
          <w:rFonts w:ascii="Verdana" w:hAnsi="Verdana"/>
          <w:i/>
          <w:iCs/>
          <w:sz w:val="16"/>
          <w:szCs w:val="16"/>
        </w:rPr>
      </w:pPr>
      <w:r w:rsidRPr="001B56F9">
        <w:rPr>
          <w:rFonts w:ascii="Verdana" w:hAnsi="Verdana"/>
          <w:i/>
          <w:iCs/>
          <w:sz w:val="16"/>
          <w:szCs w:val="16"/>
        </w:rPr>
        <w:t>.</w:t>
      </w:r>
    </w:p>
    <w:sectPr w:rsidR="00A97AFA" w:rsidRPr="001B56F9" w:rsidSect="00A11278">
      <w:footerReference w:type="first" r:id="rId11"/>
      <w:pgSz w:w="11906" w:h="16838" w:code="9"/>
      <w:pgMar w:top="1588" w:right="1134" w:bottom="1021" w:left="113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0091E" w14:textId="77777777" w:rsidR="0084702B" w:rsidRDefault="0084702B">
      <w:r>
        <w:separator/>
      </w:r>
    </w:p>
  </w:endnote>
  <w:endnote w:type="continuationSeparator" w:id="0">
    <w:p w14:paraId="7C0BE6CE" w14:textId="77777777" w:rsidR="0084702B" w:rsidRDefault="0084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44761"/>
      <w:docPartObj>
        <w:docPartGallery w:val="Page Numbers (Bottom of Page)"/>
        <w:docPartUnique/>
      </w:docPartObj>
    </w:sdtPr>
    <w:sdtEndPr>
      <w:rPr>
        <w:noProof/>
      </w:rPr>
    </w:sdtEndPr>
    <w:sdtContent>
      <w:p w14:paraId="3678CA05" w14:textId="183E9650" w:rsidR="00A9600B" w:rsidRDefault="00A960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CA2A7" w14:textId="77777777" w:rsidR="00A9600B" w:rsidRDefault="00A96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9D64B" w14:textId="77777777" w:rsidR="0084702B" w:rsidRDefault="0084702B">
      <w:r>
        <w:separator/>
      </w:r>
    </w:p>
  </w:footnote>
  <w:footnote w:type="continuationSeparator" w:id="0">
    <w:p w14:paraId="71F3BAF8" w14:textId="77777777" w:rsidR="0084702B" w:rsidRDefault="00847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9E7"/>
    <w:multiLevelType w:val="multilevel"/>
    <w:tmpl w:val="4AE6BC92"/>
    <w:name w:val="AOApp"/>
    <w:lvl w:ilvl="0">
      <w:start w:val="1"/>
      <w:numFmt w:val="decimal"/>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3118B31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32BA5AE2"/>
    <w:name w:val="AOSch"/>
    <w:lvl w:ilvl="0">
      <w:start w:val="1"/>
      <w:numFmt w:val="decimal"/>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4E548026"/>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A468C28C"/>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F258D804"/>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8D7090B4"/>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7"/>
    <w:rsid w:val="00006C99"/>
    <w:rsid w:val="000223E1"/>
    <w:rsid w:val="000311DD"/>
    <w:rsid w:val="00035DF9"/>
    <w:rsid w:val="000520A8"/>
    <w:rsid w:val="000524E4"/>
    <w:rsid w:val="00076610"/>
    <w:rsid w:val="00083181"/>
    <w:rsid w:val="000858C5"/>
    <w:rsid w:val="000926C9"/>
    <w:rsid w:val="000A007D"/>
    <w:rsid w:val="000C4A07"/>
    <w:rsid w:val="000D0702"/>
    <w:rsid w:val="00107626"/>
    <w:rsid w:val="00111788"/>
    <w:rsid w:val="001241D8"/>
    <w:rsid w:val="00156736"/>
    <w:rsid w:val="00171474"/>
    <w:rsid w:val="0017422B"/>
    <w:rsid w:val="001837F3"/>
    <w:rsid w:val="001A0D0C"/>
    <w:rsid w:val="001A2AF3"/>
    <w:rsid w:val="001A411F"/>
    <w:rsid w:val="001A4C02"/>
    <w:rsid w:val="001B0BCE"/>
    <w:rsid w:val="001B56F9"/>
    <w:rsid w:val="001C143F"/>
    <w:rsid w:val="001E7139"/>
    <w:rsid w:val="001E79DF"/>
    <w:rsid w:val="001F10C1"/>
    <w:rsid w:val="001F66DC"/>
    <w:rsid w:val="001F750F"/>
    <w:rsid w:val="0020166E"/>
    <w:rsid w:val="00207F8C"/>
    <w:rsid w:val="002271C4"/>
    <w:rsid w:val="002404E5"/>
    <w:rsid w:val="002431A6"/>
    <w:rsid w:val="00243AB9"/>
    <w:rsid w:val="00244F4C"/>
    <w:rsid w:val="00251D49"/>
    <w:rsid w:val="00252198"/>
    <w:rsid w:val="00265DE0"/>
    <w:rsid w:val="0027495C"/>
    <w:rsid w:val="002959ED"/>
    <w:rsid w:val="002A01D2"/>
    <w:rsid w:val="002A058D"/>
    <w:rsid w:val="002A2FEA"/>
    <w:rsid w:val="002A3B89"/>
    <w:rsid w:val="002B6F38"/>
    <w:rsid w:val="002C41AE"/>
    <w:rsid w:val="002D1ED7"/>
    <w:rsid w:val="002E0DDE"/>
    <w:rsid w:val="002F03B3"/>
    <w:rsid w:val="002F2BFA"/>
    <w:rsid w:val="002F492C"/>
    <w:rsid w:val="00313827"/>
    <w:rsid w:val="00323457"/>
    <w:rsid w:val="00334F07"/>
    <w:rsid w:val="00335558"/>
    <w:rsid w:val="00375A6D"/>
    <w:rsid w:val="003813A3"/>
    <w:rsid w:val="00394F7A"/>
    <w:rsid w:val="003979CA"/>
    <w:rsid w:val="003A0E9E"/>
    <w:rsid w:val="003B4B11"/>
    <w:rsid w:val="003C35CF"/>
    <w:rsid w:val="003D3824"/>
    <w:rsid w:val="003D684E"/>
    <w:rsid w:val="0040471C"/>
    <w:rsid w:val="004147F8"/>
    <w:rsid w:val="00415C56"/>
    <w:rsid w:val="00415CE6"/>
    <w:rsid w:val="004260D6"/>
    <w:rsid w:val="00432A6C"/>
    <w:rsid w:val="00440C96"/>
    <w:rsid w:val="0045386B"/>
    <w:rsid w:val="0045533C"/>
    <w:rsid w:val="00463113"/>
    <w:rsid w:val="00464397"/>
    <w:rsid w:val="0047162F"/>
    <w:rsid w:val="004A6489"/>
    <w:rsid w:val="004B26CD"/>
    <w:rsid w:val="004B39A3"/>
    <w:rsid w:val="004C1607"/>
    <w:rsid w:val="004C587E"/>
    <w:rsid w:val="004D003B"/>
    <w:rsid w:val="004E0793"/>
    <w:rsid w:val="00502494"/>
    <w:rsid w:val="00524302"/>
    <w:rsid w:val="005247D0"/>
    <w:rsid w:val="00532CE4"/>
    <w:rsid w:val="00545817"/>
    <w:rsid w:val="00584DC4"/>
    <w:rsid w:val="005A04CC"/>
    <w:rsid w:val="005A7AC8"/>
    <w:rsid w:val="005B24B1"/>
    <w:rsid w:val="005B3D4F"/>
    <w:rsid w:val="005C2782"/>
    <w:rsid w:val="005C595A"/>
    <w:rsid w:val="005D16AE"/>
    <w:rsid w:val="005D56CD"/>
    <w:rsid w:val="005D5CB3"/>
    <w:rsid w:val="005E15A9"/>
    <w:rsid w:val="005E5E8C"/>
    <w:rsid w:val="006056BD"/>
    <w:rsid w:val="00611F9F"/>
    <w:rsid w:val="00616781"/>
    <w:rsid w:val="0061772E"/>
    <w:rsid w:val="00624317"/>
    <w:rsid w:val="00624BE1"/>
    <w:rsid w:val="00630AD0"/>
    <w:rsid w:val="0064725D"/>
    <w:rsid w:val="00652CC5"/>
    <w:rsid w:val="00654298"/>
    <w:rsid w:val="00665096"/>
    <w:rsid w:val="00672235"/>
    <w:rsid w:val="00677B84"/>
    <w:rsid w:val="00681356"/>
    <w:rsid w:val="0068599B"/>
    <w:rsid w:val="006861DD"/>
    <w:rsid w:val="006A5AA0"/>
    <w:rsid w:val="006A72E9"/>
    <w:rsid w:val="006B58D6"/>
    <w:rsid w:val="006C1F14"/>
    <w:rsid w:val="006C6D54"/>
    <w:rsid w:val="006D613F"/>
    <w:rsid w:val="006E1CE5"/>
    <w:rsid w:val="006F4DD9"/>
    <w:rsid w:val="007225C1"/>
    <w:rsid w:val="007250C8"/>
    <w:rsid w:val="00730573"/>
    <w:rsid w:val="0074249F"/>
    <w:rsid w:val="007454C4"/>
    <w:rsid w:val="00746F0E"/>
    <w:rsid w:val="00752DC7"/>
    <w:rsid w:val="00757DDB"/>
    <w:rsid w:val="00762057"/>
    <w:rsid w:val="00777DFC"/>
    <w:rsid w:val="00785F2B"/>
    <w:rsid w:val="00796D69"/>
    <w:rsid w:val="007A0379"/>
    <w:rsid w:val="007B342D"/>
    <w:rsid w:val="007B63FA"/>
    <w:rsid w:val="007C63AF"/>
    <w:rsid w:val="007C7343"/>
    <w:rsid w:val="007D4176"/>
    <w:rsid w:val="007D75EC"/>
    <w:rsid w:val="007F2535"/>
    <w:rsid w:val="00804552"/>
    <w:rsid w:val="0080543B"/>
    <w:rsid w:val="00810F73"/>
    <w:rsid w:val="00813D2E"/>
    <w:rsid w:val="00815059"/>
    <w:rsid w:val="00822A1E"/>
    <w:rsid w:val="00826793"/>
    <w:rsid w:val="00843283"/>
    <w:rsid w:val="0084702B"/>
    <w:rsid w:val="008558CD"/>
    <w:rsid w:val="008579D9"/>
    <w:rsid w:val="008914E8"/>
    <w:rsid w:val="008B12F2"/>
    <w:rsid w:val="008C14D4"/>
    <w:rsid w:val="008D0750"/>
    <w:rsid w:val="008E0A09"/>
    <w:rsid w:val="008F68D8"/>
    <w:rsid w:val="00900F4B"/>
    <w:rsid w:val="00916E0E"/>
    <w:rsid w:val="00920631"/>
    <w:rsid w:val="009301A4"/>
    <w:rsid w:val="00931405"/>
    <w:rsid w:val="009503BF"/>
    <w:rsid w:val="00960F52"/>
    <w:rsid w:val="00962EE7"/>
    <w:rsid w:val="00967C82"/>
    <w:rsid w:val="00977A87"/>
    <w:rsid w:val="009819C0"/>
    <w:rsid w:val="00991FA1"/>
    <w:rsid w:val="009A2F72"/>
    <w:rsid w:val="009A4BDE"/>
    <w:rsid w:val="009B6EEC"/>
    <w:rsid w:val="009D20EB"/>
    <w:rsid w:val="009E0C49"/>
    <w:rsid w:val="009E3692"/>
    <w:rsid w:val="009F39E4"/>
    <w:rsid w:val="009F684F"/>
    <w:rsid w:val="00A04C0C"/>
    <w:rsid w:val="00A11278"/>
    <w:rsid w:val="00A14BE9"/>
    <w:rsid w:val="00A279B2"/>
    <w:rsid w:val="00A53DC3"/>
    <w:rsid w:val="00A607B2"/>
    <w:rsid w:val="00A76A73"/>
    <w:rsid w:val="00A84559"/>
    <w:rsid w:val="00A910FA"/>
    <w:rsid w:val="00A9600B"/>
    <w:rsid w:val="00A97AFA"/>
    <w:rsid w:val="00AA4393"/>
    <w:rsid w:val="00AA44B0"/>
    <w:rsid w:val="00AE4B2D"/>
    <w:rsid w:val="00AE6CB5"/>
    <w:rsid w:val="00B1321E"/>
    <w:rsid w:val="00B15851"/>
    <w:rsid w:val="00B26B16"/>
    <w:rsid w:val="00B31BFF"/>
    <w:rsid w:val="00B523B4"/>
    <w:rsid w:val="00B548F8"/>
    <w:rsid w:val="00B56273"/>
    <w:rsid w:val="00BA5412"/>
    <w:rsid w:val="00BA6B05"/>
    <w:rsid w:val="00BA7BBF"/>
    <w:rsid w:val="00BB07C3"/>
    <w:rsid w:val="00BB7754"/>
    <w:rsid w:val="00BC0964"/>
    <w:rsid w:val="00BD1D5C"/>
    <w:rsid w:val="00BD5E79"/>
    <w:rsid w:val="00BE2502"/>
    <w:rsid w:val="00BF1C21"/>
    <w:rsid w:val="00BF2C07"/>
    <w:rsid w:val="00C2524B"/>
    <w:rsid w:val="00C27C6D"/>
    <w:rsid w:val="00C33767"/>
    <w:rsid w:val="00C46506"/>
    <w:rsid w:val="00C55E3F"/>
    <w:rsid w:val="00C637A8"/>
    <w:rsid w:val="00C6652D"/>
    <w:rsid w:val="00C76B0C"/>
    <w:rsid w:val="00C77824"/>
    <w:rsid w:val="00CA1C32"/>
    <w:rsid w:val="00CA2C1F"/>
    <w:rsid w:val="00CA6867"/>
    <w:rsid w:val="00CB1C88"/>
    <w:rsid w:val="00CC19DE"/>
    <w:rsid w:val="00CC3177"/>
    <w:rsid w:val="00CC4FDF"/>
    <w:rsid w:val="00D02A44"/>
    <w:rsid w:val="00D03DDB"/>
    <w:rsid w:val="00D059F4"/>
    <w:rsid w:val="00D06E6E"/>
    <w:rsid w:val="00D1734D"/>
    <w:rsid w:val="00D22F53"/>
    <w:rsid w:val="00D276BE"/>
    <w:rsid w:val="00D4100B"/>
    <w:rsid w:val="00D438B7"/>
    <w:rsid w:val="00D44840"/>
    <w:rsid w:val="00D454D6"/>
    <w:rsid w:val="00D51E46"/>
    <w:rsid w:val="00D60A12"/>
    <w:rsid w:val="00D61FAD"/>
    <w:rsid w:val="00D81A8C"/>
    <w:rsid w:val="00D836DC"/>
    <w:rsid w:val="00D83BF3"/>
    <w:rsid w:val="00D854F7"/>
    <w:rsid w:val="00D9672C"/>
    <w:rsid w:val="00DA1EBE"/>
    <w:rsid w:val="00DB5334"/>
    <w:rsid w:val="00DC29AB"/>
    <w:rsid w:val="00DD286C"/>
    <w:rsid w:val="00DD6CD6"/>
    <w:rsid w:val="00DF6012"/>
    <w:rsid w:val="00E024CC"/>
    <w:rsid w:val="00E05622"/>
    <w:rsid w:val="00E15B69"/>
    <w:rsid w:val="00E17B23"/>
    <w:rsid w:val="00E20584"/>
    <w:rsid w:val="00E30C20"/>
    <w:rsid w:val="00E37575"/>
    <w:rsid w:val="00E37636"/>
    <w:rsid w:val="00E400F5"/>
    <w:rsid w:val="00E47E9D"/>
    <w:rsid w:val="00E725C0"/>
    <w:rsid w:val="00E72D84"/>
    <w:rsid w:val="00E72E13"/>
    <w:rsid w:val="00E80A87"/>
    <w:rsid w:val="00E81B74"/>
    <w:rsid w:val="00E8576B"/>
    <w:rsid w:val="00E904EB"/>
    <w:rsid w:val="00E9172D"/>
    <w:rsid w:val="00E97277"/>
    <w:rsid w:val="00EA4020"/>
    <w:rsid w:val="00EA5A2B"/>
    <w:rsid w:val="00EA6930"/>
    <w:rsid w:val="00EB29A2"/>
    <w:rsid w:val="00EB4508"/>
    <w:rsid w:val="00EC319E"/>
    <w:rsid w:val="00ED1E76"/>
    <w:rsid w:val="00EE7E27"/>
    <w:rsid w:val="00EF1683"/>
    <w:rsid w:val="00F01CD0"/>
    <w:rsid w:val="00F34D9D"/>
    <w:rsid w:val="00F37E83"/>
    <w:rsid w:val="00F53B14"/>
    <w:rsid w:val="00F53B4A"/>
    <w:rsid w:val="00F5500E"/>
    <w:rsid w:val="00F553A4"/>
    <w:rsid w:val="00F572F7"/>
    <w:rsid w:val="00F62963"/>
    <w:rsid w:val="00F62E3C"/>
    <w:rsid w:val="00F647A7"/>
    <w:rsid w:val="00F664CD"/>
    <w:rsid w:val="00F70721"/>
    <w:rsid w:val="00F70A48"/>
    <w:rsid w:val="00F7688D"/>
    <w:rsid w:val="00F832BC"/>
    <w:rsid w:val="00F83481"/>
    <w:rsid w:val="00F836BA"/>
    <w:rsid w:val="00F93ECA"/>
    <w:rsid w:val="00F970E9"/>
    <w:rsid w:val="00FB7AFD"/>
    <w:rsid w:val="00FC10EB"/>
    <w:rsid w:val="00FC1DF2"/>
    <w:rsid w:val="00FC58D1"/>
    <w:rsid w:val="00FD4C5E"/>
    <w:rsid w:val="00FD65CF"/>
    <w:rsid w:val="00FE1135"/>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06F3"/>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customStyle="1" w:styleId="WWBodyText">
    <w:name w:val="WW_BodyText"/>
    <w:basedOn w:val="Normal"/>
    <w:rsid w:val="00FF1DB0"/>
    <w:pPr>
      <w:suppressAutoHyphens/>
      <w:spacing w:after="240" w:line="360" w:lineRule="auto"/>
      <w:jc w:val="both"/>
    </w:pPr>
    <w:rPr>
      <w:rFonts w:ascii="Arial" w:eastAsia="Times New Roman" w:hAnsi="Arial"/>
      <w:szCs w:val="24"/>
      <w:lang w:eastAsia="en-GB"/>
    </w:rPr>
  </w:style>
  <w:style w:type="character" w:styleId="Hyperlink">
    <w:name w:val="Hyperlink"/>
    <w:basedOn w:val="DefaultParagraphFont"/>
    <w:uiPriority w:val="99"/>
    <w:semiHidden/>
    <w:rsid w:val="00FF1DB0"/>
    <w:rPr>
      <w:color w:val="5C6F7B" w:themeColor="hyperlink"/>
      <w:u w:val="single"/>
    </w:rPr>
  </w:style>
  <w:style w:type="character" w:styleId="CommentReference">
    <w:name w:val="annotation reference"/>
    <w:basedOn w:val="DefaultParagraphFont"/>
    <w:uiPriority w:val="99"/>
    <w:semiHidden/>
    <w:rsid w:val="00DF6012"/>
    <w:rPr>
      <w:sz w:val="16"/>
      <w:szCs w:val="16"/>
    </w:rPr>
  </w:style>
  <w:style w:type="paragraph" w:styleId="CommentSubject">
    <w:name w:val="annotation subject"/>
    <w:basedOn w:val="CommentText"/>
    <w:next w:val="CommentText"/>
    <w:link w:val="CommentSubjectChar"/>
    <w:uiPriority w:val="99"/>
    <w:semiHidden/>
    <w:unhideWhenUsed/>
    <w:rsid w:val="00DF6012"/>
    <w:rPr>
      <w:b/>
      <w:bCs/>
      <w:sz w:val="20"/>
    </w:rPr>
  </w:style>
  <w:style w:type="character" w:customStyle="1" w:styleId="CommentSubjectChar">
    <w:name w:val="Comment Subject Char"/>
    <w:basedOn w:val="CommentTextChar"/>
    <w:link w:val="CommentSubject"/>
    <w:uiPriority w:val="99"/>
    <w:semiHidden/>
    <w:rsid w:val="00DF6012"/>
    <w:rPr>
      <w:rFonts w:cs="Times New Roman"/>
      <w:b/>
      <w:bCs/>
      <w:sz w:val="20"/>
      <w:szCs w:val="20"/>
      <w:lang w:val="en-GB"/>
    </w:rPr>
  </w:style>
  <w:style w:type="character" w:styleId="UnresolvedMention">
    <w:name w:val="Unresolved Mention"/>
    <w:basedOn w:val="DefaultParagraphFont"/>
    <w:uiPriority w:val="99"/>
    <w:semiHidden/>
    <w:unhideWhenUsed/>
    <w:rsid w:val="000524E4"/>
    <w:rPr>
      <w:color w:val="605E5C"/>
      <w:shd w:val="clear" w:color="auto" w:fill="E1DFDD"/>
    </w:rPr>
  </w:style>
  <w:style w:type="character" w:styleId="FollowedHyperlink">
    <w:name w:val="FollowedHyperlink"/>
    <w:basedOn w:val="DefaultParagraphFont"/>
    <w:uiPriority w:val="99"/>
    <w:semiHidden/>
    <w:rsid w:val="00006C99"/>
    <w:rPr>
      <w:color w:val="9AD7D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9491">
      <w:bodyDiv w:val="1"/>
      <w:marLeft w:val="0"/>
      <w:marRight w:val="0"/>
      <w:marTop w:val="0"/>
      <w:marBottom w:val="0"/>
      <w:divBdr>
        <w:top w:val="none" w:sz="0" w:space="0" w:color="auto"/>
        <w:left w:val="none" w:sz="0" w:space="0" w:color="auto"/>
        <w:bottom w:val="none" w:sz="0" w:space="0" w:color="auto"/>
        <w:right w:val="none" w:sz="0" w:space="0" w:color="auto"/>
      </w:divBdr>
    </w:div>
    <w:div w:id="905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prosus.com/news/investors-shareholder-informa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3" ma:contentTypeDescription="Create a new document." ma:contentTypeScope="" ma:versionID="b69e1ebe0cbfb4e36d1816847a55f07a">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03ae1803060afa6462f34f30f22db597"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F5C3E-8F54-4EEA-ABC7-56D2E153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67540-6851-446B-8198-F192AD23836A}">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d830a163-2bd2-4904-a356-455e0fdb518a"/>
    <ds:schemaRef ds:uri="943f1af2-e785-4394-9b2d-dfaf95e92f60"/>
  </ds:schemaRefs>
</ds:datastoreItem>
</file>

<file path=customXml/itemProps3.xml><?xml version="1.0" encoding="utf-8"?>
<ds:datastoreItem xmlns:ds="http://schemas.openxmlformats.org/officeDocument/2006/customXml" ds:itemID="{EA8BE93E-84F5-40D5-B57C-3166153BB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Tonilee Lutz</dc:creator>
  <cp:lastModifiedBy>Pieter Carnelley</cp:lastModifiedBy>
  <cp:revision>4</cp:revision>
  <cp:lastPrinted>2020-11-30T09:56:00Z</cp:lastPrinted>
  <dcterms:created xsi:type="dcterms:W3CDTF">2021-12-28T08:55:00Z</dcterms:created>
  <dcterms:modified xsi:type="dcterms:W3CDTF">2021-12-28T12:12:00Z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ies>
</file>