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7777777" w:rsidR="00FF1DB0" w:rsidRPr="001B56F9" w:rsidRDefault="00B548F8" w:rsidP="001B56F9">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B548F8"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D06BEA" w:rsidRDefault="00B548F8" w:rsidP="001B56F9">
      <w:pPr>
        <w:pStyle w:val="WWBodyText"/>
        <w:spacing w:after="0" w:line="240" w:lineRule="auto"/>
        <w:jc w:val="center"/>
        <w:rPr>
          <w:rFonts w:ascii="Verdana" w:hAnsi="Verdana"/>
          <w:sz w:val="20"/>
          <w:szCs w:val="20"/>
        </w:rPr>
      </w:pPr>
      <w:r w:rsidRPr="001B56F9">
        <w:rPr>
          <w:rFonts w:ascii="Verdana" w:hAnsi="Verdana"/>
          <w:sz w:val="20"/>
          <w:szCs w:val="20"/>
        </w:rPr>
        <w:t xml:space="preserve">(Legal </w:t>
      </w:r>
      <w:r w:rsidRPr="00D06BEA">
        <w:rPr>
          <w:rFonts w:ascii="Verdana" w:hAnsi="Verdana"/>
          <w:sz w:val="20"/>
          <w:szCs w:val="20"/>
        </w:rPr>
        <w:t>Entity Identifier: 635400Z5LQ5F9OLVT688)</w:t>
      </w:r>
    </w:p>
    <w:p w14:paraId="7B2A7968" w14:textId="77777777" w:rsidR="00FF1DB0" w:rsidRPr="00D06BEA" w:rsidRDefault="00B548F8" w:rsidP="001B56F9">
      <w:pPr>
        <w:pStyle w:val="WWBodyText"/>
        <w:spacing w:after="0" w:line="240" w:lineRule="auto"/>
        <w:jc w:val="center"/>
        <w:rPr>
          <w:rFonts w:ascii="Verdana" w:hAnsi="Verdana"/>
          <w:sz w:val="20"/>
          <w:szCs w:val="20"/>
          <w:lang w:val="en-ZA"/>
        </w:rPr>
      </w:pPr>
      <w:r w:rsidRPr="00D06BEA">
        <w:rPr>
          <w:rFonts w:ascii="Verdana" w:hAnsi="Verdana"/>
          <w:sz w:val="20"/>
          <w:szCs w:val="20"/>
          <w:lang w:val="en-ZA"/>
        </w:rPr>
        <w:t>AEX and JSE Share Code: PRX ISIN: NL0013654783</w:t>
      </w:r>
    </w:p>
    <w:p w14:paraId="27807AA7" w14:textId="5E2808DD" w:rsidR="00FF1DB0" w:rsidRPr="00D06BEA" w:rsidRDefault="00B548F8" w:rsidP="001B56F9">
      <w:pPr>
        <w:pStyle w:val="WWBodyText"/>
        <w:spacing w:line="240" w:lineRule="auto"/>
        <w:jc w:val="center"/>
        <w:rPr>
          <w:rFonts w:ascii="Verdana" w:hAnsi="Verdana"/>
          <w:sz w:val="20"/>
          <w:szCs w:val="20"/>
          <w:lang w:val="en-ZA"/>
        </w:rPr>
      </w:pPr>
      <w:r w:rsidRPr="00D06BEA">
        <w:rPr>
          <w:rFonts w:ascii="Verdana" w:hAnsi="Verdana"/>
          <w:sz w:val="20"/>
          <w:szCs w:val="20"/>
          <w:lang w:val="en-ZA"/>
        </w:rPr>
        <w:t>(</w:t>
      </w:r>
      <w:r w:rsidRPr="00D06BEA">
        <w:rPr>
          <w:rFonts w:ascii="Verdana" w:hAnsi="Verdana"/>
          <w:b/>
          <w:sz w:val="20"/>
          <w:szCs w:val="20"/>
          <w:lang w:val="en-ZA"/>
        </w:rPr>
        <w:t>Prosus</w:t>
      </w:r>
      <w:r w:rsidRPr="00D06BEA">
        <w:rPr>
          <w:rFonts w:ascii="Verdana" w:hAnsi="Verdana"/>
          <w:sz w:val="20"/>
          <w:szCs w:val="20"/>
          <w:lang w:val="en-ZA"/>
        </w:rPr>
        <w:t>)</w:t>
      </w:r>
    </w:p>
    <w:p w14:paraId="71B07F10" w14:textId="596113DF" w:rsidR="000A423F" w:rsidRPr="003C4B8B" w:rsidRDefault="000A423F" w:rsidP="003C4B8B">
      <w:pPr>
        <w:pStyle w:val="CommentText"/>
        <w:jc w:val="both"/>
        <w:rPr>
          <w:rFonts w:ascii="Verdana" w:hAnsi="Verdana" w:cs="Courier New"/>
          <w:sz w:val="18"/>
          <w:szCs w:val="18"/>
        </w:rPr>
      </w:pPr>
      <w:r w:rsidRPr="003C4B8B">
        <w:rPr>
          <w:rFonts w:ascii="Verdana" w:hAnsi="Verdana" w:cs="Courier New"/>
          <w:sz w:val="18"/>
          <w:szCs w:val="18"/>
        </w:rPr>
        <w:t xml:space="preserve">NOT FOR RELEASE, PUBLICATION OR DISTRIBUTION, DIRECTLY OR INDIRECTLY, INTO OR IN THE UNITED STATES, </w:t>
      </w:r>
      <w:proofErr w:type="gramStart"/>
      <w:r w:rsidRPr="003C4B8B">
        <w:rPr>
          <w:rFonts w:ascii="Verdana" w:hAnsi="Verdana" w:cs="Courier New"/>
          <w:sz w:val="18"/>
          <w:szCs w:val="18"/>
        </w:rPr>
        <w:t>CANADA</w:t>
      </w:r>
      <w:proofErr w:type="gramEnd"/>
      <w:r w:rsidRPr="003C4B8B">
        <w:rPr>
          <w:rFonts w:ascii="Verdana" w:hAnsi="Verdana" w:cs="Courier New"/>
          <w:sz w:val="18"/>
          <w:szCs w:val="18"/>
        </w:rPr>
        <w:t xml:space="preserve"> OR JAPAN OR INTO ANY OTHER JURISDICTION IN WHICH OFFERS OR SALES WOULD BE PROHIBITED BY APPLICABLE LAW. THIS ANNOUNCEMENT DOES NOT CONSTITUTE OR FORM AN OFFER</w:t>
      </w:r>
      <w:r w:rsidR="008B7444">
        <w:rPr>
          <w:rFonts w:ascii="Verdana" w:hAnsi="Verdana" w:cs="Courier New"/>
          <w:sz w:val="18"/>
          <w:szCs w:val="18"/>
        </w:rPr>
        <w:t xml:space="preserve"> </w:t>
      </w:r>
      <w:r w:rsidRPr="003C4B8B">
        <w:rPr>
          <w:rFonts w:ascii="Verdana" w:hAnsi="Verdana" w:cs="Courier New"/>
          <w:sz w:val="18"/>
          <w:szCs w:val="18"/>
        </w:rPr>
        <w:t>OF SECURITIES IN THE UNITED STATES OR ANY OTHER JURISDICTION.</w:t>
      </w:r>
    </w:p>
    <w:p w14:paraId="227525A5" w14:textId="5EFC0819" w:rsidR="000A423F" w:rsidRPr="003C4B8B" w:rsidRDefault="000A423F" w:rsidP="003C4B8B">
      <w:pPr>
        <w:pStyle w:val="CommentText"/>
        <w:jc w:val="both"/>
        <w:rPr>
          <w:rFonts w:ascii="Verdana" w:hAnsi="Verdana"/>
        </w:rPr>
      </w:pPr>
      <w:r w:rsidRPr="003C4B8B">
        <w:rPr>
          <w:rFonts w:ascii="Verdana" w:hAnsi="Verdana" w:cs="Courier New"/>
          <w:sz w:val="18"/>
          <w:szCs w:val="18"/>
        </w:rPr>
        <w:br/>
        <w:t>THE SHARES TO WHICH THIS ANNOUNCEMENT RELATES HAVE NOT BEEN AND WILL NOT BE REGISTERED</w:t>
      </w:r>
      <w:r w:rsidRPr="003C4B8B">
        <w:rPr>
          <w:rFonts w:ascii="Verdana" w:hAnsi="Verdana" w:cs="Courier New"/>
          <w:sz w:val="18"/>
          <w:szCs w:val="18"/>
        </w:rPr>
        <w:br/>
        <w:t>UNDER THE U.S. SECURITIES ACT OF 1933, AS AMENDED (THE "SECURITIES ACT"), AND MAY NOT BE</w:t>
      </w:r>
      <w:r w:rsidRPr="003C4B8B">
        <w:rPr>
          <w:rFonts w:ascii="Verdana" w:hAnsi="Verdana" w:cs="Courier New"/>
          <w:sz w:val="18"/>
          <w:szCs w:val="18"/>
        </w:rPr>
        <w:br/>
        <w:t>OFFERED OR SOLD IN THE UNITED STATES ABSENT REGISTRATION OR AN EXEMPTION FROM REGISTRATION UNDER THE SECURITIES ACT. THERE WILL NOT BE A PUBLIC OFFERING OF SUCH SHARES</w:t>
      </w:r>
      <w:r w:rsidRPr="003C4B8B">
        <w:rPr>
          <w:rFonts w:ascii="Verdana" w:hAnsi="Verdana" w:cs="Courier New"/>
          <w:sz w:val="18"/>
          <w:szCs w:val="18"/>
        </w:rPr>
        <w:br/>
        <w:t>IN THE UNITED STATES</w:t>
      </w:r>
      <w:r w:rsidR="00293E29">
        <w:rPr>
          <w:rFonts w:ascii="Verdana" w:hAnsi="Verdana" w:cs="Courier New"/>
          <w:sz w:val="18"/>
          <w:szCs w:val="18"/>
        </w:rPr>
        <w:t xml:space="preserve"> OR IN ANY OTHER JURISDICTION</w:t>
      </w:r>
      <w:r w:rsidRPr="003C4B8B">
        <w:rPr>
          <w:rFonts w:ascii="Verdana" w:hAnsi="Verdana" w:cs="Courier New"/>
          <w:sz w:val="18"/>
          <w:szCs w:val="18"/>
        </w:rPr>
        <w:t>. PLEASE SEE THE IMPORTANT NOTICE AT THE END OF THIS ANNOUNCEMENT.</w:t>
      </w:r>
    </w:p>
    <w:p w14:paraId="343B60CB" w14:textId="008469F1" w:rsidR="00D06BEA" w:rsidRPr="00535A68" w:rsidRDefault="00550DA4" w:rsidP="00D06BEA">
      <w:pPr>
        <w:pStyle w:val="AOHead1"/>
        <w:numPr>
          <w:ilvl w:val="0"/>
          <w:numId w:val="0"/>
        </w:numPr>
        <w:ind w:left="720" w:hanging="720"/>
        <w:jc w:val="center"/>
        <w:rPr>
          <w:rFonts w:ascii="Verdana" w:hAnsi="Verdana" w:cstheme="minorHAnsi"/>
          <w:sz w:val="20"/>
          <w:szCs w:val="20"/>
        </w:rPr>
      </w:pPr>
      <w:r>
        <w:rPr>
          <w:rFonts w:ascii="Verdana" w:hAnsi="Verdana" w:cstheme="minorHAnsi"/>
          <w:sz w:val="20"/>
          <w:szCs w:val="20"/>
        </w:rPr>
        <w:t xml:space="preserve">COMPLETION: </w:t>
      </w:r>
      <w:r w:rsidR="00D06BEA" w:rsidRPr="00535A68">
        <w:rPr>
          <w:rFonts w:ascii="Verdana" w:hAnsi="Verdana" w:cstheme="minorHAnsi"/>
          <w:sz w:val="20"/>
          <w:szCs w:val="20"/>
        </w:rPr>
        <w:t>Accelerated Offering of tencent shares by prosus n.v.</w:t>
      </w:r>
    </w:p>
    <w:p w14:paraId="568EBF17" w14:textId="77777777" w:rsidR="00535A68" w:rsidRDefault="00535A68" w:rsidP="00535A68">
      <w:pPr>
        <w:spacing w:line="288" w:lineRule="auto"/>
        <w:jc w:val="both"/>
        <w:rPr>
          <w:rFonts w:ascii="Verdana" w:hAnsi="Verdana" w:cstheme="minorHAnsi"/>
          <w:b/>
          <w:bCs/>
          <w:color w:val="000000"/>
          <w:sz w:val="20"/>
          <w:szCs w:val="20"/>
        </w:rPr>
      </w:pPr>
      <w:bookmarkStart w:id="0" w:name="_Hlk67472742"/>
    </w:p>
    <w:p w14:paraId="6AA29920" w14:textId="7A9C3AF5" w:rsidR="00535A68" w:rsidRPr="00535A68" w:rsidRDefault="00535A68" w:rsidP="00535A68">
      <w:pPr>
        <w:spacing w:line="288" w:lineRule="auto"/>
        <w:jc w:val="both"/>
        <w:rPr>
          <w:rFonts w:ascii="Verdana" w:hAnsi="Verdana" w:cstheme="minorHAnsi"/>
          <w:b/>
          <w:bCs/>
          <w:color w:val="000000"/>
          <w:sz w:val="20"/>
          <w:szCs w:val="20"/>
        </w:rPr>
      </w:pPr>
      <w:r w:rsidRPr="00535A68">
        <w:rPr>
          <w:rFonts w:ascii="Verdana" w:hAnsi="Verdana" w:cstheme="minorHAnsi"/>
          <w:b/>
          <w:bCs/>
          <w:color w:val="000000"/>
          <w:sz w:val="20"/>
          <w:szCs w:val="20"/>
        </w:rPr>
        <w:t>Introduction</w:t>
      </w:r>
    </w:p>
    <w:p w14:paraId="7AD94D31" w14:textId="336DC9F5" w:rsidR="00535A68" w:rsidRPr="007D023A" w:rsidRDefault="0007012E" w:rsidP="00535A68">
      <w:pPr>
        <w:spacing w:line="288" w:lineRule="auto"/>
        <w:jc w:val="both"/>
        <w:rPr>
          <w:rFonts w:ascii="Verdana" w:hAnsi="Verdana"/>
          <w:color w:val="000000"/>
          <w:sz w:val="20"/>
        </w:rPr>
      </w:pPr>
      <w:r w:rsidRPr="007D023A">
        <w:rPr>
          <w:rFonts w:ascii="Verdana" w:hAnsi="Verdana"/>
          <w:color w:val="000000"/>
          <w:sz w:val="20"/>
        </w:rPr>
        <w:t xml:space="preserve">Further to the announcement released on </w:t>
      </w:r>
      <w:r w:rsidR="00CD42B2" w:rsidRPr="007D023A">
        <w:rPr>
          <w:rFonts w:ascii="Verdana" w:hAnsi="Verdana"/>
          <w:color w:val="000000"/>
          <w:sz w:val="20"/>
        </w:rPr>
        <w:t>7</w:t>
      </w:r>
      <w:r w:rsidRPr="007D023A">
        <w:rPr>
          <w:rFonts w:ascii="Verdana" w:hAnsi="Verdana"/>
          <w:color w:val="000000"/>
          <w:sz w:val="20"/>
        </w:rPr>
        <w:t xml:space="preserve"> </w:t>
      </w:r>
      <w:r w:rsidR="00DE5ACD" w:rsidRPr="007D023A">
        <w:rPr>
          <w:rFonts w:ascii="Verdana" w:hAnsi="Verdana"/>
          <w:color w:val="000000"/>
          <w:sz w:val="20"/>
        </w:rPr>
        <w:t>April</w:t>
      </w:r>
      <w:r w:rsidRPr="007D023A">
        <w:rPr>
          <w:rFonts w:ascii="Verdana" w:hAnsi="Verdana"/>
          <w:color w:val="000000"/>
          <w:sz w:val="20"/>
        </w:rPr>
        <w:t xml:space="preserve"> 2021,</w:t>
      </w:r>
      <w:r w:rsidR="00535A68" w:rsidRPr="007D023A">
        <w:rPr>
          <w:rFonts w:ascii="Verdana" w:hAnsi="Verdana"/>
          <w:color w:val="000000"/>
          <w:sz w:val="20"/>
        </w:rPr>
        <w:t xml:space="preserve"> shareholders of Prosus are advised that Prosus has successfully concluded the sale of </w:t>
      </w:r>
      <w:r w:rsidR="00CD42B2" w:rsidRPr="007D023A">
        <w:rPr>
          <w:rFonts w:ascii="Verdana" w:hAnsi="Verdana"/>
          <w:color w:val="000000"/>
          <w:sz w:val="20"/>
        </w:rPr>
        <w:t>191</w:t>
      </w:r>
      <w:r w:rsidR="00CD42B2">
        <w:rPr>
          <w:rFonts w:ascii="Verdana" w:hAnsi="Verdana" w:cstheme="minorHAnsi"/>
          <w:color w:val="000000"/>
          <w:sz w:val="20"/>
          <w:szCs w:val="20"/>
        </w:rPr>
        <w:t>,</w:t>
      </w:r>
      <w:r w:rsidR="00CD42B2" w:rsidRPr="007D023A">
        <w:rPr>
          <w:rFonts w:ascii="Verdana" w:hAnsi="Verdana"/>
          <w:color w:val="000000"/>
          <w:sz w:val="20"/>
        </w:rPr>
        <w:t>890</w:t>
      </w:r>
      <w:r w:rsidR="00CD42B2">
        <w:rPr>
          <w:rFonts w:ascii="Verdana" w:hAnsi="Verdana" w:cstheme="minorHAnsi"/>
          <w:color w:val="000000"/>
          <w:sz w:val="20"/>
          <w:szCs w:val="20"/>
        </w:rPr>
        <w:t>,</w:t>
      </w:r>
      <w:r w:rsidR="00CD42B2" w:rsidRPr="007D023A">
        <w:rPr>
          <w:rFonts w:ascii="Verdana" w:hAnsi="Verdana"/>
          <w:color w:val="000000"/>
          <w:sz w:val="20"/>
        </w:rPr>
        <w:t>000</w:t>
      </w:r>
      <w:r w:rsidR="00535A68" w:rsidRPr="007D023A">
        <w:rPr>
          <w:rFonts w:ascii="Verdana" w:hAnsi="Verdana"/>
          <w:color w:val="000000"/>
          <w:sz w:val="20"/>
        </w:rPr>
        <w:t xml:space="preserve"> shares in Tencent (the "Tencent Sale Shares"), equal to approximately </w:t>
      </w:r>
      <w:r w:rsidR="00CD42B2" w:rsidRPr="007D023A">
        <w:rPr>
          <w:rFonts w:ascii="Verdana" w:hAnsi="Verdana"/>
          <w:color w:val="000000"/>
          <w:sz w:val="20"/>
        </w:rPr>
        <w:t>2</w:t>
      </w:r>
      <w:r w:rsidR="00535A68" w:rsidRPr="007D023A">
        <w:rPr>
          <w:rFonts w:ascii="Verdana" w:hAnsi="Verdana"/>
          <w:color w:val="000000"/>
          <w:sz w:val="20"/>
        </w:rPr>
        <w:t>% of Tencent’s issued share capital, for an aggregate purchase consideration of US$</w:t>
      </w:r>
      <w:r w:rsidR="00CD42B2">
        <w:rPr>
          <w:rFonts w:ascii="Verdana" w:hAnsi="Verdana" w:cstheme="minorHAnsi"/>
          <w:color w:val="000000"/>
          <w:sz w:val="20"/>
          <w:szCs w:val="20"/>
        </w:rPr>
        <w:t>14.6</w:t>
      </w:r>
      <w:r w:rsidR="00535A68" w:rsidRPr="007D023A">
        <w:rPr>
          <w:rFonts w:ascii="Verdana" w:hAnsi="Verdana"/>
          <w:color w:val="000000"/>
          <w:sz w:val="20"/>
        </w:rPr>
        <w:t xml:space="preserve"> billion on </w:t>
      </w:r>
      <w:r w:rsidR="00CD42B2">
        <w:rPr>
          <w:rFonts w:ascii="Verdana" w:hAnsi="Verdana" w:cstheme="minorHAnsi"/>
          <w:color w:val="000000"/>
          <w:sz w:val="20"/>
          <w:szCs w:val="20"/>
        </w:rPr>
        <w:t>8</w:t>
      </w:r>
      <w:r w:rsidR="00535A68" w:rsidRPr="007D023A">
        <w:rPr>
          <w:rFonts w:ascii="Verdana" w:hAnsi="Verdana"/>
          <w:color w:val="000000"/>
          <w:sz w:val="20"/>
        </w:rPr>
        <w:t xml:space="preserve"> </w:t>
      </w:r>
      <w:r w:rsidR="00DE5ACD" w:rsidRPr="007D023A">
        <w:rPr>
          <w:rFonts w:ascii="Verdana" w:hAnsi="Verdana"/>
          <w:color w:val="000000"/>
          <w:sz w:val="20"/>
        </w:rPr>
        <w:t>April</w:t>
      </w:r>
      <w:r w:rsidR="00535A68" w:rsidRPr="007D023A">
        <w:rPr>
          <w:rFonts w:ascii="Verdana" w:hAnsi="Verdana"/>
          <w:color w:val="000000"/>
          <w:sz w:val="20"/>
        </w:rPr>
        <w:t xml:space="preserve"> 2021 by way of an accelerated offering by private placement on the Hong Kong Stock Exchange (the "Accelerated Offering" or "Placing").</w:t>
      </w:r>
    </w:p>
    <w:p w14:paraId="7D735891" w14:textId="77777777" w:rsidR="00535A68" w:rsidRPr="007D023A" w:rsidRDefault="00535A68" w:rsidP="00535A68">
      <w:pPr>
        <w:spacing w:line="288" w:lineRule="auto"/>
        <w:jc w:val="both"/>
        <w:rPr>
          <w:rFonts w:ascii="Verdana" w:hAnsi="Verdana"/>
          <w:color w:val="000000"/>
          <w:sz w:val="20"/>
        </w:rPr>
      </w:pPr>
    </w:p>
    <w:p w14:paraId="4D19B7F9" w14:textId="7A5B6CE8" w:rsidR="00535A68" w:rsidRPr="00535A68" w:rsidRDefault="00535A68" w:rsidP="00535A68">
      <w:pPr>
        <w:spacing w:line="288" w:lineRule="auto"/>
        <w:jc w:val="both"/>
        <w:rPr>
          <w:rFonts w:ascii="Verdana" w:hAnsi="Verdana" w:cstheme="minorHAnsi"/>
          <w:color w:val="000000"/>
          <w:sz w:val="20"/>
          <w:szCs w:val="20"/>
        </w:rPr>
      </w:pPr>
      <w:r w:rsidRPr="007D023A">
        <w:rPr>
          <w:rFonts w:ascii="Verdana" w:hAnsi="Verdana"/>
          <w:color w:val="000000"/>
          <w:sz w:val="20"/>
        </w:rPr>
        <w:t xml:space="preserve">The price of </w:t>
      </w:r>
      <w:r w:rsidRPr="00ED0D9A">
        <w:rPr>
          <w:rFonts w:ascii="Verdana" w:hAnsi="Verdana" w:cstheme="minorHAnsi"/>
          <w:color w:val="000000"/>
          <w:sz w:val="20"/>
          <w:szCs w:val="20"/>
        </w:rPr>
        <w:t>HK</w:t>
      </w:r>
      <w:r w:rsidR="00CD42B2" w:rsidRPr="00ED0D9A">
        <w:rPr>
          <w:rFonts w:ascii="Verdana" w:hAnsi="Verdana" w:cstheme="minorHAnsi"/>
          <w:color w:val="000000"/>
          <w:sz w:val="20"/>
          <w:szCs w:val="20"/>
        </w:rPr>
        <w:t>$</w:t>
      </w:r>
      <w:r w:rsidR="00CD42B2">
        <w:rPr>
          <w:rFonts w:ascii="Verdana" w:hAnsi="Verdana" w:cstheme="minorHAnsi"/>
          <w:color w:val="000000"/>
          <w:sz w:val="20"/>
          <w:szCs w:val="20"/>
        </w:rPr>
        <w:t>595</w:t>
      </w:r>
      <w:r w:rsidRPr="007D023A">
        <w:rPr>
          <w:rFonts w:ascii="Verdana" w:hAnsi="Verdana"/>
          <w:color w:val="000000"/>
          <w:sz w:val="20"/>
        </w:rPr>
        <w:t xml:space="preserve"> per share achieved for the Tencent Sale Shares represents a </w:t>
      </w:r>
      <w:r w:rsidR="00CD42B2">
        <w:rPr>
          <w:rFonts w:ascii="Verdana" w:hAnsi="Verdana" w:cstheme="minorHAnsi"/>
          <w:color w:val="000000"/>
          <w:sz w:val="20"/>
          <w:szCs w:val="20"/>
        </w:rPr>
        <w:t>5.5</w:t>
      </w:r>
      <w:r w:rsidRPr="00ED0D9A">
        <w:rPr>
          <w:rFonts w:ascii="Verdana" w:hAnsi="Verdana" w:cstheme="minorHAnsi"/>
          <w:color w:val="000000"/>
          <w:sz w:val="20"/>
          <w:szCs w:val="20"/>
        </w:rPr>
        <w:t>%</w:t>
      </w:r>
      <w:r w:rsidRPr="007D023A">
        <w:rPr>
          <w:rFonts w:ascii="Verdana" w:hAnsi="Verdana"/>
          <w:color w:val="000000"/>
          <w:sz w:val="20"/>
        </w:rPr>
        <w:t xml:space="preserve"> discount to the closing price of Tencent shares on </w:t>
      </w:r>
      <w:r w:rsidR="00CD42B2">
        <w:rPr>
          <w:rFonts w:ascii="Verdana" w:hAnsi="Verdana" w:cstheme="minorHAnsi"/>
          <w:color w:val="000000"/>
          <w:sz w:val="20"/>
          <w:szCs w:val="20"/>
        </w:rPr>
        <w:t>7</w:t>
      </w:r>
      <w:r w:rsidRPr="007D023A">
        <w:rPr>
          <w:rFonts w:ascii="Verdana" w:hAnsi="Verdana"/>
          <w:color w:val="000000"/>
          <w:sz w:val="20"/>
        </w:rPr>
        <w:t xml:space="preserve"> </w:t>
      </w:r>
      <w:r w:rsidR="00DE5ACD" w:rsidRPr="007D023A">
        <w:rPr>
          <w:rFonts w:ascii="Verdana" w:hAnsi="Verdana"/>
          <w:color w:val="000000"/>
          <w:sz w:val="20"/>
        </w:rPr>
        <w:t>April</w:t>
      </w:r>
      <w:r w:rsidRPr="007D023A">
        <w:rPr>
          <w:rFonts w:ascii="Verdana" w:hAnsi="Verdana"/>
          <w:color w:val="000000"/>
          <w:sz w:val="20"/>
        </w:rPr>
        <w:t xml:space="preserve"> 2021.</w:t>
      </w:r>
    </w:p>
    <w:p w14:paraId="6EB3AAB0" w14:textId="77777777" w:rsidR="00535A68" w:rsidRPr="00535A68" w:rsidRDefault="00535A68" w:rsidP="00535A68">
      <w:pPr>
        <w:spacing w:line="288" w:lineRule="auto"/>
        <w:jc w:val="both"/>
        <w:rPr>
          <w:rFonts w:ascii="Verdana" w:hAnsi="Verdana" w:cstheme="minorHAnsi"/>
          <w:color w:val="000000"/>
          <w:sz w:val="20"/>
          <w:szCs w:val="20"/>
        </w:rPr>
      </w:pPr>
    </w:p>
    <w:p w14:paraId="7DA81CF7" w14:textId="799141F7" w:rsidR="00535A68" w:rsidRPr="00535A68" w:rsidRDefault="00535A68" w:rsidP="00535A68">
      <w:pPr>
        <w:spacing w:line="288" w:lineRule="auto"/>
        <w:jc w:val="both"/>
        <w:rPr>
          <w:rFonts w:ascii="Verdana" w:hAnsi="Verdana" w:cstheme="minorHAnsi"/>
          <w:color w:val="000000"/>
          <w:sz w:val="20"/>
          <w:szCs w:val="20"/>
        </w:rPr>
      </w:pPr>
      <w:r w:rsidRPr="00535A68">
        <w:rPr>
          <w:rFonts w:ascii="Verdana" w:hAnsi="Verdana" w:cstheme="minorHAnsi"/>
          <w:color w:val="000000"/>
          <w:sz w:val="20"/>
          <w:szCs w:val="20"/>
        </w:rPr>
        <w:t xml:space="preserve">Prosus has also announced its commitment not to dispose of any further shares in Tencent for a period of at least </w:t>
      </w:r>
      <w:r w:rsidR="00293E29">
        <w:rPr>
          <w:rFonts w:ascii="Verdana" w:hAnsi="Verdana" w:cstheme="minorHAnsi"/>
          <w:color w:val="000000"/>
          <w:sz w:val="20"/>
          <w:szCs w:val="20"/>
        </w:rPr>
        <w:t xml:space="preserve">the next </w:t>
      </w:r>
      <w:r w:rsidR="00000D59">
        <w:rPr>
          <w:rFonts w:ascii="Verdana" w:hAnsi="Verdana" w:cstheme="minorHAnsi"/>
          <w:color w:val="000000"/>
          <w:sz w:val="20"/>
          <w:szCs w:val="20"/>
        </w:rPr>
        <w:t>three</w:t>
      </w:r>
      <w:r w:rsidRPr="00535A68">
        <w:rPr>
          <w:rFonts w:ascii="Verdana" w:hAnsi="Verdana" w:cstheme="minorHAnsi"/>
          <w:color w:val="000000"/>
          <w:sz w:val="20"/>
          <w:szCs w:val="20"/>
        </w:rPr>
        <w:t xml:space="preserve"> years</w:t>
      </w:r>
      <w:r w:rsidR="00C40BED">
        <w:rPr>
          <w:rFonts w:ascii="Verdana" w:hAnsi="Verdana" w:cstheme="minorHAnsi"/>
          <w:color w:val="000000"/>
          <w:sz w:val="20"/>
          <w:szCs w:val="20"/>
        </w:rPr>
        <w:t>.</w:t>
      </w:r>
    </w:p>
    <w:p w14:paraId="356C39D3" w14:textId="77777777" w:rsidR="00535A68" w:rsidRPr="00535A68" w:rsidRDefault="00535A68" w:rsidP="00535A68">
      <w:pPr>
        <w:spacing w:line="288" w:lineRule="auto"/>
        <w:jc w:val="both"/>
        <w:rPr>
          <w:rFonts w:ascii="Verdana" w:hAnsi="Verdana" w:cstheme="minorHAnsi"/>
          <w:color w:val="000000"/>
          <w:sz w:val="20"/>
          <w:szCs w:val="20"/>
        </w:rPr>
      </w:pPr>
    </w:p>
    <w:p w14:paraId="13F32481" w14:textId="77777777" w:rsidR="00535A68" w:rsidRPr="00535A68" w:rsidRDefault="00535A68" w:rsidP="00535A68">
      <w:pPr>
        <w:spacing w:line="288" w:lineRule="auto"/>
        <w:jc w:val="both"/>
        <w:rPr>
          <w:rFonts w:ascii="Verdana" w:hAnsi="Verdana" w:cstheme="minorHAnsi"/>
          <w:b/>
          <w:bCs/>
          <w:color w:val="000000"/>
          <w:sz w:val="20"/>
          <w:szCs w:val="20"/>
        </w:rPr>
      </w:pPr>
      <w:r w:rsidRPr="00535A68">
        <w:rPr>
          <w:rFonts w:ascii="Verdana" w:hAnsi="Verdana" w:cstheme="minorHAnsi"/>
          <w:b/>
          <w:bCs/>
          <w:color w:val="000000"/>
          <w:sz w:val="20"/>
          <w:szCs w:val="20"/>
        </w:rPr>
        <w:t>Rationale and Use of Proceeds</w:t>
      </w:r>
    </w:p>
    <w:bookmarkEnd w:id="0"/>
    <w:p w14:paraId="127FA0F3" w14:textId="6EDF7E2D" w:rsidR="00293E29" w:rsidRPr="00A87CDC" w:rsidRDefault="00293E29" w:rsidP="00293E29">
      <w:pPr>
        <w:spacing w:line="288" w:lineRule="auto"/>
        <w:jc w:val="both"/>
        <w:rPr>
          <w:rFonts w:ascii="Verdana" w:hAnsi="Verdana"/>
          <w:color w:val="000000"/>
          <w:sz w:val="20"/>
        </w:rPr>
      </w:pPr>
      <w:r>
        <w:rPr>
          <w:rFonts w:ascii="Verdana" w:hAnsi="Verdana"/>
          <w:color w:val="000000"/>
          <w:sz w:val="20"/>
        </w:rPr>
        <w:t xml:space="preserve">Prosus intends to use the proceeds of the sale to increase its financial flexibility to invest in growth </w:t>
      </w:r>
      <w:r w:rsidR="00407D43">
        <w:rPr>
          <w:rFonts w:ascii="Verdana" w:hAnsi="Verdana"/>
          <w:color w:val="000000"/>
          <w:sz w:val="20"/>
        </w:rPr>
        <w:t>ventures, plus</w:t>
      </w:r>
      <w:r w:rsidR="007D1EF8">
        <w:rPr>
          <w:rFonts w:ascii="Verdana" w:hAnsi="Verdana"/>
          <w:color w:val="000000"/>
          <w:sz w:val="20"/>
          <w:szCs w:val="20"/>
        </w:rPr>
        <w:t xml:space="preserve"> for general corporate purposes</w:t>
      </w:r>
      <w:r>
        <w:rPr>
          <w:rFonts w:ascii="Verdana" w:hAnsi="Verdana"/>
          <w:color w:val="000000"/>
          <w:sz w:val="20"/>
        </w:rPr>
        <w:t>.</w:t>
      </w:r>
    </w:p>
    <w:p w14:paraId="6E3C185D" w14:textId="2C067415" w:rsidR="00293E29" w:rsidRDefault="00293E29" w:rsidP="003C0B02">
      <w:pPr>
        <w:spacing w:line="288" w:lineRule="auto"/>
        <w:jc w:val="both"/>
        <w:rPr>
          <w:rFonts w:ascii="Verdana" w:hAnsi="Verdana" w:cstheme="minorHAnsi"/>
          <w:color w:val="000000"/>
          <w:sz w:val="20"/>
          <w:szCs w:val="20"/>
        </w:rPr>
      </w:pPr>
    </w:p>
    <w:p w14:paraId="0EA01D54" w14:textId="737F0C55" w:rsidR="00293E29" w:rsidRPr="000C0485" w:rsidRDefault="00293E29" w:rsidP="000C0485">
      <w:pPr>
        <w:pStyle w:val="AONormal"/>
        <w:jc w:val="both"/>
      </w:pPr>
      <w:r w:rsidRPr="007066F6">
        <w:rPr>
          <w:rFonts w:ascii="Verdana" w:hAnsi="Verdana" w:cstheme="minorHAnsi"/>
          <w:color w:val="000000"/>
          <w:sz w:val="20"/>
          <w:szCs w:val="20"/>
        </w:rPr>
        <w:t xml:space="preserve">Tencent </w:t>
      </w:r>
      <w:r>
        <w:rPr>
          <w:rFonts w:ascii="Verdana" w:hAnsi="Verdana" w:cstheme="minorHAnsi"/>
          <w:color w:val="000000"/>
          <w:sz w:val="20"/>
          <w:szCs w:val="20"/>
        </w:rPr>
        <w:t xml:space="preserve">is </w:t>
      </w:r>
      <w:r w:rsidRPr="007066F6">
        <w:rPr>
          <w:rFonts w:ascii="Verdana" w:hAnsi="Verdana" w:cstheme="minorHAnsi"/>
          <w:color w:val="000000"/>
          <w:sz w:val="20"/>
          <w:szCs w:val="20"/>
        </w:rPr>
        <w:t xml:space="preserve">one of the </w:t>
      </w:r>
      <w:r>
        <w:rPr>
          <w:rFonts w:ascii="Verdana" w:hAnsi="Verdana" w:cstheme="minorHAnsi"/>
          <w:color w:val="000000"/>
          <w:sz w:val="20"/>
          <w:szCs w:val="20"/>
        </w:rPr>
        <w:t xml:space="preserve">world’s </w:t>
      </w:r>
      <w:r w:rsidRPr="007066F6">
        <w:rPr>
          <w:rFonts w:ascii="Verdana" w:hAnsi="Verdana" w:cstheme="minorHAnsi"/>
          <w:color w:val="000000"/>
          <w:sz w:val="20"/>
          <w:szCs w:val="20"/>
        </w:rPr>
        <w:t>best growth enterprises</w:t>
      </w:r>
      <w:r>
        <w:rPr>
          <w:rFonts w:ascii="Verdana" w:hAnsi="Verdana" w:cstheme="minorHAnsi"/>
          <w:color w:val="000000"/>
          <w:sz w:val="20"/>
          <w:szCs w:val="20"/>
        </w:rPr>
        <w:t xml:space="preserve">. It has consistently </w:t>
      </w:r>
      <w:r w:rsidRPr="007066F6">
        <w:rPr>
          <w:rFonts w:ascii="Verdana" w:hAnsi="Verdana" w:cstheme="minorHAnsi"/>
          <w:color w:val="000000"/>
          <w:sz w:val="20"/>
          <w:szCs w:val="20"/>
        </w:rPr>
        <w:t xml:space="preserve">delivered value since </w:t>
      </w:r>
      <w:r w:rsidR="00407D43">
        <w:rPr>
          <w:rFonts w:ascii="Verdana" w:hAnsi="Verdana" w:cstheme="minorHAnsi"/>
          <w:color w:val="000000"/>
          <w:sz w:val="20"/>
          <w:szCs w:val="20"/>
        </w:rPr>
        <w:t>listing</w:t>
      </w:r>
      <w:r w:rsidRPr="007066F6">
        <w:rPr>
          <w:rFonts w:ascii="Verdana" w:hAnsi="Verdana" w:cstheme="minorHAnsi"/>
          <w:color w:val="000000"/>
          <w:sz w:val="20"/>
          <w:szCs w:val="20"/>
        </w:rPr>
        <w:t xml:space="preserve"> in </w:t>
      </w:r>
      <w:r w:rsidR="00407D43">
        <w:rPr>
          <w:rFonts w:ascii="Verdana" w:hAnsi="Verdana" w:cstheme="minorHAnsi"/>
          <w:color w:val="000000"/>
          <w:sz w:val="20"/>
          <w:szCs w:val="20"/>
        </w:rPr>
        <w:t>2004</w:t>
      </w:r>
      <w:r>
        <w:rPr>
          <w:rFonts w:ascii="Verdana" w:hAnsi="Verdana" w:cstheme="minorHAnsi"/>
          <w:color w:val="000000"/>
          <w:sz w:val="20"/>
          <w:szCs w:val="20"/>
        </w:rPr>
        <w:t>.</w:t>
      </w:r>
      <w:r w:rsidRPr="007066F6">
        <w:rPr>
          <w:rFonts w:ascii="Verdana" w:hAnsi="Verdana" w:cstheme="minorHAnsi"/>
          <w:color w:val="000000"/>
          <w:sz w:val="20"/>
          <w:szCs w:val="20"/>
        </w:rPr>
        <w:t xml:space="preserve">  </w:t>
      </w:r>
      <w:proofErr w:type="spellStart"/>
      <w:r w:rsidR="00407D43">
        <w:rPr>
          <w:rFonts w:ascii="Verdana" w:hAnsi="Verdana" w:cstheme="minorHAnsi"/>
          <w:color w:val="000000"/>
          <w:sz w:val="20"/>
          <w:szCs w:val="20"/>
        </w:rPr>
        <w:t>Prosus</w:t>
      </w:r>
      <w:r>
        <w:rPr>
          <w:rFonts w:ascii="Verdana" w:hAnsi="Verdana" w:cstheme="minorHAnsi"/>
          <w:color w:val="000000"/>
          <w:sz w:val="20"/>
          <w:szCs w:val="20"/>
        </w:rPr>
        <w:t>’s</w:t>
      </w:r>
      <w:proofErr w:type="spellEnd"/>
      <w:r w:rsidRPr="007066F6">
        <w:rPr>
          <w:rFonts w:ascii="Verdana" w:hAnsi="Verdana" w:cstheme="minorHAnsi"/>
          <w:color w:val="000000"/>
          <w:sz w:val="20"/>
          <w:szCs w:val="20"/>
        </w:rPr>
        <w:t xml:space="preserve"> commitment to Tencent remains steadfast.</w:t>
      </w:r>
      <w:r>
        <w:rPr>
          <w:rFonts w:ascii="Verdana" w:hAnsi="Verdana" w:cstheme="minorHAnsi"/>
          <w:color w:val="000000"/>
          <w:sz w:val="20"/>
          <w:szCs w:val="20"/>
        </w:rPr>
        <w:t xml:space="preserve"> </w:t>
      </w:r>
      <w:r w:rsidR="00407D43">
        <w:rPr>
          <w:rFonts w:ascii="Verdana" w:hAnsi="Verdana" w:cstheme="minorHAnsi"/>
          <w:color w:val="000000"/>
          <w:sz w:val="20"/>
          <w:szCs w:val="20"/>
        </w:rPr>
        <w:t>T</w:t>
      </w:r>
      <w:r>
        <w:rPr>
          <w:rFonts w:ascii="Verdana" w:hAnsi="Verdana" w:cstheme="minorHAnsi"/>
          <w:color w:val="000000"/>
          <w:sz w:val="20"/>
          <w:szCs w:val="20"/>
        </w:rPr>
        <w:t xml:space="preserve">hrough the </w:t>
      </w:r>
      <w:r w:rsidR="00407D43">
        <w:rPr>
          <w:rFonts w:ascii="Verdana" w:hAnsi="Verdana" w:cstheme="minorHAnsi"/>
          <w:color w:val="000000"/>
          <w:sz w:val="20"/>
          <w:szCs w:val="20"/>
        </w:rPr>
        <w:t>sale</w:t>
      </w:r>
      <w:r w:rsidR="003C0B02">
        <w:rPr>
          <w:rFonts w:ascii="Verdana" w:hAnsi="Verdana" w:cstheme="minorHAnsi"/>
          <w:color w:val="000000"/>
          <w:sz w:val="20"/>
          <w:szCs w:val="20"/>
        </w:rPr>
        <w:t xml:space="preserve"> of </w:t>
      </w:r>
      <w:r w:rsidR="00407D43">
        <w:rPr>
          <w:rFonts w:ascii="Verdana" w:hAnsi="Verdana" w:cstheme="minorHAnsi"/>
          <w:color w:val="000000"/>
          <w:sz w:val="20"/>
          <w:szCs w:val="20"/>
        </w:rPr>
        <w:t>this small portion Prosus</w:t>
      </w:r>
      <w:r w:rsidR="00DE5ACD">
        <w:rPr>
          <w:rFonts w:ascii="Verdana" w:hAnsi="Verdana" w:cstheme="minorHAnsi"/>
          <w:color w:val="000000"/>
          <w:sz w:val="20"/>
          <w:szCs w:val="20"/>
        </w:rPr>
        <w:t xml:space="preserve"> </w:t>
      </w:r>
      <w:r>
        <w:rPr>
          <w:rFonts w:ascii="Verdana" w:hAnsi="Verdana" w:cstheme="minorHAnsi"/>
          <w:color w:val="000000"/>
          <w:sz w:val="20"/>
          <w:szCs w:val="20"/>
        </w:rPr>
        <w:t xml:space="preserve">intends to fund continued growth in its </w:t>
      </w:r>
      <w:r w:rsidRPr="007066F6">
        <w:rPr>
          <w:rFonts w:ascii="Verdana" w:hAnsi="Verdana" w:cstheme="minorHAnsi"/>
          <w:color w:val="000000"/>
          <w:sz w:val="20"/>
          <w:szCs w:val="20"/>
        </w:rPr>
        <w:t xml:space="preserve">core business </w:t>
      </w:r>
      <w:r>
        <w:rPr>
          <w:rFonts w:ascii="Verdana" w:hAnsi="Verdana" w:cstheme="minorHAnsi"/>
          <w:color w:val="000000"/>
          <w:sz w:val="20"/>
          <w:szCs w:val="20"/>
        </w:rPr>
        <w:t>lines</w:t>
      </w:r>
      <w:r w:rsidRPr="007066F6">
        <w:rPr>
          <w:rFonts w:ascii="Verdana" w:hAnsi="Verdana" w:cstheme="minorHAnsi"/>
          <w:color w:val="000000"/>
          <w:sz w:val="20"/>
          <w:szCs w:val="20"/>
        </w:rPr>
        <w:t xml:space="preserve"> and emerging </w:t>
      </w:r>
      <w:r>
        <w:rPr>
          <w:rFonts w:ascii="Verdana" w:hAnsi="Verdana" w:cstheme="minorHAnsi"/>
          <w:color w:val="000000"/>
          <w:sz w:val="20"/>
          <w:szCs w:val="20"/>
        </w:rPr>
        <w:t>sectors</w:t>
      </w:r>
      <w:r w:rsidR="00407D43">
        <w:rPr>
          <w:rFonts w:ascii="Verdana" w:hAnsi="Verdana" w:cstheme="minorHAnsi"/>
          <w:color w:val="000000"/>
          <w:sz w:val="20"/>
          <w:szCs w:val="20"/>
        </w:rPr>
        <w:t>, as well as</w:t>
      </w:r>
      <w:r w:rsidRPr="007066F6">
        <w:rPr>
          <w:rFonts w:ascii="Verdana" w:hAnsi="Verdana" w:cstheme="minorHAnsi"/>
          <w:color w:val="000000"/>
          <w:sz w:val="20"/>
          <w:szCs w:val="20"/>
        </w:rPr>
        <w:t xml:space="preserve"> compl</w:t>
      </w:r>
      <w:r>
        <w:rPr>
          <w:rFonts w:ascii="Verdana" w:hAnsi="Verdana" w:cstheme="minorHAnsi"/>
          <w:color w:val="000000"/>
          <w:sz w:val="20"/>
          <w:szCs w:val="20"/>
        </w:rPr>
        <w:t>e</w:t>
      </w:r>
      <w:r w:rsidRPr="007066F6">
        <w:rPr>
          <w:rFonts w:ascii="Verdana" w:hAnsi="Verdana" w:cstheme="minorHAnsi"/>
          <w:color w:val="000000"/>
          <w:sz w:val="20"/>
          <w:szCs w:val="20"/>
        </w:rPr>
        <w:t>mentary acquisitions</w:t>
      </w:r>
      <w:r>
        <w:rPr>
          <w:rFonts w:ascii="Verdana" w:hAnsi="Verdana" w:cstheme="minorHAnsi"/>
          <w:color w:val="000000"/>
          <w:sz w:val="20"/>
          <w:szCs w:val="20"/>
        </w:rPr>
        <w:t>.</w:t>
      </w:r>
    </w:p>
    <w:p w14:paraId="58608102" w14:textId="77777777" w:rsidR="00B73F44" w:rsidRDefault="00B73F44" w:rsidP="00535A68">
      <w:pPr>
        <w:spacing w:line="288" w:lineRule="auto"/>
        <w:jc w:val="both"/>
        <w:rPr>
          <w:rFonts w:ascii="Verdana" w:hAnsi="Verdana" w:cstheme="minorHAnsi"/>
          <w:color w:val="000000"/>
          <w:sz w:val="20"/>
          <w:szCs w:val="20"/>
        </w:rPr>
      </w:pPr>
    </w:p>
    <w:p w14:paraId="359F4527" w14:textId="77777777" w:rsidR="00074985" w:rsidRDefault="00074985" w:rsidP="00074985">
      <w:pPr>
        <w:spacing w:line="288" w:lineRule="auto"/>
        <w:jc w:val="both"/>
        <w:rPr>
          <w:rFonts w:ascii="Verdana" w:hAnsi="Verdana" w:cstheme="minorHAnsi"/>
          <w:b/>
          <w:bCs/>
          <w:color w:val="000000"/>
          <w:sz w:val="20"/>
          <w:szCs w:val="20"/>
        </w:rPr>
      </w:pPr>
      <w:r>
        <w:rPr>
          <w:rFonts w:ascii="Verdana" w:hAnsi="Verdana" w:cstheme="minorHAnsi"/>
          <w:b/>
          <w:bCs/>
          <w:color w:val="000000"/>
          <w:sz w:val="20"/>
          <w:szCs w:val="20"/>
        </w:rPr>
        <w:t>Description of the Business of Tencent</w:t>
      </w:r>
    </w:p>
    <w:p w14:paraId="3A2CBEF6" w14:textId="77777777" w:rsidR="00074985" w:rsidRDefault="00074985" w:rsidP="00074985">
      <w:pPr>
        <w:spacing w:line="288" w:lineRule="auto"/>
        <w:jc w:val="both"/>
        <w:rPr>
          <w:rFonts w:ascii="Verdana" w:hAnsi="Verdana" w:cstheme="minorHAnsi"/>
          <w:color w:val="000000"/>
          <w:sz w:val="20"/>
          <w:szCs w:val="20"/>
        </w:rPr>
      </w:pPr>
      <w:r>
        <w:rPr>
          <w:rFonts w:ascii="Verdana" w:hAnsi="Verdana" w:cstheme="minorHAnsi"/>
          <w:color w:val="000000"/>
          <w:sz w:val="20"/>
          <w:szCs w:val="20"/>
        </w:rPr>
        <w:t xml:space="preserve">Tencent is an investment holding company involved in the provision of internet value added services and online advertising in China. Tencent listed its shares on the main board of the Hong Kong Stock Exchange during June 2004. Tencent uses technology to enrich the lives of Internet users. Their social products </w:t>
      </w:r>
      <w:proofErr w:type="spellStart"/>
      <w:r>
        <w:rPr>
          <w:rFonts w:ascii="Verdana" w:hAnsi="Verdana" w:cstheme="minorHAnsi"/>
          <w:color w:val="000000"/>
          <w:sz w:val="20"/>
          <w:szCs w:val="20"/>
        </w:rPr>
        <w:t>Weixin</w:t>
      </w:r>
      <w:proofErr w:type="spellEnd"/>
      <w:r>
        <w:rPr>
          <w:rFonts w:ascii="Verdana" w:hAnsi="Verdana" w:cstheme="minorHAnsi"/>
          <w:color w:val="000000"/>
          <w:sz w:val="20"/>
          <w:szCs w:val="20"/>
        </w:rPr>
        <w:t xml:space="preserve"> and QQ link their users to a rich digital content catalogue including games, video, </w:t>
      </w:r>
      <w:proofErr w:type="gramStart"/>
      <w:r>
        <w:rPr>
          <w:rFonts w:ascii="Verdana" w:hAnsi="Verdana" w:cstheme="minorHAnsi"/>
          <w:color w:val="000000"/>
          <w:sz w:val="20"/>
          <w:szCs w:val="20"/>
        </w:rPr>
        <w:t>music</w:t>
      </w:r>
      <w:proofErr w:type="gramEnd"/>
      <w:r>
        <w:rPr>
          <w:rFonts w:ascii="Verdana" w:hAnsi="Verdana" w:cstheme="minorHAnsi"/>
          <w:color w:val="000000"/>
          <w:sz w:val="20"/>
          <w:szCs w:val="20"/>
        </w:rPr>
        <w:t xml:space="preserve"> and books. Tencent proprietary targeting technology helps advertisers reach out to hundreds of millions of consumers in China. Their infrastructure services including payment, security, </w:t>
      </w:r>
      <w:proofErr w:type="gramStart"/>
      <w:r>
        <w:rPr>
          <w:rFonts w:ascii="Verdana" w:hAnsi="Verdana" w:cstheme="minorHAnsi"/>
          <w:color w:val="000000"/>
          <w:sz w:val="20"/>
          <w:szCs w:val="20"/>
        </w:rPr>
        <w:t>cloud</w:t>
      </w:r>
      <w:proofErr w:type="gramEnd"/>
      <w:r>
        <w:rPr>
          <w:rFonts w:ascii="Verdana" w:hAnsi="Verdana" w:cstheme="minorHAnsi"/>
          <w:color w:val="000000"/>
          <w:sz w:val="20"/>
          <w:szCs w:val="20"/>
        </w:rPr>
        <w:t xml:space="preserve"> and artificial intelligence create differentiated offerings and support their partners’ business growth. Tencent invests heavily in people and innovation, enabling them to evolve with the Internet.</w:t>
      </w:r>
    </w:p>
    <w:p w14:paraId="2ED49F9A" w14:textId="77777777" w:rsidR="00074985" w:rsidRDefault="00074985" w:rsidP="00535A68">
      <w:pPr>
        <w:spacing w:line="288" w:lineRule="auto"/>
        <w:jc w:val="both"/>
        <w:rPr>
          <w:rFonts w:ascii="Verdana" w:hAnsi="Verdana" w:cstheme="minorHAnsi"/>
          <w:b/>
          <w:bCs/>
          <w:color w:val="000000"/>
          <w:sz w:val="20"/>
          <w:szCs w:val="20"/>
        </w:rPr>
      </w:pPr>
    </w:p>
    <w:p w14:paraId="46448FB1" w14:textId="64971E9F" w:rsidR="00B73F44" w:rsidRDefault="00C63632" w:rsidP="00535A68">
      <w:pPr>
        <w:spacing w:line="288" w:lineRule="auto"/>
        <w:jc w:val="both"/>
        <w:rPr>
          <w:rFonts w:ascii="Verdana" w:hAnsi="Verdana" w:cstheme="minorHAnsi"/>
          <w:color w:val="000000"/>
          <w:sz w:val="20"/>
          <w:szCs w:val="20"/>
        </w:rPr>
      </w:pPr>
      <w:r>
        <w:rPr>
          <w:rFonts w:ascii="Verdana" w:hAnsi="Verdana" w:cstheme="minorHAnsi"/>
          <w:b/>
          <w:bCs/>
          <w:color w:val="000000"/>
          <w:sz w:val="20"/>
          <w:szCs w:val="20"/>
        </w:rPr>
        <w:lastRenderedPageBreak/>
        <w:t xml:space="preserve">Accelerated </w:t>
      </w:r>
      <w:r w:rsidR="00231701">
        <w:rPr>
          <w:rFonts w:ascii="Verdana" w:hAnsi="Verdana" w:cstheme="minorHAnsi"/>
          <w:b/>
          <w:bCs/>
          <w:color w:val="000000"/>
          <w:sz w:val="20"/>
          <w:szCs w:val="20"/>
        </w:rPr>
        <w:t>O</w:t>
      </w:r>
      <w:r>
        <w:rPr>
          <w:rFonts w:ascii="Verdana" w:hAnsi="Verdana" w:cstheme="minorHAnsi"/>
          <w:b/>
          <w:bCs/>
          <w:color w:val="000000"/>
          <w:sz w:val="20"/>
          <w:szCs w:val="20"/>
        </w:rPr>
        <w:t>ffering</w:t>
      </w:r>
    </w:p>
    <w:p w14:paraId="71CC1BF6" w14:textId="65FAA1E5" w:rsidR="00535A68" w:rsidRPr="00535A68" w:rsidRDefault="00535A68" w:rsidP="00535A68">
      <w:pPr>
        <w:spacing w:line="288" w:lineRule="auto"/>
        <w:jc w:val="both"/>
        <w:rPr>
          <w:rFonts w:ascii="Verdana" w:hAnsi="Verdana" w:cstheme="minorHAnsi"/>
          <w:color w:val="000000"/>
          <w:sz w:val="20"/>
          <w:szCs w:val="20"/>
        </w:rPr>
      </w:pPr>
      <w:r w:rsidRPr="00535A68">
        <w:rPr>
          <w:rFonts w:ascii="Verdana" w:hAnsi="Verdana" w:cstheme="minorHAnsi"/>
          <w:color w:val="000000"/>
          <w:sz w:val="20"/>
          <w:szCs w:val="20"/>
        </w:rPr>
        <w:t xml:space="preserve">The </w:t>
      </w:r>
      <w:r w:rsidR="00407D43">
        <w:rPr>
          <w:rFonts w:ascii="Verdana" w:hAnsi="Verdana" w:cstheme="minorHAnsi"/>
          <w:color w:val="000000"/>
          <w:sz w:val="20"/>
          <w:szCs w:val="20"/>
        </w:rPr>
        <w:t>small parcel of</w:t>
      </w:r>
      <w:r w:rsidRPr="00535A68">
        <w:rPr>
          <w:rFonts w:ascii="Verdana" w:hAnsi="Verdana" w:cstheme="minorHAnsi"/>
          <w:color w:val="000000"/>
          <w:sz w:val="20"/>
          <w:szCs w:val="20"/>
        </w:rPr>
        <w:t xml:space="preserve"> Tencent Sale Shares </w:t>
      </w:r>
      <w:proofErr w:type="gramStart"/>
      <w:r w:rsidRPr="00535A68">
        <w:rPr>
          <w:rFonts w:ascii="Verdana" w:hAnsi="Verdana" w:cstheme="minorHAnsi"/>
          <w:color w:val="000000"/>
          <w:sz w:val="20"/>
          <w:szCs w:val="20"/>
        </w:rPr>
        <w:t>were</w:t>
      </w:r>
      <w:proofErr w:type="gramEnd"/>
      <w:r w:rsidRPr="00535A68">
        <w:rPr>
          <w:rFonts w:ascii="Verdana" w:hAnsi="Verdana" w:cstheme="minorHAnsi"/>
          <w:color w:val="000000"/>
          <w:sz w:val="20"/>
          <w:szCs w:val="20"/>
        </w:rPr>
        <w:t xml:space="preserve"> sold to institutional investors globally through an accelerated bookbuild process, subject to customary selling restrictions. Citigroup</w:t>
      </w:r>
      <w:r w:rsidR="00231701">
        <w:rPr>
          <w:rFonts w:ascii="Verdana" w:hAnsi="Verdana" w:cstheme="minorHAnsi"/>
          <w:color w:val="000000"/>
          <w:sz w:val="20"/>
          <w:szCs w:val="20"/>
        </w:rPr>
        <w:t>,</w:t>
      </w:r>
      <w:r w:rsidRPr="00535A68">
        <w:rPr>
          <w:rFonts w:ascii="Verdana" w:hAnsi="Verdana" w:cstheme="minorHAnsi"/>
          <w:color w:val="000000"/>
          <w:sz w:val="20"/>
          <w:szCs w:val="20"/>
        </w:rPr>
        <w:t xml:space="preserve"> </w:t>
      </w:r>
      <w:r w:rsidR="00231701" w:rsidRPr="00535A68">
        <w:rPr>
          <w:rFonts w:ascii="Verdana" w:hAnsi="Verdana" w:cstheme="minorHAnsi"/>
          <w:color w:val="000000"/>
          <w:sz w:val="20"/>
          <w:szCs w:val="20"/>
        </w:rPr>
        <w:t xml:space="preserve">Goldman </w:t>
      </w:r>
      <w:proofErr w:type="gramStart"/>
      <w:r w:rsidR="00231701" w:rsidRPr="00535A68">
        <w:rPr>
          <w:rFonts w:ascii="Verdana" w:hAnsi="Verdana" w:cstheme="minorHAnsi"/>
          <w:color w:val="000000"/>
          <w:sz w:val="20"/>
          <w:szCs w:val="20"/>
        </w:rPr>
        <w:t>Sachs</w:t>
      </w:r>
      <w:proofErr w:type="gramEnd"/>
      <w:r w:rsidR="00231701" w:rsidRPr="00535A68">
        <w:rPr>
          <w:rFonts w:ascii="Verdana" w:hAnsi="Verdana" w:cstheme="minorHAnsi"/>
          <w:color w:val="000000"/>
          <w:sz w:val="20"/>
          <w:szCs w:val="20"/>
        </w:rPr>
        <w:t xml:space="preserve"> </w:t>
      </w:r>
      <w:r w:rsidRPr="00535A68">
        <w:rPr>
          <w:rFonts w:ascii="Verdana" w:hAnsi="Verdana" w:cstheme="minorHAnsi"/>
          <w:color w:val="000000"/>
          <w:sz w:val="20"/>
          <w:szCs w:val="20"/>
        </w:rPr>
        <w:t>and Morgan Stanley acted as the Joint Global-coordinators and Joint Book-runners to manage the Placing.</w:t>
      </w:r>
    </w:p>
    <w:p w14:paraId="3E59A7ED" w14:textId="77777777" w:rsidR="00535A68" w:rsidRPr="00535A68" w:rsidRDefault="00535A68" w:rsidP="00535A68">
      <w:pPr>
        <w:spacing w:line="288" w:lineRule="auto"/>
        <w:jc w:val="both"/>
        <w:rPr>
          <w:rFonts w:ascii="Verdana" w:hAnsi="Verdana" w:cstheme="minorHAnsi"/>
          <w:color w:val="000000"/>
          <w:sz w:val="20"/>
          <w:szCs w:val="20"/>
        </w:rPr>
      </w:pPr>
    </w:p>
    <w:p w14:paraId="108BF6CF" w14:textId="77777777" w:rsidR="00535A68" w:rsidRPr="00535A68" w:rsidRDefault="00535A68" w:rsidP="00535A68">
      <w:pPr>
        <w:spacing w:line="288" w:lineRule="auto"/>
        <w:jc w:val="both"/>
        <w:rPr>
          <w:rFonts w:ascii="Verdana" w:hAnsi="Verdana" w:cstheme="minorHAnsi"/>
          <w:color w:val="000000"/>
          <w:sz w:val="20"/>
          <w:szCs w:val="20"/>
        </w:rPr>
      </w:pPr>
      <w:r w:rsidRPr="00535A68">
        <w:rPr>
          <w:rFonts w:ascii="Verdana" w:hAnsi="Verdana" w:cstheme="minorHAnsi"/>
          <w:color w:val="000000"/>
          <w:sz w:val="20"/>
          <w:szCs w:val="20"/>
        </w:rPr>
        <w:t>The Joint Global-coordinators and Joint Book-runners conducted the Placing on an undocumented basis. Accordingly, no prospectus, offering circular, pre-listing statement or other offering document was or will be published in connection with the Placing. The Placing agreement is governed in accordance with the laws of Hong Kong and is subject to certain customary conditions.</w:t>
      </w:r>
      <w:r w:rsidRPr="00535A68">
        <w:rPr>
          <w:rFonts w:ascii="Verdana" w:hAnsi="Verdana" w:cstheme="minorHAnsi"/>
          <w:color w:val="000000"/>
          <w:sz w:val="20"/>
          <w:szCs w:val="20"/>
        </w:rPr>
        <w:cr/>
      </w:r>
    </w:p>
    <w:p w14:paraId="64881027" w14:textId="77777777" w:rsidR="00535A68" w:rsidRPr="00535A68" w:rsidRDefault="00535A68" w:rsidP="00535A68">
      <w:pPr>
        <w:spacing w:line="288" w:lineRule="auto"/>
        <w:jc w:val="both"/>
        <w:rPr>
          <w:rFonts w:ascii="Verdana" w:hAnsi="Verdana" w:cstheme="minorHAnsi"/>
          <w:b/>
          <w:bCs/>
          <w:color w:val="000000"/>
          <w:sz w:val="20"/>
          <w:szCs w:val="20"/>
        </w:rPr>
      </w:pPr>
      <w:r w:rsidRPr="00535A68">
        <w:rPr>
          <w:rFonts w:ascii="Verdana" w:hAnsi="Verdana" w:cstheme="minorHAnsi"/>
          <w:b/>
          <w:bCs/>
          <w:color w:val="000000"/>
          <w:sz w:val="20"/>
          <w:szCs w:val="20"/>
        </w:rPr>
        <w:t>Net Assets and profits attributable to the Tencent Sale Shares</w:t>
      </w:r>
    </w:p>
    <w:p w14:paraId="52E0A7C5" w14:textId="1218C9E4" w:rsidR="00535A68" w:rsidRPr="00535A68" w:rsidRDefault="00535A68" w:rsidP="00535A68">
      <w:pPr>
        <w:spacing w:line="288" w:lineRule="auto"/>
        <w:jc w:val="both"/>
        <w:rPr>
          <w:rFonts w:ascii="Verdana" w:hAnsi="Verdana" w:cstheme="minorHAnsi"/>
          <w:color w:val="000000"/>
          <w:sz w:val="20"/>
          <w:szCs w:val="20"/>
        </w:rPr>
      </w:pPr>
      <w:r w:rsidRPr="00535A68">
        <w:rPr>
          <w:rFonts w:ascii="Verdana" w:hAnsi="Verdana" w:cstheme="minorHAnsi"/>
          <w:color w:val="000000"/>
          <w:sz w:val="20"/>
          <w:szCs w:val="20"/>
        </w:rPr>
        <w:t xml:space="preserve">The </w:t>
      </w:r>
      <w:r w:rsidR="007E55C7">
        <w:rPr>
          <w:rFonts w:ascii="Verdana" w:hAnsi="Verdana" w:cstheme="minorHAnsi"/>
          <w:color w:val="000000"/>
          <w:sz w:val="20"/>
          <w:szCs w:val="20"/>
        </w:rPr>
        <w:t xml:space="preserve">book </w:t>
      </w:r>
      <w:r w:rsidRPr="00535A68">
        <w:rPr>
          <w:rFonts w:ascii="Verdana" w:hAnsi="Verdana" w:cstheme="minorHAnsi"/>
          <w:color w:val="000000"/>
          <w:sz w:val="20"/>
          <w:szCs w:val="20"/>
        </w:rPr>
        <w:t xml:space="preserve">value of the Tencent Sale Shares as at 30 September </w:t>
      </w:r>
      <w:r w:rsidRPr="0063674A">
        <w:rPr>
          <w:rFonts w:ascii="Verdana" w:hAnsi="Verdana" w:cstheme="minorHAnsi"/>
          <w:color w:val="000000"/>
          <w:sz w:val="20"/>
          <w:szCs w:val="20"/>
        </w:rPr>
        <w:t xml:space="preserve">2020, being </w:t>
      </w:r>
      <w:proofErr w:type="spellStart"/>
      <w:r w:rsidRPr="0063674A">
        <w:rPr>
          <w:rFonts w:ascii="Verdana" w:hAnsi="Verdana" w:cstheme="minorHAnsi"/>
          <w:color w:val="000000"/>
          <w:sz w:val="20"/>
          <w:szCs w:val="20"/>
        </w:rPr>
        <w:t>Prosus's</w:t>
      </w:r>
      <w:proofErr w:type="spellEnd"/>
      <w:r w:rsidRPr="0063674A">
        <w:rPr>
          <w:rFonts w:ascii="Verdana" w:hAnsi="Verdana" w:cstheme="minorHAnsi"/>
          <w:color w:val="000000"/>
          <w:sz w:val="20"/>
          <w:szCs w:val="20"/>
        </w:rPr>
        <w:t xml:space="preserve"> most recent reporting period, was approximately US$</w:t>
      </w:r>
      <w:r w:rsidR="00CD42B2">
        <w:rPr>
          <w:rFonts w:ascii="Verdana" w:hAnsi="Verdana" w:cstheme="minorHAnsi"/>
          <w:color w:val="000000"/>
          <w:sz w:val="20"/>
          <w:szCs w:val="20"/>
        </w:rPr>
        <w:t>1,637 million</w:t>
      </w:r>
      <w:r w:rsidRPr="0063674A">
        <w:rPr>
          <w:rFonts w:ascii="Verdana" w:hAnsi="Verdana" w:cstheme="minorHAnsi"/>
          <w:color w:val="000000"/>
          <w:sz w:val="20"/>
          <w:szCs w:val="20"/>
        </w:rPr>
        <w:t>. The profit after tax attributable to the Tencent Sale Shares for the six months ended 30 September 2020 was approximately US$</w:t>
      </w:r>
      <w:r w:rsidR="00CD42B2">
        <w:rPr>
          <w:rFonts w:ascii="Verdana" w:hAnsi="Verdana" w:cstheme="minorHAnsi"/>
          <w:color w:val="000000"/>
          <w:sz w:val="20"/>
          <w:szCs w:val="20"/>
        </w:rPr>
        <w:t>203 million</w:t>
      </w:r>
      <w:r w:rsidRPr="0063674A">
        <w:rPr>
          <w:rFonts w:ascii="Verdana" w:hAnsi="Verdana" w:cstheme="minorHAnsi"/>
          <w:color w:val="000000"/>
          <w:sz w:val="20"/>
          <w:szCs w:val="20"/>
        </w:rPr>
        <w:t>. The aforementioned information has been extracted from the interim financial information of Prosus for the six-month period ended 30 September 2020, prepared in accordance with International</w:t>
      </w:r>
      <w:r w:rsidRPr="00535A68">
        <w:rPr>
          <w:rFonts w:ascii="Verdana" w:hAnsi="Verdana" w:cstheme="minorHAnsi"/>
          <w:color w:val="000000"/>
          <w:sz w:val="20"/>
          <w:szCs w:val="20"/>
        </w:rPr>
        <w:t xml:space="preserve"> Financial Reporting Standards.</w:t>
      </w:r>
    </w:p>
    <w:p w14:paraId="0F911739" w14:textId="77777777" w:rsidR="00535A68" w:rsidRPr="00535A68" w:rsidRDefault="00535A68" w:rsidP="00535A68">
      <w:pPr>
        <w:spacing w:line="288" w:lineRule="auto"/>
        <w:jc w:val="both"/>
        <w:rPr>
          <w:rFonts w:ascii="Verdana" w:hAnsi="Verdana" w:cstheme="minorHAnsi"/>
          <w:color w:val="000000"/>
          <w:sz w:val="20"/>
          <w:szCs w:val="20"/>
        </w:rPr>
      </w:pPr>
    </w:p>
    <w:p w14:paraId="4C349357" w14:textId="73DC7C5E" w:rsidR="00535A68" w:rsidRPr="00535A68" w:rsidRDefault="00535A68" w:rsidP="00535A68">
      <w:pPr>
        <w:spacing w:line="288" w:lineRule="auto"/>
        <w:jc w:val="both"/>
        <w:rPr>
          <w:rFonts w:ascii="Verdana" w:hAnsi="Verdana" w:cstheme="minorHAnsi"/>
          <w:b/>
          <w:bCs/>
          <w:color w:val="000000"/>
          <w:sz w:val="20"/>
          <w:szCs w:val="20"/>
        </w:rPr>
      </w:pPr>
      <w:r w:rsidRPr="00535A68">
        <w:rPr>
          <w:rFonts w:ascii="Verdana" w:hAnsi="Verdana" w:cstheme="minorHAnsi"/>
          <w:b/>
          <w:bCs/>
          <w:color w:val="000000"/>
          <w:sz w:val="20"/>
          <w:szCs w:val="20"/>
        </w:rPr>
        <w:t xml:space="preserve">Salient Features of the </w:t>
      </w:r>
      <w:r w:rsidR="00DE5ACD">
        <w:rPr>
          <w:rFonts w:ascii="Verdana" w:hAnsi="Verdana" w:cstheme="minorHAnsi"/>
          <w:b/>
          <w:bCs/>
          <w:color w:val="000000"/>
          <w:sz w:val="20"/>
          <w:szCs w:val="20"/>
        </w:rPr>
        <w:t>Shar</w:t>
      </w:r>
      <w:r w:rsidR="000B5950">
        <w:rPr>
          <w:rFonts w:ascii="Verdana" w:hAnsi="Verdana" w:cstheme="minorHAnsi"/>
          <w:b/>
          <w:bCs/>
          <w:color w:val="000000"/>
          <w:sz w:val="20"/>
          <w:szCs w:val="20"/>
        </w:rPr>
        <w:t>e</w:t>
      </w:r>
      <w:r w:rsidR="00DE5ACD">
        <w:rPr>
          <w:rFonts w:ascii="Verdana" w:hAnsi="Verdana" w:cstheme="minorHAnsi"/>
          <w:b/>
          <w:bCs/>
          <w:color w:val="000000"/>
          <w:sz w:val="20"/>
          <w:szCs w:val="20"/>
        </w:rPr>
        <w:t xml:space="preserve"> Placing</w:t>
      </w:r>
      <w:r w:rsidR="00DE5ACD" w:rsidRPr="00535A68">
        <w:rPr>
          <w:rFonts w:ascii="Verdana" w:hAnsi="Verdana" w:cstheme="minorHAnsi"/>
          <w:b/>
          <w:bCs/>
          <w:color w:val="000000"/>
          <w:sz w:val="20"/>
          <w:szCs w:val="20"/>
        </w:rPr>
        <w:t xml:space="preserve"> </w:t>
      </w:r>
      <w:r w:rsidRPr="00535A68">
        <w:rPr>
          <w:rFonts w:ascii="Verdana" w:hAnsi="Verdana" w:cstheme="minorHAnsi"/>
          <w:b/>
          <w:bCs/>
          <w:color w:val="000000"/>
          <w:sz w:val="20"/>
          <w:szCs w:val="20"/>
        </w:rPr>
        <w:t>Agreement</w:t>
      </w:r>
    </w:p>
    <w:p w14:paraId="18053BD6" w14:textId="6418688C" w:rsidR="00535A68" w:rsidRPr="00535A68" w:rsidRDefault="00535A68" w:rsidP="00535A68">
      <w:pPr>
        <w:spacing w:line="288" w:lineRule="auto"/>
        <w:jc w:val="both"/>
        <w:rPr>
          <w:rFonts w:ascii="Verdana" w:hAnsi="Verdana" w:cstheme="minorHAnsi"/>
          <w:color w:val="000000"/>
          <w:sz w:val="20"/>
          <w:szCs w:val="20"/>
        </w:rPr>
      </w:pPr>
      <w:r w:rsidRPr="00535A68">
        <w:rPr>
          <w:rFonts w:ascii="Verdana" w:hAnsi="Verdana" w:cstheme="minorHAnsi"/>
          <w:color w:val="000000"/>
          <w:sz w:val="20"/>
          <w:szCs w:val="20"/>
        </w:rPr>
        <w:t xml:space="preserve">MIH TC Holdings Limited, a subsidiary of Prosus, has entered into a Share Placing Agreement with </w:t>
      </w:r>
      <w:r w:rsidR="00231701">
        <w:rPr>
          <w:rFonts w:ascii="Verdana" w:hAnsi="Verdana" w:cstheme="minorHAnsi"/>
          <w:color w:val="000000"/>
          <w:sz w:val="20"/>
          <w:szCs w:val="20"/>
        </w:rPr>
        <w:t xml:space="preserve">Citigroup Global Markets Limited, Goldman Sachs International and </w:t>
      </w:r>
      <w:r w:rsidRPr="00535A68">
        <w:rPr>
          <w:rFonts w:ascii="Verdana" w:hAnsi="Verdana" w:cstheme="minorHAnsi"/>
          <w:color w:val="000000"/>
          <w:sz w:val="20"/>
          <w:szCs w:val="20"/>
        </w:rPr>
        <w:t>Morgan Stanley &amp; Co. International Plc (collectively "the Placing Agents") pursuant to which the Placing Agents agreed, on a best efforts basis, to procure purchasers to purchase the Tencent Sale Shares, subject to customary terms and conditions.</w:t>
      </w:r>
    </w:p>
    <w:p w14:paraId="28446DF0" w14:textId="34ED66BE" w:rsidR="00FF1DB0" w:rsidRPr="001B56F9" w:rsidRDefault="00B548F8" w:rsidP="00D06BEA">
      <w:pPr>
        <w:pStyle w:val="AODocTxt"/>
        <w:rPr>
          <w:rFonts w:ascii="Verdana" w:hAnsi="Verdana"/>
          <w:sz w:val="20"/>
          <w:szCs w:val="20"/>
        </w:rPr>
      </w:pPr>
      <w:r w:rsidRPr="001B56F9">
        <w:rPr>
          <w:rFonts w:ascii="Verdana" w:hAnsi="Verdana"/>
          <w:sz w:val="20"/>
          <w:szCs w:val="20"/>
        </w:rPr>
        <w:t>Amsterdam, the Netherlands</w:t>
      </w:r>
    </w:p>
    <w:p w14:paraId="643A6621" w14:textId="31100E63" w:rsidR="00FF1DB0" w:rsidRPr="001B56F9" w:rsidRDefault="00CD42B2" w:rsidP="00FF1DB0">
      <w:pPr>
        <w:pStyle w:val="AODocTxt"/>
        <w:spacing w:before="0"/>
        <w:rPr>
          <w:rFonts w:ascii="Verdana" w:hAnsi="Verdana"/>
          <w:sz w:val="20"/>
          <w:szCs w:val="20"/>
        </w:rPr>
      </w:pPr>
      <w:r>
        <w:rPr>
          <w:rFonts w:ascii="Verdana" w:hAnsi="Verdana"/>
          <w:sz w:val="20"/>
          <w:szCs w:val="20"/>
        </w:rPr>
        <w:t>8</w:t>
      </w:r>
      <w:r w:rsidR="004501D7">
        <w:rPr>
          <w:rFonts w:ascii="Verdana" w:hAnsi="Verdana"/>
          <w:sz w:val="20"/>
          <w:szCs w:val="20"/>
        </w:rPr>
        <w:t xml:space="preserve"> </w:t>
      </w:r>
      <w:r w:rsidR="00DE5ACD">
        <w:rPr>
          <w:rFonts w:ascii="Verdana" w:hAnsi="Verdana"/>
          <w:sz w:val="20"/>
          <w:szCs w:val="20"/>
        </w:rPr>
        <w:t>April</w:t>
      </w:r>
      <w:r w:rsidR="00B3229B" w:rsidRPr="001B56F9">
        <w:rPr>
          <w:rFonts w:ascii="Verdana" w:hAnsi="Verdana"/>
          <w:sz w:val="20"/>
          <w:szCs w:val="20"/>
        </w:rPr>
        <w:t> </w:t>
      </w:r>
      <w:r w:rsidR="00B548F8" w:rsidRPr="001B56F9">
        <w:rPr>
          <w:rFonts w:ascii="Verdana" w:hAnsi="Verdana"/>
          <w:sz w:val="20"/>
          <w:szCs w:val="20"/>
        </w:rPr>
        <w:t>202</w:t>
      </w:r>
      <w:r w:rsidR="00B3229B">
        <w:rPr>
          <w:rFonts w:ascii="Verdana" w:hAnsi="Verdana"/>
          <w:sz w:val="20"/>
          <w:szCs w:val="20"/>
        </w:rPr>
        <w:t>1</w:t>
      </w:r>
    </w:p>
    <w:p w14:paraId="7FE4750D" w14:textId="5C05D990" w:rsidR="00FF1DB0" w:rsidRDefault="00B548F8" w:rsidP="007D023A">
      <w:pPr>
        <w:pStyle w:val="AODocTxt"/>
        <w:jc w:val="left"/>
        <w:rPr>
          <w:rFonts w:ascii="Verdana" w:hAnsi="Verdana"/>
          <w:sz w:val="20"/>
          <w:szCs w:val="20"/>
        </w:rPr>
      </w:pPr>
      <w:r w:rsidRPr="001B56F9">
        <w:rPr>
          <w:rFonts w:ascii="Verdana" w:hAnsi="Verdana"/>
          <w:sz w:val="20"/>
          <w:szCs w:val="20"/>
        </w:rPr>
        <w:t>JSE sponsor to Prosus</w:t>
      </w:r>
      <w:r w:rsidR="00EB3DCC">
        <w:rPr>
          <w:rFonts w:ascii="Verdana" w:hAnsi="Verdana"/>
          <w:sz w:val="20"/>
          <w:szCs w:val="20"/>
        </w:rPr>
        <w:t xml:space="preserve">: </w:t>
      </w:r>
      <w:r w:rsidRPr="001B56F9">
        <w:rPr>
          <w:rFonts w:ascii="Verdana" w:hAnsi="Verdana"/>
          <w:sz w:val="20"/>
          <w:szCs w:val="20"/>
        </w:rPr>
        <w:t>Investec Bank Limited</w:t>
      </w:r>
    </w:p>
    <w:p w14:paraId="098574A0" w14:textId="677849D1" w:rsidR="006F05A5" w:rsidRDefault="00231701" w:rsidP="00BE4DED">
      <w:pPr>
        <w:pStyle w:val="AODocTxt"/>
        <w:spacing w:before="0"/>
        <w:jc w:val="left"/>
        <w:rPr>
          <w:rFonts w:ascii="Verdana" w:hAnsi="Verdana"/>
          <w:sz w:val="20"/>
          <w:szCs w:val="20"/>
        </w:rPr>
      </w:pPr>
      <w:bookmarkStart w:id="1" w:name="_Hlk67691007"/>
      <w:r w:rsidRPr="007066F6">
        <w:rPr>
          <w:rFonts w:ascii="Verdana" w:hAnsi="Verdana" w:cstheme="minorHAnsi"/>
          <w:sz w:val="20"/>
          <w:szCs w:val="20"/>
        </w:rPr>
        <w:t xml:space="preserve">Joint Global-coordinator and Joint Book-runner: </w:t>
      </w:r>
      <w:r>
        <w:rPr>
          <w:rFonts w:ascii="Verdana" w:hAnsi="Verdana" w:cstheme="minorHAnsi"/>
          <w:sz w:val="20"/>
          <w:szCs w:val="20"/>
        </w:rPr>
        <w:t>Citigroup Global Markets Limited</w:t>
      </w:r>
      <w:r w:rsidRPr="007066F6">
        <w:rPr>
          <w:rFonts w:ascii="Verdana" w:hAnsi="Verdana" w:cstheme="minorHAnsi"/>
          <w:sz w:val="20"/>
          <w:szCs w:val="20"/>
        </w:rPr>
        <w:br/>
        <w:t xml:space="preserve">Joint Global-coordinator and Joint Book-runner: </w:t>
      </w:r>
      <w:r>
        <w:rPr>
          <w:rFonts w:ascii="Verdana" w:hAnsi="Verdana" w:cstheme="minorHAnsi"/>
          <w:sz w:val="20"/>
          <w:szCs w:val="20"/>
        </w:rPr>
        <w:t>Goldman Sachs International</w:t>
      </w:r>
      <w:r w:rsidRPr="007066F6">
        <w:rPr>
          <w:rFonts w:ascii="Verdana" w:hAnsi="Verdana" w:cstheme="minorHAnsi"/>
          <w:sz w:val="20"/>
          <w:szCs w:val="20"/>
        </w:rPr>
        <w:t xml:space="preserve"> </w:t>
      </w:r>
      <w:r w:rsidRPr="007066F6">
        <w:rPr>
          <w:rFonts w:ascii="Verdana" w:hAnsi="Verdana" w:cstheme="minorHAnsi"/>
          <w:sz w:val="20"/>
          <w:szCs w:val="20"/>
        </w:rPr>
        <w:br/>
        <w:t>Joint Global-coordinator and Joint Book-runner: Morgan Stanley</w:t>
      </w:r>
      <w:r>
        <w:rPr>
          <w:rFonts w:ascii="Verdana" w:hAnsi="Verdana" w:cstheme="minorHAnsi"/>
          <w:sz w:val="20"/>
          <w:szCs w:val="20"/>
        </w:rPr>
        <w:t xml:space="preserve"> &amp; Co. International plc</w:t>
      </w:r>
      <w:r w:rsidRPr="007066F6">
        <w:rPr>
          <w:rFonts w:ascii="Verdana" w:hAnsi="Verdana" w:cstheme="minorHAnsi"/>
          <w:sz w:val="20"/>
          <w:szCs w:val="20"/>
        </w:rPr>
        <w:t xml:space="preserve"> </w:t>
      </w:r>
      <w:r w:rsidRPr="007066F6">
        <w:rPr>
          <w:rFonts w:ascii="Verdana" w:hAnsi="Verdana" w:cstheme="minorHAnsi"/>
          <w:sz w:val="20"/>
          <w:szCs w:val="20"/>
        </w:rPr>
        <w:br/>
        <w:t>Legal Advisors to the Company: Paul, Weiss, Rifkind, Wharton &amp; Garrison LLP</w:t>
      </w:r>
      <w:r>
        <w:rPr>
          <w:rFonts w:ascii="Verdana" w:hAnsi="Verdana" w:cstheme="minorHAnsi"/>
          <w:sz w:val="20"/>
          <w:szCs w:val="20"/>
        </w:rPr>
        <w:t xml:space="preserve">; Allen &amp; </w:t>
      </w:r>
      <w:proofErr w:type="spellStart"/>
      <w:r>
        <w:rPr>
          <w:rFonts w:ascii="Verdana" w:hAnsi="Verdana" w:cstheme="minorHAnsi"/>
          <w:sz w:val="20"/>
          <w:szCs w:val="20"/>
        </w:rPr>
        <w:t>Overy</w:t>
      </w:r>
      <w:proofErr w:type="spellEnd"/>
      <w:r>
        <w:rPr>
          <w:rFonts w:ascii="Verdana" w:hAnsi="Verdana" w:cstheme="minorHAnsi"/>
          <w:sz w:val="20"/>
          <w:szCs w:val="20"/>
        </w:rPr>
        <w:t xml:space="preserve"> LLP and</w:t>
      </w:r>
      <w:r w:rsidRPr="007066F6">
        <w:rPr>
          <w:rFonts w:ascii="Verdana" w:hAnsi="Verdana" w:cstheme="minorHAnsi"/>
          <w:sz w:val="20"/>
          <w:szCs w:val="20"/>
        </w:rPr>
        <w:t xml:space="preserve"> Webber Wentzel</w:t>
      </w:r>
      <w:r w:rsidRPr="007066F6">
        <w:rPr>
          <w:rFonts w:ascii="Verdana" w:hAnsi="Verdana" w:cstheme="minorHAnsi"/>
          <w:sz w:val="20"/>
          <w:szCs w:val="20"/>
        </w:rPr>
        <w:br/>
        <w:t xml:space="preserve">Legal Advisors to the Joint Global-coordinators and Joint Book-runners: </w:t>
      </w:r>
      <w:r>
        <w:rPr>
          <w:rFonts w:ascii="Verdana" w:hAnsi="Verdana" w:cstheme="minorHAnsi"/>
          <w:sz w:val="20"/>
          <w:szCs w:val="20"/>
        </w:rPr>
        <w:t>Freshfields Bruckhaus Deringer LLP</w:t>
      </w:r>
      <w:bookmarkEnd w:id="1"/>
      <w:r w:rsidDel="00231701">
        <w:rPr>
          <w:rFonts w:ascii="Verdana" w:hAnsi="Verdana" w:cstheme="minorHAnsi"/>
          <w:sz w:val="20"/>
          <w:szCs w:val="20"/>
        </w:rPr>
        <w:t xml:space="preserve"> </w:t>
      </w:r>
    </w:p>
    <w:p w14:paraId="1146A4AC" w14:textId="77777777" w:rsidR="001B56F9" w:rsidRPr="001B56F9" w:rsidRDefault="001B56F9" w:rsidP="00FF1DB0">
      <w:pPr>
        <w:pStyle w:val="AODocTxt"/>
        <w:spacing w:before="0"/>
        <w:rPr>
          <w:rFonts w:ascii="Verdana" w:hAnsi="Verdana"/>
          <w:sz w:val="20"/>
          <w:szCs w:val="20"/>
        </w:rPr>
      </w:pPr>
    </w:p>
    <w:tbl>
      <w:tblPr>
        <w:tblStyle w:val="TableGrid"/>
        <w:tblW w:w="9570" w:type="dxa"/>
        <w:tblLook w:val="04A0" w:firstRow="1" w:lastRow="0" w:firstColumn="1" w:lastColumn="0" w:noHBand="0" w:noVBand="1"/>
      </w:tblPr>
      <w:tblGrid>
        <w:gridCol w:w="9348"/>
        <w:gridCol w:w="222"/>
      </w:tblGrid>
      <w:tr w:rsidR="00D9672C" w:rsidRPr="001B56F9" w14:paraId="4FF837DB" w14:textId="77777777" w:rsidTr="0059378A">
        <w:tc>
          <w:tcPr>
            <w:tcW w:w="9348" w:type="dxa"/>
            <w:tcBorders>
              <w:top w:val="nil"/>
              <w:left w:val="nil"/>
              <w:bottom w:val="nil"/>
              <w:right w:val="nil"/>
            </w:tcBorders>
          </w:tcPr>
          <w:p w14:paraId="7A6B7B31" w14:textId="77777777" w:rsidR="00FF1DB0" w:rsidRPr="001B56F9" w:rsidRDefault="00B548F8" w:rsidP="00FF1DB0">
            <w:pPr>
              <w:pStyle w:val="AODocTxt"/>
              <w:rPr>
                <w:rFonts w:ascii="Verdana" w:hAnsi="Verdana"/>
                <w:b/>
                <w:bCs/>
                <w:sz w:val="20"/>
                <w:szCs w:val="20"/>
                <w:lang w:val="en-ZA"/>
              </w:rPr>
            </w:pPr>
            <w:r w:rsidRPr="001B56F9">
              <w:rPr>
                <w:rFonts w:ascii="Verdana" w:hAnsi="Verdana"/>
                <w:b/>
                <w:bCs/>
                <w:sz w:val="20"/>
                <w:szCs w:val="20"/>
                <w:lang w:val="en-ZA"/>
              </w:rPr>
              <w:t>Enquiries</w:t>
            </w:r>
          </w:p>
          <w:tbl>
            <w:tblPr>
              <w:tblStyle w:val="TableGrid"/>
              <w:tblW w:w="9209" w:type="dxa"/>
              <w:tblLook w:val="04A0" w:firstRow="1" w:lastRow="0" w:firstColumn="1" w:lastColumn="0" w:noHBand="0" w:noVBand="1"/>
            </w:tblPr>
            <w:tblGrid>
              <w:gridCol w:w="4815"/>
              <w:gridCol w:w="4394"/>
            </w:tblGrid>
            <w:tr w:rsidR="00D9672C" w:rsidRPr="001B56F9" w14:paraId="6B0A52DE" w14:textId="77777777" w:rsidTr="0059378A">
              <w:tc>
                <w:tcPr>
                  <w:tcW w:w="4815" w:type="dxa"/>
                  <w:tcBorders>
                    <w:top w:val="nil"/>
                    <w:left w:val="nil"/>
                    <w:bottom w:val="nil"/>
                    <w:right w:val="nil"/>
                  </w:tcBorders>
                  <w:hideMark/>
                </w:tcPr>
                <w:p w14:paraId="0861F03B" w14:textId="77777777" w:rsidR="00FF1DB0" w:rsidRPr="001B56F9" w:rsidRDefault="00B548F8" w:rsidP="00FF1DB0">
                  <w:pPr>
                    <w:pStyle w:val="AODocTxt"/>
                    <w:rPr>
                      <w:rFonts w:ascii="Verdana" w:hAnsi="Verdana"/>
                      <w:b/>
                      <w:sz w:val="20"/>
                      <w:szCs w:val="20"/>
                    </w:rPr>
                  </w:pPr>
                  <w:r w:rsidRPr="001B56F9">
                    <w:rPr>
                      <w:rFonts w:ascii="Verdana" w:hAnsi="Verdana"/>
                      <w:b/>
                      <w:sz w:val="20"/>
                      <w:szCs w:val="20"/>
                    </w:rPr>
                    <w:t>Investor Enquiries</w:t>
                  </w:r>
                </w:p>
                <w:p w14:paraId="3049AA6D" w14:textId="77777777" w:rsidR="00FF1DB0" w:rsidRPr="001B56F9" w:rsidRDefault="00B548F8" w:rsidP="00785F2B">
                  <w:pPr>
                    <w:pStyle w:val="AODocTxt"/>
                    <w:spacing w:before="0"/>
                    <w:rPr>
                      <w:rFonts w:ascii="Verdana" w:hAnsi="Verdana"/>
                      <w:sz w:val="20"/>
                      <w:szCs w:val="20"/>
                    </w:rPr>
                  </w:pPr>
                  <w:r w:rsidRPr="001B56F9">
                    <w:rPr>
                      <w:rFonts w:ascii="Verdana" w:hAnsi="Verdana"/>
                      <w:sz w:val="20"/>
                      <w:szCs w:val="20"/>
                    </w:rPr>
                    <w:t>Eoin Ryan, Head of Investor Relations</w:t>
                  </w:r>
                </w:p>
              </w:tc>
              <w:tc>
                <w:tcPr>
                  <w:tcW w:w="4394" w:type="dxa"/>
                  <w:tcBorders>
                    <w:top w:val="nil"/>
                    <w:left w:val="nil"/>
                    <w:bottom w:val="nil"/>
                    <w:right w:val="nil"/>
                  </w:tcBorders>
                </w:tcPr>
                <w:p w14:paraId="151BEAC5" w14:textId="77777777" w:rsidR="00FF1DB0" w:rsidRPr="001B56F9" w:rsidRDefault="00B548F8" w:rsidP="00FF1DB0">
                  <w:pPr>
                    <w:pStyle w:val="AODocTxt"/>
                    <w:rPr>
                      <w:rFonts w:ascii="Verdana" w:hAnsi="Verdana"/>
                      <w:sz w:val="20"/>
                      <w:szCs w:val="20"/>
                    </w:rPr>
                  </w:pPr>
                  <w:r w:rsidRPr="001B56F9">
                    <w:rPr>
                      <w:rFonts w:ascii="Verdana" w:hAnsi="Verdana"/>
                      <w:sz w:val="20"/>
                      <w:szCs w:val="20"/>
                    </w:rPr>
                    <w:t>+1 347-210-4305</w:t>
                  </w:r>
                </w:p>
              </w:tc>
            </w:tr>
            <w:tr w:rsidR="00D9672C" w:rsidRPr="001B56F9" w14:paraId="4C1B7705" w14:textId="77777777" w:rsidTr="0059378A">
              <w:trPr>
                <w:trHeight w:val="80"/>
              </w:trPr>
              <w:tc>
                <w:tcPr>
                  <w:tcW w:w="4815" w:type="dxa"/>
                  <w:tcBorders>
                    <w:top w:val="nil"/>
                    <w:left w:val="nil"/>
                    <w:bottom w:val="nil"/>
                    <w:right w:val="nil"/>
                  </w:tcBorders>
                </w:tcPr>
                <w:p w14:paraId="0619FD8C" w14:textId="77777777" w:rsidR="00FF1DB0" w:rsidRPr="001B56F9" w:rsidRDefault="00B548F8" w:rsidP="00FF1DB0">
                  <w:pPr>
                    <w:pStyle w:val="AODocTxt"/>
                    <w:rPr>
                      <w:rFonts w:ascii="Verdana" w:hAnsi="Verdana"/>
                      <w:b/>
                      <w:sz w:val="20"/>
                      <w:szCs w:val="20"/>
                    </w:rPr>
                  </w:pPr>
                  <w:r w:rsidRPr="001B56F9">
                    <w:rPr>
                      <w:rFonts w:ascii="Verdana" w:hAnsi="Verdana"/>
                      <w:b/>
                      <w:sz w:val="20"/>
                      <w:szCs w:val="20"/>
                    </w:rPr>
                    <w:t>Media Enquiries</w:t>
                  </w:r>
                </w:p>
                <w:p w14:paraId="2E2090BE" w14:textId="77777777" w:rsidR="00FF1DB0" w:rsidRPr="001B56F9" w:rsidRDefault="00B548F8" w:rsidP="00FF1DB0">
                  <w:pPr>
                    <w:pStyle w:val="AODocTxt"/>
                    <w:spacing w:before="0"/>
                    <w:rPr>
                      <w:rFonts w:ascii="Verdana" w:hAnsi="Verdana"/>
                      <w:bCs/>
                      <w:sz w:val="20"/>
                      <w:szCs w:val="20"/>
                      <w:lang w:val="en-ZA"/>
                    </w:rPr>
                  </w:pPr>
                  <w:r w:rsidRPr="001B56F9">
                    <w:rPr>
                      <w:rFonts w:ascii="Verdana" w:hAnsi="Verdana"/>
                      <w:sz w:val="20"/>
                      <w:szCs w:val="20"/>
                    </w:rPr>
                    <w:t>Sarah Ryan, International Media Relations</w:t>
                  </w:r>
                </w:p>
              </w:tc>
              <w:tc>
                <w:tcPr>
                  <w:tcW w:w="4394" w:type="dxa"/>
                  <w:tcBorders>
                    <w:top w:val="nil"/>
                    <w:left w:val="nil"/>
                    <w:bottom w:val="nil"/>
                    <w:right w:val="nil"/>
                  </w:tcBorders>
                </w:tcPr>
                <w:p w14:paraId="325D9B4C" w14:textId="77777777" w:rsidR="00FF1DB0" w:rsidRPr="001B56F9" w:rsidRDefault="00B548F8" w:rsidP="00FF1DB0">
                  <w:pPr>
                    <w:pStyle w:val="AODocTxt"/>
                    <w:rPr>
                      <w:rFonts w:ascii="Verdana" w:hAnsi="Verdana"/>
                      <w:sz w:val="20"/>
                      <w:szCs w:val="20"/>
                    </w:rPr>
                  </w:pPr>
                  <w:r w:rsidRPr="001B56F9">
                    <w:rPr>
                      <w:rFonts w:ascii="Verdana" w:hAnsi="Verdana"/>
                      <w:sz w:val="20"/>
                      <w:szCs w:val="20"/>
                    </w:rPr>
                    <w:t>+ 31 6 29721038</w:t>
                  </w:r>
                </w:p>
              </w:tc>
            </w:tr>
          </w:tbl>
          <w:p w14:paraId="54B1CE6F" w14:textId="77777777" w:rsidR="00FF1DB0" w:rsidRPr="001B56F9" w:rsidRDefault="00FF1DB0" w:rsidP="00FF1DB0">
            <w:pPr>
              <w:pStyle w:val="AODocTxt"/>
              <w:rPr>
                <w:rFonts w:ascii="Verdana" w:hAnsi="Verdana"/>
                <w:sz w:val="20"/>
                <w:szCs w:val="20"/>
              </w:rPr>
            </w:pPr>
          </w:p>
        </w:tc>
        <w:tc>
          <w:tcPr>
            <w:tcW w:w="222" w:type="dxa"/>
            <w:tcBorders>
              <w:top w:val="nil"/>
              <w:left w:val="nil"/>
              <w:bottom w:val="nil"/>
              <w:right w:val="nil"/>
            </w:tcBorders>
          </w:tcPr>
          <w:p w14:paraId="44496D70" w14:textId="77777777" w:rsidR="00FF1DB0" w:rsidRPr="001B56F9" w:rsidRDefault="00FF1DB0" w:rsidP="00FF1DB0">
            <w:pPr>
              <w:pStyle w:val="AODocTxt"/>
              <w:rPr>
                <w:rFonts w:ascii="Verdana" w:hAnsi="Verdana"/>
                <w:bCs/>
                <w:sz w:val="20"/>
                <w:szCs w:val="20"/>
                <w:lang w:val="en-ZA"/>
              </w:rPr>
            </w:pPr>
          </w:p>
        </w:tc>
      </w:tr>
    </w:tbl>
    <w:p w14:paraId="0B8AAF8A" w14:textId="77777777" w:rsidR="00EB3DCC" w:rsidRDefault="00EB3DCC" w:rsidP="00A97AFA">
      <w:pPr>
        <w:pStyle w:val="AODocTxt"/>
        <w:spacing w:line="240" w:lineRule="auto"/>
        <w:rPr>
          <w:rFonts w:ascii="Verdana" w:hAnsi="Verdana"/>
          <w:b/>
          <w:i/>
          <w:iCs/>
          <w:sz w:val="16"/>
          <w:szCs w:val="16"/>
          <w:lang w:val="en-US"/>
        </w:rPr>
      </w:pPr>
    </w:p>
    <w:p w14:paraId="627CF6C8" w14:textId="415FFDC9" w:rsidR="007D023A" w:rsidRDefault="007D023A">
      <w:pPr>
        <w:spacing w:line="260" w:lineRule="atLeast"/>
        <w:rPr>
          <w:lang w:val="en-US"/>
        </w:rPr>
      </w:pPr>
      <w:r>
        <w:rPr>
          <w:lang w:val="en-US"/>
        </w:rPr>
        <w:br w:type="page"/>
      </w:r>
    </w:p>
    <w:p w14:paraId="1A97DA85" w14:textId="77777777" w:rsidR="00EB3DCC" w:rsidRDefault="00EB3DCC" w:rsidP="00EB3DCC">
      <w:pPr>
        <w:pStyle w:val="AONormal"/>
        <w:rPr>
          <w:lang w:val="en-US"/>
        </w:rPr>
      </w:pPr>
    </w:p>
    <w:p w14:paraId="0083A20E" w14:textId="2929CB66" w:rsidR="00FF1DB0" w:rsidRPr="001B56F9" w:rsidRDefault="00B548F8" w:rsidP="00A97AFA">
      <w:pPr>
        <w:pStyle w:val="AODocTxt"/>
        <w:spacing w:line="240" w:lineRule="auto"/>
        <w:rPr>
          <w:rFonts w:ascii="Verdana" w:hAnsi="Verdana"/>
          <w:b/>
          <w:i/>
          <w:iCs/>
          <w:sz w:val="16"/>
          <w:szCs w:val="16"/>
          <w:lang w:val="en-US"/>
        </w:rPr>
      </w:pPr>
      <w:r w:rsidRPr="001B56F9">
        <w:rPr>
          <w:rFonts w:ascii="Verdana" w:hAnsi="Verdana"/>
          <w:b/>
          <w:i/>
          <w:iCs/>
          <w:sz w:val="16"/>
          <w:szCs w:val="16"/>
          <w:lang w:val="en-US"/>
        </w:rPr>
        <w:t>About Prosus</w:t>
      </w:r>
    </w:p>
    <w:p w14:paraId="17217FE3"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7B33E248"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 </w:t>
      </w:r>
    </w:p>
    <w:p w14:paraId="107CEB8E"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The group is focused on building meaningful businesses in the online classifieds, food delivery, and payments and fintech sectors in markets including India, </w:t>
      </w:r>
      <w:proofErr w:type="gramStart"/>
      <w:r w:rsidRPr="00AA6840">
        <w:rPr>
          <w:rFonts w:ascii="Verdana" w:hAnsi="Verdana"/>
          <w:i/>
          <w:iCs/>
          <w:sz w:val="16"/>
          <w:szCs w:val="16"/>
        </w:rPr>
        <w:t>Russia</w:t>
      </w:r>
      <w:proofErr w:type="gramEnd"/>
      <w:r w:rsidRPr="00AA6840">
        <w:rPr>
          <w:rFonts w:ascii="Verdana" w:hAnsi="Verdana"/>
          <w:i/>
          <w:iCs/>
          <w:sz w:val="16"/>
          <w:szCs w:val="16"/>
        </w:rPr>
        <w:t xml:space="preserve"> and Brazil. Through its ventures team, Prosus invests in areas including </w:t>
      </w:r>
      <w:proofErr w:type="spellStart"/>
      <w:r w:rsidRPr="00AA6840">
        <w:rPr>
          <w:rFonts w:ascii="Verdana" w:hAnsi="Verdana"/>
          <w:i/>
          <w:iCs/>
          <w:sz w:val="16"/>
          <w:szCs w:val="16"/>
        </w:rPr>
        <w:t>edtech</w:t>
      </w:r>
      <w:proofErr w:type="spellEnd"/>
      <w:r w:rsidRPr="00AA6840">
        <w:rPr>
          <w:rFonts w:ascii="Verdana" w:hAnsi="Verdana"/>
          <w:i/>
          <w:iCs/>
          <w:sz w:val="16"/>
          <w:szCs w:val="16"/>
        </w:rPr>
        <w:t xml:space="preserve"> and health, Prosus actively seeks new opportunities to partner with exceptional entrepreneurs who are using technology to improve people’s daily lives.</w:t>
      </w:r>
    </w:p>
    <w:p w14:paraId="236562C1"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 </w:t>
      </w:r>
    </w:p>
    <w:p w14:paraId="038A5A7D"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Every day, millions of people use the products and services of companies that Prosus has invested in, acquired or built, including </w:t>
      </w:r>
      <w:proofErr w:type="spellStart"/>
      <w:r w:rsidRPr="00AA6840">
        <w:rPr>
          <w:rFonts w:ascii="Verdana" w:hAnsi="Verdana"/>
          <w:i/>
          <w:iCs/>
          <w:sz w:val="16"/>
          <w:szCs w:val="16"/>
        </w:rPr>
        <w:t>Avito</w:t>
      </w:r>
      <w:proofErr w:type="spellEnd"/>
      <w:r w:rsidRPr="00AA6840">
        <w:rPr>
          <w:rFonts w:ascii="Verdana" w:hAnsi="Verdana"/>
          <w:i/>
          <w:iCs/>
          <w:sz w:val="16"/>
          <w:szCs w:val="16"/>
        </w:rPr>
        <w:t xml:space="preserve">, Brainly, BYJU’S, </w:t>
      </w:r>
      <w:proofErr w:type="spellStart"/>
      <w:r w:rsidRPr="00AA6840">
        <w:rPr>
          <w:rFonts w:ascii="Verdana" w:hAnsi="Verdana"/>
          <w:i/>
          <w:iCs/>
          <w:sz w:val="16"/>
          <w:szCs w:val="16"/>
        </w:rPr>
        <w:t>Bykea</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Codecademy</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DappRadar</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dott</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ElasticRun</w:t>
      </w:r>
      <w:proofErr w:type="spellEnd"/>
      <w:r w:rsidRPr="00AA6840">
        <w:rPr>
          <w:rFonts w:ascii="Verdana" w:hAnsi="Verdana"/>
          <w:i/>
          <w:iCs/>
          <w:sz w:val="16"/>
          <w:szCs w:val="16"/>
        </w:rPr>
        <w:t xml:space="preserve">, eMAG, </w:t>
      </w:r>
      <w:proofErr w:type="spellStart"/>
      <w:r w:rsidRPr="00AA6840">
        <w:rPr>
          <w:rFonts w:ascii="Verdana" w:hAnsi="Verdana"/>
          <w:i/>
          <w:iCs/>
          <w:sz w:val="16"/>
          <w:szCs w:val="16"/>
        </w:rPr>
        <w:t>Eruditus</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Honor</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iFood</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Klar</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LazyPay</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letgo</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Meesho</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Movile</w:t>
      </w:r>
      <w:proofErr w:type="spellEnd"/>
      <w:r w:rsidRPr="00AA6840">
        <w:rPr>
          <w:rFonts w:ascii="Verdana" w:hAnsi="Verdana"/>
          <w:i/>
          <w:iCs/>
          <w:sz w:val="16"/>
          <w:szCs w:val="16"/>
        </w:rPr>
        <w:t xml:space="preserve">, OLX, PayU, Red Dot Payment, </w:t>
      </w:r>
      <w:proofErr w:type="spellStart"/>
      <w:r w:rsidRPr="00AA6840">
        <w:rPr>
          <w:rFonts w:ascii="Verdana" w:hAnsi="Verdana"/>
          <w:i/>
          <w:iCs/>
          <w:sz w:val="16"/>
          <w:szCs w:val="16"/>
        </w:rPr>
        <w:t>Remitly</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SimilarWeb</w:t>
      </w:r>
      <w:proofErr w:type="spellEnd"/>
      <w:r w:rsidRPr="00AA6840">
        <w:rPr>
          <w:rFonts w:ascii="Verdana" w:hAnsi="Verdana"/>
          <w:i/>
          <w:iCs/>
          <w:sz w:val="16"/>
          <w:szCs w:val="16"/>
        </w:rPr>
        <w:t xml:space="preserve">, Shipper, Skillsoft, </w:t>
      </w:r>
      <w:proofErr w:type="spellStart"/>
      <w:r w:rsidRPr="00AA6840">
        <w:rPr>
          <w:rFonts w:ascii="Verdana" w:hAnsi="Verdana"/>
          <w:i/>
          <w:iCs/>
          <w:sz w:val="16"/>
          <w:szCs w:val="16"/>
        </w:rPr>
        <w:t>SoloLearn</w:t>
      </w:r>
      <w:proofErr w:type="spellEnd"/>
      <w:r w:rsidRPr="00AA6840">
        <w:rPr>
          <w:rFonts w:ascii="Verdana" w:hAnsi="Verdana"/>
          <w:i/>
          <w:iCs/>
          <w:sz w:val="16"/>
          <w:szCs w:val="16"/>
        </w:rPr>
        <w:t xml:space="preserve">, </w:t>
      </w:r>
      <w:proofErr w:type="spellStart"/>
      <w:r w:rsidRPr="00AA6840">
        <w:rPr>
          <w:rFonts w:ascii="Verdana" w:hAnsi="Verdana"/>
          <w:i/>
          <w:iCs/>
          <w:sz w:val="16"/>
          <w:szCs w:val="16"/>
        </w:rPr>
        <w:t>Swiggy</w:t>
      </w:r>
      <w:proofErr w:type="spellEnd"/>
      <w:r w:rsidRPr="00AA6840">
        <w:rPr>
          <w:rFonts w:ascii="Verdana" w:hAnsi="Verdana"/>
          <w:i/>
          <w:iCs/>
          <w:sz w:val="16"/>
          <w:szCs w:val="16"/>
        </w:rPr>
        <w:t>, and Udemy.</w:t>
      </w:r>
    </w:p>
    <w:p w14:paraId="6DBE0EC0" w14:textId="77777777" w:rsidR="0028593A" w:rsidRPr="00AA6840" w:rsidRDefault="0028593A" w:rsidP="00AA6840">
      <w:pPr>
        <w:jc w:val="both"/>
        <w:rPr>
          <w:rFonts w:ascii="Verdana" w:hAnsi="Verdana"/>
          <w:i/>
          <w:iCs/>
          <w:sz w:val="16"/>
          <w:szCs w:val="16"/>
        </w:rPr>
      </w:pPr>
    </w:p>
    <w:p w14:paraId="2F48D56F"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Hundreds of millions of people have made the platforms of its associates a part of their daily lives. For listed companies where we have an interest, please see: Tencent (www.tencent.com; SEHK:00700), Mail.ru (www.corp.mail.ru; LSE:MAIL), Trip.com Group Limited (“Trip.com”) (NASDAQ:TCOM), and </w:t>
      </w:r>
      <w:proofErr w:type="spellStart"/>
      <w:r w:rsidRPr="00AA6840">
        <w:rPr>
          <w:rFonts w:ascii="Verdana" w:hAnsi="Verdana"/>
          <w:i/>
          <w:iCs/>
          <w:sz w:val="16"/>
          <w:szCs w:val="16"/>
        </w:rPr>
        <w:t>DeliveryHero</w:t>
      </w:r>
      <w:proofErr w:type="spellEnd"/>
      <w:r w:rsidRPr="00AA6840">
        <w:rPr>
          <w:rFonts w:ascii="Verdana" w:hAnsi="Verdana"/>
          <w:i/>
          <w:iCs/>
          <w:sz w:val="16"/>
          <w:szCs w:val="16"/>
        </w:rPr>
        <w:t xml:space="preserve"> (www.deliveryhero.com; </w:t>
      </w:r>
      <w:proofErr w:type="spellStart"/>
      <w:r w:rsidRPr="00AA6840">
        <w:rPr>
          <w:rFonts w:ascii="Verdana" w:hAnsi="Verdana"/>
          <w:i/>
          <w:iCs/>
          <w:sz w:val="16"/>
          <w:szCs w:val="16"/>
        </w:rPr>
        <w:t>Xetra:DHER</w:t>
      </w:r>
      <w:proofErr w:type="spellEnd"/>
      <w:r w:rsidRPr="00AA6840">
        <w:rPr>
          <w:rFonts w:ascii="Verdana" w:hAnsi="Verdana"/>
          <w:i/>
          <w:iCs/>
          <w:sz w:val="16"/>
          <w:szCs w:val="16"/>
        </w:rPr>
        <w:t>).</w:t>
      </w:r>
    </w:p>
    <w:p w14:paraId="1830DC91"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 </w:t>
      </w:r>
    </w:p>
    <w:p w14:paraId="258A66F7"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Today, Prosus companies and associates help improve the lives of around a fifth of the world’s population.</w:t>
      </w:r>
    </w:p>
    <w:p w14:paraId="499CE5BA"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 </w:t>
      </w:r>
    </w:p>
    <w:p w14:paraId="2325DBCD" w14:textId="301206C9"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Prosus has a primary listing on Euronext Amsterdam (AEX:PRX) and secondary listings on the Johannesburg Stock Exchange (XJSE:PRX) and </w:t>
      </w:r>
      <w:r w:rsidR="00550DA4">
        <w:rPr>
          <w:rFonts w:ascii="Verdana" w:hAnsi="Verdana"/>
          <w:i/>
          <w:iCs/>
          <w:sz w:val="16"/>
          <w:szCs w:val="16"/>
        </w:rPr>
        <w:t>A</w:t>
      </w:r>
      <w:r w:rsidRPr="00AA6840">
        <w:rPr>
          <w:rFonts w:ascii="Verdana" w:hAnsi="Verdana"/>
          <w:i/>
          <w:iCs/>
          <w:sz w:val="16"/>
          <w:szCs w:val="16"/>
        </w:rPr>
        <w:t>2X Markets (PRX.AJ), and is majority owned by Naspers.</w:t>
      </w:r>
    </w:p>
    <w:p w14:paraId="7E6E0908"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 </w:t>
      </w:r>
    </w:p>
    <w:p w14:paraId="5E5D75A2" w14:textId="77777777" w:rsidR="0028593A" w:rsidRPr="00AA6840" w:rsidRDefault="0028593A" w:rsidP="00AA6840">
      <w:pPr>
        <w:jc w:val="both"/>
        <w:rPr>
          <w:rFonts w:ascii="Verdana" w:hAnsi="Verdana"/>
          <w:i/>
          <w:iCs/>
          <w:sz w:val="16"/>
          <w:szCs w:val="16"/>
        </w:rPr>
      </w:pPr>
      <w:r w:rsidRPr="00AA6840">
        <w:rPr>
          <w:rFonts w:ascii="Verdana" w:hAnsi="Verdana"/>
          <w:i/>
          <w:iCs/>
          <w:sz w:val="16"/>
          <w:szCs w:val="16"/>
        </w:rPr>
        <w:t xml:space="preserve">For more information, please visit </w:t>
      </w:r>
      <w:hyperlink r:id="rId12" w:history="1">
        <w:r w:rsidRPr="00AA6840">
          <w:rPr>
            <w:rStyle w:val="Hyperlink"/>
            <w:rFonts w:ascii="Verdana" w:hAnsi="Verdana"/>
            <w:i/>
            <w:iCs/>
            <w:sz w:val="16"/>
            <w:szCs w:val="16"/>
          </w:rPr>
          <w:t>www.prosus.com</w:t>
        </w:r>
      </w:hyperlink>
      <w:r w:rsidRPr="00AA6840">
        <w:rPr>
          <w:rFonts w:ascii="Verdana" w:hAnsi="Verdana"/>
          <w:i/>
          <w:iCs/>
          <w:sz w:val="16"/>
          <w:szCs w:val="16"/>
        </w:rPr>
        <w:t xml:space="preserve"> </w:t>
      </w:r>
    </w:p>
    <w:p w14:paraId="1731834E" w14:textId="0A565B5F" w:rsidR="00FF1DB0" w:rsidRPr="001B56F9" w:rsidRDefault="00B548F8" w:rsidP="00FF1DB0">
      <w:pPr>
        <w:pStyle w:val="AODocTxt"/>
        <w:rPr>
          <w:rFonts w:ascii="Verdana" w:hAnsi="Verdana"/>
          <w:b/>
          <w:i/>
          <w:iCs/>
          <w:sz w:val="16"/>
          <w:szCs w:val="16"/>
          <w:lang w:val="en-US"/>
        </w:rPr>
      </w:pPr>
      <w:r w:rsidRPr="001B56F9">
        <w:rPr>
          <w:rFonts w:ascii="Verdana" w:hAnsi="Verdana"/>
          <w:b/>
          <w:i/>
          <w:iCs/>
          <w:sz w:val="16"/>
          <w:szCs w:val="16"/>
          <w:lang w:val="en-US"/>
        </w:rPr>
        <w:t>Disclaimer</w:t>
      </w:r>
    </w:p>
    <w:p w14:paraId="4DBF9E2B" w14:textId="77777777" w:rsidR="00231701" w:rsidRDefault="00231701" w:rsidP="00231701">
      <w:pPr>
        <w:jc w:val="both"/>
        <w:rPr>
          <w:rFonts w:ascii="Verdana" w:hAnsi="Verdana"/>
          <w:i/>
          <w:color w:val="000000" w:themeColor="text1"/>
          <w:sz w:val="16"/>
          <w:shd w:val="clear" w:color="auto" w:fill="FFFFFF"/>
        </w:rPr>
      </w:pPr>
      <w:bookmarkStart w:id="2" w:name="_Hlk67472960"/>
      <w:r w:rsidRPr="00A87CDC">
        <w:rPr>
          <w:rFonts w:ascii="Verdana" w:hAnsi="Verdana"/>
          <w:i/>
          <w:color w:val="000000" w:themeColor="text1"/>
          <w:sz w:val="16"/>
          <w:shd w:val="clear" w:color="auto" w:fill="FFFFFF"/>
        </w:rPr>
        <w:t>This announcement is for information purposes only and is not an offer to sell or the solicitation of an offer to buy securities and neither this document nor anything herein nor any copy thereof may be taken into or distributed, directly or indirectly, in or into the United States (including its territories and dependencies, any State of the United States and the District of Columbia), Canada or Japan or any other jurisdiction in which offers or sales would be prohibited by applicable law. This announcement does not constitute or form a part of any offer or solicitation to purchase or subscribe for securities in any jurisdiction, including the United States. The shares mentioned herein (“the Shares”) have not been, and will not be, registered under the United States Securities Act of 1933, as amended (the “Securities Act”). The Shares may not be offered or sold in the United States except pursuant to registration or an exemption from the registration requirements of the Securities Act. There is no intention to make a public offering of the Shares in the United States</w:t>
      </w:r>
      <w:r>
        <w:rPr>
          <w:rFonts w:ascii="Verdana" w:hAnsi="Verdana"/>
          <w:i/>
          <w:color w:val="000000" w:themeColor="text1"/>
          <w:sz w:val="16"/>
          <w:shd w:val="clear" w:color="auto" w:fill="FFFFFF"/>
        </w:rPr>
        <w:t xml:space="preserve"> or in any other jurisdiction</w:t>
      </w:r>
      <w:r w:rsidRPr="00A87CDC">
        <w:rPr>
          <w:rFonts w:ascii="Verdana" w:hAnsi="Verdana"/>
          <w:i/>
          <w:color w:val="000000" w:themeColor="text1"/>
          <w:sz w:val="16"/>
          <w:shd w:val="clear" w:color="auto" w:fill="FFFFFF"/>
        </w:rPr>
        <w:t xml:space="preserve">. </w:t>
      </w:r>
    </w:p>
    <w:p w14:paraId="4B23B282" w14:textId="77777777" w:rsidR="00231701" w:rsidRDefault="00231701" w:rsidP="00231701">
      <w:pPr>
        <w:jc w:val="both"/>
        <w:rPr>
          <w:rFonts w:ascii="Verdana" w:hAnsi="Verdana"/>
          <w:i/>
          <w:color w:val="000000" w:themeColor="text1"/>
          <w:sz w:val="16"/>
          <w:shd w:val="clear" w:color="auto" w:fill="FFFFFF"/>
        </w:rPr>
      </w:pPr>
    </w:p>
    <w:p w14:paraId="33840BBB" w14:textId="77777777" w:rsidR="00231701" w:rsidRPr="007066F6" w:rsidRDefault="00231701" w:rsidP="00231701">
      <w:pPr>
        <w:jc w:val="both"/>
        <w:rPr>
          <w:rFonts w:ascii="Verdana" w:hAnsi="Verdana" w:cstheme="minorHAnsi"/>
          <w:i/>
          <w:iCs/>
          <w:color w:val="000000" w:themeColor="text1"/>
          <w:sz w:val="16"/>
          <w:szCs w:val="16"/>
          <w:shd w:val="clear" w:color="auto" w:fill="FFFFFF"/>
        </w:rPr>
      </w:pPr>
      <w:r w:rsidRPr="007066F6">
        <w:rPr>
          <w:rFonts w:ascii="Verdana" w:hAnsi="Verdana" w:cstheme="minorHAnsi"/>
          <w:i/>
          <w:iCs/>
          <w:color w:val="000000" w:themeColor="text1"/>
          <w:sz w:val="16"/>
          <w:szCs w:val="16"/>
          <w:shd w:val="clear" w:color="auto" w:fill="FFFFFF"/>
        </w:rPr>
        <w:t>The information contained in this announcement does not constitute or form a part of any offer to the public for the sale of, or subscription for, or an invitation, advertisement or the solicitation of an offer to purchase and/or subscribe for, securities as defined in and/or contemplated by the South African Companies Act, No. 71 of 2008 ("South African Companies Act"). Accordingly, this announcement does not, nor does it intend to, constitute a “registered prospectus”, as contemplated by the South African Companies Act and no prospectus has been, or will be, filed with the South African Companies and Intellectual Property Commission in respect of this announcement.</w:t>
      </w:r>
    </w:p>
    <w:p w14:paraId="6BC2CAFD" w14:textId="77777777" w:rsidR="00231701" w:rsidRDefault="00231701" w:rsidP="00231701">
      <w:pPr>
        <w:jc w:val="both"/>
        <w:rPr>
          <w:rFonts w:ascii="Verdana" w:hAnsi="Verdana"/>
          <w:i/>
          <w:color w:val="000000" w:themeColor="text1"/>
          <w:sz w:val="16"/>
          <w:shd w:val="clear" w:color="auto" w:fill="FFFFFF"/>
        </w:rPr>
      </w:pPr>
    </w:p>
    <w:p w14:paraId="2B6A715A" w14:textId="0418AAE0" w:rsidR="00231701" w:rsidRPr="007D023A" w:rsidRDefault="00231701" w:rsidP="007D023A">
      <w:pPr>
        <w:pStyle w:val="BodyText"/>
        <w:ind w:firstLine="0"/>
        <w:jc w:val="both"/>
        <w:rPr>
          <w:rFonts w:ascii="Verdana" w:hAnsi="Verdana"/>
          <w:i/>
          <w:sz w:val="16"/>
        </w:rPr>
      </w:pPr>
      <w:bookmarkStart w:id="3" w:name="_Hlk67691084"/>
      <w:r w:rsidRPr="007D023A">
        <w:rPr>
          <w:rFonts w:ascii="Verdana" w:hAnsi="Verdana"/>
          <w:i/>
          <w:sz w:val="16"/>
        </w:rPr>
        <w:t xml:space="preserve">In the European Economic Area </w:t>
      </w:r>
      <w:r w:rsidR="005A447E" w:rsidRPr="007002B7">
        <w:rPr>
          <w:rFonts w:ascii="Verdana" w:hAnsi="Verdana"/>
          <w:i/>
          <w:iCs/>
          <w:sz w:val="16"/>
          <w:szCs w:val="16"/>
        </w:rPr>
        <w:t>(the "</w:t>
      </w:r>
      <w:r w:rsidRPr="007D023A">
        <w:rPr>
          <w:rFonts w:ascii="Verdana" w:hAnsi="Verdana"/>
          <w:i/>
          <w:sz w:val="16"/>
        </w:rPr>
        <w:t>EEA</w:t>
      </w:r>
      <w:r w:rsidR="005A447E" w:rsidRPr="007002B7">
        <w:rPr>
          <w:rFonts w:ascii="Verdana" w:hAnsi="Verdana"/>
          <w:i/>
          <w:iCs/>
          <w:sz w:val="16"/>
          <w:szCs w:val="16"/>
        </w:rPr>
        <w:t>"),</w:t>
      </w:r>
      <w:r w:rsidRPr="007D023A">
        <w:rPr>
          <w:rFonts w:ascii="Verdana" w:hAnsi="Verdana"/>
          <w:i/>
          <w:sz w:val="16"/>
        </w:rPr>
        <w:t xml:space="preserve"> this announcement is only </w:t>
      </w:r>
      <w:r w:rsidR="005A447E" w:rsidRPr="007002B7">
        <w:rPr>
          <w:rFonts w:ascii="Verdana" w:hAnsi="Verdana"/>
          <w:i/>
          <w:iCs/>
          <w:sz w:val="16"/>
          <w:szCs w:val="16"/>
        </w:rPr>
        <w:t xml:space="preserve">addressed to and directed at persons in member states of the EEA who are "qualified investors" ("Qualified Investors") within the meaning of Article 2(e) of Regulation (EU) 2017/1129 (as amended) (the "EU Prospectus Regulation").  In the United Kingdom, this announcement </w:t>
      </w:r>
      <w:r w:rsidRPr="007D023A">
        <w:rPr>
          <w:rFonts w:ascii="Verdana" w:hAnsi="Verdana"/>
          <w:i/>
          <w:sz w:val="16"/>
        </w:rPr>
        <w:t xml:space="preserve">is only </w:t>
      </w:r>
      <w:r w:rsidR="005A447E" w:rsidRPr="007002B7">
        <w:rPr>
          <w:rFonts w:ascii="Verdana" w:hAnsi="Verdana"/>
          <w:i/>
          <w:iCs/>
          <w:sz w:val="16"/>
          <w:szCs w:val="16"/>
        </w:rPr>
        <w:t xml:space="preserve">addressed to and </w:t>
      </w:r>
      <w:r w:rsidRPr="007D023A">
        <w:rPr>
          <w:rFonts w:ascii="Verdana" w:hAnsi="Verdana"/>
          <w:i/>
          <w:sz w:val="16"/>
        </w:rPr>
        <w:t>directed at</w:t>
      </w:r>
      <w:r w:rsidR="005A447E" w:rsidRPr="007002B7">
        <w:rPr>
          <w:rFonts w:ascii="Verdana" w:hAnsi="Verdana"/>
          <w:i/>
          <w:iCs/>
          <w:sz w:val="16"/>
          <w:szCs w:val="16"/>
        </w:rPr>
        <w:t xml:space="preserve"> persons</w:t>
      </w:r>
      <w:r w:rsidRPr="007D023A">
        <w:rPr>
          <w:rFonts w:ascii="Verdana" w:hAnsi="Verdana"/>
          <w:i/>
          <w:sz w:val="16"/>
        </w:rPr>
        <w:t xml:space="preserve"> who are </w:t>
      </w:r>
      <w:r w:rsidR="005A447E" w:rsidRPr="007002B7">
        <w:rPr>
          <w:rFonts w:ascii="Verdana" w:hAnsi="Verdana"/>
          <w:i/>
          <w:iCs/>
          <w:sz w:val="16"/>
          <w:szCs w:val="16"/>
        </w:rPr>
        <w:t xml:space="preserve">"qualified investors" within the meaning of Article 2(e) of the EU Prospectus Regulation, which forms part of domestic UK law by virtue of the European Union (Withdrawal) Act 2018, who are also: </w:t>
      </w:r>
      <w:r w:rsidRPr="007D023A">
        <w:rPr>
          <w:rFonts w:ascii="Verdana" w:hAnsi="Verdana"/>
          <w:i/>
          <w:sz w:val="16"/>
        </w:rPr>
        <w:t>(</w:t>
      </w:r>
      <w:proofErr w:type="spellStart"/>
      <w:r w:rsidRPr="007D023A">
        <w:rPr>
          <w:rFonts w:ascii="Verdana" w:hAnsi="Verdana"/>
          <w:i/>
          <w:sz w:val="16"/>
        </w:rPr>
        <w:t>i</w:t>
      </w:r>
      <w:proofErr w:type="spellEnd"/>
      <w:r w:rsidRPr="007D023A">
        <w:rPr>
          <w:rFonts w:ascii="Verdana" w:hAnsi="Verdana"/>
          <w:i/>
          <w:sz w:val="16"/>
        </w:rPr>
        <w:t xml:space="preserve">) </w:t>
      </w:r>
      <w:r w:rsidR="005A447E" w:rsidRPr="007002B7">
        <w:rPr>
          <w:rFonts w:ascii="Verdana" w:hAnsi="Verdana"/>
          <w:i/>
          <w:iCs/>
          <w:sz w:val="16"/>
          <w:szCs w:val="16"/>
        </w:rPr>
        <w:t>persons having professional experience in matters relating to investments who fall within the definition of "</w:t>
      </w:r>
      <w:r w:rsidRPr="007D023A">
        <w:rPr>
          <w:rFonts w:ascii="Verdana" w:hAnsi="Verdana"/>
          <w:i/>
          <w:sz w:val="16"/>
        </w:rPr>
        <w:t>investment professionals</w:t>
      </w:r>
      <w:r w:rsidR="005A447E" w:rsidRPr="007002B7">
        <w:rPr>
          <w:rFonts w:ascii="Verdana" w:hAnsi="Verdana"/>
          <w:i/>
          <w:iCs/>
          <w:sz w:val="16"/>
          <w:szCs w:val="16"/>
        </w:rPr>
        <w:t>" in</w:t>
      </w:r>
      <w:r w:rsidRPr="007D023A">
        <w:rPr>
          <w:rFonts w:ascii="Verdana" w:hAnsi="Verdana"/>
          <w:i/>
          <w:sz w:val="16"/>
        </w:rPr>
        <w:t xml:space="preserve"> Article 19(5) of the Financial Services and Markets Act 2000 (Financial Promotion) Order 2005 (the </w:t>
      </w:r>
      <w:r w:rsidR="005A447E" w:rsidRPr="007002B7">
        <w:rPr>
          <w:rFonts w:ascii="Verdana" w:hAnsi="Verdana"/>
          <w:i/>
          <w:iCs/>
          <w:sz w:val="16"/>
          <w:szCs w:val="16"/>
        </w:rPr>
        <w:t>"</w:t>
      </w:r>
      <w:r w:rsidRPr="007D023A">
        <w:rPr>
          <w:rFonts w:ascii="Verdana" w:hAnsi="Verdana"/>
          <w:i/>
          <w:sz w:val="16"/>
        </w:rPr>
        <w:t>Order</w:t>
      </w:r>
      <w:r w:rsidR="005A447E" w:rsidRPr="007002B7">
        <w:rPr>
          <w:rFonts w:ascii="Verdana" w:hAnsi="Verdana"/>
          <w:i/>
          <w:iCs/>
          <w:sz w:val="16"/>
          <w:szCs w:val="16"/>
        </w:rPr>
        <w:t>"); or</w:t>
      </w:r>
      <w:r w:rsidRPr="007D023A">
        <w:rPr>
          <w:rFonts w:ascii="Verdana" w:hAnsi="Verdana"/>
          <w:i/>
          <w:sz w:val="16"/>
        </w:rPr>
        <w:t xml:space="preserve"> (ii) high net worth entities falling within Article 49(2)(a) to (d) of the Order</w:t>
      </w:r>
      <w:r w:rsidR="005A447E" w:rsidRPr="007002B7">
        <w:rPr>
          <w:rFonts w:ascii="Verdana" w:hAnsi="Verdana"/>
          <w:i/>
          <w:iCs/>
          <w:sz w:val="16"/>
          <w:szCs w:val="16"/>
        </w:rPr>
        <w:t>;</w:t>
      </w:r>
      <w:r w:rsidRPr="007D023A">
        <w:rPr>
          <w:rFonts w:ascii="Verdana" w:hAnsi="Verdana"/>
          <w:i/>
          <w:sz w:val="16"/>
        </w:rPr>
        <w:t xml:space="preserve"> or (iii) </w:t>
      </w:r>
      <w:r w:rsidR="005A447E" w:rsidRPr="007002B7">
        <w:rPr>
          <w:rFonts w:ascii="Verdana" w:hAnsi="Verdana"/>
          <w:i/>
          <w:iCs/>
          <w:sz w:val="16"/>
          <w:szCs w:val="16"/>
        </w:rPr>
        <w:t xml:space="preserve">are </w:t>
      </w:r>
      <w:r w:rsidRPr="007D023A">
        <w:rPr>
          <w:rFonts w:ascii="Verdana" w:hAnsi="Verdana"/>
          <w:i/>
          <w:sz w:val="16"/>
        </w:rPr>
        <w:t xml:space="preserve">other persons to whom it may otherwise lawfully </w:t>
      </w:r>
      <w:r w:rsidR="005A447E" w:rsidRPr="007002B7">
        <w:rPr>
          <w:rFonts w:ascii="Verdana" w:hAnsi="Verdana"/>
          <w:i/>
          <w:iCs/>
          <w:sz w:val="16"/>
          <w:szCs w:val="16"/>
        </w:rPr>
        <w:t xml:space="preserve">be </w:t>
      </w:r>
      <w:r w:rsidRPr="007D023A">
        <w:rPr>
          <w:rFonts w:ascii="Verdana" w:hAnsi="Verdana"/>
          <w:i/>
          <w:sz w:val="16"/>
        </w:rPr>
        <w:t xml:space="preserve">communicated (all such persons being </w:t>
      </w:r>
      <w:r w:rsidR="005A447E" w:rsidRPr="007002B7">
        <w:rPr>
          <w:rFonts w:ascii="Verdana" w:hAnsi="Verdana"/>
          <w:i/>
          <w:iCs/>
          <w:sz w:val="16"/>
          <w:szCs w:val="16"/>
        </w:rPr>
        <w:t>"Relevant</w:t>
      </w:r>
      <w:r w:rsidRPr="007D023A">
        <w:rPr>
          <w:rFonts w:ascii="Verdana" w:hAnsi="Verdana"/>
          <w:i/>
          <w:sz w:val="16"/>
        </w:rPr>
        <w:t xml:space="preserve"> Persons</w:t>
      </w:r>
      <w:r w:rsidR="005A447E" w:rsidRPr="007002B7">
        <w:rPr>
          <w:rFonts w:ascii="Verdana" w:hAnsi="Verdana"/>
          <w:i/>
          <w:iCs/>
          <w:sz w:val="16"/>
          <w:szCs w:val="16"/>
        </w:rPr>
        <w:t>"). This announcement must</w:t>
      </w:r>
      <w:r w:rsidRPr="007D023A">
        <w:rPr>
          <w:rFonts w:ascii="Verdana" w:hAnsi="Verdana"/>
          <w:i/>
          <w:sz w:val="16"/>
        </w:rPr>
        <w:t xml:space="preserve"> not </w:t>
      </w:r>
      <w:r w:rsidR="005A447E" w:rsidRPr="007002B7">
        <w:rPr>
          <w:rFonts w:ascii="Verdana" w:hAnsi="Verdana"/>
          <w:i/>
          <w:iCs/>
          <w:sz w:val="16"/>
          <w:szCs w:val="16"/>
        </w:rPr>
        <w:t>be acted or relied on (</w:t>
      </w:r>
      <w:proofErr w:type="spellStart"/>
      <w:r w:rsidR="005A447E" w:rsidRPr="007002B7">
        <w:rPr>
          <w:rFonts w:ascii="Verdana" w:hAnsi="Verdana"/>
          <w:i/>
          <w:iCs/>
          <w:sz w:val="16"/>
          <w:szCs w:val="16"/>
        </w:rPr>
        <w:t>i</w:t>
      </w:r>
      <w:proofErr w:type="spellEnd"/>
      <w:r w:rsidR="005A447E" w:rsidRPr="007002B7">
        <w:rPr>
          <w:rFonts w:ascii="Verdana" w:hAnsi="Verdana"/>
          <w:i/>
          <w:iCs/>
          <w:sz w:val="16"/>
          <w:szCs w:val="16"/>
        </w:rPr>
        <w:t>) in the United Kingdom, by persons who are not Relevant Persons and (ii) in any member state of the EEA by persons who are not Qualified Investors.  Any investment activity to which this announcement relates (</w:t>
      </w:r>
      <w:proofErr w:type="spellStart"/>
      <w:r w:rsidR="005A447E" w:rsidRPr="007002B7">
        <w:rPr>
          <w:rFonts w:ascii="Verdana" w:hAnsi="Verdana"/>
          <w:i/>
          <w:iCs/>
          <w:sz w:val="16"/>
          <w:szCs w:val="16"/>
        </w:rPr>
        <w:t>i</w:t>
      </w:r>
      <w:proofErr w:type="spellEnd"/>
      <w:r w:rsidR="005A447E" w:rsidRPr="007002B7">
        <w:rPr>
          <w:rFonts w:ascii="Verdana" w:hAnsi="Verdana"/>
          <w:i/>
          <w:iCs/>
          <w:sz w:val="16"/>
          <w:szCs w:val="16"/>
        </w:rPr>
        <w:t>) in the United Kingdom is available only to, and may be engaged in only with, Relevant Persons and (ii) in any member state of the EEA is available only to, and may be engaged only with, Qualified Investors.  Persons who are not Qualified Persons or Relevant Persons</w:t>
      </w:r>
      <w:r w:rsidRPr="007D023A">
        <w:rPr>
          <w:rFonts w:ascii="Verdana" w:hAnsi="Verdana"/>
          <w:i/>
          <w:sz w:val="16"/>
        </w:rPr>
        <w:t xml:space="preserve"> should not take any action </w:t>
      </w:r>
      <w:proofErr w:type="gramStart"/>
      <w:r w:rsidRPr="007D023A">
        <w:rPr>
          <w:rFonts w:ascii="Verdana" w:hAnsi="Verdana"/>
          <w:i/>
          <w:sz w:val="16"/>
        </w:rPr>
        <w:t>on the basis of</w:t>
      </w:r>
      <w:proofErr w:type="gramEnd"/>
      <w:r w:rsidRPr="007D023A">
        <w:rPr>
          <w:rFonts w:ascii="Verdana" w:hAnsi="Verdana"/>
          <w:i/>
          <w:sz w:val="16"/>
        </w:rPr>
        <w:t xml:space="preserve"> this announcement and should not act or rely on it. </w:t>
      </w:r>
      <w:r>
        <w:rPr>
          <w:rFonts w:ascii="Verdana" w:hAnsi="Verdana"/>
          <w:i/>
          <w:iCs/>
          <w:color w:val="000000"/>
          <w:sz w:val="16"/>
          <w:szCs w:val="16"/>
          <w:shd w:val="clear" w:color="auto" w:fill="FFFFFF"/>
        </w:rPr>
        <w:t xml:space="preserve"> </w:t>
      </w:r>
      <w:bookmarkEnd w:id="3"/>
    </w:p>
    <w:p w14:paraId="2D8B4FAE" w14:textId="77777777" w:rsidR="00231701" w:rsidRDefault="00231701" w:rsidP="00231701">
      <w:pPr>
        <w:jc w:val="both"/>
        <w:rPr>
          <w:rFonts w:ascii="Verdana" w:hAnsi="Verdana"/>
          <w:i/>
          <w:color w:val="000000" w:themeColor="text1"/>
          <w:sz w:val="16"/>
          <w:shd w:val="clear" w:color="auto" w:fill="FFFFFF"/>
        </w:rPr>
      </w:pPr>
      <w:r w:rsidRPr="00A87CDC">
        <w:rPr>
          <w:rFonts w:ascii="Verdana" w:hAnsi="Verdana"/>
          <w:i/>
          <w:color w:val="000000" w:themeColor="text1"/>
          <w:sz w:val="16"/>
          <w:shd w:val="clear" w:color="auto" w:fill="FFFFFF"/>
        </w:rPr>
        <w:t xml:space="preserve">The distribution of this announcement and the offering of the Shares (“the Offering”) in certain jurisdictions may be restricted by law. No action has been taken by </w:t>
      </w:r>
      <w:r>
        <w:rPr>
          <w:rFonts w:ascii="Verdana" w:hAnsi="Verdana"/>
          <w:i/>
          <w:iCs/>
          <w:sz w:val="16"/>
          <w:szCs w:val="16"/>
        </w:rPr>
        <w:t>Prosus</w:t>
      </w:r>
      <w:r w:rsidRPr="00A87CDC">
        <w:rPr>
          <w:rFonts w:ascii="Verdana" w:hAnsi="Verdana"/>
          <w:i/>
          <w:color w:val="000000" w:themeColor="text1"/>
          <w:sz w:val="16"/>
          <w:shd w:val="clear" w:color="auto" w:fill="FFFFFF"/>
        </w:rPr>
        <w:t xml:space="preserve">, any of the Joint Global-coordinators, or any of their respective affiliates, or any other person that would permit an offer of the Shares or possession or distribution of this announcement or any other offering or publicity material relating to the Offering or sale in any jurisdiction where action for that purpose is required. Persons into whose possession this announcement comes must inform themselves about and to observe any such restrictions. </w:t>
      </w:r>
    </w:p>
    <w:p w14:paraId="547C92B6" w14:textId="77777777" w:rsidR="00231701" w:rsidRPr="00A87CDC" w:rsidRDefault="00231701" w:rsidP="00231701">
      <w:pPr>
        <w:jc w:val="both"/>
        <w:rPr>
          <w:rFonts w:ascii="Verdana" w:hAnsi="Verdana"/>
          <w:i/>
          <w:color w:val="000000" w:themeColor="text1"/>
          <w:sz w:val="16"/>
          <w:shd w:val="clear" w:color="auto" w:fill="FFFFFF"/>
        </w:rPr>
      </w:pPr>
    </w:p>
    <w:p w14:paraId="4A153B6A" w14:textId="77777777" w:rsidR="00231701" w:rsidRDefault="00231701" w:rsidP="00231701">
      <w:pPr>
        <w:jc w:val="both"/>
        <w:rPr>
          <w:rFonts w:ascii="Verdana" w:hAnsi="Verdana"/>
          <w:i/>
          <w:color w:val="000000" w:themeColor="text1"/>
          <w:sz w:val="16"/>
          <w:shd w:val="clear" w:color="auto" w:fill="FFFFFF"/>
        </w:rPr>
      </w:pPr>
      <w:r w:rsidRPr="00A87CDC">
        <w:rPr>
          <w:rFonts w:ascii="Verdana" w:hAnsi="Verdana"/>
          <w:i/>
          <w:color w:val="000000" w:themeColor="text1"/>
          <w:sz w:val="16"/>
          <w:shd w:val="clear" w:color="auto" w:fill="FFFFFF"/>
        </w:rPr>
        <w:lastRenderedPageBreak/>
        <w:t xml:space="preserve">This announcement has been issued by and is the sole responsibility of </w:t>
      </w:r>
      <w:r>
        <w:rPr>
          <w:rFonts w:ascii="Verdana" w:hAnsi="Verdana"/>
          <w:i/>
          <w:iCs/>
          <w:sz w:val="16"/>
          <w:szCs w:val="16"/>
        </w:rPr>
        <w:t>Prosus</w:t>
      </w:r>
      <w:r w:rsidRPr="00A87CDC">
        <w:rPr>
          <w:rFonts w:ascii="Verdana" w:hAnsi="Verdana"/>
          <w:i/>
          <w:color w:val="000000" w:themeColor="text1"/>
          <w:sz w:val="16"/>
          <w:shd w:val="clear" w:color="auto" w:fill="FFFFFF"/>
        </w:rPr>
        <w:t xml:space="preserve">. No representation or warranty, express or implied, is or will be made as to, or in relation to, and no responsibility or liability is or will be accepted by any of the Joint Global-coordinators or by any of their respective affiliates or agents as to, or in relation to, the accuracy or completeness of this announcement or any other written or oral information made available to or publicly available to any interested party or its advisers, and any liability therefore is expressly disclaimed. </w:t>
      </w:r>
    </w:p>
    <w:p w14:paraId="2B952F8B" w14:textId="77777777" w:rsidR="00231701" w:rsidRPr="00A87CDC" w:rsidRDefault="00231701" w:rsidP="00231701">
      <w:pPr>
        <w:jc w:val="both"/>
        <w:rPr>
          <w:rFonts w:ascii="Verdana" w:hAnsi="Verdana"/>
          <w:i/>
          <w:color w:val="000000" w:themeColor="text1"/>
          <w:sz w:val="16"/>
          <w:shd w:val="clear" w:color="auto" w:fill="FFFFFF"/>
        </w:rPr>
      </w:pPr>
    </w:p>
    <w:p w14:paraId="154DBFC4" w14:textId="77777777" w:rsidR="00231701" w:rsidRDefault="00231701" w:rsidP="00231701">
      <w:pPr>
        <w:jc w:val="both"/>
        <w:rPr>
          <w:rFonts w:ascii="Verdana" w:hAnsi="Verdana"/>
          <w:i/>
          <w:iCs/>
          <w:sz w:val="16"/>
          <w:szCs w:val="16"/>
        </w:rPr>
      </w:pPr>
      <w:r w:rsidRPr="00A87CDC">
        <w:rPr>
          <w:rFonts w:ascii="Verdana" w:hAnsi="Verdana"/>
          <w:i/>
          <w:color w:val="000000" w:themeColor="text1"/>
          <w:sz w:val="16"/>
          <w:shd w:val="clear" w:color="auto" w:fill="FFFFFF"/>
        </w:rPr>
        <w:t xml:space="preserve">No prospectus or other offering document has been or will be prepared in connection with the Offering. This announcement does not purport to identify or suggest the risks (direct or indirect) which may be associated with an investment in the Shares. Any investment decision to buy Shares must be made solely </w:t>
      </w:r>
      <w:proofErr w:type="gramStart"/>
      <w:r w:rsidRPr="00A87CDC">
        <w:rPr>
          <w:rFonts w:ascii="Verdana" w:hAnsi="Verdana"/>
          <w:i/>
          <w:color w:val="000000" w:themeColor="text1"/>
          <w:sz w:val="16"/>
          <w:shd w:val="clear" w:color="auto" w:fill="FFFFFF"/>
        </w:rPr>
        <w:t>on the basis of</w:t>
      </w:r>
      <w:proofErr w:type="gramEnd"/>
      <w:r w:rsidRPr="00A87CDC">
        <w:rPr>
          <w:rFonts w:ascii="Verdana" w:hAnsi="Verdana"/>
          <w:i/>
          <w:color w:val="000000" w:themeColor="text1"/>
          <w:sz w:val="16"/>
          <w:shd w:val="clear" w:color="auto" w:fill="FFFFFF"/>
        </w:rPr>
        <w:t xml:space="preserve"> publicly available information. Such information has not been prepared or verified by any of the Joint Global-coordinators or any of their affiliates</w:t>
      </w:r>
      <w:r w:rsidRPr="00D06BEA">
        <w:rPr>
          <w:rFonts w:ascii="Verdana" w:hAnsi="Verdana"/>
          <w:i/>
          <w:iCs/>
          <w:sz w:val="16"/>
          <w:szCs w:val="16"/>
        </w:rPr>
        <w:t xml:space="preserve">. </w:t>
      </w:r>
    </w:p>
    <w:p w14:paraId="62C274A1" w14:textId="77777777" w:rsidR="00231701" w:rsidRPr="00A87CDC" w:rsidRDefault="00231701" w:rsidP="00231701">
      <w:pPr>
        <w:jc w:val="both"/>
        <w:rPr>
          <w:rFonts w:ascii="Verdana" w:hAnsi="Verdana"/>
          <w:i/>
          <w:color w:val="000000" w:themeColor="text1"/>
          <w:sz w:val="16"/>
          <w:shd w:val="clear" w:color="auto" w:fill="FFFFFF"/>
        </w:rPr>
      </w:pPr>
    </w:p>
    <w:p w14:paraId="590127B1" w14:textId="3D9F3FDA" w:rsidR="00231701" w:rsidRDefault="00231701" w:rsidP="00231701">
      <w:pPr>
        <w:jc w:val="both"/>
        <w:rPr>
          <w:rFonts w:ascii="Verdana" w:hAnsi="Verdana"/>
          <w:i/>
          <w:color w:val="000000" w:themeColor="text1"/>
          <w:sz w:val="16"/>
          <w:shd w:val="clear" w:color="auto" w:fill="FFFFFF"/>
        </w:rPr>
      </w:pPr>
      <w:r w:rsidRPr="00A87CDC">
        <w:rPr>
          <w:rFonts w:ascii="Verdana" w:hAnsi="Verdana"/>
          <w:i/>
          <w:color w:val="000000" w:themeColor="text1"/>
          <w:sz w:val="16"/>
          <w:shd w:val="clear" w:color="auto" w:fill="FFFFFF"/>
        </w:rPr>
        <w:t xml:space="preserve">The information contained in this </w:t>
      </w:r>
      <w:r w:rsidR="00DE5ACD">
        <w:rPr>
          <w:rFonts w:ascii="Verdana" w:hAnsi="Verdana"/>
          <w:i/>
          <w:color w:val="000000" w:themeColor="text1"/>
          <w:sz w:val="16"/>
          <w:shd w:val="clear" w:color="auto" w:fill="FFFFFF"/>
        </w:rPr>
        <w:t>announcement</w:t>
      </w:r>
      <w:r w:rsidRPr="00A87CDC">
        <w:rPr>
          <w:rFonts w:ascii="Verdana" w:hAnsi="Verdana"/>
          <w:i/>
          <w:color w:val="000000" w:themeColor="text1"/>
          <w:sz w:val="16"/>
          <w:shd w:val="clear" w:color="auto" w:fill="FFFFFF"/>
        </w:rPr>
        <w:t xml:space="preserve">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w:t>
      </w:r>
      <w:proofErr w:type="spellStart"/>
      <w:r>
        <w:rPr>
          <w:rFonts w:ascii="Verdana" w:hAnsi="Verdana"/>
          <w:i/>
          <w:iCs/>
          <w:sz w:val="16"/>
          <w:szCs w:val="16"/>
        </w:rPr>
        <w:t>Prosus’s</w:t>
      </w:r>
      <w:proofErr w:type="spellEnd"/>
      <w:r w:rsidRPr="00A87CDC">
        <w:rPr>
          <w:rFonts w:ascii="Verdana" w:hAnsi="Verdana"/>
          <w:i/>
          <w:color w:val="000000" w:themeColor="text1"/>
          <w:sz w:val="16"/>
          <w:shd w:val="clear" w:color="auto" w:fill="FFFFFF"/>
        </w:rPr>
        <w:t xml:space="preserve"> intentions, </w:t>
      </w:r>
      <w:proofErr w:type="gramStart"/>
      <w:r w:rsidRPr="00A87CDC">
        <w:rPr>
          <w:rFonts w:ascii="Verdana" w:hAnsi="Verdana"/>
          <w:i/>
          <w:color w:val="000000" w:themeColor="text1"/>
          <w:sz w:val="16"/>
          <w:shd w:val="clear" w:color="auto" w:fill="FFFFFF"/>
        </w:rPr>
        <w:t>beliefs</w:t>
      </w:r>
      <w:proofErr w:type="gramEnd"/>
      <w:r w:rsidRPr="00A87CDC">
        <w:rPr>
          <w:rFonts w:ascii="Verdana" w:hAnsi="Verdana"/>
          <w:i/>
          <w:color w:val="000000" w:themeColor="text1"/>
          <w:sz w:val="16"/>
          <w:shd w:val="clear" w:color="auto" w:fill="FFFFFF"/>
        </w:rPr>
        <w:t xml:space="preserve"> or current expectations, involve elements of subjective judgment and analysis and are based upon the best judgment of </w:t>
      </w:r>
      <w:r>
        <w:rPr>
          <w:rFonts w:ascii="Verdana" w:hAnsi="Verdana"/>
          <w:i/>
          <w:iCs/>
          <w:sz w:val="16"/>
          <w:szCs w:val="16"/>
        </w:rPr>
        <w:t>Prosus</w:t>
      </w:r>
      <w:r w:rsidRPr="00A87CDC">
        <w:rPr>
          <w:rFonts w:ascii="Verdana" w:hAnsi="Verdana"/>
          <w:i/>
          <w:color w:val="000000" w:themeColor="text1"/>
          <w:sz w:val="16"/>
          <w:shd w:val="clear" w:color="auto" w:fill="FFFFFF"/>
        </w:rPr>
        <w:t xml:space="preserve"> as of the date of this </w:t>
      </w:r>
      <w:r>
        <w:rPr>
          <w:rFonts w:ascii="Verdana" w:hAnsi="Verdana"/>
          <w:i/>
          <w:color w:val="000000" w:themeColor="text1"/>
          <w:sz w:val="16"/>
          <w:shd w:val="clear" w:color="auto" w:fill="FFFFFF"/>
        </w:rPr>
        <w:t>announcement</w:t>
      </w:r>
      <w:r w:rsidRPr="00A87CDC">
        <w:rPr>
          <w:rFonts w:ascii="Verdana" w:hAnsi="Verdana"/>
          <w:i/>
          <w:color w:val="000000" w:themeColor="text1"/>
          <w:sz w:val="16"/>
          <w:shd w:val="clear" w:color="auto" w:fill="FFFFFF"/>
        </w:rPr>
        <w:t xml:space="preserve">, but could prove to be wrong. These statements are subject to change without notice and are based on </w:t>
      </w:r>
      <w:proofErr w:type="gramStart"/>
      <w:r w:rsidRPr="00A87CDC">
        <w:rPr>
          <w:rFonts w:ascii="Verdana" w:hAnsi="Verdana"/>
          <w:i/>
          <w:color w:val="000000" w:themeColor="text1"/>
          <w:sz w:val="16"/>
          <w:shd w:val="clear" w:color="auto" w:fill="FFFFFF"/>
        </w:rPr>
        <w:t>a number of</w:t>
      </w:r>
      <w:proofErr w:type="gramEnd"/>
      <w:r w:rsidRPr="00A87CDC">
        <w:rPr>
          <w:rFonts w:ascii="Verdana" w:hAnsi="Verdana"/>
          <w:i/>
          <w:color w:val="000000" w:themeColor="text1"/>
          <w:sz w:val="16"/>
          <w:shd w:val="clear" w:color="auto" w:fill="FFFFFF"/>
        </w:rPr>
        <w:t xml:space="preserve"> assumptions and entail known and unknown risks and uncertainties. Therefore, you should not rely on these forward-looking statements as a prediction of actual results. Any forward-looking statements are made only as of the date of this </w:t>
      </w:r>
      <w:r>
        <w:rPr>
          <w:rFonts w:ascii="Verdana" w:hAnsi="Verdana"/>
          <w:i/>
          <w:color w:val="000000" w:themeColor="text1"/>
          <w:sz w:val="16"/>
          <w:shd w:val="clear" w:color="auto" w:fill="FFFFFF"/>
        </w:rPr>
        <w:t>announcement</w:t>
      </w:r>
      <w:r w:rsidRPr="00A87CDC">
        <w:rPr>
          <w:rFonts w:ascii="Verdana" w:hAnsi="Verdana"/>
          <w:i/>
          <w:color w:val="000000" w:themeColor="text1"/>
          <w:sz w:val="16"/>
          <w:shd w:val="clear" w:color="auto" w:fill="FFFFFF"/>
        </w:rPr>
        <w:t xml:space="preserve"> and neither </w:t>
      </w:r>
      <w:r>
        <w:rPr>
          <w:rFonts w:ascii="Verdana" w:hAnsi="Verdana"/>
          <w:i/>
          <w:color w:val="000000" w:themeColor="text1"/>
          <w:sz w:val="16"/>
          <w:shd w:val="clear" w:color="auto" w:fill="FFFFFF"/>
        </w:rPr>
        <w:t>Prosus</w:t>
      </w:r>
      <w:r w:rsidRPr="00A87CDC">
        <w:rPr>
          <w:rFonts w:ascii="Verdana" w:hAnsi="Verdana"/>
          <w:i/>
          <w:color w:val="000000" w:themeColor="text1"/>
          <w:sz w:val="16"/>
          <w:shd w:val="clear" w:color="auto" w:fill="FFFFFF"/>
        </w:rPr>
        <w:t xml:space="preserve"> nor any other person gives any undertaking, or is under any obligation, to update these forward-looking statements for events or circumstances that occur subsequent to the date of this </w:t>
      </w:r>
      <w:r>
        <w:rPr>
          <w:rFonts w:ascii="Verdana" w:hAnsi="Verdana"/>
          <w:i/>
          <w:color w:val="000000" w:themeColor="text1"/>
          <w:sz w:val="16"/>
          <w:shd w:val="clear" w:color="auto" w:fill="FFFFFF"/>
        </w:rPr>
        <w:t>announcement</w:t>
      </w:r>
      <w:r w:rsidRPr="00A87CDC">
        <w:rPr>
          <w:rFonts w:ascii="Verdana" w:hAnsi="Verdana"/>
          <w:i/>
          <w:color w:val="000000" w:themeColor="text1"/>
          <w:sz w:val="16"/>
          <w:shd w:val="clear" w:color="auto" w:fill="FFFFFF"/>
        </w:rPr>
        <w:t xml:space="preserve"> or to update or keep current any of the information contained herein, any changes in assumptions or changes in factors affecting these statements and this </w:t>
      </w:r>
      <w:r>
        <w:rPr>
          <w:rFonts w:ascii="Verdana" w:hAnsi="Verdana"/>
          <w:i/>
          <w:color w:val="000000" w:themeColor="text1"/>
          <w:sz w:val="16"/>
          <w:shd w:val="clear" w:color="auto" w:fill="FFFFFF"/>
        </w:rPr>
        <w:t>announcement</w:t>
      </w:r>
      <w:r w:rsidRPr="00A87CDC">
        <w:rPr>
          <w:rFonts w:ascii="Verdana" w:hAnsi="Verdana"/>
          <w:i/>
          <w:color w:val="000000" w:themeColor="text1"/>
          <w:sz w:val="16"/>
          <w:shd w:val="clear" w:color="auto" w:fill="FFFFFF"/>
        </w:rPr>
        <w:t xml:space="preserve"> is not a representation by </w:t>
      </w:r>
      <w:r>
        <w:rPr>
          <w:rFonts w:ascii="Verdana" w:hAnsi="Verdana"/>
          <w:i/>
          <w:iCs/>
          <w:sz w:val="16"/>
          <w:szCs w:val="16"/>
        </w:rPr>
        <w:t>Prosus</w:t>
      </w:r>
      <w:r w:rsidRPr="00A87CDC">
        <w:rPr>
          <w:rFonts w:ascii="Verdana" w:hAnsi="Verdana"/>
          <w:i/>
          <w:color w:val="000000" w:themeColor="text1"/>
          <w:sz w:val="16"/>
          <w:shd w:val="clear" w:color="auto" w:fill="FFFFFF"/>
        </w:rPr>
        <w:t xml:space="preserve"> or any other person that they will do so, except to the extent required by law. </w:t>
      </w:r>
    </w:p>
    <w:p w14:paraId="1C5C9E06" w14:textId="77777777" w:rsidR="00231701" w:rsidRPr="00A87CDC" w:rsidRDefault="00231701" w:rsidP="00231701">
      <w:pPr>
        <w:jc w:val="both"/>
        <w:rPr>
          <w:rFonts w:ascii="Verdana" w:hAnsi="Verdana"/>
          <w:i/>
          <w:color w:val="000000" w:themeColor="text1"/>
          <w:sz w:val="16"/>
          <w:shd w:val="clear" w:color="auto" w:fill="FFFFFF"/>
        </w:rPr>
      </w:pPr>
    </w:p>
    <w:p w14:paraId="28271529" w14:textId="77777777" w:rsidR="00231701" w:rsidRDefault="00231701" w:rsidP="00231701">
      <w:pPr>
        <w:jc w:val="both"/>
        <w:rPr>
          <w:rFonts w:ascii="Verdana" w:hAnsi="Verdana"/>
          <w:i/>
          <w:color w:val="000000" w:themeColor="text1"/>
          <w:sz w:val="16"/>
          <w:shd w:val="clear" w:color="auto" w:fill="FFFFFF"/>
        </w:rPr>
      </w:pPr>
      <w:r>
        <w:rPr>
          <w:rFonts w:ascii="Verdana" w:hAnsi="Verdana"/>
          <w:i/>
          <w:color w:val="000000" w:themeColor="text1"/>
          <w:sz w:val="16"/>
          <w:shd w:val="clear" w:color="auto" w:fill="FFFFFF"/>
        </w:rPr>
        <w:t>Each of the Joint Global-coordinators</w:t>
      </w:r>
      <w:r w:rsidRPr="00A87CDC">
        <w:rPr>
          <w:rFonts w:ascii="Verdana" w:hAnsi="Verdana"/>
          <w:i/>
          <w:color w:val="000000" w:themeColor="text1"/>
          <w:sz w:val="16"/>
          <w:shd w:val="clear" w:color="auto" w:fill="FFFFFF"/>
        </w:rPr>
        <w:t xml:space="preserve"> are acting for </w:t>
      </w:r>
      <w:r>
        <w:rPr>
          <w:rFonts w:ascii="Verdana" w:hAnsi="Verdana"/>
          <w:i/>
          <w:iCs/>
          <w:sz w:val="16"/>
          <w:szCs w:val="16"/>
        </w:rPr>
        <w:t>Prosus</w:t>
      </w:r>
      <w:r w:rsidRPr="00A87CDC">
        <w:rPr>
          <w:rFonts w:ascii="Verdana" w:hAnsi="Verdana"/>
          <w:i/>
          <w:color w:val="000000" w:themeColor="text1"/>
          <w:sz w:val="16"/>
          <w:shd w:val="clear" w:color="auto" w:fill="FFFFFF"/>
        </w:rPr>
        <w:t xml:space="preserve"> only in connection with the Offering and no one else, and will not be responsible to anyone other than </w:t>
      </w:r>
      <w:r>
        <w:rPr>
          <w:rFonts w:ascii="Verdana" w:hAnsi="Verdana"/>
          <w:i/>
          <w:iCs/>
          <w:sz w:val="16"/>
          <w:szCs w:val="16"/>
        </w:rPr>
        <w:t>Prosus</w:t>
      </w:r>
      <w:r w:rsidRPr="00A87CDC">
        <w:rPr>
          <w:rFonts w:ascii="Verdana" w:hAnsi="Verdana"/>
          <w:i/>
          <w:color w:val="000000" w:themeColor="text1"/>
          <w:sz w:val="16"/>
          <w:shd w:val="clear" w:color="auto" w:fill="FFFFFF"/>
        </w:rPr>
        <w:t xml:space="preserve"> for providing the protections offered to clients of </w:t>
      </w:r>
      <w:r>
        <w:rPr>
          <w:rFonts w:ascii="Verdana" w:hAnsi="Verdana"/>
          <w:i/>
          <w:color w:val="000000" w:themeColor="text1"/>
          <w:sz w:val="16"/>
          <w:shd w:val="clear" w:color="auto" w:fill="FFFFFF"/>
        </w:rPr>
        <w:t>each of the Joint Global-coordinators</w:t>
      </w:r>
      <w:r w:rsidRPr="00A87CDC">
        <w:rPr>
          <w:rFonts w:ascii="Verdana" w:hAnsi="Verdana"/>
          <w:i/>
          <w:color w:val="000000" w:themeColor="text1"/>
          <w:sz w:val="16"/>
          <w:shd w:val="clear" w:color="auto" w:fill="FFFFFF"/>
        </w:rPr>
        <w:t xml:space="preserve"> nor for providing advice in relation to the Offering. </w:t>
      </w:r>
    </w:p>
    <w:p w14:paraId="7E639C95" w14:textId="77777777" w:rsidR="00231701" w:rsidRPr="00A87CDC" w:rsidRDefault="00231701" w:rsidP="00231701">
      <w:pPr>
        <w:jc w:val="both"/>
        <w:rPr>
          <w:rFonts w:ascii="Verdana" w:hAnsi="Verdana"/>
          <w:i/>
          <w:color w:val="000000" w:themeColor="text1"/>
          <w:sz w:val="16"/>
          <w:shd w:val="clear" w:color="auto" w:fill="FFFFFF"/>
        </w:rPr>
      </w:pPr>
    </w:p>
    <w:p w14:paraId="4E7B0666" w14:textId="77777777" w:rsidR="00231701" w:rsidRPr="00A87CDC" w:rsidRDefault="00231701" w:rsidP="00231701">
      <w:pPr>
        <w:jc w:val="both"/>
        <w:rPr>
          <w:rFonts w:ascii="Verdana" w:hAnsi="Verdana"/>
          <w:i/>
          <w:color w:val="000000" w:themeColor="text1"/>
          <w:sz w:val="16"/>
          <w:shd w:val="clear" w:color="auto" w:fill="FFFFFF"/>
        </w:rPr>
      </w:pPr>
      <w:r w:rsidRPr="00A87CDC">
        <w:rPr>
          <w:rFonts w:ascii="Verdana" w:hAnsi="Verdana"/>
          <w:i/>
          <w:color w:val="000000" w:themeColor="text1"/>
          <w:sz w:val="16"/>
          <w:shd w:val="clear" w:color="auto" w:fill="FFFFFF"/>
        </w:rPr>
        <w:t xml:space="preserve">In connection with the Offering mentioned herein, one or more of the Joint Global-coordinators and/or their respective affiliates acting as an investor for their own account may take up as a proprietary position any Shares and in that capacity may retain, purchase or sell for their own account such shares. In addition, certain of the Joint Global-coordinators or their affiliates may enter into financing arrangements and swaps with investors in connection with which the Joint Global-coordinators (or their affiliates) may from time to time acquire, hold or dispose of Shares. The Joint </w:t>
      </w:r>
      <w:proofErr w:type="gramStart"/>
      <w:r w:rsidRPr="00A87CDC">
        <w:rPr>
          <w:rFonts w:ascii="Verdana" w:hAnsi="Verdana"/>
          <w:i/>
          <w:color w:val="000000" w:themeColor="text1"/>
          <w:sz w:val="16"/>
          <w:shd w:val="clear" w:color="auto" w:fill="FFFFFF"/>
        </w:rPr>
        <w:t>Global-coordinators</w:t>
      </w:r>
      <w:proofErr w:type="gramEnd"/>
      <w:r w:rsidRPr="00A87CDC">
        <w:rPr>
          <w:rFonts w:ascii="Verdana" w:hAnsi="Verdana"/>
          <w:i/>
          <w:color w:val="000000" w:themeColor="text1"/>
          <w:sz w:val="16"/>
          <w:shd w:val="clear" w:color="auto" w:fill="FFFFFF"/>
        </w:rPr>
        <w:t xml:space="preserve"> do not intend to disclose the extent of any such investment or transactions otherwise than in accordance with any legal or regulatory obligation to do so.</w:t>
      </w:r>
      <w:bookmarkEnd w:id="2"/>
    </w:p>
    <w:p w14:paraId="14C932C9" w14:textId="21D79264" w:rsidR="00A97AFA" w:rsidRPr="001B56F9" w:rsidRDefault="00A97AFA" w:rsidP="00231701">
      <w:pPr>
        <w:pStyle w:val="AODocTxt"/>
        <w:rPr>
          <w:rFonts w:ascii="Verdana" w:hAnsi="Verdana"/>
          <w:i/>
          <w:iCs/>
          <w:sz w:val="16"/>
          <w:szCs w:val="16"/>
        </w:rPr>
      </w:pPr>
    </w:p>
    <w:sectPr w:rsidR="00A97AFA" w:rsidRPr="001B56F9" w:rsidSect="00A11278">
      <w:headerReference w:type="default" r:id="rId13"/>
      <w:footerReference w:type="default" r:id="rId14"/>
      <w:footerReference w:type="first" r:id="rId15"/>
      <w:pgSz w:w="11906" w:h="16838" w:code="9"/>
      <w:pgMar w:top="1588" w:right="1134" w:bottom="1021" w:left="113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D3FE" w14:textId="77777777" w:rsidR="007D023A" w:rsidRDefault="007D023A">
      <w:r>
        <w:separator/>
      </w:r>
    </w:p>
  </w:endnote>
  <w:endnote w:type="continuationSeparator" w:id="0">
    <w:p w14:paraId="0BD8FFBB" w14:textId="77777777" w:rsidR="007D023A" w:rsidRDefault="007D023A">
      <w:r>
        <w:continuationSeparator/>
      </w:r>
    </w:p>
  </w:endnote>
  <w:endnote w:type="continuationNotice" w:id="1">
    <w:p w14:paraId="46742027" w14:textId="77777777" w:rsidR="007D023A" w:rsidRDefault="007D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5049567"/>
      <w:docPartObj>
        <w:docPartGallery w:val="Page Numbers (Bottom of Page)"/>
        <w:docPartUnique/>
      </w:docPartObj>
    </w:sdtPr>
    <w:sdtEndPr>
      <w:rPr>
        <w:noProof/>
      </w:rPr>
    </w:sdtEndPr>
    <w:sdtContent>
      <w:p w14:paraId="0C91D467" w14:textId="56516709" w:rsidR="00BE4DED" w:rsidRDefault="00BE4D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E874D6" w14:textId="77777777" w:rsidR="00BE4DED" w:rsidRDefault="00BE4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1B56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957E1" w14:textId="77777777" w:rsidR="007D023A" w:rsidRDefault="007D023A">
      <w:r>
        <w:separator/>
      </w:r>
    </w:p>
  </w:footnote>
  <w:footnote w:type="continuationSeparator" w:id="0">
    <w:p w14:paraId="7FF138B8" w14:textId="77777777" w:rsidR="007D023A" w:rsidRDefault="007D023A">
      <w:r>
        <w:continuationSeparator/>
      </w:r>
    </w:p>
  </w:footnote>
  <w:footnote w:type="continuationNotice" w:id="1">
    <w:p w14:paraId="4EC2FAE8" w14:textId="77777777" w:rsidR="007D023A" w:rsidRDefault="007D0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AEA94" w14:textId="77777777" w:rsidR="007D023A" w:rsidRDefault="007D0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1"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1"/>
  </w:num>
  <w:num w:numId="2">
    <w:abstractNumId w:val="10"/>
  </w:num>
  <w:num w:numId="3">
    <w:abstractNumId w:val="13"/>
  </w:num>
  <w:num w:numId="4">
    <w:abstractNumId w:val="17"/>
  </w:num>
  <w:num w:numId="5">
    <w:abstractNumId w:val="6"/>
  </w:num>
  <w:num w:numId="6">
    <w:abstractNumId w:val="8"/>
  </w:num>
  <w:num w:numId="7">
    <w:abstractNumId w:val="15"/>
  </w:num>
  <w:num w:numId="8">
    <w:abstractNumId w:val="0"/>
  </w:num>
  <w:num w:numId="9">
    <w:abstractNumId w:val="9"/>
  </w:num>
  <w:num w:numId="10">
    <w:abstractNumId w:val="5"/>
  </w:num>
  <w:num w:numId="11">
    <w:abstractNumId w:val="3"/>
  </w:num>
  <w:num w:numId="12">
    <w:abstractNumId w:val="2"/>
  </w:num>
  <w:num w:numId="13">
    <w:abstractNumId w:val="16"/>
  </w:num>
  <w:num w:numId="14">
    <w:abstractNumId w:val="7"/>
  </w:num>
  <w:num w:numId="15">
    <w:abstractNumId w:val="12"/>
  </w:num>
  <w:num w:numId="16">
    <w:abstractNumId w:val="4"/>
  </w:num>
  <w:num w:numId="17">
    <w:abstractNumId w:val="14"/>
  </w:num>
  <w:num w:numId="18">
    <w:abstractNumId w:val="1"/>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A7"/>
    <w:rsid w:val="00000D59"/>
    <w:rsid w:val="00006C99"/>
    <w:rsid w:val="000203F7"/>
    <w:rsid w:val="000223E1"/>
    <w:rsid w:val="00030BEF"/>
    <w:rsid w:val="00030EB7"/>
    <w:rsid w:val="000311DD"/>
    <w:rsid w:val="000359FE"/>
    <w:rsid w:val="00035DF9"/>
    <w:rsid w:val="00050662"/>
    <w:rsid w:val="000520A8"/>
    <w:rsid w:val="000524E4"/>
    <w:rsid w:val="0007012E"/>
    <w:rsid w:val="00074985"/>
    <w:rsid w:val="00076610"/>
    <w:rsid w:val="00081C4B"/>
    <w:rsid w:val="00083181"/>
    <w:rsid w:val="00083990"/>
    <w:rsid w:val="000858C5"/>
    <w:rsid w:val="000926C9"/>
    <w:rsid w:val="00096F56"/>
    <w:rsid w:val="000A007D"/>
    <w:rsid w:val="000A423F"/>
    <w:rsid w:val="000B1B54"/>
    <w:rsid w:val="000B5950"/>
    <w:rsid w:val="000C0485"/>
    <w:rsid w:val="000D0702"/>
    <w:rsid w:val="00107626"/>
    <w:rsid w:val="00111788"/>
    <w:rsid w:val="001241D8"/>
    <w:rsid w:val="001258F0"/>
    <w:rsid w:val="00137356"/>
    <w:rsid w:val="00162242"/>
    <w:rsid w:val="00171474"/>
    <w:rsid w:val="0017422B"/>
    <w:rsid w:val="001837F3"/>
    <w:rsid w:val="00187A05"/>
    <w:rsid w:val="0019642E"/>
    <w:rsid w:val="001A0D0C"/>
    <w:rsid w:val="001A4C02"/>
    <w:rsid w:val="001B0BCE"/>
    <w:rsid w:val="001B56F9"/>
    <w:rsid w:val="001C143F"/>
    <w:rsid w:val="001D640C"/>
    <w:rsid w:val="001E18AC"/>
    <w:rsid w:val="001E7139"/>
    <w:rsid w:val="001E79DF"/>
    <w:rsid w:val="001F10C1"/>
    <w:rsid w:val="001F66DC"/>
    <w:rsid w:val="001F750F"/>
    <w:rsid w:val="0020166E"/>
    <w:rsid w:val="00207F8C"/>
    <w:rsid w:val="002271C4"/>
    <w:rsid w:val="00230D9A"/>
    <w:rsid w:val="00231701"/>
    <w:rsid w:val="002404E5"/>
    <w:rsid w:val="002431A6"/>
    <w:rsid w:val="00244F4C"/>
    <w:rsid w:val="00251D49"/>
    <w:rsid w:val="00252198"/>
    <w:rsid w:val="00265DE0"/>
    <w:rsid w:val="0027495C"/>
    <w:rsid w:val="0028593A"/>
    <w:rsid w:val="00293E29"/>
    <w:rsid w:val="00294585"/>
    <w:rsid w:val="002959ED"/>
    <w:rsid w:val="002A01D2"/>
    <w:rsid w:val="002A2FEA"/>
    <w:rsid w:val="002A3B89"/>
    <w:rsid w:val="002B6F38"/>
    <w:rsid w:val="002D1ED7"/>
    <w:rsid w:val="002D20FE"/>
    <w:rsid w:val="002E0DDE"/>
    <w:rsid w:val="002E4104"/>
    <w:rsid w:val="002E64C2"/>
    <w:rsid w:val="002F03B3"/>
    <w:rsid w:val="002F2BFA"/>
    <w:rsid w:val="002F492C"/>
    <w:rsid w:val="00311BF4"/>
    <w:rsid w:val="00321221"/>
    <w:rsid w:val="00334F07"/>
    <w:rsid w:val="00335A9A"/>
    <w:rsid w:val="003554E3"/>
    <w:rsid w:val="003559CF"/>
    <w:rsid w:val="003560A4"/>
    <w:rsid w:val="00375A6D"/>
    <w:rsid w:val="003813A3"/>
    <w:rsid w:val="00394F7A"/>
    <w:rsid w:val="003979CA"/>
    <w:rsid w:val="003A0E9E"/>
    <w:rsid w:val="003B4B11"/>
    <w:rsid w:val="003C0B02"/>
    <w:rsid w:val="003C35CF"/>
    <w:rsid w:val="003C4585"/>
    <w:rsid w:val="003C4B8B"/>
    <w:rsid w:val="003D3824"/>
    <w:rsid w:val="00402667"/>
    <w:rsid w:val="0040471C"/>
    <w:rsid w:val="00407D43"/>
    <w:rsid w:val="004147F8"/>
    <w:rsid w:val="00415C56"/>
    <w:rsid w:val="004260D6"/>
    <w:rsid w:val="004273CC"/>
    <w:rsid w:val="00432A6C"/>
    <w:rsid w:val="00440C96"/>
    <w:rsid w:val="004501D7"/>
    <w:rsid w:val="0045386B"/>
    <w:rsid w:val="0045533C"/>
    <w:rsid w:val="00463113"/>
    <w:rsid w:val="00464397"/>
    <w:rsid w:val="0047162F"/>
    <w:rsid w:val="004A6489"/>
    <w:rsid w:val="004B26CD"/>
    <w:rsid w:val="004B39A3"/>
    <w:rsid w:val="004C1607"/>
    <w:rsid w:val="004C587E"/>
    <w:rsid w:val="004C64F3"/>
    <w:rsid w:val="004D003B"/>
    <w:rsid w:val="004E0793"/>
    <w:rsid w:val="004F0DF4"/>
    <w:rsid w:val="004F2D87"/>
    <w:rsid w:val="00502494"/>
    <w:rsid w:val="005247D0"/>
    <w:rsid w:val="00532CE4"/>
    <w:rsid w:val="00535A68"/>
    <w:rsid w:val="005409A6"/>
    <w:rsid w:val="00545817"/>
    <w:rsid w:val="00550DA4"/>
    <w:rsid w:val="00584DC4"/>
    <w:rsid w:val="0059378A"/>
    <w:rsid w:val="005A04CC"/>
    <w:rsid w:val="005A447E"/>
    <w:rsid w:val="005A4B4A"/>
    <w:rsid w:val="005A4C4C"/>
    <w:rsid w:val="005A7AC8"/>
    <w:rsid w:val="005B24B1"/>
    <w:rsid w:val="005B3D4F"/>
    <w:rsid w:val="005C2782"/>
    <w:rsid w:val="005C595A"/>
    <w:rsid w:val="005D16AE"/>
    <w:rsid w:val="005D56CD"/>
    <w:rsid w:val="005D5CB3"/>
    <w:rsid w:val="005D6F6B"/>
    <w:rsid w:val="005E15A9"/>
    <w:rsid w:val="005E5E8C"/>
    <w:rsid w:val="006056BD"/>
    <w:rsid w:val="0061031A"/>
    <w:rsid w:val="006115A9"/>
    <w:rsid w:val="00616781"/>
    <w:rsid w:val="0061772E"/>
    <w:rsid w:val="00624BE1"/>
    <w:rsid w:val="00630AD0"/>
    <w:rsid w:val="0063674A"/>
    <w:rsid w:val="006444FC"/>
    <w:rsid w:val="0065201E"/>
    <w:rsid w:val="006621E9"/>
    <w:rsid w:val="00664831"/>
    <w:rsid w:val="00665096"/>
    <w:rsid w:val="00672235"/>
    <w:rsid w:val="00673CC5"/>
    <w:rsid w:val="00677B84"/>
    <w:rsid w:val="0068599B"/>
    <w:rsid w:val="006861DD"/>
    <w:rsid w:val="006A0CCF"/>
    <w:rsid w:val="006A5AA0"/>
    <w:rsid w:val="006C1F14"/>
    <w:rsid w:val="006C6050"/>
    <w:rsid w:val="006C6D54"/>
    <w:rsid w:val="006D4520"/>
    <w:rsid w:val="006E7FD6"/>
    <w:rsid w:val="006F05A5"/>
    <w:rsid w:val="006F4DD9"/>
    <w:rsid w:val="006F7CC7"/>
    <w:rsid w:val="007076F8"/>
    <w:rsid w:val="007225C1"/>
    <w:rsid w:val="00730573"/>
    <w:rsid w:val="00741399"/>
    <w:rsid w:val="0074249F"/>
    <w:rsid w:val="007454C4"/>
    <w:rsid w:val="00746F0E"/>
    <w:rsid w:val="00752DC7"/>
    <w:rsid w:val="00757DDB"/>
    <w:rsid w:val="007610D6"/>
    <w:rsid w:val="00761DB5"/>
    <w:rsid w:val="00762057"/>
    <w:rsid w:val="00777DFC"/>
    <w:rsid w:val="00780B4B"/>
    <w:rsid w:val="00785F2B"/>
    <w:rsid w:val="00790FDB"/>
    <w:rsid w:val="00796D69"/>
    <w:rsid w:val="007A0379"/>
    <w:rsid w:val="007A7486"/>
    <w:rsid w:val="007B342D"/>
    <w:rsid w:val="007C63AF"/>
    <w:rsid w:val="007C7343"/>
    <w:rsid w:val="007D023A"/>
    <w:rsid w:val="007D1EF8"/>
    <w:rsid w:val="007D3178"/>
    <w:rsid w:val="007D75EC"/>
    <w:rsid w:val="007E55C7"/>
    <w:rsid w:val="007F2535"/>
    <w:rsid w:val="007F3123"/>
    <w:rsid w:val="007F3A5E"/>
    <w:rsid w:val="0080011D"/>
    <w:rsid w:val="008051AA"/>
    <w:rsid w:val="0080543B"/>
    <w:rsid w:val="00810F73"/>
    <w:rsid w:val="00813D2E"/>
    <w:rsid w:val="00815059"/>
    <w:rsid w:val="00817E4C"/>
    <w:rsid w:val="00822A1E"/>
    <w:rsid w:val="00826793"/>
    <w:rsid w:val="00826F3D"/>
    <w:rsid w:val="00841AE0"/>
    <w:rsid w:val="00842588"/>
    <w:rsid w:val="008558CD"/>
    <w:rsid w:val="008579D9"/>
    <w:rsid w:val="008B12F2"/>
    <w:rsid w:val="008B5E7B"/>
    <w:rsid w:val="008B7444"/>
    <w:rsid w:val="008C14D4"/>
    <w:rsid w:val="008E09B5"/>
    <w:rsid w:val="008E0A09"/>
    <w:rsid w:val="008E452C"/>
    <w:rsid w:val="008F3CBA"/>
    <w:rsid w:val="008F68D8"/>
    <w:rsid w:val="00900F4B"/>
    <w:rsid w:val="00911051"/>
    <w:rsid w:val="00916C40"/>
    <w:rsid w:val="00920631"/>
    <w:rsid w:val="009260D2"/>
    <w:rsid w:val="00931405"/>
    <w:rsid w:val="009403E5"/>
    <w:rsid w:val="00952B33"/>
    <w:rsid w:val="00960F52"/>
    <w:rsid w:val="00967C82"/>
    <w:rsid w:val="00977A87"/>
    <w:rsid w:val="009819C0"/>
    <w:rsid w:val="00982969"/>
    <w:rsid w:val="00987ACB"/>
    <w:rsid w:val="00991FA1"/>
    <w:rsid w:val="00997EDA"/>
    <w:rsid w:val="009A1FD4"/>
    <w:rsid w:val="009A2F72"/>
    <w:rsid w:val="009A4BDE"/>
    <w:rsid w:val="009B6EEC"/>
    <w:rsid w:val="009D20EB"/>
    <w:rsid w:val="009E0C49"/>
    <w:rsid w:val="009E3692"/>
    <w:rsid w:val="009F39E4"/>
    <w:rsid w:val="009F684F"/>
    <w:rsid w:val="00A04404"/>
    <w:rsid w:val="00A04C0C"/>
    <w:rsid w:val="00A11278"/>
    <w:rsid w:val="00A14BE9"/>
    <w:rsid w:val="00A23102"/>
    <w:rsid w:val="00A279B2"/>
    <w:rsid w:val="00A475AB"/>
    <w:rsid w:val="00A53BB2"/>
    <w:rsid w:val="00A607B2"/>
    <w:rsid w:val="00A64837"/>
    <w:rsid w:val="00A76A73"/>
    <w:rsid w:val="00A910FA"/>
    <w:rsid w:val="00A97AFA"/>
    <w:rsid w:val="00AA4393"/>
    <w:rsid w:val="00AA44B0"/>
    <w:rsid w:val="00AA58B4"/>
    <w:rsid w:val="00AA6840"/>
    <w:rsid w:val="00AC635D"/>
    <w:rsid w:val="00AD12A7"/>
    <w:rsid w:val="00AE4B2D"/>
    <w:rsid w:val="00AE6CB5"/>
    <w:rsid w:val="00AF4AF2"/>
    <w:rsid w:val="00AF700D"/>
    <w:rsid w:val="00B1321E"/>
    <w:rsid w:val="00B15851"/>
    <w:rsid w:val="00B175E3"/>
    <w:rsid w:val="00B26B16"/>
    <w:rsid w:val="00B31BFF"/>
    <w:rsid w:val="00B3229B"/>
    <w:rsid w:val="00B45E6E"/>
    <w:rsid w:val="00B548F8"/>
    <w:rsid w:val="00B56273"/>
    <w:rsid w:val="00B73F44"/>
    <w:rsid w:val="00B81189"/>
    <w:rsid w:val="00BA18E2"/>
    <w:rsid w:val="00BA5412"/>
    <w:rsid w:val="00BA6B05"/>
    <w:rsid w:val="00BB07C3"/>
    <w:rsid w:val="00BB7754"/>
    <w:rsid w:val="00BC073C"/>
    <w:rsid w:val="00BC0964"/>
    <w:rsid w:val="00BD1D5C"/>
    <w:rsid w:val="00BD5E79"/>
    <w:rsid w:val="00BE2502"/>
    <w:rsid w:val="00BE4396"/>
    <w:rsid w:val="00BE4DED"/>
    <w:rsid w:val="00BF1C21"/>
    <w:rsid w:val="00BF2C07"/>
    <w:rsid w:val="00C10892"/>
    <w:rsid w:val="00C2524B"/>
    <w:rsid w:val="00C27C6D"/>
    <w:rsid w:val="00C32EAC"/>
    <w:rsid w:val="00C33767"/>
    <w:rsid w:val="00C40BED"/>
    <w:rsid w:val="00C46506"/>
    <w:rsid w:val="00C51CE0"/>
    <w:rsid w:val="00C53616"/>
    <w:rsid w:val="00C55E3F"/>
    <w:rsid w:val="00C63632"/>
    <w:rsid w:val="00C6652D"/>
    <w:rsid w:val="00C76B0C"/>
    <w:rsid w:val="00C77824"/>
    <w:rsid w:val="00C85F26"/>
    <w:rsid w:val="00CA01EB"/>
    <w:rsid w:val="00CA1C32"/>
    <w:rsid w:val="00CA2C1F"/>
    <w:rsid w:val="00CA6867"/>
    <w:rsid w:val="00CB1C88"/>
    <w:rsid w:val="00CC19DE"/>
    <w:rsid w:val="00CC4FDF"/>
    <w:rsid w:val="00CD42B2"/>
    <w:rsid w:val="00CE4126"/>
    <w:rsid w:val="00D02D10"/>
    <w:rsid w:val="00D03DDB"/>
    <w:rsid w:val="00D059F4"/>
    <w:rsid w:val="00D06BEA"/>
    <w:rsid w:val="00D06E6E"/>
    <w:rsid w:val="00D13BD5"/>
    <w:rsid w:val="00D1734D"/>
    <w:rsid w:val="00D22F53"/>
    <w:rsid w:val="00D276BE"/>
    <w:rsid w:val="00D30E95"/>
    <w:rsid w:val="00D342A6"/>
    <w:rsid w:val="00D438B7"/>
    <w:rsid w:val="00D44840"/>
    <w:rsid w:val="00D454D6"/>
    <w:rsid w:val="00D5042D"/>
    <w:rsid w:val="00D51E46"/>
    <w:rsid w:val="00D60A12"/>
    <w:rsid w:val="00D61FAD"/>
    <w:rsid w:val="00D81A8C"/>
    <w:rsid w:val="00D836DC"/>
    <w:rsid w:val="00D83BF3"/>
    <w:rsid w:val="00D854F7"/>
    <w:rsid w:val="00D9672C"/>
    <w:rsid w:val="00DA1EBE"/>
    <w:rsid w:val="00DB0D05"/>
    <w:rsid w:val="00DC29AB"/>
    <w:rsid w:val="00DD3B06"/>
    <w:rsid w:val="00DD7755"/>
    <w:rsid w:val="00DE5ACD"/>
    <w:rsid w:val="00DE6434"/>
    <w:rsid w:val="00DF6012"/>
    <w:rsid w:val="00E024CC"/>
    <w:rsid w:val="00E05622"/>
    <w:rsid w:val="00E15B69"/>
    <w:rsid w:val="00E17B23"/>
    <w:rsid w:val="00E20584"/>
    <w:rsid w:val="00E30C20"/>
    <w:rsid w:val="00E37575"/>
    <w:rsid w:val="00E37FCA"/>
    <w:rsid w:val="00E725C0"/>
    <w:rsid w:val="00E72D84"/>
    <w:rsid w:val="00E72E13"/>
    <w:rsid w:val="00E80A87"/>
    <w:rsid w:val="00E81B74"/>
    <w:rsid w:val="00E8576B"/>
    <w:rsid w:val="00E904EB"/>
    <w:rsid w:val="00E9172D"/>
    <w:rsid w:val="00EA2682"/>
    <w:rsid w:val="00EA4020"/>
    <w:rsid w:val="00EA5A2B"/>
    <w:rsid w:val="00EA6930"/>
    <w:rsid w:val="00EB29A2"/>
    <w:rsid w:val="00EB3DCC"/>
    <w:rsid w:val="00EB4508"/>
    <w:rsid w:val="00ED0D9A"/>
    <w:rsid w:val="00ED1E76"/>
    <w:rsid w:val="00EE361C"/>
    <w:rsid w:val="00EF1683"/>
    <w:rsid w:val="00F01CD0"/>
    <w:rsid w:val="00F34D9D"/>
    <w:rsid w:val="00F37E83"/>
    <w:rsid w:val="00F47594"/>
    <w:rsid w:val="00F53B14"/>
    <w:rsid w:val="00F53B4A"/>
    <w:rsid w:val="00F5500E"/>
    <w:rsid w:val="00F553A4"/>
    <w:rsid w:val="00F572F7"/>
    <w:rsid w:val="00F62E3C"/>
    <w:rsid w:val="00F647A7"/>
    <w:rsid w:val="00F664CD"/>
    <w:rsid w:val="00F70721"/>
    <w:rsid w:val="00F70A48"/>
    <w:rsid w:val="00F7688D"/>
    <w:rsid w:val="00F83481"/>
    <w:rsid w:val="00F836BA"/>
    <w:rsid w:val="00F848E6"/>
    <w:rsid w:val="00F93ECA"/>
    <w:rsid w:val="00F970E9"/>
    <w:rsid w:val="00FC10EB"/>
    <w:rsid w:val="00FC1DF2"/>
    <w:rsid w:val="00FC1F01"/>
    <w:rsid w:val="00FC54CF"/>
    <w:rsid w:val="00FC58D1"/>
    <w:rsid w:val="00FD4C5E"/>
    <w:rsid w:val="00FD65CF"/>
    <w:rsid w:val="00FE1135"/>
    <w:rsid w:val="00FE155A"/>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6AF02F47-7F7C-4D6D-BE2A-786A115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num" w:pos="360"/>
        <w:tab w:val="left" w:pos="1797"/>
      </w:tabs>
      <w:ind w:left="0" w:right="720" w:firstLine="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rsid w:val="001E7139"/>
    <w:pPr>
      <w:spacing w:line="240" w:lineRule="auto"/>
    </w:pPr>
    <w:rPr>
      <w:sz w:val="16"/>
      <w:szCs w:val="20"/>
    </w:rPr>
  </w:style>
  <w:style w:type="character" w:customStyle="1" w:styleId="CommentTextChar">
    <w:name w:val="Comment Text Char"/>
    <w:basedOn w:val="DefaultParagraphFont"/>
    <w:link w:val="CommentText"/>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BodyText">
    <w:name w:val="Body Text"/>
    <w:basedOn w:val="Normal"/>
    <w:link w:val="BodyTextChar"/>
    <w:rsid w:val="007D023A"/>
    <w:pPr>
      <w:spacing w:after="240"/>
      <w:ind w:firstLine="1440"/>
    </w:pPr>
    <w:rPr>
      <w:rFonts w:eastAsiaTheme="minorEastAsia"/>
      <w:sz w:val="24"/>
      <w:szCs w:val="24"/>
      <w:lang w:val="en-US" w:eastAsia="zh-CN"/>
    </w:rPr>
  </w:style>
  <w:style w:type="character" w:customStyle="1" w:styleId="BodyTextChar">
    <w:name w:val="Body Text Char"/>
    <w:basedOn w:val="DefaultParagraphFont"/>
    <w:link w:val="BodyText"/>
    <w:rsid w:val="007D023A"/>
    <w:rPr>
      <w:rFonts w:eastAsiaTheme="minorEastAsia"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9491">
      <w:bodyDiv w:val="1"/>
      <w:marLeft w:val="0"/>
      <w:marRight w:val="0"/>
      <w:marTop w:val="0"/>
      <w:marBottom w:val="0"/>
      <w:divBdr>
        <w:top w:val="none" w:sz="0" w:space="0" w:color="auto"/>
        <w:left w:val="none" w:sz="0" w:space="0" w:color="auto"/>
        <w:bottom w:val="none" w:sz="0" w:space="0" w:color="auto"/>
        <w:right w:val="none" w:sz="0" w:space="0" w:color="auto"/>
      </w:divBdr>
    </w:div>
    <w:div w:id="14521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ros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2" ma:contentTypeDescription="Create a new document." ma:contentTypeScope="" ma:versionID="9cac01fff653336af59b5189627da947">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a590057c4d0b260b656afb208a86339c"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3.xml><?xml version="1.0" encoding="utf-8"?>
<ds:datastoreItem xmlns:ds="http://schemas.openxmlformats.org/officeDocument/2006/customXml" ds:itemID="{0F3BBFCF-CF64-4DC2-8829-568BEB816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AECEBE-D751-44B6-A8E9-859D8A8EC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8ECD79-4C6E-4C4F-9055-217F26363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Tonilee Lutz</dc:creator>
  <cp:lastModifiedBy>Tonilee Lutz</cp:lastModifiedBy>
  <cp:revision>2</cp:revision>
  <cp:lastPrinted>2020-11-30T19:56:00Z</cp:lastPrinted>
  <dcterms:created xsi:type="dcterms:W3CDTF">2021-04-07T16:40:00Z</dcterms:created>
  <dcterms:modified xsi:type="dcterms:W3CDTF">2021-04-07T20:12:00Z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ies>
</file>