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FAFD2" w14:textId="77777777" w:rsidR="002F1E7D" w:rsidRPr="00C04E20" w:rsidRDefault="002F1E7D" w:rsidP="00D70EAE">
      <w:pPr>
        <w:rPr>
          <w:rFonts w:asciiTheme="minorHAnsi" w:hAnsiTheme="minorHAnsi" w:cs="Arial"/>
          <w:b/>
        </w:rPr>
      </w:pPr>
      <w:bookmarkStart w:id="0" w:name="_GoBack"/>
      <w:bookmarkEnd w:id="0"/>
    </w:p>
    <w:p w14:paraId="72383F62" w14:textId="77777777" w:rsidR="008E3064" w:rsidRDefault="008E3064" w:rsidP="00DF56FB">
      <w:pPr>
        <w:jc w:val="center"/>
        <w:rPr>
          <w:rFonts w:ascii="Arial" w:hAnsi="Arial" w:cs="Arial"/>
          <w:b/>
          <w:color w:val="595959" w:themeColor="text1" w:themeTint="A6"/>
          <w:sz w:val="28"/>
          <w:szCs w:val="24"/>
        </w:rPr>
      </w:pPr>
    </w:p>
    <w:p w14:paraId="5D9708B0" w14:textId="77777777" w:rsidR="008E3064" w:rsidRDefault="008E3064" w:rsidP="00DF56FB">
      <w:pPr>
        <w:jc w:val="center"/>
        <w:rPr>
          <w:rFonts w:ascii="Arial" w:hAnsi="Arial" w:cs="Arial"/>
          <w:b/>
          <w:color w:val="595959" w:themeColor="text1" w:themeTint="A6"/>
          <w:sz w:val="28"/>
          <w:szCs w:val="24"/>
        </w:rPr>
      </w:pPr>
    </w:p>
    <w:p w14:paraId="367308C1" w14:textId="77777777" w:rsidR="008E3064" w:rsidRDefault="008E3064" w:rsidP="00DF56FB">
      <w:pPr>
        <w:jc w:val="center"/>
        <w:rPr>
          <w:rFonts w:ascii="Arial" w:hAnsi="Arial" w:cs="Arial"/>
          <w:b/>
          <w:color w:val="595959" w:themeColor="text1" w:themeTint="A6"/>
          <w:sz w:val="28"/>
          <w:szCs w:val="24"/>
        </w:rPr>
      </w:pPr>
    </w:p>
    <w:p w14:paraId="62E8C582" w14:textId="1B20052B" w:rsidR="00A37D49" w:rsidRPr="008E3064" w:rsidRDefault="008E3064" w:rsidP="00DF56FB">
      <w:pPr>
        <w:jc w:val="center"/>
        <w:rPr>
          <w:rFonts w:ascii="Arial" w:hAnsi="Arial" w:cs="Arial"/>
          <w:b/>
          <w:color w:val="595959" w:themeColor="text1" w:themeTint="A6"/>
          <w:sz w:val="28"/>
          <w:szCs w:val="24"/>
        </w:rPr>
      </w:pPr>
      <w:r w:rsidRPr="008E3064">
        <w:rPr>
          <w:rFonts w:ascii="Arial" w:hAnsi="Arial" w:cs="Arial"/>
          <w:b/>
          <w:color w:val="595959" w:themeColor="text1" w:themeTint="A6"/>
          <w:sz w:val="28"/>
          <w:szCs w:val="24"/>
        </w:rPr>
        <w:t xml:space="preserve">Chiffre d’affaires 2016 </w:t>
      </w:r>
    </w:p>
    <w:p w14:paraId="16EDEB3D" w14:textId="77777777" w:rsidR="00DF56FB" w:rsidRPr="008E3064" w:rsidRDefault="00DF56FB" w:rsidP="00B27B62">
      <w:pPr>
        <w:jc w:val="center"/>
        <w:rPr>
          <w:rFonts w:ascii="Arial" w:hAnsi="Arial" w:cs="Arial"/>
          <w:b/>
          <w:color w:val="595959" w:themeColor="text1" w:themeTint="A6"/>
          <w:sz w:val="28"/>
          <w:szCs w:val="24"/>
        </w:rPr>
      </w:pPr>
    </w:p>
    <w:p w14:paraId="2E2247AE" w14:textId="7C3621DD" w:rsidR="00DF56FB" w:rsidRPr="008E3064" w:rsidRDefault="008E3064" w:rsidP="00B27B62">
      <w:pPr>
        <w:jc w:val="center"/>
        <w:rPr>
          <w:rFonts w:ascii="Arial" w:hAnsi="Arial" w:cs="Arial"/>
          <w:b/>
          <w:color w:val="595959" w:themeColor="text1" w:themeTint="A6"/>
          <w:sz w:val="28"/>
          <w:szCs w:val="24"/>
        </w:rPr>
      </w:pPr>
      <w:r w:rsidRPr="008E3064">
        <w:rPr>
          <w:rFonts w:ascii="Arial" w:hAnsi="Arial" w:cs="Arial"/>
          <w:b/>
          <w:color w:val="595959" w:themeColor="text1" w:themeTint="A6"/>
          <w:sz w:val="28"/>
          <w:szCs w:val="24"/>
        </w:rPr>
        <w:t>C</w:t>
      </w:r>
      <w:r w:rsidR="00DF56FB" w:rsidRPr="008E3064">
        <w:rPr>
          <w:rFonts w:ascii="Arial" w:hAnsi="Arial" w:cs="Arial"/>
          <w:b/>
          <w:color w:val="595959" w:themeColor="text1" w:themeTint="A6"/>
          <w:sz w:val="28"/>
          <w:szCs w:val="24"/>
        </w:rPr>
        <w:t xml:space="preserve">hiffre d’affaires à </w:t>
      </w:r>
      <w:r w:rsidR="00CE399A">
        <w:rPr>
          <w:rFonts w:ascii="Arial" w:hAnsi="Arial" w:cs="Arial"/>
          <w:b/>
          <w:color w:val="595959" w:themeColor="text1" w:themeTint="A6"/>
          <w:sz w:val="28"/>
          <w:szCs w:val="24"/>
        </w:rPr>
        <w:t>62,7</w:t>
      </w:r>
      <w:r w:rsidR="00257F30" w:rsidRPr="008E3064">
        <w:rPr>
          <w:rFonts w:ascii="Arial" w:hAnsi="Arial" w:cs="Arial"/>
          <w:b/>
          <w:color w:val="595959" w:themeColor="text1" w:themeTint="A6"/>
          <w:sz w:val="28"/>
          <w:szCs w:val="24"/>
        </w:rPr>
        <w:t xml:space="preserve"> </w:t>
      </w:r>
      <w:r w:rsidR="00CE399A">
        <w:rPr>
          <w:rFonts w:ascii="Arial" w:hAnsi="Arial" w:cs="Arial"/>
          <w:b/>
          <w:color w:val="595959" w:themeColor="text1" w:themeTint="A6"/>
          <w:sz w:val="28"/>
          <w:szCs w:val="24"/>
        </w:rPr>
        <w:t>M€ en croissance de 10</w:t>
      </w:r>
      <w:r w:rsidR="00800F4D" w:rsidRPr="008E3064">
        <w:rPr>
          <w:rFonts w:ascii="Arial" w:hAnsi="Arial" w:cs="Arial"/>
          <w:b/>
          <w:color w:val="595959" w:themeColor="text1" w:themeTint="A6"/>
          <w:sz w:val="28"/>
          <w:szCs w:val="24"/>
        </w:rPr>
        <w:t>,</w:t>
      </w:r>
      <w:r w:rsidR="00A42151">
        <w:rPr>
          <w:rFonts w:ascii="Arial" w:hAnsi="Arial" w:cs="Arial"/>
          <w:b/>
          <w:color w:val="595959" w:themeColor="text1" w:themeTint="A6"/>
          <w:sz w:val="28"/>
          <w:szCs w:val="24"/>
        </w:rPr>
        <w:t>4</w:t>
      </w:r>
      <w:r w:rsidR="00DF56FB" w:rsidRPr="008E3064">
        <w:rPr>
          <w:rFonts w:ascii="Arial" w:hAnsi="Arial" w:cs="Arial"/>
          <w:b/>
          <w:color w:val="595959" w:themeColor="text1" w:themeTint="A6"/>
          <w:sz w:val="28"/>
          <w:szCs w:val="24"/>
        </w:rPr>
        <w:t>%</w:t>
      </w:r>
    </w:p>
    <w:p w14:paraId="222CE77F" w14:textId="77777777" w:rsidR="002F1E7D" w:rsidRPr="00FE62B1" w:rsidRDefault="002F1E7D" w:rsidP="00B27B62">
      <w:pPr>
        <w:rPr>
          <w:rFonts w:ascii="Arial" w:hAnsi="Arial" w:cs="Arial"/>
          <w:b/>
        </w:rPr>
      </w:pPr>
    </w:p>
    <w:p w14:paraId="345D28C4" w14:textId="77777777" w:rsidR="00341DE0" w:rsidRDefault="00341DE0" w:rsidP="00B27B62">
      <w:pPr>
        <w:jc w:val="both"/>
        <w:rPr>
          <w:rFonts w:ascii="Arial" w:hAnsi="Arial" w:cs="Arial"/>
          <w:bCs/>
          <w:sz w:val="16"/>
          <w:szCs w:val="16"/>
        </w:rPr>
      </w:pPr>
    </w:p>
    <w:p w14:paraId="1334E7AB" w14:textId="77777777" w:rsidR="008E3064" w:rsidRDefault="008E3064" w:rsidP="00B27B62">
      <w:pPr>
        <w:jc w:val="both"/>
        <w:rPr>
          <w:rFonts w:ascii="Arial" w:hAnsi="Arial" w:cs="Arial"/>
          <w:sz w:val="24"/>
          <w:szCs w:val="24"/>
        </w:rPr>
      </w:pPr>
    </w:p>
    <w:p w14:paraId="21D68769" w14:textId="77777777" w:rsidR="008E3064" w:rsidRDefault="008E3064" w:rsidP="00B27B62">
      <w:pPr>
        <w:jc w:val="both"/>
        <w:rPr>
          <w:rFonts w:ascii="Arial" w:hAnsi="Arial" w:cs="Arial"/>
          <w:sz w:val="24"/>
          <w:szCs w:val="24"/>
        </w:rPr>
      </w:pPr>
    </w:p>
    <w:p w14:paraId="5E4E0120" w14:textId="43BE0921" w:rsidR="002D6FEE" w:rsidRPr="00773B48" w:rsidRDefault="00341DE0" w:rsidP="00B27B62">
      <w:pPr>
        <w:jc w:val="both"/>
        <w:rPr>
          <w:rFonts w:ascii="Arial" w:hAnsi="Arial" w:cs="Arial"/>
          <w:sz w:val="22"/>
          <w:szCs w:val="24"/>
        </w:rPr>
      </w:pPr>
      <w:r w:rsidRPr="00773B48">
        <w:rPr>
          <w:rFonts w:ascii="Arial" w:hAnsi="Arial" w:cs="Arial"/>
          <w:sz w:val="22"/>
          <w:szCs w:val="24"/>
        </w:rPr>
        <w:t>Nizerolles</w:t>
      </w:r>
      <w:r w:rsidR="00A37D49" w:rsidRPr="00773B48">
        <w:rPr>
          <w:rFonts w:ascii="Arial" w:hAnsi="Arial" w:cs="Arial"/>
          <w:sz w:val="22"/>
          <w:szCs w:val="24"/>
        </w:rPr>
        <w:t xml:space="preserve">, le </w:t>
      </w:r>
      <w:r w:rsidR="008E3064" w:rsidRPr="00773B48">
        <w:rPr>
          <w:rFonts w:ascii="Arial" w:hAnsi="Arial" w:cs="Arial"/>
          <w:sz w:val="22"/>
          <w:szCs w:val="24"/>
        </w:rPr>
        <w:t>3</w:t>
      </w:r>
      <w:r w:rsidR="007D4F44">
        <w:rPr>
          <w:rFonts w:ascii="Arial" w:hAnsi="Arial" w:cs="Arial"/>
          <w:sz w:val="22"/>
          <w:szCs w:val="24"/>
        </w:rPr>
        <w:t>0</w:t>
      </w:r>
      <w:r w:rsidR="008E3064" w:rsidRPr="00773B48">
        <w:rPr>
          <w:rFonts w:ascii="Arial" w:hAnsi="Arial" w:cs="Arial"/>
          <w:sz w:val="22"/>
          <w:szCs w:val="24"/>
        </w:rPr>
        <w:t xml:space="preserve"> janvier 2017</w:t>
      </w:r>
      <w:r w:rsidR="002D6FEE" w:rsidRPr="00773B48">
        <w:rPr>
          <w:rFonts w:ascii="Arial" w:hAnsi="Arial" w:cs="Arial"/>
          <w:sz w:val="22"/>
          <w:szCs w:val="24"/>
        </w:rPr>
        <w:t>. NSE</w:t>
      </w:r>
      <w:r w:rsidR="00CE399A" w:rsidRPr="00773B48">
        <w:rPr>
          <w:rFonts w:ascii="Arial" w:hAnsi="Arial" w:cs="Arial"/>
          <w:sz w:val="22"/>
          <w:szCs w:val="24"/>
        </w:rPr>
        <w:t xml:space="preserve">, </w:t>
      </w:r>
      <w:r w:rsidR="00ED7B26" w:rsidRPr="00773B48">
        <w:rPr>
          <w:rFonts w:ascii="Arial" w:hAnsi="Arial" w:cs="Arial"/>
          <w:sz w:val="22"/>
          <w:szCs w:val="24"/>
        </w:rPr>
        <w:t>est coté</w:t>
      </w:r>
      <w:r w:rsidR="002D6FEE" w:rsidRPr="00773B48">
        <w:rPr>
          <w:rFonts w:ascii="Arial" w:hAnsi="Arial" w:cs="Arial"/>
          <w:sz w:val="22"/>
          <w:szCs w:val="24"/>
        </w:rPr>
        <w:t xml:space="preserve"> </w:t>
      </w:r>
      <w:r w:rsidR="00EB7F6F" w:rsidRPr="00773B48">
        <w:rPr>
          <w:rFonts w:ascii="Arial" w:hAnsi="Arial" w:cs="Arial"/>
          <w:sz w:val="22"/>
          <w:szCs w:val="24"/>
        </w:rPr>
        <w:t xml:space="preserve">sur </w:t>
      </w:r>
      <w:r w:rsidR="00ED7B26" w:rsidRPr="00773B48">
        <w:rPr>
          <w:rFonts w:ascii="Arial" w:hAnsi="Arial" w:cs="Arial"/>
          <w:sz w:val="22"/>
          <w:szCs w:val="24"/>
        </w:rPr>
        <w:t xml:space="preserve">le marché </w:t>
      </w:r>
      <w:r w:rsidR="00EB7F6F" w:rsidRPr="00773B48">
        <w:rPr>
          <w:rFonts w:ascii="Arial" w:hAnsi="Arial" w:cs="Arial"/>
          <w:sz w:val="22"/>
          <w:szCs w:val="24"/>
        </w:rPr>
        <w:t xml:space="preserve">Alternext d’Euronext </w:t>
      </w:r>
      <w:r w:rsidR="00ED7B26" w:rsidRPr="00773B48">
        <w:rPr>
          <w:rFonts w:ascii="Arial" w:hAnsi="Arial" w:cs="Arial"/>
          <w:sz w:val="22"/>
          <w:szCs w:val="24"/>
        </w:rPr>
        <w:t xml:space="preserve">à </w:t>
      </w:r>
      <w:r w:rsidR="00EB7F6F" w:rsidRPr="00773B48">
        <w:rPr>
          <w:rFonts w:ascii="Arial" w:hAnsi="Arial" w:cs="Arial"/>
          <w:sz w:val="22"/>
          <w:szCs w:val="24"/>
        </w:rPr>
        <w:t>Paris</w:t>
      </w:r>
      <w:r w:rsidR="00ED7B26" w:rsidRPr="00773B48">
        <w:rPr>
          <w:rFonts w:ascii="Arial" w:hAnsi="Arial" w:cs="Arial"/>
          <w:sz w:val="22"/>
          <w:szCs w:val="24"/>
        </w:rPr>
        <w:t xml:space="preserve">. </w:t>
      </w:r>
    </w:p>
    <w:p w14:paraId="1D167537" w14:textId="139A6D65" w:rsidR="00CE399A" w:rsidRPr="00773B48" w:rsidRDefault="00CE399A" w:rsidP="00B27B62">
      <w:pPr>
        <w:jc w:val="both"/>
        <w:rPr>
          <w:rFonts w:ascii="Arial" w:hAnsi="Arial" w:cs="Arial"/>
          <w:sz w:val="22"/>
          <w:szCs w:val="24"/>
        </w:rPr>
      </w:pPr>
    </w:p>
    <w:p w14:paraId="7920E6E6" w14:textId="313B6701" w:rsidR="009D4017" w:rsidRPr="00773B48" w:rsidRDefault="009D4017" w:rsidP="008543FC">
      <w:pPr>
        <w:autoSpaceDE w:val="0"/>
        <w:autoSpaceDN w:val="0"/>
        <w:adjustRightInd w:val="0"/>
        <w:jc w:val="both"/>
        <w:rPr>
          <w:rFonts w:ascii="Arial" w:hAnsi="Arial" w:cs="Arial"/>
          <w:b/>
          <w:iCs/>
          <w:color w:val="002060"/>
          <w:sz w:val="22"/>
        </w:rPr>
      </w:pPr>
    </w:p>
    <w:p w14:paraId="0B2F669C" w14:textId="14C99D60" w:rsidR="00BD2EF8" w:rsidRPr="00026E95" w:rsidRDefault="00420F9D" w:rsidP="008543FC">
      <w:pPr>
        <w:autoSpaceDE w:val="0"/>
        <w:autoSpaceDN w:val="0"/>
        <w:adjustRightInd w:val="0"/>
        <w:jc w:val="both"/>
        <w:rPr>
          <w:rFonts w:ascii="Arial" w:hAnsi="Arial" w:cs="Arial"/>
          <w:b/>
          <w:sz w:val="22"/>
          <w:szCs w:val="24"/>
        </w:rPr>
      </w:pPr>
      <w:r>
        <w:rPr>
          <w:rFonts w:ascii="Arial" w:hAnsi="Arial" w:cs="Arial"/>
          <w:b/>
          <w:sz w:val="22"/>
          <w:szCs w:val="24"/>
        </w:rPr>
        <w:t>C</w:t>
      </w:r>
      <w:r w:rsidR="00773B48" w:rsidRPr="00026E95">
        <w:rPr>
          <w:rFonts w:ascii="Arial" w:hAnsi="Arial" w:cs="Arial"/>
          <w:b/>
          <w:sz w:val="22"/>
          <w:szCs w:val="24"/>
        </w:rPr>
        <w:t xml:space="preserve">onformément à ses attentes, </w:t>
      </w:r>
      <w:r w:rsidR="00D06A3E" w:rsidRPr="00026E95">
        <w:rPr>
          <w:rFonts w:ascii="Arial" w:hAnsi="Arial" w:cs="Arial"/>
          <w:b/>
          <w:sz w:val="22"/>
          <w:szCs w:val="24"/>
        </w:rPr>
        <w:t>NSE annonce un</w:t>
      </w:r>
      <w:r w:rsidR="00BD2EF8" w:rsidRPr="00026E95">
        <w:rPr>
          <w:rFonts w:ascii="Arial" w:hAnsi="Arial" w:cs="Arial"/>
          <w:b/>
          <w:sz w:val="22"/>
          <w:szCs w:val="24"/>
        </w:rPr>
        <w:t xml:space="preserve"> chiffre d’affaires </w:t>
      </w:r>
      <w:r w:rsidR="00773B48" w:rsidRPr="00026E95">
        <w:rPr>
          <w:rFonts w:ascii="Arial" w:hAnsi="Arial" w:cs="Arial"/>
          <w:b/>
          <w:sz w:val="22"/>
          <w:szCs w:val="24"/>
        </w:rPr>
        <w:t xml:space="preserve">consolidé 2016 </w:t>
      </w:r>
      <w:r w:rsidR="00BD2EF8" w:rsidRPr="00026E95">
        <w:rPr>
          <w:rFonts w:ascii="Arial" w:hAnsi="Arial" w:cs="Arial"/>
          <w:b/>
          <w:sz w:val="22"/>
          <w:szCs w:val="24"/>
        </w:rPr>
        <w:t>en progression de 10,5%</w:t>
      </w:r>
      <w:r w:rsidR="00773B48" w:rsidRPr="00026E95">
        <w:rPr>
          <w:rFonts w:ascii="Arial" w:hAnsi="Arial" w:cs="Arial"/>
          <w:b/>
          <w:sz w:val="22"/>
          <w:szCs w:val="24"/>
        </w:rPr>
        <w:t xml:space="preserve"> par rapport à l’année précédente, à 62,7M€</w:t>
      </w:r>
      <w:r w:rsidR="00BD2EF8" w:rsidRPr="00026E95">
        <w:rPr>
          <w:rFonts w:ascii="Arial" w:hAnsi="Arial" w:cs="Arial"/>
          <w:b/>
          <w:sz w:val="22"/>
          <w:szCs w:val="24"/>
        </w:rPr>
        <w:t>.</w:t>
      </w:r>
      <w:r w:rsidR="00773B48" w:rsidRPr="00026E95">
        <w:rPr>
          <w:rFonts w:ascii="Arial" w:hAnsi="Arial" w:cs="Arial"/>
          <w:b/>
          <w:sz w:val="22"/>
          <w:szCs w:val="24"/>
        </w:rPr>
        <w:t xml:space="preserve"> En ligne avec sa stratégie, le Groupe développe </w:t>
      </w:r>
      <w:r w:rsidR="00FB192F" w:rsidRPr="00026E95">
        <w:rPr>
          <w:rFonts w:ascii="Arial" w:hAnsi="Arial" w:cs="Arial"/>
          <w:b/>
          <w:sz w:val="22"/>
          <w:szCs w:val="24"/>
        </w:rPr>
        <w:t xml:space="preserve">auprès des grands donneurs d’ordre de l’aéronautique, de la défense et de l’industrie </w:t>
      </w:r>
      <w:r>
        <w:rPr>
          <w:rFonts w:ascii="Arial" w:hAnsi="Arial" w:cs="Arial"/>
          <w:b/>
          <w:sz w:val="22"/>
          <w:szCs w:val="24"/>
        </w:rPr>
        <w:t>ses leviers</w:t>
      </w:r>
      <w:r w:rsidR="00026E95" w:rsidRPr="00026E95">
        <w:rPr>
          <w:rFonts w:ascii="Arial" w:hAnsi="Arial" w:cs="Arial"/>
          <w:b/>
          <w:sz w:val="22"/>
          <w:szCs w:val="24"/>
        </w:rPr>
        <w:t xml:space="preserve"> de croissance </w:t>
      </w:r>
      <w:r w:rsidR="00773B48" w:rsidRPr="00026E95">
        <w:rPr>
          <w:rFonts w:ascii="Arial" w:hAnsi="Arial" w:cs="Arial"/>
          <w:b/>
          <w:sz w:val="22"/>
          <w:szCs w:val="24"/>
        </w:rPr>
        <w:t xml:space="preserve">: </w:t>
      </w:r>
      <w:r>
        <w:rPr>
          <w:rFonts w:ascii="Arial" w:hAnsi="Arial" w:cs="Arial"/>
          <w:b/>
          <w:sz w:val="22"/>
          <w:szCs w:val="24"/>
        </w:rPr>
        <w:t>développement d</w:t>
      </w:r>
      <w:r w:rsidR="00773B48" w:rsidRPr="00026E95">
        <w:rPr>
          <w:rFonts w:ascii="Arial" w:hAnsi="Arial" w:cs="Arial"/>
          <w:b/>
          <w:sz w:val="22"/>
          <w:szCs w:val="24"/>
        </w:rPr>
        <w:t>es services</w:t>
      </w:r>
      <w:r w:rsidR="00FB192F" w:rsidRPr="00026E95">
        <w:rPr>
          <w:rFonts w:ascii="Arial" w:hAnsi="Arial" w:cs="Arial"/>
          <w:b/>
          <w:sz w:val="22"/>
          <w:szCs w:val="24"/>
        </w:rPr>
        <w:t xml:space="preserve"> et </w:t>
      </w:r>
      <w:r>
        <w:rPr>
          <w:rFonts w:ascii="Arial" w:hAnsi="Arial" w:cs="Arial"/>
          <w:b/>
          <w:sz w:val="22"/>
          <w:szCs w:val="24"/>
        </w:rPr>
        <w:t xml:space="preserve">accompagnement </w:t>
      </w:r>
      <w:r w:rsidR="00026E95" w:rsidRPr="00026E95">
        <w:rPr>
          <w:rFonts w:ascii="Arial" w:hAnsi="Arial" w:cs="Arial"/>
          <w:b/>
          <w:sz w:val="22"/>
          <w:szCs w:val="24"/>
        </w:rPr>
        <w:t xml:space="preserve">à l’international. </w:t>
      </w:r>
    </w:p>
    <w:p w14:paraId="6CE828AB" w14:textId="49209861" w:rsidR="00BD2EF8" w:rsidRPr="00773B48" w:rsidRDefault="00BD2EF8" w:rsidP="008543FC">
      <w:pPr>
        <w:autoSpaceDE w:val="0"/>
        <w:autoSpaceDN w:val="0"/>
        <w:adjustRightInd w:val="0"/>
        <w:jc w:val="both"/>
        <w:rPr>
          <w:rFonts w:ascii="Arial" w:hAnsi="Arial" w:cs="Arial"/>
          <w:sz w:val="22"/>
          <w:szCs w:val="24"/>
        </w:rPr>
      </w:pPr>
    </w:p>
    <w:p w14:paraId="4D6C8FA7" w14:textId="77777777" w:rsidR="00D06A3E" w:rsidRPr="00773B48" w:rsidRDefault="00D06A3E" w:rsidP="00D06A3E">
      <w:pPr>
        <w:autoSpaceDE w:val="0"/>
        <w:autoSpaceDN w:val="0"/>
        <w:adjustRightInd w:val="0"/>
        <w:jc w:val="both"/>
        <w:rPr>
          <w:rFonts w:ascii="Arial" w:hAnsi="Arial" w:cs="Arial"/>
          <w:b/>
          <w:iCs/>
          <w:color w:val="002060"/>
          <w:sz w:val="22"/>
        </w:rPr>
      </w:pPr>
      <w:r w:rsidRPr="00773B48">
        <w:rPr>
          <w:rFonts w:ascii="Arial" w:hAnsi="Arial" w:cs="Arial"/>
          <w:b/>
          <w:iCs/>
          <w:color w:val="002060"/>
          <w:sz w:val="22"/>
        </w:rPr>
        <w:t xml:space="preserve">Chiffres d’affaires 2016 (non audité) – en M€ </w:t>
      </w:r>
    </w:p>
    <w:p w14:paraId="46D8E0DC" w14:textId="77777777" w:rsidR="00D06A3E" w:rsidRDefault="00D06A3E" w:rsidP="008543FC">
      <w:pPr>
        <w:autoSpaceDE w:val="0"/>
        <w:autoSpaceDN w:val="0"/>
        <w:adjustRightInd w:val="0"/>
        <w:jc w:val="both"/>
        <w:rPr>
          <w:rFonts w:ascii="Arial" w:hAnsi="Arial" w:cs="Arial"/>
          <w:sz w:val="24"/>
          <w:szCs w:val="24"/>
        </w:rPr>
      </w:pPr>
    </w:p>
    <w:p w14:paraId="724BBA49" w14:textId="6C711BEA" w:rsidR="00BD2EF8" w:rsidRPr="00BD2EF8" w:rsidRDefault="00BD2EF8" w:rsidP="00BD2EF8">
      <w:pPr>
        <w:autoSpaceDE w:val="0"/>
        <w:autoSpaceDN w:val="0"/>
        <w:adjustRightInd w:val="0"/>
        <w:jc w:val="both"/>
        <w:rPr>
          <w:rFonts w:ascii="Arial" w:hAnsi="Arial" w:cs="Arial"/>
          <w:sz w:val="18"/>
          <w:szCs w:val="24"/>
        </w:rPr>
      </w:pPr>
      <w:r w:rsidRPr="00DB0315">
        <w:rPr>
          <w:rFonts w:ascii="Arial" w:hAnsi="Arial" w:cs="Arial"/>
          <w:sz w:val="18"/>
          <w:szCs w:val="24"/>
        </w:rPr>
        <w:t>Le conseil d’administration de NSE qui s’est tenu le</w:t>
      </w:r>
      <w:r w:rsidR="00954B20" w:rsidRPr="00DB0315">
        <w:rPr>
          <w:rFonts w:ascii="Arial" w:hAnsi="Arial" w:cs="Arial"/>
          <w:sz w:val="18"/>
          <w:szCs w:val="24"/>
        </w:rPr>
        <w:t xml:space="preserve"> 3</w:t>
      </w:r>
      <w:r w:rsidR="007D4F44">
        <w:rPr>
          <w:rFonts w:ascii="Arial" w:hAnsi="Arial" w:cs="Arial"/>
          <w:sz w:val="18"/>
          <w:szCs w:val="24"/>
        </w:rPr>
        <w:t>0</w:t>
      </w:r>
      <w:r w:rsidRPr="00DB0315">
        <w:rPr>
          <w:rFonts w:ascii="Arial" w:hAnsi="Arial" w:cs="Arial"/>
          <w:sz w:val="18"/>
          <w:szCs w:val="24"/>
        </w:rPr>
        <w:t xml:space="preserve"> janvier 2017 a arrêté le chiffre d’affaires de l’</w:t>
      </w:r>
      <w:r w:rsidR="00C36E42" w:rsidRPr="00DB0315">
        <w:rPr>
          <w:rFonts w:ascii="Arial" w:hAnsi="Arial" w:cs="Arial"/>
          <w:sz w:val="18"/>
          <w:szCs w:val="24"/>
        </w:rPr>
        <w:t>année 2016</w:t>
      </w:r>
      <w:r w:rsidRPr="00DB0315">
        <w:rPr>
          <w:rFonts w:ascii="Arial" w:hAnsi="Arial" w:cs="Arial"/>
          <w:sz w:val="18"/>
          <w:szCs w:val="24"/>
        </w:rPr>
        <w:t>.</w:t>
      </w:r>
      <w:r w:rsidRPr="00BD2EF8">
        <w:rPr>
          <w:rFonts w:ascii="Arial" w:hAnsi="Arial" w:cs="Arial"/>
          <w:sz w:val="18"/>
          <w:szCs w:val="24"/>
        </w:rPr>
        <w:t xml:space="preserve"> </w:t>
      </w:r>
    </w:p>
    <w:p w14:paraId="6D9D9EAF" w14:textId="340673E1" w:rsidR="008543FC" w:rsidRDefault="008543FC" w:rsidP="008543FC">
      <w:pPr>
        <w:jc w:val="both"/>
        <w:rPr>
          <w:rFonts w:asciiTheme="minorHAnsi" w:hAnsiTheme="minorHAnsi"/>
          <w:sz w:val="24"/>
          <w:szCs w:val="24"/>
        </w:rPr>
      </w:pPr>
    </w:p>
    <w:tbl>
      <w:tblPr>
        <w:tblStyle w:val="TableauGrille4-Accentuation5"/>
        <w:tblW w:w="9639" w:type="dxa"/>
        <w:tblLook w:val="0620" w:firstRow="1" w:lastRow="0" w:firstColumn="0" w:lastColumn="0" w:noHBand="1" w:noVBand="1"/>
      </w:tblPr>
      <w:tblGrid>
        <w:gridCol w:w="2405"/>
        <w:gridCol w:w="1418"/>
        <w:gridCol w:w="1417"/>
        <w:gridCol w:w="1276"/>
        <w:gridCol w:w="1276"/>
        <w:gridCol w:w="1847"/>
      </w:tblGrid>
      <w:tr w:rsidR="009827F4" w:rsidRPr="00E17989" w14:paraId="4BC327F2" w14:textId="77777777" w:rsidTr="00C501A0">
        <w:trPr>
          <w:cnfStyle w:val="100000000000" w:firstRow="1" w:lastRow="0" w:firstColumn="0" w:lastColumn="0" w:oddVBand="0" w:evenVBand="0" w:oddHBand="0" w:evenHBand="0" w:firstRowFirstColumn="0" w:firstRowLastColumn="0" w:lastRowFirstColumn="0" w:lastRowLastColumn="0"/>
          <w:trHeight w:val="541"/>
        </w:trPr>
        <w:tc>
          <w:tcPr>
            <w:tcW w:w="2405" w:type="dxa"/>
            <w:shd w:val="clear" w:color="auto" w:fill="0070C0"/>
            <w:noWrap/>
          </w:tcPr>
          <w:p w14:paraId="21A4B9FF" w14:textId="77777777" w:rsidR="009827F4" w:rsidRPr="00DB0315" w:rsidRDefault="009827F4" w:rsidP="00C501A0">
            <w:pPr>
              <w:rPr>
                <w:rFonts w:ascii="Arial" w:hAnsi="Arial" w:cs="Arial"/>
              </w:rPr>
            </w:pPr>
            <w:r w:rsidRPr="00DB0315">
              <w:rPr>
                <w:rFonts w:ascii="Arial" w:hAnsi="Arial" w:cs="Arial"/>
              </w:rPr>
              <w:t>Chiffre d’affaires consolidé</w:t>
            </w:r>
          </w:p>
        </w:tc>
        <w:tc>
          <w:tcPr>
            <w:tcW w:w="1418" w:type="dxa"/>
            <w:shd w:val="clear" w:color="auto" w:fill="0070C0"/>
            <w:noWrap/>
          </w:tcPr>
          <w:p w14:paraId="478021F6" w14:textId="2CA958A9" w:rsidR="009827F4" w:rsidRPr="00DB0315" w:rsidRDefault="009827F4" w:rsidP="00C501A0">
            <w:pPr>
              <w:jc w:val="center"/>
              <w:rPr>
                <w:rFonts w:ascii="Arial" w:hAnsi="Arial" w:cs="Arial"/>
              </w:rPr>
            </w:pPr>
            <w:r w:rsidRPr="00DB0315">
              <w:rPr>
                <w:rFonts w:ascii="Arial" w:hAnsi="Arial" w:cs="Arial"/>
              </w:rPr>
              <w:t>2016</w:t>
            </w:r>
          </w:p>
        </w:tc>
        <w:tc>
          <w:tcPr>
            <w:tcW w:w="1417" w:type="dxa"/>
            <w:shd w:val="clear" w:color="auto" w:fill="0070C0"/>
            <w:noWrap/>
          </w:tcPr>
          <w:p w14:paraId="19A3A84C" w14:textId="77777777" w:rsidR="009827F4" w:rsidRPr="00DB0315" w:rsidRDefault="009827F4" w:rsidP="00C501A0">
            <w:pPr>
              <w:jc w:val="center"/>
              <w:rPr>
                <w:rFonts w:ascii="Arial" w:hAnsi="Arial" w:cs="Arial"/>
              </w:rPr>
            </w:pPr>
            <w:r w:rsidRPr="00DB0315">
              <w:rPr>
                <w:rFonts w:ascii="Arial" w:hAnsi="Arial" w:cs="Arial"/>
              </w:rPr>
              <w:t>% CA</w:t>
            </w:r>
          </w:p>
        </w:tc>
        <w:tc>
          <w:tcPr>
            <w:tcW w:w="1276" w:type="dxa"/>
            <w:shd w:val="clear" w:color="auto" w:fill="0070C0"/>
            <w:noWrap/>
          </w:tcPr>
          <w:p w14:paraId="367C1B7D" w14:textId="77777777" w:rsidR="009827F4" w:rsidRPr="00DB0315" w:rsidRDefault="009827F4" w:rsidP="00C501A0">
            <w:pPr>
              <w:jc w:val="center"/>
              <w:rPr>
                <w:rFonts w:ascii="Arial" w:hAnsi="Arial" w:cs="Arial"/>
              </w:rPr>
            </w:pPr>
            <w:r w:rsidRPr="00DB0315">
              <w:rPr>
                <w:rFonts w:ascii="Arial" w:hAnsi="Arial" w:cs="Arial"/>
              </w:rPr>
              <w:t>2015</w:t>
            </w:r>
          </w:p>
        </w:tc>
        <w:tc>
          <w:tcPr>
            <w:tcW w:w="1276" w:type="dxa"/>
            <w:shd w:val="clear" w:color="auto" w:fill="0070C0"/>
            <w:noWrap/>
          </w:tcPr>
          <w:p w14:paraId="523766DF" w14:textId="77777777" w:rsidR="009827F4" w:rsidRPr="00DB0315" w:rsidRDefault="009827F4" w:rsidP="00C501A0">
            <w:pPr>
              <w:jc w:val="center"/>
              <w:rPr>
                <w:rFonts w:ascii="Arial" w:hAnsi="Arial" w:cs="Arial"/>
              </w:rPr>
            </w:pPr>
            <w:r w:rsidRPr="00DB0315">
              <w:rPr>
                <w:rFonts w:ascii="Arial" w:hAnsi="Arial" w:cs="Arial"/>
              </w:rPr>
              <w:t>% CA</w:t>
            </w:r>
          </w:p>
        </w:tc>
        <w:tc>
          <w:tcPr>
            <w:tcW w:w="1847" w:type="dxa"/>
            <w:shd w:val="clear" w:color="auto" w:fill="0070C0"/>
            <w:noWrap/>
          </w:tcPr>
          <w:p w14:paraId="32725866" w14:textId="77777777" w:rsidR="009827F4" w:rsidRPr="00DB0315" w:rsidRDefault="009827F4" w:rsidP="00C501A0">
            <w:pPr>
              <w:jc w:val="center"/>
              <w:rPr>
                <w:rFonts w:ascii="Arial" w:hAnsi="Arial" w:cs="Arial"/>
                <w:bCs w:val="0"/>
              </w:rPr>
            </w:pPr>
            <w:r w:rsidRPr="00DB0315">
              <w:rPr>
                <w:rFonts w:ascii="Arial" w:hAnsi="Arial" w:cs="Arial"/>
                <w:bCs w:val="0"/>
              </w:rPr>
              <w:t>Variation</w:t>
            </w:r>
            <w:r w:rsidRPr="00DB0315">
              <w:rPr>
                <w:rStyle w:val="Appelnotedebasdep"/>
                <w:rFonts w:ascii="Arial" w:hAnsi="Arial" w:cs="Arial"/>
              </w:rPr>
              <w:t>*</w:t>
            </w:r>
          </w:p>
          <w:p w14:paraId="67B5FD4C" w14:textId="77777777" w:rsidR="009827F4" w:rsidRPr="00DB0315" w:rsidRDefault="009827F4" w:rsidP="00C501A0">
            <w:pPr>
              <w:jc w:val="center"/>
              <w:rPr>
                <w:rFonts w:ascii="Arial" w:hAnsi="Arial" w:cs="Arial"/>
                <w:bCs w:val="0"/>
              </w:rPr>
            </w:pPr>
            <w:r w:rsidRPr="00DB0315">
              <w:rPr>
                <w:rFonts w:ascii="Arial" w:hAnsi="Arial" w:cs="Arial"/>
                <w:bCs w:val="0"/>
              </w:rPr>
              <w:t>2016/2015</w:t>
            </w:r>
          </w:p>
        </w:tc>
      </w:tr>
      <w:tr w:rsidR="009827F4" w:rsidRPr="00E17989" w14:paraId="4B89544D" w14:textId="77777777" w:rsidTr="00C501A0">
        <w:trPr>
          <w:trHeight w:val="312"/>
        </w:trPr>
        <w:tc>
          <w:tcPr>
            <w:tcW w:w="2405" w:type="dxa"/>
            <w:noWrap/>
            <w:hideMark/>
          </w:tcPr>
          <w:p w14:paraId="18E058DE" w14:textId="5EF15FDF" w:rsidR="009827F4" w:rsidRPr="00DB0315" w:rsidRDefault="009827F4" w:rsidP="00C501A0">
            <w:pPr>
              <w:rPr>
                <w:rFonts w:ascii="Arial" w:hAnsi="Arial" w:cs="Arial"/>
                <w:color w:val="000000"/>
              </w:rPr>
            </w:pPr>
            <w:r w:rsidRPr="00DB0315">
              <w:rPr>
                <w:rFonts w:ascii="Arial" w:hAnsi="Arial" w:cs="Arial"/>
                <w:color w:val="000000"/>
              </w:rPr>
              <w:t>Conception</w:t>
            </w:r>
            <w:r w:rsidR="00671F2E" w:rsidRPr="00DB0315">
              <w:rPr>
                <w:rFonts w:ascii="Arial" w:hAnsi="Arial" w:cs="Arial"/>
                <w:color w:val="000000"/>
              </w:rPr>
              <w:t xml:space="preserve"> (*)</w:t>
            </w:r>
          </w:p>
        </w:tc>
        <w:tc>
          <w:tcPr>
            <w:tcW w:w="1418" w:type="dxa"/>
            <w:noWrap/>
          </w:tcPr>
          <w:p w14:paraId="71BDE9FA" w14:textId="4A48D38C" w:rsidR="009827F4" w:rsidRPr="00DB0315" w:rsidRDefault="009827F4" w:rsidP="00820CFC">
            <w:pPr>
              <w:ind w:left="606"/>
              <w:jc w:val="center"/>
              <w:rPr>
                <w:rFonts w:ascii="Arial" w:hAnsi="Arial" w:cs="Arial"/>
                <w:color w:val="000000"/>
              </w:rPr>
            </w:pPr>
            <w:r w:rsidRPr="00DB0315">
              <w:rPr>
                <w:rFonts w:ascii="Arial" w:hAnsi="Arial" w:cs="Arial"/>
                <w:color w:val="000000"/>
              </w:rPr>
              <w:t>7,</w:t>
            </w:r>
            <w:r w:rsidR="00A42151">
              <w:rPr>
                <w:rFonts w:ascii="Arial" w:hAnsi="Arial" w:cs="Arial"/>
                <w:color w:val="000000"/>
              </w:rPr>
              <w:t>0</w:t>
            </w:r>
          </w:p>
        </w:tc>
        <w:tc>
          <w:tcPr>
            <w:tcW w:w="1417" w:type="dxa"/>
            <w:noWrap/>
          </w:tcPr>
          <w:p w14:paraId="1DC617E7" w14:textId="37049D4E" w:rsidR="009827F4" w:rsidRPr="00DB0315" w:rsidRDefault="009827F4" w:rsidP="00820CFC">
            <w:pPr>
              <w:jc w:val="center"/>
              <w:rPr>
                <w:rFonts w:ascii="Arial" w:hAnsi="Arial" w:cs="Arial"/>
                <w:color w:val="000000"/>
              </w:rPr>
            </w:pPr>
            <w:r w:rsidRPr="00DB0315">
              <w:rPr>
                <w:rFonts w:ascii="Arial" w:hAnsi="Arial" w:cs="Arial"/>
                <w:color w:val="000000"/>
              </w:rPr>
              <w:t>11</w:t>
            </w:r>
            <w:r w:rsidR="00F875E5" w:rsidRPr="00DB0315">
              <w:rPr>
                <w:rFonts w:ascii="Arial" w:hAnsi="Arial" w:cs="Arial"/>
                <w:color w:val="000000"/>
              </w:rPr>
              <w:t>,3</w:t>
            </w:r>
            <w:r w:rsidRPr="00DB0315">
              <w:rPr>
                <w:rFonts w:ascii="Arial" w:hAnsi="Arial" w:cs="Arial"/>
                <w:color w:val="000000"/>
              </w:rPr>
              <w:t>%</w:t>
            </w:r>
          </w:p>
        </w:tc>
        <w:tc>
          <w:tcPr>
            <w:tcW w:w="1276" w:type="dxa"/>
            <w:noWrap/>
          </w:tcPr>
          <w:p w14:paraId="538FCAF7" w14:textId="77777777" w:rsidR="009827F4" w:rsidRPr="00DB0315" w:rsidRDefault="009827F4" w:rsidP="00820CFC">
            <w:pPr>
              <w:ind w:left="462"/>
              <w:jc w:val="center"/>
              <w:rPr>
                <w:rFonts w:ascii="Arial" w:hAnsi="Arial" w:cs="Arial"/>
                <w:color w:val="000000"/>
              </w:rPr>
            </w:pPr>
            <w:r w:rsidRPr="00DB0315">
              <w:rPr>
                <w:rFonts w:ascii="Arial" w:hAnsi="Arial" w:cs="Arial"/>
                <w:color w:val="000000"/>
              </w:rPr>
              <w:t>5,1</w:t>
            </w:r>
          </w:p>
        </w:tc>
        <w:tc>
          <w:tcPr>
            <w:tcW w:w="1276" w:type="dxa"/>
            <w:noWrap/>
          </w:tcPr>
          <w:p w14:paraId="4E6A3B99" w14:textId="1FAC96B3" w:rsidR="009827F4" w:rsidRPr="00DB0315" w:rsidRDefault="00C808F0" w:rsidP="00820CFC">
            <w:pPr>
              <w:jc w:val="center"/>
              <w:rPr>
                <w:rFonts w:ascii="Arial" w:hAnsi="Arial" w:cs="Arial"/>
                <w:color w:val="000000"/>
              </w:rPr>
            </w:pPr>
            <w:r>
              <w:rPr>
                <w:rFonts w:ascii="Arial" w:hAnsi="Arial" w:cs="Arial"/>
                <w:color w:val="000000"/>
              </w:rPr>
              <w:t>8,</w:t>
            </w:r>
            <w:r w:rsidR="009827F4" w:rsidRPr="00DB0315">
              <w:rPr>
                <w:rFonts w:ascii="Arial" w:hAnsi="Arial" w:cs="Arial"/>
                <w:color w:val="000000"/>
              </w:rPr>
              <w:t>9%</w:t>
            </w:r>
          </w:p>
        </w:tc>
        <w:tc>
          <w:tcPr>
            <w:tcW w:w="1847" w:type="dxa"/>
            <w:noWrap/>
          </w:tcPr>
          <w:p w14:paraId="5C7D3C90" w14:textId="00684D7F" w:rsidR="009827F4" w:rsidRPr="00DB0315" w:rsidRDefault="009827F4" w:rsidP="00820CFC">
            <w:pPr>
              <w:jc w:val="center"/>
              <w:rPr>
                <w:rFonts w:ascii="Arial" w:hAnsi="Arial" w:cs="Arial"/>
                <w:b/>
                <w:bCs/>
                <w:color w:val="000000"/>
              </w:rPr>
            </w:pPr>
            <w:r w:rsidRPr="00DB0315">
              <w:rPr>
                <w:rFonts w:ascii="Arial" w:hAnsi="Arial" w:cs="Arial"/>
                <w:b/>
                <w:bCs/>
                <w:color w:val="000000"/>
              </w:rPr>
              <w:t>+</w:t>
            </w:r>
            <w:r w:rsidR="00F36CB0" w:rsidRPr="00DB0315">
              <w:rPr>
                <w:rFonts w:ascii="Arial" w:hAnsi="Arial" w:cs="Arial"/>
                <w:b/>
                <w:bCs/>
                <w:color w:val="000000"/>
              </w:rPr>
              <w:t>3</w:t>
            </w:r>
            <w:r w:rsidR="00487215">
              <w:rPr>
                <w:rFonts w:ascii="Arial" w:hAnsi="Arial" w:cs="Arial"/>
                <w:b/>
                <w:bCs/>
                <w:color w:val="000000"/>
              </w:rPr>
              <w:t>8</w:t>
            </w:r>
            <w:r w:rsidRPr="00DB0315">
              <w:rPr>
                <w:rFonts w:ascii="Arial" w:hAnsi="Arial" w:cs="Arial"/>
                <w:b/>
                <w:bCs/>
                <w:color w:val="000000"/>
              </w:rPr>
              <w:t>%</w:t>
            </w:r>
          </w:p>
        </w:tc>
      </w:tr>
      <w:tr w:rsidR="009827F4" w:rsidRPr="00E17989" w14:paraId="1C90B8B6" w14:textId="77777777" w:rsidTr="00C501A0">
        <w:trPr>
          <w:trHeight w:val="312"/>
        </w:trPr>
        <w:tc>
          <w:tcPr>
            <w:tcW w:w="2405" w:type="dxa"/>
            <w:noWrap/>
            <w:hideMark/>
          </w:tcPr>
          <w:p w14:paraId="6E73EEB4" w14:textId="77777777" w:rsidR="009827F4" w:rsidRPr="00DB0315" w:rsidRDefault="009827F4" w:rsidP="00C501A0">
            <w:pPr>
              <w:rPr>
                <w:rFonts w:ascii="Arial" w:hAnsi="Arial" w:cs="Arial"/>
                <w:color w:val="000000"/>
              </w:rPr>
            </w:pPr>
            <w:r w:rsidRPr="00DB0315">
              <w:rPr>
                <w:rFonts w:ascii="Arial" w:hAnsi="Arial" w:cs="Arial"/>
                <w:color w:val="000000"/>
              </w:rPr>
              <w:t>Intégration</w:t>
            </w:r>
          </w:p>
        </w:tc>
        <w:tc>
          <w:tcPr>
            <w:tcW w:w="1418" w:type="dxa"/>
            <w:noWrap/>
          </w:tcPr>
          <w:p w14:paraId="70995C55" w14:textId="77777777" w:rsidR="009827F4" w:rsidRPr="00DB0315" w:rsidRDefault="009827F4" w:rsidP="00820CFC">
            <w:pPr>
              <w:ind w:left="464"/>
              <w:jc w:val="center"/>
              <w:rPr>
                <w:rFonts w:ascii="Arial" w:hAnsi="Arial" w:cs="Arial"/>
                <w:color w:val="000000"/>
              </w:rPr>
            </w:pPr>
            <w:r w:rsidRPr="00DB0315">
              <w:rPr>
                <w:rFonts w:ascii="Arial" w:hAnsi="Arial" w:cs="Arial"/>
                <w:color w:val="000000"/>
              </w:rPr>
              <w:t>34,0</w:t>
            </w:r>
          </w:p>
        </w:tc>
        <w:tc>
          <w:tcPr>
            <w:tcW w:w="1417" w:type="dxa"/>
            <w:noWrap/>
          </w:tcPr>
          <w:p w14:paraId="46782D47" w14:textId="443D63EB" w:rsidR="009827F4" w:rsidRPr="00DB0315" w:rsidRDefault="009827F4" w:rsidP="00820CFC">
            <w:pPr>
              <w:jc w:val="center"/>
              <w:rPr>
                <w:rFonts w:ascii="Arial" w:hAnsi="Arial" w:cs="Arial"/>
                <w:color w:val="000000"/>
              </w:rPr>
            </w:pPr>
            <w:r w:rsidRPr="00DB0315">
              <w:rPr>
                <w:rFonts w:ascii="Arial" w:hAnsi="Arial" w:cs="Arial"/>
                <w:color w:val="000000"/>
              </w:rPr>
              <w:t>54</w:t>
            </w:r>
            <w:r w:rsidR="0002372F" w:rsidRPr="00DB0315">
              <w:rPr>
                <w:rFonts w:ascii="Arial" w:hAnsi="Arial" w:cs="Arial"/>
                <w:color w:val="000000"/>
              </w:rPr>
              <w:t>,1</w:t>
            </w:r>
            <w:r w:rsidRPr="00DB0315">
              <w:rPr>
                <w:rFonts w:ascii="Arial" w:hAnsi="Arial" w:cs="Arial"/>
                <w:color w:val="000000"/>
              </w:rPr>
              <w:t>%</w:t>
            </w:r>
          </w:p>
        </w:tc>
        <w:tc>
          <w:tcPr>
            <w:tcW w:w="1276" w:type="dxa"/>
            <w:noWrap/>
          </w:tcPr>
          <w:p w14:paraId="0B6DD523" w14:textId="34F47C3C" w:rsidR="009827F4" w:rsidRPr="00DB0315" w:rsidRDefault="009827F4" w:rsidP="00820CFC">
            <w:pPr>
              <w:ind w:left="462"/>
              <w:jc w:val="center"/>
              <w:rPr>
                <w:rFonts w:ascii="Arial" w:hAnsi="Arial" w:cs="Arial"/>
                <w:color w:val="000000"/>
              </w:rPr>
            </w:pPr>
            <w:r w:rsidRPr="00DB0315">
              <w:rPr>
                <w:rFonts w:ascii="Arial" w:hAnsi="Arial" w:cs="Arial"/>
                <w:color w:val="000000"/>
              </w:rPr>
              <w:t>34,</w:t>
            </w:r>
            <w:r w:rsidR="0002372F" w:rsidRPr="00DB0315">
              <w:rPr>
                <w:rFonts w:ascii="Arial" w:hAnsi="Arial" w:cs="Arial"/>
                <w:color w:val="000000"/>
              </w:rPr>
              <w:t>1</w:t>
            </w:r>
          </w:p>
        </w:tc>
        <w:tc>
          <w:tcPr>
            <w:tcW w:w="1276" w:type="dxa"/>
            <w:noWrap/>
          </w:tcPr>
          <w:p w14:paraId="0F96591D" w14:textId="77777777" w:rsidR="009827F4" w:rsidRPr="00DB0315" w:rsidRDefault="009827F4" w:rsidP="00820CFC">
            <w:pPr>
              <w:jc w:val="center"/>
              <w:rPr>
                <w:rFonts w:ascii="Arial" w:hAnsi="Arial" w:cs="Arial"/>
                <w:color w:val="000000"/>
              </w:rPr>
            </w:pPr>
            <w:r w:rsidRPr="00DB0315">
              <w:rPr>
                <w:rFonts w:ascii="Arial" w:hAnsi="Arial" w:cs="Arial"/>
                <w:color w:val="000000"/>
              </w:rPr>
              <w:t>60%</w:t>
            </w:r>
          </w:p>
        </w:tc>
        <w:tc>
          <w:tcPr>
            <w:tcW w:w="1847" w:type="dxa"/>
            <w:noWrap/>
          </w:tcPr>
          <w:p w14:paraId="15E56642" w14:textId="3C71AE2B" w:rsidR="009827F4" w:rsidRPr="00DB0315" w:rsidRDefault="00F36CB0" w:rsidP="00820CFC">
            <w:pPr>
              <w:jc w:val="center"/>
              <w:rPr>
                <w:rFonts w:ascii="Arial" w:hAnsi="Arial" w:cs="Arial"/>
                <w:b/>
                <w:bCs/>
                <w:color w:val="000000"/>
              </w:rPr>
            </w:pPr>
            <w:r w:rsidRPr="00DB0315">
              <w:rPr>
                <w:rFonts w:ascii="Arial" w:hAnsi="Arial" w:cs="Arial"/>
                <w:b/>
                <w:bCs/>
                <w:color w:val="000000"/>
              </w:rPr>
              <w:t>-0,</w:t>
            </w:r>
            <w:r w:rsidR="00487215">
              <w:rPr>
                <w:rFonts w:ascii="Arial" w:hAnsi="Arial" w:cs="Arial"/>
                <w:b/>
                <w:bCs/>
                <w:color w:val="000000"/>
              </w:rPr>
              <w:t>4</w:t>
            </w:r>
            <w:r w:rsidR="009827F4" w:rsidRPr="00DB0315">
              <w:rPr>
                <w:rFonts w:ascii="Arial" w:hAnsi="Arial" w:cs="Arial"/>
                <w:b/>
                <w:bCs/>
                <w:color w:val="000000"/>
              </w:rPr>
              <w:t>%</w:t>
            </w:r>
          </w:p>
        </w:tc>
      </w:tr>
      <w:tr w:rsidR="009827F4" w:rsidRPr="00E17989" w14:paraId="0E27242E" w14:textId="77777777" w:rsidTr="00C501A0">
        <w:trPr>
          <w:trHeight w:val="312"/>
        </w:trPr>
        <w:tc>
          <w:tcPr>
            <w:tcW w:w="2405" w:type="dxa"/>
            <w:noWrap/>
            <w:hideMark/>
          </w:tcPr>
          <w:p w14:paraId="770AE393" w14:textId="77777777" w:rsidR="009827F4" w:rsidRPr="00DB0315" w:rsidRDefault="009827F4" w:rsidP="00C501A0">
            <w:pPr>
              <w:rPr>
                <w:rFonts w:ascii="Arial" w:hAnsi="Arial" w:cs="Arial"/>
                <w:color w:val="000000"/>
              </w:rPr>
            </w:pPr>
            <w:r w:rsidRPr="00DB0315">
              <w:rPr>
                <w:rFonts w:ascii="Arial" w:hAnsi="Arial" w:cs="Arial"/>
                <w:color w:val="000000"/>
              </w:rPr>
              <w:t>Services</w:t>
            </w:r>
          </w:p>
        </w:tc>
        <w:tc>
          <w:tcPr>
            <w:tcW w:w="1418" w:type="dxa"/>
            <w:noWrap/>
          </w:tcPr>
          <w:p w14:paraId="77C966D9" w14:textId="703387D4" w:rsidR="009827F4" w:rsidRPr="00DB0315" w:rsidRDefault="009827F4" w:rsidP="00820CFC">
            <w:pPr>
              <w:ind w:left="464"/>
              <w:jc w:val="center"/>
              <w:rPr>
                <w:rFonts w:ascii="Arial" w:hAnsi="Arial" w:cs="Arial"/>
                <w:color w:val="000000"/>
              </w:rPr>
            </w:pPr>
            <w:r w:rsidRPr="00DB0315">
              <w:rPr>
                <w:rFonts w:ascii="Arial" w:hAnsi="Arial" w:cs="Arial"/>
                <w:color w:val="000000"/>
              </w:rPr>
              <w:t>21,</w:t>
            </w:r>
            <w:r w:rsidR="00A42151">
              <w:rPr>
                <w:rFonts w:ascii="Arial" w:hAnsi="Arial" w:cs="Arial"/>
                <w:color w:val="000000"/>
              </w:rPr>
              <w:t>7</w:t>
            </w:r>
          </w:p>
        </w:tc>
        <w:tc>
          <w:tcPr>
            <w:tcW w:w="1417" w:type="dxa"/>
            <w:noWrap/>
          </w:tcPr>
          <w:p w14:paraId="047B9B21" w14:textId="478B355F" w:rsidR="009827F4" w:rsidRPr="00DB0315" w:rsidRDefault="009827F4" w:rsidP="00820CFC">
            <w:pPr>
              <w:jc w:val="center"/>
              <w:rPr>
                <w:rFonts w:ascii="Arial" w:hAnsi="Arial" w:cs="Arial"/>
                <w:color w:val="000000"/>
              </w:rPr>
            </w:pPr>
            <w:r w:rsidRPr="00DB0315">
              <w:rPr>
                <w:rFonts w:ascii="Arial" w:hAnsi="Arial" w:cs="Arial"/>
                <w:color w:val="000000"/>
              </w:rPr>
              <w:t>3</w:t>
            </w:r>
            <w:r w:rsidR="0002372F" w:rsidRPr="00DB0315">
              <w:rPr>
                <w:rFonts w:ascii="Arial" w:hAnsi="Arial" w:cs="Arial"/>
                <w:color w:val="000000"/>
              </w:rPr>
              <w:t>4,6</w:t>
            </w:r>
            <w:r w:rsidRPr="00DB0315">
              <w:rPr>
                <w:rFonts w:ascii="Arial" w:hAnsi="Arial" w:cs="Arial"/>
                <w:color w:val="000000"/>
              </w:rPr>
              <w:t>%</w:t>
            </w:r>
          </w:p>
        </w:tc>
        <w:tc>
          <w:tcPr>
            <w:tcW w:w="1276" w:type="dxa"/>
            <w:noWrap/>
          </w:tcPr>
          <w:p w14:paraId="14FB040D" w14:textId="77777777" w:rsidR="009827F4" w:rsidRPr="00DB0315" w:rsidRDefault="009827F4" w:rsidP="00820CFC">
            <w:pPr>
              <w:ind w:left="462"/>
              <w:jc w:val="center"/>
              <w:rPr>
                <w:rFonts w:ascii="Arial" w:hAnsi="Arial" w:cs="Arial"/>
                <w:color w:val="000000"/>
              </w:rPr>
            </w:pPr>
            <w:r w:rsidRPr="00DB0315">
              <w:rPr>
                <w:rFonts w:ascii="Arial" w:hAnsi="Arial" w:cs="Arial"/>
                <w:color w:val="000000"/>
              </w:rPr>
              <w:t>17,6</w:t>
            </w:r>
          </w:p>
        </w:tc>
        <w:tc>
          <w:tcPr>
            <w:tcW w:w="1276" w:type="dxa"/>
            <w:noWrap/>
          </w:tcPr>
          <w:p w14:paraId="7CD73000" w14:textId="1969E569" w:rsidR="009827F4" w:rsidRPr="00DB0315" w:rsidRDefault="009827F4" w:rsidP="00820CFC">
            <w:pPr>
              <w:jc w:val="center"/>
              <w:rPr>
                <w:rFonts w:ascii="Arial" w:hAnsi="Arial" w:cs="Arial"/>
                <w:color w:val="000000"/>
              </w:rPr>
            </w:pPr>
            <w:r w:rsidRPr="00DB0315">
              <w:rPr>
                <w:rFonts w:ascii="Arial" w:hAnsi="Arial" w:cs="Arial"/>
                <w:color w:val="000000"/>
              </w:rPr>
              <w:t>3</w:t>
            </w:r>
            <w:r w:rsidR="00C808F0">
              <w:rPr>
                <w:rFonts w:ascii="Arial" w:hAnsi="Arial" w:cs="Arial"/>
                <w:color w:val="000000"/>
              </w:rPr>
              <w:t>0,9</w:t>
            </w:r>
            <w:r w:rsidRPr="00DB0315">
              <w:rPr>
                <w:rFonts w:ascii="Arial" w:hAnsi="Arial" w:cs="Arial"/>
                <w:color w:val="000000"/>
              </w:rPr>
              <w:t>%</w:t>
            </w:r>
          </w:p>
        </w:tc>
        <w:tc>
          <w:tcPr>
            <w:tcW w:w="1847" w:type="dxa"/>
            <w:noWrap/>
          </w:tcPr>
          <w:p w14:paraId="66596290" w14:textId="03EEC0F0" w:rsidR="009827F4" w:rsidRPr="00DB0315" w:rsidRDefault="009827F4" w:rsidP="00820CFC">
            <w:pPr>
              <w:jc w:val="center"/>
              <w:rPr>
                <w:rFonts w:ascii="Arial" w:hAnsi="Arial" w:cs="Arial"/>
                <w:b/>
                <w:bCs/>
                <w:color w:val="000000"/>
              </w:rPr>
            </w:pPr>
            <w:r w:rsidRPr="00DB0315">
              <w:rPr>
                <w:rFonts w:ascii="Arial" w:hAnsi="Arial" w:cs="Arial"/>
                <w:b/>
                <w:bCs/>
                <w:color w:val="000000"/>
              </w:rPr>
              <w:t>+23,</w:t>
            </w:r>
            <w:r w:rsidR="00A42151">
              <w:rPr>
                <w:rFonts w:ascii="Arial" w:hAnsi="Arial" w:cs="Arial"/>
                <w:b/>
                <w:bCs/>
                <w:color w:val="000000"/>
              </w:rPr>
              <w:t>5</w:t>
            </w:r>
            <w:r w:rsidRPr="00DB0315">
              <w:rPr>
                <w:rFonts w:ascii="Arial" w:hAnsi="Arial" w:cs="Arial"/>
                <w:b/>
                <w:bCs/>
                <w:color w:val="000000"/>
              </w:rPr>
              <w:t>%</w:t>
            </w:r>
          </w:p>
        </w:tc>
      </w:tr>
      <w:tr w:rsidR="009827F4" w:rsidRPr="00E17989" w14:paraId="7854ECBC" w14:textId="77777777" w:rsidTr="00C501A0">
        <w:trPr>
          <w:trHeight w:val="312"/>
        </w:trPr>
        <w:tc>
          <w:tcPr>
            <w:tcW w:w="2405" w:type="dxa"/>
            <w:shd w:val="clear" w:color="auto" w:fill="0070C0"/>
            <w:noWrap/>
            <w:vAlign w:val="center"/>
            <w:hideMark/>
          </w:tcPr>
          <w:p w14:paraId="0EA3A17A" w14:textId="77777777" w:rsidR="009827F4" w:rsidRPr="00DB0315" w:rsidRDefault="009827F4" w:rsidP="00C501A0">
            <w:pPr>
              <w:rPr>
                <w:rFonts w:ascii="Arial" w:hAnsi="Arial" w:cs="Arial"/>
                <w:b/>
                <w:bCs/>
                <w:color w:val="FFFFFF" w:themeColor="background1"/>
              </w:rPr>
            </w:pPr>
            <w:r w:rsidRPr="00DB0315">
              <w:rPr>
                <w:rFonts w:ascii="Arial" w:hAnsi="Arial" w:cs="Arial"/>
                <w:b/>
                <w:bCs/>
                <w:color w:val="FFFFFF" w:themeColor="background1"/>
              </w:rPr>
              <w:t>Total Consolidé</w:t>
            </w:r>
          </w:p>
        </w:tc>
        <w:tc>
          <w:tcPr>
            <w:tcW w:w="1418" w:type="dxa"/>
            <w:shd w:val="clear" w:color="auto" w:fill="0070C0"/>
            <w:noWrap/>
            <w:vAlign w:val="center"/>
          </w:tcPr>
          <w:p w14:paraId="3676719B" w14:textId="74194698" w:rsidR="009827F4" w:rsidRPr="00DB0315" w:rsidRDefault="009827F4" w:rsidP="00820CFC">
            <w:pPr>
              <w:tabs>
                <w:tab w:val="right" w:pos="1025"/>
              </w:tabs>
              <w:ind w:left="458"/>
              <w:jc w:val="center"/>
              <w:rPr>
                <w:rFonts w:ascii="Arial" w:hAnsi="Arial" w:cs="Arial"/>
                <w:b/>
                <w:bCs/>
                <w:color w:val="FFFFFF" w:themeColor="background1"/>
              </w:rPr>
            </w:pPr>
            <w:r w:rsidRPr="00DB0315">
              <w:rPr>
                <w:rFonts w:ascii="Arial" w:hAnsi="Arial" w:cs="Arial"/>
                <w:b/>
                <w:bCs/>
                <w:color w:val="FFFFFF" w:themeColor="background1"/>
              </w:rPr>
              <w:t>62,</w:t>
            </w:r>
            <w:r w:rsidR="0016734D" w:rsidRPr="00DB0315">
              <w:rPr>
                <w:rFonts w:ascii="Arial" w:hAnsi="Arial" w:cs="Arial"/>
                <w:b/>
                <w:bCs/>
                <w:color w:val="FFFFFF" w:themeColor="background1"/>
              </w:rPr>
              <w:t>7</w:t>
            </w:r>
          </w:p>
        </w:tc>
        <w:tc>
          <w:tcPr>
            <w:tcW w:w="1417" w:type="dxa"/>
            <w:shd w:val="clear" w:color="auto" w:fill="0070C0"/>
            <w:noWrap/>
            <w:vAlign w:val="center"/>
          </w:tcPr>
          <w:p w14:paraId="78F10831" w14:textId="77777777" w:rsidR="009827F4" w:rsidRPr="00DB0315" w:rsidRDefault="009827F4" w:rsidP="00820CFC">
            <w:pPr>
              <w:tabs>
                <w:tab w:val="right" w:pos="1025"/>
              </w:tabs>
              <w:jc w:val="center"/>
              <w:rPr>
                <w:rFonts w:ascii="Arial" w:hAnsi="Arial" w:cs="Arial"/>
                <w:b/>
                <w:bCs/>
                <w:color w:val="FFFFFF" w:themeColor="background1"/>
              </w:rPr>
            </w:pPr>
            <w:r w:rsidRPr="00DB0315">
              <w:rPr>
                <w:rFonts w:ascii="Arial" w:hAnsi="Arial" w:cs="Arial"/>
                <w:b/>
                <w:bCs/>
                <w:color w:val="FFFFFF" w:themeColor="background1"/>
              </w:rPr>
              <w:t>100%</w:t>
            </w:r>
          </w:p>
        </w:tc>
        <w:tc>
          <w:tcPr>
            <w:tcW w:w="1276" w:type="dxa"/>
            <w:shd w:val="clear" w:color="auto" w:fill="0070C0"/>
            <w:noWrap/>
            <w:vAlign w:val="center"/>
          </w:tcPr>
          <w:p w14:paraId="51D44B8B" w14:textId="08B61940" w:rsidR="009827F4" w:rsidRPr="00DB0315" w:rsidRDefault="009827F4" w:rsidP="00820CFC">
            <w:pPr>
              <w:tabs>
                <w:tab w:val="right" w:pos="1025"/>
              </w:tabs>
              <w:ind w:left="464"/>
              <w:jc w:val="center"/>
              <w:rPr>
                <w:rFonts w:ascii="Arial" w:hAnsi="Arial" w:cs="Arial"/>
                <w:b/>
                <w:bCs/>
                <w:color w:val="FFFFFF" w:themeColor="background1"/>
              </w:rPr>
            </w:pPr>
            <w:r w:rsidRPr="00DB0315">
              <w:rPr>
                <w:rFonts w:ascii="Arial" w:hAnsi="Arial" w:cs="Arial"/>
                <w:b/>
                <w:bCs/>
                <w:color w:val="FFFFFF" w:themeColor="background1"/>
              </w:rPr>
              <w:t>56,</w:t>
            </w:r>
            <w:r w:rsidR="0002372F" w:rsidRPr="00DB0315">
              <w:rPr>
                <w:rFonts w:ascii="Arial" w:hAnsi="Arial" w:cs="Arial"/>
                <w:b/>
                <w:bCs/>
                <w:color w:val="FFFFFF" w:themeColor="background1"/>
              </w:rPr>
              <w:t>8</w:t>
            </w:r>
          </w:p>
        </w:tc>
        <w:tc>
          <w:tcPr>
            <w:tcW w:w="1276" w:type="dxa"/>
            <w:shd w:val="clear" w:color="auto" w:fill="0070C0"/>
            <w:noWrap/>
            <w:vAlign w:val="center"/>
          </w:tcPr>
          <w:p w14:paraId="5862E431" w14:textId="77777777" w:rsidR="009827F4" w:rsidRPr="00DB0315" w:rsidRDefault="009827F4" w:rsidP="00820CFC">
            <w:pPr>
              <w:tabs>
                <w:tab w:val="right" w:pos="1025"/>
              </w:tabs>
              <w:jc w:val="center"/>
              <w:rPr>
                <w:rFonts w:ascii="Arial" w:hAnsi="Arial" w:cs="Arial"/>
                <w:b/>
                <w:bCs/>
                <w:color w:val="FFFFFF" w:themeColor="background1"/>
              </w:rPr>
            </w:pPr>
            <w:r w:rsidRPr="00DB0315">
              <w:rPr>
                <w:rFonts w:ascii="Arial" w:hAnsi="Arial" w:cs="Arial"/>
                <w:b/>
                <w:bCs/>
                <w:color w:val="FFFFFF" w:themeColor="background1"/>
              </w:rPr>
              <w:t>100%</w:t>
            </w:r>
          </w:p>
        </w:tc>
        <w:tc>
          <w:tcPr>
            <w:tcW w:w="1847" w:type="dxa"/>
            <w:shd w:val="clear" w:color="auto" w:fill="0070C0"/>
            <w:noWrap/>
            <w:vAlign w:val="center"/>
          </w:tcPr>
          <w:p w14:paraId="64D91DB1" w14:textId="4CF3729B" w:rsidR="009827F4" w:rsidRPr="00DB0315" w:rsidRDefault="009827F4" w:rsidP="00820CFC">
            <w:pPr>
              <w:jc w:val="center"/>
              <w:rPr>
                <w:rFonts w:ascii="Arial" w:hAnsi="Arial" w:cs="Arial"/>
                <w:b/>
                <w:bCs/>
                <w:color w:val="FFFFFF" w:themeColor="background1"/>
              </w:rPr>
            </w:pPr>
            <w:r w:rsidRPr="00DB0315">
              <w:rPr>
                <w:rFonts w:ascii="Arial" w:hAnsi="Arial" w:cs="Arial"/>
                <w:b/>
                <w:bCs/>
                <w:color w:val="FFFFFF" w:themeColor="background1"/>
              </w:rPr>
              <w:t>+10,</w:t>
            </w:r>
            <w:r w:rsidR="0002372F" w:rsidRPr="00DB0315">
              <w:rPr>
                <w:rFonts w:ascii="Arial" w:hAnsi="Arial" w:cs="Arial"/>
                <w:b/>
                <w:bCs/>
                <w:color w:val="FFFFFF" w:themeColor="background1"/>
              </w:rPr>
              <w:t>6</w:t>
            </w:r>
            <w:r w:rsidRPr="00DB0315">
              <w:rPr>
                <w:rFonts w:ascii="Arial" w:hAnsi="Arial" w:cs="Arial"/>
                <w:b/>
                <w:bCs/>
                <w:color w:val="FFFFFF" w:themeColor="background1"/>
              </w:rPr>
              <w:t>%</w:t>
            </w:r>
          </w:p>
        </w:tc>
      </w:tr>
      <w:tr w:rsidR="009827F4" w:rsidRPr="00E17989" w14:paraId="49C406A1" w14:textId="77777777" w:rsidTr="00C501A0">
        <w:trPr>
          <w:trHeight w:val="288"/>
        </w:trPr>
        <w:tc>
          <w:tcPr>
            <w:tcW w:w="2405" w:type="dxa"/>
            <w:noWrap/>
            <w:hideMark/>
          </w:tcPr>
          <w:p w14:paraId="6D0AD58A" w14:textId="77777777" w:rsidR="009827F4" w:rsidRPr="00DB0315" w:rsidRDefault="009827F4" w:rsidP="00C501A0">
            <w:pPr>
              <w:rPr>
                <w:rFonts w:ascii="Arial" w:hAnsi="Arial" w:cs="Arial"/>
                <w:color w:val="000000"/>
              </w:rPr>
            </w:pPr>
            <w:r w:rsidRPr="00DB0315">
              <w:rPr>
                <w:rFonts w:ascii="Arial" w:hAnsi="Arial" w:cs="Arial"/>
                <w:color w:val="000000"/>
              </w:rPr>
              <w:t xml:space="preserve">dont consolidé France </w:t>
            </w:r>
          </w:p>
        </w:tc>
        <w:tc>
          <w:tcPr>
            <w:tcW w:w="1418" w:type="dxa"/>
            <w:noWrap/>
          </w:tcPr>
          <w:p w14:paraId="53AF090A" w14:textId="77777777" w:rsidR="009827F4" w:rsidRPr="00DB0315" w:rsidRDefault="009827F4" w:rsidP="006B4DBD">
            <w:pPr>
              <w:jc w:val="right"/>
              <w:rPr>
                <w:rFonts w:ascii="Arial" w:hAnsi="Arial" w:cs="Arial"/>
                <w:color w:val="000000"/>
              </w:rPr>
            </w:pPr>
            <w:r w:rsidRPr="00DB0315">
              <w:rPr>
                <w:rFonts w:ascii="Arial" w:hAnsi="Arial" w:cs="Arial"/>
                <w:color w:val="000000"/>
              </w:rPr>
              <w:t>39,8</w:t>
            </w:r>
          </w:p>
        </w:tc>
        <w:tc>
          <w:tcPr>
            <w:tcW w:w="1417" w:type="dxa"/>
            <w:noWrap/>
          </w:tcPr>
          <w:p w14:paraId="7CFAB2D9" w14:textId="094AD105" w:rsidR="009827F4" w:rsidRPr="00DB0315" w:rsidRDefault="009827F4" w:rsidP="006B4DBD">
            <w:pPr>
              <w:jc w:val="right"/>
              <w:rPr>
                <w:rFonts w:ascii="Arial" w:hAnsi="Arial" w:cs="Arial"/>
                <w:color w:val="000000"/>
              </w:rPr>
            </w:pPr>
            <w:r w:rsidRPr="00DB0315">
              <w:rPr>
                <w:rFonts w:ascii="Arial" w:hAnsi="Arial" w:cs="Arial"/>
                <w:color w:val="000000"/>
              </w:rPr>
              <w:t>6</w:t>
            </w:r>
            <w:r w:rsidR="0002372F" w:rsidRPr="00DB0315">
              <w:rPr>
                <w:rFonts w:ascii="Arial" w:hAnsi="Arial" w:cs="Arial"/>
                <w:color w:val="000000"/>
              </w:rPr>
              <w:t>3,</w:t>
            </w:r>
            <w:r w:rsidRPr="00DB0315">
              <w:rPr>
                <w:rFonts w:ascii="Arial" w:hAnsi="Arial" w:cs="Arial"/>
                <w:color w:val="000000"/>
              </w:rPr>
              <w:t>4%</w:t>
            </w:r>
          </w:p>
        </w:tc>
        <w:tc>
          <w:tcPr>
            <w:tcW w:w="1276" w:type="dxa"/>
            <w:noWrap/>
          </w:tcPr>
          <w:p w14:paraId="38AC3674" w14:textId="77777777" w:rsidR="009827F4" w:rsidRPr="00DB0315" w:rsidRDefault="009827F4" w:rsidP="006B4DBD">
            <w:pPr>
              <w:jc w:val="right"/>
              <w:rPr>
                <w:rFonts w:ascii="Arial" w:hAnsi="Arial" w:cs="Arial"/>
                <w:color w:val="000000"/>
              </w:rPr>
            </w:pPr>
            <w:r w:rsidRPr="00DB0315">
              <w:rPr>
                <w:rFonts w:ascii="Arial" w:hAnsi="Arial" w:cs="Arial"/>
                <w:color w:val="000000"/>
              </w:rPr>
              <w:t>34,3</w:t>
            </w:r>
          </w:p>
        </w:tc>
        <w:tc>
          <w:tcPr>
            <w:tcW w:w="1276" w:type="dxa"/>
            <w:noWrap/>
          </w:tcPr>
          <w:p w14:paraId="41B1D14A" w14:textId="5BB8E9C3" w:rsidR="009827F4" w:rsidRPr="00DB0315" w:rsidRDefault="009827F4" w:rsidP="006B4DBD">
            <w:pPr>
              <w:jc w:val="right"/>
              <w:rPr>
                <w:rFonts w:ascii="Arial" w:hAnsi="Arial" w:cs="Arial"/>
                <w:color w:val="000000"/>
              </w:rPr>
            </w:pPr>
            <w:r w:rsidRPr="00DB0315">
              <w:rPr>
                <w:rFonts w:ascii="Arial" w:hAnsi="Arial" w:cs="Arial"/>
                <w:color w:val="000000"/>
              </w:rPr>
              <w:t>60</w:t>
            </w:r>
            <w:r w:rsidR="0002372F" w:rsidRPr="00DB0315">
              <w:rPr>
                <w:rFonts w:ascii="Arial" w:hAnsi="Arial" w:cs="Arial"/>
                <w:color w:val="000000"/>
              </w:rPr>
              <w:t>,5</w:t>
            </w:r>
            <w:r w:rsidRPr="00DB0315">
              <w:rPr>
                <w:rFonts w:ascii="Arial" w:hAnsi="Arial" w:cs="Arial"/>
                <w:color w:val="000000"/>
              </w:rPr>
              <w:t>%</w:t>
            </w:r>
          </w:p>
        </w:tc>
        <w:tc>
          <w:tcPr>
            <w:tcW w:w="1847" w:type="dxa"/>
            <w:noWrap/>
          </w:tcPr>
          <w:p w14:paraId="5DB6D2DB" w14:textId="16416B62" w:rsidR="009827F4" w:rsidRPr="00DB0315" w:rsidRDefault="0002372F" w:rsidP="00820CFC">
            <w:pPr>
              <w:jc w:val="center"/>
              <w:rPr>
                <w:rFonts w:ascii="Arial" w:hAnsi="Arial" w:cs="Arial"/>
                <w:b/>
                <w:bCs/>
                <w:color w:val="000000"/>
              </w:rPr>
            </w:pPr>
            <w:r w:rsidRPr="00DB0315">
              <w:rPr>
                <w:rFonts w:ascii="Arial" w:hAnsi="Arial" w:cs="Arial"/>
                <w:b/>
                <w:bCs/>
                <w:color w:val="000000"/>
              </w:rPr>
              <w:t>15,9</w:t>
            </w:r>
            <w:r w:rsidR="009827F4" w:rsidRPr="00DB0315">
              <w:rPr>
                <w:rFonts w:ascii="Arial" w:hAnsi="Arial" w:cs="Arial"/>
                <w:b/>
                <w:bCs/>
                <w:color w:val="000000"/>
              </w:rPr>
              <w:t>%</w:t>
            </w:r>
          </w:p>
        </w:tc>
      </w:tr>
      <w:tr w:rsidR="009827F4" w:rsidRPr="00E17989" w14:paraId="4CCDD271" w14:textId="77777777" w:rsidTr="00C501A0">
        <w:trPr>
          <w:trHeight w:val="288"/>
        </w:trPr>
        <w:tc>
          <w:tcPr>
            <w:tcW w:w="2405" w:type="dxa"/>
            <w:noWrap/>
            <w:hideMark/>
          </w:tcPr>
          <w:p w14:paraId="003F3DFC" w14:textId="77777777" w:rsidR="009827F4" w:rsidRPr="00DB0315" w:rsidRDefault="009827F4" w:rsidP="00C501A0">
            <w:pPr>
              <w:rPr>
                <w:rFonts w:ascii="Arial" w:hAnsi="Arial" w:cs="Arial"/>
                <w:color w:val="000000"/>
              </w:rPr>
            </w:pPr>
            <w:r w:rsidRPr="00DB0315">
              <w:rPr>
                <w:rFonts w:ascii="Arial" w:hAnsi="Arial" w:cs="Arial"/>
                <w:color w:val="000000"/>
              </w:rPr>
              <w:t xml:space="preserve">dont consolidé Export </w:t>
            </w:r>
          </w:p>
        </w:tc>
        <w:tc>
          <w:tcPr>
            <w:tcW w:w="1418" w:type="dxa"/>
            <w:noWrap/>
          </w:tcPr>
          <w:p w14:paraId="1539AAD1" w14:textId="77777777" w:rsidR="009827F4" w:rsidRPr="00DB0315" w:rsidRDefault="009827F4" w:rsidP="006B4DBD">
            <w:pPr>
              <w:jc w:val="right"/>
              <w:rPr>
                <w:rFonts w:ascii="Arial" w:hAnsi="Arial" w:cs="Arial"/>
                <w:color w:val="000000"/>
              </w:rPr>
            </w:pPr>
            <w:r w:rsidRPr="00DB0315">
              <w:rPr>
                <w:rFonts w:ascii="Arial" w:hAnsi="Arial" w:cs="Arial"/>
                <w:color w:val="000000"/>
              </w:rPr>
              <w:t>22,9</w:t>
            </w:r>
          </w:p>
        </w:tc>
        <w:tc>
          <w:tcPr>
            <w:tcW w:w="1417" w:type="dxa"/>
            <w:noWrap/>
          </w:tcPr>
          <w:p w14:paraId="605AC53A" w14:textId="66C15BC7" w:rsidR="009827F4" w:rsidRPr="00DB0315" w:rsidRDefault="009827F4" w:rsidP="006B4DBD">
            <w:pPr>
              <w:jc w:val="right"/>
              <w:rPr>
                <w:rFonts w:ascii="Arial" w:hAnsi="Arial" w:cs="Arial"/>
                <w:color w:val="000000"/>
              </w:rPr>
            </w:pPr>
            <w:r w:rsidRPr="00DB0315">
              <w:rPr>
                <w:rFonts w:ascii="Arial" w:hAnsi="Arial" w:cs="Arial"/>
                <w:color w:val="000000"/>
              </w:rPr>
              <w:t>36</w:t>
            </w:r>
            <w:r w:rsidR="0002372F" w:rsidRPr="00DB0315">
              <w:rPr>
                <w:rFonts w:ascii="Arial" w:hAnsi="Arial" w:cs="Arial"/>
                <w:color w:val="000000"/>
              </w:rPr>
              <w:t>,5</w:t>
            </w:r>
            <w:r w:rsidRPr="00DB0315">
              <w:rPr>
                <w:rFonts w:ascii="Arial" w:hAnsi="Arial" w:cs="Arial"/>
                <w:color w:val="000000"/>
              </w:rPr>
              <w:t>%</w:t>
            </w:r>
          </w:p>
        </w:tc>
        <w:tc>
          <w:tcPr>
            <w:tcW w:w="1276" w:type="dxa"/>
            <w:noWrap/>
          </w:tcPr>
          <w:p w14:paraId="154D3E36" w14:textId="22EABE95" w:rsidR="009827F4" w:rsidRPr="00DB0315" w:rsidRDefault="009827F4" w:rsidP="006B4DBD">
            <w:pPr>
              <w:jc w:val="right"/>
              <w:rPr>
                <w:rFonts w:ascii="Arial" w:hAnsi="Arial" w:cs="Arial"/>
                <w:color w:val="000000"/>
              </w:rPr>
            </w:pPr>
            <w:r w:rsidRPr="00DB0315">
              <w:rPr>
                <w:rFonts w:ascii="Arial" w:hAnsi="Arial" w:cs="Arial"/>
                <w:color w:val="000000"/>
              </w:rPr>
              <w:t>22,</w:t>
            </w:r>
            <w:r w:rsidR="0002372F" w:rsidRPr="00DB0315">
              <w:rPr>
                <w:rFonts w:ascii="Arial" w:hAnsi="Arial" w:cs="Arial"/>
                <w:color w:val="000000"/>
              </w:rPr>
              <w:t>4</w:t>
            </w:r>
          </w:p>
        </w:tc>
        <w:tc>
          <w:tcPr>
            <w:tcW w:w="1276" w:type="dxa"/>
            <w:noWrap/>
          </w:tcPr>
          <w:p w14:paraId="4F585823" w14:textId="57245D54" w:rsidR="009827F4" w:rsidRPr="00DB0315" w:rsidRDefault="0002372F" w:rsidP="006B4DBD">
            <w:pPr>
              <w:jc w:val="right"/>
              <w:rPr>
                <w:rFonts w:ascii="Arial" w:hAnsi="Arial" w:cs="Arial"/>
                <w:color w:val="000000"/>
              </w:rPr>
            </w:pPr>
            <w:r w:rsidRPr="00DB0315">
              <w:rPr>
                <w:rFonts w:ascii="Arial" w:hAnsi="Arial" w:cs="Arial"/>
                <w:color w:val="000000"/>
              </w:rPr>
              <w:t>39,5</w:t>
            </w:r>
            <w:r w:rsidR="009827F4" w:rsidRPr="00DB0315">
              <w:rPr>
                <w:rFonts w:ascii="Arial" w:hAnsi="Arial" w:cs="Arial"/>
                <w:color w:val="000000"/>
              </w:rPr>
              <w:t>%</w:t>
            </w:r>
          </w:p>
        </w:tc>
        <w:tc>
          <w:tcPr>
            <w:tcW w:w="1847" w:type="dxa"/>
            <w:noWrap/>
          </w:tcPr>
          <w:p w14:paraId="0B3A0B3D" w14:textId="08218D60" w:rsidR="009827F4" w:rsidRPr="00DB0315" w:rsidRDefault="0002372F" w:rsidP="00820CFC">
            <w:pPr>
              <w:jc w:val="center"/>
              <w:rPr>
                <w:rFonts w:ascii="Arial" w:hAnsi="Arial" w:cs="Arial"/>
                <w:b/>
                <w:bCs/>
                <w:color w:val="000000"/>
              </w:rPr>
            </w:pPr>
            <w:r w:rsidRPr="00DB0315">
              <w:rPr>
                <w:rFonts w:ascii="Arial" w:hAnsi="Arial" w:cs="Arial"/>
                <w:b/>
                <w:bCs/>
                <w:color w:val="000000"/>
              </w:rPr>
              <w:t>2,</w:t>
            </w:r>
            <w:r w:rsidR="00A42151">
              <w:rPr>
                <w:rFonts w:ascii="Arial" w:hAnsi="Arial" w:cs="Arial"/>
                <w:b/>
                <w:bCs/>
                <w:color w:val="000000"/>
              </w:rPr>
              <w:t>2</w:t>
            </w:r>
            <w:r w:rsidR="009827F4" w:rsidRPr="00DB0315">
              <w:rPr>
                <w:rFonts w:ascii="Arial" w:hAnsi="Arial" w:cs="Arial"/>
                <w:b/>
                <w:bCs/>
                <w:color w:val="000000"/>
              </w:rPr>
              <w:t>%</w:t>
            </w:r>
          </w:p>
        </w:tc>
      </w:tr>
      <w:tr w:rsidR="009827F4" w:rsidRPr="00E17989" w14:paraId="1B67ABFA" w14:textId="77777777" w:rsidTr="00C501A0">
        <w:trPr>
          <w:trHeight w:val="300"/>
        </w:trPr>
        <w:tc>
          <w:tcPr>
            <w:tcW w:w="2405" w:type="dxa"/>
            <w:noWrap/>
            <w:hideMark/>
          </w:tcPr>
          <w:p w14:paraId="0F0F0422" w14:textId="77777777" w:rsidR="009827F4" w:rsidRPr="00DB0315" w:rsidRDefault="009827F4" w:rsidP="00C501A0">
            <w:pPr>
              <w:rPr>
                <w:rFonts w:ascii="Arial" w:hAnsi="Arial" w:cs="Arial"/>
                <w:i/>
                <w:iCs/>
                <w:color w:val="000000"/>
              </w:rPr>
            </w:pPr>
            <w:r w:rsidRPr="00DB0315">
              <w:rPr>
                <w:rFonts w:ascii="Arial" w:hAnsi="Arial" w:cs="Arial"/>
                <w:i/>
                <w:iCs/>
                <w:color w:val="000000"/>
              </w:rPr>
              <w:t>dont filiales Export</w:t>
            </w:r>
          </w:p>
        </w:tc>
        <w:tc>
          <w:tcPr>
            <w:tcW w:w="1418" w:type="dxa"/>
            <w:noWrap/>
          </w:tcPr>
          <w:p w14:paraId="4E1E3FFA" w14:textId="77777777" w:rsidR="009827F4" w:rsidRPr="00DB0315" w:rsidRDefault="009827F4" w:rsidP="006B4DBD">
            <w:pPr>
              <w:jc w:val="right"/>
              <w:rPr>
                <w:rFonts w:ascii="Arial" w:hAnsi="Arial" w:cs="Arial"/>
                <w:i/>
                <w:iCs/>
                <w:color w:val="000000"/>
              </w:rPr>
            </w:pPr>
            <w:r w:rsidRPr="00DB0315">
              <w:rPr>
                <w:rFonts w:ascii="Arial" w:hAnsi="Arial" w:cs="Arial"/>
                <w:i/>
                <w:iCs/>
                <w:color w:val="000000"/>
              </w:rPr>
              <w:t>12,9</w:t>
            </w:r>
          </w:p>
        </w:tc>
        <w:tc>
          <w:tcPr>
            <w:tcW w:w="1417" w:type="dxa"/>
            <w:noWrap/>
          </w:tcPr>
          <w:p w14:paraId="7989396D" w14:textId="4EDFA649" w:rsidR="009827F4" w:rsidRPr="00DB0315" w:rsidRDefault="009827F4" w:rsidP="006B4DBD">
            <w:pPr>
              <w:jc w:val="right"/>
              <w:rPr>
                <w:rFonts w:ascii="Arial" w:hAnsi="Arial" w:cs="Arial"/>
                <w:i/>
                <w:iCs/>
                <w:color w:val="000000"/>
              </w:rPr>
            </w:pPr>
            <w:r w:rsidRPr="00DB0315">
              <w:rPr>
                <w:rFonts w:ascii="Arial" w:hAnsi="Arial" w:cs="Arial"/>
                <w:i/>
                <w:iCs/>
                <w:color w:val="000000"/>
              </w:rPr>
              <w:t>20,</w:t>
            </w:r>
            <w:r w:rsidR="0002372F" w:rsidRPr="00DB0315">
              <w:rPr>
                <w:rFonts w:ascii="Arial" w:hAnsi="Arial" w:cs="Arial"/>
                <w:i/>
                <w:iCs/>
                <w:color w:val="000000"/>
              </w:rPr>
              <w:t>5</w:t>
            </w:r>
            <w:r w:rsidRPr="00DB0315">
              <w:rPr>
                <w:rFonts w:ascii="Arial" w:hAnsi="Arial" w:cs="Arial"/>
                <w:i/>
                <w:iCs/>
                <w:color w:val="000000"/>
              </w:rPr>
              <w:t>%</w:t>
            </w:r>
          </w:p>
        </w:tc>
        <w:tc>
          <w:tcPr>
            <w:tcW w:w="1276" w:type="dxa"/>
            <w:noWrap/>
          </w:tcPr>
          <w:p w14:paraId="206D021C" w14:textId="0A394517" w:rsidR="009827F4" w:rsidRPr="00DB0315" w:rsidRDefault="009827F4" w:rsidP="006B4DBD">
            <w:pPr>
              <w:jc w:val="right"/>
              <w:rPr>
                <w:rFonts w:ascii="Arial" w:hAnsi="Arial" w:cs="Arial"/>
                <w:i/>
                <w:iCs/>
                <w:color w:val="000000"/>
              </w:rPr>
            </w:pPr>
            <w:r w:rsidRPr="00DB0315">
              <w:rPr>
                <w:rFonts w:ascii="Arial" w:hAnsi="Arial" w:cs="Arial"/>
                <w:i/>
                <w:iCs/>
                <w:color w:val="000000"/>
              </w:rPr>
              <w:t>12</w:t>
            </w:r>
          </w:p>
        </w:tc>
        <w:tc>
          <w:tcPr>
            <w:tcW w:w="1276" w:type="dxa"/>
            <w:noWrap/>
          </w:tcPr>
          <w:p w14:paraId="10F6BB39" w14:textId="74FB1D73" w:rsidR="009827F4" w:rsidRPr="00DB0315" w:rsidRDefault="009827F4" w:rsidP="006B4DBD">
            <w:pPr>
              <w:jc w:val="right"/>
              <w:rPr>
                <w:rFonts w:ascii="Arial" w:hAnsi="Arial" w:cs="Arial"/>
                <w:i/>
                <w:iCs/>
                <w:color w:val="000000"/>
              </w:rPr>
            </w:pPr>
            <w:r w:rsidRPr="00DB0315">
              <w:rPr>
                <w:rFonts w:ascii="Arial" w:hAnsi="Arial" w:cs="Arial"/>
                <w:i/>
                <w:iCs/>
                <w:color w:val="000000"/>
              </w:rPr>
              <w:t>21,</w:t>
            </w:r>
            <w:r w:rsidR="0002372F" w:rsidRPr="00DB0315">
              <w:rPr>
                <w:rFonts w:ascii="Arial" w:hAnsi="Arial" w:cs="Arial"/>
                <w:i/>
                <w:iCs/>
                <w:color w:val="000000"/>
              </w:rPr>
              <w:t>5</w:t>
            </w:r>
            <w:r w:rsidRPr="00DB0315">
              <w:rPr>
                <w:rFonts w:ascii="Arial" w:hAnsi="Arial" w:cs="Arial"/>
                <w:i/>
                <w:iCs/>
                <w:color w:val="000000"/>
              </w:rPr>
              <w:t>%</w:t>
            </w:r>
          </w:p>
        </w:tc>
        <w:tc>
          <w:tcPr>
            <w:tcW w:w="1847" w:type="dxa"/>
            <w:noWrap/>
          </w:tcPr>
          <w:p w14:paraId="64794562" w14:textId="2AA12C95" w:rsidR="009827F4" w:rsidRPr="00DB0315" w:rsidRDefault="00A42151" w:rsidP="00820CFC">
            <w:pPr>
              <w:jc w:val="center"/>
              <w:rPr>
                <w:rFonts w:ascii="Arial" w:hAnsi="Arial" w:cs="Arial"/>
                <w:b/>
                <w:bCs/>
                <w:color w:val="000000"/>
              </w:rPr>
            </w:pPr>
            <w:r>
              <w:rPr>
                <w:rFonts w:ascii="Arial" w:hAnsi="Arial" w:cs="Arial"/>
                <w:b/>
                <w:bCs/>
                <w:color w:val="000000"/>
              </w:rPr>
              <w:t>7,5</w:t>
            </w:r>
            <w:r w:rsidR="009827F4" w:rsidRPr="00DB0315">
              <w:rPr>
                <w:rFonts w:ascii="Arial" w:hAnsi="Arial" w:cs="Arial"/>
                <w:b/>
                <w:bCs/>
                <w:color w:val="000000"/>
              </w:rPr>
              <w:t>%</w:t>
            </w:r>
          </w:p>
        </w:tc>
      </w:tr>
    </w:tbl>
    <w:p w14:paraId="6D8CBFDC" w14:textId="71E01487" w:rsidR="009827F4" w:rsidRDefault="009827F4" w:rsidP="008543FC">
      <w:pPr>
        <w:jc w:val="both"/>
        <w:rPr>
          <w:rFonts w:asciiTheme="minorHAnsi" w:hAnsiTheme="minorHAnsi"/>
          <w:sz w:val="24"/>
          <w:szCs w:val="24"/>
        </w:rPr>
      </w:pPr>
    </w:p>
    <w:p w14:paraId="1C0504A8" w14:textId="6107507A" w:rsidR="003C2DE1" w:rsidRPr="00DB0315" w:rsidRDefault="00C17D84" w:rsidP="00420F9D">
      <w:pPr>
        <w:autoSpaceDE w:val="0"/>
        <w:autoSpaceDN w:val="0"/>
        <w:adjustRightInd w:val="0"/>
        <w:jc w:val="both"/>
        <w:rPr>
          <w:rFonts w:ascii="Arial" w:hAnsi="Arial" w:cs="Arial"/>
          <w:iCs/>
          <w:color w:val="002060"/>
          <w:sz w:val="18"/>
        </w:rPr>
      </w:pPr>
      <w:r>
        <w:rPr>
          <w:rFonts w:ascii="Arial" w:hAnsi="Arial" w:cs="Arial"/>
          <w:iCs/>
          <w:color w:val="002060"/>
          <w:sz w:val="18"/>
        </w:rPr>
        <w:t xml:space="preserve">(*) </w:t>
      </w:r>
      <w:r w:rsidR="00671F2E" w:rsidRPr="00DB0315">
        <w:rPr>
          <w:rFonts w:ascii="Arial" w:hAnsi="Arial" w:cs="Arial"/>
          <w:iCs/>
          <w:color w:val="002060"/>
          <w:sz w:val="18"/>
        </w:rPr>
        <w:t>Nota</w:t>
      </w:r>
      <w:r w:rsidR="00671F2E">
        <w:rPr>
          <w:rFonts w:ascii="Arial" w:hAnsi="Arial" w:cs="Arial"/>
          <w:iCs/>
          <w:color w:val="002060"/>
          <w:sz w:val="18"/>
        </w:rPr>
        <w:t> : 2016 tient compte de l’intégration du site de Cuers à la BUC au 1</w:t>
      </w:r>
      <w:r w:rsidR="00671F2E" w:rsidRPr="00DB0315">
        <w:rPr>
          <w:rFonts w:ascii="Arial" w:hAnsi="Arial" w:cs="Arial"/>
          <w:iCs/>
          <w:color w:val="002060"/>
          <w:sz w:val="18"/>
          <w:vertAlign w:val="superscript"/>
        </w:rPr>
        <w:t>er</w:t>
      </w:r>
      <w:r w:rsidR="00671F2E">
        <w:rPr>
          <w:rFonts w:ascii="Arial" w:hAnsi="Arial" w:cs="Arial"/>
          <w:iCs/>
          <w:color w:val="002060"/>
          <w:sz w:val="18"/>
        </w:rPr>
        <w:t xml:space="preserve"> jui</w:t>
      </w:r>
      <w:r w:rsidR="005B4196">
        <w:rPr>
          <w:rFonts w:ascii="Arial" w:hAnsi="Arial" w:cs="Arial"/>
          <w:iCs/>
          <w:color w:val="002060"/>
          <w:sz w:val="18"/>
        </w:rPr>
        <w:t>llet</w:t>
      </w:r>
      <w:r w:rsidR="00671F2E">
        <w:rPr>
          <w:rFonts w:ascii="Arial" w:hAnsi="Arial" w:cs="Arial"/>
          <w:iCs/>
          <w:color w:val="002060"/>
          <w:sz w:val="18"/>
        </w:rPr>
        <w:t xml:space="preserve"> 2016. </w:t>
      </w:r>
    </w:p>
    <w:p w14:paraId="24627DD5" w14:textId="77777777" w:rsidR="003C2DE1" w:rsidRDefault="003C2DE1" w:rsidP="00420F9D">
      <w:pPr>
        <w:autoSpaceDE w:val="0"/>
        <w:autoSpaceDN w:val="0"/>
        <w:adjustRightInd w:val="0"/>
        <w:jc w:val="both"/>
        <w:rPr>
          <w:rFonts w:ascii="Arial" w:hAnsi="Arial" w:cs="Arial"/>
          <w:b/>
          <w:iCs/>
          <w:color w:val="002060"/>
          <w:sz w:val="22"/>
        </w:rPr>
      </w:pPr>
    </w:p>
    <w:p w14:paraId="797F5CC2" w14:textId="52230422" w:rsidR="00420F9D" w:rsidRDefault="002A76E8" w:rsidP="00420F9D">
      <w:pPr>
        <w:autoSpaceDE w:val="0"/>
        <w:autoSpaceDN w:val="0"/>
        <w:adjustRightInd w:val="0"/>
        <w:jc w:val="both"/>
        <w:rPr>
          <w:rFonts w:asciiTheme="minorHAnsi" w:hAnsiTheme="minorHAnsi"/>
          <w:sz w:val="24"/>
          <w:szCs w:val="24"/>
        </w:rPr>
      </w:pPr>
      <w:r>
        <w:rPr>
          <w:rFonts w:ascii="Arial" w:hAnsi="Arial" w:cs="Arial"/>
          <w:b/>
          <w:iCs/>
          <w:color w:val="002060"/>
          <w:sz w:val="22"/>
        </w:rPr>
        <w:t>Confirmation de la dynamique d</w:t>
      </w:r>
      <w:r w:rsidR="00420F9D" w:rsidRPr="00420F9D">
        <w:rPr>
          <w:rFonts w:ascii="Arial" w:hAnsi="Arial" w:cs="Arial"/>
          <w:b/>
          <w:iCs/>
          <w:color w:val="002060"/>
          <w:sz w:val="22"/>
        </w:rPr>
        <w:t>es relais de croissance</w:t>
      </w:r>
      <w:r>
        <w:rPr>
          <w:rFonts w:ascii="Arial" w:hAnsi="Arial" w:cs="Arial"/>
          <w:b/>
          <w:iCs/>
          <w:color w:val="002060"/>
          <w:sz w:val="22"/>
        </w:rPr>
        <w:t xml:space="preserve"> </w:t>
      </w:r>
    </w:p>
    <w:p w14:paraId="0727E4F5" w14:textId="77777777" w:rsidR="00800F4D" w:rsidRPr="00FE62B1" w:rsidRDefault="00800F4D" w:rsidP="00800F4D">
      <w:pPr>
        <w:jc w:val="both"/>
        <w:rPr>
          <w:rFonts w:ascii="Arial" w:hAnsi="Arial" w:cs="Arial"/>
          <w:sz w:val="24"/>
          <w:szCs w:val="24"/>
        </w:rPr>
      </w:pPr>
    </w:p>
    <w:p w14:paraId="20873F28" w14:textId="6A23A295" w:rsidR="00800F4D" w:rsidRPr="00773B48" w:rsidRDefault="00026E95" w:rsidP="00800F4D">
      <w:pPr>
        <w:jc w:val="both"/>
        <w:rPr>
          <w:rFonts w:ascii="Arial" w:hAnsi="Arial" w:cs="Arial"/>
          <w:sz w:val="22"/>
          <w:szCs w:val="24"/>
        </w:rPr>
      </w:pPr>
      <w:r>
        <w:rPr>
          <w:rFonts w:ascii="Arial" w:hAnsi="Arial" w:cs="Arial"/>
          <w:sz w:val="22"/>
          <w:szCs w:val="24"/>
        </w:rPr>
        <w:t>La</w:t>
      </w:r>
      <w:r w:rsidR="00800F4D" w:rsidRPr="00773B48">
        <w:rPr>
          <w:rFonts w:ascii="Arial" w:hAnsi="Arial" w:cs="Arial"/>
          <w:sz w:val="22"/>
          <w:szCs w:val="24"/>
        </w:rPr>
        <w:t xml:space="preserve"> croissance soutenue</w:t>
      </w:r>
      <w:r w:rsidR="00916B65" w:rsidRPr="00773B48">
        <w:rPr>
          <w:rFonts w:ascii="Arial" w:hAnsi="Arial" w:cs="Arial"/>
          <w:sz w:val="22"/>
          <w:szCs w:val="24"/>
        </w:rPr>
        <w:t xml:space="preserve"> </w:t>
      </w:r>
      <w:r>
        <w:rPr>
          <w:rFonts w:ascii="Arial" w:hAnsi="Arial" w:cs="Arial"/>
          <w:sz w:val="22"/>
          <w:szCs w:val="24"/>
        </w:rPr>
        <w:t xml:space="preserve">du chiffre d’affaires en 2016 </w:t>
      </w:r>
      <w:r w:rsidR="00800F4D" w:rsidRPr="00773B48">
        <w:rPr>
          <w:rFonts w:ascii="Arial" w:hAnsi="Arial" w:cs="Arial"/>
          <w:sz w:val="22"/>
          <w:szCs w:val="24"/>
        </w:rPr>
        <w:t>est</w:t>
      </w:r>
      <w:r w:rsidR="00F11FEF">
        <w:rPr>
          <w:rFonts w:ascii="Arial" w:hAnsi="Arial" w:cs="Arial"/>
          <w:sz w:val="22"/>
          <w:szCs w:val="24"/>
        </w:rPr>
        <w:t xml:space="preserve"> principa</w:t>
      </w:r>
      <w:r w:rsidR="00420F9D">
        <w:rPr>
          <w:rFonts w:ascii="Arial" w:hAnsi="Arial" w:cs="Arial"/>
          <w:sz w:val="22"/>
          <w:szCs w:val="24"/>
        </w:rPr>
        <w:t>l</w:t>
      </w:r>
      <w:r w:rsidR="00F11FEF">
        <w:rPr>
          <w:rFonts w:ascii="Arial" w:hAnsi="Arial" w:cs="Arial"/>
          <w:sz w:val="22"/>
          <w:szCs w:val="24"/>
        </w:rPr>
        <w:t>ement</w:t>
      </w:r>
      <w:r w:rsidR="00800F4D" w:rsidRPr="00773B48">
        <w:rPr>
          <w:rFonts w:ascii="Arial" w:hAnsi="Arial" w:cs="Arial"/>
          <w:sz w:val="22"/>
          <w:szCs w:val="24"/>
        </w:rPr>
        <w:t xml:space="preserve"> le fruit de :</w:t>
      </w:r>
    </w:p>
    <w:p w14:paraId="7C948907" w14:textId="40F33085" w:rsidR="00026E95" w:rsidRDefault="00800F4D" w:rsidP="00FA1188">
      <w:pPr>
        <w:spacing w:before="240"/>
        <w:jc w:val="both"/>
        <w:rPr>
          <w:rFonts w:ascii="Arial" w:hAnsi="Arial" w:cs="Arial"/>
          <w:sz w:val="22"/>
          <w:szCs w:val="24"/>
        </w:rPr>
      </w:pPr>
      <w:r w:rsidRPr="00DB0315">
        <w:rPr>
          <w:rFonts w:ascii="Arial" w:hAnsi="Arial" w:cs="Arial"/>
          <w:b/>
          <w:sz w:val="22"/>
          <w:szCs w:val="24"/>
        </w:rPr>
        <w:t>1/ la montée en puissance de l’activité Se</w:t>
      </w:r>
      <w:r w:rsidR="00000A40" w:rsidRPr="00DB0315">
        <w:rPr>
          <w:rFonts w:ascii="Arial" w:hAnsi="Arial" w:cs="Arial"/>
          <w:b/>
          <w:sz w:val="22"/>
          <w:szCs w:val="24"/>
        </w:rPr>
        <w:t>rvices</w:t>
      </w:r>
      <w:r w:rsidR="00000A40" w:rsidRPr="00DB0315">
        <w:rPr>
          <w:rFonts w:ascii="Arial" w:hAnsi="Arial" w:cs="Arial"/>
          <w:sz w:val="22"/>
          <w:szCs w:val="24"/>
        </w:rPr>
        <w:t xml:space="preserve"> (</w:t>
      </w:r>
      <w:r w:rsidR="00916B65" w:rsidRPr="00DB0315">
        <w:rPr>
          <w:rFonts w:ascii="Arial" w:hAnsi="Arial" w:cs="Arial"/>
          <w:sz w:val="22"/>
          <w:szCs w:val="24"/>
        </w:rPr>
        <w:t>21,7</w:t>
      </w:r>
      <w:r w:rsidR="00000A40" w:rsidRPr="00DB0315">
        <w:rPr>
          <w:rFonts w:ascii="Arial" w:hAnsi="Arial" w:cs="Arial"/>
          <w:sz w:val="22"/>
          <w:szCs w:val="24"/>
        </w:rPr>
        <w:t xml:space="preserve"> M€, +</w:t>
      </w:r>
      <w:r w:rsidR="00916B65" w:rsidRPr="00DB0315">
        <w:rPr>
          <w:rFonts w:ascii="Arial" w:hAnsi="Arial" w:cs="Arial"/>
          <w:sz w:val="22"/>
          <w:szCs w:val="24"/>
        </w:rPr>
        <w:t>23,</w:t>
      </w:r>
      <w:r w:rsidR="007928C9">
        <w:rPr>
          <w:rFonts w:ascii="Arial" w:hAnsi="Arial" w:cs="Arial"/>
          <w:sz w:val="22"/>
          <w:szCs w:val="24"/>
        </w:rPr>
        <w:t>5</w:t>
      </w:r>
      <w:r w:rsidR="00916B65" w:rsidRPr="00DB0315">
        <w:rPr>
          <w:rFonts w:ascii="Arial" w:hAnsi="Arial" w:cs="Arial"/>
          <w:sz w:val="22"/>
          <w:szCs w:val="24"/>
        </w:rPr>
        <w:t>%</w:t>
      </w:r>
      <w:r w:rsidR="00000A40" w:rsidRPr="00DB0315">
        <w:rPr>
          <w:rFonts w:ascii="Arial" w:hAnsi="Arial" w:cs="Arial"/>
          <w:sz w:val="22"/>
          <w:szCs w:val="24"/>
        </w:rPr>
        <w:t xml:space="preserve">) en lien avec le démarrage </w:t>
      </w:r>
      <w:r w:rsidR="00026E95" w:rsidRPr="00DB0315">
        <w:rPr>
          <w:rFonts w:ascii="Arial" w:hAnsi="Arial" w:cs="Arial"/>
          <w:sz w:val="22"/>
          <w:szCs w:val="24"/>
        </w:rPr>
        <w:t xml:space="preserve">progressif </w:t>
      </w:r>
      <w:r w:rsidRPr="00DB0315">
        <w:rPr>
          <w:rFonts w:ascii="Arial" w:hAnsi="Arial" w:cs="Arial"/>
          <w:sz w:val="22"/>
          <w:szCs w:val="24"/>
        </w:rPr>
        <w:t>de</w:t>
      </w:r>
      <w:r w:rsidR="00026E95" w:rsidRPr="00DB0315">
        <w:rPr>
          <w:rFonts w:ascii="Arial" w:hAnsi="Arial" w:cs="Arial"/>
          <w:sz w:val="22"/>
          <w:szCs w:val="24"/>
        </w:rPr>
        <w:t>s</w:t>
      </w:r>
      <w:r w:rsidRPr="00DB0315">
        <w:rPr>
          <w:rFonts w:ascii="Arial" w:hAnsi="Arial" w:cs="Arial"/>
          <w:sz w:val="22"/>
          <w:szCs w:val="24"/>
        </w:rPr>
        <w:t xml:space="preserve"> </w:t>
      </w:r>
      <w:r w:rsidR="00B10019">
        <w:rPr>
          <w:rFonts w:ascii="Arial" w:hAnsi="Arial" w:cs="Arial"/>
          <w:sz w:val="22"/>
          <w:szCs w:val="24"/>
        </w:rPr>
        <w:t>deux</w:t>
      </w:r>
      <w:r w:rsidRPr="00DB0315">
        <w:rPr>
          <w:rFonts w:ascii="Arial" w:hAnsi="Arial" w:cs="Arial"/>
          <w:sz w:val="22"/>
          <w:szCs w:val="24"/>
        </w:rPr>
        <w:t xml:space="preserve"> contrats significatifs</w:t>
      </w:r>
      <w:r w:rsidR="00026E95" w:rsidRPr="00DB0315">
        <w:rPr>
          <w:rFonts w:ascii="Arial" w:hAnsi="Arial" w:cs="Arial"/>
          <w:sz w:val="22"/>
          <w:szCs w:val="24"/>
        </w:rPr>
        <w:t xml:space="preserve"> annoncés en 201</w:t>
      </w:r>
      <w:r w:rsidR="000E55A7" w:rsidRPr="00DB0315">
        <w:rPr>
          <w:rFonts w:ascii="Arial" w:hAnsi="Arial" w:cs="Arial"/>
          <w:sz w:val="22"/>
          <w:szCs w:val="24"/>
        </w:rPr>
        <w:t xml:space="preserve">5, </w:t>
      </w:r>
      <w:r w:rsidRPr="00DB0315">
        <w:rPr>
          <w:rFonts w:ascii="Arial" w:hAnsi="Arial" w:cs="Arial"/>
          <w:sz w:val="22"/>
          <w:szCs w:val="24"/>
        </w:rPr>
        <w:t xml:space="preserve">l’un pour la maintenance d’équipements avioniques à usage militaire (Simmad) et l’autre pour le </w:t>
      </w:r>
      <w:r w:rsidR="00026E95" w:rsidRPr="00DB0315">
        <w:rPr>
          <w:rFonts w:ascii="Arial" w:hAnsi="Arial" w:cs="Arial"/>
          <w:sz w:val="22"/>
          <w:szCs w:val="24"/>
        </w:rPr>
        <w:t xml:space="preserve">Ministère de la Défense (SIMMT). </w:t>
      </w:r>
      <w:r w:rsidR="005424A2" w:rsidRPr="00DB0315">
        <w:rPr>
          <w:rFonts w:ascii="Arial" w:hAnsi="Arial" w:cs="Arial"/>
          <w:sz w:val="22"/>
          <w:szCs w:val="24"/>
        </w:rPr>
        <w:t>Le niveau de commandes sur l’exercice</w:t>
      </w:r>
      <w:r w:rsidR="000E55A7" w:rsidRPr="00DB0315">
        <w:rPr>
          <w:rFonts w:ascii="Arial" w:hAnsi="Arial" w:cs="Arial"/>
          <w:sz w:val="22"/>
          <w:szCs w:val="24"/>
        </w:rPr>
        <w:t xml:space="preserve"> </w:t>
      </w:r>
      <w:r w:rsidR="005424A2" w:rsidRPr="00DB0315">
        <w:rPr>
          <w:rFonts w:ascii="Arial" w:hAnsi="Arial" w:cs="Arial"/>
          <w:sz w:val="22"/>
          <w:szCs w:val="24"/>
        </w:rPr>
        <w:t>réserve</w:t>
      </w:r>
      <w:r w:rsidR="000E55A7" w:rsidRPr="00DB0315">
        <w:rPr>
          <w:rFonts w:ascii="Arial" w:hAnsi="Arial" w:cs="Arial"/>
          <w:sz w:val="22"/>
          <w:szCs w:val="24"/>
        </w:rPr>
        <w:t xml:space="preserve"> </w:t>
      </w:r>
      <w:r w:rsidR="005424A2" w:rsidRPr="00DB0315">
        <w:rPr>
          <w:rFonts w:ascii="Arial" w:hAnsi="Arial" w:cs="Arial"/>
          <w:sz w:val="22"/>
          <w:szCs w:val="24"/>
        </w:rPr>
        <w:t xml:space="preserve">des marges de progression pour atteindre </w:t>
      </w:r>
      <w:r w:rsidR="00F11FEF" w:rsidRPr="00DB0315">
        <w:rPr>
          <w:rFonts w:ascii="Arial" w:hAnsi="Arial" w:cs="Arial"/>
          <w:sz w:val="22"/>
          <w:szCs w:val="24"/>
        </w:rPr>
        <w:t>le régime</w:t>
      </w:r>
      <w:r w:rsidR="005424A2" w:rsidRPr="00DB0315">
        <w:rPr>
          <w:rFonts w:ascii="Arial" w:hAnsi="Arial" w:cs="Arial"/>
          <w:sz w:val="22"/>
          <w:szCs w:val="24"/>
        </w:rPr>
        <w:t xml:space="preserve"> cible.</w:t>
      </w:r>
    </w:p>
    <w:p w14:paraId="7F8EA530" w14:textId="57CE702B" w:rsidR="00800F4D" w:rsidRPr="00773B48" w:rsidRDefault="00026E95" w:rsidP="00FA1188">
      <w:pPr>
        <w:spacing w:before="240"/>
        <w:jc w:val="both"/>
        <w:rPr>
          <w:rFonts w:ascii="Arial" w:hAnsi="Arial" w:cs="Arial"/>
          <w:sz w:val="22"/>
          <w:szCs w:val="24"/>
        </w:rPr>
      </w:pPr>
      <w:r>
        <w:rPr>
          <w:rFonts w:ascii="Arial" w:hAnsi="Arial" w:cs="Arial"/>
          <w:sz w:val="22"/>
          <w:szCs w:val="24"/>
        </w:rPr>
        <w:t>L</w:t>
      </w:r>
      <w:r w:rsidR="00800F4D" w:rsidRPr="00773B48">
        <w:rPr>
          <w:rFonts w:ascii="Arial" w:hAnsi="Arial" w:cs="Arial"/>
          <w:sz w:val="22"/>
          <w:szCs w:val="24"/>
        </w:rPr>
        <w:t>’acti</w:t>
      </w:r>
      <w:r>
        <w:rPr>
          <w:rFonts w:ascii="Arial" w:hAnsi="Arial" w:cs="Arial"/>
          <w:sz w:val="22"/>
          <w:szCs w:val="24"/>
        </w:rPr>
        <w:t>vité Services atteint désormais 3</w:t>
      </w:r>
      <w:r w:rsidR="0075532B">
        <w:rPr>
          <w:rFonts w:ascii="Arial" w:hAnsi="Arial" w:cs="Arial"/>
          <w:sz w:val="22"/>
          <w:szCs w:val="24"/>
        </w:rPr>
        <w:t>4,6</w:t>
      </w:r>
      <w:r w:rsidR="00800F4D" w:rsidRPr="00773B48">
        <w:rPr>
          <w:rFonts w:ascii="Arial" w:hAnsi="Arial" w:cs="Arial"/>
          <w:sz w:val="22"/>
          <w:szCs w:val="24"/>
        </w:rPr>
        <w:t xml:space="preserve"> % du chiffre d’affaires consolidé du groupe</w:t>
      </w:r>
      <w:r w:rsidR="005424A2">
        <w:rPr>
          <w:rFonts w:ascii="Arial" w:hAnsi="Arial" w:cs="Arial"/>
          <w:sz w:val="22"/>
          <w:szCs w:val="24"/>
        </w:rPr>
        <w:t xml:space="preserve"> (contre 31% en 2015).</w:t>
      </w:r>
      <w:r w:rsidR="006A48D8">
        <w:rPr>
          <w:rFonts w:ascii="Arial" w:hAnsi="Arial" w:cs="Arial"/>
          <w:sz w:val="22"/>
          <w:szCs w:val="24"/>
        </w:rPr>
        <w:t xml:space="preserve"> N</w:t>
      </w:r>
      <w:r w:rsidR="00093BA4">
        <w:rPr>
          <w:rFonts w:ascii="Arial" w:hAnsi="Arial" w:cs="Arial"/>
          <w:sz w:val="22"/>
          <w:szCs w:val="24"/>
        </w:rPr>
        <w:t>ous</w:t>
      </w:r>
      <w:r w:rsidR="006A48D8">
        <w:rPr>
          <w:rFonts w:ascii="Arial" w:hAnsi="Arial" w:cs="Arial"/>
          <w:sz w:val="22"/>
          <w:szCs w:val="24"/>
        </w:rPr>
        <w:t xml:space="preserve"> offr</w:t>
      </w:r>
      <w:r w:rsidR="00093BA4">
        <w:rPr>
          <w:rFonts w:ascii="Arial" w:hAnsi="Arial" w:cs="Arial"/>
          <w:sz w:val="22"/>
          <w:szCs w:val="24"/>
        </w:rPr>
        <w:t>ons</w:t>
      </w:r>
      <w:r w:rsidR="006A48D8">
        <w:rPr>
          <w:rFonts w:ascii="Arial" w:hAnsi="Arial" w:cs="Arial"/>
          <w:sz w:val="22"/>
          <w:szCs w:val="24"/>
        </w:rPr>
        <w:t xml:space="preserve"> dans ce domaine une solution globale de maintien en </w:t>
      </w:r>
      <w:r w:rsidR="00671F2E">
        <w:rPr>
          <w:rFonts w:ascii="Arial" w:hAnsi="Arial" w:cs="Arial"/>
          <w:sz w:val="22"/>
          <w:szCs w:val="24"/>
        </w:rPr>
        <w:t>condition opérationnelle</w:t>
      </w:r>
      <w:r w:rsidR="001C3CA1">
        <w:rPr>
          <w:rFonts w:ascii="Arial" w:hAnsi="Arial" w:cs="Arial"/>
          <w:sz w:val="22"/>
          <w:szCs w:val="24"/>
        </w:rPr>
        <w:t xml:space="preserve"> </w:t>
      </w:r>
      <w:r w:rsidR="00B10019">
        <w:rPr>
          <w:rFonts w:ascii="Arial" w:hAnsi="Arial" w:cs="Arial"/>
          <w:sz w:val="22"/>
          <w:szCs w:val="24"/>
        </w:rPr>
        <w:t xml:space="preserve">associant assistance technique, logistique et </w:t>
      </w:r>
      <w:r w:rsidR="00093BA4">
        <w:rPr>
          <w:rFonts w:ascii="Arial" w:hAnsi="Arial" w:cs="Arial"/>
          <w:sz w:val="22"/>
          <w:szCs w:val="24"/>
        </w:rPr>
        <w:t>maintenance</w:t>
      </w:r>
      <w:r w:rsidR="0075532B">
        <w:rPr>
          <w:rFonts w:ascii="Arial" w:hAnsi="Arial" w:cs="Arial"/>
          <w:sz w:val="22"/>
          <w:szCs w:val="24"/>
        </w:rPr>
        <w:t>,</w:t>
      </w:r>
      <w:r w:rsidR="00093BA4">
        <w:rPr>
          <w:rFonts w:ascii="Arial" w:hAnsi="Arial" w:cs="Arial"/>
          <w:sz w:val="22"/>
          <w:szCs w:val="24"/>
        </w:rPr>
        <w:t xml:space="preserve"> disponible sur tous nos secteurs d’activité</w:t>
      </w:r>
      <w:r w:rsidR="0075532B">
        <w:rPr>
          <w:rFonts w:ascii="Arial" w:hAnsi="Arial" w:cs="Arial"/>
          <w:sz w:val="22"/>
          <w:szCs w:val="24"/>
        </w:rPr>
        <w:t>s</w:t>
      </w:r>
      <w:r w:rsidR="00093BA4">
        <w:rPr>
          <w:rFonts w:ascii="Arial" w:hAnsi="Arial" w:cs="Arial"/>
          <w:sz w:val="22"/>
          <w:szCs w:val="24"/>
        </w:rPr>
        <w:t> : aéronautique, défense</w:t>
      </w:r>
      <w:r w:rsidR="0075532B">
        <w:rPr>
          <w:rFonts w:ascii="Arial" w:hAnsi="Arial" w:cs="Arial"/>
          <w:sz w:val="22"/>
          <w:szCs w:val="24"/>
        </w:rPr>
        <w:t>, ferroviaire et</w:t>
      </w:r>
      <w:r w:rsidR="00093BA4">
        <w:rPr>
          <w:rFonts w:ascii="Arial" w:hAnsi="Arial" w:cs="Arial"/>
          <w:sz w:val="22"/>
          <w:szCs w:val="24"/>
        </w:rPr>
        <w:t xml:space="preserve"> électronique.</w:t>
      </w:r>
    </w:p>
    <w:p w14:paraId="28095BAB" w14:textId="77777777" w:rsidR="005424A2" w:rsidRDefault="00800F4D" w:rsidP="00D97C44">
      <w:pPr>
        <w:spacing w:before="240"/>
        <w:jc w:val="both"/>
        <w:rPr>
          <w:rFonts w:ascii="Arial" w:hAnsi="Arial" w:cs="Arial"/>
          <w:b/>
          <w:sz w:val="22"/>
          <w:szCs w:val="24"/>
        </w:rPr>
      </w:pPr>
      <w:r w:rsidRPr="005424A2">
        <w:rPr>
          <w:rFonts w:ascii="Arial" w:hAnsi="Arial" w:cs="Arial"/>
          <w:b/>
          <w:sz w:val="22"/>
          <w:szCs w:val="24"/>
        </w:rPr>
        <w:lastRenderedPageBreak/>
        <w:t xml:space="preserve">2/ </w:t>
      </w:r>
      <w:r w:rsidR="00212182" w:rsidRPr="005424A2">
        <w:rPr>
          <w:rFonts w:ascii="Arial" w:hAnsi="Arial" w:cs="Arial"/>
          <w:b/>
          <w:sz w:val="22"/>
          <w:szCs w:val="24"/>
        </w:rPr>
        <w:t>la progression d</w:t>
      </w:r>
      <w:r w:rsidR="005424A2">
        <w:rPr>
          <w:rFonts w:ascii="Arial" w:hAnsi="Arial" w:cs="Arial"/>
          <w:b/>
          <w:sz w:val="22"/>
          <w:szCs w:val="24"/>
        </w:rPr>
        <w:t>e l’activité à l’international</w:t>
      </w:r>
    </w:p>
    <w:p w14:paraId="2C4F8AEE" w14:textId="77777777" w:rsidR="00000A40" w:rsidRPr="00773B48" w:rsidRDefault="00000A40" w:rsidP="00800F4D">
      <w:pPr>
        <w:pStyle w:val="Corpsdetexte"/>
        <w:rPr>
          <w:rFonts w:cs="Arial"/>
          <w:sz w:val="22"/>
          <w:szCs w:val="24"/>
        </w:rPr>
      </w:pPr>
    </w:p>
    <w:p w14:paraId="136D2B9B" w14:textId="4BBCEB53" w:rsidR="00C67CB2" w:rsidRDefault="00C67CB2" w:rsidP="00C67CB2">
      <w:pPr>
        <w:pStyle w:val="Corpsdetexte"/>
        <w:rPr>
          <w:rFonts w:cs="Arial"/>
          <w:sz w:val="22"/>
          <w:szCs w:val="24"/>
        </w:rPr>
      </w:pPr>
      <w:r w:rsidRPr="00773B48">
        <w:rPr>
          <w:rFonts w:cs="Arial"/>
          <w:sz w:val="22"/>
          <w:szCs w:val="24"/>
        </w:rPr>
        <w:t xml:space="preserve">Le chiffre d’affaires </w:t>
      </w:r>
      <w:r w:rsidRPr="00014DAA">
        <w:rPr>
          <w:rFonts w:cs="Arial"/>
          <w:sz w:val="22"/>
          <w:szCs w:val="24"/>
        </w:rPr>
        <w:t xml:space="preserve">export (réalisé depuis la France et depuis les filiales internationales) </w:t>
      </w:r>
      <w:r w:rsidRPr="00F65EBB">
        <w:rPr>
          <w:rFonts w:cs="Arial"/>
          <w:sz w:val="22"/>
          <w:szCs w:val="24"/>
        </w:rPr>
        <w:t>représente 36</w:t>
      </w:r>
      <w:r w:rsidR="0075532B">
        <w:rPr>
          <w:rFonts w:cs="Arial"/>
          <w:sz w:val="22"/>
          <w:szCs w:val="24"/>
        </w:rPr>
        <w:t>,5</w:t>
      </w:r>
      <w:r w:rsidRPr="00F65EBB">
        <w:rPr>
          <w:rFonts w:cs="Arial"/>
          <w:sz w:val="22"/>
          <w:szCs w:val="24"/>
        </w:rPr>
        <w:t>% du chiffre d’affaires consolidé de la période</w:t>
      </w:r>
      <w:r>
        <w:rPr>
          <w:rFonts w:cs="Arial"/>
          <w:sz w:val="22"/>
          <w:szCs w:val="24"/>
        </w:rPr>
        <w:t xml:space="preserve"> et </w:t>
      </w:r>
      <w:r w:rsidRPr="00014DAA">
        <w:rPr>
          <w:rFonts w:cs="Arial"/>
          <w:sz w:val="22"/>
          <w:szCs w:val="24"/>
        </w:rPr>
        <w:t xml:space="preserve">est en </w:t>
      </w:r>
      <w:r>
        <w:rPr>
          <w:rFonts w:cs="Arial"/>
          <w:sz w:val="22"/>
          <w:szCs w:val="24"/>
        </w:rPr>
        <w:t xml:space="preserve">légère </w:t>
      </w:r>
      <w:r w:rsidRPr="00014DAA">
        <w:rPr>
          <w:rFonts w:cs="Arial"/>
          <w:sz w:val="22"/>
          <w:szCs w:val="24"/>
        </w:rPr>
        <w:t xml:space="preserve">progression de </w:t>
      </w:r>
      <w:r w:rsidR="0075532B">
        <w:rPr>
          <w:rFonts w:cs="Arial"/>
          <w:sz w:val="22"/>
          <w:szCs w:val="24"/>
        </w:rPr>
        <w:t>2</w:t>
      </w:r>
      <w:r w:rsidR="00A42151">
        <w:rPr>
          <w:rFonts w:cs="Arial"/>
          <w:sz w:val="22"/>
          <w:szCs w:val="24"/>
        </w:rPr>
        <w:t>,2</w:t>
      </w:r>
      <w:r w:rsidRPr="009527EA">
        <w:rPr>
          <w:rFonts w:cs="Arial"/>
          <w:sz w:val="22"/>
          <w:szCs w:val="24"/>
        </w:rPr>
        <w:t>% à 22,9 M</w:t>
      </w:r>
      <w:r w:rsidRPr="00014DAA">
        <w:rPr>
          <w:rFonts w:cs="Arial"/>
          <w:sz w:val="22"/>
          <w:szCs w:val="24"/>
        </w:rPr>
        <w:t>€</w:t>
      </w:r>
      <w:r>
        <w:rPr>
          <w:rFonts w:cs="Arial"/>
          <w:sz w:val="22"/>
          <w:szCs w:val="24"/>
        </w:rPr>
        <w:t xml:space="preserve">. La croissance à l’international est atténuée à date par le recul de l’activité au Canada qui masque les bonnes performances observées notamment au Brésil et en Inde. </w:t>
      </w:r>
    </w:p>
    <w:p w14:paraId="154493AF" w14:textId="77777777" w:rsidR="00420F9D" w:rsidRPr="00DB0315" w:rsidRDefault="00420F9D" w:rsidP="00800F4D">
      <w:pPr>
        <w:pStyle w:val="Corpsdetexte"/>
        <w:rPr>
          <w:rFonts w:cs="Arial"/>
          <w:sz w:val="22"/>
          <w:szCs w:val="24"/>
        </w:rPr>
      </w:pPr>
    </w:p>
    <w:p w14:paraId="50E3EF72" w14:textId="48437896" w:rsidR="00420F9D" w:rsidRPr="00DB0315" w:rsidRDefault="005424A2" w:rsidP="00800F4D">
      <w:pPr>
        <w:pStyle w:val="Corpsdetexte"/>
        <w:rPr>
          <w:rFonts w:cs="Arial"/>
          <w:sz w:val="22"/>
          <w:szCs w:val="24"/>
        </w:rPr>
      </w:pPr>
      <w:r w:rsidRPr="00DB0315">
        <w:rPr>
          <w:rFonts w:cs="Arial"/>
          <w:sz w:val="22"/>
          <w:szCs w:val="24"/>
        </w:rPr>
        <w:t xml:space="preserve">Au Brésil, le Groupe a multiplié son chiffre d’affaires par </w:t>
      </w:r>
      <w:r w:rsidR="000067FB" w:rsidRPr="00DB0315">
        <w:rPr>
          <w:rFonts w:cs="Arial"/>
          <w:sz w:val="22"/>
          <w:szCs w:val="24"/>
        </w:rPr>
        <w:t>3,4 sur l’exercice</w:t>
      </w:r>
      <w:r w:rsidRPr="00DB0315">
        <w:rPr>
          <w:rFonts w:cs="Arial"/>
          <w:sz w:val="22"/>
          <w:szCs w:val="24"/>
        </w:rPr>
        <w:t xml:space="preserve"> </w:t>
      </w:r>
      <w:r w:rsidR="001050C1" w:rsidRPr="00DB0315">
        <w:rPr>
          <w:rFonts w:cs="Arial"/>
          <w:sz w:val="22"/>
          <w:szCs w:val="24"/>
        </w:rPr>
        <w:t xml:space="preserve">grâce à l’obtention de contrats locaux significatifs pour l’industrie </w:t>
      </w:r>
      <w:r w:rsidR="00565A86" w:rsidRPr="00DB0315">
        <w:rPr>
          <w:rFonts w:cs="Arial"/>
          <w:sz w:val="22"/>
          <w:szCs w:val="24"/>
        </w:rPr>
        <w:t>de défense terrestre</w:t>
      </w:r>
      <w:r w:rsidR="007E5206" w:rsidRPr="00DB0315">
        <w:rPr>
          <w:rFonts w:cs="Arial"/>
          <w:sz w:val="22"/>
          <w:szCs w:val="24"/>
        </w:rPr>
        <w:t>, portant le CA à 4,7 M€</w:t>
      </w:r>
      <w:r w:rsidR="001050C1" w:rsidRPr="00DB0315">
        <w:rPr>
          <w:rFonts w:cs="Arial"/>
          <w:sz w:val="22"/>
          <w:szCs w:val="24"/>
        </w:rPr>
        <w:t>.</w:t>
      </w:r>
    </w:p>
    <w:p w14:paraId="08E3BF88" w14:textId="77777777" w:rsidR="00420F9D" w:rsidRPr="00DB0315" w:rsidRDefault="00420F9D" w:rsidP="00800F4D">
      <w:pPr>
        <w:pStyle w:val="Corpsdetexte"/>
        <w:rPr>
          <w:rFonts w:cs="Arial"/>
          <w:sz w:val="22"/>
          <w:szCs w:val="24"/>
        </w:rPr>
      </w:pPr>
    </w:p>
    <w:p w14:paraId="6E4ABE3B" w14:textId="78F5167D" w:rsidR="00420F9D" w:rsidRDefault="000067FB" w:rsidP="00800F4D">
      <w:pPr>
        <w:pStyle w:val="Corpsdetexte"/>
        <w:rPr>
          <w:rFonts w:cs="Arial"/>
          <w:sz w:val="22"/>
          <w:szCs w:val="24"/>
        </w:rPr>
      </w:pPr>
      <w:r w:rsidRPr="00DB0315">
        <w:rPr>
          <w:rFonts w:cs="Arial"/>
          <w:sz w:val="22"/>
          <w:szCs w:val="24"/>
        </w:rPr>
        <w:t>En Inde, l</w:t>
      </w:r>
      <w:r w:rsidR="008A50AF">
        <w:rPr>
          <w:rFonts w:cs="Arial"/>
          <w:sz w:val="22"/>
          <w:szCs w:val="24"/>
        </w:rPr>
        <w:t xml:space="preserve">a contribution de </w:t>
      </w:r>
      <w:r w:rsidRPr="00DB0315">
        <w:rPr>
          <w:rFonts w:cs="Arial"/>
          <w:sz w:val="22"/>
          <w:szCs w:val="24"/>
        </w:rPr>
        <w:t xml:space="preserve">la filiale Hical-NSE </w:t>
      </w:r>
      <w:r w:rsidR="008A50AF">
        <w:rPr>
          <w:rFonts w:cs="Arial"/>
          <w:sz w:val="22"/>
          <w:szCs w:val="24"/>
        </w:rPr>
        <w:t xml:space="preserve">à plus que doublé et atteint 0,5 M </w:t>
      </w:r>
      <w:r w:rsidR="00487215" w:rsidRPr="00DB0315">
        <w:rPr>
          <w:rFonts w:cs="Arial"/>
          <w:sz w:val="22"/>
          <w:szCs w:val="24"/>
        </w:rPr>
        <w:t>€</w:t>
      </w:r>
      <w:r w:rsidR="008A50AF">
        <w:rPr>
          <w:rFonts w:cs="Arial"/>
          <w:sz w:val="22"/>
          <w:szCs w:val="24"/>
        </w:rPr>
        <w:t>compte tenu de la progression de l’activité (+22% à 1M</w:t>
      </w:r>
      <w:r w:rsidR="00487215" w:rsidRPr="00DB0315">
        <w:rPr>
          <w:rFonts w:cs="Arial"/>
          <w:sz w:val="22"/>
          <w:szCs w:val="24"/>
        </w:rPr>
        <w:t>€</w:t>
      </w:r>
      <w:r w:rsidR="008A50AF">
        <w:rPr>
          <w:rFonts w:cs="Arial"/>
          <w:sz w:val="22"/>
          <w:szCs w:val="24"/>
        </w:rPr>
        <w:t xml:space="preserve">) et de la hausse de la participation des NSE au capital (de 26% à 49%). </w:t>
      </w:r>
      <w:r w:rsidR="00163DB0" w:rsidRPr="00DB0315">
        <w:rPr>
          <w:rFonts w:cs="Arial"/>
          <w:sz w:val="22"/>
          <w:szCs w:val="24"/>
        </w:rPr>
        <w:t xml:space="preserve">Cette société poursuit son développement en activité de câblage et intégration d’équipements électroniques </w:t>
      </w:r>
      <w:r w:rsidR="0049493E" w:rsidRPr="00DB0315">
        <w:rPr>
          <w:rFonts w:cs="Arial"/>
          <w:sz w:val="22"/>
          <w:szCs w:val="24"/>
        </w:rPr>
        <w:t>e</w:t>
      </w:r>
      <w:r w:rsidR="00C17D84">
        <w:rPr>
          <w:rFonts w:cs="Arial"/>
          <w:sz w:val="22"/>
          <w:szCs w:val="24"/>
        </w:rPr>
        <w:t>t</w:t>
      </w:r>
      <w:r w:rsidR="0049493E" w:rsidRPr="00DB0315">
        <w:rPr>
          <w:rFonts w:cs="Arial"/>
          <w:sz w:val="22"/>
          <w:szCs w:val="24"/>
        </w:rPr>
        <w:t xml:space="preserve"> compt</w:t>
      </w:r>
      <w:r w:rsidR="00C17D84">
        <w:rPr>
          <w:rFonts w:cs="Arial"/>
          <w:sz w:val="22"/>
          <w:szCs w:val="24"/>
        </w:rPr>
        <w:t>e</w:t>
      </w:r>
      <w:r w:rsidR="0049493E" w:rsidRPr="00DB0315">
        <w:rPr>
          <w:rFonts w:cs="Arial"/>
          <w:sz w:val="22"/>
          <w:szCs w:val="24"/>
        </w:rPr>
        <w:t xml:space="preserve"> sur la hausse des marchés de compensation</w:t>
      </w:r>
      <w:r w:rsidR="001050C1" w:rsidRPr="00DB0315">
        <w:rPr>
          <w:rFonts w:cs="Arial"/>
          <w:sz w:val="22"/>
          <w:szCs w:val="24"/>
        </w:rPr>
        <w:t>.</w:t>
      </w:r>
    </w:p>
    <w:p w14:paraId="06A05C1A" w14:textId="77777777" w:rsidR="00420F9D" w:rsidRDefault="00420F9D" w:rsidP="00800F4D">
      <w:pPr>
        <w:pStyle w:val="Corpsdetexte"/>
        <w:rPr>
          <w:rFonts w:cs="Arial"/>
          <w:sz w:val="22"/>
          <w:szCs w:val="24"/>
        </w:rPr>
      </w:pPr>
    </w:p>
    <w:p w14:paraId="57E03095" w14:textId="6D6CA2E8" w:rsidR="00C67CB2" w:rsidRDefault="00487215" w:rsidP="00C67CB2">
      <w:pPr>
        <w:pStyle w:val="Corpsdetexte"/>
        <w:rPr>
          <w:rFonts w:cs="Arial"/>
          <w:sz w:val="22"/>
          <w:szCs w:val="24"/>
        </w:rPr>
      </w:pPr>
      <w:r>
        <w:rPr>
          <w:rFonts w:cs="Arial"/>
          <w:sz w:val="22"/>
          <w:szCs w:val="24"/>
        </w:rPr>
        <w:t>L</w:t>
      </w:r>
      <w:r w:rsidR="00C67CB2" w:rsidRPr="00773B48">
        <w:rPr>
          <w:rFonts w:cs="Arial"/>
          <w:sz w:val="22"/>
          <w:szCs w:val="24"/>
        </w:rPr>
        <w:t xml:space="preserve">e chiffre d’affaires </w:t>
      </w:r>
      <w:r w:rsidR="00C67CB2">
        <w:rPr>
          <w:rFonts w:cs="Arial"/>
          <w:sz w:val="22"/>
          <w:szCs w:val="24"/>
        </w:rPr>
        <w:t>au</w:t>
      </w:r>
      <w:r w:rsidR="00C67CB2" w:rsidRPr="00773B48">
        <w:rPr>
          <w:rFonts w:cs="Arial"/>
          <w:sz w:val="22"/>
          <w:szCs w:val="24"/>
        </w:rPr>
        <w:t xml:space="preserve"> Canada </w:t>
      </w:r>
      <w:r w:rsidR="00C67CB2">
        <w:rPr>
          <w:rFonts w:cs="Arial"/>
          <w:sz w:val="22"/>
          <w:szCs w:val="24"/>
        </w:rPr>
        <w:t>est resté</w:t>
      </w:r>
      <w:r w:rsidR="00C67CB2" w:rsidRPr="00773B48">
        <w:rPr>
          <w:rFonts w:cs="Arial"/>
          <w:sz w:val="22"/>
          <w:szCs w:val="24"/>
        </w:rPr>
        <w:t xml:space="preserve"> </w:t>
      </w:r>
      <w:r w:rsidR="00C67CB2">
        <w:rPr>
          <w:rFonts w:cs="Arial"/>
          <w:sz w:val="22"/>
          <w:szCs w:val="24"/>
        </w:rPr>
        <w:t xml:space="preserve">affecté </w:t>
      </w:r>
      <w:r w:rsidR="00C67CB2" w:rsidRPr="00773B48">
        <w:rPr>
          <w:rFonts w:cs="Arial"/>
          <w:sz w:val="22"/>
          <w:szCs w:val="24"/>
        </w:rPr>
        <w:t>en 2016 par la concurrence d’une société dét</w:t>
      </w:r>
      <w:r w:rsidR="00C67CB2">
        <w:rPr>
          <w:rFonts w:cs="Arial"/>
          <w:sz w:val="22"/>
          <w:szCs w:val="24"/>
        </w:rPr>
        <w:t xml:space="preserve">enue par d’anciens actionnaires, envers laquelle </w:t>
      </w:r>
      <w:r w:rsidR="00C67CB2" w:rsidRPr="00773B48">
        <w:rPr>
          <w:rFonts w:cs="Arial"/>
          <w:sz w:val="22"/>
          <w:szCs w:val="24"/>
        </w:rPr>
        <w:t xml:space="preserve">NSE a initié </w:t>
      </w:r>
      <w:r w:rsidR="00C67CB2">
        <w:rPr>
          <w:rFonts w:cs="Arial"/>
          <w:sz w:val="22"/>
          <w:szCs w:val="24"/>
        </w:rPr>
        <w:t xml:space="preserve">en 2016 </w:t>
      </w:r>
      <w:r w:rsidR="00C67CB2" w:rsidRPr="00773B48">
        <w:rPr>
          <w:rFonts w:cs="Arial"/>
          <w:sz w:val="22"/>
          <w:szCs w:val="24"/>
        </w:rPr>
        <w:t>une procédure judiciaire pour concurrence déloyale (vo</w:t>
      </w:r>
      <w:r w:rsidR="00C67CB2">
        <w:rPr>
          <w:rFonts w:cs="Arial"/>
          <w:sz w:val="22"/>
          <w:szCs w:val="24"/>
        </w:rPr>
        <w:t>ir communiqué du 16 avril 2016). Le groupe espère en conséquence stabiliser le niveau des ventes en 2017.</w:t>
      </w:r>
    </w:p>
    <w:p w14:paraId="16D99E60" w14:textId="77777777" w:rsidR="00AA790A" w:rsidRPr="00773B48" w:rsidRDefault="00AA790A" w:rsidP="00800F4D">
      <w:pPr>
        <w:pStyle w:val="Corpsdetexte"/>
        <w:rPr>
          <w:rFonts w:cs="Arial"/>
          <w:sz w:val="22"/>
          <w:szCs w:val="24"/>
        </w:rPr>
      </w:pPr>
    </w:p>
    <w:p w14:paraId="6814D064" w14:textId="77777777" w:rsidR="00C67CB2" w:rsidRPr="009527EA" w:rsidRDefault="00C67CB2" w:rsidP="00C67CB2">
      <w:pPr>
        <w:autoSpaceDE w:val="0"/>
        <w:autoSpaceDN w:val="0"/>
        <w:adjustRightInd w:val="0"/>
        <w:jc w:val="both"/>
        <w:rPr>
          <w:rFonts w:ascii="Arial" w:hAnsi="Arial" w:cs="Arial"/>
          <w:b/>
          <w:iCs/>
          <w:color w:val="002060"/>
          <w:sz w:val="22"/>
        </w:rPr>
      </w:pPr>
      <w:r w:rsidRPr="009527EA">
        <w:rPr>
          <w:rFonts w:ascii="Arial" w:hAnsi="Arial" w:cs="Arial"/>
          <w:b/>
          <w:iCs/>
          <w:color w:val="002060"/>
          <w:sz w:val="22"/>
        </w:rPr>
        <w:t>Atteinte des objectifs d’optimisation de la performance industrielle en France</w:t>
      </w:r>
      <w:r>
        <w:rPr>
          <w:rFonts w:ascii="Arial" w:hAnsi="Arial" w:cs="Arial"/>
          <w:b/>
          <w:sz w:val="22"/>
          <w:szCs w:val="24"/>
        </w:rPr>
        <w:t xml:space="preserve"> </w:t>
      </w:r>
    </w:p>
    <w:p w14:paraId="018B760E" w14:textId="77777777" w:rsidR="00C67CB2" w:rsidRPr="009527EA" w:rsidRDefault="00C67CB2" w:rsidP="00C67CB2">
      <w:pPr>
        <w:autoSpaceDE w:val="0"/>
        <w:autoSpaceDN w:val="0"/>
        <w:adjustRightInd w:val="0"/>
        <w:jc w:val="both"/>
        <w:rPr>
          <w:rFonts w:ascii="Arial" w:hAnsi="Arial" w:cs="Arial"/>
          <w:b/>
          <w:iCs/>
          <w:color w:val="002060"/>
          <w:sz w:val="22"/>
        </w:rPr>
      </w:pPr>
    </w:p>
    <w:p w14:paraId="5E3CB5E0" w14:textId="77777777" w:rsidR="00C67CB2" w:rsidRPr="009527EA" w:rsidRDefault="00C67CB2" w:rsidP="00C67CB2">
      <w:pPr>
        <w:jc w:val="both"/>
        <w:rPr>
          <w:rFonts w:ascii="Arial" w:hAnsi="Arial" w:cs="Arial"/>
          <w:iCs/>
          <w:sz w:val="22"/>
          <w:szCs w:val="24"/>
        </w:rPr>
      </w:pPr>
      <w:r w:rsidRPr="009527EA">
        <w:rPr>
          <w:rFonts w:ascii="Arial" w:hAnsi="Arial" w:cs="Arial"/>
          <w:iCs/>
          <w:sz w:val="22"/>
          <w:szCs w:val="24"/>
        </w:rPr>
        <w:t>L</w:t>
      </w:r>
      <w:r>
        <w:rPr>
          <w:rFonts w:ascii="Arial" w:hAnsi="Arial" w:cs="Arial"/>
          <w:iCs/>
          <w:sz w:val="22"/>
          <w:szCs w:val="24"/>
        </w:rPr>
        <w:t>e Groupe a finalisé conformément au calendrier initial la réorganisation de ses sites de production en France, qui consistait en la</w:t>
      </w:r>
      <w:r w:rsidRPr="009527EA">
        <w:rPr>
          <w:rFonts w:ascii="Arial" w:hAnsi="Arial" w:cs="Arial"/>
          <w:iCs/>
          <w:sz w:val="22"/>
          <w:szCs w:val="24"/>
        </w:rPr>
        <w:t xml:space="preserve"> fermeture du site d</w:t>
      </w:r>
      <w:r>
        <w:rPr>
          <w:rFonts w:ascii="Arial" w:hAnsi="Arial" w:cs="Arial"/>
          <w:iCs/>
          <w:sz w:val="22"/>
          <w:szCs w:val="24"/>
        </w:rPr>
        <w:t>e production d</w:t>
      </w:r>
      <w:r w:rsidRPr="009527EA">
        <w:rPr>
          <w:rFonts w:ascii="Arial" w:hAnsi="Arial" w:cs="Arial"/>
          <w:iCs/>
          <w:sz w:val="22"/>
          <w:szCs w:val="24"/>
        </w:rPr>
        <w:t>’Emerainville</w:t>
      </w:r>
      <w:r>
        <w:rPr>
          <w:rFonts w:ascii="Arial" w:hAnsi="Arial" w:cs="Arial"/>
          <w:iCs/>
          <w:sz w:val="22"/>
          <w:szCs w:val="24"/>
        </w:rPr>
        <w:t xml:space="preserve">, pour le redéployer sur les autres sites du groupe. </w:t>
      </w:r>
    </w:p>
    <w:p w14:paraId="5A1A3475" w14:textId="77777777" w:rsidR="00C67CB2" w:rsidRDefault="00C67CB2" w:rsidP="00C67CB2">
      <w:pPr>
        <w:jc w:val="both"/>
        <w:rPr>
          <w:rFonts w:ascii="Arial" w:hAnsi="Arial" w:cs="Arial"/>
          <w:iCs/>
          <w:sz w:val="22"/>
          <w:szCs w:val="24"/>
        </w:rPr>
      </w:pPr>
    </w:p>
    <w:p w14:paraId="3A5B48E4" w14:textId="183ED434" w:rsidR="00C67CB2" w:rsidRPr="00B10019" w:rsidRDefault="00C67CB2" w:rsidP="00C67CB2">
      <w:pPr>
        <w:jc w:val="both"/>
        <w:rPr>
          <w:rFonts w:ascii="Arial" w:hAnsi="Arial" w:cs="Arial"/>
          <w:iCs/>
          <w:sz w:val="22"/>
          <w:szCs w:val="24"/>
        </w:rPr>
      </w:pPr>
      <w:r w:rsidRPr="00B10019">
        <w:rPr>
          <w:rFonts w:ascii="Arial" w:hAnsi="Arial" w:cs="Arial"/>
          <w:iCs/>
          <w:sz w:val="22"/>
          <w:szCs w:val="24"/>
        </w:rPr>
        <w:t>Par ailleurs, les chantiers d’amélioration de la performance industrielle, menés sous l’égide du GIFAS</w:t>
      </w:r>
      <w:r w:rsidRPr="00B10019">
        <w:rPr>
          <w:rStyle w:val="Appelnotedebasdep"/>
          <w:rFonts w:ascii="Arial" w:hAnsi="Arial" w:cs="Arial"/>
          <w:iCs/>
          <w:sz w:val="22"/>
          <w:szCs w:val="24"/>
        </w:rPr>
        <w:footnoteReference w:id="1"/>
      </w:r>
      <w:r w:rsidRPr="00B10019">
        <w:rPr>
          <w:rFonts w:ascii="Arial" w:hAnsi="Arial" w:cs="Arial"/>
          <w:iCs/>
          <w:sz w:val="22"/>
          <w:szCs w:val="24"/>
        </w:rPr>
        <w:t>, se sont achevés fin décembre avec des résultats tangibles, sources de gain de compétitivité.</w:t>
      </w:r>
    </w:p>
    <w:p w14:paraId="5B082B3E" w14:textId="77777777" w:rsidR="00C67CB2" w:rsidRPr="00B10019" w:rsidRDefault="00C67CB2" w:rsidP="00C67CB2">
      <w:pPr>
        <w:jc w:val="both"/>
        <w:rPr>
          <w:rFonts w:ascii="Arial" w:hAnsi="Arial" w:cs="Arial"/>
          <w:iCs/>
          <w:sz w:val="22"/>
          <w:szCs w:val="24"/>
        </w:rPr>
      </w:pPr>
    </w:p>
    <w:p w14:paraId="636FD040" w14:textId="1FB52E68" w:rsidR="00C67CB2" w:rsidRPr="00B10019" w:rsidRDefault="00C67CB2" w:rsidP="00C67CB2">
      <w:pPr>
        <w:jc w:val="both"/>
        <w:rPr>
          <w:rFonts w:ascii="Arial" w:hAnsi="Arial" w:cs="Arial"/>
          <w:iCs/>
          <w:sz w:val="22"/>
          <w:szCs w:val="24"/>
        </w:rPr>
      </w:pPr>
      <w:r w:rsidRPr="00B10019">
        <w:rPr>
          <w:rFonts w:ascii="Arial" w:hAnsi="Arial" w:cs="Arial"/>
          <w:iCs/>
          <w:sz w:val="22"/>
          <w:szCs w:val="24"/>
        </w:rPr>
        <w:t>En parallèle, NSE poursuit ses actions visant à réduire les coûts de fonctionnement.</w:t>
      </w:r>
    </w:p>
    <w:p w14:paraId="6EACEDC0" w14:textId="77777777" w:rsidR="00566FD3" w:rsidRPr="00B10019" w:rsidRDefault="00566FD3" w:rsidP="00800F4D">
      <w:pPr>
        <w:jc w:val="both"/>
        <w:rPr>
          <w:rFonts w:ascii="Arial" w:hAnsi="Arial" w:cs="Arial"/>
          <w:b/>
          <w:iCs/>
          <w:color w:val="002060"/>
          <w:sz w:val="22"/>
          <w:szCs w:val="24"/>
        </w:rPr>
      </w:pPr>
    </w:p>
    <w:p w14:paraId="6C324622" w14:textId="77777777" w:rsidR="00C67CB2" w:rsidRPr="00B10019" w:rsidRDefault="00C67CB2" w:rsidP="00C67CB2">
      <w:pPr>
        <w:jc w:val="both"/>
        <w:rPr>
          <w:rFonts w:ascii="Arial" w:hAnsi="Arial" w:cs="Arial"/>
          <w:b/>
          <w:iCs/>
          <w:color w:val="002060"/>
          <w:sz w:val="22"/>
          <w:szCs w:val="24"/>
        </w:rPr>
      </w:pPr>
      <w:r w:rsidRPr="00B10019">
        <w:rPr>
          <w:rFonts w:ascii="Arial" w:hAnsi="Arial" w:cs="Arial"/>
          <w:b/>
          <w:iCs/>
          <w:color w:val="002060"/>
          <w:sz w:val="22"/>
          <w:szCs w:val="24"/>
        </w:rPr>
        <w:t xml:space="preserve">Perspectives </w:t>
      </w:r>
    </w:p>
    <w:p w14:paraId="5FB97E16" w14:textId="77777777" w:rsidR="00C67CB2" w:rsidRPr="00B10019" w:rsidRDefault="00C67CB2" w:rsidP="00C67CB2">
      <w:pPr>
        <w:jc w:val="both"/>
        <w:rPr>
          <w:rFonts w:ascii="Arial" w:hAnsi="Arial" w:cs="Arial"/>
          <w:sz w:val="22"/>
          <w:szCs w:val="24"/>
        </w:rPr>
      </w:pPr>
    </w:p>
    <w:p w14:paraId="6A26F605" w14:textId="6AC7309F" w:rsidR="00C67CB2" w:rsidRPr="00D70247" w:rsidRDefault="00C67CB2" w:rsidP="00C67CB2">
      <w:pPr>
        <w:jc w:val="both"/>
        <w:rPr>
          <w:rFonts w:ascii="Arial" w:hAnsi="Arial" w:cs="Arial"/>
          <w:sz w:val="22"/>
          <w:szCs w:val="24"/>
        </w:rPr>
      </w:pPr>
      <w:r w:rsidRPr="00B10019">
        <w:rPr>
          <w:rFonts w:ascii="Arial" w:hAnsi="Arial" w:cs="Arial"/>
          <w:sz w:val="22"/>
          <w:szCs w:val="24"/>
        </w:rPr>
        <w:t xml:space="preserve">Après une année 2015 de transition, NSE a renoué avec la croissance du chiffre d’affaires tirée par les activités de services et l’international, et ce malgré la morosité du marché des hélicoptères et des budgets d’investissements en matière de défense. Le Groupe attend en conséquence un </w:t>
      </w:r>
      <w:r w:rsidR="00487215">
        <w:rPr>
          <w:rFonts w:ascii="Arial" w:hAnsi="Arial" w:cs="Arial"/>
          <w:sz w:val="22"/>
          <w:szCs w:val="24"/>
        </w:rPr>
        <w:t>résultat d’exploitation positif</w:t>
      </w:r>
      <w:r w:rsidRPr="00B10019">
        <w:rPr>
          <w:rFonts w:ascii="Arial" w:hAnsi="Arial" w:cs="Arial"/>
          <w:sz w:val="22"/>
          <w:szCs w:val="24"/>
        </w:rPr>
        <w:t xml:space="preserve"> en dépit des coûts de restructuration </w:t>
      </w:r>
      <w:r w:rsidR="00A42151">
        <w:rPr>
          <w:rFonts w:ascii="Arial" w:hAnsi="Arial" w:cs="Arial"/>
          <w:sz w:val="22"/>
          <w:szCs w:val="24"/>
        </w:rPr>
        <w:t xml:space="preserve">en France et du développement international </w:t>
      </w:r>
      <w:r w:rsidRPr="00B10019">
        <w:rPr>
          <w:rFonts w:ascii="Arial" w:hAnsi="Arial" w:cs="Arial"/>
          <w:sz w:val="22"/>
          <w:szCs w:val="24"/>
        </w:rPr>
        <w:t>engagés dans l’année.</w:t>
      </w:r>
    </w:p>
    <w:p w14:paraId="7275CD41" w14:textId="77777777" w:rsidR="00E17989" w:rsidRDefault="00E17989" w:rsidP="003A4B1A">
      <w:pPr>
        <w:jc w:val="center"/>
        <w:rPr>
          <w:rFonts w:ascii="Arial" w:hAnsi="Arial" w:cs="Arial"/>
          <w:i/>
          <w:color w:val="000000" w:themeColor="text1"/>
          <w:sz w:val="18"/>
        </w:rPr>
      </w:pPr>
    </w:p>
    <w:p w14:paraId="16019D4B" w14:textId="6B583FF2" w:rsidR="00E17989" w:rsidRDefault="00E17989" w:rsidP="003A4B1A">
      <w:pPr>
        <w:jc w:val="center"/>
        <w:rPr>
          <w:rFonts w:ascii="Arial" w:hAnsi="Arial" w:cs="Arial"/>
          <w:i/>
          <w:color w:val="000000" w:themeColor="text1"/>
          <w:sz w:val="18"/>
        </w:rPr>
      </w:pPr>
      <w:r>
        <w:rPr>
          <w:rFonts w:ascii="Arial" w:hAnsi="Arial" w:cs="Arial"/>
          <w:i/>
          <w:color w:val="000000" w:themeColor="text1"/>
          <w:sz w:val="18"/>
        </w:rPr>
        <w:t>--------------</w:t>
      </w:r>
    </w:p>
    <w:p w14:paraId="39DD6DF3" w14:textId="77777777" w:rsidR="00E17989" w:rsidRDefault="00E17989" w:rsidP="003A4B1A">
      <w:pPr>
        <w:jc w:val="center"/>
        <w:rPr>
          <w:rFonts w:ascii="Arial" w:hAnsi="Arial" w:cs="Arial"/>
          <w:i/>
          <w:color w:val="000000" w:themeColor="text1"/>
          <w:sz w:val="18"/>
        </w:rPr>
      </w:pPr>
    </w:p>
    <w:p w14:paraId="3D3950E1" w14:textId="585FC0DC" w:rsidR="005564FF" w:rsidRPr="009527EA" w:rsidRDefault="005564FF" w:rsidP="005564FF">
      <w:pPr>
        <w:jc w:val="both"/>
        <w:rPr>
          <w:rFonts w:ascii="Arial" w:hAnsi="Arial" w:cs="Arial"/>
          <w:sz w:val="24"/>
          <w:szCs w:val="24"/>
        </w:rPr>
      </w:pPr>
      <w:r w:rsidRPr="00E17989">
        <w:rPr>
          <w:rFonts w:ascii="Arial" w:hAnsi="Arial" w:cs="Arial"/>
          <w:sz w:val="22"/>
          <w:szCs w:val="24"/>
        </w:rPr>
        <w:t xml:space="preserve">François Lacoste, Président du Groupe, a déclaré : </w:t>
      </w:r>
      <w:r w:rsidRPr="009527EA">
        <w:rPr>
          <w:rFonts w:ascii="Arial" w:hAnsi="Arial" w:cs="Arial"/>
          <w:color w:val="333333"/>
          <w:sz w:val="22"/>
        </w:rPr>
        <w:t xml:space="preserve">« </w:t>
      </w:r>
      <w:r w:rsidRPr="009527EA">
        <w:rPr>
          <w:rFonts w:ascii="Arial" w:hAnsi="Arial" w:cs="Arial"/>
          <w:i/>
          <w:color w:val="333333"/>
          <w:sz w:val="22"/>
        </w:rPr>
        <w:t xml:space="preserve">Notre chiffre d’affaires 2016 se développe significativement par rapport à 2015, ce qui nous permet d’être confiant dans la trajectoire moyen terme engagée par le Groupe.  Nous comptons poursuivre en 2017 le développement des activités de service, l’optimisation </w:t>
      </w:r>
      <w:r>
        <w:rPr>
          <w:rFonts w:ascii="Arial" w:hAnsi="Arial" w:cs="Arial"/>
          <w:i/>
          <w:color w:val="333333"/>
          <w:sz w:val="22"/>
        </w:rPr>
        <w:t>de notre outil de production</w:t>
      </w:r>
      <w:r w:rsidRPr="009527EA">
        <w:rPr>
          <w:rFonts w:ascii="Arial" w:hAnsi="Arial" w:cs="Arial"/>
          <w:i/>
          <w:color w:val="333333"/>
          <w:sz w:val="22"/>
        </w:rPr>
        <w:t xml:space="preserve"> ainsi que l’obtention de gains de compétitivité. En parallèle, nous nous appuierons sur nos bureaux d’études dotés de 70 ingénieurs et techniciens pour innover et concevoir de nouveaux produits axés sur la sécurité et la mobilité.</w:t>
      </w:r>
      <w:r w:rsidRPr="009527EA">
        <w:rPr>
          <w:rFonts w:ascii="Arial" w:hAnsi="Arial" w:cs="Arial"/>
          <w:color w:val="333333"/>
          <w:sz w:val="22"/>
        </w:rPr>
        <w:t> »</w:t>
      </w:r>
    </w:p>
    <w:p w14:paraId="12AE107A" w14:textId="77777777" w:rsidR="00E17989" w:rsidRDefault="00E17989" w:rsidP="003A4B1A">
      <w:pPr>
        <w:jc w:val="center"/>
        <w:rPr>
          <w:rFonts w:ascii="Arial" w:hAnsi="Arial" w:cs="Arial"/>
          <w:i/>
          <w:color w:val="000000" w:themeColor="text1"/>
          <w:sz w:val="18"/>
        </w:rPr>
      </w:pPr>
    </w:p>
    <w:p w14:paraId="788A8F9A" w14:textId="77777777" w:rsidR="00E17989" w:rsidRPr="00E17989" w:rsidRDefault="00E17989" w:rsidP="003A4B1A">
      <w:pPr>
        <w:jc w:val="center"/>
        <w:rPr>
          <w:rFonts w:ascii="Arial" w:hAnsi="Arial" w:cs="Arial"/>
          <w:sz w:val="22"/>
          <w:szCs w:val="24"/>
        </w:rPr>
      </w:pPr>
    </w:p>
    <w:p w14:paraId="0EA036D8" w14:textId="77777777" w:rsidR="00E17989" w:rsidRDefault="00E17989" w:rsidP="003A4B1A">
      <w:pPr>
        <w:jc w:val="center"/>
        <w:rPr>
          <w:rFonts w:ascii="Arial" w:hAnsi="Arial" w:cs="Arial"/>
          <w:i/>
          <w:color w:val="000000" w:themeColor="text1"/>
          <w:sz w:val="18"/>
        </w:rPr>
      </w:pPr>
    </w:p>
    <w:p w14:paraId="1CDDD694" w14:textId="77777777" w:rsidR="00E17989" w:rsidRDefault="00E17989" w:rsidP="003A4B1A">
      <w:pPr>
        <w:jc w:val="center"/>
        <w:rPr>
          <w:rFonts w:ascii="Arial" w:hAnsi="Arial" w:cs="Arial"/>
          <w:i/>
          <w:color w:val="000000" w:themeColor="text1"/>
          <w:sz w:val="18"/>
        </w:rPr>
      </w:pPr>
    </w:p>
    <w:p w14:paraId="40874843" w14:textId="77777777" w:rsidR="00E17989" w:rsidRDefault="00E17989" w:rsidP="003A4B1A">
      <w:pPr>
        <w:jc w:val="center"/>
        <w:rPr>
          <w:rFonts w:ascii="Arial" w:hAnsi="Arial" w:cs="Arial"/>
          <w:i/>
          <w:color w:val="000000" w:themeColor="text1"/>
          <w:sz w:val="18"/>
        </w:rPr>
      </w:pPr>
    </w:p>
    <w:p w14:paraId="06C72FC7" w14:textId="42352457" w:rsidR="00E17989" w:rsidRDefault="007D4F44" w:rsidP="006B4DBD">
      <w:pPr>
        <w:jc w:val="both"/>
        <w:rPr>
          <w:rFonts w:ascii="Arial" w:hAnsi="Arial" w:cs="Arial"/>
          <w:sz w:val="22"/>
          <w:szCs w:val="22"/>
        </w:rPr>
      </w:pPr>
      <w:r w:rsidRPr="006B4DBD">
        <w:rPr>
          <w:rFonts w:ascii="Arial" w:hAnsi="Arial" w:cs="Arial"/>
          <w:color w:val="000000" w:themeColor="text1"/>
          <w:sz w:val="22"/>
          <w:szCs w:val="22"/>
        </w:rPr>
        <w:t>Par ailleur</w:t>
      </w:r>
      <w:r w:rsidR="00DC0157" w:rsidRPr="006B4DBD">
        <w:rPr>
          <w:rFonts w:ascii="Arial" w:hAnsi="Arial" w:cs="Arial"/>
          <w:color w:val="000000" w:themeColor="text1"/>
          <w:sz w:val="22"/>
          <w:szCs w:val="22"/>
        </w:rPr>
        <w:t>s, u</w:t>
      </w:r>
      <w:r w:rsidRPr="006B4DBD">
        <w:rPr>
          <w:rFonts w:ascii="Arial" w:hAnsi="Arial" w:cs="Arial"/>
          <w:color w:val="000000" w:themeColor="text1"/>
          <w:sz w:val="22"/>
          <w:szCs w:val="22"/>
        </w:rPr>
        <w:t>ne assemblée générale mixte sera convoquée mardi 31 janvier pour se prononcer</w:t>
      </w:r>
      <w:r w:rsidR="00714CAD">
        <w:rPr>
          <w:rFonts w:ascii="Arial" w:hAnsi="Arial" w:cs="Arial"/>
          <w:color w:val="000000" w:themeColor="text1"/>
          <w:sz w:val="22"/>
          <w:szCs w:val="22"/>
        </w:rPr>
        <w:t>,</w:t>
      </w:r>
      <w:r w:rsidRPr="006B4DBD">
        <w:rPr>
          <w:rFonts w:ascii="Arial" w:hAnsi="Arial" w:cs="Arial"/>
          <w:color w:val="000000" w:themeColor="text1"/>
          <w:sz w:val="22"/>
          <w:szCs w:val="22"/>
        </w:rPr>
        <w:t xml:space="preserve"> sur proposition du conseil d’</w:t>
      </w:r>
      <w:r w:rsidR="00DC0157" w:rsidRPr="006B4DBD">
        <w:rPr>
          <w:rFonts w:ascii="Arial" w:hAnsi="Arial" w:cs="Arial"/>
          <w:color w:val="000000" w:themeColor="text1"/>
          <w:sz w:val="22"/>
          <w:szCs w:val="22"/>
        </w:rPr>
        <w:t>administration</w:t>
      </w:r>
      <w:r w:rsidR="00714CAD">
        <w:rPr>
          <w:rFonts w:ascii="Arial" w:hAnsi="Arial" w:cs="Arial"/>
          <w:color w:val="000000" w:themeColor="text1"/>
          <w:sz w:val="22"/>
          <w:szCs w:val="22"/>
        </w:rPr>
        <w:t>,</w:t>
      </w:r>
      <w:r w:rsidR="00DC0157">
        <w:rPr>
          <w:rFonts w:ascii="Arial" w:hAnsi="Arial" w:cs="Arial"/>
          <w:color w:val="000000" w:themeColor="text1"/>
          <w:sz w:val="22"/>
          <w:szCs w:val="22"/>
        </w:rPr>
        <w:t xml:space="preserve"> sur une modification des statuts </w:t>
      </w:r>
      <w:r w:rsidR="00714CAD">
        <w:rPr>
          <w:rFonts w:ascii="Arial" w:hAnsi="Arial" w:cs="Arial"/>
          <w:color w:val="000000" w:themeColor="text1"/>
          <w:sz w:val="22"/>
          <w:szCs w:val="22"/>
        </w:rPr>
        <w:t xml:space="preserve">de l’entreprise </w:t>
      </w:r>
      <w:r w:rsidR="00DC0157">
        <w:rPr>
          <w:rFonts w:ascii="Arial" w:hAnsi="Arial" w:cs="Arial"/>
          <w:color w:val="000000" w:themeColor="text1"/>
          <w:sz w:val="22"/>
          <w:szCs w:val="22"/>
        </w:rPr>
        <w:t xml:space="preserve">et </w:t>
      </w:r>
      <w:r w:rsidR="00DC0157">
        <w:rPr>
          <w:rFonts w:ascii="Arial" w:hAnsi="Arial" w:cs="Arial"/>
          <w:sz w:val="22"/>
          <w:szCs w:val="22"/>
        </w:rPr>
        <w:t xml:space="preserve">d’adopter une </w:t>
      </w:r>
      <w:r w:rsidR="00DC0157" w:rsidRPr="006B4DBD">
        <w:rPr>
          <w:rFonts w:ascii="Arial" w:hAnsi="Arial" w:cs="Arial"/>
          <w:sz w:val="22"/>
          <w:szCs w:val="22"/>
        </w:rPr>
        <w:t>formule de gestion par un Directoire et un Conseil de surveillance</w:t>
      </w:r>
      <w:r w:rsidR="00DC0157">
        <w:rPr>
          <w:rFonts w:ascii="Arial" w:hAnsi="Arial" w:cs="Arial"/>
          <w:sz w:val="22"/>
          <w:szCs w:val="22"/>
        </w:rPr>
        <w:t>.</w:t>
      </w:r>
    </w:p>
    <w:p w14:paraId="19025439" w14:textId="0958D093" w:rsidR="00DC0157" w:rsidRDefault="00DC0157" w:rsidP="006B4DBD">
      <w:pPr>
        <w:jc w:val="both"/>
        <w:rPr>
          <w:rFonts w:ascii="Arial" w:hAnsi="Arial" w:cs="Arial"/>
          <w:sz w:val="22"/>
          <w:szCs w:val="22"/>
        </w:rPr>
      </w:pPr>
    </w:p>
    <w:p w14:paraId="2F463F1E" w14:textId="27632787" w:rsidR="00DC0157" w:rsidRPr="006B4DBD" w:rsidRDefault="00DC0157" w:rsidP="006B4DBD">
      <w:pPr>
        <w:jc w:val="both"/>
        <w:rPr>
          <w:rFonts w:ascii="Arial" w:hAnsi="Arial" w:cs="Arial"/>
          <w:color w:val="000000" w:themeColor="text1"/>
          <w:sz w:val="22"/>
          <w:szCs w:val="22"/>
        </w:rPr>
      </w:pPr>
      <w:r>
        <w:rPr>
          <w:rFonts w:ascii="Arial" w:hAnsi="Arial" w:cs="Arial"/>
          <w:sz w:val="22"/>
          <w:szCs w:val="22"/>
        </w:rPr>
        <w:t>Un communiqué spécifique sera transmis séparément.</w:t>
      </w:r>
    </w:p>
    <w:p w14:paraId="766874FC" w14:textId="77777777" w:rsidR="00E17989" w:rsidRDefault="00E17989" w:rsidP="003A4B1A">
      <w:pPr>
        <w:jc w:val="center"/>
        <w:rPr>
          <w:rFonts w:ascii="Arial" w:hAnsi="Arial" w:cs="Arial"/>
          <w:i/>
          <w:color w:val="000000" w:themeColor="text1"/>
          <w:sz w:val="18"/>
        </w:rPr>
      </w:pPr>
    </w:p>
    <w:p w14:paraId="5FF25460" w14:textId="77777777" w:rsidR="00E17989" w:rsidRDefault="00E17989" w:rsidP="003A4B1A">
      <w:pPr>
        <w:jc w:val="center"/>
        <w:rPr>
          <w:rFonts w:ascii="Arial" w:hAnsi="Arial" w:cs="Arial"/>
          <w:i/>
          <w:color w:val="000000" w:themeColor="text1"/>
          <w:sz w:val="18"/>
        </w:rPr>
      </w:pPr>
    </w:p>
    <w:p w14:paraId="1CE2CB8A" w14:textId="6C825B38" w:rsidR="003A4B1A" w:rsidRPr="00244C6B" w:rsidRDefault="003A4B1A" w:rsidP="003A4B1A">
      <w:pPr>
        <w:jc w:val="center"/>
        <w:rPr>
          <w:rFonts w:ascii="Arial" w:hAnsi="Arial" w:cs="Arial"/>
          <w:i/>
          <w:color w:val="000000" w:themeColor="text1"/>
          <w:sz w:val="18"/>
        </w:rPr>
      </w:pPr>
      <w:r w:rsidRPr="00244C6B">
        <w:rPr>
          <w:rFonts w:ascii="Arial" w:hAnsi="Arial" w:cs="Arial"/>
          <w:i/>
          <w:color w:val="000000" w:themeColor="text1"/>
          <w:sz w:val="18"/>
        </w:rPr>
        <w:t>-------------------------------------------------------------------------------------</w:t>
      </w:r>
    </w:p>
    <w:p w14:paraId="44CE48DC" w14:textId="77777777" w:rsidR="001D3B25" w:rsidRDefault="001D3B25" w:rsidP="003A4B1A">
      <w:pPr>
        <w:autoSpaceDE w:val="0"/>
        <w:autoSpaceDN w:val="0"/>
        <w:adjustRightInd w:val="0"/>
        <w:jc w:val="both"/>
        <w:rPr>
          <w:rFonts w:ascii="Arial" w:hAnsi="Arial" w:cs="Arial"/>
          <w:color w:val="000000" w:themeColor="text1"/>
          <w:sz w:val="24"/>
          <w:szCs w:val="24"/>
        </w:rPr>
      </w:pPr>
    </w:p>
    <w:p w14:paraId="43A7288D" w14:textId="38A1E94C" w:rsidR="003A4B1A" w:rsidRPr="001D3B25" w:rsidRDefault="003A4B1A" w:rsidP="003A4B1A">
      <w:pPr>
        <w:autoSpaceDE w:val="0"/>
        <w:autoSpaceDN w:val="0"/>
        <w:adjustRightInd w:val="0"/>
        <w:jc w:val="both"/>
        <w:rPr>
          <w:rFonts w:ascii="Arial" w:hAnsi="Arial" w:cs="Arial"/>
          <w:color w:val="000000" w:themeColor="text1"/>
          <w:szCs w:val="24"/>
        </w:rPr>
      </w:pPr>
      <w:r w:rsidRPr="001D3B25">
        <w:rPr>
          <w:rFonts w:ascii="Arial" w:hAnsi="Arial" w:cs="Arial"/>
          <w:color w:val="000000" w:themeColor="text1"/>
          <w:szCs w:val="24"/>
        </w:rPr>
        <w:t xml:space="preserve">Le Groupe NSE est spécialisé dans la conception, la fabrication et la maintenance d’équipements </w:t>
      </w:r>
      <w:r w:rsidR="00F6303B">
        <w:rPr>
          <w:rFonts w:ascii="Arial" w:hAnsi="Arial" w:cs="Arial"/>
          <w:color w:val="000000" w:themeColor="text1"/>
          <w:szCs w:val="24"/>
        </w:rPr>
        <w:t xml:space="preserve">électroniques </w:t>
      </w:r>
      <w:r w:rsidRPr="001D3B25">
        <w:rPr>
          <w:rFonts w:ascii="Arial" w:hAnsi="Arial" w:cs="Arial"/>
          <w:color w:val="000000" w:themeColor="text1"/>
          <w:szCs w:val="24"/>
        </w:rPr>
        <w:t>de haute technologie. À vocation internationale, le Groupe intervient principalement dans les domaines de l’aéronautique civile, la défense, l’industrie, le ferroviaire et l’informatique.</w:t>
      </w:r>
    </w:p>
    <w:p w14:paraId="7ECB84A2" w14:textId="77777777" w:rsidR="003A4B1A" w:rsidRPr="001D3B25" w:rsidRDefault="003A4B1A" w:rsidP="003A4B1A">
      <w:pPr>
        <w:autoSpaceDE w:val="0"/>
        <w:autoSpaceDN w:val="0"/>
        <w:adjustRightInd w:val="0"/>
        <w:jc w:val="both"/>
        <w:rPr>
          <w:rFonts w:ascii="Arial" w:hAnsi="Arial" w:cs="Arial"/>
          <w:color w:val="000000" w:themeColor="text1"/>
          <w:szCs w:val="24"/>
        </w:rPr>
      </w:pPr>
    </w:p>
    <w:p w14:paraId="60AC2BC4" w14:textId="77777777" w:rsidR="003A4B1A" w:rsidRPr="001D3B25" w:rsidRDefault="003A4B1A" w:rsidP="003A4B1A">
      <w:pPr>
        <w:autoSpaceDE w:val="0"/>
        <w:autoSpaceDN w:val="0"/>
        <w:adjustRightInd w:val="0"/>
        <w:jc w:val="both"/>
        <w:rPr>
          <w:rFonts w:ascii="Arial" w:hAnsi="Arial" w:cs="Arial"/>
          <w:color w:val="000000" w:themeColor="text1"/>
          <w:szCs w:val="24"/>
        </w:rPr>
      </w:pPr>
      <w:r w:rsidRPr="001D3B25">
        <w:rPr>
          <w:rFonts w:ascii="Arial" w:hAnsi="Arial" w:cs="Arial"/>
          <w:color w:val="000000" w:themeColor="text1"/>
          <w:szCs w:val="24"/>
        </w:rPr>
        <w:t>La société fondée en 1983 et dont le siège social est situé à Nizerolles (03) a structuré son organisation autour de trois business units:</w:t>
      </w:r>
    </w:p>
    <w:p w14:paraId="4817F437" w14:textId="77777777" w:rsidR="003A4B1A" w:rsidRPr="00DB0315" w:rsidRDefault="003A4B1A" w:rsidP="003A4B1A">
      <w:pPr>
        <w:autoSpaceDE w:val="0"/>
        <w:autoSpaceDN w:val="0"/>
        <w:adjustRightInd w:val="0"/>
        <w:jc w:val="both"/>
        <w:rPr>
          <w:rFonts w:ascii="Arial" w:hAnsi="Arial" w:cs="Arial"/>
          <w:color w:val="000000" w:themeColor="text1"/>
          <w:szCs w:val="24"/>
        </w:rPr>
      </w:pPr>
      <w:r w:rsidRPr="00DB0315">
        <w:rPr>
          <w:rFonts w:ascii="Arial" w:hAnsi="Arial" w:cs="Arial"/>
          <w:color w:val="000000" w:themeColor="text1"/>
          <w:szCs w:val="24"/>
        </w:rPr>
        <w:t>- La "conception" de produits techniques innovants ;</w:t>
      </w:r>
    </w:p>
    <w:p w14:paraId="5A00BF0A" w14:textId="77777777" w:rsidR="003A4B1A" w:rsidRPr="00DB0315" w:rsidRDefault="003A4B1A" w:rsidP="003A4B1A">
      <w:pPr>
        <w:autoSpaceDE w:val="0"/>
        <w:autoSpaceDN w:val="0"/>
        <w:adjustRightInd w:val="0"/>
        <w:jc w:val="both"/>
        <w:rPr>
          <w:rFonts w:ascii="Arial" w:hAnsi="Arial" w:cs="Arial"/>
          <w:color w:val="000000" w:themeColor="text1"/>
          <w:szCs w:val="24"/>
        </w:rPr>
      </w:pPr>
      <w:r w:rsidRPr="00DB0315">
        <w:rPr>
          <w:rFonts w:ascii="Arial" w:hAnsi="Arial" w:cs="Arial"/>
          <w:color w:val="000000" w:themeColor="text1"/>
          <w:szCs w:val="24"/>
        </w:rPr>
        <w:t>- L’ "intégration" pour la fabrication d’équipements intégrés pour le compte de grands opérateurs ;</w:t>
      </w:r>
    </w:p>
    <w:p w14:paraId="69ADD366" w14:textId="77777777" w:rsidR="003A4B1A" w:rsidRPr="00DB0315" w:rsidRDefault="003A4B1A" w:rsidP="003A4B1A">
      <w:pPr>
        <w:autoSpaceDE w:val="0"/>
        <w:autoSpaceDN w:val="0"/>
        <w:adjustRightInd w:val="0"/>
        <w:jc w:val="both"/>
        <w:rPr>
          <w:rFonts w:ascii="Arial" w:hAnsi="Arial" w:cs="Arial"/>
          <w:color w:val="000000" w:themeColor="text1"/>
          <w:szCs w:val="24"/>
        </w:rPr>
      </w:pPr>
      <w:r w:rsidRPr="00DB0315">
        <w:rPr>
          <w:rFonts w:ascii="Arial" w:hAnsi="Arial" w:cs="Arial"/>
          <w:color w:val="000000" w:themeColor="text1"/>
          <w:szCs w:val="24"/>
        </w:rPr>
        <w:t>- Les "services", à travers une offre globale de Services à Valeur Ajoutée.</w:t>
      </w:r>
    </w:p>
    <w:p w14:paraId="4C93D80E" w14:textId="77777777" w:rsidR="003A4B1A" w:rsidRPr="00DB0315" w:rsidRDefault="003A4B1A" w:rsidP="003A4B1A">
      <w:pPr>
        <w:autoSpaceDE w:val="0"/>
        <w:autoSpaceDN w:val="0"/>
        <w:adjustRightInd w:val="0"/>
        <w:jc w:val="both"/>
        <w:rPr>
          <w:rFonts w:ascii="Arial" w:hAnsi="Arial" w:cs="Arial"/>
          <w:color w:val="000000" w:themeColor="text1"/>
          <w:szCs w:val="24"/>
        </w:rPr>
      </w:pPr>
    </w:p>
    <w:p w14:paraId="5ED46F6B" w14:textId="75D0FDAE" w:rsidR="003A4B1A" w:rsidRPr="001D3B25" w:rsidRDefault="00CE399A" w:rsidP="003A4B1A">
      <w:pPr>
        <w:autoSpaceDE w:val="0"/>
        <w:autoSpaceDN w:val="0"/>
        <w:adjustRightInd w:val="0"/>
        <w:jc w:val="both"/>
        <w:rPr>
          <w:rFonts w:ascii="Arial" w:hAnsi="Arial" w:cs="Arial"/>
          <w:color w:val="000000" w:themeColor="text1"/>
          <w:szCs w:val="24"/>
        </w:rPr>
      </w:pPr>
      <w:r w:rsidRPr="00DB0315">
        <w:rPr>
          <w:rFonts w:ascii="Arial" w:hAnsi="Arial" w:cs="Arial"/>
          <w:color w:val="000000" w:themeColor="text1"/>
          <w:szCs w:val="24"/>
        </w:rPr>
        <w:t>Au 31 décembre 2016, le Groupe affiche</w:t>
      </w:r>
      <w:r w:rsidR="003A4B1A" w:rsidRPr="00DB0315">
        <w:rPr>
          <w:rFonts w:ascii="Arial" w:hAnsi="Arial" w:cs="Arial"/>
          <w:color w:val="000000" w:themeColor="text1"/>
          <w:szCs w:val="24"/>
        </w:rPr>
        <w:t xml:space="preserve"> un chiffre d’affaires consolidé de </w:t>
      </w:r>
      <w:r w:rsidRPr="00DB0315">
        <w:rPr>
          <w:rFonts w:ascii="Arial" w:hAnsi="Arial" w:cs="Arial"/>
          <w:color w:val="000000" w:themeColor="text1"/>
          <w:szCs w:val="24"/>
        </w:rPr>
        <w:t>62,7</w:t>
      </w:r>
      <w:r w:rsidR="003A4B1A" w:rsidRPr="00DB0315">
        <w:rPr>
          <w:rFonts w:ascii="Arial" w:hAnsi="Arial" w:cs="Arial"/>
          <w:color w:val="000000" w:themeColor="text1"/>
          <w:szCs w:val="24"/>
        </w:rPr>
        <w:t xml:space="preserve"> M€, dont </w:t>
      </w:r>
      <w:r w:rsidR="00C66AAE" w:rsidRPr="00DB0315">
        <w:rPr>
          <w:rFonts w:ascii="Arial" w:hAnsi="Arial" w:cs="Arial"/>
          <w:color w:val="000000" w:themeColor="text1"/>
          <w:szCs w:val="24"/>
        </w:rPr>
        <w:t>36</w:t>
      </w:r>
      <w:r w:rsidR="003A4B1A" w:rsidRPr="00DB0315">
        <w:rPr>
          <w:rFonts w:ascii="Arial" w:hAnsi="Arial" w:cs="Arial"/>
          <w:color w:val="000000" w:themeColor="text1"/>
          <w:szCs w:val="24"/>
        </w:rPr>
        <w:t>% réalisés à l’international.</w:t>
      </w:r>
      <w:r w:rsidR="003A4B1A" w:rsidRPr="001D3B25">
        <w:rPr>
          <w:rFonts w:ascii="Arial" w:hAnsi="Arial" w:cs="Arial"/>
          <w:color w:val="000000" w:themeColor="text1"/>
          <w:szCs w:val="24"/>
        </w:rPr>
        <w:t xml:space="preserve"> </w:t>
      </w:r>
    </w:p>
    <w:p w14:paraId="16C35003" w14:textId="77777777" w:rsidR="003A4B1A" w:rsidRPr="001D3B25" w:rsidRDefault="003A4B1A" w:rsidP="003A4B1A">
      <w:pPr>
        <w:autoSpaceDE w:val="0"/>
        <w:autoSpaceDN w:val="0"/>
        <w:adjustRightInd w:val="0"/>
        <w:jc w:val="both"/>
        <w:rPr>
          <w:rFonts w:ascii="Arial" w:hAnsi="Arial" w:cs="Arial"/>
          <w:color w:val="000000" w:themeColor="text1"/>
          <w:szCs w:val="24"/>
        </w:rPr>
      </w:pPr>
    </w:p>
    <w:p w14:paraId="5DE14B65" w14:textId="45554EC5" w:rsidR="003A4B1A" w:rsidRPr="001D3B25" w:rsidRDefault="003A4B1A" w:rsidP="003A4B1A">
      <w:pPr>
        <w:jc w:val="both"/>
        <w:rPr>
          <w:rFonts w:ascii="Arial" w:hAnsi="Arial" w:cs="Arial"/>
          <w:color w:val="000000" w:themeColor="text1"/>
          <w:szCs w:val="24"/>
        </w:rPr>
      </w:pPr>
      <w:r w:rsidRPr="001D3B25">
        <w:rPr>
          <w:rFonts w:ascii="Arial" w:hAnsi="Arial" w:cs="Arial"/>
          <w:color w:val="000000" w:themeColor="text1"/>
          <w:szCs w:val="24"/>
        </w:rPr>
        <w:t xml:space="preserve">Plus d’informations sur </w:t>
      </w:r>
      <w:hyperlink r:id="rId8" w:history="1">
        <w:r w:rsidR="00FA1188" w:rsidRPr="001D3B25">
          <w:rPr>
            <w:rStyle w:val="Lienhypertexte"/>
            <w:rFonts w:ascii="Arial" w:hAnsi="Arial" w:cs="Arial"/>
            <w:szCs w:val="24"/>
          </w:rPr>
          <w:t>www.nse-groupe.com</w:t>
        </w:r>
      </w:hyperlink>
    </w:p>
    <w:p w14:paraId="28E701A5" w14:textId="77777777" w:rsidR="00FA1188" w:rsidRPr="001D3B25" w:rsidRDefault="00FA1188" w:rsidP="003A4B1A">
      <w:pPr>
        <w:jc w:val="both"/>
        <w:rPr>
          <w:rFonts w:ascii="Arial" w:hAnsi="Arial" w:cs="Arial"/>
          <w:i/>
          <w:color w:val="000000" w:themeColor="text1"/>
          <w:szCs w:val="24"/>
        </w:rPr>
      </w:pPr>
    </w:p>
    <w:p w14:paraId="27164666" w14:textId="77777777" w:rsidR="003A4B1A" w:rsidRPr="001D3B25" w:rsidRDefault="003A4B1A" w:rsidP="003A4B1A">
      <w:pPr>
        <w:jc w:val="center"/>
        <w:rPr>
          <w:rFonts w:ascii="Arial" w:hAnsi="Arial" w:cs="Arial"/>
          <w:i/>
          <w:color w:val="000000" w:themeColor="text1"/>
          <w:szCs w:val="24"/>
        </w:rPr>
      </w:pPr>
      <w:r w:rsidRPr="001D3B25">
        <w:rPr>
          <w:rFonts w:ascii="Arial" w:hAnsi="Arial" w:cs="Arial"/>
          <w:i/>
          <w:color w:val="000000" w:themeColor="text1"/>
          <w:szCs w:val="24"/>
        </w:rPr>
        <w:t>________________</w:t>
      </w:r>
    </w:p>
    <w:p w14:paraId="1C976F54" w14:textId="77777777" w:rsidR="003A4B1A" w:rsidRPr="001D3B25" w:rsidRDefault="003A4B1A" w:rsidP="003A4B1A">
      <w:pPr>
        <w:jc w:val="both"/>
        <w:rPr>
          <w:rFonts w:ascii="Arial" w:hAnsi="Arial" w:cs="Arial"/>
          <w:i/>
          <w:szCs w:val="24"/>
        </w:rPr>
      </w:pPr>
    </w:p>
    <w:p w14:paraId="7896ACCC" w14:textId="77777777" w:rsidR="003A4B1A" w:rsidRPr="001D3B25" w:rsidRDefault="003A4B1A" w:rsidP="003A4B1A">
      <w:pPr>
        <w:jc w:val="both"/>
        <w:rPr>
          <w:rFonts w:ascii="Arial" w:hAnsi="Arial" w:cs="Arial"/>
          <w:i/>
          <w:szCs w:val="24"/>
        </w:rPr>
      </w:pPr>
      <w:r w:rsidRPr="001D3B25">
        <w:rPr>
          <w:rFonts w:ascii="Arial" w:hAnsi="Arial" w:cs="Arial"/>
          <w:i/>
          <w:szCs w:val="24"/>
        </w:rPr>
        <w:t>Pour toute information : Caroline Brot – 01 60 93 11 90</w:t>
      </w:r>
    </w:p>
    <w:p w14:paraId="477012A8" w14:textId="77777777" w:rsidR="003A4B1A" w:rsidRPr="001D3B25" w:rsidRDefault="003A4B1A" w:rsidP="003A4B1A">
      <w:pPr>
        <w:jc w:val="both"/>
        <w:rPr>
          <w:rFonts w:ascii="Arial" w:hAnsi="Arial" w:cs="Arial"/>
          <w:i/>
          <w:szCs w:val="24"/>
        </w:rPr>
      </w:pPr>
    </w:p>
    <w:p w14:paraId="31889D4F" w14:textId="77777777" w:rsidR="003A4B1A" w:rsidRPr="001D3B25" w:rsidRDefault="003A4B1A" w:rsidP="003A4B1A">
      <w:pPr>
        <w:jc w:val="both"/>
        <w:rPr>
          <w:rFonts w:ascii="Arial" w:hAnsi="Arial" w:cs="Arial"/>
          <w:i/>
        </w:rPr>
      </w:pPr>
      <w:r w:rsidRPr="001D3B25">
        <w:rPr>
          <w:rFonts w:ascii="Arial" w:hAnsi="Arial" w:cs="Arial"/>
          <w:i/>
        </w:rPr>
        <w:t>NSE est cotée sur le Marché Alternext d’Euronext Paris – Mnémonique : ALNSE - Code ISIN : FR0004065639</w:t>
      </w:r>
    </w:p>
    <w:p w14:paraId="6107B737" w14:textId="77777777" w:rsidR="003A4B1A" w:rsidRPr="001D3B25" w:rsidRDefault="003A4B1A" w:rsidP="003A4B1A">
      <w:pPr>
        <w:spacing w:after="200" w:line="276" w:lineRule="auto"/>
        <w:jc w:val="both"/>
        <w:rPr>
          <w:rFonts w:asciiTheme="minorHAnsi" w:hAnsiTheme="minorHAnsi"/>
        </w:rPr>
      </w:pPr>
    </w:p>
    <w:p w14:paraId="000C98D1" w14:textId="77777777" w:rsidR="001502FA" w:rsidRPr="00EB7F6F" w:rsidRDefault="001502FA" w:rsidP="003A4B1A">
      <w:pPr>
        <w:rPr>
          <w:rFonts w:asciiTheme="minorHAnsi" w:hAnsiTheme="minorHAnsi"/>
          <w:i/>
        </w:rPr>
      </w:pPr>
    </w:p>
    <w:sectPr w:rsidR="001502FA" w:rsidRPr="00EB7F6F" w:rsidSect="00D70EAE">
      <w:headerReference w:type="default" r:id="rId9"/>
      <w:footerReference w:type="default" r:id="rId10"/>
      <w:pgSz w:w="11906" w:h="16838"/>
      <w:pgMar w:top="1096" w:right="1274" w:bottom="1276" w:left="1418"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B7467" w14:textId="77777777" w:rsidR="00CC723B" w:rsidRDefault="00CC723B">
      <w:r>
        <w:separator/>
      </w:r>
    </w:p>
  </w:endnote>
  <w:endnote w:type="continuationSeparator" w:id="0">
    <w:p w14:paraId="2CB455E4" w14:textId="77777777" w:rsidR="00CC723B" w:rsidRDefault="00CC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CE3C" w14:textId="77777777" w:rsidR="00355A93" w:rsidRDefault="00132582" w:rsidP="009F57F3">
    <w:pPr>
      <w:pStyle w:val="Pieddepage"/>
      <w:ind w:left="-142"/>
      <w:jc w:val="cente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59264" behindDoc="0" locked="0" layoutInCell="1" allowOverlap="1" wp14:anchorId="0BC2CF35" wp14:editId="4B93DCAD">
              <wp:simplePos x="0" y="0"/>
              <wp:positionH relativeFrom="page">
                <wp:align>center</wp:align>
              </wp:positionH>
              <wp:positionV relativeFrom="paragraph">
                <wp:posOffset>72390</wp:posOffset>
              </wp:positionV>
              <wp:extent cx="65151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43FBF" id="Line 1"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5.7pt" to="5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" strokecolor="blue">
              <w10:wrap anchorx="page"/>
            </v:line>
          </w:pict>
        </mc:Fallback>
      </mc:AlternateContent>
    </w:r>
  </w:p>
  <w:p w14:paraId="336A68B3" w14:textId="77777777" w:rsidR="001F62C2" w:rsidRDefault="001F62C2" w:rsidP="001F62C2">
    <w:pPr>
      <w:pStyle w:val="Pieddepage"/>
      <w:ind w:left="-426"/>
      <w:jc w:val="center"/>
      <w:rPr>
        <w:rFonts w:ascii="Arial" w:hAnsi="Arial" w:cs="Arial"/>
        <w:bCs/>
        <w:sz w:val="16"/>
        <w:szCs w:val="16"/>
      </w:rPr>
    </w:pPr>
    <w:r w:rsidRPr="00C35A1D">
      <w:rPr>
        <w:rFonts w:ascii="Arial" w:hAnsi="Arial" w:cs="Arial"/>
        <w:bCs/>
        <w:sz w:val="16"/>
        <w:szCs w:val="16"/>
      </w:rPr>
      <w:t xml:space="preserve">Siège social : Les Seignes </w:t>
    </w:r>
    <w:r>
      <w:rPr>
        <w:rFonts w:ascii="Arial" w:hAnsi="Arial" w:cs="Arial"/>
        <w:bCs/>
        <w:sz w:val="16"/>
        <w:szCs w:val="16"/>
      </w:rPr>
      <w:t>–</w:t>
    </w:r>
    <w:r w:rsidRPr="00C35A1D">
      <w:rPr>
        <w:rFonts w:ascii="Arial" w:hAnsi="Arial" w:cs="Arial"/>
        <w:bCs/>
        <w:sz w:val="16"/>
        <w:szCs w:val="16"/>
      </w:rPr>
      <w:t xml:space="preserve"> </w:t>
    </w:r>
    <w:r>
      <w:rPr>
        <w:rFonts w:ascii="Arial" w:hAnsi="Arial" w:cs="Arial"/>
        <w:bCs/>
        <w:sz w:val="16"/>
        <w:szCs w:val="16"/>
      </w:rPr>
      <w:t>F - 03250 – NIZEROLLES – Tél. : +33 (0)</w:t>
    </w:r>
    <w:r w:rsidRPr="00C35A1D">
      <w:rPr>
        <w:rFonts w:ascii="Arial" w:hAnsi="Arial" w:cs="Arial"/>
        <w:bCs/>
        <w:sz w:val="16"/>
        <w:szCs w:val="16"/>
      </w:rPr>
      <w:t xml:space="preserve">4.70.59.32.77 – Fax : </w:t>
    </w:r>
    <w:r>
      <w:rPr>
        <w:rFonts w:ascii="Arial" w:hAnsi="Arial" w:cs="Arial"/>
        <w:bCs/>
        <w:sz w:val="16"/>
        <w:szCs w:val="16"/>
      </w:rPr>
      <w:t>+33 (</w:t>
    </w:r>
    <w:r w:rsidRPr="00C35A1D">
      <w:rPr>
        <w:rFonts w:ascii="Arial" w:hAnsi="Arial" w:cs="Arial"/>
        <w:bCs/>
        <w:sz w:val="16"/>
        <w:szCs w:val="16"/>
      </w:rPr>
      <w:t>0</w:t>
    </w:r>
    <w:r>
      <w:rPr>
        <w:rFonts w:ascii="Arial" w:hAnsi="Arial" w:cs="Arial"/>
        <w:bCs/>
        <w:sz w:val="16"/>
        <w:szCs w:val="16"/>
      </w:rPr>
      <w:t>)</w:t>
    </w:r>
    <w:r w:rsidRPr="00C35A1D">
      <w:rPr>
        <w:rFonts w:ascii="Arial" w:hAnsi="Arial" w:cs="Arial"/>
        <w:bCs/>
        <w:sz w:val="16"/>
        <w:szCs w:val="16"/>
      </w:rPr>
      <w:t>4.70.59.53.97</w:t>
    </w:r>
  </w:p>
  <w:p w14:paraId="480635C3" w14:textId="77777777" w:rsidR="00244C6B" w:rsidRDefault="008F5194" w:rsidP="002973FA">
    <w:pPr>
      <w:pStyle w:val="Pieddepage"/>
      <w:ind w:left="-426"/>
      <w:jc w:val="center"/>
      <w:rPr>
        <w:rFonts w:ascii="Arial" w:hAnsi="Arial" w:cs="Arial"/>
        <w:noProof/>
        <w:sz w:val="16"/>
        <w:szCs w:val="16"/>
      </w:rPr>
    </w:pPr>
    <w:r>
      <w:rPr>
        <w:rFonts w:ascii="Arial" w:hAnsi="Arial" w:cs="Arial"/>
        <w:bCs/>
        <w:noProof/>
        <w:sz w:val="16"/>
        <w:szCs w:val="16"/>
      </w:rPr>
      <w:t>S.A.</w:t>
    </w:r>
    <w:r w:rsidR="002973FA">
      <w:rPr>
        <w:rFonts w:ascii="Arial" w:hAnsi="Arial" w:cs="Arial"/>
        <w:bCs/>
        <w:noProof/>
        <w:sz w:val="16"/>
        <w:szCs w:val="16"/>
      </w:rPr>
      <w:t xml:space="preserve"> au capital de </w:t>
    </w:r>
    <w:r w:rsidR="002973FA" w:rsidRPr="002973FA">
      <w:rPr>
        <w:rFonts w:ascii="Arial" w:hAnsi="Arial" w:cs="Arial"/>
        <w:bCs/>
        <w:noProof/>
        <w:sz w:val="16"/>
        <w:szCs w:val="16"/>
      </w:rPr>
      <w:t>5</w:t>
    </w:r>
    <w:r w:rsidR="002973FA">
      <w:rPr>
        <w:rFonts w:ascii="Arial" w:hAnsi="Arial" w:cs="Arial"/>
        <w:bCs/>
        <w:noProof/>
        <w:sz w:val="16"/>
        <w:szCs w:val="16"/>
      </w:rPr>
      <w:t> </w:t>
    </w:r>
    <w:r w:rsidR="002973FA" w:rsidRPr="002973FA">
      <w:rPr>
        <w:rFonts w:ascii="Arial" w:hAnsi="Arial" w:cs="Arial"/>
        <w:bCs/>
        <w:noProof/>
        <w:sz w:val="16"/>
        <w:szCs w:val="16"/>
      </w:rPr>
      <w:t>232</w:t>
    </w:r>
    <w:r w:rsidR="002973FA">
      <w:rPr>
        <w:rFonts w:ascii="Arial" w:hAnsi="Arial" w:cs="Arial"/>
        <w:bCs/>
        <w:noProof/>
        <w:sz w:val="16"/>
        <w:szCs w:val="16"/>
      </w:rPr>
      <w:t xml:space="preserve"> </w:t>
    </w:r>
    <w:r w:rsidR="002973FA" w:rsidRPr="002973FA">
      <w:rPr>
        <w:rFonts w:ascii="Arial" w:hAnsi="Arial" w:cs="Arial"/>
        <w:bCs/>
        <w:noProof/>
        <w:sz w:val="16"/>
        <w:szCs w:val="16"/>
      </w:rPr>
      <w:t>972,05</w:t>
    </w:r>
    <w:r w:rsidR="002973FA" w:rsidRPr="00C35A1D">
      <w:rPr>
        <w:rFonts w:ascii="Arial" w:hAnsi="Arial" w:cs="Arial"/>
        <w:bCs/>
        <w:noProof/>
        <w:sz w:val="16"/>
        <w:szCs w:val="16"/>
      </w:rPr>
      <w:t xml:space="preserve"> €  –  RCS  Cusset </w:t>
    </w:r>
    <w:r w:rsidR="002973FA" w:rsidRPr="002973FA">
      <w:rPr>
        <w:rFonts w:ascii="Arial" w:hAnsi="Arial" w:cs="Arial"/>
        <w:bCs/>
        <w:noProof/>
        <w:sz w:val="16"/>
        <w:szCs w:val="16"/>
      </w:rPr>
      <w:t>394</w:t>
    </w:r>
    <w:r w:rsidR="002973FA">
      <w:rPr>
        <w:rFonts w:ascii="Arial" w:hAnsi="Arial" w:cs="Arial"/>
        <w:bCs/>
        <w:noProof/>
        <w:sz w:val="16"/>
        <w:szCs w:val="16"/>
      </w:rPr>
      <w:t> </w:t>
    </w:r>
    <w:r w:rsidR="002973FA" w:rsidRPr="002973FA">
      <w:rPr>
        <w:rFonts w:ascii="Arial" w:hAnsi="Arial" w:cs="Arial"/>
        <w:bCs/>
        <w:noProof/>
        <w:sz w:val="16"/>
        <w:szCs w:val="16"/>
      </w:rPr>
      <w:t>020</w:t>
    </w:r>
    <w:r w:rsidR="00755CCB">
      <w:rPr>
        <w:rFonts w:ascii="Arial" w:hAnsi="Arial" w:cs="Arial"/>
        <w:bCs/>
        <w:noProof/>
        <w:sz w:val="16"/>
        <w:szCs w:val="16"/>
      </w:rPr>
      <w:t> </w:t>
    </w:r>
    <w:r w:rsidR="002973FA" w:rsidRPr="002973FA">
      <w:rPr>
        <w:rFonts w:ascii="Arial" w:hAnsi="Arial" w:cs="Arial"/>
        <w:bCs/>
        <w:noProof/>
        <w:sz w:val="16"/>
        <w:szCs w:val="16"/>
      </w:rPr>
      <w:t>903</w:t>
    </w:r>
    <w:r w:rsidR="00755CCB">
      <w:rPr>
        <w:rFonts w:ascii="Arial" w:hAnsi="Arial" w:cs="Arial"/>
        <w:bCs/>
        <w:noProof/>
        <w:sz w:val="16"/>
        <w:szCs w:val="16"/>
      </w:rPr>
      <w:t xml:space="preserve"> </w:t>
    </w:r>
    <w:r w:rsidR="000250E0">
      <w:rPr>
        <w:rFonts w:ascii="Arial" w:hAnsi="Arial" w:cs="Arial"/>
        <w:bCs/>
        <w:noProof/>
        <w:sz w:val="16"/>
        <w:szCs w:val="16"/>
      </w:rPr>
      <w:t xml:space="preserve">– </w:t>
    </w:r>
    <w:r w:rsidR="002973FA" w:rsidRPr="00C35A1D">
      <w:rPr>
        <w:rFonts w:ascii="Arial" w:hAnsi="Arial" w:cs="Arial"/>
        <w:bCs/>
        <w:noProof/>
        <w:sz w:val="16"/>
        <w:szCs w:val="16"/>
      </w:rPr>
      <w:t xml:space="preserve"> </w:t>
    </w:r>
    <w:hyperlink r:id="rId1" w:history="1">
      <w:r w:rsidR="002973FA" w:rsidRPr="00C35A1D">
        <w:rPr>
          <w:rFonts w:ascii="Arial" w:hAnsi="Arial" w:cs="Arial"/>
          <w:noProof/>
          <w:sz w:val="16"/>
          <w:szCs w:val="16"/>
        </w:rPr>
        <w:t>www.nse-groupe.com</w:t>
      </w:r>
    </w:hyperlink>
  </w:p>
  <w:p w14:paraId="143F7312" w14:textId="05FF5D5D" w:rsidR="002973FA" w:rsidRDefault="00244C6B" w:rsidP="002973FA">
    <w:pPr>
      <w:pStyle w:val="Pieddepage"/>
      <w:ind w:left="-426"/>
      <w:jc w:val="center"/>
      <w:rPr>
        <w:rFonts w:ascii="Arial" w:hAnsi="Arial" w:cs="Arial"/>
        <w:noProof/>
        <w:sz w:val="16"/>
        <w:szCs w:val="16"/>
      </w:rPr>
    </w:pPr>
    <w:r w:rsidRPr="00244C6B">
      <w:rPr>
        <w:rFonts w:ascii="Arial" w:hAnsi="Arial" w:cs="Arial"/>
        <w:noProof/>
        <w:sz w:val="16"/>
        <w:szCs w:val="16"/>
      </w:rPr>
      <w:fldChar w:fldCharType="begin"/>
    </w:r>
    <w:r w:rsidRPr="00244C6B">
      <w:rPr>
        <w:rFonts w:ascii="Arial" w:hAnsi="Arial" w:cs="Arial"/>
        <w:noProof/>
        <w:sz w:val="16"/>
        <w:szCs w:val="16"/>
      </w:rPr>
      <w:instrText>PAGE   \* MERGEFORMAT</w:instrText>
    </w:r>
    <w:r w:rsidRPr="00244C6B">
      <w:rPr>
        <w:rFonts w:ascii="Arial" w:hAnsi="Arial" w:cs="Arial"/>
        <w:noProof/>
        <w:sz w:val="16"/>
        <w:szCs w:val="16"/>
      </w:rPr>
      <w:fldChar w:fldCharType="separate"/>
    </w:r>
    <w:r w:rsidR="00861D32">
      <w:rPr>
        <w:rFonts w:ascii="Arial" w:hAnsi="Arial" w:cs="Arial"/>
        <w:noProof/>
        <w:sz w:val="16"/>
        <w:szCs w:val="16"/>
      </w:rPr>
      <w:t>2</w:t>
    </w:r>
    <w:r w:rsidRPr="00244C6B">
      <w:rPr>
        <w:rFonts w:ascii="Arial" w:hAnsi="Arial" w:cs="Arial"/>
        <w:noProof/>
        <w:sz w:val="16"/>
        <w:szCs w:val="16"/>
      </w:rPr>
      <w:fldChar w:fldCharType="end"/>
    </w:r>
    <w:r w:rsidR="00773B48">
      <w:rPr>
        <w:rFonts w:ascii="Arial" w:hAnsi="Arial" w:cs="Arial"/>
        <w:noProof/>
        <w:sz w:val="16"/>
        <w:szCs w:val="16"/>
      </w:rPr>
      <w:t>/2</w:t>
    </w:r>
    <w:r w:rsidR="00132582">
      <w:rPr>
        <w:rFonts w:ascii="Arial" w:hAnsi="Arial" w:cs="Arial"/>
        <w:noProof/>
        <w:sz w:val="16"/>
        <w:szCs w:val="16"/>
      </w:rPr>
      <w:t xml:space="preserve"> </w:t>
    </w:r>
  </w:p>
  <w:p w14:paraId="612E3D6C" w14:textId="77777777" w:rsidR="002973FA" w:rsidRPr="00C35A1D" w:rsidRDefault="002973FA" w:rsidP="002973FA">
    <w:pPr>
      <w:pStyle w:val="Pieddepage"/>
      <w:ind w:left="-426"/>
      <w:jc w:val="center"/>
      <w:rPr>
        <w:rFonts w:ascii="Arial" w:hAnsi="Arial" w:cs="Arial"/>
        <w:bCs/>
        <w:sz w:val="16"/>
        <w:szCs w:val="16"/>
      </w:rPr>
    </w:pPr>
  </w:p>
  <w:p w14:paraId="45F747CD" w14:textId="77777777" w:rsidR="00700FEC" w:rsidRDefault="00700FEC" w:rsidP="002973FA">
    <w:pP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9816A" w14:textId="77777777" w:rsidR="00CC723B" w:rsidRDefault="00CC723B">
      <w:r>
        <w:separator/>
      </w:r>
    </w:p>
  </w:footnote>
  <w:footnote w:type="continuationSeparator" w:id="0">
    <w:p w14:paraId="49199788" w14:textId="77777777" w:rsidR="00CC723B" w:rsidRDefault="00CC723B">
      <w:r>
        <w:continuationSeparator/>
      </w:r>
    </w:p>
  </w:footnote>
  <w:footnote w:id="1">
    <w:p w14:paraId="53950236" w14:textId="77777777" w:rsidR="00C67CB2" w:rsidRDefault="00C67CB2" w:rsidP="00C67CB2">
      <w:pPr>
        <w:pStyle w:val="Notedebasdepage"/>
      </w:pPr>
      <w:r w:rsidRPr="009527EA">
        <w:rPr>
          <w:rStyle w:val="Appelnotedebasdep"/>
          <w:rFonts w:ascii="Arial" w:hAnsi="Arial" w:cs="Arial"/>
          <w:sz w:val="18"/>
        </w:rPr>
        <w:footnoteRef/>
      </w:r>
      <w:r w:rsidRPr="009527EA">
        <w:rPr>
          <w:rFonts w:ascii="Arial" w:hAnsi="Arial" w:cs="Arial"/>
          <w:sz w:val="18"/>
        </w:rPr>
        <w:t xml:space="preserve"> Groupement des industries française aéronautiques et spatiales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214" w:type="dxa"/>
      <w:tblLayout w:type="fixed"/>
      <w:tblCellMar>
        <w:left w:w="70" w:type="dxa"/>
        <w:right w:w="70" w:type="dxa"/>
      </w:tblCellMar>
      <w:tblLook w:val="0000" w:firstRow="0" w:lastRow="0" w:firstColumn="0" w:lastColumn="0" w:noHBand="0" w:noVBand="0"/>
    </w:tblPr>
    <w:tblGrid>
      <w:gridCol w:w="3261"/>
      <w:gridCol w:w="6521"/>
    </w:tblGrid>
    <w:tr w:rsidR="00DB0046" w:rsidRPr="00AC4E15" w14:paraId="670638AC" w14:textId="77777777" w:rsidTr="008D73A4">
      <w:trPr>
        <w:cantSplit/>
        <w:trHeight w:hRule="exact" w:val="851"/>
      </w:trPr>
      <w:tc>
        <w:tcPr>
          <w:tcW w:w="3261" w:type="dxa"/>
        </w:tcPr>
        <w:p w14:paraId="456FA2A2" w14:textId="77777777" w:rsidR="00DB0046" w:rsidRDefault="002D6FEE" w:rsidP="002F1E7D">
          <w:pPr>
            <w:pStyle w:val="En-tte"/>
            <w:tabs>
              <w:tab w:val="clear" w:pos="9072"/>
            </w:tabs>
            <w:jc w:val="center"/>
          </w:pPr>
          <w:r>
            <w:rPr>
              <w:noProof/>
            </w:rPr>
            <w:drawing>
              <wp:inline distT="0" distB="0" distL="0" distR="0" wp14:anchorId="393BE8C6" wp14:editId="4A5DCE5E">
                <wp:extent cx="1752600" cy="533400"/>
                <wp:effectExtent l="19050" t="0" r="0" b="0"/>
                <wp:docPr id="3" name="Image 3" descr="Logo 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ogo NSE"/>
                        <pic:cNvPicPr>
                          <a:picLocks noChangeAspect="1" noChangeArrowheads="1"/>
                        </pic:cNvPicPr>
                      </pic:nvPicPr>
                      <pic:blipFill>
                        <a:blip r:embed="rId1"/>
                        <a:srcRect/>
                        <a:stretch>
                          <a:fillRect/>
                        </a:stretch>
                      </pic:blipFill>
                      <pic:spPr bwMode="auto">
                        <a:xfrm>
                          <a:off x="0" y="0"/>
                          <a:ext cx="1752600" cy="533400"/>
                        </a:xfrm>
                        <a:prstGeom prst="rect">
                          <a:avLst/>
                        </a:prstGeom>
                        <a:noFill/>
                        <a:ln w="9525">
                          <a:noFill/>
                          <a:miter lim="800000"/>
                          <a:headEnd/>
                          <a:tailEnd/>
                        </a:ln>
                      </pic:spPr>
                    </pic:pic>
                  </a:graphicData>
                </a:graphic>
              </wp:inline>
            </w:drawing>
          </w:r>
        </w:p>
        <w:p w14:paraId="66BF0148" w14:textId="77777777" w:rsidR="00DB0046" w:rsidRDefault="00DB0046">
          <w:pPr>
            <w:pStyle w:val="En-tte"/>
            <w:tabs>
              <w:tab w:val="clear" w:pos="9072"/>
            </w:tabs>
            <w:rPr>
              <w:rFonts w:ascii="Arial" w:hAnsi="Arial"/>
            </w:rPr>
          </w:pPr>
        </w:p>
      </w:tc>
      <w:tc>
        <w:tcPr>
          <w:tcW w:w="6521" w:type="dxa"/>
        </w:tcPr>
        <w:p w14:paraId="48A11E97" w14:textId="77777777" w:rsidR="00DB0046" w:rsidRDefault="00DB0046" w:rsidP="002F1E7D">
          <w:pPr>
            <w:pStyle w:val="En-tte"/>
            <w:tabs>
              <w:tab w:val="clear" w:pos="9072"/>
            </w:tabs>
            <w:jc w:val="both"/>
            <w:rPr>
              <w:rFonts w:ascii="Arial" w:hAnsi="Arial" w:cs="Arial"/>
            </w:rPr>
          </w:pPr>
        </w:p>
        <w:p w14:paraId="681F7539" w14:textId="77777777" w:rsidR="002D6FEE" w:rsidRDefault="002D6FEE" w:rsidP="002F1E7D">
          <w:pPr>
            <w:pStyle w:val="En-tte"/>
            <w:tabs>
              <w:tab w:val="clear" w:pos="9072"/>
            </w:tabs>
            <w:jc w:val="both"/>
            <w:rPr>
              <w:rFonts w:ascii="Arial" w:hAnsi="Arial" w:cs="Arial"/>
            </w:rPr>
          </w:pPr>
        </w:p>
        <w:p w14:paraId="19E0FAE7" w14:textId="77777777" w:rsidR="002D6FEE" w:rsidRPr="00C04E20" w:rsidRDefault="002D6FEE" w:rsidP="002D6FEE">
          <w:pPr>
            <w:pStyle w:val="En-tte"/>
            <w:tabs>
              <w:tab w:val="clear" w:pos="9072"/>
            </w:tabs>
            <w:jc w:val="right"/>
            <w:rPr>
              <w:rFonts w:asciiTheme="minorHAnsi" w:hAnsiTheme="minorHAnsi" w:cs="Arial"/>
              <w:sz w:val="32"/>
              <w:szCs w:val="32"/>
            </w:rPr>
          </w:pPr>
          <w:r w:rsidRPr="00C04E20">
            <w:rPr>
              <w:rFonts w:asciiTheme="minorHAnsi" w:hAnsiTheme="minorHAnsi" w:cs="Arial"/>
              <w:sz w:val="32"/>
              <w:szCs w:val="32"/>
            </w:rPr>
            <w:t>COMMUNIQUÉ</w:t>
          </w:r>
        </w:p>
      </w:tc>
    </w:tr>
  </w:tbl>
  <w:p w14:paraId="74B906A2" w14:textId="77777777" w:rsidR="00DB0046" w:rsidRPr="00C35A1D" w:rsidRDefault="00DB0046" w:rsidP="009F29D3">
    <w:pPr>
      <w:pStyle w:val="En-tt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E4C"/>
    <w:multiLevelType w:val="multilevel"/>
    <w:tmpl w:val="27B836E8"/>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035459CE"/>
    <w:multiLevelType w:val="hybridMultilevel"/>
    <w:tmpl w:val="B3C2A5CC"/>
    <w:lvl w:ilvl="0" w:tplc="5AA02A28">
      <w:start w:val="6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F6E90"/>
    <w:multiLevelType w:val="hybridMultilevel"/>
    <w:tmpl w:val="2F3C5E12"/>
    <w:lvl w:ilvl="0" w:tplc="E0885166">
      <w:start w:val="6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B0E4B"/>
    <w:multiLevelType w:val="singleLevel"/>
    <w:tmpl w:val="9FC23EAE"/>
    <w:lvl w:ilvl="0">
      <w:start w:val="1"/>
      <w:numFmt w:val="bullet"/>
      <w:lvlText w:val=""/>
      <w:lvlJc w:val="left"/>
      <w:pPr>
        <w:tabs>
          <w:tab w:val="num" w:pos="360"/>
        </w:tabs>
        <w:ind w:left="0" w:firstLine="0"/>
      </w:pPr>
      <w:rPr>
        <w:rFonts w:ascii="Wingdings" w:hAnsi="Wingdings" w:hint="default"/>
      </w:rPr>
    </w:lvl>
  </w:abstractNum>
  <w:abstractNum w:abstractNumId="4" w15:restartNumberingAfterBreak="0">
    <w:nsid w:val="0C4A365E"/>
    <w:multiLevelType w:val="hybridMultilevel"/>
    <w:tmpl w:val="AA2CCA12"/>
    <w:lvl w:ilvl="0" w:tplc="53BCE75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27E"/>
    <w:multiLevelType w:val="hybridMultilevel"/>
    <w:tmpl w:val="028279DC"/>
    <w:lvl w:ilvl="0" w:tplc="040C0001">
      <w:start w:val="6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666B33"/>
    <w:multiLevelType w:val="hybridMultilevel"/>
    <w:tmpl w:val="A314DBD2"/>
    <w:lvl w:ilvl="0" w:tplc="040C0003">
      <w:start w:val="1"/>
      <w:numFmt w:val="bullet"/>
      <w:lvlText w:val="o"/>
      <w:lvlJc w:val="left"/>
      <w:pPr>
        <w:tabs>
          <w:tab w:val="num" w:pos="780"/>
        </w:tabs>
        <w:ind w:left="780" w:hanging="360"/>
      </w:pPr>
      <w:rPr>
        <w:rFonts w:ascii="Courier New" w:hAnsi="Courier New" w:cs="Courier New" w:hint="default"/>
        <w:sz w:val="16"/>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A97162"/>
    <w:multiLevelType w:val="hybridMultilevel"/>
    <w:tmpl w:val="0B7254C4"/>
    <w:lvl w:ilvl="0" w:tplc="168AF3DE">
      <w:numFmt w:val="bullet"/>
      <w:lvlText w:val="-"/>
      <w:lvlJc w:val="left"/>
      <w:pPr>
        <w:ind w:left="720" w:hanging="360"/>
      </w:pPr>
      <w:rPr>
        <w:rFonts w:ascii="Verdana" w:eastAsia="Calibri"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2EF6FFF"/>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3C85AA3"/>
    <w:multiLevelType w:val="hybridMultilevel"/>
    <w:tmpl w:val="DAA47508"/>
    <w:lvl w:ilvl="0" w:tplc="B1B649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1044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3E6AAA"/>
    <w:multiLevelType w:val="hybridMultilevel"/>
    <w:tmpl w:val="F7ECA88C"/>
    <w:lvl w:ilvl="0" w:tplc="BB5C4644">
      <w:start w:val="3"/>
      <w:numFmt w:val="decimalZero"/>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9D04559"/>
    <w:multiLevelType w:val="hybridMultilevel"/>
    <w:tmpl w:val="3320B5D0"/>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A43007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9F3864"/>
    <w:multiLevelType w:val="singleLevel"/>
    <w:tmpl w:val="A0B4ACA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34F442D9"/>
    <w:multiLevelType w:val="hybridMultilevel"/>
    <w:tmpl w:val="07301902"/>
    <w:lvl w:ilvl="0" w:tplc="4EB634A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1507A"/>
    <w:multiLevelType w:val="multilevel"/>
    <w:tmpl w:val="BE8E08A6"/>
    <w:lvl w:ilvl="0">
      <w:start w:val="1"/>
      <w:numFmt w:val="bullet"/>
      <w:lvlText w:val=""/>
      <w:lvlJc w:val="left"/>
      <w:pPr>
        <w:tabs>
          <w:tab w:val="num" w:pos="780"/>
        </w:tabs>
        <w:ind w:left="780" w:hanging="360"/>
      </w:pPr>
      <w:rPr>
        <w:rFonts w:ascii="Wingdings" w:hAnsi="Wingdings" w:hint="default"/>
        <w:sz w:val="16"/>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B979A8"/>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3E144F8D"/>
    <w:multiLevelType w:val="hybridMultilevel"/>
    <w:tmpl w:val="370C13AA"/>
    <w:lvl w:ilvl="0" w:tplc="FC76F3E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848F7"/>
    <w:multiLevelType w:val="singleLevel"/>
    <w:tmpl w:val="9FC23EAE"/>
    <w:lvl w:ilvl="0">
      <w:start w:val="1"/>
      <w:numFmt w:val="bullet"/>
      <w:lvlText w:val=""/>
      <w:lvlJc w:val="left"/>
      <w:pPr>
        <w:tabs>
          <w:tab w:val="num" w:pos="360"/>
        </w:tabs>
        <w:ind w:left="0" w:firstLine="0"/>
      </w:pPr>
      <w:rPr>
        <w:rFonts w:ascii="Wingdings" w:hAnsi="Wingdings" w:hint="default"/>
      </w:rPr>
    </w:lvl>
  </w:abstractNum>
  <w:abstractNum w:abstractNumId="20" w15:restartNumberingAfterBreak="0">
    <w:nsid w:val="41EE03C9"/>
    <w:multiLevelType w:val="hybridMultilevel"/>
    <w:tmpl w:val="EF10F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AE7B6F"/>
    <w:multiLevelType w:val="hybridMultilevel"/>
    <w:tmpl w:val="2D686982"/>
    <w:lvl w:ilvl="0" w:tplc="040C0003">
      <w:start w:val="1"/>
      <w:numFmt w:val="bullet"/>
      <w:lvlText w:val="o"/>
      <w:lvlJc w:val="left"/>
      <w:pPr>
        <w:tabs>
          <w:tab w:val="num" w:pos="1996"/>
        </w:tabs>
        <w:ind w:left="1996" w:hanging="360"/>
      </w:pPr>
      <w:rPr>
        <w:rFonts w:ascii="Courier New" w:hAnsi="Courier New" w:cs="Courier New"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22" w15:restartNumberingAfterBreak="0">
    <w:nsid w:val="47C05798"/>
    <w:multiLevelType w:val="hybridMultilevel"/>
    <w:tmpl w:val="4DC8864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13D15"/>
    <w:multiLevelType w:val="hybridMultilevel"/>
    <w:tmpl w:val="42F89104"/>
    <w:lvl w:ilvl="0" w:tplc="FFFFFFFF">
      <w:start w:val="327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A544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0009AD"/>
    <w:multiLevelType w:val="singleLevel"/>
    <w:tmpl w:val="DD56CBE6"/>
    <w:lvl w:ilvl="0">
      <w:start w:val="1"/>
      <w:numFmt w:val="lowerLetter"/>
      <w:lvlText w:val="%1)"/>
      <w:lvlJc w:val="left"/>
      <w:pPr>
        <w:tabs>
          <w:tab w:val="num" w:pos="1267"/>
        </w:tabs>
        <w:ind w:left="1267" w:hanging="360"/>
      </w:pPr>
      <w:rPr>
        <w:rFonts w:hint="default"/>
      </w:rPr>
    </w:lvl>
  </w:abstractNum>
  <w:abstractNum w:abstractNumId="26" w15:restartNumberingAfterBreak="0">
    <w:nsid w:val="5AB756FD"/>
    <w:multiLevelType w:val="hybridMultilevel"/>
    <w:tmpl w:val="BE8E08A6"/>
    <w:lvl w:ilvl="0" w:tplc="040C0007">
      <w:start w:val="1"/>
      <w:numFmt w:val="bullet"/>
      <w:lvlText w:val=""/>
      <w:lvlJc w:val="left"/>
      <w:pPr>
        <w:tabs>
          <w:tab w:val="num" w:pos="780"/>
        </w:tabs>
        <w:ind w:left="780" w:hanging="360"/>
      </w:pPr>
      <w:rPr>
        <w:rFonts w:ascii="Wingdings" w:hAnsi="Wingdings" w:hint="default"/>
        <w:sz w:val="16"/>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BD24A9A"/>
    <w:multiLevelType w:val="hybridMultilevel"/>
    <w:tmpl w:val="E7729EEA"/>
    <w:lvl w:ilvl="0" w:tplc="0510801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56046"/>
    <w:multiLevelType w:val="singleLevel"/>
    <w:tmpl w:val="A0B4ACA2"/>
    <w:lvl w:ilvl="0">
      <w:start w:val="1"/>
      <w:numFmt w:val="bullet"/>
      <w:lvlText w:val=""/>
      <w:lvlJc w:val="left"/>
      <w:pPr>
        <w:tabs>
          <w:tab w:val="num" w:pos="927"/>
        </w:tabs>
        <w:ind w:left="907" w:hanging="340"/>
      </w:pPr>
      <w:rPr>
        <w:rFonts w:ascii="Symbol" w:hAnsi="Symbol" w:hint="default"/>
      </w:rPr>
    </w:lvl>
  </w:abstractNum>
  <w:abstractNum w:abstractNumId="29" w15:restartNumberingAfterBreak="0">
    <w:nsid w:val="5D4E31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FD6336"/>
    <w:multiLevelType w:val="singleLevel"/>
    <w:tmpl w:val="80D28048"/>
    <w:lvl w:ilvl="0">
      <w:start w:val="2"/>
      <w:numFmt w:val="decimal"/>
      <w:lvlText w:val="%1."/>
      <w:lvlJc w:val="left"/>
      <w:pPr>
        <w:tabs>
          <w:tab w:val="num" w:pos="360"/>
        </w:tabs>
        <w:ind w:left="360" w:hanging="360"/>
      </w:pPr>
    </w:lvl>
  </w:abstractNum>
  <w:abstractNum w:abstractNumId="31" w15:restartNumberingAfterBreak="0">
    <w:nsid w:val="5F3C49C8"/>
    <w:multiLevelType w:val="hybridMultilevel"/>
    <w:tmpl w:val="7D42AC00"/>
    <w:lvl w:ilvl="0" w:tplc="040C0007">
      <w:start w:val="1"/>
      <w:numFmt w:val="bullet"/>
      <w:lvlText w:val=""/>
      <w:lvlJc w:val="left"/>
      <w:pPr>
        <w:tabs>
          <w:tab w:val="num" w:pos="720"/>
        </w:tabs>
        <w:ind w:left="720" w:hanging="360"/>
      </w:pPr>
      <w:rPr>
        <w:rFonts w:ascii="Wingdings" w:hAnsi="Wingdings" w:hint="default"/>
        <w:sz w:val="16"/>
      </w:rPr>
    </w:lvl>
    <w:lvl w:ilvl="1" w:tplc="FB2A3338">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D3384"/>
    <w:multiLevelType w:val="hybridMultilevel"/>
    <w:tmpl w:val="00BC76C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3B2690F"/>
    <w:multiLevelType w:val="hybridMultilevel"/>
    <w:tmpl w:val="889073E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6425074"/>
    <w:multiLevelType w:val="multilevel"/>
    <w:tmpl w:val="775A1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79508E1"/>
    <w:multiLevelType w:val="singleLevel"/>
    <w:tmpl w:val="A0B4ACA2"/>
    <w:lvl w:ilvl="0">
      <w:start w:val="1"/>
      <w:numFmt w:val="bullet"/>
      <w:lvlText w:val=""/>
      <w:lvlJc w:val="left"/>
      <w:pPr>
        <w:tabs>
          <w:tab w:val="num" w:pos="927"/>
        </w:tabs>
        <w:ind w:left="907" w:hanging="340"/>
      </w:pPr>
      <w:rPr>
        <w:rFonts w:ascii="Symbol" w:hAnsi="Symbol" w:hint="default"/>
      </w:rPr>
    </w:lvl>
  </w:abstractNum>
  <w:abstractNum w:abstractNumId="36" w15:restartNumberingAfterBreak="0">
    <w:nsid w:val="68886DBF"/>
    <w:multiLevelType w:val="singleLevel"/>
    <w:tmpl w:val="9FC23EAE"/>
    <w:lvl w:ilvl="0">
      <w:start w:val="1"/>
      <w:numFmt w:val="bullet"/>
      <w:lvlText w:val=""/>
      <w:lvlJc w:val="left"/>
      <w:pPr>
        <w:tabs>
          <w:tab w:val="num" w:pos="360"/>
        </w:tabs>
        <w:ind w:left="0" w:firstLine="0"/>
      </w:pPr>
      <w:rPr>
        <w:rFonts w:ascii="Wingdings" w:hAnsi="Wingdings" w:hint="default"/>
      </w:rPr>
    </w:lvl>
  </w:abstractNum>
  <w:abstractNum w:abstractNumId="37" w15:restartNumberingAfterBreak="0">
    <w:nsid w:val="6AF50C99"/>
    <w:multiLevelType w:val="hybridMultilevel"/>
    <w:tmpl w:val="FF76F53A"/>
    <w:lvl w:ilvl="0" w:tplc="2A1002A6">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218E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E6068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3737E0"/>
    <w:multiLevelType w:val="singleLevel"/>
    <w:tmpl w:val="EBACBB66"/>
    <w:lvl w:ilvl="0">
      <w:start w:val="1"/>
      <w:numFmt w:val="decimal"/>
      <w:lvlText w:val="%1."/>
      <w:lvlJc w:val="left"/>
      <w:pPr>
        <w:tabs>
          <w:tab w:val="num" w:pos="360"/>
        </w:tabs>
        <w:ind w:left="360" w:hanging="360"/>
      </w:pPr>
    </w:lvl>
  </w:abstractNum>
  <w:abstractNum w:abstractNumId="41" w15:restartNumberingAfterBreak="0">
    <w:nsid w:val="741E70F0"/>
    <w:multiLevelType w:val="singleLevel"/>
    <w:tmpl w:val="040C000F"/>
    <w:lvl w:ilvl="0">
      <w:start w:val="1"/>
      <w:numFmt w:val="decimal"/>
      <w:lvlText w:val="%1."/>
      <w:lvlJc w:val="left"/>
      <w:pPr>
        <w:tabs>
          <w:tab w:val="num" w:pos="360"/>
        </w:tabs>
        <w:ind w:left="360" w:hanging="360"/>
      </w:pPr>
    </w:lvl>
  </w:abstractNum>
  <w:abstractNum w:abstractNumId="42" w15:restartNumberingAfterBreak="0">
    <w:nsid w:val="76421D55"/>
    <w:multiLevelType w:val="hybridMultilevel"/>
    <w:tmpl w:val="7938D2A2"/>
    <w:lvl w:ilvl="0" w:tplc="E92E20B8">
      <w:start w:val="1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AB39D7"/>
    <w:multiLevelType w:val="singleLevel"/>
    <w:tmpl w:val="9FC23EAE"/>
    <w:lvl w:ilvl="0">
      <w:start w:val="1"/>
      <w:numFmt w:val="bullet"/>
      <w:lvlText w:val=""/>
      <w:lvlJc w:val="left"/>
      <w:pPr>
        <w:tabs>
          <w:tab w:val="num" w:pos="360"/>
        </w:tabs>
        <w:ind w:left="0" w:firstLine="0"/>
      </w:pPr>
      <w:rPr>
        <w:rFonts w:ascii="Wingdings" w:hAnsi="Wingdings" w:hint="default"/>
      </w:rPr>
    </w:lvl>
  </w:abstractNum>
  <w:num w:numId="1">
    <w:abstractNumId w:val="13"/>
  </w:num>
  <w:num w:numId="2">
    <w:abstractNumId w:val="10"/>
  </w:num>
  <w:num w:numId="3">
    <w:abstractNumId w:val="39"/>
  </w:num>
  <w:num w:numId="4">
    <w:abstractNumId w:val="38"/>
  </w:num>
  <w:num w:numId="5">
    <w:abstractNumId w:val="29"/>
  </w:num>
  <w:num w:numId="6">
    <w:abstractNumId w:val="0"/>
  </w:num>
  <w:num w:numId="7">
    <w:abstractNumId w:val="8"/>
  </w:num>
  <w:num w:numId="8">
    <w:abstractNumId w:val="24"/>
  </w:num>
  <w:num w:numId="9">
    <w:abstractNumId w:val="41"/>
  </w:num>
  <w:num w:numId="10">
    <w:abstractNumId w:val="43"/>
  </w:num>
  <w:num w:numId="11">
    <w:abstractNumId w:val="19"/>
  </w:num>
  <w:num w:numId="12">
    <w:abstractNumId w:val="36"/>
  </w:num>
  <w:num w:numId="13">
    <w:abstractNumId w:val="3"/>
  </w:num>
  <w:num w:numId="14">
    <w:abstractNumId w:val="40"/>
  </w:num>
  <w:num w:numId="15">
    <w:abstractNumId w:val="30"/>
  </w:num>
  <w:num w:numId="16">
    <w:abstractNumId w:val="35"/>
  </w:num>
  <w:num w:numId="17">
    <w:abstractNumId w:val="25"/>
  </w:num>
  <w:num w:numId="18">
    <w:abstractNumId w:val="28"/>
  </w:num>
  <w:num w:numId="19">
    <w:abstractNumId w:val="14"/>
  </w:num>
  <w:num w:numId="20">
    <w:abstractNumId w:val="17"/>
  </w:num>
  <w:num w:numId="21">
    <w:abstractNumId w:val="18"/>
  </w:num>
  <w:num w:numId="22">
    <w:abstractNumId w:val="15"/>
  </w:num>
  <w:num w:numId="23">
    <w:abstractNumId w:val="27"/>
  </w:num>
  <w:num w:numId="24">
    <w:abstractNumId w:val="32"/>
  </w:num>
  <w:num w:numId="25">
    <w:abstractNumId w:val="11"/>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2"/>
  </w:num>
  <w:num w:numId="29">
    <w:abstractNumId w:val="26"/>
  </w:num>
  <w:num w:numId="30">
    <w:abstractNumId w:val="21"/>
  </w:num>
  <w:num w:numId="31">
    <w:abstractNumId w:val="16"/>
  </w:num>
  <w:num w:numId="32">
    <w:abstractNumId w:val="6"/>
  </w:num>
  <w:num w:numId="33">
    <w:abstractNumId w:val="12"/>
  </w:num>
  <w:num w:numId="34">
    <w:abstractNumId w:val="33"/>
  </w:num>
  <w:num w:numId="35">
    <w:abstractNumId w:val="42"/>
  </w:num>
  <w:num w:numId="36">
    <w:abstractNumId w:val="37"/>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0"/>
  </w:num>
  <w:num w:numId="40">
    <w:abstractNumId w:val="9"/>
  </w:num>
  <w:num w:numId="41">
    <w:abstractNumId w:val="9"/>
  </w:num>
  <w:num w:numId="42">
    <w:abstractNumId w:val="2"/>
  </w:num>
  <w:num w:numId="43">
    <w:abstractNumId w:val="1"/>
  </w:num>
  <w:num w:numId="44">
    <w:abstractNumId w:val="5"/>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9F0665"/>
    <w:rsid w:val="00000A40"/>
    <w:rsid w:val="00002B11"/>
    <w:rsid w:val="000067FB"/>
    <w:rsid w:val="000146CF"/>
    <w:rsid w:val="0001740B"/>
    <w:rsid w:val="00017F64"/>
    <w:rsid w:val="0002372F"/>
    <w:rsid w:val="000250E0"/>
    <w:rsid w:val="00026E95"/>
    <w:rsid w:val="00031299"/>
    <w:rsid w:val="00032385"/>
    <w:rsid w:val="00042F75"/>
    <w:rsid w:val="000512CE"/>
    <w:rsid w:val="0006797F"/>
    <w:rsid w:val="00085F96"/>
    <w:rsid w:val="00093BA4"/>
    <w:rsid w:val="000951DF"/>
    <w:rsid w:val="00096AAA"/>
    <w:rsid w:val="000C448C"/>
    <w:rsid w:val="000C5318"/>
    <w:rsid w:val="000E380D"/>
    <w:rsid w:val="000E55A7"/>
    <w:rsid w:val="000E7979"/>
    <w:rsid w:val="001050C1"/>
    <w:rsid w:val="001151C2"/>
    <w:rsid w:val="00125A21"/>
    <w:rsid w:val="001262F6"/>
    <w:rsid w:val="00131A31"/>
    <w:rsid w:val="00132582"/>
    <w:rsid w:val="0014032A"/>
    <w:rsid w:val="001502FA"/>
    <w:rsid w:val="00156BC9"/>
    <w:rsid w:val="00163DB0"/>
    <w:rsid w:val="0016734D"/>
    <w:rsid w:val="00177271"/>
    <w:rsid w:val="001779E0"/>
    <w:rsid w:val="001813EF"/>
    <w:rsid w:val="00182EB9"/>
    <w:rsid w:val="001B747F"/>
    <w:rsid w:val="001C3CA1"/>
    <w:rsid w:val="001D1223"/>
    <w:rsid w:val="001D3B25"/>
    <w:rsid w:val="001D7B96"/>
    <w:rsid w:val="001E14EB"/>
    <w:rsid w:val="001E42CB"/>
    <w:rsid w:val="001F62C2"/>
    <w:rsid w:val="00211E35"/>
    <w:rsid w:val="00212182"/>
    <w:rsid w:val="00220F53"/>
    <w:rsid w:val="00227670"/>
    <w:rsid w:val="00234057"/>
    <w:rsid w:val="0024162D"/>
    <w:rsid w:val="00244C6B"/>
    <w:rsid w:val="00245C48"/>
    <w:rsid w:val="002478F1"/>
    <w:rsid w:val="00257F30"/>
    <w:rsid w:val="002658C0"/>
    <w:rsid w:val="002659E4"/>
    <w:rsid w:val="002852C9"/>
    <w:rsid w:val="00291B8E"/>
    <w:rsid w:val="002973FA"/>
    <w:rsid w:val="002A69BA"/>
    <w:rsid w:val="002A76E8"/>
    <w:rsid w:val="002B43E3"/>
    <w:rsid w:val="002B6D07"/>
    <w:rsid w:val="002C2B27"/>
    <w:rsid w:val="002C2F57"/>
    <w:rsid w:val="002C4053"/>
    <w:rsid w:val="002D6FEE"/>
    <w:rsid w:val="002E6F72"/>
    <w:rsid w:val="002F1E7D"/>
    <w:rsid w:val="003067B8"/>
    <w:rsid w:val="00311C11"/>
    <w:rsid w:val="00331F3E"/>
    <w:rsid w:val="00341DE0"/>
    <w:rsid w:val="00342DA1"/>
    <w:rsid w:val="003461D4"/>
    <w:rsid w:val="00346350"/>
    <w:rsid w:val="00355A93"/>
    <w:rsid w:val="00361CDB"/>
    <w:rsid w:val="00383798"/>
    <w:rsid w:val="00383BA5"/>
    <w:rsid w:val="00384881"/>
    <w:rsid w:val="00384E2B"/>
    <w:rsid w:val="00395082"/>
    <w:rsid w:val="003A1CE5"/>
    <w:rsid w:val="003A4B1A"/>
    <w:rsid w:val="003B5011"/>
    <w:rsid w:val="003C2DE1"/>
    <w:rsid w:val="003C5B2F"/>
    <w:rsid w:val="003D0D15"/>
    <w:rsid w:val="003E4841"/>
    <w:rsid w:val="00420F9D"/>
    <w:rsid w:val="00433D73"/>
    <w:rsid w:val="00441D16"/>
    <w:rsid w:val="00445D55"/>
    <w:rsid w:val="00453CAC"/>
    <w:rsid w:val="00456443"/>
    <w:rsid w:val="00457827"/>
    <w:rsid w:val="0046029F"/>
    <w:rsid w:val="00472071"/>
    <w:rsid w:val="0048417A"/>
    <w:rsid w:val="00487215"/>
    <w:rsid w:val="00494309"/>
    <w:rsid w:val="0049493E"/>
    <w:rsid w:val="004A02D5"/>
    <w:rsid w:val="004B5C03"/>
    <w:rsid w:val="004B679F"/>
    <w:rsid w:val="004C2D22"/>
    <w:rsid w:val="004C4CBA"/>
    <w:rsid w:val="00502E7C"/>
    <w:rsid w:val="00506832"/>
    <w:rsid w:val="0053710B"/>
    <w:rsid w:val="005424A2"/>
    <w:rsid w:val="005564FF"/>
    <w:rsid w:val="00565A86"/>
    <w:rsid w:val="00565D6A"/>
    <w:rsid w:val="00566FD3"/>
    <w:rsid w:val="005741E6"/>
    <w:rsid w:val="00591300"/>
    <w:rsid w:val="0059354F"/>
    <w:rsid w:val="005A0B12"/>
    <w:rsid w:val="005B4196"/>
    <w:rsid w:val="005B4B8E"/>
    <w:rsid w:val="005B6A29"/>
    <w:rsid w:val="005B6D73"/>
    <w:rsid w:val="005D0557"/>
    <w:rsid w:val="005D0558"/>
    <w:rsid w:val="005D1118"/>
    <w:rsid w:val="005D1A30"/>
    <w:rsid w:val="005D3512"/>
    <w:rsid w:val="005D7A61"/>
    <w:rsid w:val="005D7B53"/>
    <w:rsid w:val="005E16E1"/>
    <w:rsid w:val="005E4245"/>
    <w:rsid w:val="005F289C"/>
    <w:rsid w:val="00601143"/>
    <w:rsid w:val="006078A3"/>
    <w:rsid w:val="0062687A"/>
    <w:rsid w:val="00646ED9"/>
    <w:rsid w:val="0065191C"/>
    <w:rsid w:val="0065696F"/>
    <w:rsid w:val="00664FFB"/>
    <w:rsid w:val="00671F2E"/>
    <w:rsid w:val="00686CCF"/>
    <w:rsid w:val="006A48D8"/>
    <w:rsid w:val="006B2DA4"/>
    <w:rsid w:val="006B39EB"/>
    <w:rsid w:val="006B4DBD"/>
    <w:rsid w:val="006C08B3"/>
    <w:rsid w:val="006C2DDB"/>
    <w:rsid w:val="006C3DC1"/>
    <w:rsid w:val="006F037E"/>
    <w:rsid w:val="00700FEC"/>
    <w:rsid w:val="0070524E"/>
    <w:rsid w:val="00706F6A"/>
    <w:rsid w:val="00714CAD"/>
    <w:rsid w:val="00716A45"/>
    <w:rsid w:val="0071783E"/>
    <w:rsid w:val="00722584"/>
    <w:rsid w:val="00727B67"/>
    <w:rsid w:val="00743029"/>
    <w:rsid w:val="0075532B"/>
    <w:rsid w:val="00755CCB"/>
    <w:rsid w:val="00762C55"/>
    <w:rsid w:val="0077188D"/>
    <w:rsid w:val="00773B48"/>
    <w:rsid w:val="007753D0"/>
    <w:rsid w:val="007848B0"/>
    <w:rsid w:val="00786AC5"/>
    <w:rsid w:val="007928C9"/>
    <w:rsid w:val="00793605"/>
    <w:rsid w:val="007B0CA3"/>
    <w:rsid w:val="007C35FC"/>
    <w:rsid w:val="007C5284"/>
    <w:rsid w:val="007D258F"/>
    <w:rsid w:val="007D4F44"/>
    <w:rsid w:val="007E4A13"/>
    <w:rsid w:val="007E5206"/>
    <w:rsid w:val="007F0634"/>
    <w:rsid w:val="00800D94"/>
    <w:rsid w:val="00800F4D"/>
    <w:rsid w:val="00801DF3"/>
    <w:rsid w:val="00817919"/>
    <w:rsid w:val="00820CFC"/>
    <w:rsid w:val="00836518"/>
    <w:rsid w:val="008372B1"/>
    <w:rsid w:val="0084317E"/>
    <w:rsid w:val="008543FC"/>
    <w:rsid w:val="00855AA5"/>
    <w:rsid w:val="00856899"/>
    <w:rsid w:val="00861B46"/>
    <w:rsid w:val="00861D32"/>
    <w:rsid w:val="00871CB9"/>
    <w:rsid w:val="00877FE4"/>
    <w:rsid w:val="00882DA6"/>
    <w:rsid w:val="0089356B"/>
    <w:rsid w:val="008A0510"/>
    <w:rsid w:val="008A50AF"/>
    <w:rsid w:val="008C200F"/>
    <w:rsid w:val="008C29AD"/>
    <w:rsid w:val="008D5914"/>
    <w:rsid w:val="008D73A4"/>
    <w:rsid w:val="008E3064"/>
    <w:rsid w:val="008E754F"/>
    <w:rsid w:val="008F5194"/>
    <w:rsid w:val="00916B65"/>
    <w:rsid w:val="00934B35"/>
    <w:rsid w:val="00943885"/>
    <w:rsid w:val="00954B20"/>
    <w:rsid w:val="009565EC"/>
    <w:rsid w:val="00956B70"/>
    <w:rsid w:val="00964756"/>
    <w:rsid w:val="00974C92"/>
    <w:rsid w:val="009827F4"/>
    <w:rsid w:val="00983678"/>
    <w:rsid w:val="00984C33"/>
    <w:rsid w:val="009A7D08"/>
    <w:rsid w:val="009B7C26"/>
    <w:rsid w:val="009C0719"/>
    <w:rsid w:val="009C5661"/>
    <w:rsid w:val="009D4017"/>
    <w:rsid w:val="009E4640"/>
    <w:rsid w:val="009F0665"/>
    <w:rsid w:val="009F29D3"/>
    <w:rsid w:val="009F57F3"/>
    <w:rsid w:val="009F7F33"/>
    <w:rsid w:val="00A1744E"/>
    <w:rsid w:val="00A264B0"/>
    <w:rsid w:val="00A3395A"/>
    <w:rsid w:val="00A36E50"/>
    <w:rsid w:val="00A37D49"/>
    <w:rsid w:val="00A41F4F"/>
    <w:rsid w:val="00A42151"/>
    <w:rsid w:val="00A4728E"/>
    <w:rsid w:val="00A64BDA"/>
    <w:rsid w:val="00A8097B"/>
    <w:rsid w:val="00A814B8"/>
    <w:rsid w:val="00A903AB"/>
    <w:rsid w:val="00A9533E"/>
    <w:rsid w:val="00AA790A"/>
    <w:rsid w:val="00AB6403"/>
    <w:rsid w:val="00AC4790"/>
    <w:rsid w:val="00AC4E15"/>
    <w:rsid w:val="00AD70CA"/>
    <w:rsid w:val="00AE4089"/>
    <w:rsid w:val="00B10019"/>
    <w:rsid w:val="00B1107D"/>
    <w:rsid w:val="00B11F2C"/>
    <w:rsid w:val="00B1600D"/>
    <w:rsid w:val="00B1782F"/>
    <w:rsid w:val="00B27B62"/>
    <w:rsid w:val="00B33D9D"/>
    <w:rsid w:val="00B45511"/>
    <w:rsid w:val="00B474DB"/>
    <w:rsid w:val="00B55F17"/>
    <w:rsid w:val="00B62119"/>
    <w:rsid w:val="00B73DBE"/>
    <w:rsid w:val="00B86A17"/>
    <w:rsid w:val="00B905C6"/>
    <w:rsid w:val="00B95853"/>
    <w:rsid w:val="00BA2EB6"/>
    <w:rsid w:val="00BA656F"/>
    <w:rsid w:val="00BB0A14"/>
    <w:rsid w:val="00BB1D9E"/>
    <w:rsid w:val="00BB2973"/>
    <w:rsid w:val="00BB4E1E"/>
    <w:rsid w:val="00BD2EF8"/>
    <w:rsid w:val="00BD76B6"/>
    <w:rsid w:val="00BE296C"/>
    <w:rsid w:val="00BE7309"/>
    <w:rsid w:val="00BF64AC"/>
    <w:rsid w:val="00C04E20"/>
    <w:rsid w:val="00C05778"/>
    <w:rsid w:val="00C10664"/>
    <w:rsid w:val="00C17D84"/>
    <w:rsid w:val="00C2238C"/>
    <w:rsid w:val="00C35A1D"/>
    <w:rsid w:val="00C36E42"/>
    <w:rsid w:val="00C41C94"/>
    <w:rsid w:val="00C5095F"/>
    <w:rsid w:val="00C534F3"/>
    <w:rsid w:val="00C5651C"/>
    <w:rsid w:val="00C60ACD"/>
    <w:rsid w:val="00C62B0E"/>
    <w:rsid w:val="00C6409C"/>
    <w:rsid w:val="00C66AAE"/>
    <w:rsid w:val="00C67CB2"/>
    <w:rsid w:val="00C70203"/>
    <w:rsid w:val="00C7102E"/>
    <w:rsid w:val="00C7625D"/>
    <w:rsid w:val="00C808F0"/>
    <w:rsid w:val="00C80B46"/>
    <w:rsid w:val="00C86B36"/>
    <w:rsid w:val="00CB2F0B"/>
    <w:rsid w:val="00CB436A"/>
    <w:rsid w:val="00CB4B71"/>
    <w:rsid w:val="00CB755B"/>
    <w:rsid w:val="00CC3053"/>
    <w:rsid w:val="00CC723B"/>
    <w:rsid w:val="00CE399A"/>
    <w:rsid w:val="00CE49F3"/>
    <w:rsid w:val="00CF24C5"/>
    <w:rsid w:val="00CF494F"/>
    <w:rsid w:val="00D06A3E"/>
    <w:rsid w:val="00D0766D"/>
    <w:rsid w:val="00D17817"/>
    <w:rsid w:val="00D30435"/>
    <w:rsid w:val="00D50D40"/>
    <w:rsid w:val="00D64199"/>
    <w:rsid w:val="00D6645D"/>
    <w:rsid w:val="00D70247"/>
    <w:rsid w:val="00D70EAE"/>
    <w:rsid w:val="00D75F27"/>
    <w:rsid w:val="00D76BEC"/>
    <w:rsid w:val="00D83120"/>
    <w:rsid w:val="00D91218"/>
    <w:rsid w:val="00D9346C"/>
    <w:rsid w:val="00D961D1"/>
    <w:rsid w:val="00D97C44"/>
    <w:rsid w:val="00DA0060"/>
    <w:rsid w:val="00DA5FCF"/>
    <w:rsid w:val="00DB0046"/>
    <w:rsid w:val="00DB0315"/>
    <w:rsid w:val="00DC0157"/>
    <w:rsid w:val="00DC1C44"/>
    <w:rsid w:val="00DD71E1"/>
    <w:rsid w:val="00DE3355"/>
    <w:rsid w:val="00DF56FB"/>
    <w:rsid w:val="00E12BFA"/>
    <w:rsid w:val="00E16697"/>
    <w:rsid w:val="00E17989"/>
    <w:rsid w:val="00E27E6B"/>
    <w:rsid w:val="00E52067"/>
    <w:rsid w:val="00E603E4"/>
    <w:rsid w:val="00E710DB"/>
    <w:rsid w:val="00E76306"/>
    <w:rsid w:val="00E832EF"/>
    <w:rsid w:val="00EB19BE"/>
    <w:rsid w:val="00EB7F6F"/>
    <w:rsid w:val="00ED7B26"/>
    <w:rsid w:val="00EE450A"/>
    <w:rsid w:val="00EE5C10"/>
    <w:rsid w:val="00EF12A1"/>
    <w:rsid w:val="00EF1630"/>
    <w:rsid w:val="00EF1917"/>
    <w:rsid w:val="00F10F0B"/>
    <w:rsid w:val="00F11FEF"/>
    <w:rsid w:val="00F15BBF"/>
    <w:rsid w:val="00F16D9C"/>
    <w:rsid w:val="00F27CAF"/>
    <w:rsid w:val="00F36CB0"/>
    <w:rsid w:val="00F40219"/>
    <w:rsid w:val="00F50D8E"/>
    <w:rsid w:val="00F57FE9"/>
    <w:rsid w:val="00F61666"/>
    <w:rsid w:val="00F6303B"/>
    <w:rsid w:val="00F83DE0"/>
    <w:rsid w:val="00F875E5"/>
    <w:rsid w:val="00FA1188"/>
    <w:rsid w:val="00FB192F"/>
    <w:rsid w:val="00FB2EB4"/>
    <w:rsid w:val="00FC201C"/>
    <w:rsid w:val="00FC371A"/>
    <w:rsid w:val="00FD0F52"/>
    <w:rsid w:val="00FD1E64"/>
    <w:rsid w:val="00FE106F"/>
    <w:rsid w:val="00FE22D7"/>
    <w:rsid w:val="00FE62B1"/>
    <w:rsid w:val="00FF5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A4A7B"/>
  <w15:docId w15:val="{3F34506A-618F-4CB4-8CD8-A17890BE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6350"/>
  </w:style>
  <w:style w:type="paragraph" w:styleId="Titre1">
    <w:name w:val="heading 1"/>
    <w:basedOn w:val="Normal"/>
    <w:next w:val="Normal"/>
    <w:qFormat/>
    <w:rsid w:val="00346350"/>
    <w:pPr>
      <w:keepNext/>
      <w:outlineLvl w:val="0"/>
    </w:pPr>
    <w:rPr>
      <w:rFonts w:ascii="Arial" w:hAnsi="Arial"/>
      <w:sz w:val="28"/>
    </w:rPr>
  </w:style>
  <w:style w:type="paragraph" w:styleId="Titre2">
    <w:name w:val="heading 2"/>
    <w:basedOn w:val="Normal"/>
    <w:next w:val="Normal"/>
    <w:qFormat/>
    <w:rsid w:val="00346350"/>
    <w:pPr>
      <w:keepNext/>
      <w:jc w:val="both"/>
      <w:outlineLvl w:val="1"/>
    </w:pPr>
    <w:rPr>
      <w:rFonts w:ascii="Arial" w:hAnsi="Arial"/>
      <w:b/>
      <w:sz w:val="24"/>
    </w:rPr>
  </w:style>
  <w:style w:type="paragraph" w:styleId="Titre3">
    <w:name w:val="heading 3"/>
    <w:basedOn w:val="Normal"/>
    <w:next w:val="Normal"/>
    <w:qFormat/>
    <w:rsid w:val="00346350"/>
    <w:pPr>
      <w:keepNext/>
      <w:jc w:val="both"/>
      <w:outlineLvl w:val="2"/>
    </w:pPr>
    <w:rPr>
      <w:rFonts w:ascii="Arial" w:hAnsi="Arial"/>
      <w:sz w:val="24"/>
      <w:u w:val="single"/>
    </w:rPr>
  </w:style>
  <w:style w:type="paragraph" w:styleId="Titre4">
    <w:name w:val="heading 4"/>
    <w:basedOn w:val="Normal"/>
    <w:next w:val="Normal"/>
    <w:qFormat/>
    <w:rsid w:val="00346350"/>
    <w:pPr>
      <w:keepNext/>
      <w:jc w:val="both"/>
      <w:outlineLvl w:val="3"/>
    </w:pPr>
    <w:rPr>
      <w:rFonts w:ascii="Arial" w:hAnsi="Arial"/>
      <w:i/>
      <w:sz w:val="24"/>
    </w:rPr>
  </w:style>
  <w:style w:type="paragraph" w:styleId="Titre5">
    <w:name w:val="heading 5"/>
    <w:basedOn w:val="Normal"/>
    <w:next w:val="Normal"/>
    <w:qFormat/>
    <w:rsid w:val="00346350"/>
    <w:pPr>
      <w:keepNext/>
      <w:ind w:left="4956" w:firstLine="6"/>
      <w:jc w:val="both"/>
      <w:outlineLvl w:val="4"/>
    </w:pPr>
    <w:rPr>
      <w:rFonts w:ascii="Arial" w:hAnsi="Arial"/>
      <w:sz w:val="24"/>
    </w:rPr>
  </w:style>
  <w:style w:type="paragraph" w:styleId="Titre6">
    <w:name w:val="heading 6"/>
    <w:basedOn w:val="Normal"/>
    <w:next w:val="Normal"/>
    <w:qFormat/>
    <w:rsid w:val="00346350"/>
    <w:pPr>
      <w:keepNext/>
      <w:outlineLvl w:val="5"/>
    </w:pPr>
    <w:rPr>
      <w:rFonts w:ascii="Arial" w:hAnsi="Arial"/>
      <w:sz w:val="24"/>
    </w:rPr>
  </w:style>
  <w:style w:type="paragraph" w:styleId="Titre7">
    <w:name w:val="heading 7"/>
    <w:basedOn w:val="Normal"/>
    <w:next w:val="Normal"/>
    <w:qFormat/>
    <w:rsid w:val="00346350"/>
    <w:pPr>
      <w:keepNext/>
      <w:ind w:left="2124" w:firstLine="708"/>
      <w:outlineLvl w:val="6"/>
    </w:pPr>
    <w:rPr>
      <w:rFonts w:ascii="Arial" w:hAnsi="Arial"/>
      <w:b/>
      <w:sz w:val="24"/>
    </w:rPr>
  </w:style>
  <w:style w:type="paragraph" w:styleId="Titre8">
    <w:name w:val="heading 8"/>
    <w:basedOn w:val="Normal"/>
    <w:next w:val="Normal"/>
    <w:qFormat/>
    <w:rsid w:val="00346350"/>
    <w:pPr>
      <w:keepNext/>
      <w:jc w:val="right"/>
      <w:outlineLvl w:val="7"/>
    </w:pPr>
    <w:rPr>
      <w:rFonts w:ascii="Comic Sans MS" w:hAnsi="Comic Sans MS"/>
      <w:sz w:val="24"/>
    </w:rPr>
  </w:style>
  <w:style w:type="paragraph" w:styleId="Titre9">
    <w:name w:val="heading 9"/>
    <w:basedOn w:val="Normal"/>
    <w:next w:val="Normal"/>
    <w:qFormat/>
    <w:rsid w:val="00346350"/>
    <w:pPr>
      <w:keepNext/>
      <w:ind w:left="1607"/>
      <w:jc w:val="both"/>
      <w:outlineLvl w:val="8"/>
    </w:pPr>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46350"/>
    <w:pPr>
      <w:jc w:val="both"/>
    </w:pPr>
    <w:rPr>
      <w:rFonts w:ascii="Arial" w:hAnsi="Arial"/>
      <w:sz w:val="24"/>
    </w:rPr>
  </w:style>
  <w:style w:type="paragraph" w:styleId="En-tte">
    <w:name w:val="header"/>
    <w:basedOn w:val="Normal"/>
    <w:link w:val="En-tteCar"/>
    <w:uiPriority w:val="99"/>
    <w:rsid w:val="00346350"/>
    <w:pPr>
      <w:tabs>
        <w:tab w:val="center" w:pos="4536"/>
        <w:tab w:val="right" w:pos="9072"/>
      </w:tabs>
    </w:pPr>
  </w:style>
  <w:style w:type="paragraph" w:styleId="Pieddepage">
    <w:name w:val="footer"/>
    <w:basedOn w:val="Normal"/>
    <w:rsid w:val="00346350"/>
    <w:pPr>
      <w:tabs>
        <w:tab w:val="center" w:pos="4536"/>
        <w:tab w:val="right" w:pos="9072"/>
      </w:tabs>
    </w:pPr>
  </w:style>
  <w:style w:type="paragraph" w:styleId="Retraitcorpsdetexte">
    <w:name w:val="Body Text Indent"/>
    <w:basedOn w:val="Normal"/>
    <w:rsid w:val="00346350"/>
    <w:pPr>
      <w:ind w:left="360"/>
      <w:jc w:val="both"/>
    </w:pPr>
    <w:rPr>
      <w:rFonts w:ascii="Arial" w:hAnsi="Arial"/>
      <w:sz w:val="24"/>
    </w:rPr>
  </w:style>
  <w:style w:type="paragraph" w:styleId="Retraitcorpsdetexte2">
    <w:name w:val="Body Text Indent 2"/>
    <w:basedOn w:val="Normal"/>
    <w:rsid w:val="00346350"/>
    <w:pPr>
      <w:ind w:left="851" w:hanging="491"/>
    </w:pPr>
    <w:rPr>
      <w:rFonts w:ascii="Arial" w:hAnsi="Arial"/>
      <w:sz w:val="24"/>
    </w:rPr>
  </w:style>
  <w:style w:type="paragraph" w:styleId="Retraitcorpsdetexte3">
    <w:name w:val="Body Text Indent 3"/>
    <w:basedOn w:val="Normal"/>
    <w:rsid w:val="00346350"/>
    <w:pPr>
      <w:ind w:left="709" w:hanging="283"/>
      <w:jc w:val="both"/>
    </w:pPr>
    <w:rPr>
      <w:rFonts w:ascii="Arial" w:hAnsi="Arial"/>
      <w:sz w:val="24"/>
    </w:rPr>
  </w:style>
  <w:style w:type="character" w:styleId="Lienhypertexte">
    <w:name w:val="Hyperlink"/>
    <w:basedOn w:val="Policepardfaut"/>
    <w:rsid w:val="00346350"/>
    <w:rPr>
      <w:color w:val="0000FF"/>
      <w:u w:val="single"/>
    </w:rPr>
  </w:style>
  <w:style w:type="paragraph" w:styleId="Corpsdetexte2">
    <w:name w:val="Body Text 2"/>
    <w:basedOn w:val="Normal"/>
    <w:rsid w:val="00346350"/>
    <w:pPr>
      <w:ind w:right="284"/>
    </w:pPr>
    <w:rPr>
      <w:rFonts w:ascii="Arial" w:hAnsi="Arial" w:cs="Arial"/>
      <w:sz w:val="24"/>
    </w:rPr>
  </w:style>
  <w:style w:type="table" w:styleId="Grilledutableau">
    <w:name w:val="Table Grid"/>
    <w:basedOn w:val="TableauNormal"/>
    <w:rsid w:val="00DA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7B0CA3"/>
    <w:rPr>
      <w:rFonts w:ascii="Tahoma" w:hAnsi="Tahoma" w:cs="Tahoma"/>
      <w:sz w:val="16"/>
      <w:szCs w:val="16"/>
    </w:rPr>
  </w:style>
  <w:style w:type="character" w:customStyle="1" w:styleId="En-tteCar">
    <w:name w:val="En-tête Car"/>
    <w:basedOn w:val="Policepardfaut"/>
    <w:link w:val="En-tte"/>
    <w:uiPriority w:val="99"/>
    <w:rsid w:val="007C5284"/>
  </w:style>
  <w:style w:type="paragraph" w:styleId="Paragraphedeliste">
    <w:name w:val="List Paragraph"/>
    <w:basedOn w:val="Normal"/>
    <w:uiPriority w:val="34"/>
    <w:qFormat/>
    <w:rsid w:val="002F1E7D"/>
    <w:pPr>
      <w:ind w:left="720"/>
      <w:contextualSpacing/>
    </w:pPr>
    <w:rPr>
      <w:rFonts w:ascii="Arial" w:eastAsia="Calibri" w:hAnsi="Arial"/>
      <w:sz w:val="24"/>
      <w:szCs w:val="22"/>
      <w:lang w:eastAsia="en-US"/>
    </w:rPr>
  </w:style>
  <w:style w:type="paragraph" w:styleId="Rvision">
    <w:name w:val="Revision"/>
    <w:hidden/>
    <w:uiPriority w:val="99"/>
    <w:semiHidden/>
    <w:rsid w:val="002659E4"/>
  </w:style>
  <w:style w:type="character" w:styleId="Accentuation">
    <w:name w:val="Emphasis"/>
    <w:basedOn w:val="Policepardfaut"/>
    <w:uiPriority w:val="20"/>
    <w:qFormat/>
    <w:rsid w:val="00F16D9C"/>
    <w:rPr>
      <w:i/>
      <w:iCs/>
    </w:rPr>
  </w:style>
  <w:style w:type="character" w:styleId="Marquedecommentaire">
    <w:name w:val="annotation reference"/>
    <w:basedOn w:val="Policepardfaut"/>
    <w:uiPriority w:val="99"/>
    <w:semiHidden/>
    <w:unhideWhenUsed/>
    <w:rsid w:val="00DF56FB"/>
    <w:rPr>
      <w:sz w:val="16"/>
      <w:szCs w:val="16"/>
    </w:rPr>
  </w:style>
  <w:style w:type="paragraph" w:styleId="Commentaire">
    <w:name w:val="annotation text"/>
    <w:basedOn w:val="Normal"/>
    <w:link w:val="CommentaireCar"/>
    <w:uiPriority w:val="99"/>
    <w:semiHidden/>
    <w:unhideWhenUsed/>
    <w:rsid w:val="00DF56FB"/>
  </w:style>
  <w:style w:type="character" w:customStyle="1" w:styleId="CommentaireCar">
    <w:name w:val="Commentaire Car"/>
    <w:basedOn w:val="Policepardfaut"/>
    <w:link w:val="Commentaire"/>
    <w:uiPriority w:val="99"/>
    <w:semiHidden/>
    <w:rsid w:val="00DF56FB"/>
  </w:style>
  <w:style w:type="paragraph" w:styleId="Objetducommentaire">
    <w:name w:val="annotation subject"/>
    <w:basedOn w:val="Commentaire"/>
    <w:next w:val="Commentaire"/>
    <w:link w:val="ObjetducommentaireCar"/>
    <w:uiPriority w:val="99"/>
    <w:semiHidden/>
    <w:unhideWhenUsed/>
    <w:rsid w:val="00DF56FB"/>
    <w:rPr>
      <w:b/>
      <w:bCs/>
    </w:rPr>
  </w:style>
  <w:style w:type="character" w:customStyle="1" w:styleId="ObjetducommentaireCar">
    <w:name w:val="Objet du commentaire Car"/>
    <w:basedOn w:val="CommentaireCar"/>
    <w:link w:val="Objetducommentaire"/>
    <w:uiPriority w:val="99"/>
    <w:semiHidden/>
    <w:rsid w:val="00DF56FB"/>
    <w:rPr>
      <w:b/>
      <w:bCs/>
    </w:rPr>
  </w:style>
  <w:style w:type="character" w:customStyle="1" w:styleId="CorpsdetexteCar">
    <w:name w:val="Corps de texte Car"/>
    <w:basedOn w:val="Policepardfaut"/>
    <w:link w:val="Corpsdetexte"/>
    <w:rsid w:val="00800F4D"/>
    <w:rPr>
      <w:rFonts w:ascii="Arial" w:hAnsi="Arial"/>
      <w:sz w:val="24"/>
    </w:rPr>
  </w:style>
  <w:style w:type="paragraph" w:customStyle="1" w:styleId="Default">
    <w:name w:val="Default"/>
    <w:rsid w:val="004A02D5"/>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7753D0"/>
  </w:style>
  <w:style w:type="character" w:customStyle="1" w:styleId="NotedebasdepageCar">
    <w:name w:val="Note de bas de page Car"/>
    <w:basedOn w:val="Policepardfaut"/>
    <w:link w:val="Notedebasdepage"/>
    <w:uiPriority w:val="99"/>
    <w:semiHidden/>
    <w:rsid w:val="007753D0"/>
  </w:style>
  <w:style w:type="character" w:styleId="Appelnotedebasdep">
    <w:name w:val="footnote reference"/>
    <w:basedOn w:val="Policepardfaut"/>
    <w:uiPriority w:val="99"/>
    <w:semiHidden/>
    <w:unhideWhenUsed/>
    <w:rsid w:val="007753D0"/>
    <w:rPr>
      <w:vertAlign w:val="superscript"/>
    </w:rPr>
  </w:style>
  <w:style w:type="table" w:styleId="TableauGrille4-Accentuation5">
    <w:name w:val="Grid Table 4 Accent 5"/>
    <w:basedOn w:val="TableauNormal"/>
    <w:uiPriority w:val="49"/>
    <w:rsid w:val="00D06A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0340">
      <w:bodyDiv w:val="1"/>
      <w:marLeft w:val="0"/>
      <w:marRight w:val="0"/>
      <w:marTop w:val="0"/>
      <w:marBottom w:val="0"/>
      <w:divBdr>
        <w:top w:val="none" w:sz="0" w:space="0" w:color="auto"/>
        <w:left w:val="none" w:sz="0" w:space="0" w:color="auto"/>
        <w:bottom w:val="none" w:sz="0" w:space="0" w:color="auto"/>
        <w:right w:val="none" w:sz="0" w:space="0" w:color="auto"/>
      </w:divBdr>
      <w:divsChild>
        <w:div w:id="946039105">
          <w:marLeft w:val="0"/>
          <w:marRight w:val="0"/>
          <w:marTop w:val="0"/>
          <w:marBottom w:val="0"/>
          <w:divBdr>
            <w:top w:val="none" w:sz="0" w:space="0" w:color="auto"/>
            <w:left w:val="none" w:sz="0" w:space="0" w:color="auto"/>
            <w:bottom w:val="none" w:sz="0" w:space="0" w:color="auto"/>
            <w:right w:val="none" w:sz="0" w:space="0" w:color="auto"/>
          </w:divBdr>
        </w:div>
        <w:div w:id="1380864391">
          <w:marLeft w:val="0"/>
          <w:marRight w:val="0"/>
          <w:marTop w:val="0"/>
          <w:marBottom w:val="0"/>
          <w:divBdr>
            <w:top w:val="none" w:sz="0" w:space="0" w:color="auto"/>
            <w:left w:val="none" w:sz="0" w:space="0" w:color="auto"/>
            <w:bottom w:val="none" w:sz="0" w:space="0" w:color="auto"/>
            <w:right w:val="none" w:sz="0" w:space="0" w:color="auto"/>
          </w:divBdr>
        </w:div>
        <w:div w:id="2135097503">
          <w:marLeft w:val="0"/>
          <w:marRight w:val="0"/>
          <w:marTop w:val="0"/>
          <w:marBottom w:val="0"/>
          <w:divBdr>
            <w:top w:val="none" w:sz="0" w:space="0" w:color="auto"/>
            <w:left w:val="none" w:sz="0" w:space="0" w:color="auto"/>
            <w:bottom w:val="none" w:sz="0" w:space="0" w:color="auto"/>
            <w:right w:val="none" w:sz="0" w:space="0" w:color="auto"/>
          </w:divBdr>
        </w:div>
      </w:divsChild>
    </w:div>
    <w:div w:id="155994303">
      <w:bodyDiv w:val="1"/>
      <w:marLeft w:val="0"/>
      <w:marRight w:val="0"/>
      <w:marTop w:val="0"/>
      <w:marBottom w:val="0"/>
      <w:divBdr>
        <w:top w:val="none" w:sz="0" w:space="0" w:color="auto"/>
        <w:left w:val="none" w:sz="0" w:space="0" w:color="auto"/>
        <w:bottom w:val="none" w:sz="0" w:space="0" w:color="auto"/>
        <w:right w:val="none" w:sz="0" w:space="0" w:color="auto"/>
      </w:divBdr>
    </w:div>
    <w:div w:id="168328859">
      <w:bodyDiv w:val="1"/>
      <w:marLeft w:val="0"/>
      <w:marRight w:val="0"/>
      <w:marTop w:val="0"/>
      <w:marBottom w:val="0"/>
      <w:divBdr>
        <w:top w:val="none" w:sz="0" w:space="0" w:color="auto"/>
        <w:left w:val="none" w:sz="0" w:space="0" w:color="auto"/>
        <w:bottom w:val="none" w:sz="0" w:space="0" w:color="auto"/>
        <w:right w:val="none" w:sz="0" w:space="0" w:color="auto"/>
      </w:divBdr>
    </w:div>
    <w:div w:id="261111247">
      <w:bodyDiv w:val="1"/>
      <w:marLeft w:val="0"/>
      <w:marRight w:val="0"/>
      <w:marTop w:val="0"/>
      <w:marBottom w:val="0"/>
      <w:divBdr>
        <w:top w:val="none" w:sz="0" w:space="0" w:color="auto"/>
        <w:left w:val="none" w:sz="0" w:space="0" w:color="auto"/>
        <w:bottom w:val="none" w:sz="0" w:space="0" w:color="auto"/>
        <w:right w:val="none" w:sz="0" w:space="0" w:color="auto"/>
      </w:divBdr>
    </w:div>
    <w:div w:id="538082310">
      <w:bodyDiv w:val="1"/>
      <w:marLeft w:val="0"/>
      <w:marRight w:val="0"/>
      <w:marTop w:val="0"/>
      <w:marBottom w:val="0"/>
      <w:divBdr>
        <w:top w:val="none" w:sz="0" w:space="0" w:color="auto"/>
        <w:left w:val="none" w:sz="0" w:space="0" w:color="auto"/>
        <w:bottom w:val="none" w:sz="0" w:space="0" w:color="auto"/>
        <w:right w:val="none" w:sz="0" w:space="0" w:color="auto"/>
      </w:divBdr>
    </w:div>
    <w:div w:id="720439772">
      <w:bodyDiv w:val="1"/>
      <w:marLeft w:val="0"/>
      <w:marRight w:val="0"/>
      <w:marTop w:val="0"/>
      <w:marBottom w:val="0"/>
      <w:divBdr>
        <w:top w:val="none" w:sz="0" w:space="0" w:color="auto"/>
        <w:left w:val="none" w:sz="0" w:space="0" w:color="auto"/>
        <w:bottom w:val="none" w:sz="0" w:space="0" w:color="auto"/>
        <w:right w:val="none" w:sz="0" w:space="0" w:color="auto"/>
      </w:divBdr>
    </w:div>
    <w:div w:id="801851329">
      <w:bodyDiv w:val="1"/>
      <w:marLeft w:val="0"/>
      <w:marRight w:val="0"/>
      <w:marTop w:val="0"/>
      <w:marBottom w:val="0"/>
      <w:divBdr>
        <w:top w:val="none" w:sz="0" w:space="0" w:color="auto"/>
        <w:left w:val="none" w:sz="0" w:space="0" w:color="auto"/>
        <w:bottom w:val="none" w:sz="0" w:space="0" w:color="auto"/>
        <w:right w:val="none" w:sz="0" w:space="0" w:color="auto"/>
      </w:divBdr>
    </w:div>
    <w:div w:id="936210330">
      <w:bodyDiv w:val="1"/>
      <w:marLeft w:val="0"/>
      <w:marRight w:val="0"/>
      <w:marTop w:val="0"/>
      <w:marBottom w:val="0"/>
      <w:divBdr>
        <w:top w:val="none" w:sz="0" w:space="0" w:color="auto"/>
        <w:left w:val="none" w:sz="0" w:space="0" w:color="auto"/>
        <w:bottom w:val="none" w:sz="0" w:space="0" w:color="auto"/>
        <w:right w:val="none" w:sz="0" w:space="0" w:color="auto"/>
      </w:divBdr>
    </w:div>
    <w:div w:id="1007517054">
      <w:bodyDiv w:val="1"/>
      <w:marLeft w:val="0"/>
      <w:marRight w:val="0"/>
      <w:marTop w:val="0"/>
      <w:marBottom w:val="0"/>
      <w:divBdr>
        <w:top w:val="none" w:sz="0" w:space="0" w:color="auto"/>
        <w:left w:val="none" w:sz="0" w:space="0" w:color="auto"/>
        <w:bottom w:val="none" w:sz="0" w:space="0" w:color="auto"/>
        <w:right w:val="none" w:sz="0" w:space="0" w:color="auto"/>
      </w:divBdr>
    </w:div>
    <w:div w:id="1492209375">
      <w:bodyDiv w:val="1"/>
      <w:marLeft w:val="0"/>
      <w:marRight w:val="0"/>
      <w:marTop w:val="0"/>
      <w:marBottom w:val="0"/>
      <w:divBdr>
        <w:top w:val="none" w:sz="0" w:space="0" w:color="auto"/>
        <w:left w:val="none" w:sz="0" w:space="0" w:color="auto"/>
        <w:bottom w:val="none" w:sz="0" w:space="0" w:color="auto"/>
        <w:right w:val="none" w:sz="0" w:space="0" w:color="auto"/>
      </w:divBdr>
    </w:div>
    <w:div w:id="18158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group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se-grou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rin\Documents\Papier%20NS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3268C-925E-48F9-A19A-389B347D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NSE.dotx</Template>
  <TotalTime>1</TotalTime>
  <Pages>3</Pages>
  <Words>1002</Words>
  <Characters>5513</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TELECOPIE</vt:lpstr>
    </vt:vector>
  </TitlesOfParts>
  <Company/>
  <LinksUpToDate>false</LinksUpToDate>
  <CharactersWithSpaces>6502</CharactersWithSpaces>
  <SharedDoc>false</SharedDoc>
  <HLinks>
    <vt:vector size="6" baseType="variant">
      <vt:variant>
        <vt:i4>3539042</vt:i4>
      </vt:variant>
      <vt:variant>
        <vt:i4>6</vt:i4>
      </vt:variant>
      <vt:variant>
        <vt:i4>0</vt:i4>
      </vt:variant>
      <vt:variant>
        <vt:i4>5</vt:i4>
      </vt:variant>
      <vt:variant>
        <vt:lpwstr>http://www.nse-groupe.com/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TELECOPIE</dc:title>
  <dc:creator>Guillaume LAURIN</dc:creator>
  <cp:lastModifiedBy>Philippe DE LAMBERTYE</cp:lastModifiedBy>
  <cp:revision>2</cp:revision>
  <cp:lastPrinted>2017-01-30T15:46:00Z</cp:lastPrinted>
  <dcterms:created xsi:type="dcterms:W3CDTF">2017-01-30T15:47:00Z</dcterms:created>
  <dcterms:modified xsi:type="dcterms:W3CDTF">2017-01-30T15:47:00Z</dcterms:modified>
</cp:coreProperties>
</file>