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F7" w:rsidRPr="00D647F7" w:rsidRDefault="00142F54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8</w:t>
      </w:r>
      <w:r w:rsidR="00790104">
        <w:rPr>
          <w:sz w:val="22"/>
          <w:szCs w:val="22"/>
          <w:lang w:val="en"/>
        </w:rPr>
        <w:t xml:space="preserve"> </w:t>
      </w:r>
      <w:r w:rsidR="00436553">
        <w:rPr>
          <w:sz w:val="22"/>
          <w:szCs w:val="22"/>
          <w:lang w:val="en"/>
        </w:rPr>
        <w:t>September</w:t>
      </w:r>
      <w:r w:rsidR="00790104">
        <w:rPr>
          <w:sz w:val="22"/>
          <w:szCs w:val="22"/>
          <w:lang w:val="en"/>
        </w:rPr>
        <w:t xml:space="preserve"> 201</w:t>
      </w:r>
      <w:r w:rsidR="006A17F0">
        <w:rPr>
          <w:sz w:val="22"/>
          <w:szCs w:val="22"/>
          <w:lang w:val="en"/>
        </w:rPr>
        <w:t>7</w:t>
      </w: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854135" w:rsidRPr="00854135">
        <w:rPr>
          <w:sz w:val="22"/>
          <w:szCs w:val="22"/>
          <w:lang w:val="en"/>
        </w:rPr>
        <w:t>52,600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9A4DF9" w:rsidRPr="009A4DF9">
        <w:rPr>
          <w:sz w:val="22"/>
          <w:szCs w:val="22"/>
          <w:lang w:val="en"/>
        </w:rPr>
        <w:t>1670.6353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9A4DF9" w:rsidRPr="009A4DF9">
        <w:rPr>
          <w:sz w:val="22"/>
          <w:szCs w:val="22"/>
          <w:lang w:val="en"/>
        </w:rPr>
        <w:t>79,214,439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9A4DF9" w:rsidRPr="009A4DF9">
        <w:rPr>
          <w:sz w:val="22"/>
          <w:szCs w:val="22"/>
          <w:lang w:val="en"/>
        </w:rPr>
        <w:t>1,066,710,480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PLC has purchased </w:t>
      </w:r>
      <w:r w:rsidR="009A4DF9" w:rsidRPr="009A4DF9">
        <w:rPr>
          <w:sz w:val="22"/>
          <w:szCs w:val="22"/>
          <w:lang w:val="en"/>
        </w:rPr>
        <w:t>19,799,152</w:t>
      </w:r>
      <w:r w:rsidRPr="00FD13D9">
        <w:rPr>
          <w:sz w:val="22"/>
          <w:szCs w:val="22"/>
          <w:lang w:val="en"/>
        </w:rPr>
        <w:t xml:space="preserve"> shares.</w:t>
      </w:r>
    </w:p>
    <w:p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9A4DF9" w:rsidRPr="009A4DF9">
        <w:rPr>
          <w:sz w:val="22"/>
          <w:szCs w:val="22"/>
          <w:lang w:val="en"/>
        </w:rPr>
        <w:t>46,800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9A4DF9" w:rsidRPr="009A4DF9">
        <w:rPr>
          <w:sz w:val="22"/>
          <w:szCs w:val="22"/>
          <w:lang w:val="en"/>
        </w:rPr>
        <w:t>17.6195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9A4DF9" w:rsidRPr="009A4DF9">
        <w:rPr>
          <w:sz w:val="22"/>
          <w:szCs w:val="22"/>
          <w:lang w:val="en"/>
        </w:rPr>
        <w:t>71,601,798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9A4DF9" w:rsidRPr="009A4DF9">
        <w:rPr>
          <w:sz w:val="22"/>
          <w:szCs w:val="22"/>
          <w:lang w:val="en"/>
        </w:rPr>
        <w:t>949,958,873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NV has purchased </w:t>
      </w:r>
      <w:r w:rsidR="009A4DF9" w:rsidRPr="009A4DF9">
        <w:rPr>
          <w:sz w:val="22"/>
          <w:szCs w:val="22"/>
          <w:lang w:val="en"/>
        </w:rPr>
        <w:t>18,397,420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D647F7">
        <w:rPr>
          <w:sz w:val="22"/>
          <w:szCs w:val="22"/>
          <w:lang w:val="en"/>
        </w:rPr>
        <w:t xml:space="preserve"> is set out below.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1"/>
        <w:gridCol w:w="1914"/>
      </w:tblGrid>
      <w:tr w:rsidR="003E0113" w:rsidRPr="00D647F7" w:rsidTr="001E0BF4">
        <w:trPr>
          <w:tblCellSpacing w:w="0" w:type="dxa"/>
        </w:trPr>
        <w:tc>
          <w:tcPr>
            <w:tcW w:w="384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151" w:type="pct"/>
          </w:tcPr>
          <w:p w:rsidR="003E0113" w:rsidRPr="00E61773" w:rsidRDefault="001E0BF4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1E0BF4">
              <w:rPr>
                <w:rFonts w:ascii="Arial" w:hAnsi="Arial" w:cs="Arial"/>
                <w:sz w:val="22"/>
                <w:szCs w:val="22"/>
              </w:rPr>
              <w:t>8 September 2017</w:t>
            </w:r>
          </w:p>
        </w:tc>
      </w:tr>
      <w:tr w:rsidR="003E0113" w:rsidRPr="00D647F7" w:rsidTr="001E0BF4">
        <w:trPr>
          <w:tblCellSpacing w:w="0" w:type="dxa"/>
        </w:trPr>
        <w:tc>
          <w:tcPr>
            <w:tcW w:w="384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151" w:type="pct"/>
          </w:tcPr>
          <w:p w:rsidR="003E0113" w:rsidRPr="00E87BD1" w:rsidRDefault="009A4DF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A4DF9">
              <w:rPr>
                <w:rFonts w:ascii="Arial" w:hAnsi="Arial" w:cs="Arial"/>
                <w:sz w:val="22"/>
                <w:szCs w:val="22"/>
              </w:rPr>
              <w:t>52,600</w:t>
            </w:r>
          </w:p>
        </w:tc>
      </w:tr>
      <w:tr w:rsidR="003E0113" w:rsidRPr="00D647F7" w:rsidTr="001E0BF4">
        <w:trPr>
          <w:tblCellSpacing w:w="0" w:type="dxa"/>
        </w:trPr>
        <w:tc>
          <w:tcPr>
            <w:tcW w:w="384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151" w:type="pct"/>
          </w:tcPr>
          <w:p w:rsidR="003E0113" w:rsidRPr="003E0113" w:rsidRDefault="009A4DF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A4DF9">
              <w:rPr>
                <w:rFonts w:ascii="Arial" w:hAnsi="Arial" w:cs="Arial"/>
                <w:sz w:val="22"/>
                <w:szCs w:val="22"/>
              </w:rPr>
              <w:t>1670.6353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240"/>
        <w:gridCol w:w="939"/>
        <w:gridCol w:w="1320"/>
        <w:gridCol w:w="1340"/>
        <w:gridCol w:w="2803"/>
      </w:tblGrid>
      <w:tr w:rsidR="009A4DF9" w:rsidRPr="009A4DF9" w:rsidTr="009A4DF9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Pr="009A4DF9" w:rsidRDefault="009A4DF9" w:rsidP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Pr="009A4DF9" w:rsidRDefault="009A4DF9" w:rsidP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Pr="009A4DF9" w:rsidRDefault="009A4DF9" w:rsidP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Pr="009A4DF9" w:rsidRDefault="009A4DF9" w:rsidP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Pr="009A4DF9" w:rsidRDefault="009A4DF9" w:rsidP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84202842000000968-E0WpVLfjEPG220170908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84202842000000968-E0WpVLfjEPG020170908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07:02:33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84202842000000842-E0WpVLfjEPhT20170908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07:03:28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84402844000001127-E0WpVLfjEQAs20170908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08-Sep-2017 07:04:44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84402844000001398-E0WpVLfjER1h20170908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07:06:31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84402844000001586-E0WpVLfjESDT20170908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07:09:57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84202842000001867-E0WpVLfjEUGO20170908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84202842000002076-E0WpVLfjEVbD20170908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84202842000002076-E0WpVLfjEVbF20170908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84202842000002501-E0WpVLfjEYGs20170908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07:18:49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84402844000003253-E0WpVLfjEc8c20170908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07:18:49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84402844000003253-E0WpVLfjEc8a20170908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84402844000003366-E0WpVLfjEcyf20170908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84402844000003366-E0WpVLfjEcyd20170908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07:24:58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84202842000004517-E0WpVLfjEhe820170908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84402844000004853-E0WpVLfjEiNE20170908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07:29:22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84402844000005658-E0WpVLfjEl7O20170908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07:32:52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84402844000006461-E0WpVLfjEoOl20170908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84202842000007111-E0WpVLfjEqGV20170908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84202842000007111-E0WpVLfjEqGT20170908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07:39:22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84402844000008033-E0WpVLfjEscE20170908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07:42:42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84402844000008723-E0WpVLfjEuWj20170908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07:44:22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84202842000009004-E0WpVLfjEvbn20170908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07:46:42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84402844000009535-E0WpVLfjEwoS20170908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84402844000010663-E0WpVLfjEzbY20170908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84402844000010663-E0WpVLfjEzba20170908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84402844000011079-E0WpVLfjF0kM20170908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84402844000011079-E0WpVLfjF0kK20170908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84402844000011079-E0WpVLfjF0kI20170908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84202842000011575-E0WpVLfjF2N820170908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07:56:02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84202842000011575-E0WpVLfjF2NA20170908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08:01:22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84202842000012203-E0WpVLfjF5Sp20170908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08:06:09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84402844000012727-E0WpVLfjF8Zm20170908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08-Sep-2017 08:07:42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84402844000012916-E0WpVLfjF9Ag20170908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08:07:42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84402844000012916-E0WpVLfjF9Ae20170908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08:07:42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84402844000012916-E0WpVLfjF9Ac20170908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08:07:42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84402844000012916-E0WpVLfjF9Ai20170908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08:11:29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84402844000013317-E0WpVLfjFBh820170908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08:11:29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84402844000013317-E0WpVLfjFBhA20170908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08:19:22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84402844000014254-E0WpVLfjFGJe20170908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08:19:22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84402844000014254-E0WpVLfjFGJc20170908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08:21:02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84202842000014415-E0WpVLfjFGz420170908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08:21:02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84202842000014415-E0WpVLfjFGz620170908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08:26:03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84202842000014704-E0WpVLfjFJZS20170908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08:32:42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84202842000015731-E0WpVLfjFNq620170908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08:34:51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84402844000016124-E0WpVLfjFP5j20170908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08:34:51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84402844000016124-E0WpVLfjFP5l20170908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08:38:27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84202842000016432-E0WpVLfjFQnG20170908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08:45:16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84402844000017268-E0WpVLfjFUDi20170908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08:47:54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84202842000017846-E0WpVLfjFWu820170908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08:49:08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84202842000017846-E0WpVLfjFXiH20170908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84202842000020550-E0WpVLfjFhEQ20170908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84202842000020550-E0WpVLfjFhEM20170908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84202842000020550-E0WpVLfjFhEK20170908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84202842000020550-E0WpVLfjFhEO20170908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84402844000020832-E0WpVLfjFj1220170908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84402844000020832-E0WpVLfjFj0w20170908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84402844000020832-E0WpVLfjFj1020170908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84402844000020832-E0WpVLfjFj0y20170908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09:08:06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84202842000021027-E0WpVLfjFjch20170908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84202842000021230-E0WpVLfjFkLx20170908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09:09:22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84202842000021230-E0WpVLfjFkLv20170908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08-Sep-2017 09:20:58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84402844000022650-E0WpVLfjFr8I20170908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09:26:27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84402844000023502-E0WpVLfjFuCy20170908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09:26:27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84402844000023502-E0WpVLfjFuD020170908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09:33:43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84202842000024389-E0WpVLfjFxvG20170908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09:33:43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84202842000024389-E0WpVLfjFxvE20170908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09:33:43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84202842000024389-E0WpVLfjFxvI20170908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09:50:11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84202842000026256-E0WpVLfjG54q20170908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09:50:11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84202842000026256-E0WpVLfjG54o20170908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09:56:51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84402844000027073-E0WpVLfjG8N220170908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09:57:42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84202842000027184-E0WpVLfjG8p020170908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10:01:02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84402844000027588-E0WpVLfjGARA20170908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10:01:02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84402844000027588-E0WpVLfjGARC20170908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10:03:07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84402844000027781-E0WpVLfjGBK120170908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10:16:05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84202842000028916-E0WpVLfjGGRm20170908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10:16:05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84202842000028916-E0WpVLfjGGRo20170908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10:22:42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84202842000029512-E0WpVLfjGIdn20170908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10:27:06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84402844000029057-E0WpVLfjGKeu20170908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10:37:21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84402844000031764-E0WpVLfjGQQN20170908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10:37:21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84402844000031764-E0WpVLfjGQQP20170908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10:40:02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84202842000031755-E0WpVLfjGRmW20170908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10:54:55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84402844000033986-E0WpVLfjGZHk20170908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10:54:55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84402844000033986-E0WpVLfjGZHo20170908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10:54:55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84402844000033986-E0WpVLfjGZHm20170908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84402844000037591-E0WpVLfjGmQq20170908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84402844000037591-E0WpVLfjGmQo20170908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84202842000037363-E0WpVLfjGmQm20170908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84402844000036428-E0WpVLfjGmQg20170908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11:40:14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84402844000040067-E0WpVLfjGvkZ20170908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11:49:31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84402844000041157-E0WpVLfjGzSo20170908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08-Sep-2017 11:51:27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84402844000041322-E0WpVLfjH07D20170908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11:56:11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84402844000041910-E0WpVLfjH1Zd20170908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11:58:14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84202842000041552-E0WpVLfjH2L520170908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12:00:37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84202842000042340-E0WpVLfjH3dE20170908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12:20:54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84402844000044154-E0WpVLfjHCDu20170908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12:23:00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84402844000043848-E0WpVLfjHD8L20170908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12:30:33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84202842000045997-E0WpVLfjHHR120170908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12:34:10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84402844000046079-E0WpVLfjHIx520170908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12:35:50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84402844000047212-E0WpVLfjHJo720170908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12:37:13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84402844000047212-E0WpVLfjHKI220170908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12:37:13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84202842000047450-E0WpVLfjHKI820170908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12:38:44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84202842000047630-E0WpVLfjHLLv20170908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12:52:49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84202842000050191-E0WpVLfjHSca20170908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12:59:54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84402844000051283-E0WpVLfjHVxF20170908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13:04:39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84202842000051752-E0WpVLfjHZBk20170908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13:06:53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84402844000053045-E0WpVLfjHagL20170908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13:08:32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84402844000052860-E0WpVLfjHbQW20170908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13:16:44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84402844000054867-E0WpVLfjHfLX20170908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13:16:44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84402844000054867-E0WpVLfjHfLa20170908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13:29:31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84202842000057543-E0WpVLfjHl6O20170908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13:29:31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84202842000057543-E0WpVLfjHl6Q20170908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13:39:11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84202842000060821-E0WpVLfjHsXN20170908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13:39:11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84402844000060613-E0WpVLfjHsXJ20170908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84202842000064569-E0WpVLfjI1hF20170908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84202842000065044-E0WpVLfjI2W420170908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84202842000065044-E0WpVLfjI2W220170908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84202842000065536-E0WpVLfjI3cs20170908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84202842000065536-E0WpVLfjI3cu20170908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84202842000066002-E0WpVLfjI4jt20170908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08-Sep-2017 13:56:08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84202842000066002-E0WpVLfjI4jx20170908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13:56:08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1669.0000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84202842000066002-E0WpVLfjI4jv20170908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14:04:08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84202842000068931-E0WpVLfjIBc020170908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14:04:08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84202842000068931-E0WpVLfjIBc220170908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14:07:09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84202842000069807-E0WpVLfjIDOF20170908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14:07:09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84202842000069807-E0WpVLfjIDOD20170908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14:09:28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84402844000070558-E0WpVLfjIElR20170908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84402844000071521-E0WpVLfjIGNd20170908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84402844000071521-E0WpVLfjIGNf20170908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14:20:30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84402844000072605-E0WpVLfjILNE20170908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14:28:03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84402844000076224-E0WpVLfjIRKW20170908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14:28:03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84402844000076224-E0WpVLfjIRKY20170908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84402844000077665-E0WpVLfjIVN620170908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84402844000077665-E0WpVLfjIVN820170908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84202842000078381-E0WpVLfjIXia20170908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84202842000078381-E0WpVLfjIXic20170908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84202842000078830-E0WpVLfjIYwd20170908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84402844000079055-E0WpVLfjIZYb20170908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14:37:49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84402844000079055-E0WpVLfjIZYd20170908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84402844000080441-E0WpVLfjId4020170908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84402844000080441-E0WpVLfjId4220170908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84402844000080441-E0WpVLfjId3y20170908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84402844000082087-E0WpVLfjIgud20170908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84402844000082087-E0WpVLfjIgub20170908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84402844000082087-E0WpVLfjIguZ20170908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14:48:03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84202842000082850-E0WpVLfjIjIj20170908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84202842000083387-E0WpVLfjIkpV20170908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14:52:49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84202842000084150-E0WpVLfjImcK20170908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14:56:27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84402844000085601-E0WpVLfjIpko20170908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08-Sep-2017 14:56:27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84402844000085601-E0WpVLfjIpkk20170908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14:56:27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84402844000085601-E0WpVLfjIpkm20170908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84202842000088825-E0WpVLfjJ1qn20170908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84202842000088825-E0WpVLfjJ1ql20170908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84402844000089246-E0WpVLfjJ2iB20170908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84402844000089246-E0WpVLfjJ2i720170908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84402844000089246-E0WpVLfjJ2i920170908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15:08:27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84202842000089707-E0WpVLfjJ4ju20170908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84202842000090323-E0WpVLfjJ62a20170908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15:09:32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84202842000090323-E0WpVLfjJ62c20170908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84202842000091412-E0WpVLfjJ8D820170908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84202842000091412-E0WpVLfjJ8D420170908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84202842000091412-E0WpVLfjJ8D620170908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84202842000092630-E0WpVLfjJAz420170908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84202842000092630-E0WpVLfjJAz620170908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84202842000093883-E0WpVLfjJDZ920170908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15:19:31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84202842000094660-E0WpVLfjJF1O20170908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15:22:49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84202842000096320-E0WpVLfjJI0M20170908</w:t>
            </w:r>
          </w:p>
        </w:tc>
      </w:tr>
      <w:tr w:rsidR="009A4DF9" w:rsidRP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08-Sep-2017 15:22:49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1674.0000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Pr="009A4DF9" w:rsidRDefault="009A4DF9" w:rsidP="009A4DF9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A4DF9">
              <w:rPr>
                <w:rFonts w:ascii="Arial" w:hAnsi="Arial" w:cs="Arial"/>
                <w:sz w:val="20"/>
                <w:szCs w:val="20"/>
                <w:lang w:eastAsia="en-GB"/>
              </w:rPr>
              <w:t>84202842000096320-E0WpVLfjJI0O20170908</w:t>
            </w:r>
          </w:p>
        </w:tc>
      </w:tr>
    </w:tbl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color w:val="222222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1"/>
        <w:gridCol w:w="1914"/>
      </w:tblGrid>
      <w:tr w:rsidR="003E0113" w:rsidRPr="00D647F7" w:rsidTr="001E0BF4">
        <w:trPr>
          <w:tblCellSpacing w:w="0" w:type="dxa"/>
        </w:trPr>
        <w:tc>
          <w:tcPr>
            <w:tcW w:w="384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151" w:type="pct"/>
          </w:tcPr>
          <w:p w:rsidR="003E0113" w:rsidRPr="00E61773" w:rsidRDefault="001E0BF4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1E0BF4">
              <w:rPr>
                <w:rFonts w:ascii="Arial" w:hAnsi="Arial" w:cs="Arial"/>
                <w:sz w:val="22"/>
                <w:szCs w:val="22"/>
              </w:rPr>
              <w:t>8 September 2017</w:t>
            </w:r>
          </w:p>
        </w:tc>
      </w:tr>
      <w:tr w:rsidR="003E0113" w:rsidRPr="00D647F7" w:rsidTr="001E0BF4">
        <w:trPr>
          <w:tblCellSpacing w:w="0" w:type="dxa"/>
        </w:trPr>
        <w:tc>
          <w:tcPr>
            <w:tcW w:w="384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151" w:type="pct"/>
          </w:tcPr>
          <w:p w:rsidR="003E0113" w:rsidRPr="00E87BD1" w:rsidRDefault="009A4DF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A4DF9">
              <w:rPr>
                <w:rFonts w:ascii="Arial" w:hAnsi="Arial" w:cs="Arial"/>
                <w:sz w:val="22"/>
                <w:szCs w:val="22"/>
              </w:rPr>
              <w:t>46,800</w:t>
            </w:r>
          </w:p>
        </w:tc>
      </w:tr>
      <w:tr w:rsidR="003E0113" w:rsidRPr="00D647F7" w:rsidTr="001E0BF4">
        <w:trPr>
          <w:tblCellSpacing w:w="0" w:type="dxa"/>
        </w:trPr>
        <w:tc>
          <w:tcPr>
            <w:tcW w:w="384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151" w:type="pct"/>
          </w:tcPr>
          <w:p w:rsidR="003E0113" w:rsidRPr="00E87BD1" w:rsidRDefault="009A4DF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A4DF9">
              <w:rPr>
                <w:rFonts w:ascii="Arial" w:hAnsi="Arial" w:cs="Arial"/>
                <w:sz w:val="22"/>
                <w:szCs w:val="22"/>
              </w:rPr>
              <w:t>17.6195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lastRenderedPageBreak/>
        <w:t xml:space="preserve">Disaggregated Information </w:t>
      </w:r>
      <w:bookmarkStart w:id="0" w:name="_GoBack"/>
      <w:bookmarkEnd w:id="0"/>
    </w:p>
    <w:p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240"/>
        <w:gridCol w:w="939"/>
        <w:gridCol w:w="1320"/>
        <w:gridCol w:w="1340"/>
        <w:gridCol w:w="2661"/>
      </w:tblGrid>
      <w:tr w:rsidR="009A4DF9" w:rsidTr="009A4DF9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Date and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Platform Code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Default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Default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Default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Default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DF9" w:rsidRDefault="009A4D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07:05:04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BJI-83402834000001786-9720170908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07:05:05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BJI-83402834000001779-9920170908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07:06:31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BJI-83602836000001922-13120170908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07:06:31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BJI-83402834000002010-11920170908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BJI-83602836000002606-25720170908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07:09:59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BJI-83602836000002606-25620170908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07:14:53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BJI-83402834000003458-38020170908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07:14:53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BJI-83402834000003458-38120170908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07:18:07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BJI-83602836000004011-46220170908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07:24:56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BJI-83602836000004922-67920170908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07:26:35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BJI-83602836000005128-70920170908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07:26:35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BJI-83602836000005128-70820170908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07:33:42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BJI-83602836000006250-90920170908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07:33:42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BJI-83602836000006250-90820170908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07:40:20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BJI-83402834000006724-102520170908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07:40:20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BJI-83402834000006724-102420170908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07:41:23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BJI-83402834000007185-104820170908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07:51:16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BJI-83402834000008384-115820170908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07:54:54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BJI-83402834000008809-118420170908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07:59:23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BJI-83402834000008911-122420170908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07:59:23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BJI-83402834000008911-122520170908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08:03:58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BJI-83602836000009693-124920170908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08:05:53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BJI-83402834000009841-127120170908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08:10:44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BJI-83602836000010312-129920170908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08:25:47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BJI-83602836000011815-138820170908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08:28:39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BJI-83402834000011875-140020170908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08:36:58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BJI-83602836000013200-145320170908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08-Sep-2017 08:36:58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BJI-83602836000013200-145220170908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08:39:42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BJI-83602836000012263-147920170908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08:45:19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BJI-83402834000013806-151720170908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08:46:04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BJI-83402834000014432-152720170908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08:51:21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BJI-83402834000014638-158320170908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08:57:03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BJI-83402834000015685-171820170908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08:57:03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BJI-83402834000015685-171720170908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BJI-83402834000016308-177820170908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09:10:46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BJI-83602836000017448-181120170908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09:13:27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BJI-83602836000017784-183620170908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09:35:49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BJI-83602836000020556-191620170908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09:45:16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BJI-83402834000021385-194720170908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09:45:16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BJI-83402834000021385-194620170908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09:47:01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BJI-83602836000021421-194920170908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09:47:21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BJI-83602836000021421-195020170908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10:01:06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BJI-83402834000023237-202120170908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10:01:06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BJI-83402834000023237-202020170908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10:08:12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BJI-83602836000023758-205120170908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10:08:40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BJI-83402834000023441-205320170908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10:14:36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BJI-83602836000023939-209420170908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10:33:38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BJI-83602836000026494-215320170908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10:33:38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BJI-83602836000026494-215220170908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10:34:18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BJI-83602836000026124-215820170908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10:34:18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BJI-83602836000026124-215920170908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10:38:47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BJI-83402834000026656-217220170908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10:42:28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BJI-83402834000026656-217920170908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10:57:12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BJI-83402834000029155-224120170908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BJI-83402834000030019-228120170908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11:13:19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BJI-83602836000030942-231120170908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08-Sep-2017 11:13:19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BJI-83602836000030942-231220170908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11:18:00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BJI-83602836000031483-232020170908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11:18:00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BJI-83602836000031483-232120170908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11:25:18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BJI-83402834000032287-234820170908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11:27:08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BJI-83402834000032361-235720170908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11:42:11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BJI-83602836000033890-243320170908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11:42:11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BJI-83602836000033890-243420170908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11:42:11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BJI-83602836000033890-243220170908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11:46:47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BJI-83602836000034324-248620170908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11:47:00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BJI-83402834000034305-248720170908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11:51:27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BJI-83402834000034352-252320170908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11:57:57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BJI-83402834000034845-254820170908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12:00:44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BJI-83402834000035611-258920170908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12:20:55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BJI-83402834000037520-270720170908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12:22:49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BJI-83402834000037281-271220170908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12:22:49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BJI-83402834000037281-271120170908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12:30:36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BJI-83402834000038884-277020170908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12:34:32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BJI-83602836000039557-280720170908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12:38:44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BJI-83602836000039737-283620170908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12:49:09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BJI-83402834000041198-290120170908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12:49:09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BJI-83402834000040839-289720170908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12:49:09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BJI-83402834000040839-289620170908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13:01:55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BJI-83402834000042890-297220170908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13:01:55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BJI-83402834000042890-297120170908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13:01:55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BJI-83402834000042686-296620170908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13:01:55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BJI-83402834000042686-296720170908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13:06:18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BJI-83602836000043203-302720170908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BJI-83402834000043873-305820170908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13:17:25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BJI-83402834000044360-307920170908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08-Sep-2017 13:17:25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BJI-83402834000044360-308020170908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13:26:04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BJI-83602836000045314-311720170908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13:28:29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BJI-83602836000046494-313920170908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13:28:58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BJI-83602836000046494-314020170908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13:29:27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BJI-83602836000046494-314220170908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13:29:27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BJI-83602836000046494-314120170908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13:36:26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BJI-83402834000047581-320120170908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13:40:20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BJI-83402834000048481-322320170908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13:46:31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BJI-83602836000049819-325720170908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13:46:31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BJI-83602836000049819-325620170908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13:51:46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BJI-83602836000050657-330020170908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13:51:46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BJI-83402834000050619-329920170908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13:57:58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BJI-83602836000051573-332620170908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14:04:10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BJI-83402834000053310-337320170908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14:04:10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BJI-83402834000053310-337220170908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14:11:01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BJI-83402834000054441-340520170908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14:11:01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BJI-83602836000054436-341020170908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14:18:54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BJI-83602836000056296-343520170908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14:18:54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BJI-83602836000056296-343620170908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14:18:54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BJI-83602836000056296-343420170908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BJI-83602836000056492-347320170908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BJI-83602836000056492-347220170908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14:21:19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BJI-83602836000056492-347420170908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14:23:43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BJI-83602836000057274-350120170908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14:31:50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BJI-83402834000059005-354120170908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14:32:45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BJI-83402834000059005-354720170908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14:32:45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BJI-83402834000059005-354620170908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14:32:50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BJI-83602836000059382-355520170908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14:32:50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BJI-83602836000059382-355620170908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08-Sep-2017 14:33:21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BJI-83402834000059005-356720170908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14:33:21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BJI-83402834000059005-356620170908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14:40:55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BJI-83602836000061361-362320170908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BJI-83402834000061458-362420170908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14:46:15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BJI-83602836000062557-370420170908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14:48:12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BJI-83402834000062826-374220170908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14:57:39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BJI-83602836000065043-381720170908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14:57:39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BJI-83602836000065043-381620170908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15:00:16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BJI-83602836000065784-383920170908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15:02:24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BJI-83402834000066136-384320170908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15:10:02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BJI-83402834000068640-391620170908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15:10:09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BJI-83402834000068640-391720170908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15:11:53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BJI-83602836000069347-393220170908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15:11:53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BJI-83602836000069347-393320170908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15:14:02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BJI-83602836000070293-396720170908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15:19:53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BJI-83602836000072576-405020170908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15:21:10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BJI-83602836000073217-408120170908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15:23:13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BJI-83602836000074011-410320170908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15:23:13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BJI-83602836000074011-410220170908</w:t>
            </w:r>
          </w:p>
        </w:tc>
      </w:tr>
      <w:tr w:rsidR="009A4DF9" w:rsidTr="009A4DF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08-Sep-2017 15:24:35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XAMS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DF9" w:rsidRDefault="009A4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BJI-83402834000074428-412220170908</w:t>
            </w:r>
          </w:p>
        </w:tc>
      </w:tr>
    </w:tbl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074" w:rsidRDefault="00747074" w:rsidP="00F2487C">
      <w:r>
        <w:separator/>
      </w:r>
    </w:p>
  </w:endnote>
  <w:endnote w:type="continuationSeparator" w:id="0">
    <w:p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074" w:rsidRDefault="00747074" w:rsidP="006A742D">
    <w:pPr>
      <w:pStyle w:val="Footer"/>
      <w:tabs>
        <w:tab w:val="left" w:pos="1770"/>
      </w:tabs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747074">
                          <w:pPr>
                            <w:pStyle w:val="MacPacTrailer"/>
                          </w:pP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074" w:rsidRDefault="00747074">
    <w:pPr>
      <w:pStyle w:val="Footer"/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1E0BF4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747074">
                            <w:t>LON01A45305785</w:t>
                          </w:r>
                          <w:r>
                            <w:fldChar w:fldCharType="end"/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747074">
                            <w:instrText>4</w:instrText>
                          </w:r>
                          <w:r>
                            <w:fldChar w:fldCharType="end"/>
                          </w:r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 w:rsidR="00747074">
                            <w:instrText>102868-0003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1E0BF4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747074">
                      <w:t>LON01A45305785</w:t>
                    </w:r>
                    <w:r>
                      <w:fldChar w:fldCharType="end"/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 w:rsidR="00747074">
                      <w:instrText>true</w:instrText>
                    </w:r>
                    <w:r>
                      <w:fldChar w:fldCharType="end"/>
                    </w:r>
                    <w:r w:rsidR="00747074"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747074">
                      <w:instrText>4</w:instrText>
                    </w:r>
                    <w:r>
                      <w:fldChar w:fldCharType="end"/>
                    </w:r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747074">
                      <w:instrText>true</w:instrText>
                    </w:r>
                    <w:r>
                      <w:fldChar w:fldCharType="end"/>
                    </w:r>
                    <w:r w:rsidR="00747074"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 w:rsidR="00747074">
                      <w:instrText>102868-0003</w:instrText>
                    </w:r>
                    <w:r>
                      <w:fldChar w:fldCharType="end"/>
                    </w:r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074" w:rsidRDefault="00747074" w:rsidP="00F2487C">
      <w:r>
        <w:separator/>
      </w:r>
    </w:p>
  </w:footnote>
  <w:footnote w:type="continuationSeparator" w:id="0">
    <w:p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6A46"/>
    <w:rsid w:val="0003315D"/>
    <w:rsid w:val="000545C5"/>
    <w:rsid w:val="00057476"/>
    <w:rsid w:val="00066ABF"/>
    <w:rsid w:val="00075FA7"/>
    <w:rsid w:val="0007685A"/>
    <w:rsid w:val="000A633D"/>
    <w:rsid w:val="000F1286"/>
    <w:rsid w:val="001211C1"/>
    <w:rsid w:val="00125159"/>
    <w:rsid w:val="001400DC"/>
    <w:rsid w:val="00142F54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E0BF4"/>
    <w:rsid w:val="001F4217"/>
    <w:rsid w:val="001F4DDA"/>
    <w:rsid w:val="001F63C4"/>
    <w:rsid w:val="00214CC5"/>
    <w:rsid w:val="00275047"/>
    <w:rsid w:val="00287948"/>
    <w:rsid w:val="00292622"/>
    <w:rsid w:val="00292D4F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4920"/>
    <w:rsid w:val="007C325B"/>
    <w:rsid w:val="007F4BAD"/>
    <w:rsid w:val="008172BD"/>
    <w:rsid w:val="00854135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A4DF9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7DA5"/>
    <w:rsid w:val="00C14073"/>
    <w:rsid w:val="00C31BB5"/>
    <w:rsid w:val="00C43A96"/>
    <w:rsid w:val="00C4656D"/>
    <w:rsid w:val="00C50C9E"/>
    <w:rsid w:val="00C55072"/>
    <w:rsid w:val="00C7399F"/>
    <w:rsid w:val="00C74405"/>
    <w:rsid w:val="00C7479F"/>
    <w:rsid w:val="00C80CA8"/>
    <w:rsid w:val="00CD5C90"/>
    <w:rsid w:val="00CE1E62"/>
    <w:rsid w:val="00D2047F"/>
    <w:rsid w:val="00D6137F"/>
    <w:rsid w:val="00D64462"/>
    <w:rsid w:val="00D647F7"/>
    <w:rsid w:val="00D8133B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534F"/>
    <w:rsid w:val="00F917DB"/>
    <w:rsid w:val="00FA03EA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00">
    <w:name w:val="xl500"/>
    <w:basedOn w:val="Normal"/>
    <w:rsid w:val="009A4DF9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502">
    <w:name w:val="xl502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503">
    <w:name w:val="xl503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4">
    <w:name w:val="xl504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505">
    <w:name w:val="xl505"/>
    <w:basedOn w:val="Normal"/>
    <w:rsid w:val="009A4DF9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506">
    <w:name w:val="xl506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7">
    <w:name w:val="xl507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8">
    <w:name w:val="xl508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9">
    <w:name w:val="xl509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10">
    <w:name w:val="xl510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1">
    <w:name w:val="xl511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2">
    <w:name w:val="xl512"/>
    <w:basedOn w:val="Normal"/>
    <w:rsid w:val="009A4D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1EC2-B048-4979-864A-52A9971D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</TotalTime>
  <Pages>12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Riggs, Julia (REHQ-LON)</cp:lastModifiedBy>
  <cp:revision>4</cp:revision>
  <cp:lastPrinted>2016-11-21T15:24:00Z</cp:lastPrinted>
  <dcterms:created xsi:type="dcterms:W3CDTF">2017-09-08T14:04:00Z</dcterms:created>
  <dcterms:modified xsi:type="dcterms:W3CDTF">2017-09-08T16:11:00Z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