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AD5FDE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27</w:t>
      </w:r>
      <w:r w:rsidR="00790104">
        <w:rPr>
          <w:sz w:val="22"/>
          <w:szCs w:val="22"/>
          <w:lang w:val="en"/>
        </w:rPr>
        <w:t xml:space="preserve"> </w:t>
      </w:r>
      <w:r w:rsidR="00664011">
        <w:rPr>
          <w:sz w:val="22"/>
          <w:szCs w:val="22"/>
          <w:lang w:val="en"/>
        </w:rPr>
        <w:t>Ju</w:t>
      </w:r>
      <w:r w:rsidR="00C7479F">
        <w:rPr>
          <w:sz w:val="22"/>
          <w:szCs w:val="22"/>
          <w:lang w:val="en"/>
        </w:rPr>
        <w:t>ly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345438" w:rsidRPr="00345438">
        <w:rPr>
          <w:sz w:val="22"/>
          <w:szCs w:val="22"/>
          <w:lang w:val="en"/>
        </w:rPr>
        <w:t>55,500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6B3B29" w:rsidRPr="006B3B29">
        <w:rPr>
          <w:sz w:val="22"/>
          <w:szCs w:val="22"/>
          <w:lang w:val="en"/>
        </w:rPr>
        <w:t>1663.4062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6B3B29" w:rsidRPr="006B3B29">
        <w:rPr>
          <w:sz w:val="22"/>
          <w:szCs w:val="22"/>
          <w:lang w:val="en"/>
        </w:rPr>
        <w:t>77,632,654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6B3B29" w:rsidRPr="006B3B29">
        <w:rPr>
          <w:sz w:val="22"/>
          <w:szCs w:val="22"/>
          <w:lang w:val="en"/>
        </w:rPr>
        <w:t>1,067,607,159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6B3B29" w:rsidRPr="006B3B29">
        <w:rPr>
          <w:sz w:val="22"/>
          <w:szCs w:val="22"/>
          <w:lang w:val="en"/>
        </w:rPr>
        <w:t>18,217,367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8746AF" w:rsidRPr="008746AF">
        <w:rPr>
          <w:sz w:val="22"/>
          <w:szCs w:val="22"/>
          <w:lang w:val="en"/>
        </w:rPr>
        <w:t>49,500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8746AF" w:rsidRPr="008746AF">
        <w:rPr>
          <w:sz w:val="22"/>
          <w:szCs w:val="22"/>
          <w:lang w:val="en"/>
        </w:rPr>
        <w:t>17.97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8746AF" w:rsidRPr="008746AF">
        <w:rPr>
          <w:sz w:val="22"/>
          <w:szCs w:val="22"/>
          <w:lang w:val="en"/>
        </w:rPr>
        <w:t>70,193,098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8746AF" w:rsidRPr="008746AF">
        <w:rPr>
          <w:sz w:val="22"/>
          <w:szCs w:val="22"/>
          <w:lang w:val="en"/>
        </w:rPr>
        <w:t>951,277,795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8746AF" w:rsidRPr="008746AF">
        <w:rPr>
          <w:sz w:val="22"/>
          <w:szCs w:val="22"/>
          <w:lang w:val="en"/>
        </w:rPr>
        <w:t>16,988,720</w:t>
      </w:r>
      <w:bookmarkStart w:id="0" w:name="_GoBack"/>
      <w:bookmarkEnd w:id="0"/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AD5FDE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AD5FDE">
              <w:rPr>
                <w:rFonts w:ascii="Arial" w:hAnsi="Arial" w:cs="Arial"/>
                <w:sz w:val="22"/>
                <w:szCs w:val="22"/>
              </w:rPr>
              <w:t>27 July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6B3B2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6B3B29">
              <w:rPr>
                <w:rFonts w:ascii="Arial" w:hAnsi="Arial" w:cs="Arial"/>
                <w:sz w:val="22"/>
                <w:szCs w:val="22"/>
              </w:rPr>
              <w:t>55,500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6B3B2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6B3B29">
              <w:rPr>
                <w:rFonts w:ascii="Arial" w:hAnsi="Arial" w:cs="Arial"/>
                <w:sz w:val="22"/>
                <w:szCs w:val="22"/>
              </w:rPr>
              <w:t>1663.4062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5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2707"/>
      </w:tblGrid>
      <w:tr w:rsidR="00374C65" w:rsidTr="00374C65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Platform Code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reference number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Default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13:22:23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84202842000056785-E0WKK5upouIq20170727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13:22:23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84202842000056785-E0WKK5upouIs20170727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13:23:18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84402844000056515-E0WKK5upoutL20170727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13:23:18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84402844000056515-E0WKK5upoutJ20170727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27-Jul-2017 13:27:38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84202842000057363-E0WKK5upoxHx20170727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13:27:38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84202842000057363-E0WKK5upoxHu20170727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13:27:38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84402844000057160-E0WKK5upoxHe20170727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13:27:38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84402844000057160-E0WKK5upoxHg20170727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13:30:05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84202842000057743-E0WKK5upozla20170727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13:30:56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84202842000058000-E0WKK5upp12c20170727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13:30:56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84202842000058000-E0WKK5upp13U20170727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13:32:53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84402844000058363-E0WKK5upp3c520170727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13:32:53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84402844000058363-E0WKK5upp3c720170727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13:32:53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84402844000058363-E0WKK5upp3cA20170727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13:35:17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84202842000058878-E0WKK5upp5lC20170727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13:37:22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84202842000059095-E0WKK5upp80D20170727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13:43:25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84202842000060462-E0WKK5uppCTo20170727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13:43:25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84402844000060466-E0WKK5uppCTq20170727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13:45:12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84202842000060863-E0WKK5uppEil20170727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13:48:26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84202842000061663-E0WKK5uppIKr20170727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13:48:26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84202842000061663-E0WKK5uppIKt20170727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13:48:26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84402844000061544-E0WKK5uppIL720170727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13:48:26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84402844000061520-E0WKK5uppIL120170727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13:49:23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84202842000061808-E0WKK5uppJ4x20170727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13:51:19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84402844000062105-E0WKK5uppL9c20170727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13:51:19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84402844000062105-E0WKK5uppL9R20170727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13:52:22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84402844000062547-E0WKK5uppNgt20170727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13:53:16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84202842000062762-E0WKK5uppOmY20170727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13:55:10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84402844000062836-E0WKK5uppQUq20170727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13:55:10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84202842000062949-E0WKK5uppQUa20170727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13:58:33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84202842000063286-E0WKK5uppTGa20170727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27-Jul-2017 14:07:43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84402844000065894-E0WKK5uppdkc20170727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14:07:43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84202842000066012-E0WKK5uppdkg20170727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14:07:43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84202842000066011-E0WKK5uppdke20170727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14:08:12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84202842000066120-E0WKK5uppeMx20170727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14:09:33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84402844000066255-E0WKK5uppfaf20170727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14:09:33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84402844000066255-E0WKK5uppfah20170727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14:10:53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84402844000066526-E0WKK5uppgWJ20170727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14:10:53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84402844000066526-E0WKK5uppgWF20170727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14:10:53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84402844000066526-E0WKK5uppgWH20170727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14:12:13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84402844000066883-E0WKK5upphmz20170727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14:13:33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84402844000067201-E0WKK5uppj4o20170727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84202842000067551-E0WKK5uppjpX20170727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84202842000067551-E0WKK5uppjpV20170727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84202842000067551-E0WKK5uppjpZ20170727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84402844000067592-E0WKK5upplah20170727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84202842000067974-E0WKK5upplb920170727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84202842000067974-E0WKK5upplbP20170727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14:17:01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84402844000067592-E0WKK5upplad20170727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14:21:56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84202842000069091-E0WKK5upppOj20170727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84202842000069383-E0WKK5uppqb820170727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84202842000069383-E0WKK5uppqbA20170727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84202842000069383-E0WKK5uppqb620170727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14:23:33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84402844000069234-E0WKK5uppqok20170727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84202842000069679-E0WKK5upprrN20170727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14:25:38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84402844000069816-E0WKK5uppsuo20170727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14:28:38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84402844000070463-E0WKK5uppvgH20170727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14:28:58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84202842000070649-E0WKK5uppvua20170727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27-Jul-2017 14:33:29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84402844000071640-E0WKK5upq09O20170727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14:33:58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84402844000071718-E0WKK5upq0TH20170727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14:33:58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84402844000071718-E0WKK5upq0TF20170727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14:35:38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84402844000072058-E0WKK5upq1sn20170727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14:35:38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84402844000072058-E0WKK5upq1sp20170727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14:37:03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84202842000071860-E0WKK5upq3cC20170727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14:40:15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84402844000073289-E0WKK5upq6Zg20170727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14:40:15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84402844000073118-E0WKK5upq6ZY20170727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14:40:15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84402844000073118-E0WKK5upq6Za20170727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84202842000074980-E0WKK5upqCwo20170727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84202842000074980-E0WKK5upqCws20170727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84202842000074980-E0WKK5upqCwq20170727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84202842000074980-E0WKK5upqCwu20170727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84402844000075129-E0WKK5upqDm320170727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14:49:32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84202842000075590-E0WKK5upqFeV20170727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84402844000075686-E0WKK5upqGFB20170727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84402844000075686-E0WKK5upqGF920170727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14:51:29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84202842000076100-E0WKK5upqH7020170727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14:51:29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84202842000076100-E0WKK5upqH6w20170727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14:51:29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84202842000076100-E0WKK5upqH6y20170727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14:52:38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84402844000076236-E0WKK5upqIFv20170727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14:52:38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84402844000076236-E0WKK5upqIFt20170727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14:53:46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84202842000076561-E0WKK5upqJJm20170727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14:53:46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84202842000076561-E0WKK5upqJJq20170727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14:53:46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84202842000076561-E0WKK5upqJJo20170727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84402844000076647-E0WKK5upqK0C20170727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84402844000076647-E0WKK5upqK0A20170727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27-Jul-2017 14:56:02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84402844000076872-E0WKK5upqLBN20170727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84402844000076872-E0WKK5upqLBP20170727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84202842000077172-E0WKK5upqM2N20170727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84202842000077739-E0WKK5upqOok20170727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14:59:24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84402844000077471-E0WKK5upqOoe20170727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15:02:33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84402844000078017-E0WKK5upqSUI20170727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15:02:34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84202842000078153-E0WKK5upqSWt20170727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15:03:04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84402844000078424-E0WKK5upqT5F20170727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15:05:33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84402844000078513-E0WKK5upqVZu20170727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15:07:19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84402844000079087-E0WKK5upqWys20170727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15:12:47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84202842000080789-E0WKK5upqcCT20170727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15:12:47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84202842000080789-E0WKK5upqcCV20170727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15:15:04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84402844000081279-E0WKK5upqei820170727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15:16:48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84202842000082194-E0WKK5upqgMI20170727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15:17:50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84402844000082336-E0WKK5upqh6O20170727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15:17:50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84402844000082336-E0WKK5upqh6M20170727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15:17:50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84402844000082336-E0WKK5upqh6K20170727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84402844000083288-E0WKK5upqkJg20170727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84402844000083288-E0WKK5upqkJi20170727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84402844000083288-E0WKK5upqkJe20170727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84402844000084227-E0WKK5upqoOW20170727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84402844000084227-E0WKK5upqoOS20170727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84402844000084227-E0WKK5upqoOU20170727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84202842000084484-E0WKK5upqoo320170727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15:25:13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84202842000084323-E0WKK5upqpTn20170727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15:27:52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84402844000085396-E0WKK5upqsex20170727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27-Jul-2017 15:27:52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84402844000085396-E0WKK5upqsev20170727</w:t>
            </w:r>
          </w:p>
        </w:tc>
      </w:tr>
      <w:tr w:rsid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27-Jul-2017 15:27:55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Default="0037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84402844000085412-E0WKK5upqsmk20170727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AD5FDE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AD5FDE">
              <w:rPr>
                <w:rFonts w:ascii="Arial" w:hAnsi="Arial" w:cs="Arial"/>
                <w:sz w:val="22"/>
                <w:szCs w:val="22"/>
              </w:rPr>
              <w:t>27 July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8746AF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746AF">
              <w:rPr>
                <w:rFonts w:ascii="Arial" w:hAnsi="Arial" w:cs="Arial"/>
                <w:sz w:val="22"/>
                <w:szCs w:val="22"/>
              </w:rPr>
              <w:t>49,500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8746AF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746AF">
              <w:rPr>
                <w:rFonts w:ascii="Arial" w:hAnsi="Arial" w:cs="Arial"/>
                <w:sz w:val="22"/>
                <w:szCs w:val="22"/>
              </w:rPr>
              <w:t>17.97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6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40"/>
        <w:gridCol w:w="1441"/>
        <w:gridCol w:w="1320"/>
        <w:gridCol w:w="1340"/>
        <w:gridCol w:w="2301"/>
      </w:tblGrid>
      <w:tr w:rsidR="00374C65" w:rsidRPr="00374C65" w:rsidTr="00374C65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5" w:rsidRPr="00374C65" w:rsidRDefault="00374C65" w:rsidP="00374C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13:28:48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BH1-63402634000004204-279020170727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13:28:48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BH1-63402634000004204-278920170727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13:28:48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BH1-63402634000004204-279120170727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13:29:04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BH1-63402634000004206-280120170727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13:31:12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63602636000004259-281920170727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13:32:09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63602636000004265-283420170727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13:32:09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63602636000004265-283520170727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13:35:54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63602636000004292-285820170727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13:35:54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63602636000004292-285920170727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13:37:53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BH1-63402634000004286-287020170727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13:37:53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BH1-63402634000004286-287120170727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27-Jul-2017 13:42:39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63602636000004411-288320170727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13:42:39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63602636000004411-288520170727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13:42:39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63602636000004411-288220170727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13:42:39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63602636000004411-288420170727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13:43:23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63602636000004367-288920170727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13:43:23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63602636000004412-289320170727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13:43:23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882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63602636000004367-289220170727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13:45:12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BH1-63402634000004376-289720170727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13:45:13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63602636000004437-290420170727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13:45:13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63602636000004437-290320170727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13:46:00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63602636000004466-290720170727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13:46:53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63602636000004482-291420170727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13:46:53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63602636000004482-291320170727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13:48:26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BH1-63402634000004423-293020170727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13:48:26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BH1-63402634000004423-293220170727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13:48:26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BH1-63402634000004423-293120170727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13:48:47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63602636000004511-293920170727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13:48:47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63602636000004511-294020170727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13:49:48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BH1-63402634000004451-295120170727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13:49:48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BH1-63402634000004451-295320170727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13:49:48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BH1-63402634000004451-295220170727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13:49:48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BH1-63402634000004451-295020170727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13:49:48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BH1-63402634000004451-294920170727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27-Jul-2017 13:51:13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17.9350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BH1-63402634000004472-296520170727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13:51:19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17.9350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BH1-63402634000004472-296620170727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13:52:06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63602636000004534-297520170727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13:52:21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BH1-63402634000004492-297920170727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13:54:46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63602636000004594-298820170727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13:58:27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63602636000004643-300420170727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13:58:27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BH1-63402634000004583-300820170727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13:58:27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63602636000004643-300520170727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13:58:35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63602636000004656-301220170727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14:00:18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BH1-63402634000004617-302720170727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14:00:18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BH1-63402634000004617-302820170727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14:02:49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17.9250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63602636000004710-304120170727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14:04:33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BH1-63402634000004670-306820170727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14:05:10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BH1-63402634000004685-307320170727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14:05:10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BH1-63402634000004685-307220170727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14:10:15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63602636000004801-310920170727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14:10:15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63602636000004801-311020170727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14:12:14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63602636000004830-313520170727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14:12:21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63602636000004830-313620170727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14:12:33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BH1-63402634000004776-314120170727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14:12:33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BH1-63402634000004776-314220170727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14:14:55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827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63602636000004882-315020170727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27-Jul-2017 14:16:08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BH1-63402634000004843-315620170727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14:16:08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BH1-63402634000004843-315520170727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14:20:27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63602636000004980-318420170727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14:20:27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17.9550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63602636000004980-318320170727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14:22:01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BH1-63402634000004937-320320170727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14:22:01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BH1-63402634000004937-320220170727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14:24:36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63602636000005051-323220170727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14:25:51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BH1-63402634000005018-324920170727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14:27:05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BH1-63402634000005033-327220170727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14:27:05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BH1-63402634000005033-327320170727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14:30:06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63602636000005136-327920170727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14:30:06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63602636000005136-327820170727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14:30:17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BH1-63402634000005078-328020170727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14:30:17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BH1-63402634000005078-328120170727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14:31:38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BH1-63402634000005113-333520170727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14:31:38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BH1-63402634000005113-333420170727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14:32:50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63602636000005180-335720170727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14:32:50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63602636000005180-335820170727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14:34:38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BH1-63402634000005146-338620170727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14:34:38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BH1-63402634000005146-338720170727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14:35:28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63602636000005202-339820170727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27-Jul-2017 14:35:28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63602636000005202-339720170727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14:35:28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63602636000005202-339620170727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14:36:49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63602636000005247-341720170727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14:36:49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63602636000005247-341620170727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14:36:49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63602636000005247-341520170727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14:37:03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BH1-63402634000005177-341820170727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14:38:04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63602636000005241-343920170727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14:38:47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BH1-63402634000005223-344120170727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14:38:56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BH1-63402634000005223-344320170727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14:38:56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BH1-63402634000005223-344220170727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14:38:56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63602636000005241-344820170727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14:40:15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63602636000005315-349220170727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14:40:15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63602636000005315-349320170727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14:42:01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BH1-63402634000005282-351720170727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14:42:01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BH1-63402634000005282-351820170727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14:43:42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BH1-63402634000005303-356920170727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14:45:15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63602636000005407-357320170727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14:45:15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63602636000005407-357420170727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14:48:24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BH1-63402634000005379-363720170727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14:48:24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BH1-63402634000005379-363820170727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14:50:18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63602636000005470-374020170727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14:52:12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BH1-63402634000005464-378820170727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27-Jul-2017 14:52:12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BH1-63402634000005464-378920170727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14:52:21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BH1-63402634000005464-379120170727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14:54:12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BH1-63402634000005513-382020170727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14:54:12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BH1-63402634000005513-381920170727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14:54:35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1208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63602636000005569-382820170727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14:54:35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63602636000005572-382520170727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14:55:13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BH1-63402634000005524-385020170727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14:57:05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BH1-63402634000005553-389620170727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14:57:05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BH1-63402634000005553-389520170727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14:58:43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63602636000005729-392620170727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14:58:43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63602636000005729-392520170727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15:00:15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BH1-63402634000005730-394120170727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15:00:15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BH1-63402634000005730-394220170727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15:02:17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BH1-63402634000005757-397120170727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15:02:29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63602636000005808-397820170727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15:03:49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18.0000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BH1-63402634000005768-401720170727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15:04:41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63602636000005821-402520170727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15:05:14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BH1-63402634000005795-403320170727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15:05:14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BH1-63402634000005795-403220170727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15:06:59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63602636000005882-406120170727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15:07:32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BH1-63402634000005827-406320170727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27-Jul-2017 15:07:32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BH1-63402634000005827-406420170727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15:09:52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63602636000005923-410920170727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15:11:05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BH1-63402634000005887-413220170727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15:11:05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BH1-63402634000005887-413320170727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15:11:24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BH1-63402634000005872-413620170727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15:12:24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63602636000006005-416420170727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15:12:24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63602636000006005-416520170727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15:13:38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63602636000006020-417720170727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15:16:38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63602636000006089-422720170727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15:20:44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17.9900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BH1-63402634000006125-432420170727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15:22:43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63602636000006263-439120170727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15:22:43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BH1-63402634000006224-438820170727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15:22:43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BH1-63402634000006224-438720170727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15:22:43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949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BH1-63402634000006214-438420170727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15:26:13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BH1-63402634000006297-442320170727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15:26:28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BH1-63402634000006297-442520170727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15:26:28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BH1-63402634000006297-442420170727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15:27:06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63602636000006385-444820170727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15:27:06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17.9750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63602636000006385-444720170727</w:t>
            </w:r>
          </w:p>
        </w:tc>
      </w:tr>
      <w:tr w:rsidR="00374C65" w:rsidRPr="00374C65" w:rsidTr="00374C6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27-Jul-2017 15:29:22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17.9850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74C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C65" w:rsidRPr="00374C65" w:rsidRDefault="00374C65" w:rsidP="00374C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4C65">
              <w:rPr>
                <w:rFonts w:ascii="Arial" w:hAnsi="Arial" w:cs="Arial"/>
                <w:sz w:val="20"/>
                <w:szCs w:val="20"/>
                <w:lang w:eastAsia="en-GB"/>
              </w:rPr>
              <w:t>BH1-83602836000041180-450520170727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65" w:rsidRDefault="00374C65" w:rsidP="00F2487C">
      <w:r>
        <w:separator/>
      </w:r>
    </w:p>
  </w:endnote>
  <w:endnote w:type="continuationSeparator" w:id="0">
    <w:p w:rsidR="00374C65" w:rsidRDefault="00374C65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C65" w:rsidRDefault="00374C65" w:rsidP="006A742D">
    <w:pPr>
      <w:pStyle w:val="Footer"/>
      <w:tabs>
        <w:tab w:val="left" w:pos="1770"/>
      </w:tabs>
    </w:pPr>
    <w:r>
      <w:tab/>
    </w:r>
  </w:p>
  <w:p w:rsidR="00374C65" w:rsidRDefault="00374C65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C65" w:rsidRDefault="00374C65">
                          <w:pPr>
                            <w:pStyle w:val="MacPacTrailer"/>
                          </w:pPr>
                        </w:p>
                        <w:p w:rsidR="00374C65" w:rsidRDefault="00374C65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C65" w:rsidRDefault="00374C65">
    <w:pPr>
      <w:pStyle w:val="Footer"/>
    </w:pPr>
    <w:r>
      <w:tab/>
    </w:r>
  </w:p>
  <w:p w:rsidR="00374C65" w:rsidRDefault="00374C65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C65" w:rsidRDefault="00374C65">
                          <w:pPr>
                            <w:pStyle w:val="MacPacTrailer"/>
                          </w:pPr>
                          <w:fldSimple w:instr=" DOCPROPERTY  docId ">
                            <w:r>
                              <w:t>LON01A45305785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Version ">
                            <w:r>
                              <w:instrText>true</w:instrText>
                            </w:r>
                          </w:fldSimple>
                          <w:r>
                            <w:instrText xml:space="preserve"> = true "/</w:instrText>
                          </w:r>
                          <w:fldSimple w:instr=" DOCPROPERTY  docVersion ">
                            <w:r>
                              <w:instrText>4</w:instrText>
                            </w:r>
                          </w:fldSimple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/4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CliMat ">
                            <w:r>
                              <w:instrText>true</w:instrText>
                            </w:r>
                          </w:fldSimple>
                          <w:r>
                            <w:instrText xml:space="preserve"> = true </w:instrText>
                          </w:r>
                          <w:fldSimple w:instr=" DOCPROPERTY  docCliMat ">
                            <w:r>
                              <w:instrText>102868-0003</w:instrText>
                            </w:r>
                          </w:fldSimple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102868-0003</w:t>
                          </w:r>
                          <w:r>
                            <w:fldChar w:fldCharType="end"/>
                          </w:r>
                        </w:p>
                        <w:p w:rsidR="00374C65" w:rsidRDefault="00374C65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07685A">
                    <w:pPr>
                      <w:pStyle w:val="MacPacTrailer"/>
                    </w:pPr>
                    <w:fldSimple w:instr=" DOCPROPERTY  docId ">
                      <w:r w:rsidR="00751E21">
                        <w:t>LON01A45305785</w:t>
                      </w:r>
                    </w:fldSimple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Version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"/</w:instrText>
                    </w:r>
                    <w:fldSimple w:instr=" DOCPROPERTY  docVersion ">
                      <w:r w:rsidR="00751E21">
                        <w:instrText>4</w:instrText>
                      </w:r>
                    </w:fldSimple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CliMat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</w:instrText>
                    </w:r>
                    <w:fldSimple w:instr=" DOCPROPERTY  docCliMat ">
                      <w:r w:rsidR="00751E21">
                        <w:instrText>102868-0003</w:instrText>
                      </w:r>
                    </w:fldSimple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65" w:rsidRDefault="00374C65" w:rsidP="00F2487C">
      <w:r>
        <w:separator/>
      </w:r>
    </w:p>
  </w:footnote>
  <w:footnote w:type="continuationSeparator" w:id="0">
    <w:p w:rsidR="00374C65" w:rsidRDefault="00374C65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45438"/>
    <w:rsid w:val="00356DC4"/>
    <w:rsid w:val="0036549B"/>
    <w:rsid w:val="00374C65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B3B29"/>
    <w:rsid w:val="006E6270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46AF"/>
    <w:rsid w:val="008751F1"/>
    <w:rsid w:val="0088714E"/>
    <w:rsid w:val="008A55F1"/>
    <w:rsid w:val="008A79E8"/>
    <w:rsid w:val="008C35C7"/>
    <w:rsid w:val="008F7985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AD5FDE"/>
    <w:rsid w:val="00B43DFC"/>
    <w:rsid w:val="00B44C54"/>
    <w:rsid w:val="00B54997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F05BA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67A8380C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374C65"/>
    <w:pPr>
      <w:spacing w:before="100" w:beforeAutospacing="1" w:after="100" w:afterAutospacing="1"/>
    </w:pPr>
    <w:rPr>
      <w:lang w:eastAsia="en-GB"/>
    </w:rPr>
  </w:style>
  <w:style w:type="paragraph" w:customStyle="1" w:styleId="xl454">
    <w:name w:val="xl454"/>
    <w:basedOn w:val="Normal"/>
    <w:rsid w:val="00374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67">
    <w:name w:val="xl467"/>
    <w:basedOn w:val="Normal"/>
    <w:rsid w:val="00374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eastAsia="en-GB"/>
    </w:rPr>
  </w:style>
  <w:style w:type="paragraph" w:customStyle="1" w:styleId="xl473">
    <w:name w:val="xl473"/>
    <w:basedOn w:val="Normal"/>
    <w:rsid w:val="00374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77">
    <w:name w:val="xl477"/>
    <w:basedOn w:val="Normal"/>
    <w:rsid w:val="00374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5CE6-94B0-4DB0-913D-0D39EDEE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0</TotalTime>
  <Pages>13</Pages>
  <Words>1848</Words>
  <Characters>19565</Characters>
  <Application>Microsoft Office Word</Application>
  <DocSecurity>0</DocSecurity>
  <Lines>163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Clopon, Joel (REHQ-LON)</cp:lastModifiedBy>
  <cp:revision>2</cp:revision>
  <cp:lastPrinted>2016-11-21T15:24:00Z</cp:lastPrinted>
  <dcterms:created xsi:type="dcterms:W3CDTF">2017-07-27T16:46:00Z</dcterms:created>
  <dcterms:modified xsi:type="dcterms:W3CDTF">2017-07-27T16:46:00Z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