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7" w:rsidRPr="00D647F7" w:rsidRDefault="00557F55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19</w:t>
      </w:r>
      <w:r w:rsidR="00790104">
        <w:rPr>
          <w:sz w:val="22"/>
          <w:szCs w:val="22"/>
          <w:lang w:val="en"/>
        </w:rPr>
        <w:t xml:space="preserve"> </w:t>
      </w:r>
      <w:r w:rsidR="00013E7F">
        <w:rPr>
          <w:sz w:val="22"/>
          <w:szCs w:val="22"/>
          <w:lang w:val="en"/>
        </w:rPr>
        <w:t>October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8E326B" w:rsidRPr="008E326B">
        <w:rPr>
          <w:sz w:val="22"/>
          <w:szCs w:val="22"/>
          <w:lang w:val="en"/>
        </w:rPr>
        <w:t>61,100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8E326B" w:rsidRPr="008E326B">
        <w:rPr>
          <w:sz w:val="22"/>
          <w:szCs w:val="22"/>
          <w:lang w:val="en"/>
        </w:rPr>
        <w:t>1695.2243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8E326B" w:rsidRPr="008E326B">
        <w:rPr>
          <w:sz w:val="22"/>
          <w:szCs w:val="22"/>
          <w:lang w:val="en"/>
        </w:rPr>
        <w:t>80,804,735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E326B" w:rsidRPr="008E326B">
        <w:rPr>
          <w:sz w:val="22"/>
          <w:szCs w:val="22"/>
          <w:lang w:val="en"/>
        </w:rPr>
        <w:t>1,065,212,179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8E326B" w:rsidRPr="008E326B">
        <w:rPr>
          <w:sz w:val="22"/>
          <w:szCs w:val="22"/>
          <w:lang w:val="en"/>
        </w:rPr>
        <w:t>21,389,448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E7096C" w:rsidRPr="00E7096C">
        <w:rPr>
          <w:sz w:val="22"/>
          <w:szCs w:val="22"/>
          <w:lang w:val="en"/>
        </w:rPr>
        <w:t>54,400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E7096C" w:rsidRPr="00E7096C">
        <w:rPr>
          <w:sz w:val="22"/>
          <w:szCs w:val="22"/>
          <w:lang w:val="en"/>
        </w:rPr>
        <w:t>18.5391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E7096C" w:rsidRPr="00E7096C">
        <w:rPr>
          <w:sz w:val="22"/>
          <w:szCs w:val="22"/>
          <w:lang w:val="en"/>
        </w:rPr>
        <w:t>73,019,148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7096C" w:rsidRPr="00E7096C">
        <w:rPr>
          <w:sz w:val="22"/>
          <w:szCs w:val="22"/>
          <w:lang w:val="en"/>
        </w:rPr>
        <w:t>948,647,678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E7096C" w:rsidRPr="00E7096C">
        <w:rPr>
          <w:sz w:val="22"/>
          <w:szCs w:val="22"/>
          <w:lang w:val="en"/>
        </w:rPr>
        <w:t>19,814,770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557F5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557F55">
              <w:rPr>
                <w:rFonts w:ascii="Arial" w:hAnsi="Arial" w:cs="Arial"/>
                <w:sz w:val="22"/>
                <w:szCs w:val="22"/>
              </w:rPr>
              <w:t>19 October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709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7096C">
              <w:rPr>
                <w:rFonts w:ascii="Arial" w:hAnsi="Arial" w:cs="Arial"/>
                <w:sz w:val="22"/>
                <w:szCs w:val="22"/>
              </w:rPr>
              <w:t>61,100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E709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7096C">
              <w:rPr>
                <w:rFonts w:ascii="Arial" w:hAnsi="Arial" w:cs="Arial"/>
                <w:sz w:val="22"/>
                <w:szCs w:val="22"/>
              </w:rPr>
              <w:t>1695.2243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300"/>
        <w:gridCol w:w="1523"/>
        <w:gridCol w:w="1360"/>
        <w:gridCol w:w="1360"/>
        <w:gridCol w:w="2950"/>
      </w:tblGrid>
      <w:tr w:rsidR="00210295" w:rsidRPr="00210295" w:rsidTr="00210295">
        <w:trPr>
          <w:trHeight w:val="24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95" w:rsidRPr="00210295" w:rsidRDefault="00210295" w:rsidP="00210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95" w:rsidRPr="00210295" w:rsidRDefault="00210295" w:rsidP="00210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95" w:rsidRPr="00210295" w:rsidRDefault="00210295" w:rsidP="00210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95" w:rsidRPr="00210295" w:rsidRDefault="00210295" w:rsidP="00210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95" w:rsidRPr="00210295" w:rsidRDefault="00210295" w:rsidP="00210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07:06:05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84402844000002027-E0XJEgSlfBUK20171019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07:06:05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84402844000002027-E0XJEgSlfBUI20171019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07:08:18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84202842000002267-E0XJEgSlfCN020171019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07:08:35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84202842000002267-E0XJEgSlfCQV20171019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07:08:35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84202842000002267-E0XJEgSlfCQX20171019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07:08:40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84202842000002267-E0XJEgSlfCRF20171019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07:09:47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84402844000002539-E0XJEgSlfDAN20171019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07:09:59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84402844000002539-E0XJEgSlfDHT20171019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07:09:59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84402844000002540-E0XJEgSlfDHV20171019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07:10:00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84402844000002540-E0XJEgSlfDIn20171019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07:11:01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84402844000002838-E0XJEgSlfDtU20171019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07:12:41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84402844000003124-E0XJEgSlfEwS20171019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07:12:41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84402844000003124-E0XJEgSlfEwQ20171019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07:14:46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84402844000003435-E0XJEgSlfGXe20171019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07:16:49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84402844000003911-E0XJEgSlfIBL20171019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07:19:38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84402844000004441-E0XJEgSlfKsb20171019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07:19:38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84402844000004441-E0XJEgSlfKsf20171019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07:19:38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84402844000004441-E0XJEgSlfKsd20171019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07:26:03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84202842000005221-E0XJEgSlfPu420171019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07:28:01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84402844000005676-E0XJEgSlfRe520171019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07:37:41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84202842000007568-E0XJEgSlfYSe20171019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07:39:21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84402844000007952-E0XJEgSlfZuQ20171019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07:42:41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84202842000008510-E0XJEgSlfcBN20171019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07:45:28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84202842000008777-E0XJEgSlfe6W20171019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07:46:09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84402844000008494-E0XJEgSlfeSS20171019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07:48:25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84402844000008977-E0XJEgSlffuB20171019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07:48:25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84402844000008977-E0XJEgSlffu420171019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07:50:02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84402844000009709-E0XJEgSlfgr020171019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07:55:20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84402844000010515-E0XJEgSlfkuI20171019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07:55:20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84402844000010515-E0XJEgSlfkuL20171019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07:59:21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84402844000011329-E0XJEgSlfod920171019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08:01:07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84402844000011717-E0XJEgSlfrTz20171019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08:02:42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84202842000012090-E0XJEgSlfuB320171019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08:02:42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84202842000012090-E0XJEgSlfu8b20171019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08:09:25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84402844000013687-E0XJEgSlg2CQ20171019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08:11:01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84202842000013991-E0XJEgSlg3IT20171019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08:12:44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84202842000014332-E0XJEgSlg5JC20171019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08:12:44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84202842000014332-E0XJEgSlg5JA20171019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08:12:44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84202842000014332-E0XJEgSlg5JE20171019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08:19:52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84402844000015821-E0XJEgSlgBxs20171019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08:24:09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84402844000016059-E0XJEgSlgEqV20171019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08:41:01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84202842000020445-E0XJEgSlgTV620171019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08:41:01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84202842000020445-E0XJEgSlgTV420171019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08:41:01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84202842000020445-E0XJEgSlgTV820171019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08:44:21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84202842000021040-E0XJEgSlgVZD20171019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08:44:21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84202842000021040-E0XJEgSlgVZ920171019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08:44:21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84202842000021040-E0XJEgSlgVZF20171019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08:44:21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84202842000021040-E0XJEgSlgVZB20171019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08:46:56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84402844000021065-E0XJEgSlgX5420171019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08:52:56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84202842000021903-E0XJEgSlgaVG20171019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08:52:56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84402844000022956-E0XJEgSlgaVI20171019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08:52:56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84402844000022956-E0XJEgSlgaVK20171019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09:07:07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84402844000025057-E0XJEgSlgiY220171019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09:08:34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84402844000025594-E0XJEgSlgjBp20171019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09:12:41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84202842000025813-E0XJEgSlglRH20171019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09:16:08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84402844000026160-E0XJEgSlgnAV20171019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09:17:45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84402844000026663-E0XJEgSlgntx20171019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10:03:30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84402844000033457-E0XJEgSlh9Yq20171019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10:03:30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84402844000033457-E0XJEgSlh9Ys20171019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10:07:27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84202842000033719-E0XJEgSlhBQW20171019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10:09:11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84402844000034316-E0XJEgSlhCZu20171019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10:16:12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84202842000035600-E0XJEgSlhHCC20171019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10:16:12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84202842000035600-E0XJEgSlhHCA20171019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10:22:44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84202842000035835-E0XJEgSlhK7A20171019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10:25:11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84402844000036430-E0XJEgSlhLIj20171019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10:25:11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84402844000036430-E0XJEgSlhLIh20171019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10:36:02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84402844000037999-E0XJEgSlhPEn20171019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10:36:02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84402844000037999-E0XJEgSlhPEl20171019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10:43:26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84202842000038630-E0XJEgSlhRl020171019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10:43:26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84202842000038630-E0XJEgSlhRkx20171019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10:43:42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84402844000038949-E0XJEgSlhRqr20171019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10:47:09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84202842000039302-E0XJEgSlhTGe20171019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10:51:07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84402844000039556-E0XJEgSlhVsj20171019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10:53:54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84402844000040264-E0XJEgSlhX3e20171019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10:57:34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84202842000040986-E0XJEgSlhYfc20171019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10:57:34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84202842000040986-E0XJEgSlhYfe20171019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11:05:02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84202842000042695-E0XJEgSlhdqW20171019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11:15:11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84402844000043879-E0XJEgSlhitB20171019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11:30:21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84202842000046599-E0XJEgSlhohe20171019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11:30:21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84202842000046599-E0XJEgSlhohc20171019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11:35:12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84202842000047222-E0XJEgSlhqeU20171019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11:35:12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84202842000047222-E0XJEgSlhqeS20171019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11:39:31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84402844000047810-E0XJEgSlhsBw20171019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11:39:31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84402844000047810-E0XJEgSlhsBy20171019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11:46:22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84202842000048842-E0XJEgSlhvi620171019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11:46:22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84202842000048842-E0XJEgSlhvi820171019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11:46:22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84202842000048842-E0XJEgSlhvi420171019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11:51:42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84202842000049921-E0XJEgSlhyWR20171019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11:52:01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84202842000049961-E0XJEgSlhyei20171019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11:52:01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84202842000049961-E0XJEgSlhyeg20171019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11:53:31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84202842000050151-E0XJEgSlhzLJ20171019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11:53:31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84202842000050151-E0XJEgSlhzLL20171019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11:57:52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84402844000050505-E0XJEgSli1HF20171019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12:07:09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84202842000051728-E0XJEgSli4zn20171019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12:14:13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84202842000052387-E0XJEgSli7F020171019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12:18:35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84202842000053094-E0XJEgSli97120171019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12:18:35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84202842000053094-E0XJEgSli97320171019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12:18:37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84202842000052796-E0XJEgSli97v20171019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12:26:02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84202842000054251-E0XJEgSliCtb20171019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12:26:02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84202842000054251-E0XJEgSliCtd20171019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12:32:22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84402844000055471-E0XJEgSliGGv20171019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12:32:22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84402844000055471-E0XJEgSliGGx20171019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12:34:41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84202842000055605-E0XJEgSliH4520171019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12:34:49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84202842000055644-E0XJEgSliH7c20171019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12:34:49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84202842000055639-E0XJEgSliH7a20171019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12:36:51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84202842000056032-E0XJEgSliIAW20171019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12:38:45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84202842000056361-E0XJEgSliJMr20171019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12:41:51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84402844000056961-E0XJEgSliKhd20171019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12:41:51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84402844000056961-E0XJEgSliKhf20171019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12:45:26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84202842000057612-E0XJEgSliM8Y20171019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12:48:31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84402844000057975-E0XJEgSliN8120171019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12:48:31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84402844000057975-E0XJEgSliN8320171019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12:53:45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84202842000058932-E0XJEgSliQko20171019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12:53:45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84202842000058932-E0XJEgSliQkq20171019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12:53:45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84202842000058932-E0XJEgSliQkm20171019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12:53:45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84202842000058932-E0XJEgSliQkk20171019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13:05:17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84402844000060885-E0XJEgSliWDB20171019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13:12:00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84202842000061883-E0XJEgSliZ9c20171019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13:13:31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84402844000062042-E0XJEgSliZai20171019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13:13:31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84402844000062042-E0XJEgSliZak20171019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13:17:21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84402844000062765-E0XJEgSlib4Q20171019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13:18:31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84202842000062884-E0XJEgSlibe220171019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13:18:31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84202842000062884-E0XJEgSlibe020171019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13:21:12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84202842000063144-E0XJEgSlicWv20171019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13:22:19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84202842000063500-E0XJEgSlicwY20171019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13:22:19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84202842000063500-E0XJEgSlicwa20171019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13:24:03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84402844000064017-E0XJEgSlidmc20171019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13:25:36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84402844000064404-E0XJEgSlieIL20171019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13:32:04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84202842000065594-E0XJEgSliha320171019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13:33:12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84402844000065729-E0XJEgSliiqa20171019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13:34:33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84402844000065850-E0XJEgSlijzG20171019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13:36:11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84202842000066469-E0XJEgSliku520171019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13:38:31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84402844000067785-E0XJEgSlima220171019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13:42:15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84202842000068977-E0XJEgSlioPm20171019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13:42:15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84202842000068977-E0XJEgSlioPo20171019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13:52:03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84402844000073031-E0XJEgSliu8W20171019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13:57:30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84402844000075182-E0XJEgSliwvS20171019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13:57:30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84402844000075182-E0XJEgSliwvQ20171019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14:00:21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84402844000076265-E0XJEgSliyka20171019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14:00:21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84402844000076265-E0XJEgSliykc20171019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14:02:47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84402844000076992-E0XJEgSlj0Qw20171019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14:03:32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84402844000077597-E0XJEgSlj0qz20171019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14:03:32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84402844000077597-E0XJEgSlj0qx20171019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14:03:32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84402844000077597-E0XJEgSlj0r120171019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14:05:12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84402844000078155-E0XJEgSlj1iz20171019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14:07:20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84402844000079027-E0XJEgSlj32Z20171019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14:07:20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84402844000079027-E0XJEgSlj32b20171019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14:09:32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84402844000079943-E0XJEgSlj47t20171019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14:11:10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84202842000080189-E0XJEgSlj59p20171019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14:11:52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84402844000081018-E0XJEgSlj5mK20171019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14:16:47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84202842000082890-E0XJEgSlj8vD20171019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14:16:52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84402844000083069-E0XJEgSlj8zB20171019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14:22:17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84202842000084759-E0XJEgSljD2c20171019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14:34:48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84402844000089216-E0XJEgSljL0U20171019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14:34:48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84402844000089216-E0XJEgSljL0S20171019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14:35:31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84202842000089011-E0XJEgSljLSq20171019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14:37:39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84202842000089682-E0XJEgSljMoK20171019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14:38:43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84402844000089895-E0XJEgSljNni20171019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14:41:18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84402844000091700-E0XJEgSljPMw20171019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14:41:18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84402844000091700-E0XJEgSljPMy20171019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14:41:53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84202842000091657-E0XJEgSljPd320171019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14:45:01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84202842000092835-E0XJEgSljRRW20171019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14:45:13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84402844000093099-E0XJEgSljRdn20171019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14:45:13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84402844000093099-E0XJEgSljRdp20171019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14:54:15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84402844000096389-E0XJEgSljXZX20171019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14:54:15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84402844000096389-E0XJEgSljXZZ20171019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14:58:07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84202842000097470-E0XJEgSljZm020171019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14:58:33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84402844000097711-E0XJEgSlja3U20171019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15:03:31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84202842000099108-E0XJEgSljdcF20171019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15:03:31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84202842000099108-E0XJEgSljdcH20171019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15:06:53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84402844000100704-E0XJEgSljfSE20171019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15:08:07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84202842000100622-E0XJEgSljg0E20171019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15:09:27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84402844000101352-E0XJEgSljgz420171019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15:12:35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84202842000102929-E0XJEgSljik120171019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15:14:27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84402844000103816-E0XJEgSljk2t20171019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15:14:27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84402844000103816-E0XJEgSljk2n20171019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15:14:27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84402844000103816-E0XJEgSljk2p20171019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15:14:27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84402844000103816-E0XJEgSljk2r20171019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15:18:00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84202842000105076-E0XJEgSljlxv20171019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15:18:00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84202842000105076-E0XJEgSljlxt20171019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15:22:28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84202842000106713-E0XJEgSljoYv20171019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15:25:00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84202842000107493-E0XJEgSljpqe20171019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15:25:00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84202842000107493-E0XJEgSljpqc20171019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15:25:13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84202842000107591-E0XJEgSljq1m20171019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15:27:55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84202842000108990-E0XJEgSljrwz20171019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15:27:55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84202842000108990-E0XJEgSljrwx20171019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15:27:55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84202842000108990-E0XJEgSljrx120171019</w:t>
            </w:r>
          </w:p>
        </w:tc>
      </w:tr>
      <w:tr w:rsidR="00210295" w:rsidRPr="00210295" w:rsidTr="00210295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19-Oct-2017 15:27:55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95" w:rsidRPr="00210295" w:rsidRDefault="00210295" w:rsidP="0021029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10295">
              <w:rPr>
                <w:rFonts w:ascii="Arial" w:hAnsi="Arial" w:cs="Arial"/>
                <w:sz w:val="20"/>
                <w:szCs w:val="20"/>
                <w:lang w:eastAsia="en-GB"/>
              </w:rPr>
              <w:t>84202842000108990-E0XJEgSljrx320171019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bookmarkStart w:id="0" w:name="_GoBack"/>
      <w:bookmarkEnd w:id="0"/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557F5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557F55">
              <w:rPr>
                <w:rFonts w:ascii="Arial" w:hAnsi="Arial" w:cs="Arial"/>
                <w:sz w:val="22"/>
                <w:szCs w:val="22"/>
              </w:rPr>
              <w:t>19 October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709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7096C">
              <w:rPr>
                <w:rFonts w:ascii="Arial" w:hAnsi="Arial" w:cs="Arial"/>
                <w:sz w:val="22"/>
                <w:szCs w:val="22"/>
              </w:rPr>
              <w:t>54,400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709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7096C">
              <w:rPr>
                <w:rFonts w:ascii="Arial" w:hAnsi="Arial" w:cs="Arial"/>
                <w:sz w:val="22"/>
                <w:szCs w:val="22"/>
              </w:rPr>
              <w:t>18.5391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B90327" w:rsidRPr="00790104" w:rsidRDefault="00B90327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300"/>
        <w:gridCol w:w="1664"/>
        <w:gridCol w:w="1360"/>
        <w:gridCol w:w="1360"/>
        <w:gridCol w:w="2809"/>
      </w:tblGrid>
      <w:tr w:rsidR="00B90327" w:rsidRPr="00B90327" w:rsidTr="00B90327">
        <w:trPr>
          <w:trHeight w:val="24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27" w:rsidRPr="00B90327" w:rsidRDefault="00B90327" w:rsidP="00B90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27" w:rsidRPr="00B90327" w:rsidRDefault="00B90327" w:rsidP="00B90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27" w:rsidRPr="00B90327" w:rsidRDefault="00B90327" w:rsidP="00B90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27" w:rsidRPr="00B90327" w:rsidRDefault="00B90327" w:rsidP="00B90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27" w:rsidRPr="00B90327" w:rsidRDefault="00B90327" w:rsidP="00B90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07:05:04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BKT-83602836000002064-14020171019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07:06:41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BKT-83602836000002439-14920171019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07:06:41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BKT-83602836000002060-15020171019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07:10:39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BKT-83402834000002807-18120171019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07:11:32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BKT-83402834000003063-20120171019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07:16:04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BKT-83602836000003872-26120171019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07:18:51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BKT-83602836000004262-30420171019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07:26:03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BKT-83402834000005231-40420171019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07:31:42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BKT-83602836000006196-47720171019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07:36:41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BKT-83602836000007116-52620171019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07:36:41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BKT-83602836000007116-52720171019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07:36:41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BKT-83602836000007116-52520171019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07:37:48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BKT-83602836000007308-53720171019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07:37:48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BKT-83602836000007308-53620171019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07:38:04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BKT-83402834000007370-53920171019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07:39:55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BKT-83602836000007647-55620171019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07:40:01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BKT-83602836000007647-55720171019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07:40:01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BKT-83602836000007647-55920171019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07:45:28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BKT-83402834000008266-59920171019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07:47:53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BKT-83402834000008902-64420171019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07:54:46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BKT-83402834000010268-96620171019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07:57:44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BKT-83602836000010505-98620171019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08:01:23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BKT-83402834000011382-107320171019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08:01:23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BKT-83402834000011382-107220171019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08:08:31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BKT-83402834000012471-120320171019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08:08:31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BKT-83402834000012471-120220171019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08:09:30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BKT-83602836000012995-129020171019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08:26:20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BKT-83402834000016005-163220171019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08:32:03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BKT-83602836000016796-168620171019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08:33:44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BKT-83602836000016934-169520171019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08:33:44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BKT-83602836000016934-169420171019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08:36:04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BKT-83602836000017338-171520171019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08:36:04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BKT-83602836000017338-171620171019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08:47:19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BKT-83402834000018190-180320171019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08:52:59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BKT-83602836000019228-182720171019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08:57:02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BKT-83402834000020612-186920171019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08:57:29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BKT-83402834000020612-187420171019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09:00:45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BKT-83602836000021138-188220171019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09:07:40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BKT-83602836000021953-199320171019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09:08:33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BKT-83602836000021953-199420171019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09:20:54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BKT-83602836000024839-212920171019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09:24:08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BKT-83602836000025189-214420171019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09:33:55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BKT-83602836000026706-219820171019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09:38:40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BKT-83402834000027271-223520171019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09:38:40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BKT-83402834000027271-223420171019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09:45:44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BKT-83402834000028174-227520171019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09:47:25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BKT-83402834000028390-228320171019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09:52:04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BKT-83402834000028843-232720171019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10:02:10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BKT-83402834000030194-239920171019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10:02:10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BKT-83402834000030194-239820171019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10:03:25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BKT-83402834000030267-242920171019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10:05:15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BKT-83602836000030552-243620171019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10:05:53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BKT-83602836000030552-243720171019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10:09:56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BKT-83602836000030633-244620171019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10:09:56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BKT-83602836000030633-244820171019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10:14:09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BKT-83602836000031266-246820171019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10:14:09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BKT-83602836000031266-246920171019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10:14:10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BKT-83602836000031266-247020171019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10:22:44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BKT-83602836000031988-250220171019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10:22:44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BKT-83602836000031988-250320171019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10:44:39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BKT-83602836000035379-259020171019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10:48:31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BKT-83602836000035428-260320171019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10:51:12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BKT-83402834000035377-262920171019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10:51:12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BKT-83402834000035377-262820171019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10:55:13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BKT-83602836000036610-266620171019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10:55:13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BKT-83602836000036610-266520171019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10:59:40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BKT-83402834000037064-271820171019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10:59:44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BKT-83402834000037064-271920171019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11:05:04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BKT-83402834000037863-276920171019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11:05:05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BKT-83402834000037863-277020171019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11:29:19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BKT-83402834000040759-287420171019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11:29:31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BKT-83402834000040759-287520171019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11:36:54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BKT-83402834000041838-292520171019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11:43:02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BKT-83402834000042564-294220171019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11:46:35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BKT-83602836000042698-296020171019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11:58:11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BKT-83602836000045259-304420171019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12:00:06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BKT-83602836000045527-306320171019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12:08:29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BKT-83402834000045743-311620171019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12:13:54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BKT-83602836000047585-313620171019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12:13:54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BKT-83602836000047585-313520171019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12:15:27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BKT-83402834000047765-314420171019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12:18:12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BKT-83402834000048019-315720171019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12:29:53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BKT-83602836000049956-318520171019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12:34:49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BKT-83602836000050631-323320171019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12:35:28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BKT-83402834000050632-323520171019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12:36:45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BKT-83402834000050896-325120171019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12:37:01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BKT-83402834000050896-325220171019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12:40:44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BKT-83602836000051397-326720171019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12:41:14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BKT-83602836000051397-326820171019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12:44:38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BKT-83602836000051975-328320171019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12:49:25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BKT-83602836000052688-336220171019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12:49:27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BKT-83602836000052688-336320171019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13:05:15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BKT-83402834000055515-347220171019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13:05:15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BKT-83402834000055515-347120171019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13:08:05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BKT-83402834000055814-351320171019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13:08:05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BKT-83402834000055814-351420171019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13:14:23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BKT-83402834000056833-356920171019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13:14:25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BKT-83402834000056833-357020171019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13:18:57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BKT-83402834000057514-361220171019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13:19:58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BKT-83602836000057817-361920171019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13:27:05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BKT-83402834000058687-367820171019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13:27:05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BKT-83402834000058687-367720171019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13:28:18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BKT-83402834000058659-368520171019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13:30:35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BKT-83402834000058863-368820171019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13:33:58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BKT-83602836000059642-373620171019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13:34:28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BKT-83602836000059642-373820171019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13:34:49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BKT-83602836000059654-374620171019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13:37:29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BKT-83602836000060209-376720171019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13:41:15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BKT-83402834000061198-379720171019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13:44:04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BKT-83402834000062104-381820171019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13:44:04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BKT-83402834000062104-381720171019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13:53:06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BKT-83402834000064685-387520171019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13:54:34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BKT-83602836000064856-389720171019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13:54:34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BKT-83602836000064856-389620171019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13:56:54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BKT-83402834000065755-391120171019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13:56:54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BKT-83402834000065755-391220171019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14:00:09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BKT-83402834000066312-392920171019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14:00:10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BKT-83402834000066312-393020171019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14:03:12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BKT-83602836000067497-395620171019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14:03:12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BKT-83602836000067497-395720171019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14:08:24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BKT-83402834000068294-398220171019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14:19:43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18.4900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BKT-83602836000072839-410620171019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14:22:08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BKT-83402834000073321-413220171019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14:22:08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BKT-83402834000073321-413320171019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14:23:02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BKT-83602836000073719-415020171019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14:25:50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BKT-83602836000074348-417920171019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14:25:50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BKT-83602836000074348-418020171019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14:28:08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BKT-83402834000074859-419320171019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14:28:08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BKT-83402834000074859-419520171019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14:28:08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BKT-83402834000074859-419420171019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14:33:30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BKT-83402834000076334-421820171019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14:33:30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BKT-83402834000076334-421720171019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14:34:42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BKT-83602836000076760-423020171019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14:34:42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BKT-83602836000076760-422920171019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14:37:39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BKT-83602836000076752-423820171019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14:38:50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BKT-83402834000077557-425020171019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14:38:50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BKT-83402834000077557-424920171019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14:39:30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BKT-83402834000077557-425120171019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14:47:08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BKT-83402834000079741-431120171019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14:48:21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BKT-83602836000080079-431620171019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14:48:21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BKT-83602836000080079-432020171019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14:54:26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BKT-83402834000081711-435620171019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14:54:26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BKT-83402834000081711-435720171019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14:55:30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BKT-83602836000082218-435920171019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14:55:30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BKT-83602836000082218-436120171019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14:55:30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BKT-83602836000082218-435820171019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14:55:30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BKT-83602836000082218-436020171019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14:58:19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BKT-83402834000082762-439520171019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15:00:35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BKT-83402834000083500-442520171019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15:00:35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BKT-83402834000083500-442620171019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15:06:43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BKT-83402834000085168-446820171019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19-Oct-2017 15:08:15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BKT-83402834000085782-447920171019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15:08:15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BKT-83402834000085782-448020171019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15:10:00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BKT-83602836000086355-449720171019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15:10:00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BKT-83602836000086355-449820171019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15:11:22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BKT-83602836000086825-451020171019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15:22:00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BKT-83402834000090022-458820171019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15:22:00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BKT-83402834000089971-458620171019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15:23:24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BKT-83602836000090638-464520171019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15:23:49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BKT-83602836000090809-465220171019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15:24:39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BKT-83602836000091138-465720171019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15:26:48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BKT-83602836000091952-470320171019</w:t>
            </w:r>
          </w:p>
        </w:tc>
      </w:tr>
      <w:tr w:rsidR="00B90327" w:rsidRPr="00B90327" w:rsidTr="00B90327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19-Oct-2017 15:26:48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9032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27" w:rsidRPr="00B90327" w:rsidRDefault="00B90327" w:rsidP="00B9032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90327">
              <w:rPr>
                <w:rFonts w:ascii="Arial" w:hAnsi="Arial" w:cs="Arial"/>
                <w:sz w:val="20"/>
                <w:szCs w:val="20"/>
                <w:lang w:eastAsia="en-GB"/>
              </w:rPr>
              <w:t>BKT-83602836000091952-470420171019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B90327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47074">
                            <w:t>LON01A45305785</w:t>
                          </w:r>
                          <w:r>
                            <w:fldChar w:fldCharType="end"/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47074">
                            <w:instrText>4</w:instrText>
                          </w:r>
                          <w:r>
                            <w:fldChar w:fldCharType="end"/>
                          </w:r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47074">
                            <w:instrText>102868-0003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0295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57F5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E326B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0327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7096C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210295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2">
    <w:name w:val="xl502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503">
    <w:name w:val="xl503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505">
    <w:name w:val="xl505"/>
    <w:basedOn w:val="Normal"/>
    <w:rsid w:val="00210295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506">
    <w:name w:val="xl506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7">
    <w:name w:val="xl507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8">
    <w:name w:val="xl508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9">
    <w:name w:val="xl509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10">
    <w:name w:val="xl510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1">
    <w:name w:val="xl511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2">
    <w:name w:val="xl512"/>
    <w:basedOn w:val="Normal"/>
    <w:rsid w:val="00210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8D02-0027-4E86-B04F-4D5DA0D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Blank_A4_Portrait.dotm</Template>
  <TotalTime>6</TotalTime>
  <Pages>14</Pages>
  <Words>2436</Words>
  <Characters>26879</Characters>
  <Application>Microsoft Office Word</Application>
  <DocSecurity>0</DocSecurity>
  <Lines>223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Reed Elsevier</cp:lastModifiedBy>
  <cp:revision>6</cp:revision>
  <cp:lastPrinted>2016-11-21T15:24:00Z</cp:lastPrinted>
  <dcterms:created xsi:type="dcterms:W3CDTF">2017-10-19T15:29:00Z</dcterms:created>
  <dcterms:modified xsi:type="dcterms:W3CDTF">2017-10-19T16:14:00Z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