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479A8" w14:textId="3EAB8EC2" w:rsidR="00844D58" w:rsidRDefault="00226C6C" w:rsidP="00226C6C">
      <w:pPr>
        <w:pStyle w:val="Title"/>
        <w:rPr>
          <w:sz w:val="30"/>
          <w:szCs w:val="30"/>
        </w:rPr>
      </w:pPr>
      <w:r>
        <w:rPr>
          <w:b w:val="0"/>
          <w:noProof/>
        </w:rPr>
        <mc:AlternateContent>
          <mc:Choice Requires="wps">
            <w:drawing>
              <wp:anchor distT="0" distB="0" distL="114300" distR="114300" simplePos="0" relativeHeight="251657216" behindDoc="0" locked="0" layoutInCell="1" allowOverlap="1" wp14:anchorId="6FFF1359" wp14:editId="7D1F83E2">
                <wp:simplePos x="0" y="0"/>
                <wp:positionH relativeFrom="column">
                  <wp:posOffset>-285115</wp:posOffset>
                </wp:positionH>
                <wp:positionV relativeFrom="paragraph">
                  <wp:posOffset>-276860</wp:posOffset>
                </wp:positionV>
                <wp:extent cx="6547018" cy="520700"/>
                <wp:effectExtent l="0" t="0" r="6350" b="127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7018" cy="520700"/>
                        </a:xfrm>
                        <a:prstGeom prst="rect">
                          <a:avLst/>
                        </a:prstGeom>
                        <a:noFill/>
                        <a:ln w="9525">
                          <a:noFill/>
                          <a:miter lim="800000"/>
                          <a:headEnd/>
                          <a:tailEnd/>
                        </a:ln>
                      </wps:spPr>
                      <wps:txbx>
                        <w:txbxContent>
                          <w:p w14:paraId="23318849" w14:textId="34B87C17" w:rsidR="00C146D5" w:rsidRPr="00A86DC5" w:rsidRDefault="00C146D5" w:rsidP="00E81320">
                            <w:pPr>
                              <w:pStyle w:val="Pa0"/>
                              <w:spacing w:after="80" w:line="240" w:lineRule="auto"/>
                              <w:rPr>
                                <w:rStyle w:val="A0"/>
                                <w:color w:val="45130F" w:themeColor="background2"/>
                                <w:lang w:val="fr-BE"/>
                              </w:rPr>
                            </w:pPr>
                            <w:r w:rsidRPr="00E81320">
                              <w:rPr>
                                <w:rStyle w:val="A0"/>
                                <w:color w:val="45130F" w:themeColor="background2"/>
                                <w:lang w:val="fr-FR"/>
                              </w:rPr>
                              <w:t>L'information ci-jointe constitue une information réglementée au sens de l'arrêté royal belge du 14 novembre 2007 relatif aux obligations des émetteurs d'instruments financiers admis à la négociation sur un marché réglementé.</w:t>
                            </w:r>
                          </w:p>
                          <w:p w14:paraId="3E46241F" w14:textId="58C32D3A" w:rsidR="00C146D5" w:rsidRPr="00A86DC5" w:rsidRDefault="00C146D5" w:rsidP="00E81320">
                            <w:pPr>
                              <w:pStyle w:val="Pa0"/>
                              <w:spacing w:after="80" w:line="240" w:lineRule="auto"/>
                              <w:rPr>
                                <w:rStyle w:val="A0"/>
                                <w:color w:val="45130F" w:themeColor="background2"/>
                                <w:lang w:val="fr-BE"/>
                              </w:rPr>
                            </w:pPr>
                            <w:r w:rsidRPr="00E81320">
                              <w:rPr>
                                <w:color w:val="45130F" w:themeColor="background2"/>
                                <w:sz w:val="14"/>
                                <w:szCs w:val="14"/>
                                <w:lang w:val="fr-FR"/>
                              </w:rPr>
                              <w:t>Sauf indication contraire, les analyses ci-dessous sont basées sur des chiffres internes et se rapportent au 2T17 sur la base d'une comparaison avec la même période de l'année dernière.</w:t>
                            </w:r>
                            <w:r w:rsidRPr="00A86DC5">
                              <w:rPr>
                                <w:color w:val="45130F" w:themeColor="background2"/>
                                <w:sz w:val="14"/>
                                <w:szCs w:val="14"/>
                                <w:lang w:val="fr-BE"/>
                              </w:rPr>
                              <w:t xml:space="preserve"> </w:t>
                            </w:r>
                            <w:r w:rsidRPr="00E81320">
                              <w:rPr>
                                <w:color w:val="45130F" w:themeColor="background2"/>
                                <w:sz w:val="14"/>
                                <w:szCs w:val="14"/>
                                <w:lang w:val="fr-FR"/>
                              </w:rPr>
                              <w:t xml:space="preserve">Pour une description de la comparaison et les mentions légales importantes, veuillez vous référer aux </w:t>
                            </w:r>
                            <w:r w:rsidRPr="00FB0D6D">
                              <w:rPr>
                                <w:color w:val="45130F" w:themeColor="background2"/>
                                <w:sz w:val="14"/>
                                <w:szCs w:val="14"/>
                                <w:lang w:val="fr-FR"/>
                              </w:rPr>
                              <w:t xml:space="preserve">pages </w:t>
                            </w:r>
                            <w:r w:rsidRPr="00D13FBB">
                              <w:rPr>
                                <w:color w:val="45130F" w:themeColor="background2"/>
                                <w:sz w:val="14"/>
                                <w:szCs w:val="14"/>
                                <w:lang w:val="fr-FR"/>
                              </w:rPr>
                              <w:t>1</w:t>
                            </w:r>
                            <w:r w:rsidR="00FB0D6D" w:rsidRPr="00D13FBB">
                              <w:rPr>
                                <w:color w:val="45130F" w:themeColor="background2"/>
                                <w:sz w:val="14"/>
                                <w:szCs w:val="14"/>
                                <w:lang w:val="fr-FR"/>
                              </w:rPr>
                              <w:t>5</w:t>
                            </w:r>
                            <w:r w:rsidRPr="00D13FBB">
                              <w:rPr>
                                <w:color w:val="45130F" w:themeColor="background2"/>
                                <w:sz w:val="14"/>
                                <w:szCs w:val="14"/>
                                <w:lang w:val="fr-FR"/>
                              </w:rPr>
                              <w:t xml:space="preserve"> et 1</w:t>
                            </w:r>
                            <w:r w:rsidR="00FB0D6D" w:rsidRPr="00FB0D6D">
                              <w:rPr>
                                <w:color w:val="45130F" w:themeColor="background2"/>
                                <w:sz w:val="14"/>
                                <w:szCs w:val="14"/>
                                <w:lang w:val="fr-FR"/>
                              </w:rPr>
                              <w:t>6</w:t>
                            </w:r>
                            <w:r w:rsidRPr="00FB0D6D">
                              <w:rPr>
                                <w:color w:val="45130F" w:themeColor="background2"/>
                                <w:sz w:val="14"/>
                                <w:szCs w:val="14"/>
                                <w:lang w:val="fr-FR"/>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45pt;margin-top:-21.8pt;width:515.5pt;height: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" filled="f" stroked="f">
                <v:textbox inset="0,0,0,0">
                  <w:txbxContent>
                    <w:p w14:paraId="23318849" w14:textId="34B87C17" w:rsidR="00C146D5" w:rsidRPr="00A86DC5" w:rsidRDefault="00C146D5" w:rsidP="00E81320">
                      <w:pPr>
                        <w:pStyle w:val="Pa0"/>
                        <w:spacing w:after="80" w:line="240" w:lineRule="auto"/>
                        <w:rPr>
                          <w:rStyle w:val="A0"/>
                          <w:color w:val="45130F" w:themeColor="background2"/>
                          <w:lang w:val="fr-BE"/>
                        </w:rPr>
                      </w:pPr>
                      <w:r w:rsidRPr="00E81320">
                        <w:rPr>
                          <w:rStyle w:val="A0"/>
                          <w:color w:val="45130F" w:themeColor="background2"/>
                          <w:lang w:val="fr-FR"/>
                        </w:rPr>
                        <w:t>L'information ci-jointe constitue une information réglementée au sens de l'arrêté royal belge du 14 novembre 2007 relatif aux obligations des émetteurs d'instruments financiers admis à la négociation sur un marché réglementé.</w:t>
                      </w:r>
                    </w:p>
                    <w:p w14:paraId="3E46241F" w14:textId="58C32D3A" w:rsidR="00C146D5" w:rsidRPr="00A86DC5" w:rsidRDefault="00C146D5" w:rsidP="00E81320">
                      <w:pPr>
                        <w:pStyle w:val="Pa0"/>
                        <w:spacing w:after="80" w:line="240" w:lineRule="auto"/>
                        <w:rPr>
                          <w:rStyle w:val="A0"/>
                          <w:color w:val="45130F" w:themeColor="background2"/>
                          <w:lang w:val="fr-BE"/>
                        </w:rPr>
                      </w:pPr>
                      <w:r w:rsidRPr="00E81320">
                        <w:rPr>
                          <w:color w:val="45130F" w:themeColor="background2"/>
                          <w:sz w:val="14"/>
                          <w:szCs w:val="14"/>
                          <w:lang w:val="fr-FR"/>
                        </w:rPr>
                        <w:t>Sauf indication contraire, les analyses ci-dessous sont basées sur des chiffres internes et se rapportent au 2T17 sur la base d'une comparaison avec la même période de l'année dernière.</w:t>
                      </w:r>
                      <w:r w:rsidRPr="00A86DC5">
                        <w:rPr>
                          <w:color w:val="45130F" w:themeColor="background2"/>
                          <w:sz w:val="14"/>
                          <w:szCs w:val="14"/>
                          <w:lang w:val="fr-BE"/>
                        </w:rPr>
                        <w:t xml:space="preserve"> </w:t>
                      </w:r>
                      <w:r w:rsidRPr="00E81320">
                        <w:rPr>
                          <w:color w:val="45130F" w:themeColor="background2"/>
                          <w:sz w:val="14"/>
                          <w:szCs w:val="14"/>
                          <w:lang w:val="fr-FR"/>
                        </w:rPr>
                        <w:t xml:space="preserve">Pour une description de la comparaison et les mentions légales importantes, veuillez vous référer aux </w:t>
                      </w:r>
                      <w:r w:rsidRPr="00FB0D6D">
                        <w:rPr>
                          <w:color w:val="45130F" w:themeColor="background2"/>
                          <w:sz w:val="14"/>
                          <w:szCs w:val="14"/>
                          <w:lang w:val="fr-FR"/>
                        </w:rPr>
                        <w:t xml:space="preserve">pages </w:t>
                      </w:r>
                      <w:r w:rsidRPr="00D13FBB">
                        <w:rPr>
                          <w:color w:val="45130F" w:themeColor="background2"/>
                          <w:sz w:val="14"/>
                          <w:szCs w:val="14"/>
                          <w:lang w:val="fr-FR"/>
                        </w:rPr>
                        <w:t>1</w:t>
                      </w:r>
                      <w:r w:rsidR="00FB0D6D" w:rsidRPr="00D13FBB">
                        <w:rPr>
                          <w:color w:val="45130F" w:themeColor="background2"/>
                          <w:sz w:val="14"/>
                          <w:szCs w:val="14"/>
                          <w:lang w:val="fr-FR"/>
                        </w:rPr>
                        <w:t>5</w:t>
                      </w:r>
                      <w:r w:rsidRPr="00D13FBB">
                        <w:rPr>
                          <w:color w:val="45130F" w:themeColor="background2"/>
                          <w:sz w:val="14"/>
                          <w:szCs w:val="14"/>
                          <w:lang w:val="fr-FR"/>
                        </w:rPr>
                        <w:t xml:space="preserve"> et 1</w:t>
                      </w:r>
                      <w:r w:rsidR="00FB0D6D" w:rsidRPr="00FB0D6D">
                        <w:rPr>
                          <w:color w:val="45130F" w:themeColor="background2"/>
                          <w:sz w:val="14"/>
                          <w:szCs w:val="14"/>
                          <w:lang w:val="fr-FR"/>
                        </w:rPr>
                        <w:t>6</w:t>
                      </w:r>
                      <w:r w:rsidRPr="00FB0D6D">
                        <w:rPr>
                          <w:color w:val="45130F" w:themeColor="background2"/>
                          <w:sz w:val="14"/>
                          <w:szCs w:val="14"/>
                          <w:lang w:val="fr-FR"/>
                        </w:rPr>
                        <w:t>.</w:t>
                      </w:r>
                    </w:p>
                  </w:txbxContent>
                </v:textbox>
              </v:shape>
            </w:pict>
          </mc:Fallback>
        </mc:AlternateContent>
      </w:r>
    </w:p>
    <w:p w14:paraId="5B67A4AC" w14:textId="78B39009" w:rsidR="00D60EF7" w:rsidRPr="00A86DC5" w:rsidRDefault="003E345B" w:rsidP="00E81320">
      <w:pPr>
        <w:pStyle w:val="Title"/>
        <w:spacing w:after="80"/>
        <w:rPr>
          <w:sz w:val="30"/>
          <w:szCs w:val="30"/>
          <w:lang w:val="fr-BE"/>
        </w:rPr>
      </w:pPr>
      <w:r w:rsidRPr="00E81320">
        <w:rPr>
          <w:sz w:val="30"/>
          <w:szCs w:val="30"/>
          <w:lang w:val="fr-FR"/>
        </w:rPr>
        <w:t xml:space="preserve">Anheuser-Busch InBev </w:t>
      </w:r>
      <w:r w:rsidRPr="00E81320">
        <w:rPr>
          <w:rFonts w:ascii="Arial" w:hAnsi="Arial" w:cs="Arial"/>
          <w:kern w:val="0"/>
          <w:sz w:val="30"/>
          <w:szCs w:val="30"/>
          <w:lang w:val="fr-FR"/>
        </w:rPr>
        <w:t>publie les résultats du deuxième trimestre et du premier semestre 2017</w:t>
      </w:r>
      <w:r w:rsidR="00D60EF7" w:rsidRPr="00A86DC5">
        <w:rPr>
          <w:sz w:val="30"/>
          <w:szCs w:val="30"/>
          <w:lang w:val="fr-BE"/>
        </w:rPr>
        <w:t xml:space="preserve"> </w:t>
      </w:r>
    </w:p>
    <w:p w14:paraId="77F0C95F" w14:textId="11556C3F" w:rsidR="00C80507" w:rsidRPr="00D13FBB" w:rsidRDefault="00C80507" w:rsidP="00963051">
      <w:pPr>
        <w:pStyle w:val="Title"/>
        <w:spacing w:after="80"/>
        <w:rPr>
          <w:sz w:val="8"/>
          <w:szCs w:val="30"/>
          <w:lang w:val="fr-BE"/>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580B" w:themeFill="accent2"/>
        <w:tblLayout w:type="fixed"/>
        <w:tblLook w:val="04A0" w:firstRow="1" w:lastRow="0" w:firstColumn="1" w:lastColumn="0" w:noHBand="0" w:noVBand="1"/>
      </w:tblPr>
      <w:tblGrid>
        <w:gridCol w:w="9576"/>
      </w:tblGrid>
      <w:tr w:rsidR="001167DB" w:rsidRPr="00DD6282" w14:paraId="64CFAD97" w14:textId="77777777" w:rsidTr="00E81320">
        <w:trPr>
          <w:trHeight w:val="264"/>
        </w:trPr>
        <w:tc>
          <w:tcPr>
            <w:tcW w:w="9576" w:type="dxa"/>
            <w:shd w:val="clear" w:color="auto" w:fill="DB580B" w:themeFill="accent2"/>
          </w:tcPr>
          <w:p w14:paraId="6B6A3712" w14:textId="14F05D6F" w:rsidR="001167DB" w:rsidRPr="00E81320" w:rsidRDefault="003E345B" w:rsidP="00851C9B">
            <w:pPr>
              <w:spacing w:before="40"/>
              <w:rPr>
                <w:rFonts w:asciiTheme="majorHAnsi" w:eastAsia="Times New Roman" w:hAnsiTheme="majorHAnsi" w:cstheme="majorHAnsi"/>
                <w:b/>
                <w:color w:val="FFFFFF" w:themeColor="background1"/>
              </w:rPr>
            </w:pPr>
            <w:r w:rsidRPr="00E81320">
              <w:rPr>
                <w:rFonts w:asciiTheme="majorHAnsi" w:eastAsia="Times New Roman" w:hAnsiTheme="majorHAnsi" w:cstheme="majorHAnsi"/>
                <w:b/>
                <w:color w:val="FFFFFF" w:themeColor="background1"/>
                <w:lang w:val="fr-FR"/>
              </w:rPr>
              <w:t>FAITS MARQUANTS</w:t>
            </w:r>
          </w:p>
        </w:tc>
      </w:tr>
    </w:tbl>
    <w:p w14:paraId="61DF50B6" w14:textId="5CE6A3E9" w:rsidR="00E81320" w:rsidRPr="00A86DC5" w:rsidRDefault="00E81320" w:rsidP="00E81320">
      <w:pPr>
        <w:numPr>
          <w:ilvl w:val="0"/>
          <w:numId w:val="1"/>
        </w:numPr>
        <w:spacing w:before="60" w:after="120" w:line="240" w:lineRule="auto"/>
        <w:jc w:val="both"/>
        <w:rPr>
          <w:rFonts w:cstheme="minorHAnsi"/>
          <w:color w:val="45130F" w:themeColor="background2"/>
          <w:sz w:val="20"/>
          <w:szCs w:val="20"/>
          <w:lang w:val="fr-BE"/>
        </w:rPr>
      </w:pPr>
      <w:r w:rsidRPr="00E81320">
        <w:rPr>
          <w:rFonts w:cstheme="minorHAnsi"/>
          <w:b/>
          <w:color w:val="45130F" w:themeColor="background2"/>
          <w:sz w:val="20"/>
          <w:szCs w:val="20"/>
          <w:lang w:val="fr-FR"/>
        </w:rPr>
        <w:t>Produits :</w:t>
      </w:r>
      <w:r w:rsidRPr="00A86DC5">
        <w:rPr>
          <w:rFonts w:cstheme="minorHAnsi"/>
          <w:b/>
          <w:color w:val="45130F" w:themeColor="background2"/>
          <w:sz w:val="20"/>
          <w:szCs w:val="20"/>
          <w:lang w:val="fr-BE"/>
        </w:rPr>
        <w:t xml:space="preserve"> </w:t>
      </w:r>
      <w:r w:rsidRPr="00E81320">
        <w:rPr>
          <w:rFonts w:cstheme="minorHAnsi"/>
          <w:color w:val="45130F" w:themeColor="background2"/>
          <w:sz w:val="20"/>
          <w:szCs w:val="20"/>
          <w:lang w:val="fr-FR"/>
        </w:rPr>
        <w:t>Les produits ont augmenté de 5,0 % pendant le trimestre, avec une croissance des produits par hl de 3,2 %.</w:t>
      </w:r>
      <w:r w:rsidRPr="00A86DC5">
        <w:rPr>
          <w:rFonts w:cstheme="minorHAnsi"/>
          <w:color w:val="45130F" w:themeColor="background2"/>
          <w:sz w:val="20"/>
          <w:szCs w:val="20"/>
          <w:lang w:val="fr-BE"/>
        </w:rPr>
        <w:t xml:space="preserve"> </w:t>
      </w:r>
      <w:r w:rsidRPr="00E81320">
        <w:rPr>
          <w:rFonts w:cstheme="minorHAnsi"/>
          <w:color w:val="45130F" w:themeColor="background2"/>
          <w:sz w:val="20"/>
          <w:szCs w:val="20"/>
          <w:lang w:val="fr-FR"/>
        </w:rPr>
        <w:t>Sur une base géographique constante, les produits par hl ont augmenté de 3,6 %, grâce aux initiatives de gestion des revenus et à la poursuite de la premiumisation.</w:t>
      </w:r>
      <w:r w:rsidRPr="00A86DC5">
        <w:rPr>
          <w:rFonts w:cstheme="minorHAnsi"/>
          <w:color w:val="45130F" w:themeColor="background2"/>
          <w:sz w:val="20"/>
          <w:szCs w:val="20"/>
          <w:lang w:val="fr-BE"/>
        </w:rPr>
        <w:t xml:space="preserve"> </w:t>
      </w:r>
      <w:r w:rsidRPr="00E81320">
        <w:rPr>
          <w:rFonts w:cstheme="minorHAnsi"/>
          <w:color w:val="45130F" w:themeColor="background2"/>
          <w:sz w:val="20"/>
          <w:szCs w:val="20"/>
          <w:lang w:val="fr-FR"/>
        </w:rPr>
        <w:t>Au 1S17, les produits ont enregistré une hausse de 4,4 %, avec une croissance des produits par hl de 4,2 %.</w:t>
      </w:r>
      <w:r w:rsidRPr="00A86DC5">
        <w:rPr>
          <w:rFonts w:cstheme="minorHAnsi"/>
          <w:color w:val="45130F" w:themeColor="background2"/>
          <w:sz w:val="20"/>
          <w:szCs w:val="20"/>
          <w:lang w:val="fr-BE"/>
        </w:rPr>
        <w:t xml:space="preserve"> </w:t>
      </w:r>
      <w:r w:rsidRPr="00E81320">
        <w:rPr>
          <w:rFonts w:cstheme="minorHAnsi"/>
          <w:color w:val="45130F" w:themeColor="background2"/>
          <w:sz w:val="20"/>
          <w:szCs w:val="20"/>
          <w:lang w:val="fr-FR"/>
        </w:rPr>
        <w:t>Les produits par hl ont augmenté de 4,1 % sur une base géographique constante.</w:t>
      </w:r>
    </w:p>
    <w:p w14:paraId="2F191868" w14:textId="79C6D936" w:rsidR="00E81320" w:rsidRPr="00A86DC5" w:rsidRDefault="00E81320" w:rsidP="00E81320">
      <w:pPr>
        <w:numPr>
          <w:ilvl w:val="0"/>
          <w:numId w:val="1"/>
        </w:numPr>
        <w:spacing w:after="120" w:line="240" w:lineRule="auto"/>
        <w:ind w:left="357" w:hanging="357"/>
        <w:jc w:val="both"/>
        <w:rPr>
          <w:rFonts w:cstheme="minorHAnsi"/>
          <w:color w:val="45130F" w:themeColor="background2"/>
          <w:sz w:val="20"/>
          <w:szCs w:val="20"/>
          <w:lang w:val="fr-BE"/>
        </w:rPr>
      </w:pPr>
      <w:r w:rsidRPr="00E81320">
        <w:rPr>
          <w:rFonts w:cstheme="minorHAnsi"/>
          <w:b/>
          <w:color w:val="45130F" w:themeColor="background2"/>
          <w:sz w:val="20"/>
          <w:szCs w:val="20"/>
          <w:lang w:val="fr-FR"/>
        </w:rPr>
        <w:t>Volumes :</w:t>
      </w:r>
      <w:r w:rsidRPr="00A86DC5">
        <w:rPr>
          <w:rFonts w:cstheme="minorHAnsi"/>
          <w:b/>
          <w:color w:val="45130F" w:themeColor="background2"/>
          <w:sz w:val="20"/>
          <w:szCs w:val="20"/>
          <w:lang w:val="fr-BE"/>
        </w:rPr>
        <w:t xml:space="preserve"> </w:t>
      </w:r>
      <w:r w:rsidRPr="00E81320">
        <w:rPr>
          <w:rFonts w:cstheme="minorHAnsi"/>
          <w:color w:val="45130F" w:themeColor="background2"/>
          <w:sz w:val="20"/>
          <w:szCs w:val="20"/>
          <w:lang w:val="fr-FR"/>
        </w:rPr>
        <w:t>Les volumes totaux ont progressé de 1,0 %, tandis que les volumes de nos propres bières ont augmenté de 2,1 %.</w:t>
      </w:r>
      <w:r w:rsidRPr="00A86DC5">
        <w:rPr>
          <w:rFonts w:cstheme="minorHAnsi"/>
          <w:color w:val="45130F" w:themeColor="background2"/>
          <w:sz w:val="20"/>
          <w:szCs w:val="20"/>
          <w:lang w:val="fr-BE"/>
        </w:rPr>
        <w:t xml:space="preserve"> </w:t>
      </w:r>
      <w:r w:rsidRPr="00E81320">
        <w:rPr>
          <w:rFonts w:cstheme="minorHAnsi"/>
          <w:color w:val="45130F" w:themeColor="background2"/>
          <w:sz w:val="20"/>
          <w:szCs w:val="20"/>
          <w:lang w:val="fr-FR"/>
        </w:rPr>
        <w:t>Les volumes de nos propres bières affichent une bonne croissance en Afrique du Sud, au Mexique et en Australie, alors qu'ils sont en baisse aux Etats-Unis, au Brésil et en Colombie.</w:t>
      </w:r>
      <w:r w:rsidRPr="00A86DC5">
        <w:rPr>
          <w:rFonts w:cstheme="minorHAnsi"/>
          <w:color w:val="45130F" w:themeColor="background2"/>
          <w:sz w:val="20"/>
          <w:szCs w:val="20"/>
          <w:lang w:val="fr-BE"/>
        </w:rPr>
        <w:t xml:space="preserve"> </w:t>
      </w:r>
      <w:r w:rsidRPr="00E81320">
        <w:rPr>
          <w:rFonts w:cstheme="minorHAnsi"/>
          <w:color w:val="45130F" w:themeColor="background2"/>
          <w:sz w:val="20"/>
          <w:szCs w:val="20"/>
          <w:lang w:val="fr-FR"/>
        </w:rPr>
        <w:t>Les volumes totaux ont augmenté de 0,3 % au cours du 1S17, avec une hausse de 1,0 % des volumes de nos propres bières.</w:t>
      </w:r>
    </w:p>
    <w:p w14:paraId="24133E51" w14:textId="78566BBB" w:rsidR="008038BB" w:rsidRPr="00A86DC5" w:rsidRDefault="00E81320" w:rsidP="008038BB">
      <w:pPr>
        <w:numPr>
          <w:ilvl w:val="0"/>
          <w:numId w:val="1"/>
        </w:numPr>
        <w:spacing w:after="120" w:line="240" w:lineRule="auto"/>
        <w:ind w:left="357" w:hanging="357"/>
        <w:jc w:val="both"/>
        <w:rPr>
          <w:rFonts w:cstheme="minorHAnsi"/>
          <w:color w:val="45130F" w:themeColor="background2"/>
          <w:sz w:val="20"/>
          <w:szCs w:val="20"/>
          <w:lang w:val="fr-BE"/>
        </w:rPr>
      </w:pPr>
      <w:r w:rsidRPr="00E81320">
        <w:rPr>
          <w:rFonts w:cstheme="minorHAnsi"/>
          <w:b/>
          <w:color w:val="45130F" w:themeColor="background2"/>
          <w:sz w:val="20"/>
          <w:szCs w:val="20"/>
          <w:lang w:val="fr-FR"/>
        </w:rPr>
        <w:t>Marques mondiales :</w:t>
      </w:r>
      <w:r w:rsidRPr="00A86DC5">
        <w:rPr>
          <w:rFonts w:cstheme="minorHAnsi"/>
          <w:b/>
          <w:color w:val="45130F" w:themeColor="background2"/>
          <w:sz w:val="20"/>
          <w:szCs w:val="20"/>
          <w:lang w:val="fr-BE"/>
        </w:rPr>
        <w:t xml:space="preserve"> </w:t>
      </w:r>
      <w:r w:rsidR="008038BB" w:rsidRPr="008038BB">
        <w:rPr>
          <w:rFonts w:cstheme="minorHAnsi"/>
          <w:color w:val="45130F" w:themeColor="background2"/>
          <w:sz w:val="20"/>
          <w:szCs w:val="20"/>
          <w:lang w:val="fr-FR"/>
        </w:rPr>
        <w:t>Les produits combinés de nos trois marques mondiales Budweiser, Stella Artois et Corona ont augmenté de 8,9 % au 2T17.</w:t>
      </w:r>
      <w:r w:rsidR="008038BB" w:rsidRPr="00A86DC5">
        <w:rPr>
          <w:rFonts w:cstheme="minorHAnsi"/>
          <w:color w:val="45130F" w:themeColor="background2"/>
          <w:sz w:val="20"/>
          <w:szCs w:val="20"/>
          <w:lang w:val="fr-BE"/>
        </w:rPr>
        <w:t xml:space="preserve"> </w:t>
      </w:r>
      <w:r w:rsidR="008038BB" w:rsidRPr="008038BB">
        <w:rPr>
          <w:rFonts w:cstheme="minorHAnsi"/>
          <w:color w:val="45130F" w:themeColor="background2"/>
          <w:sz w:val="20"/>
          <w:szCs w:val="20"/>
          <w:lang w:val="fr-FR"/>
        </w:rPr>
        <w:t xml:space="preserve">Les produits de Budweiser ont progressé de 5,7 %, </w:t>
      </w:r>
      <w:r w:rsidR="006C1FA3">
        <w:rPr>
          <w:rFonts w:cstheme="minorHAnsi"/>
          <w:color w:val="45130F" w:themeColor="background2"/>
          <w:sz w:val="20"/>
          <w:szCs w:val="20"/>
          <w:lang w:val="fr-FR"/>
        </w:rPr>
        <w:t>et de</w:t>
      </w:r>
      <w:r w:rsidR="006C1FA3" w:rsidRPr="008038BB">
        <w:rPr>
          <w:rFonts w:cstheme="minorHAnsi"/>
          <w:color w:val="45130F" w:themeColor="background2"/>
          <w:sz w:val="20"/>
          <w:szCs w:val="20"/>
          <w:lang w:val="fr-FR"/>
        </w:rPr>
        <w:t xml:space="preserve"> </w:t>
      </w:r>
      <w:r w:rsidR="008038BB" w:rsidRPr="008038BB">
        <w:rPr>
          <w:rFonts w:cstheme="minorHAnsi"/>
          <w:color w:val="45130F" w:themeColor="background2"/>
          <w:sz w:val="20"/>
          <w:szCs w:val="20"/>
          <w:lang w:val="fr-FR"/>
        </w:rPr>
        <w:t>11,7 % en dehors des Etats-Unis.</w:t>
      </w:r>
      <w:r w:rsidR="008038BB" w:rsidRPr="00A86DC5">
        <w:rPr>
          <w:rFonts w:cstheme="minorHAnsi"/>
          <w:color w:val="45130F" w:themeColor="background2"/>
          <w:sz w:val="20"/>
          <w:szCs w:val="20"/>
          <w:lang w:val="fr-BE"/>
        </w:rPr>
        <w:t xml:space="preserve"> </w:t>
      </w:r>
      <w:r w:rsidR="008038BB" w:rsidRPr="008038BB">
        <w:rPr>
          <w:rFonts w:cstheme="minorHAnsi"/>
          <w:color w:val="45130F" w:themeColor="background2"/>
          <w:sz w:val="20"/>
          <w:szCs w:val="20"/>
          <w:lang w:val="fr-FR"/>
        </w:rPr>
        <w:t>Les produits de Stella Artois affichent une hausse de 6,6 %, grâce principalement à la croissance en Argentine et en Corée du sud.</w:t>
      </w:r>
      <w:r w:rsidR="008038BB" w:rsidRPr="00A86DC5">
        <w:rPr>
          <w:rFonts w:cstheme="minorHAnsi"/>
          <w:color w:val="45130F" w:themeColor="background2"/>
          <w:sz w:val="20"/>
          <w:szCs w:val="20"/>
          <w:lang w:val="fr-BE"/>
        </w:rPr>
        <w:t xml:space="preserve"> </w:t>
      </w:r>
      <w:r w:rsidR="008038BB" w:rsidRPr="008038BB">
        <w:rPr>
          <w:rFonts w:cstheme="minorHAnsi"/>
          <w:color w:val="45130F" w:themeColor="background2"/>
          <w:sz w:val="20"/>
          <w:szCs w:val="20"/>
          <w:lang w:val="fr-FR"/>
        </w:rPr>
        <w:t>Corona a eu un très bon trimestre également, avec une hausse des produits de 16,6 %, et d</w:t>
      </w:r>
      <w:bookmarkStart w:id="0" w:name="_GoBack"/>
      <w:bookmarkEnd w:id="0"/>
      <w:r w:rsidR="008038BB" w:rsidRPr="008038BB">
        <w:rPr>
          <w:rFonts w:cstheme="minorHAnsi"/>
          <w:color w:val="45130F" w:themeColor="background2"/>
          <w:sz w:val="20"/>
          <w:szCs w:val="20"/>
          <w:lang w:val="fr-FR"/>
        </w:rPr>
        <w:t>e 26,2 % en dehors du Mexique, profitant de la forte croissance au Royaume Uni, en Australie et en Chine.</w:t>
      </w:r>
      <w:r w:rsidR="008038BB" w:rsidRPr="00A86DC5">
        <w:rPr>
          <w:rFonts w:cstheme="minorHAnsi"/>
          <w:color w:val="45130F" w:themeColor="background2"/>
          <w:sz w:val="20"/>
          <w:szCs w:val="20"/>
          <w:lang w:val="fr-BE"/>
        </w:rPr>
        <w:t xml:space="preserve"> </w:t>
      </w:r>
      <w:r w:rsidR="008038BB" w:rsidRPr="008038BB">
        <w:rPr>
          <w:rFonts w:cstheme="minorHAnsi"/>
          <w:color w:val="45130F" w:themeColor="background2"/>
          <w:sz w:val="20"/>
          <w:szCs w:val="20"/>
          <w:lang w:val="fr-FR"/>
        </w:rPr>
        <w:t>Au 1S17, les produits combinés de nos marques mondiales ont augmenté de 10,6 %.</w:t>
      </w:r>
      <w:r w:rsidR="008038BB" w:rsidRPr="00A86DC5">
        <w:rPr>
          <w:rFonts w:cstheme="minorHAnsi"/>
          <w:color w:val="45130F" w:themeColor="background2"/>
          <w:sz w:val="20"/>
          <w:szCs w:val="20"/>
          <w:lang w:val="fr-BE"/>
        </w:rPr>
        <w:t xml:space="preserve"> </w:t>
      </w:r>
    </w:p>
    <w:p w14:paraId="04F074CD" w14:textId="4FA1BED2" w:rsidR="008038BB" w:rsidRPr="00A86DC5" w:rsidRDefault="008038BB" w:rsidP="008038BB">
      <w:pPr>
        <w:pStyle w:val="ListParagraph"/>
        <w:numPr>
          <w:ilvl w:val="0"/>
          <w:numId w:val="1"/>
        </w:numPr>
        <w:spacing w:after="120"/>
        <w:ind w:left="357" w:hanging="357"/>
        <w:jc w:val="both"/>
        <w:rPr>
          <w:rFonts w:asciiTheme="minorHAnsi" w:hAnsiTheme="minorHAnsi" w:cstheme="minorHAnsi"/>
          <w:color w:val="45130F" w:themeColor="background2"/>
          <w:sz w:val="20"/>
          <w:szCs w:val="20"/>
          <w:lang w:val="fr-BE"/>
        </w:rPr>
      </w:pPr>
      <w:r w:rsidRPr="008038BB">
        <w:rPr>
          <w:rFonts w:asciiTheme="minorHAnsi" w:hAnsiTheme="minorHAnsi" w:cstheme="minorHAnsi"/>
          <w:b/>
          <w:color w:val="45130F" w:themeColor="background2"/>
          <w:sz w:val="20"/>
          <w:szCs w:val="20"/>
          <w:lang w:val="fr-FR"/>
        </w:rPr>
        <w:t>Coûts des Ventes (CdV) :</w:t>
      </w:r>
      <w:r w:rsidRPr="00A86DC5">
        <w:rPr>
          <w:rFonts w:asciiTheme="minorHAnsi" w:hAnsiTheme="minorHAnsi" w:cstheme="minorHAnsi"/>
          <w:b/>
          <w:color w:val="45130F" w:themeColor="background2"/>
          <w:sz w:val="20"/>
          <w:szCs w:val="20"/>
          <w:lang w:val="fr-BE"/>
        </w:rPr>
        <w:t xml:space="preserve"> </w:t>
      </w:r>
      <w:r w:rsidRPr="008038BB">
        <w:rPr>
          <w:rFonts w:asciiTheme="minorHAnsi" w:hAnsiTheme="minorHAnsi" w:cstheme="minorHAnsi"/>
          <w:color w:val="45130F" w:themeColor="background2"/>
          <w:sz w:val="20"/>
          <w:szCs w:val="20"/>
          <w:lang w:val="fr-FR"/>
        </w:rPr>
        <w:t>Au 2T17, les CdV ont augmenté de 3,2</w:t>
      </w:r>
      <w:r w:rsidRPr="008038BB">
        <w:rPr>
          <w:rFonts w:cstheme="minorHAnsi"/>
          <w:color w:val="45130F" w:themeColor="background2"/>
          <w:sz w:val="20"/>
          <w:szCs w:val="20"/>
          <w:lang w:val="fr-FR"/>
        </w:rPr>
        <w:t> </w:t>
      </w:r>
      <w:r w:rsidRPr="008038BB">
        <w:rPr>
          <w:rFonts w:asciiTheme="minorHAnsi" w:hAnsiTheme="minorHAnsi" w:cstheme="minorHAnsi"/>
          <w:color w:val="45130F" w:themeColor="background2"/>
          <w:sz w:val="20"/>
          <w:szCs w:val="20"/>
          <w:lang w:val="fr-FR"/>
        </w:rPr>
        <w:t>% et de 1,3</w:t>
      </w:r>
      <w:r w:rsidRPr="008038BB">
        <w:rPr>
          <w:rFonts w:cstheme="minorHAnsi"/>
          <w:color w:val="45130F" w:themeColor="background2"/>
          <w:sz w:val="20"/>
          <w:szCs w:val="20"/>
          <w:lang w:val="fr-FR"/>
        </w:rPr>
        <w:t> </w:t>
      </w:r>
      <w:r w:rsidRPr="008038BB">
        <w:rPr>
          <w:rFonts w:asciiTheme="minorHAnsi" w:hAnsiTheme="minorHAnsi" w:cstheme="minorHAnsi"/>
          <w:color w:val="45130F" w:themeColor="background2"/>
          <w:sz w:val="20"/>
          <w:szCs w:val="20"/>
          <w:lang w:val="fr-FR"/>
        </w:rPr>
        <w:t>% par hl.</w:t>
      </w:r>
      <w:r w:rsidRPr="00A86DC5">
        <w:rPr>
          <w:rFonts w:asciiTheme="minorHAnsi" w:hAnsiTheme="minorHAnsi" w:cstheme="minorHAnsi"/>
          <w:color w:val="45130F" w:themeColor="background2"/>
          <w:sz w:val="20"/>
          <w:szCs w:val="20"/>
          <w:lang w:val="fr-BE"/>
        </w:rPr>
        <w:t xml:space="preserve"> </w:t>
      </w:r>
      <w:r w:rsidRPr="008038BB">
        <w:rPr>
          <w:rFonts w:asciiTheme="minorHAnsi" w:hAnsiTheme="minorHAnsi" w:cstheme="minorHAnsi"/>
          <w:color w:val="45130F" w:themeColor="background2"/>
          <w:sz w:val="20"/>
          <w:szCs w:val="20"/>
          <w:lang w:val="fr-FR"/>
        </w:rPr>
        <w:t>Sur une base géographique constante, les CdV par hl ont augmenté de 2,2</w:t>
      </w:r>
      <w:r w:rsidRPr="008038BB">
        <w:rPr>
          <w:rFonts w:cstheme="minorHAnsi"/>
          <w:color w:val="45130F" w:themeColor="background2"/>
          <w:sz w:val="20"/>
          <w:szCs w:val="20"/>
          <w:lang w:val="fr-FR"/>
        </w:rPr>
        <w:t> </w:t>
      </w:r>
      <w:r w:rsidRPr="008038BB">
        <w:rPr>
          <w:rFonts w:asciiTheme="minorHAnsi" w:hAnsiTheme="minorHAnsi" w:cstheme="minorHAnsi"/>
          <w:color w:val="45130F" w:themeColor="background2"/>
          <w:sz w:val="20"/>
          <w:szCs w:val="20"/>
          <w:lang w:val="fr-FR"/>
        </w:rPr>
        <w:t xml:space="preserve">%, avec des économies </w:t>
      </w:r>
      <w:r w:rsidR="009B738A">
        <w:rPr>
          <w:rFonts w:asciiTheme="minorHAnsi" w:hAnsiTheme="minorHAnsi" w:cstheme="minorHAnsi"/>
          <w:color w:val="45130F" w:themeColor="background2"/>
          <w:sz w:val="20"/>
          <w:szCs w:val="20"/>
          <w:lang w:val="fr-FR"/>
        </w:rPr>
        <w:t xml:space="preserve">provenant des </w:t>
      </w:r>
      <w:r w:rsidRPr="008038BB">
        <w:rPr>
          <w:rFonts w:asciiTheme="minorHAnsi" w:hAnsiTheme="minorHAnsi" w:cstheme="minorHAnsi"/>
          <w:color w:val="45130F" w:themeColor="background2"/>
          <w:sz w:val="20"/>
          <w:szCs w:val="20"/>
          <w:lang w:val="fr-FR"/>
        </w:rPr>
        <w:t xml:space="preserve">synergies partiellement atténuées par l’impact </w:t>
      </w:r>
      <w:r w:rsidRPr="009B738A">
        <w:rPr>
          <w:rFonts w:asciiTheme="minorHAnsi" w:hAnsiTheme="minorHAnsi" w:cstheme="minorHAnsi"/>
          <w:color w:val="45130F" w:themeColor="background2"/>
          <w:sz w:val="20"/>
          <w:szCs w:val="20"/>
          <w:lang w:val="fr-FR"/>
        </w:rPr>
        <w:t xml:space="preserve">attendu </w:t>
      </w:r>
      <w:r w:rsidRPr="008038BB">
        <w:rPr>
          <w:rFonts w:asciiTheme="minorHAnsi" w:hAnsiTheme="minorHAnsi" w:cstheme="minorHAnsi"/>
          <w:color w:val="45130F" w:themeColor="background2"/>
          <w:sz w:val="20"/>
          <w:szCs w:val="20"/>
          <w:lang w:val="fr-FR"/>
        </w:rPr>
        <w:t xml:space="preserve">des effets de change et des coûts des matières premières en Amérique </w:t>
      </w:r>
      <w:r w:rsidR="009B738A">
        <w:rPr>
          <w:rFonts w:asciiTheme="minorHAnsi" w:hAnsiTheme="minorHAnsi" w:cstheme="minorHAnsi"/>
          <w:color w:val="45130F" w:themeColor="background2"/>
          <w:sz w:val="20"/>
          <w:szCs w:val="20"/>
          <w:lang w:val="fr-FR"/>
        </w:rPr>
        <w:t>latine</w:t>
      </w:r>
      <w:r w:rsidR="009B738A" w:rsidRPr="008038BB">
        <w:rPr>
          <w:rFonts w:asciiTheme="minorHAnsi" w:hAnsiTheme="minorHAnsi" w:cstheme="minorHAnsi"/>
          <w:color w:val="45130F" w:themeColor="background2"/>
          <w:sz w:val="20"/>
          <w:szCs w:val="20"/>
          <w:lang w:val="fr-FR"/>
        </w:rPr>
        <w:t xml:space="preserve"> </w:t>
      </w:r>
      <w:r w:rsidRPr="008038BB">
        <w:rPr>
          <w:rFonts w:asciiTheme="minorHAnsi" w:hAnsiTheme="minorHAnsi" w:cstheme="minorHAnsi"/>
          <w:color w:val="45130F" w:themeColor="background2"/>
          <w:sz w:val="20"/>
          <w:szCs w:val="20"/>
          <w:lang w:val="fr-FR"/>
        </w:rPr>
        <w:t>Nord et en Amérique latine Sud.</w:t>
      </w:r>
      <w:r w:rsidRPr="009B738A">
        <w:rPr>
          <w:rFonts w:asciiTheme="minorHAnsi" w:hAnsiTheme="minorHAnsi" w:cstheme="minorHAnsi"/>
          <w:color w:val="45130F" w:themeColor="background2"/>
          <w:sz w:val="20"/>
          <w:szCs w:val="20"/>
          <w:lang w:val="fr-FR"/>
        </w:rPr>
        <w:t xml:space="preserve"> </w:t>
      </w:r>
      <w:r w:rsidRPr="008038BB">
        <w:rPr>
          <w:rFonts w:asciiTheme="minorHAnsi" w:hAnsiTheme="minorHAnsi" w:cstheme="minorHAnsi"/>
          <w:color w:val="45130F" w:themeColor="background2"/>
          <w:sz w:val="20"/>
          <w:szCs w:val="20"/>
          <w:lang w:val="fr-FR"/>
        </w:rPr>
        <w:t>Au 1S17, les CdV ont augmenté de 4,3</w:t>
      </w:r>
      <w:r w:rsidRPr="009B738A">
        <w:rPr>
          <w:rFonts w:asciiTheme="minorHAnsi" w:hAnsiTheme="minorHAnsi" w:cstheme="minorHAnsi"/>
          <w:color w:val="45130F" w:themeColor="background2"/>
          <w:sz w:val="20"/>
          <w:szCs w:val="20"/>
          <w:lang w:val="fr-FR"/>
        </w:rPr>
        <w:t> </w:t>
      </w:r>
      <w:r w:rsidRPr="008038BB">
        <w:rPr>
          <w:rFonts w:asciiTheme="minorHAnsi" w:hAnsiTheme="minorHAnsi" w:cstheme="minorHAnsi"/>
          <w:color w:val="45130F" w:themeColor="background2"/>
          <w:sz w:val="20"/>
          <w:szCs w:val="20"/>
          <w:lang w:val="fr-FR"/>
        </w:rPr>
        <w:t>% et de 4,2</w:t>
      </w:r>
      <w:r w:rsidRPr="009B738A">
        <w:rPr>
          <w:rFonts w:asciiTheme="minorHAnsi" w:hAnsiTheme="minorHAnsi" w:cstheme="minorHAnsi"/>
          <w:color w:val="45130F" w:themeColor="background2"/>
          <w:sz w:val="20"/>
          <w:szCs w:val="20"/>
          <w:lang w:val="fr-FR"/>
        </w:rPr>
        <w:t> </w:t>
      </w:r>
      <w:r w:rsidRPr="008038BB">
        <w:rPr>
          <w:rFonts w:asciiTheme="minorHAnsi" w:hAnsiTheme="minorHAnsi" w:cstheme="minorHAnsi"/>
          <w:color w:val="45130F" w:themeColor="background2"/>
          <w:sz w:val="20"/>
          <w:szCs w:val="20"/>
          <w:lang w:val="fr-FR"/>
        </w:rPr>
        <w:t>% par hl.</w:t>
      </w:r>
      <w:r w:rsidRPr="009B738A">
        <w:rPr>
          <w:rFonts w:asciiTheme="minorHAnsi" w:hAnsiTheme="minorHAnsi" w:cstheme="minorHAnsi"/>
          <w:color w:val="45130F" w:themeColor="background2"/>
          <w:sz w:val="20"/>
          <w:szCs w:val="20"/>
          <w:lang w:val="fr-FR"/>
        </w:rPr>
        <w:t xml:space="preserve"> </w:t>
      </w:r>
      <w:r w:rsidRPr="008038BB">
        <w:rPr>
          <w:rFonts w:asciiTheme="minorHAnsi" w:hAnsiTheme="minorHAnsi" w:cstheme="minorHAnsi"/>
          <w:color w:val="45130F" w:themeColor="background2"/>
          <w:sz w:val="20"/>
          <w:szCs w:val="20"/>
          <w:lang w:val="fr-FR"/>
        </w:rPr>
        <w:t xml:space="preserve">Sur une base géographique constante, les CdV par hl ont augmenté de </w:t>
      </w:r>
      <w:r w:rsidRPr="009B738A">
        <w:rPr>
          <w:rFonts w:asciiTheme="minorHAnsi" w:hAnsiTheme="minorHAnsi" w:cstheme="minorHAnsi"/>
          <w:color w:val="45130F" w:themeColor="background2"/>
          <w:sz w:val="20"/>
          <w:szCs w:val="20"/>
          <w:lang w:val="fr-FR"/>
        </w:rPr>
        <w:t>4,</w:t>
      </w:r>
      <w:r w:rsidRPr="008038BB">
        <w:rPr>
          <w:rFonts w:asciiTheme="minorHAnsi" w:hAnsiTheme="minorHAnsi" w:cstheme="minorHAnsi"/>
          <w:color w:val="45130F" w:themeColor="background2"/>
          <w:sz w:val="20"/>
          <w:szCs w:val="20"/>
          <w:lang w:val="fr-FR"/>
        </w:rPr>
        <w:t xml:space="preserve">3 % au </w:t>
      </w:r>
      <w:r w:rsidRPr="009B738A">
        <w:rPr>
          <w:rFonts w:asciiTheme="minorHAnsi" w:hAnsiTheme="minorHAnsi" w:cstheme="minorHAnsi"/>
          <w:color w:val="45130F" w:themeColor="background2"/>
          <w:sz w:val="20"/>
          <w:szCs w:val="20"/>
          <w:lang w:val="fr-FR"/>
        </w:rPr>
        <w:t>1S17</w:t>
      </w:r>
      <w:r w:rsidRPr="008038BB">
        <w:rPr>
          <w:rFonts w:asciiTheme="minorHAnsi" w:hAnsiTheme="minorHAnsi" w:cstheme="minorHAnsi"/>
          <w:color w:val="45130F" w:themeColor="background2"/>
          <w:sz w:val="20"/>
          <w:szCs w:val="20"/>
          <w:lang w:val="fr-FR"/>
        </w:rPr>
        <w:t>.</w:t>
      </w:r>
    </w:p>
    <w:p w14:paraId="71310C07" w14:textId="677AA8DA" w:rsidR="008038BB" w:rsidRPr="00A86DC5" w:rsidRDefault="008038BB" w:rsidP="008038BB">
      <w:pPr>
        <w:numPr>
          <w:ilvl w:val="0"/>
          <w:numId w:val="1"/>
        </w:numPr>
        <w:spacing w:after="120" w:line="240" w:lineRule="auto"/>
        <w:ind w:left="357" w:hanging="357"/>
        <w:jc w:val="both"/>
        <w:rPr>
          <w:rFonts w:cstheme="minorHAnsi"/>
          <w:color w:val="45130F" w:themeColor="background2"/>
          <w:sz w:val="20"/>
          <w:szCs w:val="20"/>
          <w:lang w:val="fr-BE"/>
        </w:rPr>
      </w:pPr>
      <w:r w:rsidRPr="008038BB">
        <w:rPr>
          <w:rFonts w:cstheme="minorHAnsi"/>
          <w:b/>
          <w:color w:val="45130F" w:themeColor="background2"/>
          <w:sz w:val="20"/>
          <w:szCs w:val="20"/>
          <w:lang w:val="fr-FR"/>
        </w:rPr>
        <w:t>EBITDA :</w:t>
      </w:r>
      <w:r w:rsidRPr="00A86DC5">
        <w:rPr>
          <w:rFonts w:cstheme="minorHAnsi"/>
          <w:b/>
          <w:color w:val="45130F" w:themeColor="background2"/>
          <w:sz w:val="20"/>
          <w:szCs w:val="20"/>
          <w:lang w:val="fr-BE"/>
        </w:rPr>
        <w:t xml:space="preserve"> </w:t>
      </w:r>
      <w:r w:rsidRPr="008038BB">
        <w:rPr>
          <w:rFonts w:cstheme="minorHAnsi"/>
          <w:color w:val="45130F" w:themeColor="background2"/>
          <w:sz w:val="20"/>
          <w:szCs w:val="20"/>
          <w:lang w:val="fr-FR"/>
        </w:rPr>
        <w:t xml:space="preserve">L’EBITDA affiche une hausse de 11,8 % grâce à la croissance saine des produits, renforcée par </w:t>
      </w:r>
      <w:r w:rsidR="00F75CC3" w:rsidRPr="00D13FBB">
        <w:rPr>
          <w:rFonts w:cstheme="minorHAnsi"/>
          <w:color w:val="45130F" w:themeColor="background2"/>
          <w:sz w:val="20"/>
          <w:szCs w:val="20"/>
          <w:lang w:val="fr-FR"/>
        </w:rPr>
        <w:t>la réalisation</w:t>
      </w:r>
      <w:r w:rsidRPr="00B029C5">
        <w:rPr>
          <w:rFonts w:cstheme="minorHAnsi"/>
          <w:color w:val="45130F" w:themeColor="background2"/>
          <w:sz w:val="20"/>
          <w:szCs w:val="20"/>
          <w:lang w:val="fr-FR"/>
        </w:rPr>
        <w:t xml:space="preserve"> des synergies</w:t>
      </w:r>
      <w:r w:rsidRPr="005C5270">
        <w:rPr>
          <w:rFonts w:cstheme="minorHAnsi"/>
          <w:color w:val="45130F" w:themeColor="background2"/>
          <w:sz w:val="20"/>
          <w:szCs w:val="20"/>
          <w:lang w:val="fr-FR"/>
        </w:rPr>
        <w:t>,</w:t>
      </w:r>
      <w:r w:rsidRPr="008038BB">
        <w:rPr>
          <w:rFonts w:cstheme="minorHAnsi"/>
          <w:color w:val="45130F" w:themeColor="background2"/>
          <w:sz w:val="20"/>
          <w:szCs w:val="20"/>
          <w:lang w:val="fr-FR"/>
        </w:rPr>
        <w:t xml:space="preserve"> et partiellement atténuée par la pression </w:t>
      </w:r>
      <w:r w:rsidR="00CA53A9">
        <w:rPr>
          <w:rFonts w:cstheme="minorHAnsi"/>
          <w:color w:val="45130F" w:themeColor="background2"/>
          <w:sz w:val="20"/>
          <w:szCs w:val="20"/>
          <w:lang w:val="fr-FR"/>
        </w:rPr>
        <w:t>sur les</w:t>
      </w:r>
      <w:r w:rsidR="00CA53A9" w:rsidRPr="008038BB">
        <w:rPr>
          <w:rFonts w:cstheme="minorHAnsi"/>
          <w:color w:val="45130F" w:themeColor="background2"/>
          <w:sz w:val="20"/>
          <w:szCs w:val="20"/>
          <w:lang w:val="fr-FR"/>
        </w:rPr>
        <w:t xml:space="preserve"> </w:t>
      </w:r>
      <w:r w:rsidRPr="008038BB">
        <w:rPr>
          <w:rFonts w:cstheme="minorHAnsi"/>
          <w:color w:val="45130F" w:themeColor="background2"/>
          <w:sz w:val="20"/>
          <w:szCs w:val="20"/>
          <w:lang w:val="fr-FR"/>
        </w:rPr>
        <w:t>CdV, comme prévu.</w:t>
      </w:r>
      <w:r w:rsidRPr="00A86DC5">
        <w:rPr>
          <w:rFonts w:cstheme="minorHAnsi"/>
          <w:color w:val="45130F" w:themeColor="background2"/>
          <w:sz w:val="20"/>
          <w:szCs w:val="20"/>
          <w:lang w:val="fr-BE"/>
        </w:rPr>
        <w:t xml:space="preserve"> </w:t>
      </w:r>
      <w:r w:rsidRPr="008038BB">
        <w:rPr>
          <w:rFonts w:cstheme="minorHAnsi"/>
          <w:color w:val="45130F" w:themeColor="background2"/>
          <w:sz w:val="20"/>
          <w:szCs w:val="20"/>
          <w:lang w:val="fr-FR"/>
        </w:rPr>
        <w:t>Les marges EBITDA ont progressé de 238 points de base pour atteindre 37,7 %.</w:t>
      </w:r>
      <w:r w:rsidRPr="00A86DC5">
        <w:rPr>
          <w:rFonts w:cstheme="minorHAnsi"/>
          <w:color w:val="45130F" w:themeColor="background2"/>
          <w:sz w:val="20"/>
          <w:szCs w:val="20"/>
          <w:lang w:val="fr-BE"/>
        </w:rPr>
        <w:t xml:space="preserve"> </w:t>
      </w:r>
      <w:r w:rsidRPr="008038BB">
        <w:rPr>
          <w:rFonts w:cstheme="minorHAnsi"/>
          <w:color w:val="45130F" w:themeColor="background2"/>
          <w:sz w:val="20"/>
          <w:szCs w:val="20"/>
          <w:lang w:val="fr-FR"/>
        </w:rPr>
        <w:t>L’EBITDA a augmenté de 9,0 % au 1S17 avec un accroissement de la marge de 161 points de base à 37,5 %.</w:t>
      </w:r>
    </w:p>
    <w:p w14:paraId="113D41A0" w14:textId="67AC9DD1" w:rsidR="00B71C8B" w:rsidRPr="00A86DC5" w:rsidRDefault="008038BB" w:rsidP="00B71C8B">
      <w:pPr>
        <w:numPr>
          <w:ilvl w:val="0"/>
          <w:numId w:val="1"/>
        </w:numPr>
        <w:spacing w:after="120" w:line="240" w:lineRule="auto"/>
        <w:jc w:val="both"/>
        <w:rPr>
          <w:rFonts w:cstheme="minorHAnsi"/>
          <w:bCs/>
          <w:color w:val="45130F" w:themeColor="background2"/>
          <w:sz w:val="20"/>
          <w:szCs w:val="20"/>
          <w:lang w:val="fr-BE"/>
        </w:rPr>
      </w:pPr>
      <w:r w:rsidRPr="008038BB">
        <w:rPr>
          <w:rFonts w:cstheme="minorHAnsi"/>
          <w:b/>
          <w:color w:val="45130F" w:themeColor="background2"/>
          <w:sz w:val="20"/>
          <w:szCs w:val="20"/>
          <w:lang w:val="fr-FR"/>
        </w:rPr>
        <w:t>Résultats financiers nets :</w:t>
      </w:r>
      <w:r w:rsidRPr="00A86DC5">
        <w:rPr>
          <w:rFonts w:cstheme="minorHAnsi"/>
          <w:b/>
          <w:color w:val="45130F" w:themeColor="background2"/>
          <w:sz w:val="20"/>
          <w:szCs w:val="20"/>
          <w:lang w:val="fr-BE"/>
        </w:rPr>
        <w:t xml:space="preserve"> </w:t>
      </w:r>
      <w:r w:rsidR="00B71C8B" w:rsidRPr="00B71C8B">
        <w:rPr>
          <w:rFonts w:cstheme="minorHAnsi"/>
          <w:color w:val="45130F" w:themeColor="background2"/>
          <w:sz w:val="20"/>
          <w:szCs w:val="20"/>
          <w:lang w:val="fr-FR"/>
        </w:rPr>
        <w:t>Les coûts financiers nets (hors coûts financiers nets non-récurrents) sont passés de 726 millions d’USD au 2T16 à 1</w:t>
      </w:r>
      <w:r w:rsidR="006C1FA3">
        <w:rPr>
          <w:rFonts w:cstheme="minorHAnsi"/>
          <w:color w:val="45130F" w:themeColor="background2"/>
          <w:sz w:val="20"/>
          <w:szCs w:val="20"/>
          <w:lang w:val="fr-FR"/>
        </w:rPr>
        <w:t xml:space="preserve"> </w:t>
      </w:r>
      <w:r w:rsidR="00B71C8B" w:rsidRPr="00B71C8B">
        <w:rPr>
          <w:rFonts w:cstheme="minorHAnsi"/>
          <w:color w:val="45130F" w:themeColor="background2"/>
          <w:sz w:val="20"/>
          <w:szCs w:val="20"/>
          <w:lang w:val="fr-FR"/>
        </w:rPr>
        <w:t>628 millions d’USD au 2T17, cette hausse étant principalement due à des pertes à la valeur de marché de 265 millions d’USD au 2T17 liées à la couverture de nos programmes de paiements fondés sur des actions, par rapport à un gain de 444 millions d’USD au 2T16</w:t>
      </w:r>
      <w:r w:rsidR="00FC6BBB">
        <w:rPr>
          <w:rFonts w:cstheme="minorHAnsi"/>
          <w:color w:val="45130F" w:themeColor="background2"/>
          <w:sz w:val="20"/>
          <w:szCs w:val="20"/>
          <w:lang w:val="fr-FR"/>
        </w:rPr>
        <w:t>, correspondant à un écart de 709 millions d’USD</w:t>
      </w:r>
      <w:r w:rsidR="00B71C8B" w:rsidRPr="00B71C8B">
        <w:rPr>
          <w:rFonts w:cstheme="minorHAnsi"/>
          <w:color w:val="45130F" w:themeColor="background2"/>
          <w:sz w:val="20"/>
          <w:szCs w:val="20"/>
          <w:lang w:val="fr-FR"/>
        </w:rPr>
        <w:t>.</w:t>
      </w:r>
      <w:r w:rsidR="00B71C8B" w:rsidRPr="00A86DC5">
        <w:rPr>
          <w:rFonts w:cstheme="minorHAnsi"/>
          <w:bCs/>
          <w:color w:val="45130F" w:themeColor="background2"/>
          <w:sz w:val="20"/>
          <w:szCs w:val="20"/>
          <w:lang w:val="fr-BE"/>
        </w:rPr>
        <w:t xml:space="preserve"> </w:t>
      </w:r>
      <w:r w:rsidR="00B71C8B" w:rsidRPr="00B71C8B">
        <w:rPr>
          <w:rFonts w:cstheme="minorHAnsi"/>
          <w:bCs/>
          <w:color w:val="45130F" w:themeColor="background2"/>
          <w:sz w:val="20"/>
          <w:szCs w:val="20"/>
          <w:lang w:val="fr-FR"/>
        </w:rPr>
        <w:t>Les coûts financiers nets s’élèvent à 3</w:t>
      </w:r>
      <w:r w:rsidR="006C1FA3">
        <w:rPr>
          <w:rFonts w:cstheme="minorHAnsi"/>
          <w:bCs/>
          <w:color w:val="45130F" w:themeColor="background2"/>
          <w:sz w:val="20"/>
          <w:szCs w:val="20"/>
          <w:lang w:val="fr-FR"/>
        </w:rPr>
        <w:t xml:space="preserve"> </w:t>
      </w:r>
      <w:r w:rsidR="00B71C8B" w:rsidRPr="00B71C8B">
        <w:rPr>
          <w:rFonts w:cstheme="minorHAnsi"/>
          <w:bCs/>
          <w:color w:val="45130F" w:themeColor="background2"/>
          <w:sz w:val="20"/>
          <w:szCs w:val="20"/>
          <w:lang w:val="fr-FR"/>
        </w:rPr>
        <w:t>120 millions d’USD au 1S17, alors qu’ils étaient de 1</w:t>
      </w:r>
      <w:r w:rsidR="00CF0150">
        <w:rPr>
          <w:rFonts w:cstheme="minorHAnsi"/>
          <w:bCs/>
          <w:color w:val="45130F" w:themeColor="background2"/>
          <w:sz w:val="20"/>
          <w:szCs w:val="20"/>
          <w:lang w:val="fr-FR"/>
        </w:rPr>
        <w:t xml:space="preserve"> </w:t>
      </w:r>
      <w:r w:rsidR="00B71C8B" w:rsidRPr="00B71C8B">
        <w:rPr>
          <w:rFonts w:cstheme="minorHAnsi"/>
          <w:bCs/>
          <w:color w:val="45130F" w:themeColor="background2"/>
          <w:sz w:val="20"/>
          <w:szCs w:val="20"/>
          <w:lang w:val="fr-FR"/>
        </w:rPr>
        <w:t>945 millions d’USD au 1S16.</w:t>
      </w:r>
    </w:p>
    <w:p w14:paraId="2E72BC73" w14:textId="642F46F8" w:rsidR="00B71C8B" w:rsidRPr="00A86DC5" w:rsidRDefault="00B71C8B" w:rsidP="00B71C8B">
      <w:pPr>
        <w:numPr>
          <w:ilvl w:val="0"/>
          <w:numId w:val="1"/>
        </w:numPr>
        <w:spacing w:after="120" w:line="240" w:lineRule="auto"/>
        <w:jc w:val="both"/>
        <w:rPr>
          <w:rFonts w:cstheme="minorHAnsi"/>
          <w:color w:val="45130F" w:themeColor="background2"/>
          <w:sz w:val="20"/>
          <w:szCs w:val="20"/>
          <w:lang w:val="fr-BE"/>
        </w:rPr>
      </w:pPr>
      <w:r w:rsidRPr="00B71C8B">
        <w:rPr>
          <w:rFonts w:cstheme="minorHAnsi"/>
          <w:b/>
          <w:color w:val="45130F" w:themeColor="background2"/>
          <w:sz w:val="20"/>
          <w:szCs w:val="20"/>
          <w:lang w:val="fr-FR"/>
        </w:rPr>
        <w:t>Impôt sur le résultat :</w:t>
      </w:r>
      <w:r w:rsidRPr="00A86DC5">
        <w:rPr>
          <w:rFonts w:cstheme="minorHAnsi"/>
          <w:b/>
          <w:color w:val="45130F" w:themeColor="background2"/>
          <w:sz w:val="20"/>
          <w:szCs w:val="20"/>
          <w:lang w:val="fr-BE"/>
        </w:rPr>
        <w:t xml:space="preserve"> </w:t>
      </w:r>
      <w:r w:rsidRPr="00B71C8B">
        <w:rPr>
          <w:rFonts w:cstheme="minorHAnsi"/>
          <w:color w:val="45130F" w:themeColor="background2"/>
          <w:sz w:val="20"/>
          <w:szCs w:val="20"/>
          <w:lang w:val="fr-FR"/>
        </w:rPr>
        <w:t>L’impôt sur le résultat du 2T17 s’élève à 575 millions d’USD, avec un taux d’imposition effectif (TIE) normalisé de 21,3 %, alors qu’il était de 497 millions d’USD au 2T16, avec un TIE normalisé de 20,5 %.</w:t>
      </w:r>
      <w:r w:rsidRPr="00A86DC5">
        <w:rPr>
          <w:rFonts w:cstheme="minorHAnsi"/>
          <w:color w:val="45130F" w:themeColor="background2"/>
          <w:sz w:val="20"/>
          <w:szCs w:val="20"/>
          <w:lang w:val="fr-BE"/>
        </w:rPr>
        <w:t xml:space="preserve"> </w:t>
      </w:r>
      <w:r w:rsidRPr="00B71C8B">
        <w:rPr>
          <w:rFonts w:cstheme="minorHAnsi"/>
          <w:color w:val="45130F" w:themeColor="background2"/>
          <w:sz w:val="20"/>
          <w:szCs w:val="20"/>
          <w:lang w:val="fr-FR"/>
        </w:rPr>
        <w:t>Le TIE normalisé était de 20,9 % au 1S17, par rapport à 21,5 % au 1S16.</w:t>
      </w:r>
    </w:p>
    <w:p w14:paraId="3766A81D" w14:textId="6682E340" w:rsidR="00B71C8B" w:rsidRPr="00A86DC5" w:rsidRDefault="00B71C8B" w:rsidP="00B71C8B">
      <w:pPr>
        <w:numPr>
          <w:ilvl w:val="0"/>
          <w:numId w:val="1"/>
        </w:numPr>
        <w:spacing w:after="120" w:line="240" w:lineRule="auto"/>
        <w:jc w:val="both"/>
        <w:rPr>
          <w:rFonts w:cstheme="minorHAnsi"/>
          <w:color w:val="45130F" w:themeColor="background2"/>
          <w:sz w:val="20"/>
          <w:szCs w:val="20"/>
          <w:lang w:val="fr-BE"/>
        </w:rPr>
      </w:pPr>
      <w:r w:rsidRPr="00B71C8B">
        <w:rPr>
          <w:rFonts w:cstheme="minorHAnsi"/>
          <w:b/>
          <w:color w:val="45130F" w:themeColor="background2"/>
          <w:sz w:val="20"/>
          <w:szCs w:val="20"/>
          <w:lang w:val="fr-FR"/>
        </w:rPr>
        <w:t>Bénéfice :</w:t>
      </w:r>
      <w:r w:rsidRPr="00A86DC5">
        <w:rPr>
          <w:rFonts w:cstheme="minorHAnsi"/>
          <w:b/>
          <w:color w:val="45130F" w:themeColor="background2"/>
          <w:sz w:val="20"/>
          <w:szCs w:val="20"/>
          <w:lang w:val="fr-BE"/>
        </w:rPr>
        <w:t xml:space="preserve"> </w:t>
      </w:r>
      <w:r w:rsidRPr="00B71C8B">
        <w:rPr>
          <w:rFonts w:cstheme="minorHAnsi"/>
          <w:color w:val="45130F" w:themeColor="background2"/>
          <w:sz w:val="20"/>
          <w:szCs w:val="20"/>
          <w:lang w:val="fr-FR"/>
        </w:rPr>
        <w:t>Le bénéfice normalisé attribuable aux porteurs des capitaux propres d’AB InBev est passé de 1</w:t>
      </w:r>
      <w:r w:rsidR="00CF0150">
        <w:rPr>
          <w:rFonts w:cstheme="minorHAnsi"/>
          <w:color w:val="45130F" w:themeColor="background2"/>
          <w:sz w:val="20"/>
          <w:szCs w:val="20"/>
          <w:lang w:val="fr-FR"/>
        </w:rPr>
        <w:t xml:space="preserve"> </w:t>
      </w:r>
      <w:r w:rsidRPr="00B71C8B">
        <w:rPr>
          <w:rFonts w:cstheme="minorHAnsi"/>
          <w:color w:val="45130F" w:themeColor="background2"/>
          <w:sz w:val="20"/>
          <w:szCs w:val="20"/>
          <w:lang w:val="fr-FR"/>
        </w:rPr>
        <w:t>727 millions d’USD au 2T16 à 1</w:t>
      </w:r>
      <w:r w:rsidR="00CF0150">
        <w:rPr>
          <w:rFonts w:cstheme="minorHAnsi"/>
          <w:color w:val="45130F" w:themeColor="background2"/>
          <w:sz w:val="20"/>
          <w:szCs w:val="20"/>
          <w:lang w:val="fr-FR"/>
        </w:rPr>
        <w:t xml:space="preserve"> </w:t>
      </w:r>
      <w:r w:rsidRPr="00B71C8B">
        <w:rPr>
          <w:rFonts w:cstheme="minorHAnsi"/>
          <w:color w:val="45130F" w:themeColor="background2"/>
          <w:sz w:val="20"/>
          <w:szCs w:val="20"/>
          <w:lang w:val="fr-FR"/>
        </w:rPr>
        <w:t>872 millions d’USD au 2T17, avec une croissance interne de l’EBITDA partiellement atténuée par une hausse des coûts financiers nets.</w:t>
      </w:r>
      <w:r w:rsidRPr="00A86DC5">
        <w:rPr>
          <w:rFonts w:cstheme="minorHAnsi"/>
          <w:color w:val="45130F" w:themeColor="background2"/>
          <w:sz w:val="20"/>
          <w:szCs w:val="20"/>
          <w:lang w:val="fr-BE"/>
        </w:rPr>
        <w:t xml:space="preserve"> </w:t>
      </w:r>
      <w:r w:rsidRPr="00B71C8B">
        <w:rPr>
          <w:rFonts w:cstheme="minorHAnsi"/>
          <w:color w:val="45130F" w:themeColor="background2"/>
          <w:sz w:val="20"/>
          <w:szCs w:val="20"/>
          <w:lang w:val="fr-FR"/>
        </w:rPr>
        <w:t xml:space="preserve">Le bénéfice normalisé </w:t>
      </w:r>
      <w:r w:rsidRPr="00B71C8B">
        <w:rPr>
          <w:rFonts w:cstheme="minorHAnsi"/>
          <w:color w:val="45130F" w:themeColor="background2"/>
          <w:sz w:val="20"/>
          <w:szCs w:val="20"/>
          <w:lang w:val="fr-FR"/>
        </w:rPr>
        <w:lastRenderedPageBreak/>
        <w:t>attribuable aux porteurs de capitaux propres d’AB InBev a augmenté, passant de 2</w:t>
      </w:r>
      <w:r w:rsidR="00CF0150">
        <w:rPr>
          <w:rFonts w:cstheme="minorHAnsi"/>
          <w:color w:val="45130F" w:themeColor="background2"/>
          <w:sz w:val="20"/>
          <w:szCs w:val="20"/>
          <w:lang w:val="fr-FR"/>
        </w:rPr>
        <w:t xml:space="preserve"> </w:t>
      </w:r>
      <w:r w:rsidRPr="00B71C8B">
        <w:rPr>
          <w:rFonts w:cstheme="minorHAnsi"/>
          <w:color w:val="45130F" w:themeColor="background2"/>
          <w:sz w:val="20"/>
          <w:szCs w:val="20"/>
          <w:lang w:val="fr-FR"/>
        </w:rPr>
        <w:t>571 millions d’USD au 1S16 à 3</w:t>
      </w:r>
      <w:r w:rsidR="00CF0150">
        <w:rPr>
          <w:rFonts w:cstheme="minorHAnsi"/>
          <w:color w:val="45130F" w:themeColor="background2"/>
          <w:sz w:val="20"/>
          <w:szCs w:val="20"/>
          <w:lang w:val="fr-FR"/>
        </w:rPr>
        <w:t xml:space="preserve"> </w:t>
      </w:r>
      <w:r w:rsidRPr="00B71C8B">
        <w:rPr>
          <w:rFonts w:cstheme="minorHAnsi"/>
          <w:color w:val="45130F" w:themeColor="background2"/>
          <w:sz w:val="20"/>
          <w:szCs w:val="20"/>
          <w:lang w:val="fr-FR"/>
        </w:rPr>
        <w:t>331 millions d’USD au 1S17.</w:t>
      </w:r>
    </w:p>
    <w:p w14:paraId="08A104D3" w14:textId="23F66D59" w:rsidR="00B71C8B" w:rsidRPr="00A86DC5" w:rsidRDefault="00B71C8B" w:rsidP="00B71C8B">
      <w:pPr>
        <w:numPr>
          <w:ilvl w:val="0"/>
          <w:numId w:val="1"/>
        </w:numPr>
        <w:spacing w:after="120" w:line="240" w:lineRule="auto"/>
        <w:jc w:val="both"/>
        <w:rPr>
          <w:rFonts w:cstheme="minorHAnsi"/>
          <w:color w:val="45130F" w:themeColor="background2"/>
          <w:sz w:val="20"/>
          <w:szCs w:val="20"/>
          <w:lang w:val="fr-BE"/>
        </w:rPr>
      </w:pPr>
      <w:r w:rsidRPr="00B71C8B">
        <w:rPr>
          <w:rFonts w:cstheme="minorHAnsi"/>
          <w:b/>
          <w:color w:val="45130F" w:themeColor="background2"/>
          <w:sz w:val="20"/>
          <w:szCs w:val="20"/>
          <w:lang w:val="fr-FR"/>
        </w:rPr>
        <w:t>Bénéfice par action :</w:t>
      </w:r>
      <w:r w:rsidRPr="00A86DC5">
        <w:rPr>
          <w:rFonts w:cstheme="minorHAnsi"/>
          <w:b/>
          <w:color w:val="45130F" w:themeColor="background2"/>
          <w:sz w:val="20"/>
          <w:szCs w:val="20"/>
          <w:lang w:val="fr-BE"/>
        </w:rPr>
        <w:t xml:space="preserve"> </w:t>
      </w:r>
      <w:r w:rsidRPr="00B71C8B">
        <w:rPr>
          <w:rFonts w:cstheme="minorHAnsi"/>
          <w:color w:val="45130F" w:themeColor="background2"/>
          <w:sz w:val="20"/>
          <w:szCs w:val="20"/>
          <w:lang w:val="fr-FR"/>
        </w:rPr>
        <w:t>Le bénéfice par action (BPA) normalisé a diminué, passant de 1,06 USD au 2T16 à 0,95 USD au 2T17, la hausse des bénéfices étant plus qu’atténuée par l’impact négatif des ajustements à la valeur de marché lié à la couverture de nos programmes de paiements fondés sur des actions et par l’augmentation du nombre d’actions en circulation.</w:t>
      </w:r>
      <w:r w:rsidRPr="00A86DC5">
        <w:rPr>
          <w:rFonts w:cstheme="minorHAnsi"/>
          <w:color w:val="45130F" w:themeColor="background2"/>
          <w:sz w:val="20"/>
          <w:szCs w:val="20"/>
          <w:lang w:val="fr-BE"/>
        </w:rPr>
        <w:t xml:space="preserve"> </w:t>
      </w:r>
      <w:r w:rsidRPr="00B71C8B">
        <w:rPr>
          <w:rFonts w:cstheme="minorHAnsi"/>
          <w:color w:val="45130F" w:themeColor="background2"/>
          <w:sz w:val="20"/>
          <w:szCs w:val="20"/>
          <w:lang w:val="fr-FR"/>
        </w:rPr>
        <w:t>Le Bénéfice par action (BPA) normalisé a progressé, passant de 1,57 USD au 1S16 à 1,69 USD au 1S17.</w:t>
      </w:r>
    </w:p>
    <w:p w14:paraId="68949C8B" w14:textId="7FBBD732" w:rsidR="00B71C8B" w:rsidRPr="00A86DC5" w:rsidRDefault="00B71C8B" w:rsidP="00B71C8B">
      <w:pPr>
        <w:numPr>
          <w:ilvl w:val="0"/>
          <w:numId w:val="1"/>
        </w:numPr>
        <w:spacing w:after="120" w:line="240" w:lineRule="auto"/>
        <w:jc w:val="both"/>
        <w:rPr>
          <w:rFonts w:cstheme="minorHAnsi"/>
          <w:color w:val="45130F" w:themeColor="background2"/>
          <w:sz w:val="20"/>
          <w:szCs w:val="20"/>
          <w:lang w:val="fr-BE"/>
        </w:rPr>
      </w:pPr>
      <w:r w:rsidRPr="00B71C8B">
        <w:rPr>
          <w:rFonts w:cstheme="minorHAnsi"/>
          <w:b/>
          <w:color w:val="45130F" w:themeColor="background2"/>
          <w:sz w:val="20"/>
          <w:szCs w:val="20"/>
          <w:lang w:val="fr-FR"/>
        </w:rPr>
        <w:t>Rapprochement avec SAB :</w:t>
      </w:r>
      <w:r w:rsidRPr="00A86DC5">
        <w:rPr>
          <w:rFonts w:cstheme="minorHAnsi"/>
          <w:color w:val="45130F" w:themeColor="background2"/>
          <w:sz w:val="20"/>
          <w:szCs w:val="20"/>
          <w:lang w:val="fr-BE"/>
        </w:rPr>
        <w:t xml:space="preserve"> </w:t>
      </w:r>
      <w:r w:rsidRPr="00B71C8B">
        <w:rPr>
          <w:rFonts w:cstheme="minorHAnsi"/>
          <w:color w:val="45130F" w:themeColor="background2"/>
          <w:sz w:val="20"/>
          <w:szCs w:val="20"/>
          <w:lang w:val="fr-FR"/>
        </w:rPr>
        <w:t>L'intégration avance bien, et a généré 335 millions d'USD de synergies et d’économies de coûts au 2T17.</w:t>
      </w:r>
    </w:p>
    <w:p w14:paraId="64554769" w14:textId="7338BFBF" w:rsidR="00B71C8B" w:rsidRPr="00D13FBB" w:rsidRDefault="00B71C8B" w:rsidP="00B71C8B">
      <w:pPr>
        <w:numPr>
          <w:ilvl w:val="0"/>
          <w:numId w:val="1"/>
        </w:numPr>
        <w:spacing w:after="120" w:line="240" w:lineRule="auto"/>
        <w:jc w:val="both"/>
        <w:rPr>
          <w:rFonts w:cstheme="minorHAnsi"/>
          <w:color w:val="45130F" w:themeColor="background2"/>
          <w:sz w:val="20"/>
          <w:szCs w:val="20"/>
          <w:lang w:val="fr-BE"/>
        </w:rPr>
      </w:pPr>
      <w:r w:rsidRPr="00B71C8B">
        <w:rPr>
          <w:rFonts w:cstheme="minorHAnsi"/>
          <w:b/>
          <w:color w:val="45130F" w:themeColor="background2"/>
          <w:sz w:val="20"/>
          <w:szCs w:val="20"/>
          <w:lang w:val="fr-FR"/>
        </w:rPr>
        <w:t>Rapport financier semestriel 2017 :</w:t>
      </w:r>
      <w:r w:rsidRPr="00A86DC5">
        <w:rPr>
          <w:rFonts w:cstheme="minorHAnsi"/>
          <w:color w:val="45130F" w:themeColor="background2"/>
          <w:sz w:val="20"/>
          <w:szCs w:val="20"/>
          <w:lang w:val="fr-BE"/>
        </w:rPr>
        <w:t xml:space="preserve"> </w:t>
      </w:r>
      <w:r w:rsidRPr="00B71C8B">
        <w:rPr>
          <w:rFonts w:cstheme="minorHAnsi"/>
          <w:color w:val="45130F" w:themeColor="background2"/>
          <w:sz w:val="20"/>
          <w:szCs w:val="20"/>
          <w:lang w:val="fr-FR"/>
        </w:rPr>
        <w:t xml:space="preserve">Ce rapport est disponible sur notre site web </w:t>
      </w:r>
      <w:r w:rsidR="00F776A9" w:rsidRPr="00D13FBB">
        <w:rPr>
          <w:rFonts w:cstheme="minorHAnsi"/>
          <w:color w:val="45130F" w:themeColor="background2"/>
          <w:sz w:val="20"/>
          <w:szCs w:val="20"/>
          <w:lang w:val="fr-FR"/>
        </w:rPr>
        <w:t>www.ab-inbev.com</w:t>
      </w:r>
      <w:r w:rsidRPr="00B71C8B">
        <w:rPr>
          <w:rFonts w:cstheme="minorHAnsi"/>
          <w:color w:val="45130F" w:themeColor="background2"/>
          <w:sz w:val="20"/>
          <w:szCs w:val="20"/>
          <w:lang w:val="fr-FR"/>
        </w:rPr>
        <w:t>.</w:t>
      </w:r>
    </w:p>
    <w:p w14:paraId="0CA07EB5" w14:textId="77777777" w:rsidR="00F776A9" w:rsidRPr="00A86DC5" w:rsidRDefault="00F776A9" w:rsidP="00D13FBB">
      <w:pPr>
        <w:spacing w:after="120" w:line="240" w:lineRule="auto"/>
        <w:ind w:left="360"/>
        <w:jc w:val="both"/>
        <w:rPr>
          <w:rFonts w:cstheme="minorHAnsi"/>
          <w:color w:val="45130F" w:themeColor="background2"/>
          <w:sz w:val="20"/>
          <w:szCs w:val="20"/>
          <w:lang w:val="fr-BE"/>
        </w:rPr>
      </w:pPr>
    </w:p>
    <w:p w14:paraId="6855C11F" w14:textId="0E227EF5" w:rsidR="00190020" w:rsidRDefault="00DF6B12" w:rsidP="00AB5337">
      <w:pPr>
        <w:spacing w:after="0" w:line="240" w:lineRule="auto"/>
        <w:rPr>
          <w:rFonts w:eastAsia="Times New Roman" w:cstheme="minorHAnsi"/>
          <w:color w:val="45130F" w:themeColor="background2"/>
          <w:sz w:val="20"/>
          <w:szCs w:val="20"/>
        </w:rPr>
      </w:pPr>
      <w:r w:rsidRPr="00DF6B12">
        <w:rPr>
          <w:noProof/>
        </w:rPr>
        <w:drawing>
          <wp:inline distT="0" distB="0" distL="0" distR="0" wp14:anchorId="54FE1818" wp14:editId="413ACEF1">
            <wp:extent cx="5943600" cy="2322219"/>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322219"/>
                    </a:xfrm>
                    <a:prstGeom prst="rect">
                      <a:avLst/>
                    </a:prstGeom>
                    <a:noFill/>
                    <a:ln>
                      <a:noFill/>
                    </a:ln>
                  </pic:spPr>
                </pic:pic>
              </a:graphicData>
            </a:graphic>
          </wp:inline>
        </w:drawing>
      </w:r>
    </w:p>
    <w:p w14:paraId="68F4D1F0" w14:textId="77777777" w:rsidR="00190020" w:rsidRDefault="00190020" w:rsidP="00AB5337">
      <w:pPr>
        <w:spacing w:after="0" w:line="240" w:lineRule="auto"/>
        <w:rPr>
          <w:noProof/>
        </w:rPr>
      </w:pPr>
    </w:p>
    <w:p w14:paraId="7E978A4F" w14:textId="00F0D110" w:rsidR="00B029C5" w:rsidRDefault="00B029C5" w:rsidP="00AB5337">
      <w:pPr>
        <w:spacing w:after="0" w:line="240" w:lineRule="auto"/>
        <w:rPr>
          <w:noProof/>
        </w:rPr>
      </w:pPr>
      <w:r w:rsidRPr="00B029C5">
        <w:rPr>
          <w:noProof/>
        </w:rPr>
        <w:drawing>
          <wp:inline distT="0" distB="0" distL="0" distR="0" wp14:anchorId="275EB339" wp14:editId="0181EA7B">
            <wp:extent cx="5943600" cy="22187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218725"/>
                    </a:xfrm>
                    <a:prstGeom prst="rect">
                      <a:avLst/>
                    </a:prstGeom>
                    <a:noFill/>
                    <a:ln>
                      <a:noFill/>
                    </a:ln>
                  </pic:spPr>
                </pic:pic>
              </a:graphicData>
            </a:graphic>
          </wp:inline>
        </w:drawing>
      </w:r>
    </w:p>
    <w:p w14:paraId="16A1F6E2" w14:textId="77777777" w:rsidR="00B029C5" w:rsidRDefault="00B029C5" w:rsidP="00AB5337">
      <w:pPr>
        <w:spacing w:after="0" w:line="240" w:lineRule="auto"/>
        <w:rPr>
          <w:noProof/>
        </w:rPr>
      </w:pPr>
    </w:p>
    <w:p w14:paraId="1326C406" w14:textId="700D1792" w:rsidR="00190020" w:rsidRDefault="00190020" w:rsidP="00AB5337">
      <w:pPr>
        <w:spacing w:after="0" w:line="240" w:lineRule="auto"/>
        <w:rPr>
          <w:noProof/>
        </w:rPr>
      </w:pPr>
    </w:p>
    <w:p w14:paraId="78CE9253" w14:textId="77777777" w:rsidR="00190020" w:rsidRDefault="00190020" w:rsidP="00AB5337">
      <w:pPr>
        <w:spacing w:after="0" w:line="240" w:lineRule="auto"/>
        <w:rPr>
          <w:noProof/>
        </w:rPr>
      </w:pPr>
    </w:p>
    <w:p w14:paraId="6D367C21" w14:textId="77777777" w:rsidR="005272E7" w:rsidRDefault="005272E7" w:rsidP="00AB5337">
      <w:pPr>
        <w:spacing w:after="0" w:line="240" w:lineRule="auto"/>
        <w:rPr>
          <w:rFonts w:eastAsia="Times New Roman" w:cstheme="minorHAnsi"/>
          <w:color w:val="45130F" w:themeColor="background2"/>
          <w:sz w:val="20"/>
          <w:szCs w:val="20"/>
        </w:rPr>
      </w:pPr>
    </w:p>
    <w:p w14:paraId="619B8836" w14:textId="4B8785AF" w:rsidR="005272E7" w:rsidRDefault="00DF6B12" w:rsidP="00AB5337">
      <w:pPr>
        <w:spacing w:after="0" w:line="240" w:lineRule="auto"/>
        <w:rPr>
          <w:rFonts w:eastAsia="Times New Roman" w:cstheme="minorHAnsi"/>
          <w:color w:val="45130F" w:themeColor="background2"/>
          <w:sz w:val="20"/>
          <w:szCs w:val="20"/>
        </w:rPr>
      </w:pPr>
      <w:r w:rsidRPr="00DF6B12">
        <w:rPr>
          <w:noProof/>
        </w:rPr>
        <w:lastRenderedPageBreak/>
        <w:drawing>
          <wp:inline distT="0" distB="0" distL="0" distR="0" wp14:anchorId="1A4B0E2E" wp14:editId="59EBBCC9">
            <wp:extent cx="5943600" cy="1348522"/>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348522"/>
                    </a:xfrm>
                    <a:prstGeom prst="rect">
                      <a:avLst/>
                    </a:prstGeom>
                    <a:noFill/>
                    <a:ln>
                      <a:noFill/>
                    </a:ln>
                  </pic:spPr>
                </pic:pic>
              </a:graphicData>
            </a:graphic>
          </wp:inline>
        </w:drawing>
      </w:r>
    </w:p>
    <w:p w14:paraId="1A8DB258" w14:textId="77777777" w:rsidR="00FE16D8" w:rsidRDefault="00FE16D8" w:rsidP="00AB5337">
      <w:pPr>
        <w:spacing w:after="0" w:line="240" w:lineRule="auto"/>
        <w:rPr>
          <w:rFonts w:eastAsia="Times New Roman" w:cstheme="minorHAnsi"/>
          <w:color w:val="45130F" w:themeColor="background2"/>
          <w:sz w:val="20"/>
          <w:szCs w:val="20"/>
        </w:rPr>
      </w:pPr>
    </w:p>
    <w:p w14:paraId="42F642BA" w14:textId="05515111" w:rsidR="000D2D3D" w:rsidRDefault="000D2D3D" w:rsidP="00AB5337">
      <w:pPr>
        <w:spacing w:after="0" w:line="240" w:lineRule="auto"/>
        <w:rPr>
          <w:rFonts w:eastAsia="Times New Roman" w:cstheme="minorHAnsi"/>
          <w:color w:val="45130F" w:themeColor="background2"/>
          <w:sz w:val="20"/>
          <w:szCs w:val="20"/>
        </w:rPr>
      </w:pPr>
      <w:r w:rsidRPr="000D2D3D">
        <w:rPr>
          <w:noProof/>
        </w:rPr>
        <w:drawing>
          <wp:inline distT="0" distB="0" distL="0" distR="0" wp14:anchorId="33F44D22" wp14:editId="79AFD6E0">
            <wp:extent cx="5943600" cy="1230317"/>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230317"/>
                    </a:xfrm>
                    <a:prstGeom prst="rect">
                      <a:avLst/>
                    </a:prstGeom>
                    <a:noFill/>
                    <a:ln>
                      <a:noFill/>
                    </a:ln>
                  </pic:spPr>
                </pic:pic>
              </a:graphicData>
            </a:graphic>
          </wp:inline>
        </w:drawing>
      </w:r>
    </w:p>
    <w:p w14:paraId="7C6A9ECD" w14:textId="77777777" w:rsidR="000D2D3D" w:rsidRDefault="000D2D3D" w:rsidP="00AB5337">
      <w:pPr>
        <w:spacing w:after="0" w:line="240" w:lineRule="auto"/>
        <w:rPr>
          <w:rFonts w:eastAsia="Times New Roman" w:cstheme="minorHAnsi"/>
          <w:color w:val="45130F" w:themeColor="background2"/>
          <w:sz w:val="20"/>
          <w:szCs w:val="20"/>
        </w:rPr>
      </w:pPr>
    </w:p>
    <w:p w14:paraId="435F7FFC" w14:textId="77777777" w:rsidR="002652F0" w:rsidRDefault="002652F0" w:rsidP="00AB5337">
      <w:pPr>
        <w:spacing w:after="0" w:line="240" w:lineRule="auto"/>
        <w:rPr>
          <w:rFonts w:eastAsia="Times New Roman" w:cstheme="minorHAnsi"/>
          <w:color w:val="45130F" w:themeColor="background2"/>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580B" w:themeFill="accent2"/>
        <w:tblLayout w:type="fixed"/>
        <w:tblLook w:val="04A0" w:firstRow="1" w:lastRow="0" w:firstColumn="1" w:lastColumn="0" w:noHBand="0" w:noVBand="1"/>
      </w:tblPr>
      <w:tblGrid>
        <w:gridCol w:w="9360"/>
      </w:tblGrid>
      <w:tr w:rsidR="00460B2F" w:rsidRPr="00390BF8" w14:paraId="350E0991" w14:textId="77777777" w:rsidTr="00D824A5">
        <w:tc>
          <w:tcPr>
            <w:tcW w:w="9360" w:type="dxa"/>
            <w:shd w:val="clear" w:color="auto" w:fill="DB580B" w:themeFill="accent2"/>
          </w:tcPr>
          <w:p w14:paraId="1A43C5F5" w14:textId="59459EE4" w:rsidR="00AB5337" w:rsidRPr="00B71C8B" w:rsidRDefault="00D824A5" w:rsidP="00851C9B">
            <w:pPr>
              <w:rPr>
                <w:rFonts w:eastAsia="Times New Roman" w:cstheme="minorHAnsi"/>
                <w:b/>
                <w:color w:val="FFFFFF" w:themeColor="background1"/>
              </w:rPr>
            </w:pPr>
            <w:r w:rsidRPr="00B71C8B">
              <w:rPr>
                <w:rFonts w:eastAsia="Times New Roman" w:cstheme="minorHAnsi"/>
                <w:b/>
                <w:color w:val="FFFFFF" w:themeColor="background1"/>
                <w:lang w:val="fr-FR"/>
              </w:rPr>
              <w:t>COMMENTAIRES DE LA DIRECTION</w:t>
            </w:r>
          </w:p>
        </w:tc>
      </w:tr>
    </w:tbl>
    <w:p w14:paraId="742D06D5" w14:textId="77777777" w:rsidR="00B10D7E" w:rsidRPr="00885E8D" w:rsidRDefault="00B10D7E" w:rsidP="00AB5337">
      <w:pPr>
        <w:spacing w:after="0" w:line="240" w:lineRule="auto"/>
        <w:rPr>
          <w:rFonts w:eastAsia="Times New Roman" w:cstheme="minorHAnsi"/>
          <w:color w:val="45130F" w:themeColor="background2"/>
          <w:sz w:val="8"/>
          <w:szCs w:val="8"/>
        </w:rPr>
      </w:pPr>
    </w:p>
    <w:p w14:paraId="681C32BD" w14:textId="3DD4D4EB" w:rsidR="006B3BE2" w:rsidRPr="00A86DC5" w:rsidRDefault="00D824A5" w:rsidP="00AC435C">
      <w:pPr>
        <w:spacing w:after="0" w:line="240" w:lineRule="auto"/>
        <w:jc w:val="both"/>
        <w:rPr>
          <w:rFonts w:eastAsia="Times New Roman" w:cstheme="minorHAnsi"/>
          <w:color w:val="45130F" w:themeColor="background2"/>
          <w:sz w:val="20"/>
          <w:szCs w:val="20"/>
          <w:lang w:val="fr-BE"/>
        </w:rPr>
      </w:pPr>
      <w:r w:rsidRPr="00AC435C">
        <w:rPr>
          <w:rFonts w:eastAsia="Times New Roman" w:cstheme="minorHAnsi"/>
          <w:color w:val="45130F" w:themeColor="background2"/>
          <w:sz w:val="20"/>
          <w:szCs w:val="20"/>
          <w:lang w:val="fr-FR"/>
        </w:rPr>
        <w:t>Notre croissance s’est accélérée au deuxième trimestre.</w:t>
      </w:r>
      <w:r w:rsidR="006276E3" w:rsidRPr="00A86DC5">
        <w:rPr>
          <w:rFonts w:eastAsia="Times New Roman" w:cstheme="minorHAnsi"/>
          <w:color w:val="45130F" w:themeColor="background2"/>
          <w:sz w:val="20"/>
          <w:szCs w:val="20"/>
          <w:lang w:val="fr-BE"/>
        </w:rPr>
        <w:t xml:space="preserve"> </w:t>
      </w:r>
      <w:r w:rsidRPr="00AC435C">
        <w:rPr>
          <w:rFonts w:eastAsia="Times New Roman" w:cstheme="minorHAnsi"/>
          <w:color w:val="45130F" w:themeColor="background2"/>
          <w:sz w:val="20"/>
          <w:szCs w:val="20"/>
          <w:lang w:val="fr-FR"/>
        </w:rPr>
        <w:t xml:space="preserve">Les produits ont enregistré une hausse de 5,0%, grâce à la gestion des revenus et à la premiumisation sur des marchés comme l’Europe occidentale et la Chine </w:t>
      </w:r>
      <w:r w:rsidR="00AC435C" w:rsidRPr="00AC435C">
        <w:rPr>
          <w:rFonts w:eastAsia="Times New Roman" w:cstheme="minorHAnsi"/>
          <w:color w:val="45130F" w:themeColor="background2"/>
          <w:sz w:val="20"/>
          <w:szCs w:val="20"/>
          <w:lang w:val="fr-FR"/>
        </w:rPr>
        <w:t>ainsi qu’</w:t>
      </w:r>
      <w:r w:rsidRPr="00AC435C">
        <w:rPr>
          <w:rFonts w:eastAsia="Times New Roman" w:cstheme="minorHAnsi"/>
          <w:color w:val="45130F" w:themeColor="background2"/>
          <w:sz w:val="20"/>
          <w:szCs w:val="20"/>
          <w:lang w:val="fr-FR"/>
        </w:rPr>
        <w:t>à la croissance des volumes.</w:t>
      </w:r>
      <w:r w:rsidR="0085002F" w:rsidRPr="00A86DC5">
        <w:rPr>
          <w:rFonts w:eastAsia="Times New Roman" w:cstheme="minorHAnsi"/>
          <w:color w:val="45130F" w:themeColor="background2"/>
          <w:sz w:val="20"/>
          <w:szCs w:val="20"/>
          <w:lang w:val="fr-BE"/>
        </w:rPr>
        <w:t xml:space="preserve"> </w:t>
      </w:r>
      <w:r w:rsidRPr="00AC435C">
        <w:rPr>
          <w:rFonts w:eastAsia="Times New Roman" w:cstheme="minorHAnsi"/>
          <w:color w:val="45130F" w:themeColor="background2"/>
          <w:sz w:val="20"/>
          <w:szCs w:val="20"/>
          <w:lang w:val="fr-FR"/>
        </w:rPr>
        <w:t xml:space="preserve">Nos efforts </w:t>
      </w:r>
      <w:r w:rsidR="00BA661E">
        <w:rPr>
          <w:rFonts w:eastAsia="Times New Roman" w:cstheme="minorHAnsi"/>
          <w:color w:val="45130F" w:themeColor="background2"/>
          <w:sz w:val="20"/>
          <w:szCs w:val="20"/>
          <w:lang w:val="fr-FR"/>
        </w:rPr>
        <w:t xml:space="preserve">continus </w:t>
      </w:r>
      <w:r w:rsidRPr="00AC435C">
        <w:rPr>
          <w:rFonts w:eastAsia="Times New Roman" w:cstheme="minorHAnsi"/>
          <w:color w:val="45130F" w:themeColor="background2"/>
          <w:sz w:val="20"/>
          <w:szCs w:val="20"/>
          <w:lang w:val="fr-FR"/>
        </w:rPr>
        <w:t>de premiumisation nous permettent de générer une croissance produits sur les marchés émergents et développés.</w:t>
      </w:r>
      <w:r w:rsidR="0085002F" w:rsidRPr="00A86DC5">
        <w:rPr>
          <w:rFonts w:eastAsia="Times New Roman" w:cstheme="minorHAnsi"/>
          <w:color w:val="45130F" w:themeColor="background2"/>
          <w:sz w:val="20"/>
          <w:szCs w:val="20"/>
          <w:lang w:val="fr-BE"/>
        </w:rPr>
        <w:t xml:space="preserve"> </w:t>
      </w:r>
      <w:r w:rsidRPr="00AC435C">
        <w:rPr>
          <w:rFonts w:eastAsia="Times New Roman" w:cstheme="minorHAnsi"/>
          <w:color w:val="45130F" w:themeColor="background2"/>
          <w:sz w:val="20"/>
          <w:szCs w:val="20"/>
          <w:lang w:val="fr-FR"/>
        </w:rPr>
        <w:t>Nos marques mondiales ont continué à afficher une forte croissance des produits, qui atteint 8,9</w:t>
      </w:r>
      <w:r w:rsidR="00AC435C" w:rsidRPr="00AC435C">
        <w:rPr>
          <w:rFonts w:eastAsia="Times New Roman" w:cstheme="minorHAnsi"/>
          <w:color w:val="45130F" w:themeColor="background2"/>
          <w:sz w:val="20"/>
          <w:szCs w:val="20"/>
          <w:lang w:val="fr-FR"/>
        </w:rPr>
        <w:t> </w:t>
      </w:r>
      <w:r w:rsidRPr="00AC435C">
        <w:rPr>
          <w:rFonts w:eastAsia="Times New Roman" w:cstheme="minorHAnsi"/>
          <w:color w:val="45130F" w:themeColor="background2"/>
          <w:sz w:val="20"/>
          <w:szCs w:val="20"/>
          <w:lang w:val="fr-FR"/>
        </w:rPr>
        <w:t>% durant ce trimestre.</w:t>
      </w:r>
      <w:r w:rsidR="0085002F" w:rsidRPr="00A86DC5">
        <w:rPr>
          <w:rFonts w:eastAsia="Times New Roman" w:cstheme="minorHAnsi"/>
          <w:color w:val="45130F" w:themeColor="background2"/>
          <w:sz w:val="20"/>
          <w:szCs w:val="20"/>
          <w:lang w:val="fr-BE"/>
        </w:rPr>
        <w:t xml:space="preserve"> </w:t>
      </w:r>
      <w:r w:rsidRPr="00AC435C">
        <w:rPr>
          <w:rFonts w:eastAsia="Times New Roman" w:cstheme="minorHAnsi"/>
          <w:color w:val="45130F" w:themeColor="background2"/>
          <w:sz w:val="20"/>
          <w:szCs w:val="20"/>
          <w:lang w:val="fr-FR"/>
        </w:rPr>
        <w:t xml:space="preserve">Corona </w:t>
      </w:r>
      <w:r w:rsidR="00BA661E">
        <w:rPr>
          <w:rFonts w:eastAsia="Times New Roman" w:cstheme="minorHAnsi"/>
          <w:color w:val="45130F" w:themeColor="background2"/>
          <w:sz w:val="20"/>
          <w:szCs w:val="20"/>
          <w:lang w:val="fr-FR"/>
        </w:rPr>
        <w:t>a montré la voie à suivre</w:t>
      </w:r>
      <w:r w:rsidRPr="00AC435C">
        <w:rPr>
          <w:rFonts w:eastAsia="Times New Roman" w:cstheme="minorHAnsi"/>
          <w:color w:val="45130F" w:themeColor="background2"/>
          <w:sz w:val="20"/>
          <w:szCs w:val="20"/>
          <w:lang w:val="fr-FR"/>
        </w:rPr>
        <w:t xml:space="preserve"> avec une croissance de 16,6</w:t>
      </w:r>
      <w:r w:rsidR="00AC435C" w:rsidRPr="00AC435C">
        <w:rPr>
          <w:rFonts w:eastAsia="Times New Roman" w:cstheme="minorHAnsi"/>
          <w:color w:val="45130F" w:themeColor="background2"/>
          <w:sz w:val="20"/>
          <w:szCs w:val="20"/>
          <w:lang w:val="fr-FR"/>
        </w:rPr>
        <w:t> </w:t>
      </w:r>
      <w:r w:rsidRPr="00AC435C">
        <w:rPr>
          <w:rFonts w:eastAsia="Times New Roman" w:cstheme="minorHAnsi"/>
          <w:color w:val="45130F" w:themeColor="background2"/>
          <w:sz w:val="20"/>
          <w:szCs w:val="20"/>
          <w:lang w:val="fr-FR"/>
        </w:rPr>
        <w:t xml:space="preserve">% au niveau mondial et </w:t>
      </w:r>
      <w:r w:rsidR="00CD6C9F">
        <w:rPr>
          <w:rFonts w:eastAsia="Times New Roman" w:cstheme="minorHAnsi"/>
          <w:color w:val="45130F" w:themeColor="background2"/>
          <w:sz w:val="20"/>
          <w:szCs w:val="20"/>
          <w:lang w:val="fr-FR"/>
        </w:rPr>
        <w:t>une croissance de</w:t>
      </w:r>
      <w:r w:rsidRPr="00AC435C">
        <w:rPr>
          <w:rFonts w:eastAsia="Times New Roman" w:cstheme="minorHAnsi"/>
          <w:color w:val="45130F" w:themeColor="background2"/>
          <w:sz w:val="20"/>
          <w:szCs w:val="20"/>
          <w:lang w:val="fr-FR"/>
        </w:rPr>
        <w:t xml:space="preserve"> 26,2</w:t>
      </w:r>
      <w:r w:rsidR="00AC435C" w:rsidRPr="00AC435C">
        <w:rPr>
          <w:rFonts w:eastAsia="Times New Roman" w:cstheme="minorHAnsi"/>
          <w:color w:val="45130F" w:themeColor="background2"/>
          <w:sz w:val="20"/>
          <w:szCs w:val="20"/>
          <w:lang w:val="fr-FR"/>
        </w:rPr>
        <w:t> </w:t>
      </w:r>
      <w:r w:rsidRPr="00AC435C">
        <w:rPr>
          <w:rFonts w:eastAsia="Times New Roman" w:cstheme="minorHAnsi"/>
          <w:color w:val="45130F" w:themeColor="background2"/>
          <w:sz w:val="20"/>
          <w:szCs w:val="20"/>
          <w:lang w:val="fr-FR"/>
        </w:rPr>
        <w:t>% en dehors du Mexique.</w:t>
      </w:r>
    </w:p>
    <w:p w14:paraId="7FEE9B75" w14:textId="77777777" w:rsidR="000F3426" w:rsidRPr="00A86DC5" w:rsidRDefault="000F3426" w:rsidP="00885E8D">
      <w:pPr>
        <w:spacing w:after="0" w:line="240" w:lineRule="auto"/>
        <w:jc w:val="both"/>
        <w:rPr>
          <w:rFonts w:eastAsia="Times New Roman" w:cstheme="minorHAnsi"/>
          <w:color w:val="45130F" w:themeColor="background2"/>
          <w:sz w:val="20"/>
          <w:szCs w:val="20"/>
          <w:lang w:val="fr-BE"/>
        </w:rPr>
      </w:pPr>
    </w:p>
    <w:p w14:paraId="3E2781A3" w14:textId="60FC2C19" w:rsidR="000F3426" w:rsidRPr="00A86DC5" w:rsidRDefault="00D824A5" w:rsidP="00AC435C">
      <w:pPr>
        <w:spacing w:after="0" w:line="240" w:lineRule="auto"/>
        <w:jc w:val="both"/>
        <w:rPr>
          <w:rFonts w:eastAsia="Times New Roman" w:cstheme="minorHAnsi"/>
          <w:color w:val="45130F" w:themeColor="background2"/>
          <w:sz w:val="20"/>
          <w:szCs w:val="20"/>
          <w:lang w:val="fr-BE"/>
        </w:rPr>
      </w:pPr>
      <w:r w:rsidRPr="00AC435C">
        <w:rPr>
          <w:rFonts w:eastAsia="Times New Roman" w:cstheme="minorHAnsi"/>
          <w:color w:val="45130F" w:themeColor="background2"/>
          <w:sz w:val="20"/>
          <w:szCs w:val="20"/>
          <w:lang w:val="fr-FR"/>
        </w:rPr>
        <w:t>Nous avons enregistré une croissance des volumes de 1,0</w:t>
      </w:r>
      <w:r w:rsidR="00AC435C" w:rsidRPr="00AC435C">
        <w:rPr>
          <w:rFonts w:eastAsia="Times New Roman" w:cstheme="minorHAnsi"/>
          <w:color w:val="45130F" w:themeColor="background2"/>
          <w:sz w:val="20"/>
          <w:szCs w:val="20"/>
          <w:lang w:val="fr-FR"/>
        </w:rPr>
        <w:t> </w:t>
      </w:r>
      <w:r w:rsidRPr="00AC435C">
        <w:rPr>
          <w:rFonts w:eastAsia="Times New Roman" w:cstheme="minorHAnsi"/>
          <w:color w:val="45130F" w:themeColor="background2"/>
          <w:sz w:val="20"/>
          <w:szCs w:val="20"/>
          <w:lang w:val="fr-FR"/>
        </w:rPr>
        <w:t>%, les volumes de nos propres bières affichant une hausse de 2,1</w:t>
      </w:r>
      <w:r w:rsidR="00AC435C" w:rsidRPr="00AC435C">
        <w:rPr>
          <w:rFonts w:eastAsia="Times New Roman" w:cstheme="minorHAnsi"/>
          <w:color w:val="45130F" w:themeColor="background2"/>
          <w:sz w:val="20"/>
          <w:szCs w:val="20"/>
          <w:lang w:val="fr-FR"/>
        </w:rPr>
        <w:t> </w:t>
      </w:r>
      <w:r w:rsidRPr="00AC435C">
        <w:rPr>
          <w:rFonts w:eastAsia="Times New Roman" w:cstheme="minorHAnsi"/>
          <w:color w:val="45130F" w:themeColor="background2"/>
          <w:sz w:val="20"/>
          <w:szCs w:val="20"/>
          <w:lang w:val="fr-FR"/>
        </w:rPr>
        <w:t>%.</w:t>
      </w:r>
      <w:r w:rsidR="000F3426" w:rsidRPr="00A86DC5">
        <w:rPr>
          <w:rFonts w:eastAsia="Times New Roman" w:cstheme="minorHAnsi"/>
          <w:color w:val="45130F" w:themeColor="background2"/>
          <w:sz w:val="20"/>
          <w:szCs w:val="20"/>
          <w:lang w:val="fr-BE"/>
        </w:rPr>
        <w:t xml:space="preserve"> </w:t>
      </w:r>
      <w:r w:rsidRPr="00AC435C">
        <w:rPr>
          <w:rFonts w:eastAsia="Times New Roman" w:cstheme="minorHAnsi"/>
          <w:color w:val="45130F" w:themeColor="background2"/>
          <w:sz w:val="20"/>
          <w:szCs w:val="20"/>
          <w:lang w:val="fr-FR"/>
        </w:rPr>
        <w:t>Ce résultat a été obtenu grâce à une croissance à deux chiffres des volumes de bière en Afrique du Sud, et aux bons résultats enregistrés au Mexique et en Argentine.</w:t>
      </w:r>
    </w:p>
    <w:p w14:paraId="781BD71E" w14:textId="557056BA" w:rsidR="00D42761" w:rsidRPr="00A86DC5" w:rsidRDefault="00D42761" w:rsidP="00885E8D">
      <w:pPr>
        <w:spacing w:after="0" w:line="240" w:lineRule="auto"/>
        <w:jc w:val="both"/>
        <w:rPr>
          <w:rFonts w:eastAsia="Times New Roman" w:cstheme="minorHAnsi"/>
          <w:color w:val="45130F" w:themeColor="background2"/>
          <w:sz w:val="20"/>
          <w:szCs w:val="20"/>
          <w:lang w:val="fr-BE"/>
        </w:rPr>
      </w:pPr>
    </w:p>
    <w:p w14:paraId="06101EA5" w14:textId="635A64BE" w:rsidR="00CD6C9F" w:rsidRDefault="00D824A5">
      <w:pPr>
        <w:spacing w:after="0" w:line="240" w:lineRule="auto"/>
        <w:jc w:val="both"/>
        <w:rPr>
          <w:rFonts w:eastAsia="Times New Roman" w:cstheme="minorHAnsi"/>
          <w:color w:val="45130F" w:themeColor="background2"/>
          <w:sz w:val="20"/>
          <w:szCs w:val="20"/>
          <w:lang w:val="fr-FR"/>
        </w:rPr>
      </w:pPr>
      <w:r w:rsidRPr="00AC435C">
        <w:rPr>
          <w:rFonts w:eastAsia="Times New Roman" w:cstheme="minorHAnsi"/>
          <w:color w:val="45130F" w:themeColor="background2"/>
          <w:sz w:val="20"/>
          <w:szCs w:val="20"/>
          <w:lang w:val="fr-FR"/>
        </w:rPr>
        <w:t>Notre EBITDA a enregistré une croissance de 11,8</w:t>
      </w:r>
      <w:r w:rsidR="00AC435C" w:rsidRPr="00AC435C">
        <w:rPr>
          <w:rFonts w:eastAsia="Times New Roman" w:cstheme="minorHAnsi"/>
          <w:color w:val="45130F" w:themeColor="background2"/>
          <w:sz w:val="20"/>
          <w:szCs w:val="20"/>
          <w:lang w:val="fr-FR"/>
        </w:rPr>
        <w:t> </w:t>
      </w:r>
      <w:r w:rsidRPr="00AC435C">
        <w:rPr>
          <w:rFonts w:eastAsia="Times New Roman" w:cstheme="minorHAnsi"/>
          <w:color w:val="45130F" w:themeColor="background2"/>
          <w:sz w:val="20"/>
          <w:szCs w:val="20"/>
          <w:lang w:val="fr-FR"/>
        </w:rPr>
        <w:t>% au 2T17 et de 9,0</w:t>
      </w:r>
      <w:r w:rsidR="00AC435C" w:rsidRPr="00AC435C">
        <w:rPr>
          <w:rFonts w:eastAsia="Times New Roman" w:cstheme="minorHAnsi"/>
          <w:color w:val="45130F" w:themeColor="background2"/>
          <w:sz w:val="20"/>
          <w:szCs w:val="20"/>
          <w:lang w:val="fr-FR"/>
        </w:rPr>
        <w:t> </w:t>
      </w:r>
      <w:r w:rsidRPr="00AC435C">
        <w:rPr>
          <w:rFonts w:eastAsia="Times New Roman" w:cstheme="minorHAnsi"/>
          <w:color w:val="45130F" w:themeColor="background2"/>
          <w:sz w:val="20"/>
          <w:szCs w:val="20"/>
          <w:lang w:val="fr-FR"/>
        </w:rPr>
        <w:t>% au 1S17.</w:t>
      </w:r>
      <w:r w:rsidR="0085002F" w:rsidRPr="00A86DC5">
        <w:rPr>
          <w:rFonts w:eastAsia="Times New Roman" w:cstheme="minorHAnsi"/>
          <w:color w:val="45130F" w:themeColor="background2"/>
          <w:sz w:val="20"/>
          <w:szCs w:val="20"/>
          <w:lang w:val="fr-BE"/>
        </w:rPr>
        <w:t xml:space="preserve"> </w:t>
      </w:r>
      <w:r w:rsidRPr="00AC435C">
        <w:rPr>
          <w:rFonts w:eastAsia="Times New Roman" w:cstheme="minorHAnsi"/>
          <w:color w:val="45130F" w:themeColor="background2"/>
          <w:sz w:val="20"/>
          <w:szCs w:val="20"/>
          <w:lang w:val="fr-FR"/>
        </w:rPr>
        <w:t xml:space="preserve">Celle-ci s’explique par la croissance saine des produits, renforcée par </w:t>
      </w:r>
      <w:r w:rsidR="00F75CC3" w:rsidRPr="00D13FBB">
        <w:rPr>
          <w:rFonts w:eastAsia="Times New Roman" w:cstheme="minorHAnsi"/>
          <w:color w:val="45130F" w:themeColor="background2"/>
          <w:sz w:val="20"/>
          <w:szCs w:val="20"/>
          <w:lang w:val="fr-FR"/>
        </w:rPr>
        <w:t>la réalisation</w:t>
      </w:r>
      <w:r w:rsidRPr="00B029C5">
        <w:rPr>
          <w:rFonts w:eastAsia="Times New Roman" w:cstheme="minorHAnsi"/>
          <w:color w:val="45130F" w:themeColor="background2"/>
          <w:sz w:val="20"/>
          <w:szCs w:val="20"/>
          <w:lang w:val="fr-FR"/>
        </w:rPr>
        <w:t xml:space="preserve"> des synergies</w:t>
      </w:r>
      <w:r w:rsidRPr="000D2D3D">
        <w:rPr>
          <w:rFonts w:eastAsia="Times New Roman" w:cstheme="minorHAnsi"/>
          <w:color w:val="45130F" w:themeColor="background2"/>
          <w:sz w:val="20"/>
          <w:szCs w:val="20"/>
          <w:lang w:val="fr-FR"/>
        </w:rPr>
        <w:t>,</w:t>
      </w:r>
      <w:r w:rsidRPr="00AC435C">
        <w:rPr>
          <w:rFonts w:eastAsia="Times New Roman" w:cstheme="minorHAnsi"/>
          <w:color w:val="45130F" w:themeColor="background2"/>
          <w:sz w:val="20"/>
          <w:szCs w:val="20"/>
          <w:lang w:val="fr-FR"/>
        </w:rPr>
        <w:t xml:space="preserve"> même si elle a été partiellement atténuée par la pression </w:t>
      </w:r>
      <w:r w:rsidR="00BA661E">
        <w:rPr>
          <w:rFonts w:eastAsia="Times New Roman" w:cstheme="minorHAnsi"/>
          <w:color w:val="45130F" w:themeColor="background2"/>
          <w:sz w:val="20"/>
          <w:szCs w:val="20"/>
          <w:lang w:val="fr-FR"/>
        </w:rPr>
        <w:t>attendue</w:t>
      </w:r>
      <w:r w:rsidR="00BA661E" w:rsidRPr="00AC435C">
        <w:rPr>
          <w:rFonts w:eastAsia="Times New Roman" w:cstheme="minorHAnsi"/>
          <w:color w:val="45130F" w:themeColor="background2"/>
          <w:sz w:val="20"/>
          <w:szCs w:val="20"/>
          <w:lang w:val="fr-FR"/>
        </w:rPr>
        <w:t xml:space="preserve"> </w:t>
      </w:r>
      <w:r w:rsidRPr="00AC435C">
        <w:rPr>
          <w:rFonts w:eastAsia="Times New Roman" w:cstheme="minorHAnsi"/>
          <w:color w:val="45130F" w:themeColor="background2"/>
          <w:sz w:val="20"/>
          <w:szCs w:val="20"/>
          <w:lang w:val="fr-FR"/>
        </w:rPr>
        <w:t>sur les CdV.</w:t>
      </w:r>
      <w:r w:rsidR="00CD6C9F">
        <w:rPr>
          <w:rFonts w:eastAsia="Times New Roman" w:cstheme="minorHAnsi"/>
          <w:color w:val="45130F" w:themeColor="background2"/>
          <w:sz w:val="20"/>
          <w:szCs w:val="20"/>
          <w:lang w:val="fr-FR"/>
        </w:rPr>
        <w:t xml:space="preserve"> </w:t>
      </w:r>
      <w:r w:rsidRPr="00AC435C">
        <w:rPr>
          <w:rFonts w:eastAsia="Times New Roman" w:cstheme="minorHAnsi"/>
          <w:color w:val="45130F" w:themeColor="background2"/>
          <w:sz w:val="20"/>
          <w:szCs w:val="20"/>
          <w:lang w:val="fr-FR"/>
        </w:rPr>
        <w:t xml:space="preserve">Sans tenir compte du Brésil, nos produits ont </w:t>
      </w:r>
      <w:r w:rsidRPr="00144F32">
        <w:rPr>
          <w:rFonts w:eastAsia="Times New Roman" w:cstheme="minorHAnsi"/>
          <w:color w:val="45130F" w:themeColor="background2"/>
          <w:sz w:val="20"/>
          <w:szCs w:val="20"/>
          <w:lang w:val="fr-FR"/>
        </w:rPr>
        <w:t>augmenté de 6,2</w:t>
      </w:r>
      <w:r w:rsidR="00AC435C" w:rsidRPr="00144F32">
        <w:rPr>
          <w:rFonts w:eastAsia="Times New Roman" w:cstheme="minorHAnsi"/>
          <w:color w:val="45130F" w:themeColor="background2"/>
          <w:sz w:val="20"/>
          <w:szCs w:val="20"/>
          <w:lang w:val="fr-FR"/>
        </w:rPr>
        <w:t> </w:t>
      </w:r>
      <w:r w:rsidRPr="00144F32">
        <w:rPr>
          <w:rFonts w:eastAsia="Times New Roman" w:cstheme="minorHAnsi"/>
          <w:color w:val="45130F" w:themeColor="background2"/>
          <w:sz w:val="20"/>
          <w:szCs w:val="20"/>
          <w:lang w:val="fr-FR"/>
        </w:rPr>
        <w:t>%</w:t>
      </w:r>
      <w:r w:rsidR="00CD6C9F">
        <w:rPr>
          <w:rFonts w:eastAsia="Times New Roman" w:cstheme="minorHAnsi"/>
          <w:color w:val="45130F" w:themeColor="background2"/>
          <w:sz w:val="20"/>
          <w:szCs w:val="20"/>
          <w:lang w:val="fr-FR"/>
        </w:rPr>
        <w:t xml:space="preserve"> au 2T17</w:t>
      </w:r>
      <w:r w:rsidRPr="00144F32">
        <w:rPr>
          <w:rFonts w:eastAsia="Times New Roman" w:cstheme="minorHAnsi"/>
          <w:color w:val="45130F" w:themeColor="background2"/>
          <w:sz w:val="20"/>
          <w:szCs w:val="20"/>
          <w:lang w:val="fr-FR"/>
        </w:rPr>
        <w:t>, avec une croissance de 2,6</w:t>
      </w:r>
      <w:r w:rsidR="00AC435C" w:rsidRPr="006E0D8E">
        <w:rPr>
          <w:rFonts w:eastAsia="Times New Roman" w:cstheme="minorHAnsi"/>
          <w:color w:val="45130F" w:themeColor="background2"/>
          <w:sz w:val="20"/>
          <w:szCs w:val="20"/>
          <w:lang w:val="fr-FR"/>
        </w:rPr>
        <w:t> </w:t>
      </w:r>
      <w:r w:rsidRPr="006E0D8E">
        <w:rPr>
          <w:rFonts w:eastAsia="Times New Roman" w:cstheme="minorHAnsi"/>
          <w:color w:val="45130F" w:themeColor="background2"/>
          <w:sz w:val="20"/>
          <w:szCs w:val="20"/>
          <w:lang w:val="fr-FR"/>
        </w:rPr>
        <w:t>% pour les volumes de nos propres bières et de 16,5</w:t>
      </w:r>
      <w:r w:rsidR="00AC435C" w:rsidRPr="00616F7A">
        <w:rPr>
          <w:rFonts w:eastAsia="Times New Roman" w:cstheme="minorHAnsi"/>
          <w:color w:val="45130F" w:themeColor="background2"/>
          <w:sz w:val="20"/>
          <w:szCs w:val="20"/>
          <w:lang w:val="fr-FR"/>
        </w:rPr>
        <w:t> </w:t>
      </w:r>
      <w:r w:rsidRPr="00616F7A">
        <w:rPr>
          <w:rFonts w:eastAsia="Times New Roman" w:cstheme="minorHAnsi"/>
          <w:color w:val="45130F" w:themeColor="background2"/>
          <w:sz w:val="20"/>
          <w:szCs w:val="20"/>
          <w:lang w:val="fr-FR"/>
        </w:rPr>
        <w:t>% pour l’EBITDA.</w:t>
      </w:r>
      <w:r w:rsidR="0085002F" w:rsidRPr="00D13FBB">
        <w:rPr>
          <w:rFonts w:eastAsia="Times New Roman" w:cstheme="minorHAnsi"/>
          <w:color w:val="45130F" w:themeColor="background2"/>
          <w:sz w:val="20"/>
          <w:szCs w:val="20"/>
          <w:lang w:val="fr-FR"/>
        </w:rPr>
        <w:t xml:space="preserve"> </w:t>
      </w:r>
    </w:p>
    <w:p w14:paraId="6D39C50E" w14:textId="77777777" w:rsidR="00B5201F" w:rsidRPr="00A86DC5" w:rsidRDefault="00B5201F" w:rsidP="0085002F">
      <w:pPr>
        <w:spacing w:after="0" w:line="240" w:lineRule="auto"/>
        <w:jc w:val="both"/>
        <w:rPr>
          <w:rFonts w:eastAsia="Times New Roman" w:cstheme="minorHAnsi"/>
          <w:color w:val="45130F" w:themeColor="background2"/>
          <w:sz w:val="20"/>
          <w:szCs w:val="20"/>
          <w:lang w:val="fr-BE"/>
        </w:rPr>
      </w:pPr>
    </w:p>
    <w:p w14:paraId="031AF594" w14:textId="751222C8" w:rsidR="00690C36" w:rsidRPr="00A86DC5" w:rsidRDefault="00D824A5" w:rsidP="00694EDE">
      <w:pPr>
        <w:spacing w:after="0" w:line="240" w:lineRule="auto"/>
        <w:jc w:val="both"/>
        <w:rPr>
          <w:rFonts w:eastAsia="Times New Roman" w:cstheme="minorHAnsi"/>
          <w:color w:val="45130F" w:themeColor="background2"/>
          <w:sz w:val="20"/>
          <w:szCs w:val="20"/>
          <w:lang w:val="fr-BE"/>
        </w:rPr>
      </w:pPr>
      <w:r w:rsidRPr="00694EDE">
        <w:rPr>
          <w:rFonts w:eastAsia="Times New Roman" w:cstheme="minorHAnsi"/>
          <w:color w:val="45130F" w:themeColor="background2"/>
          <w:sz w:val="20"/>
          <w:szCs w:val="20"/>
          <w:lang w:val="fr-FR"/>
        </w:rPr>
        <w:t>Le rapprochement avec SAB se poursuit comme prévu, avec de nouvelles synergies de 335 millions d’USD ce trimestre, provenant essentiellement de tous nos nouveaux marchés.</w:t>
      </w:r>
      <w:r w:rsidR="00690C36" w:rsidRPr="00A86DC5">
        <w:rPr>
          <w:rFonts w:eastAsia="Times New Roman" w:cstheme="minorHAnsi"/>
          <w:color w:val="45130F" w:themeColor="background2"/>
          <w:sz w:val="20"/>
          <w:szCs w:val="20"/>
          <w:lang w:val="fr-BE"/>
        </w:rPr>
        <w:t xml:space="preserve"> </w:t>
      </w:r>
      <w:r w:rsidRPr="00694EDE">
        <w:rPr>
          <w:rFonts w:eastAsia="Times New Roman" w:cstheme="minorHAnsi"/>
          <w:color w:val="45130F" w:themeColor="background2"/>
          <w:sz w:val="20"/>
          <w:szCs w:val="20"/>
          <w:lang w:val="fr-FR"/>
        </w:rPr>
        <w:t xml:space="preserve">Le partage des meilleures pratiques est également engagé, avec des synergies intellectuelles donnant lieu à une nouvelle </w:t>
      </w:r>
      <w:r w:rsidR="00694EDE" w:rsidRPr="00694EDE">
        <w:rPr>
          <w:rFonts w:eastAsia="Times New Roman" w:cstheme="minorHAnsi"/>
          <w:color w:val="45130F" w:themeColor="background2"/>
          <w:sz w:val="20"/>
          <w:szCs w:val="20"/>
          <w:lang w:val="fr-FR"/>
        </w:rPr>
        <w:t xml:space="preserve">approche en matière </w:t>
      </w:r>
      <w:r w:rsidRPr="00694EDE">
        <w:rPr>
          <w:rFonts w:eastAsia="Times New Roman" w:cstheme="minorHAnsi"/>
          <w:color w:val="45130F" w:themeColor="background2"/>
          <w:sz w:val="20"/>
          <w:szCs w:val="20"/>
          <w:lang w:val="fr-FR"/>
        </w:rPr>
        <w:t>de croissance de catégorie.</w:t>
      </w:r>
    </w:p>
    <w:p w14:paraId="49A04C28" w14:textId="186522CF" w:rsidR="002249B0" w:rsidRPr="00A86DC5" w:rsidRDefault="002249B0" w:rsidP="00885E8D">
      <w:pPr>
        <w:spacing w:after="0" w:line="240" w:lineRule="auto"/>
        <w:jc w:val="both"/>
        <w:rPr>
          <w:rFonts w:eastAsia="Times New Roman" w:cstheme="minorHAnsi"/>
          <w:color w:val="45130F" w:themeColor="background2"/>
          <w:sz w:val="20"/>
          <w:szCs w:val="20"/>
          <w:lang w:val="fr-BE"/>
        </w:rPr>
      </w:pPr>
    </w:p>
    <w:p w14:paraId="45DA218A" w14:textId="6AEDA1C7" w:rsidR="00FF47C7" w:rsidRPr="00A86DC5" w:rsidRDefault="00D824A5" w:rsidP="00694EDE">
      <w:pPr>
        <w:spacing w:after="0" w:line="240" w:lineRule="auto"/>
        <w:jc w:val="both"/>
        <w:rPr>
          <w:rFonts w:eastAsia="Times New Roman" w:cstheme="minorHAnsi"/>
          <w:color w:val="45130F" w:themeColor="background2"/>
          <w:sz w:val="20"/>
          <w:szCs w:val="20"/>
          <w:lang w:val="fr-BE"/>
        </w:rPr>
      </w:pPr>
      <w:r w:rsidRPr="00694EDE">
        <w:rPr>
          <w:rFonts w:eastAsia="Times New Roman" w:cstheme="minorHAnsi"/>
          <w:color w:val="45130F" w:themeColor="background2"/>
          <w:sz w:val="20"/>
          <w:szCs w:val="20"/>
          <w:lang w:val="fr-FR"/>
        </w:rPr>
        <w:t xml:space="preserve">2017 a bien démarré et nous </w:t>
      </w:r>
      <w:r w:rsidR="00694EDE" w:rsidRPr="00694EDE">
        <w:rPr>
          <w:rFonts w:eastAsia="Times New Roman" w:cstheme="minorHAnsi"/>
          <w:color w:val="45130F" w:themeColor="background2"/>
          <w:sz w:val="20"/>
          <w:szCs w:val="20"/>
          <w:lang w:val="fr-FR"/>
        </w:rPr>
        <w:t>poursuivrons</w:t>
      </w:r>
      <w:r w:rsidRPr="00694EDE">
        <w:rPr>
          <w:rFonts w:eastAsia="Times New Roman" w:cstheme="minorHAnsi"/>
          <w:color w:val="45130F" w:themeColor="background2"/>
          <w:sz w:val="20"/>
          <w:szCs w:val="20"/>
          <w:lang w:val="fr-FR"/>
        </w:rPr>
        <w:t xml:space="preserve"> nos efforts </w:t>
      </w:r>
      <w:r w:rsidR="001A646E">
        <w:rPr>
          <w:rFonts w:eastAsia="Times New Roman" w:cstheme="minorHAnsi"/>
          <w:color w:val="45130F" w:themeColor="background2"/>
          <w:sz w:val="20"/>
          <w:szCs w:val="20"/>
          <w:lang w:val="fr-FR"/>
        </w:rPr>
        <w:t>afin d’</w:t>
      </w:r>
      <w:r w:rsidR="00474B72">
        <w:rPr>
          <w:rFonts w:eastAsia="Times New Roman" w:cstheme="minorHAnsi"/>
          <w:color w:val="45130F" w:themeColor="background2"/>
          <w:sz w:val="20"/>
          <w:szCs w:val="20"/>
          <w:lang w:val="fr-FR"/>
        </w:rPr>
        <w:t>assurer</w:t>
      </w:r>
      <w:r w:rsidRPr="00694EDE">
        <w:rPr>
          <w:rFonts w:eastAsia="Times New Roman" w:cstheme="minorHAnsi"/>
          <w:color w:val="45130F" w:themeColor="background2"/>
          <w:sz w:val="20"/>
          <w:szCs w:val="20"/>
          <w:lang w:val="fr-FR"/>
        </w:rPr>
        <w:t xml:space="preserve"> de bons résultats tout au long de l’année.</w:t>
      </w:r>
      <w:r w:rsidR="00D51827" w:rsidRPr="00A86DC5">
        <w:rPr>
          <w:rFonts w:eastAsia="Times New Roman" w:cstheme="minorHAnsi"/>
          <w:color w:val="45130F" w:themeColor="background2"/>
          <w:sz w:val="20"/>
          <w:szCs w:val="20"/>
          <w:lang w:val="fr-BE"/>
        </w:rPr>
        <w:t xml:space="preserve"> </w:t>
      </w:r>
      <w:r w:rsidR="00694EDE" w:rsidRPr="00694EDE">
        <w:rPr>
          <w:rFonts w:eastAsia="Times New Roman" w:cstheme="minorHAnsi"/>
          <w:color w:val="45130F" w:themeColor="background2"/>
          <w:sz w:val="20"/>
          <w:szCs w:val="20"/>
          <w:lang w:val="fr-FR"/>
        </w:rPr>
        <w:t xml:space="preserve">Alors que le deuxième semestre de l’année s’annonce prometteur, notre priorité reste de développer la catégorie ‘bière’ </w:t>
      </w:r>
      <w:r w:rsidR="002652F0">
        <w:rPr>
          <w:rFonts w:eastAsia="Times New Roman" w:cstheme="minorHAnsi"/>
          <w:color w:val="45130F" w:themeColor="background2"/>
          <w:sz w:val="20"/>
          <w:szCs w:val="20"/>
          <w:lang w:val="fr-FR"/>
        </w:rPr>
        <w:t xml:space="preserve">au niveau </w:t>
      </w:r>
      <w:r w:rsidR="00694EDE" w:rsidRPr="00694EDE">
        <w:rPr>
          <w:rFonts w:eastAsia="Times New Roman" w:cstheme="minorHAnsi"/>
          <w:color w:val="45130F" w:themeColor="background2"/>
          <w:sz w:val="20"/>
          <w:szCs w:val="20"/>
          <w:lang w:val="fr-FR"/>
        </w:rPr>
        <w:t>mondia</w:t>
      </w:r>
      <w:r w:rsidR="002652F0">
        <w:rPr>
          <w:rFonts w:eastAsia="Times New Roman" w:cstheme="minorHAnsi"/>
          <w:color w:val="45130F" w:themeColor="background2"/>
          <w:sz w:val="20"/>
          <w:szCs w:val="20"/>
          <w:lang w:val="fr-FR"/>
        </w:rPr>
        <w:t>l</w:t>
      </w:r>
      <w:r w:rsidR="00694EDE" w:rsidRPr="00694EDE">
        <w:rPr>
          <w:rFonts w:eastAsia="Times New Roman" w:cstheme="minorHAnsi"/>
          <w:color w:val="45130F" w:themeColor="background2"/>
          <w:sz w:val="20"/>
          <w:szCs w:val="20"/>
          <w:lang w:val="fr-FR"/>
        </w:rPr>
        <w:t xml:space="preserve"> et de générer une croissance produits durable assurant </w:t>
      </w:r>
      <w:r w:rsidR="002652F0">
        <w:rPr>
          <w:rFonts w:eastAsia="Times New Roman" w:cstheme="minorHAnsi"/>
          <w:color w:val="45130F" w:themeColor="background2"/>
          <w:sz w:val="20"/>
          <w:szCs w:val="20"/>
          <w:lang w:val="fr-FR"/>
        </w:rPr>
        <w:t>le</w:t>
      </w:r>
      <w:r w:rsidR="00694EDE" w:rsidRPr="00694EDE">
        <w:rPr>
          <w:rFonts w:eastAsia="Times New Roman" w:cstheme="minorHAnsi"/>
          <w:color w:val="45130F" w:themeColor="background2"/>
          <w:sz w:val="20"/>
          <w:szCs w:val="20"/>
          <w:lang w:val="fr-FR"/>
        </w:rPr>
        <w:t xml:space="preserve"> succès à long terme.</w:t>
      </w:r>
    </w:p>
    <w:p w14:paraId="7AF52195" w14:textId="30480D8F" w:rsidR="002249B0" w:rsidRPr="00A86DC5" w:rsidRDefault="002249B0" w:rsidP="00885E8D">
      <w:pPr>
        <w:spacing w:after="0" w:line="240" w:lineRule="auto"/>
        <w:jc w:val="both"/>
        <w:rPr>
          <w:rFonts w:cstheme="minorHAnsi"/>
          <w:color w:val="45130F" w:themeColor="background2"/>
          <w:sz w:val="20"/>
          <w:szCs w:val="20"/>
          <w:lang w:val="fr-BE"/>
        </w:rPr>
      </w:pPr>
    </w:p>
    <w:p w14:paraId="1C034B7A" w14:textId="47497780" w:rsidR="00312895" w:rsidRPr="00A86DC5" w:rsidRDefault="00312895">
      <w:pPr>
        <w:rPr>
          <w:rFonts w:ascii="Verdana" w:hAnsi="Verdana" w:cs="Arial"/>
          <w:sz w:val="18"/>
          <w:szCs w:val="18"/>
          <w:lang w:val="fr-BE"/>
        </w:rPr>
      </w:pPr>
      <w:r w:rsidRPr="00A86DC5">
        <w:rPr>
          <w:rFonts w:ascii="Verdana" w:hAnsi="Verdana" w:cs="Arial"/>
          <w:sz w:val="18"/>
          <w:szCs w:val="18"/>
          <w:lang w:val="fr-BE"/>
        </w:rPr>
        <w:br w:type="page"/>
      </w:r>
    </w:p>
    <w:p w14:paraId="0545E2F3" w14:textId="77777777" w:rsidR="006E5633" w:rsidRPr="00A86DC5" w:rsidRDefault="006E5633" w:rsidP="002249B0">
      <w:pPr>
        <w:spacing w:after="0" w:line="240" w:lineRule="auto"/>
        <w:rPr>
          <w:rFonts w:ascii="Verdana" w:hAnsi="Verdana" w:cs="Arial"/>
          <w:sz w:val="18"/>
          <w:szCs w:val="18"/>
          <w:lang w:val="fr-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580B" w:themeFill="accent2"/>
        <w:tblLayout w:type="fixed"/>
        <w:tblLook w:val="04A0" w:firstRow="1" w:lastRow="0" w:firstColumn="1" w:lastColumn="0" w:noHBand="0" w:noVBand="1"/>
      </w:tblPr>
      <w:tblGrid>
        <w:gridCol w:w="9746"/>
      </w:tblGrid>
      <w:tr w:rsidR="00AB5337" w:rsidRPr="006916D2" w14:paraId="6F2CCB49" w14:textId="77777777" w:rsidTr="00D824A5">
        <w:tc>
          <w:tcPr>
            <w:tcW w:w="9746" w:type="dxa"/>
            <w:shd w:val="clear" w:color="auto" w:fill="DB580B" w:themeFill="accent2"/>
            <w:hideMark/>
          </w:tcPr>
          <w:p w14:paraId="6F642001" w14:textId="488C9C89" w:rsidR="00AB5337" w:rsidRPr="00694EDE" w:rsidRDefault="00D824A5" w:rsidP="00851C9B">
            <w:pPr>
              <w:ind w:left="-90"/>
              <w:rPr>
                <w:rFonts w:eastAsia="Times New Roman" w:cstheme="minorHAnsi"/>
                <w:b/>
                <w:color w:val="FFFFFF" w:themeColor="background1"/>
              </w:rPr>
            </w:pPr>
            <w:r w:rsidRPr="00694EDE">
              <w:rPr>
                <w:rFonts w:eastAsia="Times New Roman" w:cstheme="minorHAnsi"/>
                <w:b/>
                <w:color w:val="FFFFFF" w:themeColor="background1"/>
                <w:lang w:val="fr-FR"/>
              </w:rPr>
              <w:t>PERSPECTIVES 2017</w:t>
            </w:r>
          </w:p>
        </w:tc>
      </w:tr>
    </w:tbl>
    <w:p w14:paraId="247F925A" w14:textId="77777777" w:rsidR="00AB5337" w:rsidRPr="006916D2" w:rsidRDefault="00AB5337" w:rsidP="00AB5337">
      <w:pPr>
        <w:spacing w:after="0" w:line="240" w:lineRule="auto"/>
        <w:jc w:val="both"/>
        <w:rPr>
          <w:rFonts w:ascii="Verdana" w:hAnsi="Verdana" w:cs="Arial"/>
          <w:sz w:val="18"/>
          <w:szCs w:val="18"/>
        </w:rPr>
      </w:pPr>
    </w:p>
    <w:p w14:paraId="4BB35ABB" w14:textId="13B399BD" w:rsidR="00694EDE" w:rsidRPr="00A86DC5" w:rsidRDefault="00694EDE" w:rsidP="005F284D">
      <w:pPr>
        <w:numPr>
          <w:ilvl w:val="0"/>
          <w:numId w:val="3"/>
        </w:numPr>
        <w:tabs>
          <w:tab w:val="left" w:pos="540"/>
        </w:tabs>
        <w:spacing w:before="120" w:line="240" w:lineRule="auto"/>
        <w:ind w:left="547" w:hanging="547"/>
        <w:jc w:val="both"/>
        <w:rPr>
          <w:rFonts w:eastAsia="Times New Roman" w:cstheme="minorHAnsi"/>
          <w:b/>
          <w:color w:val="45130F" w:themeColor="background2"/>
          <w:sz w:val="20"/>
          <w:szCs w:val="20"/>
          <w:lang w:val="fr-BE"/>
        </w:rPr>
      </w:pPr>
      <w:r w:rsidRPr="00694EDE">
        <w:rPr>
          <w:rFonts w:eastAsia="Times New Roman" w:cstheme="minorHAnsi"/>
          <w:b/>
          <w:color w:val="45130F" w:themeColor="background2"/>
          <w:sz w:val="20"/>
          <w:szCs w:val="20"/>
          <w:lang w:val="fr-FR"/>
        </w:rPr>
        <w:t>Volumes et produits :</w:t>
      </w:r>
      <w:r w:rsidRPr="00A86DC5">
        <w:rPr>
          <w:rFonts w:eastAsia="Times New Roman" w:cstheme="minorHAnsi"/>
          <w:b/>
          <w:color w:val="45130F" w:themeColor="background2"/>
          <w:sz w:val="20"/>
          <w:szCs w:val="20"/>
          <w:lang w:val="fr-BE"/>
        </w:rPr>
        <w:t xml:space="preserve"> </w:t>
      </w:r>
      <w:r w:rsidR="005F284D" w:rsidRPr="005F284D">
        <w:rPr>
          <w:rFonts w:eastAsia="Times New Roman" w:cstheme="minorHAnsi"/>
          <w:color w:val="45130F" w:themeColor="background2"/>
          <w:sz w:val="20"/>
          <w:szCs w:val="20"/>
          <w:lang w:val="fr-FR"/>
        </w:rPr>
        <w:t>Bien que nous constations une volatilité accrue sur certains de nos marchés clés, nous prévoyons d’accélérer la hausse des produits totaux au cours de l’EX17, stimulée par la solide croissance de nos marques mondiales et des programmes commerciaux efficaces, incluant notamment des initiatives de gestion des revenus.</w:t>
      </w:r>
    </w:p>
    <w:p w14:paraId="7E8A6D59" w14:textId="61A11B5F" w:rsidR="005F284D" w:rsidRPr="00A86DC5" w:rsidRDefault="005F284D" w:rsidP="005F284D">
      <w:pPr>
        <w:numPr>
          <w:ilvl w:val="0"/>
          <w:numId w:val="3"/>
        </w:numPr>
        <w:tabs>
          <w:tab w:val="left" w:pos="540"/>
        </w:tabs>
        <w:spacing w:before="120" w:line="240" w:lineRule="auto"/>
        <w:ind w:left="547" w:hanging="547"/>
        <w:jc w:val="both"/>
        <w:rPr>
          <w:rFonts w:eastAsia="Times New Roman" w:cstheme="minorHAnsi"/>
          <w:color w:val="45130F" w:themeColor="background2"/>
          <w:sz w:val="20"/>
          <w:szCs w:val="20"/>
          <w:lang w:val="fr-BE"/>
        </w:rPr>
      </w:pPr>
      <w:r w:rsidRPr="005F284D">
        <w:rPr>
          <w:rFonts w:eastAsia="Times New Roman" w:cstheme="minorHAnsi"/>
          <w:b/>
          <w:color w:val="45130F" w:themeColor="background2"/>
          <w:sz w:val="20"/>
          <w:szCs w:val="20"/>
          <w:lang w:val="fr-FR"/>
        </w:rPr>
        <w:t>Coûts des Ventes :</w:t>
      </w:r>
      <w:r w:rsidRPr="00A86DC5">
        <w:rPr>
          <w:rFonts w:eastAsia="Times New Roman" w:cstheme="minorHAnsi"/>
          <w:color w:val="45130F" w:themeColor="background2"/>
          <w:sz w:val="20"/>
          <w:szCs w:val="20"/>
          <w:lang w:val="fr-BE"/>
        </w:rPr>
        <w:t xml:space="preserve"> </w:t>
      </w:r>
      <w:r w:rsidRPr="005F284D">
        <w:rPr>
          <w:rFonts w:eastAsia="Times New Roman" w:cstheme="minorHAnsi"/>
          <w:color w:val="45130F" w:themeColor="background2"/>
          <w:sz w:val="20"/>
          <w:szCs w:val="20"/>
          <w:lang w:val="fr-FR"/>
        </w:rPr>
        <w:t>Nous prévoyons une augmentation des CdV par hl d’un chiffre dans le bas de la fourchette sur une base géographique constante, malgré des effets de change défavorables, et une croissance de nos marques premium.</w:t>
      </w:r>
      <w:r w:rsidRPr="00A86DC5">
        <w:rPr>
          <w:rFonts w:eastAsia="Times New Roman" w:cstheme="minorHAnsi"/>
          <w:color w:val="45130F" w:themeColor="background2"/>
          <w:sz w:val="20"/>
          <w:szCs w:val="20"/>
          <w:lang w:val="fr-BE"/>
        </w:rPr>
        <w:t xml:space="preserve">                </w:t>
      </w:r>
    </w:p>
    <w:p w14:paraId="281849A2" w14:textId="69AD6616" w:rsidR="005F284D" w:rsidRPr="00A86DC5" w:rsidRDefault="005F284D" w:rsidP="005F284D">
      <w:pPr>
        <w:numPr>
          <w:ilvl w:val="0"/>
          <w:numId w:val="3"/>
        </w:numPr>
        <w:tabs>
          <w:tab w:val="left" w:pos="540"/>
        </w:tabs>
        <w:spacing w:before="120" w:line="240" w:lineRule="auto"/>
        <w:ind w:left="547" w:hanging="547"/>
        <w:jc w:val="both"/>
        <w:rPr>
          <w:rFonts w:eastAsia="Times New Roman" w:cstheme="minorHAnsi"/>
          <w:color w:val="45130F" w:themeColor="background2"/>
          <w:sz w:val="20"/>
          <w:szCs w:val="20"/>
          <w:lang w:val="fr-BE"/>
        </w:rPr>
      </w:pPr>
      <w:r w:rsidRPr="005F284D">
        <w:rPr>
          <w:rFonts w:eastAsia="Times New Roman" w:cstheme="minorHAnsi"/>
          <w:b/>
          <w:color w:val="45130F" w:themeColor="background2"/>
          <w:sz w:val="20"/>
          <w:szCs w:val="20"/>
          <w:lang w:val="fr-FR"/>
        </w:rPr>
        <w:t>Frais commerciaux, généraux et administratifs :</w:t>
      </w:r>
      <w:r w:rsidRPr="00A86DC5">
        <w:rPr>
          <w:rFonts w:eastAsia="Times New Roman" w:cstheme="minorHAnsi"/>
          <w:color w:val="45130F" w:themeColor="background2"/>
          <w:sz w:val="20"/>
          <w:szCs w:val="20"/>
          <w:lang w:val="fr-BE"/>
        </w:rPr>
        <w:t xml:space="preserve"> </w:t>
      </w:r>
      <w:r w:rsidRPr="005F284D">
        <w:rPr>
          <w:rFonts w:eastAsia="Times New Roman" w:cstheme="minorHAnsi"/>
          <w:color w:val="45130F" w:themeColor="background2"/>
          <w:sz w:val="20"/>
          <w:szCs w:val="20"/>
          <w:lang w:val="fr-FR"/>
        </w:rPr>
        <w:t>Nous prévoyons que les frais CGA resteront stables dans l’ensemble puisque nous continuerons d’économiser sur les frais généraux pour investir dans nos marques.</w:t>
      </w:r>
      <w:r w:rsidRPr="00A86DC5">
        <w:rPr>
          <w:rFonts w:eastAsia="Times New Roman" w:cstheme="minorHAnsi"/>
          <w:color w:val="45130F" w:themeColor="background2"/>
          <w:sz w:val="20"/>
          <w:szCs w:val="20"/>
          <w:lang w:val="fr-BE"/>
        </w:rPr>
        <w:t xml:space="preserve"> </w:t>
      </w:r>
    </w:p>
    <w:p w14:paraId="071BF3B8" w14:textId="122D5D87" w:rsidR="005F284D" w:rsidRPr="00A86DC5" w:rsidRDefault="005F284D" w:rsidP="005F284D">
      <w:pPr>
        <w:numPr>
          <w:ilvl w:val="0"/>
          <w:numId w:val="3"/>
        </w:numPr>
        <w:tabs>
          <w:tab w:val="left" w:pos="540"/>
        </w:tabs>
        <w:spacing w:before="120" w:line="240" w:lineRule="auto"/>
        <w:ind w:left="547" w:hanging="547"/>
        <w:jc w:val="both"/>
        <w:rPr>
          <w:rFonts w:eastAsia="Times New Roman" w:cstheme="minorHAnsi"/>
          <w:b/>
          <w:color w:val="45130F" w:themeColor="background2"/>
          <w:sz w:val="20"/>
          <w:szCs w:val="20"/>
          <w:lang w:val="fr-BE"/>
        </w:rPr>
      </w:pPr>
      <w:r w:rsidRPr="005F284D">
        <w:rPr>
          <w:rFonts w:eastAsia="Times New Roman" w:cstheme="minorHAnsi"/>
          <w:b/>
          <w:color w:val="45130F" w:themeColor="background2"/>
          <w:sz w:val="20"/>
          <w:szCs w:val="20"/>
          <w:lang w:val="fr-FR"/>
        </w:rPr>
        <w:t>Synergies :</w:t>
      </w:r>
      <w:r w:rsidRPr="00A86DC5">
        <w:rPr>
          <w:rFonts w:eastAsia="Times New Roman" w:cstheme="minorHAnsi"/>
          <w:b/>
          <w:color w:val="45130F" w:themeColor="background2"/>
          <w:sz w:val="20"/>
          <w:szCs w:val="20"/>
          <w:lang w:val="fr-BE"/>
        </w:rPr>
        <w:t xml:space="preserve"> </w:t>
      </w:r>
      <w:r w:rsidRPr="005F284D">
        <w:rPr>
          <w:rFonts w:eastAsia="Times New Roman" w:cstheme="minorHAnsi"/>
          <w:color w:val="45130F" w:themeColor="background2"/>
          <w:sz w:val="20"/>
          <w:szCs w:val="20"/>
          <w:lang w:val="fr-FR"/>
        </w:rPr>
        <w:t>Lors de l'annonce de nos résultats de l'EX16, nous avons actualisé les synergies et économies de coûts attendues, qui passent de 2,45 milliards d’USD à 2,8 milliards d’USD, les synergies étant calculées sur une base monétaire constante depuis août 2016.</w:t>
      </w:r>
      <w:r w:rsidRPr="00A86DC5">
        <w:rPr>
          <w:rFonts w:eastAsia="Times New Roman" w:cstheme="minorHAnsi"/>
          <w:color w:val="45130F" w:themeColor="background2"/>
          <w:sz w:val="20"/>
          <w:szCs w:val="20"/>
          <w:lang w:val="fr-BE"/>
        </w:rPr>
        <w:t xml:space="preserve"> </w:t>
      </w:r>
    </w:p>
    <w:p w14:paraId="315B1945" w14:textId="411C2D6B" w:rsidR="005F284D" w:rsidRPr="00A86DC5" w:rsidRDefault="005F284D" w:rsidP="005F284D">
      <w:pPr>
        <w:numPr>
          <w:ilvl w:val="0"/>
          <w:numId w:val="3"/>
        </w:numPr>
        <w:tabs>
          <w:tab w:val="left" w:pos="540"/>
        </w:tabs>
        <w:spacing w:before="120" w:line="240" w:lineRule="auto"/>
        <w:ind w:left="547" w:hanging="547"/>
        <w:jc w:val="both"/>
        <w:rPr>
          <w:rFonts w:eastAsia="Times New Roman" w:cstheme="minorHAnsi"/>
          <w:color w:val="45130F" w:themeColor="background2"/>
          <w:sz w:val="20"/>
          <w:szCs w:val="20"/>
          <w:lang w:val="fr-BE"/>
        </w:rPr>
      </w:pPr>
      <w:r w:rsidRPr="005F284D">
        <w:rPr>
          <w:rFonts w:eastAsia="Times New Roman" w:cstheme="minorHAnsi"/>
          <w:b/>
          <w:color w:val="45130F" w:themeColor="background2"/>
          <w:sz w:val="20"/>
          <w:szCs w:val="20"/>
          <w:lang w:val="fr-FR"/>
        </w:rPr>
        <w:t>Coûts financiers nets :</w:t>
      </w:r>
      <w:r w:rsidRPr="00A86DC5">
        <w:rPr>
          <w:rFonts w:eastAsia="Times New Roman" w:cstheme="minorHAnsi"/>
          <w:color w:val="45130F" w:themeColor="background2"/>
          <w:sz w:val="20"/>
          <w:szCs w:val="20"/>
          <w:lang w:val="fr-BE"/>
        </w:rPr>
        <w:t xml:space="preserve"> </w:t>
      </w:r>
      <w:r w:rsidRPr="005F284D">
        <w:rPr>
          <w:rFonts w:eastAsia="Times New Roman" w:cstheme="minorHAnsi"/>
          <w:color w:val="45130F" w:themeColor="background2"/>
          <w:sz w:val="20"/>
          <w:szCs w:val="20"/>
          <w:lang w:val="fr-FR"/>
        </w:rPr>
        <w:t>Nous prévoyons que pour l’EX17, le taux d’intérêt moyen sur la dette nette se situera entre 3,5 % et 4,0 %.</w:t>
      </w:r>
      <w:r w:rsidRPr="00A86DC5">
        <w:rPr>
          <w:rFonts w:eastAsia="Times New Roman" w:cstheme="minorHAnsi"/>
          <w:color w:val="45130F" w:themeColor="background2"/>
          <w:sz w:val="20"/>
          <w:szCs w:val="20"/>
          <w:lang w:val="fr-BE"/>
        </w:rPr>
        <w:t xml:space="preserve"> </w:t>
      </w:r>
      <w:r w:rsidRPr="005F284D">
        <w:rPr>
          <w:rFonts w:eastAsia="Times New Roman" w:cstheme="minorHAnsi"/>
          <w:color w:val="45130F" w:themeColor="background2"/>
          <w:sz w:val="20"/>
          <w:szCs w:val="20"/>
          <w:lang w:val="fr-FR"/>
        </w:rPr>
        <w:t>Les charges nettes d’intérêts liées aux retraites et les charges de désactualisation devraient avoisiner respectivement 30 et 150 millions d’USD par trimestre.</w:t>
      </w:r>
      <w:r w:rsidRPr="00A86DC5">
        <w:rPr>
          <w:rFonts w:eastAsia="Times New Roman" w:cstheme="minorHAnsi"/>
          <w:color w:val="45130F" w:themeColor="background2"/>
          <w:sz w:val="20"/>
          <w:szCs w:val="20"/>
          <w:lang w:val="fr-BE"/>
        </w:rPr>
        <w:t xml:space="preserve"> </w:t>
      </w:r>
      <w:r w:rsidRPr="005F284D">
        <w:rPr>
          <w:rFonts w:eastAsia="Times New Roman" w:cstheme="minorHAnsi"/>
          <w:color w:val="45130F" w:themeColor="background2"/>
          <w:sz w:val="20"/>
          <w:szCs w:val="20"/>
          <w:lang w:val="fr-FR"/>
        </w:rPr>
        <w:t>Les autres résultats financiers continueront de subir l’impact des gains et pertes éventuels liés à la couverture de nos programmes de paiements fondés sur des actions.</w:t>
      </w:r>
    </w:p>
    <w:p w14:paraId="586DA647" w14:textId="550B2D01" w:rsidR="005F284D" w:rsidRPr="00A86DC5" w:rsidRDefault="005F284D" w:rsidP="005F284D">
      <w:pPr>
        <w:numPr>
          <w:ilvl w:val="0"/>
          <w:numId w:val="3"/>
        </w:numPr>
        <w:tabs>
          <w:tab w:val="left" w:pos="540"/>
        </w:tabs>
        <w:spacing w:before="120" w:line="240" w:lineRule="auto"/>
        <w:ind w:left="547" w:hanging="547"/>
        <w:jc w:val="both"/>
        <w:rPr>
          <w:rFonts w:eastAsia="Times New Roman" w:cstheme="minorHAnsi"/>
          <w:color w:val="45130F" w:themeColor="background2"/>
          <w:sz w:val="20"/>
          <w:szCs w:val="20"/>
          <w:lang w:val="fr-BE"/>
        </w:rPr>
      </w:pPr>
      <w:r w:rsidRPr="005F284D">
        <w:rPr>
          <w:rFonts w:eastAsia="Times New Roman" w:cstheme="minorHAnsi"/>
          <w:b/>
          <w:color w:val="45130F" w:themeColor="background2"/>
          <w:sz w:val="20"/>
          <w:szCs w:val="20"/>
          <w:lang w:val="fr-FR"/>
        </w:rPr>
        <w:t>Taux d’imposition effectif :</w:t>
      </w:r>
      <w:r w:rsidRPr="00A86DC5">
        <w:rPr>
          <w:rFonts w:eastAsia="Times New Roman" w:cstheme="minorHAnsi"/>
          <w:b/>
          <w:color w:val="45130F" w:themeColor="background2"/>
          <w:sz w:val="20"/>
          <w:szCs w:val="20"/>
          <w:lang w:val="fr-BE"/>
        </w:rPr>
        <w:t xml:space="preserve"> </w:t>
      </w:r>
      <w:r w:rsidRPr="005F284D">
        <w:rPr>
          <w:rFonts w:eastAsia="Times New Roman" w:cstheme="minorHAnsi"/>
          <w:color w:val="45130F" w:themeColor="background2"/>
          <w:sz w:val="20"/>
          <w:szCs w:val="20"/>
          <w:lang w:val="fr-FR"/>
        </w:rPr>
        <w:t>Nous revoyons nos prévisions pour l’EX17 qui étaient de 24 % à 26 % et qui passent à 22 % à 24 %, hors gains et pertes futurs liés à la couverture de nos programmes de paiements fondés sur des actions.</w:t>
      </w:r>
      <w:r w:rsidRPr="00A86DC5">
        <w:rPr>
          <w:rFonts w:eastAsia="Times New Roman" w:cstheme="minorHAnsi"/>
          <w:color w:val="45130F" w:themeColor="background2"/>
          <w:sz w:val="20"/>
          <w:szCs w:val="20"/>
          <w:lang w:val="fr-BE"/>
        </w:rPr>
        <w:t xml:space="preserve"> </w:t>
      </w:r>
      <w:r w:rsidRPr="005F284D">
        <w:rPr>
          <w:rFonts w:cstheme="minorHAnsi"/>
          <w:bCs/>
          <w:color w:val="45130F" w:themeColor="background2"/>
          <w:sz w:val="20"/>
          <w:szCs w:val="20"/>
          <w:lang w:val="fr-FR"/>
        </w:rPr>
        <w:t>Cette indication tient compte de l’impact du changement du mix pays suite au rapprochement avec SAB et des conséquences fiscales attendues du financement du rapprochement.</w:t>
      </w:r>
    </w:p>
    <w:p w14:paraId="013D34AF" w14:textId="79CCFB3A" w:rsidR="005F284D" w:rsidRPr="00A86DC5" w:rsidRDefault="005F284D" w:rsidP="005F284D">
      <w:pPr>
        <w:numPr>
          <w:ilvl w:val="0"/>
          <w:numId w:val="3"/>
        </w:numPr>
        <w:tabs>
          <w:tab w:val="left" w:pos="540"/>
        </w:tabs>
        <w:spacing w:before="120" w:line="240" w:lineRule="auto"/>
        <w:ind w:left="547" w:hanging="547"/>
        <w:jc w:val="both"/>
        <w:rPr>
          <w:rFonts w:eastAsia="Times New Roman" w:cstheme="minorHAnsi"/>
          <w:color w:val="45130F" w:themeColor="background2"/>
          <w:sz w:val="20"/>
          <w:szCs w:val="20"/>
          <w:lang w:val="fr-BE"/>
        </w:rPr>
      </w:pPr>
      <w:r w:rsidRPr="005F284D">
        <w:rPr>
          <w:rFonts w:eastAsia="Times New Roman" w:cstheme="minorHAnsi"/>
          <w:b/>
          <w:color w:val="45130F" w:themeColor="background2"/>
          <w:sz w:val="20"/>
          <w:szCs w:val="20"/>
          <w:lang w:val="fr-FR"/>
        </w:rPr>
        <w:t>Dépenses nettes d’investissement :</w:t>
      </w:r>
      <w:r w:rsidRPr="00A86DC5">
        <w:rPr>
          <w:rFonts w:eastAsia="Times New Roman" w:cstheme="minorHAnsi"/>
          <w:color w:val="45130F" w:themeColor="background2"/>
          <w:sz w:val="20"/>
          <w:szCs w:val="20"/>
          <w:lang w:val="fr-BE"/>
        </w:rPr>
        <w:t xml:space="preserve"> </w:t>
      </w:r>
      <w:r w:rsidRPr="005F284D">
        <w:rPr>
          <w:rFonts w:eastAsia="Times New Roman" w:cstheme="minorHAnsi"/>
          <w:color w:val="45130F" w:themeColor="background2"/>
          <w:sz w:val="20"/>
          <w:szCs w:val="20"/>
          <w:lang w:val="fr-FR"/>
        </w:rPr>
        <w:t>Nous prévoyons des dépenses nettes d’investissement d’environ 3,7 milliards d’USD pour l’EX17.</w:t>
      </w:r>
    </w:p>
    <w:p w14:paraId="3CDFEEAA" w14:textId="6F3B89A4" w:rsidR="005F284D" w:rsidRPr="00A86DC5" w:rsidRDefault="005F284D" w:rsidP="005F284D">
      <w:pPr>
        <w:numPr>
          <w:ilvl w:val="0"/>
          <w:numId w:val="3"/>
        </w:numPr>
        <w:tabs>
          <w:tab w:val="left" w:pos="540"/>
        </w:tabs>
        <w:spacing w:before="120" w:line="240" w:lineRule="auto"/>
        <w:ind w:left="547" w:hanging="547"/>
        <w:jc w:val="both"/>
        <w:rPr>
          <w:rFonts w:eastAsia="Times New Roman" w:cstheme="minorHAnsi"/>
          <w:color w:val="45130F" w:themeColor="background2"/>
          <w:sz w:val="20"/>
          <w:szCs w:val="20"/>
          <w:lang w:val="fr-BE"/>
        </w:rPr>
      </w:pPr>
      <w:r w:rsidRPr="005F284D">
        <w:rPr>
          <w:rFonts w:eastAsia="Times New Roman" w:cstheme="minorHAnsi"/>
          <w:b/>
          <w:color w:val="45130F" w:themeColor="background2"/>
          <w:sz w:val="20"/>
          <w:szCs w:val="20"/>
          <w:lang w:val="fr-FR"/>
        </w:rPr>
        <w:t>Endettement :</w:t>
      </w:r>
      <w:r w:rsidRPr="00A86DC5">
        <w:rPr>
          <w:rFonts w:eastAsia="Times New Roman" w:cstheme="minorHAnsi"/>
          <w:color w:val="45130F" w:themeColor="background2"/>
          <w:sz w:val="20"/>
          <w:szCs w:val="20"/>
          <w:lang w:val="fr-BE"/>
        </w:rPr>
        <w:t xml:space="preserve"> </w:t>
      </w:r>
      <w:r w:rsidRPr="005F284D">
        <w:rPr>
          <w:rFonts w:eastAsia="Times New Roman" w:cstheme="minorHAnsi"/>
          <w:color w:val="45130F" w:themeColor="background2"/>
          <w:sz w:val="20"/>
          <w:szCs w:val="20"/>
          <w:lang w:val="fr-FR"/>
        </w:rPr>
        <w:t>Près d’un tiers de la dette brute d’AB InBev est exprimé en devises autres que le dollar américain, principalement en euros.</w:t>
      </w:r>
      <w:r w:rsidRPr="00A86DC5">
        <w:rPr>
          <w:rFonts w:eastAsia="Times New Roman" w:cstheme="minorHAnsi"/>
          <w:color w:val="45130F" w:themeColor="background2"/>
          <w:sz w:val="20"/>
          <w:szCs w:val="20"/>
          <w:lang w:val="fr-BE"/>
        </w:rPr>
        <w:t xml:space="preserve"> </w:t>
      </w:r>
      <w:r w:rsidRPr="005F284D">
        <w:rPr>
          <w:rFonts w:eastAsia="Times New Roman" w:cstheme="minorHAnsi"/>
          <w:color w:val="45130F" w:themeColor="background2"/>
          <w:sz w:val="20"/>
          <w:szCs w:val="20"/>
          <w:lang w:val="fr-FR"/>
        </w:rPr>
        <w:t>Notre structure de capital optimale demeure un ratio endettement net / EBITDA aux alentours de 2x.</w:t>
      </w:r>
    </w:p>
    <w:p w14:paraId="5BF1FC31" w14:textId="22D5A0BB" w:rsidR="005F284D" w:rsidRPr="00A86DC5" w:rsidRDefault="005F284D" w:rsidP="005F284D">
      <w:pPr>
        <w:numPr>
          <w:ilvl w:val="0"/>
          <w:numId w:val="3"/>
        </w:numPr>
        <w:tabs>
          <w:tab w:val="left" w:pos="540"/>
        </w:tabs>
        <w:spacing w:before="120" w:line="240" w:lineRule="auto"/>
        <w:ind w:left="547" w:hanging="547"/>
        <w:jc w:val="both"/>
        <w:rPr>
          <w:rFonts w:eastAsia="Times New Roman" w:cstheme="minorHAnsi"/>
          <w:color w:val="45130F" w:themeColor="background2"/>
          <w:sz w:val="20"/>
          <w:szCs w:val="20"/>
          <w:lang w:val="fr-BE"/>
        </w:rPr>
      </w:pPr>
      <w:r w:rsidRPr="005F284D">
        <w:rPr>
          <w:rFonts w:eastAsia="Times New Roman" w:cstheme="minorHAnsi"/>
          <w:b/>
          <w:color w:val="45130F" w:themeColor="background2"/>
          <w:sz w:val="20"/>
          <w:szCs w:val="20"/>
          <w:lang w:val="fr-FR"/>
        </w:rPr>
        <w:t>Dividendes :</w:t>
      </w:r>
      <w:r w:rsidRPr="00A86DC5">
        <w:rPr>
          <w:rFonts w:eastAsia="Times New Roman" w:cstheme="minorHAnsi"/>
          <w:color w:val="45130F" w:themeColor="background2"/>
          <w:sz w:val="20"/>
          <w:szCs w:val="20"/>
          <w:lang w:val="fr-BE"/>
        </w:rPr>
        <w:t xml:space="preserve"> </w:t>
      </w:r>
      <w:r w:rsidRPr="005F284D">
        <w:rPr>
          <w:rFonts w:eastAsia="Times New Roman" w:cstheme="minorHAnsi"/>
          <w:color w:val="45130F" w:themeColor="background2"/>
          <w:sz w:val="20"/>
          <w:szCs w:val="20"/>
          <w:lang w:val="fr-FR"/>
        </w:rPr>
        <w:t>Nous continuons de nous attendre à une hausse des dividendes au fil du temps, mais cette croissance devrait toutefois être modeste compte tenu de l’importance du désendettement.</w:t>
      </w:r>
      <w:r w:rsidRPr="00A86DC5">
        <w:rPr>
          <w:rFonts w:cstheme="minorHAnsi"/>
          <w:color w:val="45130F" w:themeColor="background2"/>
          <w:sz w:val="20"/>
          <w:szCs w:val="20"/>
          <w:lang w:val="fr-BE"/>
        </w:rPr>
        <w:t xml:space="preserve"> </w:t>
      </w:r>
    </w:p>
    <w:p w14:paraId="3B3961A1" w14:textId="4B299284" w:rsidR="006A25A4" w:rsidRPr="00A86DC5" w:rsidRDefault="006A25A4">
      <w:pPr>
        <w:rPr>
          <w:rFonts w:ascii="Verdana" w:hAnsi="Verdana" w:cs="Arial"/>
          <w:b/>
          <w:sz w:val="18"/>
          <w:szCs w:val="18"/>
          <w:lang w:val="fr-BE"/>
        </w:rPr>
      </w:pPr>
      <w:r w:rsidRPr="00A86DC5">
        <w:rPr>
          <w:rFonts w:ascii="Verdana" w:hAnsi="Verdana" w:cs="Arial"/>
          <w:b/>
          <w:sz w:val="18"/>
          <w:szCs w:val="18"/>
          <w:lang w:val="fr-BE"/>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580B" w:themeFill="accent2"/>
        <w:tblLook w:val="04A0" w:firstRow="1" w:lastRow="0" w:firstColumn="1" w:lastColumn="0" w:noHBand="0" w:noVBand="1"/>
      </w:tblPr>
      <w:tblGrid>
        <w:gridCol w:w="9576"/>
      </w:tblGrid>
      <w:tr w:rsidR="00AB5337" w:rsidRPr="006916D2" w14:paraId="1A5D56F4" w14:textId="77777777" w:rsidTr="00617310">
        <w:tc>
          <w:tcPr>
            <w:tcW w:w="9746" w:type="dxa"/>
            <w:shd w:val="clear" w:color="auto" w:fill="DB580B" w:themeFill="accent2"/>
            <w:hideMark/>
          </w:tcPr>
          <w:p w14:paraId="2AA86CA9" w14:textId="2C3796DA" w:rsidR="00AB5337" w:rsidRPr="005F284D" w:rsidRDefault="00A70DF0" w:rsidP="00851C9B">
            <w:pPr>
              <w:ind w:left="-90"/>
              <w:rPr>
                <w:rFonts w:eastAsia="Times New Roman" w:cstheme="minorHAnsi"/>
                <w:b/>
                <w:color w:val="FFFFFF" w:themeColor="background1"/>
              </w:rPr>
            </w:pPr>
            <w:r w:rsidRPr="005F284D">
              <w:rPr>
                <w:rFonts w:eastAsia="Times New Roman" w:cstheme="minorHAnsi"/>
                <w:b/>
                <w:color w:val="FFFFFF" w:themeColor="background1"/>
                <w:lang w:val="fr-FR"/>
              </w:rPr>
              <w:lastRenderedPageBreak/>
              <w:t>RAPPORT D’ACTIVITÉS</w:t>
            </w:r>
          </w:p>
        </w:tc>
      </w:tr>
    </w:tbl>
    <w:p w14:paraId="09DD9407" w14:textId="77777777" w:rsidR="00AB5337" w:rsidRPr="00885E8D" w:rsidRDefault="00AB5337" w:rsidP="00AB5337">
      <w:pPr>
        <w:spacing w:after="0" w:line="240" w:lineRule="auto"/>
        <w:ind w:left="-90"/>
        <w:jc w:val="both"/>
        <w:rPr>
          <w:rFonts w:cstheme="minorHAnsi"/>
          <w:sz w:val="8"/>
          <w:szCs w:val="8"/>
        </w:rPr>
      </w:pPr>
    </w:p>
    <w:p w14:paraId="4173DDB0" w14:textId="77777777" w:rsidR="00A65FD4" w:rsidRDefault="00A65FD4" w:rsidP="005F284D">
      <w:pPr>
        <w:spacing w:after="0" w:line="240" w:lineRule="auto"/>
        <w:jc w:val="both"/>
        <w:rPr>
          <w:rFonts w:ascii="Arial" w:eastAsia="Arial" w:hAnsi="Arial" w:cs="Arial"/>
          <w:b/>
          <w:color w:val="45130F"/>
          <w:sz w:val="20"/>
          <w:szCs w:val="20"/>
          <w:u w:val="single"/>
          <w:lang w:val="fr-FR"/>
        </w:rPr>
      </w:pPr>
    </w:p>
    <w:p w14:paraId="7900514E" w14:textId="668D4F64" w:rsidR="00A35F4A" w:rsidRPr="00D13FBB" w:rsidRDefault="00A70DF0" w:rsidP="005F284D">
      <w:pPr>
        <w:spacing w:after="0" w:line="240" w:lineRule="auto"/>
        <w:jc w:val="both"/>
        <w:rPr>
          <w:rFonts w:ascii="Arial" w:eastAsia="Arial" w:hAnsi="Arial" w:cs="Arial"/>
          <w:b/>
          <w:color w:val="45130F" w:themeColor="background2"/>
          <w:sz w:val="20"/>
          <w:szCs w:val="20"/>
          <w:u w:val="single"/>
        </w:rPr>
      </w:pPr>
      <w:r w:rsidRPr="00D13FBB">
        <w:rPr>
          <w:rFonts w:ascii="Arial" w:eastAsia="Arial" w:hAnsi="Arial" w:cs="Arial"/>
          <w:b/>
          <w:color w:val="45130F" w:themeColor="background2"/>
          <w:sz w:val="20"/>
          <w:szCs w:val="20"/>
          <w:u w:val="single"/>
          <w:lang w:val="fr-FR"/>
        </w:rPr>
        <w:t>États-Unis</w:t>
      </w:r>
    </w:p>
    <w:p w14:paraId="1C3C190C" w14:textId="77777777" w:rsidR="00A35F4A" w:rsidRDefault="00A35F4A" w:rsidP="00A35F4A">
      <w:pPr>
        <w:spacing w:after="0" w:line="240" w:lineRule="auto"/>
        <w:jc w:val="both"/>
        <w:rPr>
          <w:rFonts w:ascii="Arial" w:eastAsia="Arial" w:hAnsi="Arial" w:cs="Arial"/>
          <w:b/>
          <w:color w:val="45130F" w:themeColor="background2"/>
          <w:sz w:val="20"/>
          <w:szCs w:val="20"/>
          <w:u w:val="single"/>
        </w:rPr>
      </w:pPr>
    </w:p>
    <w:p w14:paraId="2F2246B8" w14:textId="34537D85" w:rsidR="00CD6C9F" w:rsidRPr="00792F07" w:rsidRDefault="00CD6C9F" w:rsidP="00CD6C9F">
      <w:pPr>
        <w:spacing w:after="0" w:line="240" w:lineRule="auto"/>
        <w:jc w:val="both"/>
        <w:rPr>
          <w:rFonts w:eastAsia="Times New Roman" w:cstheme="minorHAnsi"/>
          <w:color w:val="45130F" w:themeColor="background2"/>
          <w:sz w:val="20"/>
          <w:szCs w:val="20"/>
          <w:lang w:val="fr-FR"/>
        </w:rPr>
      </w:pPr>
      <w:r w:rsidRPr="00D13FBB">
        <w:rPr>
          <w:rFonts w:eastAsia="Times New Roman" w:cstheme="minorHAnsi"/>
          <w:color w:val="45130F" w:themeColor="background2"/>
          <w:sz w:val="20"/>
          <w:szCs w:val="20"/>
          <w:lang w:val="fr-FR"/>
        </w:rPr>
        <w:t>No</w:t>
      </w:r>
      <w:r w:rsidR="001A646E">
        <w:rPr>
          <w:rFonts w:eastAsia="Times New Roman" w:cstheme="minorHAnsi"/>
          <w:color w:val="45130F" w:themeColor="background2"/>
          <w:sz w:val="20"/>
          <w:szCs w:val="20"/>
          <w:lang w:val="fr-FR"/>
        </w:rPr>
        <w:t>s</w:t>
      </w:r>
      <w:r w:rsidRPr="00D13FBB">
        <w:rPr>
          <w:rFonts w:eastAsia="Times New Roman" w:cstheme="minorHAnsi"/>
          <w:color w:val="45130F" w:themeColor="background2"/>
          <w:sz w:val="20"/>
          <w:szCs w:val="20"/>
          <w:lang w:val="fr-FR"/>
        </w:rPr>
        <w:t xml:space="preserve"> activité</w:t>
      </w:r>
      <w:r w:rsidR="001A646E">
        <w:rPr>
          <w:rFonts w:eastAsia="Times New Roman" w:cstheme="minorHAnsi"/>
          <w:color w:val="45130F" w:themeColor="background2"/>
          <w:sz w:val="20"/>
          <w:szCs w:val="20"/>
          <w:lang w:val="fr-FR"/>
        </w:rPr>
        <w:t>s</w:t>
      </w:r>
      <w:r w:rsidRPr="00D13FBB">
        <w:rPr>
          <w:rFonts w:eastAsia="Times New Roman" w:cstheme="minorHAnsi"/>
          <w:color w:val="45130F" w:themeColor="background2"/>
          <w:sz w:val="20"/>
          <w:szCs w:val="20"/>
          <w:lang w:val="fr-FR"/>
        </w:rPr>
        <w:t xml:space="preserve"> aux Etats-Unis </w:t>
      </w:r>
      <w:r w:rsidR="001A646E">
        <w:rPr>
          <w:rFonts w:eastAsia="Times New Roman" w:cstheme="minorHAnsi"/>
          <w:color w:val="45130F" w:themeColor="background2"/>
          <w:sz w:val="20"/>
          <w:szCs w:val="20"/>
          <w:lang w:val="fr-FR"/>
        </w:rPr>
        <w:t>ont</w:t>
      </w:r>
      <w:r w:rsidRPr="00D13FBB">
        <w:rPr>
          <w:rFonts w:eastAsia="Times New Roman" w:cstheme="minorHAnsi"/>
          <w:color w:val="45130F" w:themeColor="background2"/>
          <w:sz w:val="20"/>
          <w:szCs w:val="20"/>
          <w:lang w:val="fr-FR"/>
        </w:rPr>
        <w:t xml:space="preserve"> continué à afficher une croissance de l’EBITDA durant le premier semestre </w:t>
      </w:r>
      <w:r w:rsidR="001A646E">
        <w:rPr>
          <w:rFonts w:eastAsia="Times New Roman" w:cstheme="minorHAnsi"/>
          <w:color w:val="45130F" w:themeColor="background2"/>
          <w:sz w:val="20"/>
          <w:szCs w:val="20"/>
          <w:lang w:val="fr-FR"/>
        </w:rPr>
        <w:t xml:space="preserve">dans la foulée d’une </w:t>
      </w:r>
      <w:r w:rsidRPr="00D13FBB">
        <w:rPr>
          <w:rFonts w:eastAsia="Times New Roman" w:cstheme="minorHAnsi"/>
          <w:color w:val="45130F" w:themeColor="background2"/>
          <w:sz w:val="20"/>
          <w:szCs w:val="20"/>
          <w:lang w:val="fr-FR"/>
        </w:rPr>
        <w:t xml:space="preserve">solide performance financière en 2016. Nos marques Above Premium ont poursuivi leurs excellents résultats durant le trimestre, ce qui </w:t>
      </w:r>
      <w:r>
        <w:rPr>
          <w:rFonts w:eastAsia="Times New Roman" w:cstheme="minorHAnsi"/>
          <w:color w:val="45130F" w:themeColor="background2"/>
          <w:sz w:val="20"/>
          <w:szCs w:val="20"/>
          <w:lang w:val="fr-FR"/>
        </w:rPr>
        <w:t>a</w:t>
      </w:r>
      <w:r w:rsidRPr="00792F07">
        <w:rPr>
          <w:rFonts w:eastAsia="Times New Roman" w:cstheme="minorHAnsi"/>
          <w:color w:val="45130F" w:themeColor="background2"/>
          <w:sz w:val="20"/>
          <w:szCs w:val="20"/>
          <w:lang w:val="fr-FR"/>
        </w:rPr>
        <w:t xml:space="preserve"> aidé</w:t>
      </w:r>
      <w:r w:rsidRPr="00D13FBB">
        <w:rPr>
          <w:rFonts w:eastAsia="Times New Roman" w:cstheme="minorHAnsi"/>
          <w:color w:val="45130F" w:themeColor="background2"/>
          <w:sz w:val="20"/>
          <w:szCs w:val="20"/>
          <w:lang w:val="fr-FR"/>
        </w:rPr>
        <w:t xml:space="preserve"> à relever les défis que</w:t>
      </w:r>
      <w:r w:rsidR="001A646E">
        <w:rPr>
          <w:rFonts w:eastAsia="Times New Roman" w:cstheme="minorHAnsi"/>
          <w:color w:val="45130F" w:themeColor="background2"/>
          <w:sz w:val="20"/>
          <w:szCs w:val="20"/>
          <w:lang w:val="fr-FR"/>
        </w:rPr>
        <w:t xml:space="preserve"> nous</w:t>
      </w:r>
      <w:r w:rsidRPr="00D13FBB">
        <w:rPr>
          <w:rFonts w:eastAsia="Times New Roman" w:cstheme="minorHAnsi"/>
          <w:color w:val="45130F" w:themeColor="background2"/>
          <w:sz w:val="20"/>
          <w:szCs w:val="20"/>
          <w:lang w:val="fr-FR"/>
        </w:rPr>
        <w:t xml:space="preserve"> </w:t>
      </w:r>
      <w:r w:rsidR="001A646E" w:rsidRPr="00CD6C9F">
        <w:rPr>
          <w:rFonts w:eastAsia="Times New Roman" w:cstheme="minorHAnsi"/>
          <w:color w:val="45130F" w:themeColor="background2"/>
          <w:sz w:val="20"/>
          <w:szCs w:val="20"/>
          <w:lang w:val="fr-FR"/>
        </w:rPr>
        <w:t>rencontr</w:t>
      </w:r>
      <w:r w:rsidR="001A646E">
        <w:rPr>
          <w:rFonts w:eastAsia="Times New Roman" w:cstheme="minorHAnsi"/>
          <w:color w:val="45130F" w:themeColor="background2"/>
          <w:sz w:val="20"/>
          <w:szCs w:val="20"/>
          <w:lang w:val="fr-FR"/>
        </w:rPr>
        <w:t>o</w:t>
      </w:r>
      <w:r w:rsidR="001A646E" w:rsidRPr="00CD6C9F">
        <w:rPr>
          <w:rFonts w:eastAsia="Times New Roman" w:cstheme="minorHAnsi"/>
          <w:color w:val="45130F" w:themeColor="background2"/>
          <w:sz w:val="20"/>
          <w:szCs w:val="20"/>
          <w:lang w:val="fr-FR"/>
        </w:rPr>
        <w:t>ns</w:t>
      </w:r>
      <w:r w:rsidR="001A646E">
        <w:rPr>
          <w:rFonts w:eastAsia="Times New Roman" w:cstheme="minorHAnsi"/>
          <w:color w:val="45130F" w:themeColor="background2"/>
          <w:sz w:val="20"/>
          <w:szCs w:val="20"/>
          <w:lang w:val="fr-FR"/>
        </w:rPr>
        <w:t xml:space="preserve"> avec</w:t>
      </w:r>
      <w:r w:rsidRPr="00D13FBB">
        <w:rPr>
          <w:rFonts w:eastAsia="Times New Roman" w:cstheme="minorHAnsi"/>
          <w:color w:val="45130F" w:themeColor="background2"/>
          <w:sz w:val="20"/>
          <w:szCs w:val="20"/>
          <w:lang w:val="fr-FR"/>
        </w:rPr>
        <w:t xml:space="preserve"> nos marques premium.</w:t>
      </w:r>
    </w:p>
    <w:p w14:paraId="7E271395" w14:textId="77777777" w:rsidR="00110831" w:rsidRPr="00792F07" w:rsidRDefault="00110831" w:rsidP="00CD6C9F">
      <w:pPr>
        <w:spacing w:after="0" w:line="240" w:lineRule="auto"/>
        <w:jc w:val="both"/>
        <w:rPr>
          <w:rFonts w:eastAsia="Times New Roman" w:cstheme="minorHAnsi"/>
          <w:color w:val="45130F" w:themeColor="background2"/>
          <w:sz w:val="20"/>
          <w:szCs w:val="20"/>
          <w:lang w:val="fr-FR"/>
        </w:rPr>
      </w:pPr>
    </w:p>
    <w:p w14:paraId="3197C58C" w14:textId="088A3831" w:rsidR="00110831" w:rsidRPr="00792F07" w:rsidRDefault="00110831" w:rsidP="00110831">
      <w:pPr>
        <w:spacing w:after="0" w:line="240" w:lineRule="auto"/>
        <w:jc w:val="both"/>
        <w:rPr>
          <w:rFonts w:ascii="Arial" w:eastAsia="Arial" w:hAnsi="Arial" w:cs="Arial"/>
          <w:color w:val="45130F" w:themeColor="background2"/>
          <w:sz w:val="20"/>
          <w:szCs w:val="20"/>
          <w:lang w:val="fr-BE"/>
        </w:rPr>
      </w:pPr>
      <w:r w:rsidRPr="00792F07">
        <w:rPr>
          <w:rFonts w:ascii="Arial" w:eastAsia="Arial" w:hAnsi="Arial" w:cs="Arial"/>
          <w:color w:val="45130F" w:themeColor="background2"/>
          <w:sz w:val="20"/>
          <w:szCs w:val="20"/>
          <w:lang w:val="fr-FR"/>
        </w:rPr>
        <w:t>Les produits affichent une baisse de 0,2 % au 2T17 et reculent de 1,3 % au cours du 1S17.</w:t>
      </w:r>
      <w:r w:rsidRPr="00792F07">
        <w:rPr>
          <w:rFonts w:ascii="Arial" w:eastAsia="Arial" w:hAnsi="Arial" w:cs="Arial"/>
          <w:color w:val="45130F" w:themeColor="background2"/>
          <w:sz w:val="20"/>
          <w:szCs w:val="20"/>
          <w:lang w:val="fr-BE"/>
        </w:rPr>
        <w:t xml:space="preserve"> </w:t>
      </w:r>
      <w:r w:rsidRPr="00792F07">
        <w:rPr>
          <w:rFonts w:ascii="Arial" w:eastAsia="Arial" w:hAnsi="Arial" w:cs="Arial"/>
          <w:color w:val="45130F" w:themeColor="background2"/>
          <w:sz w:val="20"/>
          <w:szCs w:val="20"/>
          <w:lang w:val="fr-FR"/>
        </w:rPr>
        <w:t>Les produits par hl ont augmenté de 0,9 % au 2T17, impactés négativement par le portefeuille de marques et de 1,5 % au 1S17.</w:t>
      </w:r>
      <w:r w:rsidRPr="00792F07">
        <w:rPr>
          <w:rFonts w:ascii="Arial" w:eastAsia="Arial" w:hAnsi="Arial" w:cs="Arial"/>
          <w:color w:val="45130F" w:themeColor="background2"/>
          <w:sz w:val="20"/>
          <w:szCs w:val="20"/>
          <w:lang w:val="fr-BE"/>
        </w:rPr>
        <w:t xml:space="preserve"> Notre stratégie de prix reste l’alignement des prix en ligne avec l’inflation. </w:t>
      </w:r>
    </w:p>
    <w:p w14:paraId="700C1DA9" w14:textId="77777777" w:rsidR="00110831" w:rsidRPr="00792F07" w:rsidRDefault="00110831" w:rsidP="00110831">
      <w:pPr>
        <w:spacing w:after="0" w:line="240" w:lineRule="auto"/>
        <w:jc w:val="both"/>
        <w:rPr>
          <w:rFonts w:ascii="Arial" w:eastAsia="Arial" w:hAnsi="Arial" w:cs="Arial"/>
          <w:color w:val="45130F" w:themeColor="background2"/>
          <w:sz w:val="20"/>
          <w:szCs w:val="20"/>
          <w:lang w:val="fr-BE"/>
        </w:rPr>
      </w:pPr>
    </w:p>
    <w:p w14:paraId="40CB2339" w14:textId="77777777" w:rsidR="00110831" w:rsidRPr="00792F07" w:rsidRDefault="00110831" w:rsidP="00110831">
      <w:pPr>
        <w:spacing w:after="0" w:line="240" w:lineRule="auto"/>
        <w:jc w:val="both"/>
        <w:rPr>
          <w:rFonts w:ascii="Arial" w:eastAsia="Arial" w:hAnsi="Arial" w:cs="Arial"/>
          <w:color w:val="45130F" w:themeColor="background2"/>
          <w:sz w:val="20"/>
          <w:szCs w:val="20"/>
          <w:lang w:val="fr-FR"/>
        </w:rPr>
      </w:pPr>
      <w:r w:rsidRPr="00792F07">
        <w:rPr>
          <w:rFonts w:ascii="Arial" w:eastAsia="Arial" w:hAnsi="Arial" w:cs="Arial"/>
          <w:color w:val="45130F" w:themeColor="background2"/>
          <w:sz w:val="20"/>
          <w:szCs w:val="20"/>
          <w:lang w:val="fr-FR"/>
        </w:rPr>
        <w:t>Aux États-Unis, nous estimons que les VAD du secteur ont diminué de 0,7</w:t>
      </w:r>
      <w:r w:rsidRPr="00792F07">
        <w:rPr>
          <w:rFonts w:eastAsia="Times New Roman" w:cstheme="minorHAnsi"/>
          <w:color w:val="45130F" w:themeColor="background2"/>
          <w:sz w:val="20"/>
          <w:szCs w:val="20"/>
          <w:lang w:val="fr-FR"/>
        </w:rPr>
        <w:t> </w:t>
      </w:r>
      <w:r w:rsidRPr="00792F07">
        <w:rPr>
          <w:rFonts w:ascii="Arial" w:eastAsia="Arial" w:hAnsi="Arial" w:cs="Arial"/>
          <w:color w:val="45130F" w:themeColor="background2"/>
          <w:sz w:val="20"/>
          <w:szCs w:val="20"/>
          <w:lang w:val="fr-FR"/>
        </w:rPr>
        <w:t>% au 2T17 et de 1,1</w:t>
      </w:r>
      <w:r w:rsidRPr="00792F07">
        <w:rPr>
          <w:rFonts w:eastAsia="Times New Roman" w:cstheme="minorHAnsi"/>
          <w:color w:val="45130F" w:themeColor="background2"/>
          <w:sz w:val="20"/>
          <w:szCs w:val="20"/>
          <w:lang w:val="fr-FR"/>
        </w:rPr>
        <w:t> </w:t>
      </w:r>
      <w:r w:rsidRPr="00792F07">
        <w:rPr>
          <w:rFonts w:ascii="Arial" w:eastAsia="Arial" w:hAnsi="Arial" w:cs="Arial"/>
          <w:color w:val="45130F" w:themeColor="background2"/>
          <w:sz w:val="20"/>
          <w:szCs w:val="20"/>
          <w:lang w:val="fr-FR"/>
        </w:rPr>
        <w:t>% au cours du 1S17, ce qui correspond aux résultats du secteur en 2016.</w:t>
      </w:r>
      <w:r w:rsidRPr="00792F07">
        <w:rPr>
          <w:rFonts w:ascii="Arial" w:eastAsia="Arial" w:hAnsi="Arial" w:cs="Arial"/>
          <w:color w:val="45130F" w:themeColor="background2"/>
          <w:sz w:val="20"/>
          <w:szCs w:val="20"/>
          <w:lang w:val="fr-BE"/>
        </w:rPr>
        <w:t xml:space="preserve"> </w:t>
      </w:r>
      <w:r w:rsidRPr="00792F07">
        <w:rPr>
          <w:rFonts w:ascii="Arial" w:eastAsia="Arial" w:hAnsi="Arial" w:cs="Arial"/>
          <w:color w:val="45130F" w:themeColor="background2"/>
          <w:sz w:val="20"/>
          <w:szCs w:val="20"/>
          <w:lang w:val="fr-FR"/>
        </w:rPr>
        <w:t>Les VAD de nos propres produits ont diminué de 3,0 % durant le trimestre et le semestre, tandis que nos VAG ont reculé de 1,1</w:t>
      </w:r>
      <w:r w:rsidRPr="00792F07">
        <w:rPr>
          <w:rFonts w:eastAsia="Times New Roman" w:cstheme="minorHAnsi"/>
          <w:color w:val="45130F" w:themeColor="background2"/>
          <w:sz w:val="20"/>
          <w:szCs w:val="20"/>
          <w:lang w:val="fr-FR"/>
        </w:rPr>
        <w:t> </w:t>
      </w:r>
      <w:r w:rsidRPr="00792F07">
        <w:rPr>
          <w:rFonts w:ascii="Arial" w:eastAsia="Arial" w:hAnsi="Arial" w:cs="Arial"/>
          <w:color w:val="45130F" w:themeColor="background2"/>
          <w:sz w:val="20"/>
          <w:szCs w:val="20"/>
          <w:lang w:val="fr-FR"/>
        </w:rPr>
        <w:t>% au 2T17 et de 2,7</w:t>
      </w:r>
      <w:r w:rsidRPr="00792F07">
        <w:rPr>
          <w:rFonts w:eastAsia="Times New Roman" w:cstheme="minorHAnsi"/>
          <w:color w:val="45130F" w:themeColor="background2"/>
          <w:sz w:val="20"/>
          <w:szCs w:val="20"/>
          <w:lang w:val="fr-FR"/>
        </w:rPr>
        <w:t> </w:t>
      </w:r>
      <w:r w:rsidRPr="00792F07">
        <w:rPr>
          <w:rFonts w:ascii="Arial" w:eastAsia="Arial" w:hAnsi="Arial" w:cs="Arial"/>
          <w:color w:val="45130F" w:themeColor="background2"/>
          <w:sz w:val="20"/>
          <w:szCs w:val="20"/>
          <w:lang w:val="fr-FR"/>
        </w:rPr>
        <w:t>% au cours du 1S17. Les VAD et VAG ont dès lors convergé au premier semestre, avec des niveaux de stock qui devraient permettre de répondre à la demande estivale.</w:t>
      </w:r>
    </w:p>
    <w:p w14:paraId="4C132450" w14:textId="77777777" w:rsidR="00110831" w:rsidRPr="00792F07" w:rsidRDefault="00110831" w:rsidP="00110831">
      <w:pPr>
        <w:spacing w:after="0" w:line="240" w:lineRule="auto"/>
        <w:jc w:val="both"/>
        <w:rPr>
          <w:rFonts w:ascii="Arial" w:eastAsia="Arial" w:hAnsi="Arial" w:cs="Arial"/>
          <w:color w:val="45130F" w:themeColor="background2"/>
          <w:sz w:val="20"/>
          <w:szCs w:val="20"/>
          <w:lang w:val="fr-FR"/>
        </w:rPr>
      </w:pPr>
    </w:p>
    <w:p w14:paraId="3E79D58F" w14:textId="10C9D806" w:rsidR="00110831" w:rsidRPr="00792F07" w:rsidRDefault="00110831" w:rsidP="00110831">
      <w:pPr>
        <w:spacing w:after="0" w:line="240" w:lineRule="auto"/>
        <w:jc w:val="both"/>
        <w:rPr>
          <w:rFonts w:ascii="Arial" w:eastAsia="Arial" w:hAnsi="Arial" w:cs="Arial"/>
          <w:color w:val="45130F" w:themeColor="background2"/>
          <w:sz w:val="20"/>
          <w:szCs w:val="20"/>
          <w:lang w:val="fr-BE"/>
        </w:rPr>
      </w:pPr>
      <w:r w:rsidRPr="00D13FBB">
        <w:rPr>
          <w:rFonts w:ascii="Arial" w:eastAsia="Arial" w:hAnsi="Arial" w:cs="Arial"/>
          <w:color w:val="45130F" w:themeColor="background2"/>
          <w:sz w:val="20"/>
          <w:szCs w:val="20"/>
          <w:lang w:val="fr-FR"/>
        </w:rPr>
        <w:t>Nous estimons une baisse de la part de marché totale d’environ 105 points de base au 2T17 due à un</w:t>
      </w:r>
      <w:r w:rsidRPr="00792F07">
        <w:rPr>
          <w:rFonts w:ascii="Arial" w:eastAsia="Arial" w:hAnsi="Arial" w:cs="Arial"/>
          <w:color w:val="45130F" w:themeColor="background2"/>
          <w:sz w:val="20"/>
          <w:szCs w:val="20"/>
          <w:lang w:val="fr-FR"/>
        </w:rPr>
        <w:t xml:space="preserve">e comparaison difficile </w:t>
      </w:r>
      <w:r w:rsidR="001A646E">
        <w:rPr>
          <w:rFonts w:ascii="Arial" w:eastAsia="Arial" w:hAnsi="Arial" w:cs="Arial"/>
          <w:color w:val="45130F" w:themeColor="background2"/>
          <w:sz w:val="20"/>
          <w:szCs w:val="20"/>
          <w:lang w:val="fr-FR"/>
        </w:rPr>
        <w:t xml:space="preserve">par rapport </w:t>
      </w:r>
      <w:r w:rsidRPr="00792F07">
        <w:rPr>
          <w:rFonts w:ascii="Arial" w:eastAsia="Arial" w:hAnsi="Arial" w:cs="Arial"/>
          <w:color w:val="45130F" w:themeColor="background2"/>
          <w:sz w:val="20"/>
          <w:szCs w:val="20"/>
          <w:lang w:val="fr-FR"/>
        </w:rPr>
        <w:t xml:space="preserve">au 2T16. Nous estimons une baisse </w:t>
      </w:r>
      <w:r w:rsidRPr="00D13FBB">
        <w:rPr>
          <w:rFonts w:ascii="Arial" w:eastAsia="Arial" w:hAnsi="Arial" w:cs="Arial"/>
          <w:color w:val="45130F" w:themeColor="background2"/>
          <w:sz w:val="20"/>
          <w:szCs w:val="20"/>
          <w:lang w:val="fr-FR"/>
        </w:rPr>
        <w:t>d’environ 85 points de base au 1S17.</w:t>
      </w:r>
      <w:r w:rsidRPr="00792F07">
        <w:rPr>
          <w:rFonts w:ascii="Arial" w:eastAsia="Arial" w:hAnsi="Arial" w:cs="Arial"/>
          <w:color w:val="45130F" w:themeColor="background2"/>
          <w:sz w:val="20"/>
          <w:szCs w:val="20"/>
          <w:lang w:val="fr-BE"/>
        </w:rPr>
        <w:t xml:space="preserve"> Nous ne sommes pas satisfaits par notre performance en termes de part de marché et nous continuerons de travailler vers un équilibre entre part de marché et rentabilité tout en affinant notre stratégie régionale </w:t>
      </w:r>
      <w:r w:rsidR="00792F07" w:rsidRPr="00792F07">
        <w:rPr>
          <w:rFonts w:ascii="Arial" w:eastAsia="Arial" w:hAnsi="Arial" w:cs="Arial"/>
          <w:color w:val="45130F" w:themeColor="background2"/>
          <w:sz w:val="20"/>
          <w:szCs w:val="20"/>
          <w:lang w:val="fr-BE"/>
        </w:rPr>
        <w:t>au niveau du prix des</w:t>
      </w:r>
      <w:r w:rsidRPr="00792F07">
        <w:rPr>
          <w:rFonts w:ascii="Arial" w:eastAsia="Arial" w:hAnsi="Arial" w:cs="Arial"/>
          <w:color w:val="45130F" w:themeColor="background2"/>
          <w:sz w:val="20"/>
          <w:szCs w:val="20"/>
          <w:lang w:val="fr-BE"/>
        </w:rPr>
        <w:t xml:space="preserve"> packs, en nous appuyant sur notre solide réseau de grossistes.</w:t>
      </w:r>
    </w:p>
    <w:p w14:paraId="63029741" w14:textId="77777777" w:rsidR="00110831" w:rsidRPr="00792F07" w:rsidRDefault="00110831" w:rsidP="00110831">
      <w:pPr>
        <w:spacing w:after="0" w:line="240" w:lineRule="auto"/>
        <w:jc w:val="both"/>
        <w:rPr>
          <w:rFonts w:ascii="Arial" w:eastAsia="Arial" w:hAnsi="Arial" w:cs="Arial"/>
          <w:color w:val="45130F" w:themeColor="background2"/>
          <w:sz w:val="20"/>
          <w:szCs w:val="20"/>
          <w:lang w:val="fr-BE"/>
        </w:rPr>
      </w:pPr>
    </w:p>
    <w:p w14:paraId="5B472307" w14:textId="0273A809" w:rsidR="00372440" w:rsidRPr="00D13FBB" w:rsidRDefault="00A70DF0" w:rsidP="005F284D">
      <w:pPr>
        <w:jc w:val="both"/>
        <w:textAlignment w:val="baseline"/>
        <w:rPr>
          <w:rFonts w:ascii="Arial" w:eastAsia="Arial" w:hAnsi="Arial" w:cs="Arial"/>
          <w:color w:val="45130F" w:themeColor="background2"/>
          <w:sz w:val="20"/>
          <w:szCs w:val="20"/>
          <w:lang w:val="fr-BE"/>
        </w:rPr>
      </w:pPr>
      <w:r w:rsidRPr="00D13FBB">
        <w:rPr>
          <w:rFonts w:ascii="Arial" w:eastAsia="Arial" w:hAnsi="Arial" w:cs="Arial"/>
          <w:color w:val="45130F" w:themeColor="background2"/>
          <w:sz w:val="20"/>
          <w:szCs w:val="20"/>
          <w:lang w:val="fr-FR"/>
        </w:rPr>
        <w:t>Notre portefeuille de marques Above Premium a maintenu de bons résultats, gagnant pendant le trimestre environ 35 points de base de part de marché totale (30 points de base au 1S17).</w:t>
      </w:r>
      <w:r w:rsidR="00372440" w:rsidRPr="00D13FBB">
        <w:rPr>
          <w:rFonts w:ascii="Arial" w:eastAsia="Arial" w:hAnsi="Arial" w:cs="Arial"/>
          <w:color w:val="45130F" w:themeColor="background2"/>
          <w:sz w:val="20"/>
          <w:szCs w:val="20"/>
          <w:lang w:val="fr-BE"/>
        </w:rPr>
        <w:t xml:space="preserve"> </w:t>
      </w:r>
      <w:r w:rsidRPr="00D13FBB">
        <w:rPr>
          <w:rFonts w:ascii="Arial" w:eastAsia="Arial" w:hAnsi="Arial" w:cs="Arial"/>
          <w:color w:val="45130F" w:themeColor="background2"/>
          <w:sz w:val="20"/>
          <w:szCs w:val="20"/>
          <w:lang w:val="fr-FR"/>
        </w:rPr>
        <w:t xml:space="preserve">Michelob Ultra </w:t>
      </w:r>
      <w:r w:rsidR="005F284D" w:rsidRPr="00D13FBB">
        <w:rPr>
          <w:rFonts w:ascii="Arial" w:eastAsia="Arial" w:hAnsi="Arial" w:cs="Arial"/>
          <w:color w:val="45130F" w:themeColor="background2"/>
          <w:sz w:val="20"/>
          <w:szCs w:val="20"/>
          <w:lang w:val="fr-FR"/>
        </w:rPr>
        <w:t xml:space="preserve">affiche pour le neuvième trimestre consécutif </w:t>
      </w:r>
      <w:r w:rsidRPr="00D13FBB">
        <w:rPr>
          <w:rFonts w:ascii="Arial" w:eastAsia="Arial" w:hAnsi="Arial" w:cs="Arial"/>
          <w:color w:val="45130F" w:themeColor="background2"/>
          <w:sz w:val="20"/>
          <w:szCs w:val="20"/>
          <w:lang w:val="fr-FR"/>
        </w:rPr>
        <w:t xml:space="preserve">le plus important gain de part de marché aux Etats-Unis, et ses volumes continuent d’enregistrer une croissance à deux chiffres grâce à son positionnement associé au </w:t>
      </w:r>
      <w:r w:rsidR="005F284D" w:rsidRPr="00D13FBB">
        <w:rPr>
          <w:rFonts w:ascii="Arial" w:eastAsia="Arial" w:hAnsi="Arial" w:cs="Arial"/>
          <w:color w:val="45130F" w:themeColor="background2"/>
          <w:sz w:val="20"/>
          <w:szCs w:val="20"/>
          <w:lang w:val="fr-FR"/>
        </w:rPr>
        <w:t>« </w:t>
      </w:r>
      <w:r w:rsidRPr="00D13FBB">
        <w:rPr>
          <w:rFonts w:ascii="Arial" w:eastAsia="Arial" w:hAnsi="Arial" w:cs="Arial"/>
          <w:color w:val="45130F" w:themeColor="background2"/>
          <w:sz w:val="20"/>
          <w:szCs w:val="20"/>
          <w:lang w:val="fr-FR"/>
        </w:rPr>
        <w:t>mode de vie actif</w:t>
      </w:r>
      <w:r w:rsidR="005F284D" w:rsidRPr="00D13FBB">
        <w:rPr>
          <w:rFonts w:ascii="Arial" w:eastAsia="Arial" w:hAnsi="Arial" w:cs="Arial"/>
          <w:color w:val="45130F" w:themeColor="background2"/>
          <w:sz w:val="20"/>
          <w:szCs w:val="20"/>
          <w:lang w:val="fr-FR"/>
        </w:rPr>
        <w:t> »</w:t>
      </w:r>
      <w:r w:rsidRPr="00D13FBB">
        <w:rPr>
          <w:rFonts w:ascii="Arial" w:eastAsia="Arial" w:hAnsi="Arial" w:cs="Arial"/>
          <w:color w:val="45130F" w:themeColor="background2"/>
          <w:sz w:val="20"/>
          <w:szCs w:val="20"/>
          <w:lang w:val="fr-FR"/>
        </w:rPr>
        <w:t xml:space="preserve"> et au soutien accru dont bénéficie la marque.</w:t>
      </w:r>
      <w:r w:rsidR="00372440" w:rsidRPr="00D13FBB">
        <w:rPr>
          <w:rFonts w:ascii="Arial" w:eastAsia="Arial" w:hAnsi="Arial" w:cs="Arial"/>
          <w:color w:val="45130F" w:themeColor="background2"/>
          <w:sz w:val="20"/>
          <w:szCs w:val="20"/>
          <w:lang w:val="fr-BE"/>
        </w:rPr>
        <w:t xml:space="preserve"> </w:t>
      </w:r>
      <w:r w:rsidRPr="00D13FBB">
        <w:rPr>
          <w:rFonts w:ascii="Arial" w:eastAsia="Arial" w:hAnsi="Arial" w:cs="Arial"/>
          <w:color w:val="45130F" w:themeColor="background2"/>
          <w:sz w:val="20"/>
          <w:szCs w:val="20"/>
          <w:lang w:val="fr-FR"/>
        </w:rPr>
        <w:t xml:space="preserve">Stella Artois a de nouveau réalisé un excellent trimestre, et a été </w:t>
      </w:r>
      <w:r w:rsidR="005F284D" w:rsidRPr="00D13FBB">
        <w:rPr>
          <w:rFonts w:ascii="Arial" w:eastAsia="Arial" w:hAnsi="Arial" w:cs="Arial"/>
          <w:color w:val="45130F" w:themeColor="background2"/>
          <w:sz w:val="20"/>
          <w:szCs w:val="20"/>
          <w:lang w:val="fr-FR"/>
        </w:rPr>
        <w:t xml:space="preserve">la </w:t>
      </w:r>
      <w:r w:rsidRPr="00D13FBB">
        <w:rPr>
          <w:rFonts w:ascii="Arial" w:eastAsia="Arial" w:hAnsi="Arial" w:cs="Arial"/>
          <w:color w:val="45130F" w:themeColor="background2"/>
          <w:sz w:val="20"/>
          <w:szCs w:val="20"/>
          <w:lang w:val="fr-FR"/>
        </w:rPr>
        <w:t>bière européenne importée connaissant la croissance la plus rapide, selon les données IRI.</w:t>
      </w:r>
      <w:r w:rsidR="00372440" w:rsidRPr="00D13FBB">
        <w:rPr>
          <w:rFonts w:ascii="Arial" w:eastAsia="Arial" w:hAnsi="Arial" w:cs="Arial"/>
          <w:color w:val="45130F" w:themeColor="background2"/>
          <w:sz w:val="20"/>
          <w:szCs w:val="20"/>
          <w:lang w:val="fr-BE"/>
        </w:rPr>
        <w:t xml:space="preserve"> </w:t>
      </w:r>
      <w:r w:rsidRPr="00D13FBB">
        <w:rPr>
          <w:rFonts w:ascii="Arial" w:eastAsia="Arial" w:hAnsi="Arial" w:cs="Arial"/>
          <w:color w:val="45130F" w:themeColor="background2"/>
          <w:sz w:val="20"/>
          <w:szCs w:val="20"/>
          <w:lang w:val="fr-FR"/>
        </w:rPr>
        <w:t>Notre portefeuille de marques artisanales a</w:t>
      </w:r>
      <w:r w:rsidR="00F776A9">
        <w:rPr>
          <w:rFonts w:ascii="Arial" w:eastAsia="Arial" w:hAnsi="Arial" w:cs="Arial"/>
          <w:color w:val="45130F" w:themeColor="background2"/>
          <w:sz w:val="20"/>
          <w:szCs w:val="20"/>
          <w:lang w:val="fr-FR"/>
        </w:rPr>
        <w:t xml:space="preserve"> également</w:t>
      </w:r>
      <w:r w:rsidRPr="00D13FBB">
        <w:rPr>
          <w:rFonts w:ascii="Arial" w:eastAsia="Arial" w:hAnsi="Arial" w:cs="Arial"/>
          <w:color w:val="45130F" w:themeColor="background2"/>
          <w:sz w:val="20"/>
          <w:szCs w:val="20"/>
          <w:lang w:val="fr-FR"/>
        </w:rPr>
        <w:t xml:space="preserve"> continué à progresser en termes de parts de marché.</w:t>
      </w:r>
    </w:p>
    <w:p w14:paraId="5317A433" w14:textId="34C0F495" w:rsidR="00372440" w:rsidRPr="00D13FBB" w:rsidRDefault="00A70DF0" w:rsidP="005F284D">
      <w:pPr>
        <w:spacing w:after="0" w:line="240" w:lineRule="auto"/>
        <w:jc w:val="both"/>
        <w:rPr>
          <w:rFonts w:ascii="Arial" w:eastAsia="Arial" w:hAnsi="Arial" w:cs="Arial"/>
          <w:color w:val="45130F" w:themeColor="background2"/>
          <w:sz w:val="20"/>
          <w:szCs w:val="20"/>
          <w:lang w:val="fr-BE"/>
        </w:rPr>
      </w:pPr>
      <w:r w:rsidRPr="00D13FBB">
        <w:rPr>
          <w:rFonts w:ascii="Arial" w:eastAsia="Arial" w:hAnsi="Arial" w:cs="Arial"/>
          <w:color w:val="45130F" w:themeColor="background2"/>
          <w:sz w:val="20"/>
          <w:szCs w:val="20"/>
          <w:lang w:val="fr-FR"/>
        </w:rPr>
        <w:t xml:space="preserve">Nos marques bon marché ont continué à évoluer positivement pendant le trimestre, notamment </w:t>
      </w:r>
      <w:r w:rsidR="007F1762" w:rsidRPr="00D13FBB">
        <w:rPr>
          <w:rFonts w:ascii="Arial" w:eastAsia="Arial" w:hAnsi="Arial" w:cs="Arial"/>
          <w:color w:val="45130F" w:themeColor="background2"/>
          <w:sz w:val="20"/>
          <w:szCs w:val="20"/>
          <w:lang w:val="fr-FR"/>
        </w:rPr>
        <w:t xml:space="preserve">au sein de </w:t>
      </w:r>
      <w:r w:rsidRPr="00D13FBB">
        <w:rPr>
          <w:rFonts w:ascii="Arial" w:eastAsia="Arial" w:hAnsi="Arial" w:cs="Arial"/>
          <w:color w:val="45130F" w:themeColor="background2"/>
          <w:sz w:val="20"/>
          <w:szCs w:val="20"/>
          <w:lang w:val="fr-FR"/>
        </w:rPr>
        <w:t>la famille de marques Busch.</w:t>
      </w:r>
      <w:r w:rsidR="00372440" w:rsidRPr="00D13FBB">
        <w:rPr>
          <w:rFonts w:ascii="Arial" w:eastAsia="Arial" w:hAnsi="Arial" w:cs="Arial"/>
          <w:color w:val="45130F" w:themeColor="background2"/>
          <w:sz w:val="20"/>
          <w:szCs w:val="20"/>
          <w:lang w:val="fr-BE"/>
        </w:rPr>
        <w:t xml:space="preserve"> </w:t>
      </w:r>
      <w:r w:rsidRPr="00D13FBB">
        <w:rPr>
          <w:rFonts w:ascii="Arial" w:eastAsia="Arial" w:hAnsi="Arial" w:cs="Arial"/>
          <w:color w:val="45130F" w:themeColor="background2"/>
          <w:sz w:val="20"/>
          <w:szCs w:val="20"/>
          <w:lang w:val="fr-FR"/>
        </w:rPr>
        <w:t>Ces marques gardent une clientèle fidèle et demandent peu d’investissements.</w:t>
      </w:r>
    </w:p>
    <w:p w14:paraId="4D031E81" w14:textId="77777777" w:rsidR="00372440" w:rsidRPr="00D13FBB" w:rsidRDefault="00372440" w:rsidP="00372440">
      <w:pPr>
        <w:spacing w:after="0" w:line="240" w:lineRule="auto"/>
        <w:jc w:val="both"/>
        <w:rPr>
          <w:rFonts w:ascii="Arial" w:eastAsia="Arial" w:hAnsi="Arial" w:cs="Arial"/>
          <w:color w:val="45130F" w:themeColor="background2"/>
          <w:sz w:val="20"/>
          <w:szCs w:val="20"/>
          <w:lang w:val="fr-BE"/>
        </w:rPr>
      </w:pPr>
    </w:p>
    <w:p w14:paraId="61254183" w14:textId="1A8613CE" w:rsidR="00F646E1" w:rsidRPr="00D13FBB" w:rsidRDefault="00A70DF0" w:rsidP="005F284D">
      <w:pPr>
        <w:jc w:val="both"/>
        <w:textAlignment w:val="baseline"/>
        <w:rPr>
          <w:rFonts w:ascii="Arial" w:eastAsia="Arial" w:hAnsi="Arial" w:cs="Arial"/>
          <w:color w:val="45130F" w:themeColor="background2"/>
          <w:sz w:val="20"/>
          <w:szCs w:val="20"/>
          <w:lang w:val="fr-BE"/>
        </w:rPr>
      </w:pPr>
      <w:r w:rsidRPr="00D13FBB">
        <w:rPr>
          <w:rFonts w:ascii="Arial" w:eastAsia="Arial" w:hAnsi="Arial" w:cs="Arial"/>
          <w:color w:val="45130F" w:themeColor="background2"/>
          <w:sz w:val="20"/>
          <w:szCs w:val="20"/>
          <w:lang w:val="fr-FR"/>
        </w:rPr>
        <w:t xml:space="preserve">Le segment premium aux Etats-Unis demeure sous pression, car les consommateurs continuent à se tourner vers les marques </w:t>
      </w:r>
      <w:r w:rsidR="005F284D" w:rsidRPr="00D13FBB">
        <w:rPr>
          <w:rFonts w:ascii="Arial" w:eastAsia="Arial" w:hAnsi="Arial" w:cs="Arial"/>
          <w:color w:val="45130F" w:themeColor="background2"/>
          <w:sz w:val="20"/>
          <w:szCs w:val="20"/>
          <w:lang w:val="fr-FR"/>
        </w:rPr>
        <w:t>haut de gamme</w:t>
      </w:r>
      <w:r w:rsidRPr="00D13FBB">
        <w:rPr>
          <w:rFonts w:ascii="Arial" w:eastAsia="Arial" w:hAnsi="Arial" w:cs="Arial"/>
          <w:color w:val="45130F" w:themeColor="background2"/>
          <w:sz w:val="20"/>
          <w:szCs w:val="20"/>
          <w:lang w:val="fr-FR"/>
        </w:rPr>
        <w:t>.</w:t>
      </w:r>
      <w:r w:rsidR="00F646E1" w:rsidRPr="00D13FBB">
        <w:rPr>
          <w:rFonts w:ascii="Arial" w:eastAsia="Arial" w:hAnsi="Arial" w:cs="Arial"/>
          <w:color w:val="45130F" w:themeColor="background2"/>
          <w:sz w:val="20"/>
          <w:szCs w:val="20"/>
          <w:lang w:val="fr-BE"/>
        </w:rPr>
        <w:t xml:space="preserve"> </w:t>
      </w:r>
      <w:r w:rsidRPr="00D13FBB">
        <w:rPr>
          <w:rFonts w:ascii="Arial" w:eastAsia="Arial" w:hAnsi="Arial" w:cs="Arial"/>
          <w:color w:val="45130F" w:themeColor="background2"/>
          <w:sz w:val="20"/>
          <w:szCs w:val="20"/>
          <w:lang w:val="fr-FR"/>
        </w:rPr>
        <w:t>Ceci entraîne une évolution positive pour de nombreuses marques de notre portefeuille, mais met sous pression Budweiser et Bud Light, qui ont perdu respectivement 40 et 90 points de base au 2T17.</w:t>
      </w:r>
    </w:p>
    <w:p w14:paraId="79E8DDEE" w14:textId="79768853" w:rsidR="00962808" w:rsidRDefault="005F284D" w:rsidP="007E56F8">
      <w:pPr>
        <w:jc w:val="both"/>
        <w:textAlignment w:val="baseline"/>
        <w:rPr>
          <w:rFonts w:ascii="Arial" w:eastAsia="Arial" w:hAnsi="Arial" w:cs="Arial"/>
          <w:color w:val="45130F" w:themeColor="background2"/>
          <w:sz w:val="20"/>
          <w:szCs w:val="20"/>
          <w:lang w:val="fr-FR"/>
        </w:rPr>
      </w:pPr>
      <w:r w:rsidRPr="00D13FBB">
        <w:rPr>
          <w:rFonts w:ascii="Arial" w:eastAsia="Arial" w:hAnsi="Arial" w:cs="Arial"/>
          <w:color w:val="45130F" w:themeColor="background2"/>
          <w:sz w:val="20"/>
          <w:szCs w:val="20"/>
          <w:lang w:val="fr-FR"/>
        </w:rPr>
        <w:t>Dans l’ensemble,</w:t>
      </w:r>
      <w:r w:rsidR="00487D6A" w:rsidRPr="00D13FBB">
        <w:rPr>
          <w:rFonts w:ascii="Arial" w:eastAsia="Arial" w:hAnsi="Arial" w:cs="Arial"/>
          <w:color w:val="45130F" w:themeColor="background2"/>
          <w:sz w:val="20"/>
          <w:szCs w:val="20"/>
          <w:lang w:val="fr-FR"/>
        </w:rPr>
        <w:t xml:space="preserve"> notre campagne </w:t>
      </w:r>
      <w:r w:rsidRPr="00D13FBB">
        <w:rPr>
          <w:rFonts w:ascii="Arial" w:eastAsia="Arial" w:hAnsi="Arial" w:cs="Arial"/>
          <w:color w:val="45130F" w:themeColor="background2"/>
          <w:sz w:val="20"/>
          <w:szCs w:val="20"/>
          <w:lang w:val="fr-FR"/>
        </w:rPr>
        <w:t>« </w:t>
      </w:r>
      <w:r w:rsidR="00487D6A" w:rsidRPr="00D13FBB">
        <w:rPr>
          <w:rFonts w:ascii="Arial" w:eastAsia="Arial" w:hAnsi="Arial" w:cs="Arial"/>
          <w:color w:val="45130F" w:themeColor="background2"/>
          <w:sz w:val="20"/>
          <w:szCs w:val="20"/>
          <w:lang w:val="fr-FR"/>
        </w:rPr>
        <w:t>America</w:t>
      </w:r>
      <w:r w:rsidRPr="00D13FBB">
        <w:rPr>
          <w:rFonts w:ascii="Arial" w:eastAsia="Arial" w:hAnsi="Arial" w:cs="Arial"/>
          <w:color w:val="45130F" w:themeColor="background2"/>
          <w:sz w:val="20"/>
          <w:szCs w:val="20"/>
          <w:lang w:val="fr-FR"/>
        </w:rPr>
        <w:t> »</w:t>
      </w:r>
      <w:r w:rsidR="00487D6A" w:rsidRPr="00D13FBB">
        <w:rPr>
          <w:rFonts w:ascii="Arial" w:eastAsia="Arial" w:hAnsi="Arial" w:cs="Arial"/>
          <w:color w:val="45130F" w:themeColor="background2"/>
          <w:sz w:val="20"/>
          <w:szCs w:val="20"/>
          <w:lang w:val="fr-FR"/>
        </w:rPr>
        <w:t xml:space="preserve"> pour Budweiser est fructueuse, et la nouvelle plateforme </w:t>
      </w:r>
      <w:r w:rsidRPr="00D13FBB">
        <w:rPr>
          <w:rFonts w:ascii="Arial" w:eastAsia="Arial" w:hAnsi="Arial" w:cs="Arial"/>
          <w:color w:val="45130F" w:themeColor="background2"/>
          <w:sz w:val="20"/>
          <w:szCs w:val="20"/>
          <w:lang w:val="fr-FR"/>
        </w:rPr>
        <w:t>« Friendship »</w:t>
      </w:r>
      <w:r w:rsidR="00487D6A" w:rsidRPr="00D13FBB">
        <w:rPr>
          <w:rFonts w:ascii="Arial" w:eastAsia="Arial" w:hAnsi="Arial" w:cs="Arial"/>
          <w:color w:val="45130F" w:themeColor="background2"/>
          <w:sz w:val="20"/>
          <w:szCs w:val="20"/>
          <w:lang w:val="fr-FR"/>
        </w:rPr>
        <w:t xml:space="preserve"> de Bud Light est prometteuse.</w:t>
      </w:r>
      <w:r w:rsidR="00F646E1" w:rsidRPr="00D13FBB">
        <w:rPr>
          <w:rFonts w:ascii="Arial" w:eastAsia="Arial" w:hAnsi="Arial" w:cs="Arial"/>
          <w:color w:val="45130F" w:themeColor="background2"/>
          <w:sz w:val="20"/>
          <w:szCs w:val="20"/>
          <w:lang w:val="fr-FR"/>
        </w:rPr>
        <w:t> </w:t>
      </w:r>
      <w:r w:rsidR="00487D6A" w:rsidRPr="00D13FBB">
        <w:rPr>
          <w:rFonts w:ascii="Arial" w:eastAsia="Arial" w:hAnsi="Arial" w:cs="Arial"/>
          <w:color w:val="45130F" w:themeColor="background2"/>
          <w:sz w:val="20"/>
          <w:szCs w:val="20"/>
          <w:lang w:val="fr-FR"/>
        </w:rPr>
        <w:t xml:space="preserve">Ces résultats offrent de belles perspectives pour la santé de la marque, </w:t>
      </w:r>
      <w:r w:rsidR="00792F07">
        <w:rPr>
          <w:rFonts w:ascii="Arial" w:eastAsia="Arial" w:hAnsi="Arial" w:cs="Arial"/>
          <w:color w:val="45130F" w:themeColor="background2"/>
          <w:sz w:val="20"/>
          <w:szCs w:val="20"/>
          <w:lang w:val="fr-FR"/>
        </w:rPr>
        <w:t xml:space="preserve">ce qui nous positionne favorablement </w:t>
      </w:r>
      <w:r w:rsidR="00EB3DAE">
        <w:rPr>
          <w:rFonts w:ascii="Arial" w:eastAsia="Arial" w:hAnsi="Arial" w:cs="Arial"/>
          <w:color w:val="45130F" w:themeColor="background2"/>
          <w:sz w:val="20"/>
          <w:szCs w:val="20"/>
          <w:lang w:val="fr-FR"/>
        </w:rPr>
        <w:t>en vue d’un</w:t>
      </w:r>
      <w:r w:rsidR="00792F07">
        <w:rPr>
          <w:rFonts w:ascii="Arial" w:eastAsia="Arial" w:hAnsi="Arial" w:cs="Arial"/>
          <w:color w:val="45130F" w:themeColor="background2"/>
          <w:sz w:val="20"/>
          <w:szCs w:val="20"/>
          <w:lang w:val="fr-FR"/>
        </w:rPr>
        <w:t xml:space="preserve"> succès à long terme</w:t>
      </w:r>
      <w:r w:rsidR="00487D6A" w:rsidRPr="00D13FBB">
        <w:rPr>
          <w:rFonts w:ascii="Arial" w:eastAsia="Arial" w:hAnsi="Arial" w:cs="Arial"/>
          <w:color w:val="45130F" w:themeColor="background2"/>
          <w:sz w:val="20"/>
          <w:szCs w:val="20"/>
          <w:lang w:val="fr-FR"/>
        </w:rPr>
        <w:t>.</w:t>
      </w:r>
      <w:r w:rsidR="00F646E1" w:rsidRPr="00D13FBB">
        <w:rPr>
          <w:rFonts w:ascii="Arial" w:eastAsia="Arial" w:hAnsi="Arial" w:cs="Arial"/>
          <w:color w:val="45130F" w:themeColor="background2"/>
          <w:sz w:val="20"/>
          <w:szCs w:val="20"/>
          <w:lang w:val="fr-FR"/>
        </w:rPr>
        <w:t> </w:t>
      </w:r>
      <w:r w:rsidR="00662D6F" w:rsidRPr="00D13FBB">
        <w:rPr>
          <w:rFonts w:ascii="Arial" w:eastAsia="Arial" w:hAnsi="Arial" w:cs="Arial"/>
          <w:color w:val="45130F" w:themeColor="background2"/>
          <w:sz w:val="20"/>
          <w:szCs w:val="20"/>
          <w:lang w:val="fr-FR"/>
        </w:rPr>
        <w:t xml:space="preserve">Nous avons également </w:t>
      </w:r>
      <w:r w:rsidR="007E56F8" w:rsidRPr="00D13FBB">
        <w:rPr>
          <w:rFonts w:ascii="Arial" w:eastAsia="Arial" w:hAnsi="Arial" w:cs="Arial"/>
          <w:color w:val="45130F" w:themeColor="background2"/>
          <w:sz w:val="20"/>
          <w:szCs w:val="20"/>
          <w:lang w:val="fr-FR"/>
        </w:rPr>
        <w:t>port</w:t>
      </w:r>
      <w:r w:rsidR="00662D6F" w:rsidRPr="00D13FBB">
        <w:rPr>
          <w:rFonts w:ascii="Arial" w:eastAsia="Arial" w:hAnsi="Arial" w:cs="Arial"/>
          <w:color w:val="45130F" w:themeColor="background2"/>
          <w:sz w:val="20"/>
          <w:szCs w:val="20"/>
          <w:lang w:val="fr-FR"/>
        </w:rPr>
        <w:t xml:space="preserve">é la campagne </w:t>
      </w:r>
      <w:r w:rsidR="007E56F8" w:rsidRPr="00D13FBB">
        <w:rPr>
          <w:rFonts w:ascii="Arial" w:eastAsia="Arial" w:hAnsi="Arial" w:cs="Arial"/>
          <w:color w:val="45130F" w:themeColor="background2"/>
          <w:sz w:val="20"/>
          <w:szCs w:val="20"/>
          <w:lang w:val="fr-FR"/>
        </w:rPr>
        <w:t>« </w:t>
      </w:r>
      <w:r w:rsidR="00662D6F" w:rsidRPr="00D13FBB">
        <w:rPr>
          <w:rFonts w:ascii="Arial" w:eastAsia="Arial" w:hAnsi="Arial" w:cs="Arial"/>
          <w:color w:val="45130F" w:themeColor="background2"/>
          <w:sz w:val="20"/>
          <w:szCs w:val="20"/>
          <w:lang w:val="fr-FR"/>
        </w:rPr>
        <w:t>America</w:t>
      </w:r>
      <w:r w:rsidR="007E56F8" w:rsidRPr="00D13FBB">
        <w:rPr>
          <w:rFonts w:ascii="Arial" w:eastAsia="Arial" w:hAnsi="Arial" w:cs="Arial"/>
          <w:color w:val="45130F" w:themeColor="background2"/>
          <w:sz w:val="20"/>
          <w:szCs w:val="20"/>
          <w:lang w:val="fr-FR"/>
        </w:rPr>
        <w:t> »</w:t>
      </w:r>
      <w:r w:rsidR="00662D6F" w:rsidRPr="00D13FBB">
        <w:rPr>
          <w:rFonts w:ascii="Arial" w:eastAsia="Arial" w:hAnsi="Arial" w:cs="Arial"/>
          <w:color w:val="45130F" w:themeColor="background2"/>
          <w:sz w:val="20"/>
          <w:szCs w:val="20"/>
          <w:lang w:val="fr-FR"/>
        </w:rPr>
        <w:t xml:space="preserve"> de Budweiser au niveau national, en lançant un emballage spécial pour mettre à l’honneur les villes de nos 12 brasseries principales</w:t>
      </w:r>
      <w:r w:rsidR="00F321D9" w:rsidRPr="00D13FBB">
        <w:rPr>
          <w:rFonts w:ascii="Arial" w:eastAsia="Arial" w:hAnsi="Arial" w:cs="Arial"/>
          <w:color w:val="45130F" w:themeColor="background2"/>
          <w:sz w:val="20"/>
          <w:szCs w:val="20"/>
          <w:lang w:val="fr-FR"/>
        </w:rPr>
        <w:t>. De plus,</w:t>
      </w:r>
      <w:r w:rsidR="00662D6F" w:rsidRPr="00D13FBB">
        <w:rPr>
          <w:rFonts w:ascii="Arial" w:eastAsia="Arial" w:hAnsi="Arial" w:cs="Arial"/>
          <w:color w:val="45130F" w:themeColor="background2"/>
          <w:sz w:val="20"/>
          <w:szCs w:val="20"/>
          <w:lang w:val="fr-FR"/>
        </w:rPr>
        <w:t xml:space="preserve"> nous avons créé </w:t>
      </w:r>
      <w:r w:rsidR="00F321D9" w:rsidRPr="00D13FBB">
        <w:rPr>
          <w:rFonts w:ascii="Arial" w:eastAsia="Arial" w:hAnsi="Arial" w:cs="Arial"/>
          <w:color w:val="45130F" w:themeColor="background2"/>
          <w:sz w:val="20"/>
          <w:szCs w:val="20"/>
          <w:lang w:val="fr-FR"/>
        </w:rPr>
        <w:t xml:space="preserve">pour Bud Light </w:t>
      </w:r>
      <w:r w:rsidR="00662D6F" w:rsidRPr="00D13FBB">
        <w:rPr>
          <w:rFonts w:ascii="Arial" w:eastAsia="Arial" w:hAnsi="Arial" w:cs="Arial"/>
          <w:color w:val="45130F" w:themeColor="background2"/>
          <w:sz w:val="20"/>
          <w:szCs w:val="20"/>
          <w:lang w:val="fr-FR"/>
        </w:rPr>
        <w:t>un programme local pour les principaux marchés hispaniques en élargissant la plateforme Friendship à davantage d’</w:t>
      </w:r>
      <w:r w:rsidR="00F321D9" w:rsidRPr="00D13FBB">
        <w:rPr>
          <w:rFonts w:ascii="Arial" w:eastAsia="Arial" w:hAnsi="Arial" w:cs="Arial"/>
          <w:color w:val="45130F" w:themeColor="background2"/>
          <w:sz w:val="20"/>
          <w:szCs w:val="20"/>
          <w:lang w:val="fr-FR"/>
        </w:rPr>
        <w:t>a</w:t>
      </w:r>
      <w:r w:rsidR="00662D6F" w:rsidRPr="00D13FBB">
        <w:rPr>
          <w:rFonts w:ascii="Arial" w:eastAsia="Arial" w:hAnsi="Arial" w:cs="Arial"/>
          <w:color w:val="45130F" w:themeColor="background2"/>
          <w:sz w:val="20"/>
          <w:szCs w:val="20"/>
          <w:lang w:val="fr-FR"/>
        </w:rPr>
        <w:t>méricains.</w:t>
      </w:r>
    </w:p>
    <w:p w14:paraId="43A1025A" w14:textId="08B17486" w:rsidR="00792F07" w:rsidRPr="00D13FBB" w:rsidRDefault="00792F07" w:rsidP="007E56F8">
      <w:pPr>
        <w:jc w:val="both"/>
        <w:textAlignment w:val="baseline"/>
        <w:rPr>
          <w:rFonts w:ascii="Arial" w:eastAsia="Arial" w:hAnsi="Arial" w:cs="Arial"/>
          <w:color w:val="45130F" w:themeColor="background2"/>
          <w:sz w:val="20"/>
          <w:szCs w:val="20"/>
          <w:lang w:val="fr-FR"/>
        </w:rPr>
      </w:pPr>
      <w:r w:rsidRPr="00792F07">
        <w:rPr>
          <w:rFonts w:ascii="Arial" w:eastAsia="Arial" w:hAnsi="Arial" w:cs="Arial"/>
          <w:color w:val="45130F" w:themeColor="background2"/>
          <w:sz w:val="20"/>
          <w:szCs w:val="20"/>
          <w:lang w:val="fr-FR"/>
        </w:rPr>
        <w:lastRenderedPageBreak/>
        <w:t xml:space="preserve">Malgré </w:t>
      </w:r>
      <w:r>
        <w:rPr>
          <w:rFonts w:ascii="Arial" w:eastAsia="Arial" w:hAnsi="Arial" w:cs="Arial"/>
          <w:color w:val="45130F" w:themeColor="background2"/>
          <w:sz w:val="20"/>
          <w:szCs w:val="20"/>
          <w:lang w:val="fr-FR"/>
        </w:rPr>
        <w:t>de</w:t>
      </w:r>
      <w:r w:rsidRPr="00792F07">
        <w:rPr>
          <w:rFonts w:ascii="Arial" w:eastAsia="Arial" w:hAnsi="Arial" w:cs="Arial"/>
          <w:color w:val="45130F" w:themeColor="background2"/>
          <w:sz w:val="20"/>
          <w:szCs w:val="20"/>
          <w:lang w:val="fr-FR"/>
        </w:rPr>
        <w:t xml:space="preserve"> faibles volumes, la gestion disciplinée des coûts a entraîné une croissance interne de l’EBITDA de 3,9 % au 2T17, avec un accroissement de la marge EBITDA de 168 points de base pour atteindre 42,2</w:t>
      </w:r>
      <w:r w:rsidR="00EB3DAE">
        <w:rPr>
          <w:rFonts w:ascii="Arial" w:eastAsia="Arial" w:hAnsi="Arial" w:cs="Arial"/>
          <w:color w:val="45130F" w:themeColor="background2"/>
          <w:sz w:val="20"/>
          <w:szCs w:val="20"/>
          <w:lang w:val="fr-FR"/>
        </w:rPr>
        <w:t xml:space="preserve"> %. Nous continuons également à </w:t>
      </w:r>
      <w:r w:rsidRPr="00792F07">
        <w:rPr>
          <w:rFonts w:ascii="Arial" w:eastAsia="Arial" w:hAnsi="Arial" w:cs="Arial"/>
          <w:color w:val="45130F" w:themeColor="background2"/>
          <w:sz w:val="20"/>
          <w:szCs w:val="20"/>
          <w:lang w:val="fr-FR"/>
        </w:rPr>
        <w:t>accroître notre marge bénéficiaire brute, qui a gagné 45 points de base et qui s’élève à 62,2 % au 2T17. Au 1S17, l’EBITDA a augmenté de 1,4 % avec un accroissement de la marge EBITDA de 110 points de base pour atteindre 41,3 %.</w:t>
      </w:r>
    </w:p>
    <w:p w14:paraId="5E791D83" w14:textId="4C7B6F9A" w:rsidR="00AB5337" w:rsidRPr="00144F32" w:rsidRDefault="00D1369C" w:rsidP="00D1369C">
      <w:pPr>
        <w:spacing w:after="0" w:line="240" w:lineRule="auto"/>
        <w:jc w:val="both"/>
        <w:rPr>
          <w:rFonts w:cstheme="minorHAnsi"/>
          <w:b/>
          <w:color w:val="45130F" w:themeColor="background2"/>
          <w:sz w:val="20"/>
          <w:szCs w:val="20"/>
          <w:u w:val="single"/>
          <w:lang w:val="fr-BE"/>
        </w:rPr>
      </w:pPr>
      <w:r w:rsidRPr="00144F32">
        <w:rPr>
          <w:rFonts w:cstheme="minorHAnsi"/>
          <w:b/>
          <w:color w:val="45130F" w:themeColor="background2"/>
          <w:sz w:val="20"/>
          <w:szCs w:val="20"/>
          <w:u w:val="single"/>
          <w:lang w:val="fr-FR"/>
        </w:rPr>
        <w:t>Mexique</w:t>
      </w:r>
    </w:p>
    <w:p w14:paraId="676E0BC5" w14:textId="77777777" w:rsidR="004D09E6" w:rsidRPr="000C1720" w:rsidRDefault="004D09E6" w:rsidP="00AB5337">
      <w:pPr>
        <w:spacing w:after="0" w:line="240" w:lineRule="auto"/>
        <w:jc w:val="both"/>
        <w:rPr>
          <w:rFonts w:cstheme="minorHAnsi"/>
          <w:color w:val="45130F" w:themeColor="background2"/>
          <w:sz w:val="20"/>
          <w:szCs w:val="20"/>
          <w:lang w:val="fr-BE"/>
        </w:rPr>
      </w:pPr>
    </w:p>
    <w:p w14:paraId="6F9EB342" w14:textId="7838A8A1" w:rsidR="0008212F" w:rsidRPr="000C1720" w:rsidRDefault="00782068" w:rsidP="0083023E">
      <w:pPr>
        <w:spacing w:after="0" w:line="240" w:lineRule="auto"/>
        <w:jc w:val="both"/>
        <w:rPr>
          <w:rFonts w:cstheme="minorHAnsi"/>
          <w:color w:val="45130F" w:themeColor="background2"/>
          <w:sz w:val="20"/>
          <w:szCs w:val="20"/>
          <w:lang w:val="fr-BE"/>
        </w:rPr>
      </w:pPr>
      <w:r w:rsidRPr="000C1720">
        <w:rPr>
          <w:rFonts w:cstheme="minorHAnsi"/>
          <w:color w:val="45130F" w:themeColor="background2"/>
          <w:sz w:val="20"/>
          <w:szCs w:val="20"/>
          <w:lang w:val="fr-FR"/>
        </w:rPr>
        <w:t>Nos activités</w:t>
      </w:r>
      <w:r w:rsidR="00D1369C" w:rsidRPr="000C1720">
        <w:rPr>
          <w:rFonts w:cstheme="minorHAnsi"/>
          <w:color w:val="45130F" w:themeColor="background2"/>
          <w:sz w:val="20"/>
          <w:szCs w:val="20"/>
          <w:lang w:val="fr-FR"/>
        </w:rPr>
        <w:t xml:space="preserve"> au Mexique </w:t>
      </w:r>
      <w:r w:rsidRPr="000C1720">
        <w:rPr>
          <w:rFonts w:cstheme="minorHAnsi"/>
          <w:color w:val="45130F" w:themeColor="background2"/>
          <w:sz w:val="20"/>
          <w:szCs w:val="20"/>
          <w:lang w:val="fr-FR"/>
        </w:rPr>
        <w:t xml:space="preserve">ont </w:t>
      </w:r>
      <w:r w:rsidR="00C146D5">
        <w:rPr>
          <w:rFonts w:cstheme="minorHAnsi"/>
          <w:color w:val="45130F" w:themeColor="background2"/>
          <w:sz w:val="20"/>
          <w:szCs w:val="20"/>
          <w:lang w:val="fr-FR"/>
        </w:rPr>
        <w:t>poursuivi</w:t>
      </w:r>
      <w:r w:rsidRPr="000C1720">
        <w:rPr>
          <w:rFonts w:cstheme="minorHAnsi"/>
          <w:color w:val="45130F" w:themeColor="background2"/>
          <w:sz w:val="20"/>
          <w:szCs w:val="20"/>
          <w:lang w:val="fr-FR"/>
        </w:rPr>
        <w:t xml:space="preserve"> leurs</w:t>
      </w:r>
      <w:r w:rsidR="00D1369C" w:rsidRPr="000C1720">
        <w:rPr>
          <w:rFonts w:cstheme="minorHAnsi"/>
          <w:color w:val="45130F" w:themeColor="background2"/>
          <w:sz w:val="20"/>
          <w:szCs w:val="20"/>
          <w:lang w:val="fr-FR"/>
        </w:rPr>
        <w:t xml:space="preserve"> bons résultats durant le trimestre, les produits augmentant de deux chiffres dans le bas de la fourchette et les volumes d’un chiffre dans la moyenne de la fourchette, grâce entre autres à la date tardive de Pâques.</w:t>
      </w:r>
      <w:r w:rsidR="008B695D" w:rsidRPr="000C1720">
        <w:rPr>
          <w:rFonts w:cstheme="minorHAnsi"/>
          <w:color w:val="45130F" w:themeColor="background2"/>
          <w:sz w:val="20"/>
          <w:szCs w:val="20"/>
          <w:lang w:val="fr-BE"/>
        </w:rPr>
        <w:t xml:space="preserve"> </w:t>
      </w:r>
      <w:r w:rsidR="00D1369C" w:rsidRPr="000C1720">
        <w:rPr>
          <w:rFonts w:cstheme="minorHAnsi"/>
          <w:color w:val="45130F" w:themeColor="background2"/>
          <w:sz w:val="20"/>
          <w:szCs w:val="20"/>
          <w:lang w:val="fr-FR"/>
        </w:rPr>
        <w:t>Au 1S17, les produits ont augmenté d'un chiffre dans le haut de la fourchette et les volumes affichent une hausse d'un chiffre dans la moyenne de la fourchette.</w:t>
      </w:r>
    </w:p>
    <w:p w14:paraId="50C85198" w14:textId="77777777" w:rsidR="0008212F" w:rsidRPr="000C1720" w:rsidRDefault="0008212F" w:rsidP="00AB5337">
      <w:pPr>
        <w:spacing w:after="0" w:line="240" w:lineRule="auto"/>
        <w:jc w:val="both"/>
        <w:rPr>
          <w:rFonts w:cstheme="minorHAnsi"/>
          <w:color w:val="45130F" w:themeColor="background2"/>
          <w:sz w:val="20"/>
          <w:szCs w:val="20"/>
          <w:lang w:val="fr-BE"/>
        </w:rPr>
      </w:pPr>
    </w:p>
    <w:p w14:paraId="60F30F0A" w14:textId="637BE8CF" w:rsidR="00AB5337" w:rsidRPr="000C1720" w:rsidRDefault="00D1369C" w:rsidP="0083023E">
      <w:pPr>
        <w:spacing w:after="0" w:line="240" w:lineRule="auto"/>
        <w:jc w:val="both"/>
        <w:rPr>
          <w:rFonts w:cstheme="minorHAnsi"/>
          <w:color w:val="45130F" w:themeColor="background2"/>
          <w:sz w:val="20"/>
          <w:szCs w:val="20"/>
          <w:lang w:val="fr-BE"/>
        </w:rPr>
      </w:pPr>
      <w:r w:rsidRPr="000C1720">
        <w:rPr>
          <w:rFonts w:cstheme="minorHAnsi"/>
          <w:color w:val="45130F" w:themeColor="background2"/>
          <w:sz w:val="20"/>
          <w:szCs w:val="20"/>
          <w:lang w:val="fr-FR"/>
        </w:rPr>
        <w:t>La croissance des volumes est surtout due à Victoria, qui a augmenté de deux chiffres durant le trimestre, sa plateforme dédiée au patrimoine mexicain continuant à booster la santé de la marque et les ventes.</w:t>
      </w:r>
      <w:r w:rsidR="000B1C37" w:rsidRPr="000C1720">
        <w:rPr>
          <w:rFonts w:cstheme="minorHAnsi"/>
          <w:color w:val="45130F" w:themeColor="background2"/>
          <w:sz w:val="20"/>
          <w:szCs w:val="20"/>
          <w:lang w:val="fr-BE"/>
        </w:rPr>
        <w:t xml:space="preserve"> </w:t>
      </w:r>
      <w:r w:rsidRPr="000C1720">
        <w:rPr>
          <w:rFonts w:cstheme="minorHAnsi"/>
          <w:color w:val="45130F" w:themeColor="background2"/>
          <w:sz w:val="20"/>
          <w:szCs w:val="20"/>
          <w:lang w:val="fr-FR"/>
        </w:rPr>
        <w:t>Les volumes Corona ont progressé d’un chiffre dans le bas de la fourchette, les indicateurs de santé de la marque restant positifs.</w:t>
      </w:r>
      <w:r w:rsidR="008B695D" w:rsidRPr="000C1720">
        <w:rPr>
          <w:rFonts w:cstheme="minorHAnsi"/>
          <w:color w:val="45130F" w:themeColor="background2"/>
          <w:sz w:val="20"/>
          <w:szCs w:val="20"/>
          <w:lang w:val="fr-BE"/>
        </w:rPr>
        <w:t xml:space="preserve"> </w:t>
      </w:r>
      <w:r w:rsidRPr="000C1720">
        <w:rPr>
          <w:rFonts w:cstheme="minorHAnsi"/>
          <w:color w:val="45130F" w:themeColor="background2"/>
          <w:sz w:val="20"/>
          <w:szCs w:val="20"/>
          <w:lang w:val="fr-FR"/>
        </w:rPr>
        <w:t>Le portefeuille américain se porte bien également, avec une belle hausse à deux chiffres pour Bud Light et Michelob Ultra, de même que pour nos marques mondiales Budweiser et Stella Artois.</w:t>
      </w:r>
      <w:r w:rsidR="008B695D" w:rsidRPr="000C1720">
        <w:rPr>
          <w:rFonts w:cstheme="minorHAnsi"/>
          <w:color w:val="45130F" w:themeColor="background2"/>
          <w:sz w:val="20"/>
          <w:szCs w:val="20"/>
          <w:lang w:val="fr-BE"/>
        </w:rPr>
        <w:t xml:space="preserve"> </w:t>
      </w:r>
    </w:p>
    <w:p w14:paraId="4235A941" w14:textId="77777777" w:rsidR="008B695D" w:rsidRPr="000C1720" w:rsidRDefault="008B695D" w:rsidP="00AB5337">
      <w:pPr>
        <w:spacing w:after="0" w:line="240" w:lineRule="auto"/>
        <w:jc w:val="both"/>
        <w:rPr>
          <w:rFonts w:cstheme="minorHAnsi"/>
          <w:color w:val="45130F" w:themeColor="background2"/>
          <w:sz w:val="20"/>
          <w:szCs w:val="20"/>
          <w:lang w:val="fr-BE"/>
        </w:rPr>
      </w:pPr>
    </w:p>
    <w:p w14:paraId="72338BEE" w14:textId="0C72CE20" w:rsidR="008B695D" w:rsidRPr="00D13FBB" w:rsidRDefault="00D1369C" w:rsidP="00404017">
      <w:pPr>
        <w:spacing w:after="0" w:line="240" w:lineRule="auto"/>
        <w:jc w:val="both"/>
        <w:rPr>
          <w:rFonts w:ascii="Arial" w:hAnsi="Arial" w:cs="Arial"/>
          <w:color w:val="45130F" w:themeColor="background2"/>
          <w:sz w:val="20"/>
          <w:szCs w:val="20"/>
          <w:lang w:val="fr-FR"/>
        </w:rPr>
      </w:pPr>
      <w:r w:rsidRPr="000C1720">
        <w:rPr>
          <w:rFonts w:cstheme="minorHAnsi"/>
          <w:color w:val="45130F" w:themeColor="background2"/>
          <w:sz w:val="20"/>
          <w:szCs w:val="20"/>
          <w:lang w:val="fr-FR"/>
        </w:rPr>
        <w:t>L’EBITDA a augmenté de 4,6 % au Mexique durant le 2T17, avec une compression de la marge de 242 points de base à 43,2</w:t>
      </w:r>
      <w:r w:rsidR="0083023E" w:rsidRPr="000C1720">
        <w:rPr>
          <w:rFonts w:cstheme="minorHAnsi"/>
          <w:color w:val="45130F" w:themeColor="background2"/>
          <w:sz w:val="20"/>
          <w:szCs w:val="20"/>
          <w:lang w:val="fr-FR"/>
        </w:rPr>
        <w:t> </w:t>
      </w:r>
      <w:r w:rsidRPr="000C1720">
        <w:rPr>
          <w:rFonts w:cstheme="minorHAnsi"/>
          <w:color w:val="45130F" w:themeColor="background2"/>
          <w:sz w:val="20"/>
          <w:szCs w:val="20"/>
          <w:lang w:val="fr-FR"/>
        </w:rPr>
        <w:t>%.</w:t>
      </w:r>
      <w:r w:rsidR="00D518E4" w:rsidRPr="000C1720">
        <w:rPr>
          <w:rFonts w:cstheme="minorHAnsi"/>
          <w:color w:val="45130F" w:themeColor="background2"/>
          <w:sz w:val="20"/>
          <w:szCs w:val="20"/>
          <w:lang w:val="fr-BE"/>
        </w:rPr>
        <w:t xml:space="preserve"> </w:t>
      </w:r>
      <w:r w:rsidR="00254FD5" w:rsidRPr="000C1720">
        <w:rPr>
          <w:rFonts w:cstheme="minorHAnsi"/>
          <w:color w:val="45130F" w:themeColor="background2"/>
          <w:sz w:val="20"/>
          <w:szCs w:val="20"/>
          <w:lang w:val="fr-FR"/>
        </w:rPr>
        <w:t xml:space="preserve">La croissance des </w:t>
      </w:r>
      <w:r w:rsidR="00254FD5" w:rsidRPr="00D13FBB">
        <w:rPr>
          <w:rFonts w:cstheme="minorHAnsi"/>
          <w:color w:val="45130F" w:themeColor="background2"/>
          <w:sz w:val="20"/>
          <w:szCs w:val="20"/>
          <w:lang w:val="fr-FR"/>
        </w:rPr>
        <w:t>produits</w:t>
      </w:r>
      <w:r w:rsidR="0083023E" w:rsidRPr="00D13FBB">
        <w:rPr>
          <w:rFonts w:cstheme="minorHAnsi"/>
          <w:color w:val="45130F" w:themeColor="background2"/>
          <w:sz w:val="20"/>
          <w:szCs w:val="20"/>
          <w:lang w:val="fr-FR"/>
        </w:rPr>
        <w:t xml:space="preserve"> </w:t>
      </w:r>
      <w:r w:rsidR="00404017" w:rsidRPr="00D13FBB">
        <w:rPr>
          <w:rFonts w:cstheme="minorHAnsi"/>
          <w:color w:val="45130F" w:themeColor="background2"/>
          <w:sz w:val="20"/>
          <w:szCs w:val="20"/>
          <w:lang w:val="fr-FR"/>
        </w:rPr>
        <w:t xml:space="preserve">a été partiellement atténuée par les </w:t>
      </w:r>
      <w:r w:rsidR="0083023E" w:rsidRPr="00D13FBB">
        <w:rPr>
          <w:rFonts w:cstheme="minorHAnsi"/>
          <w:color w:val="45130F" w:themeColor="background2"/>
          <w:sz w:val="20"/>
          <w:szCs w:val="20"/>
          <w:lang w:val="fr-FR"/>
        </w:rPr>
        <w:t>effets combinés de </w:t>
      </w:r>
      <w:r w:rsidR="00254FD5" w:rsidRPr="00144F32">
        <w:rPr>
          <w:rFonts w:cstheme="minorHAnsi"/>
          <w:color w:val="45130F" w:themeColor="background2"/>
          <w:sz w:val="20"/>
          <w:szCs w:val="20"/>
          <w:lang w:val="fr-FR"/>
        </w:rPr>
        <w:t xml:space="preserve">la dévaluation monétaire </w:t>
      </w:r>
      <w:r w:rsidR="00404017" w:rsidRPr="00144F32">
        <w:rPr>
          <w:rFonts w:cstheme="minorHAnsi"/>
          <w:color w:val="45130F" w:themeColor="background2"/>
          <w:sz w:val="20"/>
          <w:szCs w:val="20"/>
          <w:lang w:val="fr-FR"/>
        </w:rPr>
        <w:t>sur</w:t>
      </w:r>
      <w:r w:rsidR="00254FD5" w:rsidRPr="00D13FBB">
        <w:rPr>
          <w:rFonts w:ascii="Arial" w:hAnsi="Arial" w:cs="Arial"/>
          <w:color w:val="45130F" w:themeColor="background2"/>
          <w:sz w:val="20"/>
          <w:szCs w:val="20"/>
          <w:lang w:val="fr-FR"/>
        </w:rPr>
        <w:t xml:space="preserve"> nos CdV</w:t>
      </w:r>
      <w:r w:rsidR="0083023E" w:rsidRPr="00D13FBB">
        <w:rPr>
          <w:rFonts w:ascii="Arial" w:hAnsi="Arial" w:cs="Arial"/>
          <w:color w:val="45130F" w:themeColor="background2"/>
          <w:sz w:val="20"/>
          <w:szCs w:val="20"/>
          <w:lang w:val="fr-FR"/>
        </w:rPr>
        <w:t> </w:t>
      </w:r>
      <w:r w:rsidR="00404017" w:rsidRPr="00D13FBB">
        <w:rPr>
          <w:rFonts w:ascii="Arial" w:hAnsi="Arial" w:cs="Arial"/>
          <w:color w:val="45130F" w:themeColor="background2"/>
          <w:sz w:val="20"/>
          <w:szCs w:val="20"/>
          <w:lang w:val="fr-FR"/>
        </w:rPr>
        <w:t>et la</w:t>
      </w:r>
      <w:r w:rsidR="00254FD5" w:rsidRPr="00D13FBB">
        <w:rPr>
          <w:rFonts w:ascii="Arial" w:hAnsi="Arial" w:cs="Arial"/>
          <w:color w:val="45130F" w:themeColor="background2"/>
          <w:sz w:val="20"/>
          <w:szCs w:val="20"/>
          <w:lang w:val="fr-FR"/>
        </w:rPr>
        <w:t xml:space="preserve"> hausse des prix de l’énergie </w:t>
      </w:r>
      <w:r w:rsidR="00404017" w:rsidRPr="00D13FBB">
        <w:rPr>
          <w:rFonts w:ascii="Arial" w:hAnsi="Arial" w:cs="Arial"/>
          <w:color w:val="45130F" w:themeColor="background2"/>
          <w:sz w:val="20"/>
          <w:szCs w:val="20"/>
          <w:lang w:val="fr-FR"/>
        </w:rPr>
        <w:t xml:space="preserve">en </w:t>
      </w:r>
      <w:r w:rsidR="00254FD5" w:rsidRPr="00D13FBB">
        <w:rPr>
          <w:rFonts w:ascii="Arial" w:hAnsi="Arial" w:cs="Arial"/>
          <w:color w:val="45130F" w:themeColor="background2"/>
          <w:sz w:val="20"/>
          <w:szCs w:val="20"/>
          <w:lang w:val="fr-FR"/>
        </w:rPr>
        <w:t>début d’année</w:t>
      </w:r>
      <w:r w:rsidR="00404017" w:rsidRPr="00D13FBB">
        <w:rPr>
          <w:rFonts w:ascii="Arial" w:hAnsi="Arial" w:cs="Arial"/>
          <w:color w:val="45130F" w:themeColor="background2"/>
          <w:sz w:val="20"/>
          <w:szCs w:val="20"/>
          <w:lang w:val="fr-FR"/>
        </w:rPr>
        <w:t xml:space="preserve">. Le niveau des investissements commerciaux et de marketing durant le 2T17 était inhabituel, et pour cette raison nous estimons que l’EBITDA au 1S17 est plus représentatif de la performance de nos activités. </w:t>
      </w:r>
      <w:r w:rsidR="0098648A" w:rsidRPr="00D13FBB">
        <w:rPr>
          <w:rFonts w:cstheme="minorHAnsi"/>
          <w:color w:val="45130F" w:themeColor="background2"/>
          <w:sz w:val="20"/>
          <w:szCs w:val="20"/>
          <w:lang w:val="fr-BE"/>
        </w:rPr>
        <w:t>L’EBITDA a augmenté de 9,9 % au 1S17 avec un accroissement de la marge de 30 points de base à 42,7</w:t>
      </w:r>
      <w:r w:rsidR="0083023E" w:rsidRPr="00D13FBB">
        <w:rPr>
          <w:rFonts w:cstheme="minorHAnsi"/>
          <w:color w:val="45130F" w:themeColor="background2"/>
          <w:sz w:val="20"/>
          <w:szCs w:val="20"/>
          <w:lang w:val="fr-BE"/>
        </w:rPr>
        <w:t> </w:t>
      </w:r>
      <w:r w:rsidR="0098648A" w:rsidRPr="00D13FBB">
        <w:rPr>
          <w:rFonts w:cstheme="minorHAnsi"/>
          <w:color w:val="45130F" w:themeColor="background2"/>
          <w:sz w:val="20"/>
          <w:szCs w:val="20"/>
          <w:lang w:val="fr-BE"/>
        </w:rPr>
        <w:t>%.</w:t>
      </w:r>
    </w:p>
    <w:p w14:paraId="157550AB" w14:textId="77777777" w:rsidR="00F675AE" w:rsidRPr="00144F32" w:rsidRDefault="00F675AE" w:rsidP="00AB5337">
      <w:pPr>
        <w:spacing w:after="0" w:line="240" w:lineRule="auto"/>
        <w:jc w:val="both"/>
        <w:rPr>
          <w:rFonts w:cstheme="minorHAnsi"/>
          <w:b/>
          <w:color w:val="45130F" w:themeColor="background2"/>
          <w:sz w:val="20"/>
          <w:szCs w:val="20"/>
          <w:u w:val="single"/>
          <w:lang w:val="fr-BE"/>
        </w:rPr>
      </w:pPr>
    </w:p>
    <w:p w14:paraId="2762A23F" w14:textId="0238914D" w:rsidR="00F675AE" w:rsidRPr="000C1720" w:rsidRDefault="0098648A" w:rsidP="0083023E">
      <w:pPr>
        <w:spacing w:after="0" w:line="240" w:lineRule="auto"/>
        <w:jc w:val="both"/>
        <w:rPr>
          <w:rFonts w:cstheme="minorHAnsi"/>
          <w:b/>
          <w:color w:val="45130F" w:themeColor="background2"/>
          <w:sz w:val="20"/>
          <w:szCs w:val="20"/>
          <w:u w:val="single"/>
          <w:lang w:val="fr-BE"/>
        </w:rPr>
      </w:pPr>
      <w:r w:rsidRPr="000C1720">
        <w:rPr>
          <w:rFonts w:cstheme="minorHAnsi"/>
          <w:b/>
          <w:color w:val="45130F" w:themeColor="background2"/>
          <w:sz w:val="20"/>
          <w:szCs w:val="20"/>
          <w:u w:val="single"/>
          <w:lang w:val="fr-FR"/>
        </w:rPr>
        <w:t>Colombie</w:t>
      </w:r>
    </w:p>
    <w:p w14:paraId="0DF7185E" w14:textId="77777777" w:rsidR="00F675AE" w:rsidRPr="000C1720" w:rsidRDefault="00F675AE" w:rsidP="00F675AE">
      <w:pPr>
        <w:spacing w:after="0" w:line="240" w:lineRule="auto"/>
        <w:jc w:val="both"/>
        <w:rPr>
          <w:rFonts w:cstheme="minorHAnsi"/>
          <w:b/>
          <w:color w:val="45130F" w:themeColor="background2"/>
          <w:sz w:val="20"/>
          <w:szCs w:val="20"/>
          <w:u w:val="single"/>
          <w:lang w:val="fr-BE"/>
        </w:rPr>
      </w:pPr>
    </w:p>
    <w:p w14:paraId="0480C0D4" w14:textId="3631D658" w:rsidR="00572A92" w:rsidRPr="00144F32" w:rsidRDefault="0098648A" w:rsidP="0083023E">
      <w:pPr>
        <w:spacing w:after="0" w:line="240" w:lineRule="auto"/>
        <w:jc w:val="both"/>
        <w:rPr>
          <w:rFonts w:cstheme="minorHAnsi"/>
          <w:color w:val="45130F" w:themeColor="background2"/>
          <w:sz w:val="20"/>
          <w:szCs w:val="20"/>
          <w:lang w:val="fr-BE"/>
        </w:rPr>
      </w:pPr>
      <w:r w:rsidRPr="000C1720">
        <w:rPr>
          <w:rFonts w:cstheme="minorHAnsi"/>
          <w:color w:val="45130F" w:themeColor="background2"/>
          <w:sz w:val="20"/>
          <w:szCs w:val="20"/>
          <w:lang w:val="fr-FR"/>
        </w:rPr>
        <w:t>En Colombie, nos produits ont progressé de 3,1</w:t>
      </w:r>
      <w:r w:rsidR="0083023E" w:rsidRPr="000C1720">
        <w:rPr>
          <w:rFonts w:cstheme="minorHAnsi"/>
          <w:color w:val="45130F" w:themeColor="background2"/>
          <w:sz w:val="20"/>
          <w:szCs w:val="20"/>
          <w:lang w:val="fr-FR"/>
        </w:rPr>
        <w:t> </w:t>
      </w:r>
      <w:r w:rsidRPr="000C1720">
        <w:rPr>
          <w:rFonts w:cstheme="minorHAnsi"/>
          <w:color w:val="45130F" w:themeColor="background2"/>
          <w:sz w:val="20"/>
          <w:szCs w:val="20"/>
          <w:lang w:val="fr-FR"/>
        </w:rPr>
        <w:t>% pendant le trimestre, grâce à une hausse d’un chiffre dans la moyenne de la fourchette des produits par hl, partiellement atténuée par le recul des volumes de 1,4</w:t>
      </w:r>
      <w:r w:rsidR="0083023E" w:rsidRPr="000C1720">
        <w:rPr>
          <w:rFonts w:cstheme="minorHAnsi"/>
          <w:color w:val="45130F" w:themeColor="background2"/>
          <w:sz w:val="20"/>
          <w:szCs w:val="20"/>
          <w:lang w:val="fr-FR"/>
        </w:rPr>
        <w:t> </w:t>
      </w:r>
      <w:r w:rsidRPr="000C1720">
        <w:rPr>
          <w:rFonts w:cstheme="minorHAnsi"/>
          <w:color w:val="45130F" w:themeColor="background2"/>
          <w:sz w:val="20"/>
          <w:szCs w:val="20"/>
          <w:lang w:val="fr-FR"/>
        </w:rPr>
        <w:t>%.</w:t>
      </w:r>
      <w:r w:rsidR="0030517D" w:rsidRPr="000C1720">
        <w:rPr>
          <w:rFonts w:cstheme="minorHAnsi"/>
          <w:color w:val="45130F" w:themeColor="background2"/>
          <w:sz w:val="20"/>
          <w:szCs w:val="20"/>
          <w:lang w:val="fr-BE"/>
        </w:rPr>
        <w:t xml:space="preserve"> </w:t>
      </w:r>
      <w:r w:rsidRPr="000C1720">
        <w:rPr>
          <w:rFonts w:cstheme="minorHAnsi"/>
          <w:color w:val="45130F" w:themeColor="background2"/>
          <w:sz w:val="20"/>
          <w:szCs w:val="20"/>
          <w:lang w:val="fr-FR"/>
        </w:rPr>
        <w:t xml:space="preserve">Les volumes </w:t>
      </w:r>
      <w:r w:rsidR="00782068" w:rsidRPr="000C1720">
        <w:rPr>
          <w:rFonts w:cstheme="minorHAnsi"/>
          <w:color w:val="45130F" w:themeColor="background2"/>
          <w:sz w:val="20"/>
          <w:szCs w:val="20"/>
          <w:lang w:val="fr-FR"/>
        </w:rPr>
        <w:t xml:space="preserve">de </w:t>
      </w:r>
      <w:r w:rsidRPr="000C1720">
        <w:rPr>
          <w:rFonts w:cstheme="minorHAnsi"/>
          <w:color w:val="45130F" w:themeColor="background2"/>
          <w:sz w:val="20"/>
          <w:szCs w:val="20"/>
          <w:lang w:val="fr-FR"/>
        </w:rPr>
        <w:t xml:space="preserve">bières, impactés par un premier semestre exceptionnellement sec l’an dernier </w:t>
      </w:r>
      <w:r w:rsidR="0083023E" w:rsidRPr="000C1720">
        <w:rPr>
          <w:rFonts w:cstheme="minorHAnsi"/>
          <w:color w:val="45130F" w:themeColor="background2"/>
          <w:sz w:val="20"/>
          <w:szCs w:val="20"/>
          <w:lang w:val="fr-FR"/>
        </w:rPr>
        <w:t xml:space="preserve">en raison </w:t>
      </w:r>
      <w:r w:rsidR="00782068" w:rsidRPr="000C1720">
        <w:rPr>
          <w:rFonts w:cstheme="minorHAnsi"/>
          <w:color w:val="45130F" w:themeColor="background2"/>
          <w:sz w:val="20"/>
          <w:szCs w:val="20"/>
          <w:lang w:val="fr-FR"/>
        </w:rPr>
        <w:t>des impacts causés par</w:t>
      </w:r>
      <w:r w:rsidRPr="000C1720">
        <w:rPr>
          <w:rFonts w:cstheme="minorHAnsi"/>
          <w:color w:val="45130F" w:themeColor="background2"/>
          <w:sz w:val="20"/>
          <w:szCs w:val="20"/>
          <w:lang w:val="fr-FR"/>
        </w:rPr>
        <w:t xml:space="preserve"> El Niño, sont restés faibles, et reflètent la </w:t>
      </w:r>
      <w:r w:rsidRPr="00144F32">
        <w:rPr>
          <w:rFonts w:cstheme="minorHAnsi"/>
          <w:color w:val="45130F" w:themeColor="background2"/>
          <w:sz w:val="20"/>
          <w:szCs w:val="20"/>
          <w:lang w:val="fr-FR"/>
        </w:rPr>
        <w:t xml:space="preserve">confiance </w:t>
      </w:r>
      <w:r w:rsidR="00144F32" w:rsidRPr="00144F32">
        <w:rPr>
          <w:rFonts w:cstheme="minorHAnsi"/>
          <w:color w:val="45130F" w:themeColor="background2"/>
          <w:sz w:val="20"/>
          <w:szCs w:val="20"/>
          <w:lang w:val="fr-FR"/>
        </w:rPr>
        <w:t>a</w:t>
      </w:r>
      <w:r w:rsidR="00144F32">
        <w:rPr>
          <w:rFonts w:cstheme="minorHAnsi"/>
          <w:color w:val="45130F" w:themeColor="background2"/>
          <w:sz w:val="20"/>
          <w:szCs w:val="20"/>
          <w:lang w:val="fr-FR"/>
        </w:rPr>
        <w:t>moindrie</w:t>
      </w:r>
      <w:r w:rsidR="00144F32" w:rsidRPr="00144F32">
        <w:rPr>
          <w:rFonts w:cstheme="minorHAnsi"/>
          <w:color w:val="45130F" w:themeColor="background2"/>
          <w:sz w:val="20"/>
          <w:szCs w:val="20"/>
          <w:lang w:val="fr-FR"/>
        </w:rPr>
        <w:t xml:space="preserve"> </w:t>
      </w:r>
      <w:r w:rsidRPr="00144F32">
        <w:rPr>
          <w:rFonts w:cstheme="minorHAnsi"/>
          <w:color w:val="45130F" w:themeColor="background2"/>
          <w:sz w:val="20"/>
          <w:szCs w:val="20"/>
          <w:lang w:val="fr-FR"/>
        </w:rPr>
        <w:t>des consommateurs et la baisse des revenus disponibles suite à l'augmentation de la TVA dans le pays en début d’année.</w:t>
      </w:r>
      <w:r w:rsidR="00210CAB" w:rsidRPr="00144F32">
        <w:rPr>
          <w:rFonts w:cstheme="minorHAnsi"/>
          <w:color w:val="45130F" w:themeColor="background2"/>
          <w:sz w:val="20"/>
          <w:szCs w:val="20"/>
          <w:lang w:val="fr-BE"/>
        </w:rPr>
        <w:t xml:space="preserve"> </w:t>
      </w:r>
      <w:r w:rsidRPr="00144F32">
        <w:rPr>
          <w:rFonts w:cstheme="minorHAnsi"/>
          <w:color w:val="45130F" w:themeColor="background2"/>
          <w:sz w:val="20"/>
          <w:szCs w:val="20"/>
          <w:lang w:val="fr-FR"/>
        </w:rPr>
        <w:t>Au 1S17, nos produits totaux ont baissé de 0,8</w:t>
      </w:r>
      <w:r w:rsidR="0083023E" w:rsidRPr="00144F32">
        <w:rPr>
          <w:rFonts w:cstheme="minorHAnsi"/>
          <w:color w:val="45130F" w:themeColor="background2"/>
          <w:sz w:val="20"/>
          <w:szCs w:val="20"/>
          <w:lang w:val="fr-FR"/>
        </w:rPr>
        <w:t> </w:t>
      </w:r>
      <w:r w:rsidRPr="00144F32">
        <w:rPr>
          <w:rFonts w:cstheme="minorHAnsi"/>
          <w:color w:val="45130F" w:themeColor="background2"/>
          <w:sz w:val="20"/>
          <w:szCs w:val="20"/>
          <w:lang w:val="fr-FR"/>
        </w:rPr>
        <w:t>% et les volumes affichent un recul de 4,6</w:t>
      </w:r>
      <w:r w:rsidR="0083023E" w:rsidRPr="00144F32">
        <w:rPr>
          <w:rFonts w:cstheme="minorHAnsi"/>
          <w:color w:val="45130F" w:themeColor="background2"/>
          <w:sz w:val="20"/>
          <w:szCs w:val="20"/>
          <w:lang w:val="fr-FR"/>
        </w:rPr>
        <w:t> </w:t>
      </w:r>
      <w:r w:rsidRPr="00144F32">
        <w:rPr>
          <w:rFonts w:cstheme="minorHAnsi"/>
          <w:color w:val="45130F" w:themeColor="background2"/>
          <w:sz w:val="20"/>
          <w:szCs w:val="20"/>
          <w:lang w:val="fr-FR"/>
        </w:rPr>
        <w:t>%.</w:t>
      </w:r>
      <w:r w:rsidR="0071466B" w:rsidRPr="00144F32">
        <w:rPr>
          <w:rFonts w:cstheme="minorHAnsi"/>
          <w:color w:val="45130F" w:themeColor="background2"/>
          <w:sz w:val="20"/>
          <w:szCs w:val="20"/>
          <w:lang w:val="fr-BE"/>
        </w:rPr>
        <w:t xml:space="preserve"> </w:t>
      </w:r>
      <w:r w:rsidR="00BF6772" w:rsidRPr="00D13FBB">
        <w:rPr>
          <w:rFonts w:ascii="Arial" w:hAnsi="Arial" w:cs="Arial"/>
          <w:color w:val="45130F" w:themeColor="background2"/>
          <w:sz w:val="20"/>
          <w:szCs w:val="20"/>
          <w:lang w:val="fr-FR"/>
        </w:rPr>
        <w:t xml:space="preserve">Nous continuons à développer notre stratégie haut de gamme pour </w:t>
      </w:r>
      <w:r w:rsidR="00404017" w:rsidRPr="00D13FBB">
        <w:rPr>
          <w:rFonts w:ascii="Arial" w:hAnsi="Arial" w:cs="Arial"/>
          <w:color w:val="45130F" w:themeColor="background2"/>
          <w:sz w:val="20"/>
          <w:szCs w:val="20"/>
          <w:lang w:val="fr-FR"/>
        </w:rPr>
        <w:t>stimuler encore davantage la croissance</w:t>
      </w:r>
      <w:r w:rsidR="00DF6A53" w:rsidRPr="00D13FBB">
        <w:rPr>
          <w:rFonts w:ascii="Arial" w:hAnsi="Arial" w:cs="Arial"/>
          <w:color w:val="45130F" w:themeColor="background2"/>
          <w:sz w:val="20"/>
          <w:szCs w:val="20"/>
          <w:lang w:val="fr-FR"/>
        </w:rPr>
        <w:t xml:space="preserve"> </w:t>
      </w:r>
      <w:r w:rsidR="00BF6772" w:rsidRPr="00D13FBB">
        <w:rPr>
          <w:rFonts w:ascii="Arial" w:hAnsi="Arial" w:cs="Arial"/>
          <w:color w:val="45130F" w:themeColor="background2"/>
          <w:sz w:val="20"/>
          <w:szCs w:val="20"/>
          <w:lang w:val="fr-FR"/>
        </w:rPr>
        <w:t>de nos marques mondiales</w:t>
      </w:r>
      <w:r w:rsidRPr="00D13FBB">
        <w:rPr>
          <w:rFonts w:ascii="Arial" w:hAnsi="Arial" w:cs="Arial"/>
          <w:color w:val="45130F" w:themeColor="background2"/>
          <w:sz w:val="20"/>
          <w:szCs w:val="20"/>
          <w:lang w:val="fr-FR"/>
        </w:rPr>
        <w:t xml:space="preserve">, </w:t>
      </w:r>
      <w:r w:rsidR="00BF6772" w:rsidRPr="00D13FBB">
        <w:rPr>
          <w:rFonts w:ascii="Arial" w:hAnsi="Arial" w:cs="Arial"/>
          <w:color w:val="45130F" w:themeColor="background2"/>
          <w:sz w:val="20"/>
          <w:szCs w:val="20"/>
          <w:lang w:val="fr-FR"/>
        </w:rPr>
        <w:t>lesquelles</w:t>
      </w:r>
      <w:r w:rsidR="00BF6772" w:rsidRPr="00D13FBB">
        <w:rPr>
          <w:rFonts w:cstheme="minorHAnsi"/>
          <w:color w:val="45130F" w:themeColor="background2"/>
          <w:sz w:val="20"/>
          <w:szCs w:val="20"/>
          <w:lang w:val="fr-FR"/>
        </w:rPr>
        <w:t xml:space="preserve"> </w:t>
      </w:r>
      <w:r w:rsidR="00BF6772" w:rsidRPr="00144F32">
        <w:rPr>
          <w:rFonts w:cstheme="minorHAnsi"/>
          <w:color w:val="45130F" w:themeColor="background2"/>
          <w:sz w:val="20"/>
          <w:szCs w:val="20"/>
          <w:lang w:val="fr-FR"/>
        </w:rPr>
        <w:t>ont progressé d’environ</w:t>
      </w:r>
      <w:r w:rsidRPr="00144F32">
        <w:rPr>
          <w:rFonts w:cstheme="minorHAnsi"/>
          <w:color w:val="45130F" w:themeColor="background2"/>
          <w:sz w:val="20"/>
          <w:szCs w:val="20"/>
          <w:lang w:val="fr-FR"/>
        </w:rPr>
        <w:t xml:space="preserve"> 100</w:t>
      </w:r>
      <w:r w:rsidR="0083023E" w:rsidRPr="00144F32">
        <w:rPr>
          <w:rFonts w:cstheme="minorHAnsi"/>
          <w:color w:val="45130F" w:themeColor="background2"/>
          <w:sz w:val="20"/>
          <w:szCs w:val="20"/>
          <w:lang w:val="fr-FR"/>
        </w:rPr>
        <w:t> </w:t>
      </w:r>
      <w:r w:rsidRPr="00144F32">
        <w:rPr>
          <w:rFonts w:cstheme="minorHAnsi"/>
          <w:color w:val="45130F" w:themeColor="background2"/>
          <w:sz w:val="20"/>
          <w:szCs w:val="20"/>
          <w:lang w:val="fr-FR"/>
        </w:rPr>
        <w:t xml:space="preserve">% </w:t>
      </w:r>
      <w:r w:rsidR="00BF6772" w:rsidRPr="00144F32">
        <w:rPr>
          <w:rFonts w:cstheme="minorHAnsi"/>
          <w:color w:val="45130F" w:themeColor="background2"/>
          <w:sz w:val="20"/>
          <w:szCs w:val="20"/>
          <w:lang w:val="fr-FR"/>
        </w:rPr>
        <w:t>au cours du trimestre</w:t>
      </w:r>
      <w:r w:rsidRPr="00144F32">
        <w:rPr>
          <w:rFonts w:cstheme="minorHAnsi"/>
          <w:color w:val="45130F" w:themeColor="background2"/>
          <w:sz w:val="20"/>
          <w:szCs w:val="20"/>
          <w:lang w:val="fr-FR"/>
        </w:rPr>
        <w:t>.</w:t>
      </w:r>
    </w:p>
    <w:p w14:paraId="65B7EDFD" w14:textId="77777777" w:rsidR="00572A92" w:rsidRPr="000C1720" w:rsidRDefault="00572A92" w:rsidP="00EB658C">
      <w:pPr>
        <w:spacing w:after="0" w:line="240" w:lineRule="auto"/>
        <w:jc w:val="both"/>
        <w:rPr>
          <w:rFonts w:cstheme="minorHAnsi"/>
          <w:color w:val="45130F" w:themeColor="background2"/>
          <w:sz w:val="20"/>
          <w:szCs w:val="20"/>
          <w:lang w:val="fr-BE"/>
        </w:rPr>
      </w:pPr>
    </w:p>
    <w:p w14:paraId="69C7187A" w14:textId="193044EB" w:rsidR="007B6CD6" w:rsidRPr="000C1720" w:rsidRDefault="00BF6772" w:rsidP="0083023E">
      <w:pPr>
        <w:spacing w:after="0" w:line="240" w:lineRule="auto"/>
        <w:jc w:val="both"/>
        <w:rPr>
          <w:rFonts w:cstheme="minorHAnsi"/>
          <w:color w:val="45130F" w:themeColor="background2"/>
          <w:sz w:val="20"/>
          <w:szCs w:val="20"/>
          <w:lang w:val="fr-BE"/>
        </w:rPr>
      </w:pPr>
      <w:r w:rsidRPr="000C1720">
        <w:rPr>
          <w:rFonts w:cstheme="minorHAnsi"/>
          <w:color w:val="45130F" w:themeColor="background2"/>
          <w:sz w:val="20"/>
          <w:szCs w:val="20"/>
          <w:lang w:val="fr-FR"/>
        </w:rPr>
        <w:t>Notre EBITDA en Colombie a augmenté de 19,4</w:t>
      </w:r>
      <w:r w:rsidR="0083023E" w:rsidRPr="000C1720">
        <w:rPr>
          <w:rFonts w:cstheme="minorHAnsi"/>
          <w:color w:val="45130F" w:themeColor="background2"/>
          <w:sz w:val="20"/>
          <w:szCs w:val="20"/>
          <w:lang w:val="fr-FR"/>
        </w:rPr>
        <w:t> </w:t>
      </w:r>
      <w:r w:rsidRPr="000C1720">
        <w:rPr>
          <w:rFonts w:cstheme="minorHAnsi"/>
          <w:color w:val="45130F" w:themeColor="background2"/>
          <w:sz w:val="20"/>
          <w:szCs w:val="20"/>
          <w:lang w:val="fr-FR"/>
        </w:rPr>
        <w:t xml:space="preserve">% au 2T17, avec un accroissement de </w:t>
      </w:r>
      <w:r w:rsidR="00DF6A53" w:rsidRPr="000C1720">
        <w:rPr>
          <w:rFonts w:cstheme="minorHAnsi"/>
          <w:color w:val="45130F" w:themeColor="background2"/>
          <w:sz w:val="20"/>
          <w:szCs w:val="20"/>
          <w:lang w:val="fr-FR"/>
        </w:rPr>
        <w:t>l</w:t>
      </w:r>
      <w:r w:rsidRPr="000C1720">
        <w:rPr>
          <w:rFonts w:cstheme="minorHAnsi"/>
          <w:color w:val="45130F" w:themeColor="background2"/>
          <w:sz w:val="20"/>
          <w:szCs w:val="20"/>
          <w:lang w:val="fr-FR"/>
        </w:rPr>
        <w:t>a marge de 715 points de base.</w:t>
      </w:r>
      <w:r w:rsidR="00B76C31" w:rsidRPr="000C1720">
        <w:rPr>
          <w:rFonts w:cstheme="minorHAnsi"/>
          <w:color w:val="45130F" w:themeColor="background2"/>
          <w:sz w:val="20"/>
          <w:szCs w:val="20"/>
          <w:lang w:val="fr-BE"/>
        </w:rPr>
        <w:t xml:space="preserve"> </w:t>
      </w:r>
      <w:r w:rsidRPr="000C1720">
        <w:rPr>
          <w:rFonts w:cstheme="minorHAnsi"/>
          <w:color w:val="45130F" w:themeColor="background2"/>
          <w:sz w:val="20"/>
          <w:szCs w:val="20"/>
          <w:lang w:val="fr-FR"/>
        </w:rPr>
        <w:t xml:space="preserve">Ceci s’explique par </w:t>
      </w:r>
      <w:r w:rsidR="005D4152" w:rsidRPr="000C1720">
        <w:rPr>
          <w:rFonts w:cstheme="minorHAnsi"/>
          <w:color w:val="45130F" w:themeColor="background2"/>
          <w:sz w:val="20"/>
          <w:szCs w:val="20"/>
          <w:lang w:val="fr-FR"/>
        </w:rPr>
        <w:t>la réalisation de</w:t>
      </w:r>
      <w:r w:rsidRPr="000C1720">
        <w:rPr>
          <w:rFonts w:cstheme="minorHAnsi"/>
          <w:color w:val="45130F" w:themeColor="background2"/>
          <w:sz w:val="20"/>
          <w:szCs w:val="20"/>
          <w:lang w:val="fr-FR"/>
        </w:rPr>
        <w:t xml:space="preserve"> synergies, notre discipline de coûts et la croissance de notre portefeuille de marques premium.</w:t>
      </w:r>
      <w:r w:rsidR="00B76C31" w:rsidRPr="000C1720">
        <w:rPr>
          <w:rFonts w:cstheme="minorHAnsi"/>
          <w:color w:val="45130F" w:themeColor="background2"/>
          <w:sz w:val="20"/>
          <w:szCs w:val="20"/>
          <w:lang w:val="fr-BE"/>
        </w:rPr>
        <w:t xml:space="preserve"> </w:t>
      </w:r>
      <w:r w:rsidRPr="000C1720">
        <w:rPr>
          <w:rFonts w:cstheme="minorHAnsi"/>
          <w:color w:val="45130F" w:themeColor="background2"/>
          <w:sz w:val="20"/>
          <w:szCs w:val="20"/>
          <w:lang w:val="fr-FR"/>
        </w:rPr>
        <w:t>Au 1S17, l’EBITDA a augmenté de 4,6</w:t>
      </w:r>
      <w:r w:rsidR="0083023E" w:rsidRPr="000C1720">
        <w:rPr>
          <w:rFonts w:cstheme="minorHAnsi"/>
          <w:color w:val="45130F" w:themeColor="background2"/>
          <w:sz w:val="20"/>
          <w:szCs w:val="20"/>
          <w:lang w:val="fr-FR"/>
        </w:rPr>
        <w:t> </w:t>
      </w:r>
      <w:r w:rsidRPr="000C1720">
        <w:rPr>
          <w:rFonts w:cstheme="minorHAnsi"/>
          <w:color w:val="45130F" w:themeColor="background2"/>
          <w:sz w:val="20"/>
          <w:szCs w:val="20"/>
          <w:lang w:val="fr-FR"/>
        </w:rPr>
        <w:t>%, avec un accroissement de la marge de 260 points de base.</w:t>
      </w:r>
      <w:r w:rsidR="00B76C31" w:rsidRPr="000C1720">
        <w:rPr>
          <w:rFonts w:cstheme="minorHAnsi"/>
          <w:color w:val="45130F" w:themeColor="background2"/>
          <w:sz w:val="20"/>
          <w:szCs w:val="20"/>
          <w:lang w:val="fr-BE"/>
        </w:rPr>
        <w:t xml:space="preserve"> </w:t>
      </w:r>
    </w:p>
    <w:p w14:paraId="6794D84F" w14:textId="77777777" w:rsidR="00755F46" w:rsidRPr="000C1720" w:rsidRDefault="00755F46" w:rsidP="00AB5337">
      <w:pPr>
        <w:spacing w:after="0" w:line="240" w:lineRule="auto"/>
        <w:jc w:val="both"/>
        <w:rPr>
          <w:rFonts w:cstheme="minorHAnsi"/>
          <w:b/>
          <w:color w:val="45130F" w:themeColor="background2"/>
          <w:sz w:val="20"/>
          <w:szCs w:val="20"/>
          <w:highlight w:val="yellow"/>
          <w:u w:val="single"/>
          <w:lang w:val="fr-BE"/>
        </w:rPr>
      </w:pPr>
    </w:p>
    <w:p w14:paraId="6A05BA4B" w14:textId="0DE36289" w:rsidR="000B4448" w:rsidRPr="00D13FBB" w:rsidRDefault="00BF6772" w:rsidP="0083023E">
      <w:pPr>
        <w:spacing w:after="0" w:line="240" w:lineRule="auto"/>
        <w:jc w:val="both"/>
        <w:rPr>
          <w:rFonts w:ascii="Arial" w:eastAsia="Arial" w:hAnsi="Arial" w:cs="Arial"/>
          <w:b/>
          <w:color w:val="45130F" w:themeColor="background2"/>
          <w:sz w:val="20"/>
          <w:szCs w:val="20"/>
          <w:u w:val="single"/>
          <w:lang w:val="fr-BE"/>
        </w:rPr>
      </w:pPr>
      <w:r w:rsidRPr="00D13FBB">
        <w:rPr>
          <w:rFonts w:ascii="Arial" w:eastAsia="Arial" w:hAnsi="Arial" w:cs="Arial"/>
          <w:b/>
          <w:color w:val="45130F" w:themeColor="background2"/>
          <w:sz w:val="20"/>
          <w:szCs w:val="20"/>
          <w:u w:val="single"/>
          <w:lang w:val="fr-FR"/>
        </w:rPr>
        <w:t>Brésil</w:t>
      </w:r>
    </w:p>
    <w:p w14:paraId="78C8B0BA" w14:textId="77777777" w:rsidR="000B4448" w:rsidRPr="00D13FBB" w:rsidRDefault="000B4448" w:rsidP="000B4448">
      <w:pPr>
        <w:spacing w:after="0" w:line="240" w:lineRule="auto"/>
        <w:jc w:val="both"/>
        <w:rPr>
          <w:rFonts w:ascii="Arial" w:eastAsia="Arial" w:hAnsi="Arial" w:cs="Arial"/>
          <w:b/>
          <w:color w:val="45130F" w:themeColor="background2"/>
          <w:sz w:val="20"/>
          <w:szCs w:val="20"/>
          <w:u w:val="single"/>
          <w:lang w:val="fr-BE"/>
        </w:rPr>
      </w:pPr>
    </w:p>
    <w:p w14:paraId="3E65BB93" w14:textId="68891B78" w:rsidR="00B57FCD" w:rsidRPr="000C1720" w:rsidRDefault="00BF6772" w:rsidP="0083023E">
      <w:pPr>
        <w:spacing w:after="0" w:line="240" w:lineRule="auto"/>
        <w:jc w:val="both"/>
        <w:rPr>
          <w:rFonts w:cstheme="minorHAnsi"/>
          <w:color w:val="45130F" w:themeColor="background2"/>
          <w:sz w:val="20"/>
          <w:szCs w:val="20"/>
          <w:lang w:val="fr-BE"/>
        </w:rPr>
      </w:pPr>
      <w:r w:rsidRPr="00144F32">
        <w:rPr>
          <w:rFonts w:cstheme="minorHAnsi"/>
          <w:color w:val="45130F" w:themeColor="background2"/>
          <w:sz w:val="20"/>
          <w:szCs w:val="20"/>
          <w:lang w:val="fr-FR"/>
        </w:rPr>
        <w:t>Les produits totaux ont diminué de 3,8</w:t>
      </w:r>
      <w:r w:rsidR="0083023E" w:rsidRPr="00144F32">
        <w:rPr>
          <w:rFonts w:cstheme="minorHAnsi"/>
          <w:color w:val="45130F" w:themeColor="background2"/>
          <w:sz w:val="20"/>
          <w:szCs w:val="20"/>
          <w:lang w:val="fr-FR"/>
        </w:rPr>
        <w:t> </w:t>
      </w:r>
      <w:r w:rsidRPr="00144F32">
        <w:rPr>
          <w:rFonts w:cstheme="minorHAnsi"/>
          <w:color w:val="45130F" w:themeColor="background2"/>
          <w:sz w:val="20"/>
          <w:szCs w:val="20"/>
          <w:lang w:val="fr-FR"/>
        </w:rPr>
        <w:t>% au 2T17 et de 1,6</w:t>
      </w:r>
      <w:r w:rsidR="0083023E" w:rsidRPr="00144F32">
        <w:rPr>
          <w:rFonts w:cstheme="minorHAnsi"/>
          <w:color w:val="45130F" w:themeColor="background2"/>
          <w:sz w:val="20"/>
          <w:szCs w:val="20"/>
          <w:lang w:val="fr-FR"/>
        </w:rPr>
        <w:t> </w:t>
      </w:r>
      <w:r w:rsidRPr="00144F32">
        <w:rPr>
          <w:rFonts w:cstheme="minorHAnsi"/>
          <w:color w:val="45130F" w:themeColor="background2"/>
          <w:sz w:val="20"/>
          <w:szCs w:val="20"/>
          <w:lang w:val="fr-FR"/>
        </w:rPr>
        <w:t>% au 1S17, les produits par hl affichant une hausse de 0,9</w:t>
      </w:r>
      <w:r w:rsidR="0083023E" w:rsidRPr="000C1720">
        <w:rPr>
          <w:rFonts w:cstheme="minorHAnsi"/>
          <w:color w:val="45130F" w:themeColor="background2"/>
          <w:sz w:val="20"/>
          <w:szCs w:val="20"/>
          <w:lang w:val="fr-FR"/>
        </w:rPr>
        <w:t> </w:t>
      </w:r>
      <w:r w:rsidRPr="000C1720">
        <w:rPr>
          <w:rFonts w:cstheme="minorHAnsi"/>
          <w:color w:val="45130F" w:themeColor="background2"/>
          <w:sz w:val="20"/>
          <w:szCs w:val="20"/>
          <w:lang w:val="fr-FR"/>
        </w:rPr>
        <w:t>% durant le trimestre mais un recul de 0,7</w:t>
      </w:r>
      <w:r w:rsidR="0083023E" w:rsidRPr="000C1720">
        <w:rPr>
          <w:rFonts w:cstheme="minorHAnsi"/>
          <w:color w:val="45130F" w:themeColor="background2"/>
          <w:sz w:val="20"/>
          <w:szCs w:val="20"/>
          <w:lang w:val="fr-FR"/>
        </w:rPr>
        <w:t> </w:t>
      </w:r>
      <w:r w:rsidRPr="000C1720">
        <w:rPr>
          <w:rFonts w:cstheme="minorHAnsi"/>
          <w:color w:val="45130F" w:themeColor="background2"/>
          <w:sz w:val="20"/>
          <w:szCs w:val="20"/>
          <w:lang w:val="fr-FR"/>
        </w:rPr>
        <w:t>% au 1S17.</w:t>
      </w:r>
    </w:p>
    <w:p w14:paraId="5FD9C813" w14:textId="77777777" w:rsidR="00B57FCD" w:rsidRPr="000C1720" w:rsidRDefault="00B57FCD" w:rsidP="00B57FCD">
      <w:pPr>
        <w:spacing w:after="0" w:line="240" w:lineRule="auto"/>
        <w:jc w:val="both"/>
        <w:rPr>
          <w:rFonts w:cstheme="minorHAnsi"/>
          <w:color w:val="45130F" w:themeColor="background2"/>
          <w:sz w:val="20"/>
          <w:szCs w:val="20"/>
          <w:lang w:val="fr-BE"/>
        </w:rPr>
      </w:pPr>
    </w:p>
    <w:p w14:paraId="40DD5A4B" w14:textId="6BD09900" w:rsidR="00B57FCD" w:rsidRPr="00144F32" w:rsidRDefault="00BF6772" w:rsidP="0083023E">
      <w:pPr>
        <w:spacing w:after="0" w:line="240" w:lineRule="auto"/>
        <w:jc w:val="both"/>
        <w:rPr>
          <w:rFonts w:cstheme="minorHAnsi"/>
          <w:color w:val="45130F" w:themeColor="background2"/>
          <w:sz w:val="20"/>
          <w:szCs w:val="20"/>
          <w:lang w:val="fr-BE"/>
        </w:rPr>
      </w:pPr>
      <w:r w:rsidRPr="000C1720">
        <w:rPr>
          <w:rFonts w:cstheme="minorHAnsi"/>
          <w:color w:val="45130F" w:themeColor="background2"/>
          <w:sz w:val="20"/>
          <w:szCs w:val="20"/>
          <w:lang w:val="fr-FR"/>
        </w:rPr>
        <w:t>Les volumes de biè</w:t>
      </w:r>
      <w:r w:rsidR="0083023E" w:rsidRPr="000C1720">
        <w:rPr>
          <w:rFonts w:cstheme="minorHAnsi"/>
          <w:color w:val="45130F" w:themeColor="background2"/>
          <w:sz w:val="20"/>
          <w:szCs w:val="20"/>
          <w:lang w:val="fr-FR"/>
        </w:rPr>
        <w:t>res au Brésil ont baissé de 1,3 </w:t>
      </w:r>
      <w:r w:rsidRPr="000C1720">
        <w:rPr>
          <w:rFonts w:cstheme="minorHAnsi"/>
          <w:color w:val="45130F" w:themeColor="background2"/>
          <w:sz w:val="20"/>
          <w:szCs w:val="20"/>
          <w:lang w:val="fr-FR"/>
        </w:rPr>
        <w:t>% pendant le trimestre.</w:t>
      </w:r>
      <w:r w:rsidR="00B57FCD" w:rsidRPr="000C1720">
        <w:rPr>
          <w:rFonts w:cstheme="minorHAnsi"/>
          <w:color w:val="45130F" w:themeColor="background2"/>
          <w:sz w:val="20"/>
          <w:szCs w:val="20"/>
          <w:lang w:val="fr-BE"/>
        </w:rPr>
        <w:t xml:space="preserve"> </w:t>
      </w:r>
      <w:r w:rsidRPr="000C1720">
        <w:rPr>
          <w:rFonts w:cstheme="minorHAnsi"/>
          <w:color w:val="45130F" w:themeColor="background2"/>
          <w:sz w:val="20"/>
          <w:szCs w:val="20"/>
          <w:lang w:val="fr-FR"/>
        </w:rPr>
        <w:t xml:space="preserve">Nous avons de nouveau </w:t>
      </w:r>
      <w:r w:rsidR="002913EA" w:rsidRPr="000C1720">
        <w:rPr>
          <w:rFonts w:cstheme="minorHAnsi"/>
          <w:color w:val="45130F" w:themeColor="background2"/>
          <w:sz w:val="20"/>
          <w:szCs w:val="20"/>
          <w:lang w:val="fr-FR"/>
        </w:rPr>
        <w:t xml:space="preserve">surpassé </w:t>
      </w:r>
      <w:r w:rsidRPr="000C1720">
        <w:rPr>
          <w:rFonts w:cstheme="minorHAnsi"/>
          <w:color w:val="45130F" w:themeColor="background2"/>
          <w:sz w:val="20"/>
          <w:szCs w:val="20"/>
          <w:lang w:val="fr-FR"/>
        </w:rPr>
        <w:t>les résultats du secteur, qui affiche</w:t>
      </w:r>
      <w:r w:rsidR="002913EA" w:rsidRPr="000C1720">
        <w:rPr>
          <w:rFonts w:cstheme="minorHAnsi"/>
          <w:color w:val="45130F" w:themeColor="background2"/>
          <w:sz w:val="20"/>
          <w:szCs w:val="20"/>
          <w:lang w:val="fr-FR"/>
        </w:rPr>
        <w:t>nt</w:t>
      </w:r>
      <w:r w:rsidRPr="000C1720">
        <w:rPr>
          <w:rFonts w:cstheme="minorHAnsi"/>
          <w:color w:val="45130F" w:themeColor="background2"/>
          <w:sz w:val="20"/>
          <w:szCs w:val="20"/>
          <w:lang w:val="fr-FR"/>
        </w:rPr>
        <w:t xml:space="preserve"> un recul de 2,7</w:t>
      </w:r>
      <w:r w:rsidR="0083023E" w:rsidRPr="000C1720">
        <w:rPr>
          <w:rFonts w:cstheme="minorHAnsi"/>
          <w:color w:val="45130F" w:themeColor="background2"/>
          <w:sz w:val="20"/>
          <w:szCs w:val="20"/>
          <w:lang w:val="fr-FR"/>
        </w:rPr>
        <w:t> </w:t>
      </w:r>
      <w:r w:rsidRPr="000C1720">
        <w:rPr>
          <w:rFonts w:cstheme="minorHAnsi"/>
          <w:color w:val="45130F" w:themeColor="background2"/>
          <w:sz w:val="20"/>
          <w:szCs w:val="20"/>
          <w:lang w:val="fr-FR"/>
        </w:rPr>
        <w:t>% et qui reste</w:t>
      </w:r>
      <w:r w:rsidR="002913EA" w:rsidRPr="000C1720">
        <w:rPr>
          <w:rFonts w:cstheme="minorHAnsi"/>
          <w:color w:val="45130F" w:themeColor="background2"/>
          <w:sz w:val="20"/>
          <w:szCs w:val="20"/>
          <w:lang w:val="fr-FR"/>
        </w:rPr>
        <w:t>nt</w:t>
      </w:r>
      <w:r w:rsidRPr="000C1720">
        <w:rPr>
          <w:rFonts w:cstheme="minorHAnsi"/>
          <w:color w:val="45130F" w:themeColor="background2"/>
          <w:sz w:val="20"/>
          <w:szCs w:val="20"/>
          <w:lang w:val="fr-FR"/>
        </w:rPr>
        <w:t xml:space="preserve"> affecté</w:t>
      </w:r>
      <w:r w:rsidR="002913EA" w:rsidRPr="000C1720">
        <w:rPr>
          <w:rFonts w:cstheme="minorHAnsi"/>
          <w:color w:val="45130F" w:themeColor="background2"/>
          <w:sz w:val="20"/>
          <w:szCs w:val="20"/>
          <w:lang w:val="fr-FR"/>
        </w:rPr>
        <w:t>s</w:t>
      </w:r>
      <w:r w:rsidRPr="000C1720">
        <w:rPr>
          <w:rFonts w:cstheme="minorHAnsi"/>
          <w:color w:val="45130F" w:themeColor="background2"/>
          <w:sz w:val="20"/>
          <w:szCs w:val="20"/>
          <w:lang w:val="fr-FR"/>
        </w:rPr>
        <w:t xml:space="preserve"> par le contexte politique et macroéconomique turbulent entraînant un taux de chômage élevé et sapant la confiance des consommateurs.</w:t>
      </w:r>
      <w:r w:rsidR="00B57FCD" w:rsidRPr="000C1720">
        <w:rPr>
          <w:rFonts w:cstheme="minorHAnsi"/>
          <w:color w:val="45130F" w:themeColor="background2"/>
          <w:sz w:val="20"/>
          <w:szCs w:val="20"/>
          <w:lang w:val="fr-BE"/>
        </w:rPr>
        <w:t xml:space="preserve"> </w:t>
      </w:r>
      <w:r w:rsidRPr="000C1720">
        <w:rPr>
          <w:rFonts w:cstheme="minorHAnsi"/>
          <w:color w:val="45130F" w:themeColor="background2"/>
          <w:sz w:val="20"/>
          <w:szCs w:val="20"/>
          <w:lang w:val="fr-FR"/>
        </w:rPr>
        <w:t xml:space="preserve">Les produits nets </w:t>
      </w:r>
      <w:r w:rsidR="002913EA" w:rsidRPr="000C1720">
        <w:rPr>
          <w:rFonts w:cstheme="minorHAnsi"/>
          <w:color w:val="45130F" w:themeColor="background2"/>
          <w:sz w:val="20"/>
          <w:szCs w:val="20"/>
          <w:lang w:val="fr-FR"/>
        </w:rPr>
        <w:t xml:space="preserve">de </w:t>
      </w:r>
      <w:r w:rsidRPr="000C1720">
        <w:rPr>
          <w:rFonts w:cstheme="minorHAnsi"/>
          <w:color w:val="45130F" w:themeColor="background2"/>
          <w:sz w:val="20"/>
          <w:szCs w:val="20"/>
          <w:lang w:val="fr-FR"/>
        </w:rPr>
        <w:t xml:space="preserve">bières ont bénéficié de la belle progression de nos marques </w:t>
      </w:r>
      <w:r w:rsidRPr="000C1720">
        <w:rPr>
          <w:rFonts w:cstheme="minorHAnsi"/>
          <w:color w:val="45130F" w:themeColor="background2"/>
          <w:sz w:val="20"/>
          <w:szCs w:val="20"/>
          <w:lang w:val="fr-FR"/>
        </w:rPr>
        <w:lastRenderedPageBreak/>
        <w:t xml:space="preserve">mondiales, qui a cependant été plus qu’atténuée par le </w:t>
      </w:r>
      <w:r w:rsidRPr="009D5CD4">
        <w:rPr>
          <w:rFonts w:cstheme="minorHAnsi"/>
          <w:color w:val="45130F" w:themeColor="background2"/>
          <w:sz w:val="20"/>
          <w:szCs w:val="20"/>
          <w:lang w:val="fr-FR"/>
        </w:rPr>
        <w:t>mix d’emballage négatif dû à l’augmentation du nombre de bouteilles en verre consignées</w:t>
      </w:r>
      <w:r w:rsidRPr="00E202DB">
        <w:rPr>
          <w:rFonts w:cstheme="minorHAnsi"/>
          <w:color w:val="45130F" w:themeColor="background2"/>
          <w:sz w:val="20"/>
          <w:szCs w:val="20"/>
          <w:lang w:val="fr-FR"/>
        </w:rPr>
        <w:t xml:space="preserve">, </w:t>
      </w:r>
      <w:r w:rsidRPr="00D13FBB">
        <w:rPr>
          <w:rFonts w:ascii="Arial" w:hAnsi="Arial" w:cs="Arial"/>
          <w:color w:val="45130F" w:themeColor="background2"/>
          <w:sz w:val="20"/>
          <w:szCs w:val="20"/>
          <w:lang w:val="fr-FR"/>
        </w:rPr>
        <w:t>qui impactent négativement les produits nets par hl mais qui influencent positivement l'EBITDA et la marge.</w:t>
      </w:r>
    </w:p>
    <w:p w14:paraId="06DDBD7A" w14:textId="77777777" w:rsidR="00B57FCD" w:rsidRPr="000C1720" w:rsidRDefault="00B57FCD" w:rsidP="00B57FCD">
      <w:pPr>
        <w:spacing w:after="0" w:line="240" w:lineRule="auto"/>
        <w:jc w:val="both"/>
        <w:rPr>
          <w:rFonts w:cstheme="minorHAnsi"/>
          <w:color w:val="45130F" w:themeColor="background2"/>
          <w:sz w:val="20"/>
          <w:szCs w:val="20"/>
          <w:lang w:val="fr-BE"/>
        </w:rPr>
      </w:pPr>
    </w:p>
    <w:p w14:paraId="79B83E49" w14:textId="302DAE14" w:rsidR="00372440" w:rsidRDefault="00BD1856" w:rsidP="0083023E">
      <w:pPr>
        <w:spacing w:after="0" w:line="240" w:lineRule="auto"/>
        <w:jc w:val="both"/>
        <w:rPr>
          <w:rFonts w:ascii="Arial" w:hAnsi="Arial" w:cs="Arial"/>
          <w:color w:val="45130F" w:themeColor="background2"/>
          <w:sz w:val="20"/>
          <w:szCs w:val="20"/>
          <w:lang w:val="fr-FR"/>
        </w:rPr>
      </w:pPr>
      <w:r w:rsidRPr="00D13FBB">
        <w:rPr>
          <w:rFonts w:asciiTheme="majorHAnsi" w:hAnsiTheme="majorHAnsi" w:cstheme="majorHAnsi"/>
          <w:color w:val="45130F" w:themeColor="background2"/>
          <w:sz w:val="20"/>
          <w:szCs w:val="20"/>
          <w:lang w:val="fr-FR"/>
        </w:rPr>
        <w:t>L</w:t>
      </w:r>
      <w:r w:rsidR="00BF6772" w:rsidRPr="00D13FBB">
        <w:rPr>
          <w:rFonts w:asciiTheme="majorHAnsi" w:hAnsiTheme="majorHAnsi" w:cstheme="majorHAnsi"/>
          <w:color w:val="45130F" w:themeColor="background2"/>
          <w:sz w:val="20"/>
          <w:szCs w:val="20"/>
          <w:lang w:val="fr-FR"/>
        </w:rPr>
        <w:t xml:space="preserve">es produits par hl </w:t>
      </w:r>
      <w:r w:rsidRPr="00D13FBB">
        <w:rPr>
          <w:rFonts w:asciiTheme="majorHAnsi" w:hAnsiTheme="majorHAnsi" w:cstheme="majorHAnsi"/>
          <w:color w:val="45130F" w:themeColor="background2"/>
          <w:sz w:val="20"/>
          <w:szCs w:val="20"/>
          <w:lang w:val="fr-FR"/>
        </w:rPr>
        <w:t xml:space="preserve">de nos activités non-bières </w:t>
      </w:r>
      <w:r w:rsidR="00BF6772" w:rsidRPr="00D13FBB">
        <w:rPr>
          <w:rFonts w:asciiTheme="majorHAnsi" w:hAnsiTheme="majorHAnsi" w:cstheme="majorHAnsi"/>
          <w:color w:val="45130F" w:themeColor="background2"/>
          <w:sz w:val="20"/>
          <w:szCs w:val="20"/>
          <w:lang w:val="fr-FR"/>
        </w:rPr>
        <w:t>ont progressé de 6,6</w:t>
      </w:r>
      <w:r w:rsidR="0083023E" w:rsidRPr="00144F32">
        <w:rPr>
          <w:rFonts w:cstheme="minorHAnsi"/>
          <w:color w:val="45130F" w:themeColor="background2"/>
          <w:sz w:val="20"/>
          <w:szCs w:val="20"/>
          <w:lang w:val="fr-FR"/>
        </w:rPr>
        <w:t> </w:t>
      </w:r>
      <w:r w:rsidR="00BF6772" w:rsidRPr="00D13FBB">
        <w:rPr>
          <w:rFonts w:asciiTheme="majorHAnsi" w:hAnsiTheme="majorHAnsi" w:cstheme="majorHAnsi"/>
          <w:color w:val="45130F" w:themeColor="background2"/>
          <w:sz w:val="20"/>
          <w:szCs w:val="20"/>
          <w:lang w:val="fr-FR"/>
        </w:rPr>
        <w:t>%</w:t>
      </w:r>
      <w:r w:rsidR="0083023E" w:rsidRPr="00D13FBB">
        <w:rPr>
          <w:rFonts w:asciiTheme="majorHAnsi" w:hAnsiTheme="majorHAnsi" w:cstheme="majorHAnsi"/>
          <w:color w:val="45130F" w:themeColor="background2"/>
          <w:sz w:val="20"/>
          <w:szCs w:val="20"/>
          <w:lang w:val="fr-FR"/>
        </w:rPr>
        <w:t>, favorisés par les</w:t>
      </w:r>
      <w:r w:rsidR="00BF6772" w:rsidRPr="00D13FBB">
        <w:rPr>
          <w:rFonts w:asciiTheme="majorHAnsi" w:hAnsiTheme="majorHAnsi" w:cstheme="majorHAnsi"/>
          <w:color w:val="45130F" w:themeColor="background2"/>
          <w:sz w:val="20"/>
          <w:szCs w:val="20"/>
          <w:lang w:val="fr-FR"/>
        </w:rPr>
        <w:t xml:space="preserve"> initiatives de gestion des revenus mises en œuvre durant le trimestre.</w:t>
      </w:r>
      <w:r w:rsidR="00372440" w:rsidRPr="00144F32">
        <w:rPr>
          <w:rFonts w:asciiTheme="majorHAnsi" w:hAnsiTheme="majorHAnsi" w:cstheme="majorHAnsi"/>
          <w:color w:val="45130F" w:themeColor="background2"/>
          <w:sz w:val="20"/>
          <w:szCs w:val="20"/>
          <w:lang w:val="fr-BE"/>
        </w:rPr>
        <w:t xml:space="preserve"> </w:t>
      </w:r>
      <w:r w:rsidR="00151A92" w:rsidRPr="00144F32">
        <w:rPr>
          <w:rFonts w:cstheme="minorHAnsi"/>
          <w:color w:val="45130F" w:themeColor="background2"/>
          <w:sz w:val="20"/>
          <w:szCs w:val="20"/>
          <w:lang w:val="fr-FR"/>
        </w:rPr>
        <w:t xml:space="preserve">La baisse des volumes </w:t>
      </w:r>
      <w:r w:rsidR="0083023E" w:rsidRPr="00144F32">
        <w:rPr>
          <w:rFonts w:cstheme="minorHAnsi"/>
          <w:color w:val="45130F" w:themeColor="background2"/>
          <w:sz w:val="20"/>
          <w:szCs w:val="20"/>
          <w:lang w:val="fr-FR"/>
        </w:rPr>
        <w:t xml:space="preserve">du trimestre </w:t>
      </w:r>
      <w:r w:rsidRPr="00144F32">
        <w:rPr>
          <w:rFonts w:cstheme="minorHAnsi"/>
          <w:color w:val="45130F" w:themeColor="background2"/>
          <w:sz w:val="20"/>
          <w:szCs w:val="20"/>
          <w:lang w:val="fr-FR"/>
        </w:rPr>
        <w:t xml:space="preserve">de </w:t>
      </w:r>
      <w:r w:rsidR="0083023E" w:rsidRPr="00144F32">
        <w:rPr>
          <w:rFonts w:cstheme="minorHAnsi"/>
          <w:color w:val="45130F" w:themeColor="background2"/>
          <w:sz w:val="20"/>
          <w:szCs w:val="20"/>
          <w:lang w:val="fr-FR"/>
        </w:rPr>
        <w:t>14,</w:t>
      </w:r>
      <w:r w:rsidR="00151A92" w:rsidRPr="00144F32">
        <w:rPr>
          <w:rFonts w:cstheme="minorHAnsi"/>
          <w:color w:val="45130F" w:themeColor="background2"/>
          <w:sz w:val="20"/>
          <w:szCs w:val="20"/>
          <w:lang w:val="fr-FR"/>
        </w:rPr>
        <w:t>1</w:t>
      </w:r>
      <w:r w:rsidR="0083023E" w:rsidRPr="00144F32">
        <w:rPr>
          <w:rFonts w:cstheme="minorHAnsi"/>
          <w:color w:val="45130F" w:themeColor="background2"/>
          <w:sz w:val="20"/>
          <w:szCs w:val="20"/>
          <w:lang w:val="fr-FR"/>
        </w:rPr>
        <w:t> </w:t>
      </w:r>
      <w:r w:rsidR="00151A92" w:rsidRPr="00144F32">
        <w:rPr>
          <w:rFonts w:cstheme="minorHAnsi"/>
          <w:color w:val="45130F" w:themeColor="background2"/>
          <w:sz w:val="20"/>
          <w:szCs w:val="20"/>
          <w:lang w:val="fr-FR"/>
        </w:rPr>
        <w:t xml:space="preserve">% est </w:t>
      </w:r>
      <w:r w:rsidR="00EA04AC" w:rsidRPr="00144F32">
        <w:rPr>
          <w:rFonts w:cstheme="minorHAnsi"/>
          <w:color w:val="45130F" w:themeColor="background2"/>
          <w:sz w:val="20"/>
          <w:szCs w:val="20"/>
          <w:lang w:val="fr-FR"/>
        </w:rPr>
        <w:t>sup</w:t>
      </w:r>
      <w:r w:rsidR="00151A92" w:rsidRPr="00144F32">
        <w:rPr>
          <w:rFonts w:cstheme="minorHAnsi"/>
          <w:color w:val="45130F" w:themeColor="background2"/>
          <w:sz w:val="20"/>
          <w:szCs w:val="20"/>
          <w:lang w:val="fr-FR"/>
        </w:rPr>
        <w:t>érieure à</w:t>
      </w:r>
      <w:r w:rsidRPr="00144F32">
        <w:rPr>
          <w:rFonts w:cstheme="minorHAnsi"/>
          <w:color w:val="45130F" w:themeColor="background2"/>
          <w:sz w:val="20"/>
          <w:szCs w:val="20"/>
          <w:lang w:val="fr-FR"/>
        </w:rPr>
        <w:t xml:space="preserve"> la baisse</w:t>
      </w:r>
      <w:r w:rsidR="00151A92" w:rsidRPr="00144F32">
        <w:rPr>
          <w:rFonts w:cstheme="minorHAnsi"/>
          <w:color w:val="45130F" w:themeColor="background2"/>
          <w:sz w:val="20"/>
          <w:szCs w:val="20"/>
          <w:lang w:val="fr-FR"/>
        </w:rPr>
        <w:t xml:space="preserve"> du secteur</w:t>
      </w:r>
      <w:r w:rsidR="0083023E" w:rsidRPr="006E0D8E">
        <w:rPr>
          <w:rFonts w:cstheme="minorHAnsi"/>
          <w:color w:val="45130F" w:themeColor="background2"/>
          <w:sz w:val="20"/>
          <w:szCs w:val="20"/>
          <w:lang w:val="fr-FR"/>
        </w:rPr>
        <w:t>,</w:t>
      </w:r>
      <w:r w:rsidR="00151A92" w:rsidRPr="006E0D8E">
        <w:rPr>
          <w:rFonts w:cstheme="minorHAnsi"/>
          <w:color w:val="45130F" w:themeColor="background2"/>
          <w:sz w:val="20"/>
          <w:szCs w:val="20"/>
          <w:lang w:val="fr-FR"/>
        </w:rPr>
        <w:t xml:space="preserve"> mais le recul de 6,8</w:t>
      </w:r>
      <w:r w:rsidR="0083023E" w:rsidRPr="000C1720">
        <w:rPr>
          <w:rFonts w:cstheme="minorHAnsi"/>
          <w:color w:val="45130F" w:themeColor="background2"/>
          <w:sz w:val="20"/>
          <w:szCs w:val="20"/>
          <w:lang w:val="fr-FR"/>
        </w:rPr>
        <w:t> </w:t>
      </w:r>
      <w:r w:rsidR="00151A92" w:rsidRPr="000C1720">
        <w:rPr>
          <w:rFonts w:cstheme="minorHAnsi"/>
          <w:color w:val="45130F" w:themeColor="background2"/>
          <w:sz w:val="20"/>
          <w:szCs w:val="20"/>
          <w:lang w:val="fr-FR"/>
        </w:rPr>
        <w:t xml:space="preserve">% enregistré au 1S17 </w:t>
      </w:r>
      <w:r w:rsidR="00EA04AC" w:rsidRPr="000C1720">
        <w:rPr>
          <w:rFonts w:cstheme="minorHAnsi"/>
          <w:color w:val="45130F" w:themeColor="background2"/>
          <w:sz w:val="20"/>
          <w:szCs w:val="20"/>
          <w:lang w:val="fr-FR"/>
        </w:rPr>
        <w:t xml:space="preserve">est inférieur à celui </w:t>
      </w:r>
      <w:r w:rsidR="00151A92" w:rsidRPr="000C1720">
        <w:rPr>
          <w:rFonts w:cstheme="minorHAnsi"/>
          <w:color w:val="45130F" w:themeColor="background2"/>
          <w:sz w:val="20"/>
          <w:szCs w:val="20"/>
          <w:lang w:val="fr-FR"/>
        </w:rPr>
        <w:t>du</w:t>
      </w:r>
      <w:r w:rsidR="00151A92" w:rsidRPr="0083023E">
        <w:rPr>
          <w:rFonts w:cstheme="minorHAnsi"/>
          <w:color w:val="45130F" w:themeColor="background2"/>
          <w:sz w:val="20"/>
          <w:szCs w:val="20"/>
          <w:lang w:val="fr-FR"/>
        </w:rPr>
        <w:t xml:space="preserve"> </w:t>
      </w:r>
      <w:r w:rsidR="00151A92" w:rsidRPr="00144F32">
        <w:rPr>
          <w:rFonts w:cstheme="minorHAnsi"/>
          <w:color w:val="45130F" w:themeColor="background2"/>
          <w:sz w:val="20"/>
          <w:szCs w:val="20"/>
          <w:lang w:val="fr-FR"/>
        </w:rPr>
        <w:t xml:space="preserve">secteur, qui </w:t>
      </w:r>
      <w:r w:rsidR="00151A92" w:rsidRPr="00D13FBB">
        <w:rPr>
          <w:rFonts w:ascii="Arial" w:hAnsi="Arial" w:cs="Arial"/>
          <w:color w:val="45130F" w:themeColor="background2"/>
          <w:sz w:val="20"/>
          <w:szCs w:val="20"/>
          <w:lang w:val="fr-FR"/>
        </w:rPr>
        <w:t>a été durement touché par la pression sur le revenu disponible et les dépenses discrétionnaires.</w:t>
      </w:r>
    </w:p>
    <w:p w14:paraId="484165AB" w14:textId="77777777" w:rsidR="00955D58" w:rsidRDefault="00955D58" w:rsidP="0083023E">
      <w:pPr>
        <w:spacing w:after="0" w:line="240" w:lineRule="auto"/>
        <w:jc w:val="both"/>
        <w:rPr>
          <w:rFonts w:ascii="Arial" w:hAnsi="Arial" w:cs="Arial"/>
          <w:color w:val="45130F" w:themeColor="background2"/>
          <w:sz w:val="20"/>
          <w:szCs w:val="20"/>
          <w:lang w:val="fr-FR"/>
        </w:rPr>
      </w:pPr>
    </w:p>
    <w:p w14:paraId="00DE49BE" w14:textId="733B8F11" w:rsidR="00955D58" w:rsidRPr="00D13FBB" w:rsidRDefault="00955D58" w:rsidP="0083023E">
      <w:pPr>
        <w:spacing w:after="0" w:line="240" w:lineRule="auto"/>
        <w:jc w:val="both"/>
        <w:rPr>
          <w:rFonts w:cstheme="minorHAnsi"/>
          <w:color w:val="45130F" w:themeColor="background2"/>
          <w:sz w:val="20"/>
          <w:szCs w:val="20"/>
          <w:lang w:val="fr-BE"/>
        </w:rPr>
      </w:pPr>
      <w:r w:rsidRPr="00955D58">
        <w:rPr>
          <w:rFonts w:cstheme="minorHAnsi"/>
          <w:color w:val="45130F" w:themeColor="background2"/>
          <w:sz w:val="20"/>
          <w:szCs w:val="20"/>
          <w:lang w:val="fr-BE"/>
        </w:rPr>
        <w:t xml:space="preserve">L'économie brésilienne se redresse à un rythme lent, représentant toujours un défi pour l'industrie de la bière à court terme. </w:t>
      </w:r>
      <w:r w:rsidRPr="00D13FBB">
        <w:rPr>
          <w:rFonts w:cstheme="minorHAnsi"/>
          <w:color w:val="45130F" w:themeColor="background2"/>
          <w:sz w:val="20"/>
          <w:szCs w:val="20"/>
          <w:lang w:val="fr-BE"/>
        </w:rPr>
        <w:t xml:space="preserve">Nous admettons la difficile réalité, mais nous croyons en notre stratégie, tout en restant </w:t>
      </w:r>
      <w:r w:rsidRPr="00955D58">
        <w:rPr>
          <w:rFonts w:cstheme="minorHAnsi"/>
          <w:color w:val="45130F" w:themeColor="background2"/>
          <w:sz w:val="20"/>
          <w:szCs w:val="20"/>
          <w:lang w:val="fr-BE"/>
        </w:rPr>
        <w:t>prudemment optimiste</w:t>
      </w:r>
      <w:r w:rsidRPr="00D13FBB">
        <w:rPr>
          <w:rFonts w:cstheme="minorHAnsi"/>
          <w:color w:val="45130F" w:themeColor="background2"/>
          <w:sz w:val="20"/>
          <w:szCs w:val="20"/>
          <w:lang w:val="fr-BE"/>
        </w:rPr>
        <w:t>s</w:t>
      </w:r>
      <w:r w:rsidRPr="00955D58">
        <w:rPr>
          <w:rFonts w:cstheme="minorHAnsi"/>
          <w:color w:val="45130F" w:themeColor="background2"/>
          <w:sz w:val="20"/>
          <w:szCs w:val="20"/>
          <w:lang w:val="fr-BE"/>
        </w:rPr>
        <w:t xml:space="preserve"> pour l'année. </w:t>
      </w:r>
      <w:r>
        <w:rPr>
          <w:rFonts w:cstheme="minorHAnsi"/>
          <w:color w:val="45130F" w:themeColor="background2"/>
          <w:sz w:val="20"/>
          <w:szCs w:val="20"/>
          <w:lang w:val="fr-BE"/>
        </w:rPr>
        <w:t xml:space="preserve">En outre, alors que nous allons à présent démarrer un cycle comparable plus favorable en termes de produits par hl, </w:t>
      </w:r>
      <w:r w:rsidR="00C610D5">
        <w:rPr>
          <w:rFonts w:cstheme="minorHAnsi"/>
          <w:color w:val="45130F" w:themeColor="background2"/>
          <w:sz w:val="20"/>
          <w:szCs w:val="20"/>
          <w:lang w:val="fr-BE"/>
        </w:rPr>
        <w:t xml:space="preserve">et que les CdV par hl devraient se stabiliser ou augmenter d’un chiffre dans le bas de la fourchette, nous anticipons un retour à la croissance de l’EBITDA lors du second semestre 2017. Tout en gardant cela à l’esprit, nous continuerons à mettre nos efforts dans notre plan, en nous concentrant sur nos plateformes commerciales au Brésil et en poursuivant les économies de coûts et les gains de productivités afin d’impacter positivement notre rentabilité. </w:t>
      </w:r>
    </w:p>
    <w:p w14:paraId="0388C99B" w14:textId="77777777" w:rsidR="00B57FCD" w:rsidRPr="000C1720" w:rsidRDefault="00B57FCD" w:rsidP="00B57FCD">
      <w:pPr>
        <w:spacing w:after="0" w:line="240" w:lineRule="auto"/>
        <w:jc w:val="both"/>
        <w:rPr>
          <w:rFonts w:cstheme="minorHAnsi"/>
          <w:color w:val="45130F" w:themeColor="background2"/>
          <w:sz w:val="20"/>
          <w:szCs w:val="20"/>
          <w:lang w:val="fr-BE"/>
        </w:rPr>
      </w:pPr>
    </w:p>
    <w:p w14:paraId="6B7FFB25" w14:textId="727782B9" w:rsidR="000B4448" w:rsidRPr="00D13FBB" w:rsidRDefault="00EA04AC" w:rsidP="000B4448">
      <w:pPr>
        <w:spacing w:after="0" w:line="240" w:lineRule="auto"/>
        <w:jc w:val="both"/>
        <w:rPr>
          <w:rFonts w:ascii="Arial" w:eastAsia="Arial" w:hAnsi="Arial" w:cs="Arial"/>
          <w:color w:val="45130F" w:themeColor="background2"/>
          <w:sz w:val="20"/>
          <w:szCs w:val="20"/>
          <w:lang w:val="fr-BE"/>
        </w:rPr>
      </w:pPr>
      <w:r w:rsidRPr="000C1720">
        <w:rPr>
          <w:rFonts w:cstheme="minorHAnsi"/>
          <w:color w:val="45130F" w:themeColor="background2"/>
          <w:sz w:val="20"/>
          <w:szCs w:val="20"/>
          <w:lang w:val="fr-FR"/>
        </w:rPr>
        <w:t xml:space="preserve">L’EBITDA a </w:t>
      </w:r>
      <w:r w:rsidR="00BD1856" w:rsidRPr="000C1720">
        <w:rPr>
          <w:rFonts w:cstheme="minorHAnsi"/>
          <w:color w:val="45130F" w:themeColor="background2"/>
          <w:sz w:val="20"/>
          <w:szCs w:val="20"/>
          <w:lang w:val="fr-FR"/>
        </w:rPr>
        <w:t xml:space="preserve">diminué </w:t>
      </w:r>
      <w:r w:rsidRPr="000C1720">
        <w:rPr>
          <w:rFonts w:cstheme="minorHAnsi"/>
          <w:color w:val="45130F" w:themeColor="background2"/>
          <w:sz w:val="20"/>
          <w:szCs w:val="20"/>
          <w:lang w:val="fr-FR"/>
        </w:rPr>
        <w:t>de 15</w:t>
      </w:r>
      <w:r w:rsidR="00722A37" w:rsidRPr="000C1720">
        <w:rPr>
          <w:rFonts w:cstheme="minorHAnsi"/>
          <w:color w:val="45130F" w:themeColor="background2"/>
          <w:sz w:val="20"/>
          <w:szCs w:val="20"/>
          <w:lang w:val="fr-FR"/>
        </w:rPr>
        <w:t>,</w:t>
      </w:r>
      <w:r w:rsidRPr="000C1720">
        <w:rPr>
          <w:rFonts w:cstheme="minorHAnsi"/>
          <w:color w:val="45130F" w:themeColor="background2"/>
          <w:sz w:val="20"/>
          <w:szCs w:val="20"/>
          <w:lang w:val="fr-FR"/>
        </w:rPr>
        <w:t>4</w:t>
      </w:r>
      <w:r w:rsidR="00722A37" w:rsidRPr="000C1720">
        <w:rPr>
          <w:rFonts w:cstheme="minorHAnsi"/>
          <w:color w:val="45130F" w:themeColor="background2"/>
          <w:sz w:val="20"/>
          <w:szCs w:val="20"/>
          <w:lang w:val="fr-FR"/>
        </w:rPr>
        <w:t> </w:t>
      </w:r>
      <w:r w:rsidRPr="000C1720">
        <w:rPr>
          <w:rFonts w:cstheme="minorHAnsi"/>
          <w:color w:val="45130F" w:themeColor="background2"/>
          <w:sz w:val="20"/>
          <w:szCs w:val="20"/>
          <w:lang w:val="fr-FR"/>
        </w:rPr>
        <w:t xml:space="preserve">% au 2T17 et </w:t>
      </w:r>
      <w:r w:rsidR="00AF6C8D" w:rsidRPr="000C1720">
        <w:rPr>
          <w:rFonts w:cstheme="minorHAnsi"/>
          <w:color w:val="45130F" w:themeColor="background2"/>
          <w:sz w:val="20"/>
          <w:szCs w:val="20"/>
          <w:lang w:val="fr-FR"/>
        </w:rPr>
        <w:t>l</w:t>
      </w:r>
      <w:r w:rsidRPr="000C1720">
        <w:rPr>
          <w:rFonts w:cstheme="minorHAnsi"/>
          <w:color w:val="45130F" w:themeColor="background2"/>
          <w:sz w:val="20"/>
          <w:szCs w:val="20"/>
          <w:lang w:val="fr-FR"/>
        </w:rPr>
        <w:t>a marge a perdu 535 points de base pour atteindre 39,2</w:t>
      </w:r>
      <w:r w:rsidR="00722A37" w:rsidRPr="000C1720">
        <w:rPr>
          <w:rFonts w:cstheme="minorHAnsi"/>
          <w:color w:val="45130F" w:themeColor="background2"/>
          <w:sz w:val="20"/>
          <w:szCs w:val="20"/>
          <w:lang w:val="fr-FR"/>
        </w:rPr>
        <w:t> </w:t>
      </w:r>
      <w:r w:rsidRPr="000C1720">
        <w:rPr>
          <w:rFonts w:cstheme="minorHAnsi"/>
          <w:color w:val="45130F" w:themeColor="background2"/>
          <w:sz w:val="20"/>
          <w:szCs w:val="20"/>
          <w:lang w:val="fr-FR"/>
        </w:rPr>
        <w:t>%.</w:t>
      </w:r>
      <w:r w:rsidR="00B57FCD" w:rsidRPr="000C1720">
        <w:rPr>
          <w:rFonts w:cstheme="minorHAnsi"/>
          <w:color w:val="45130F" w:themeColor="background2"/>
          <w:sz w:val="20"/>
          <w:szCs w:val="20"/>
          <w:lang w:val="fr-BE"/>
        </w:rPr>
        <w:t xml:space="preserve"> </w:t>
      </w:r>
      <w:r w:rsidRPr="000C1720">
        <w:rPr>
          <w:rFonts w:cstheme="minorHAnsi"/>
          <w:color w:val="45130F" w:themeColor="background2"/>
          <w:sz w:val="20"/>
          <w:szCs w:val="20"/>
          <w:lang w:val="fr-FR"/>
        </w:rPr>
        <w:t xml:space="preserve">Ce résultat s’explique par la baisse des revenus et par la hausse à deux chiffres des CdV par hl </w:t>
      </w:r>
      <w:r w:rsidR="00BD1856" w:rsidRPr="000C1720">
        <w:rPr>
          <w:rFonts w:cstheme="minorHAnsi"/>
          <w:color w:val="45130F" w:themeColor="background2"/>
          <w:sz w:val="20"/>
          <w:szCs w:val="20"/>
          <w:lang w:val="fr-FR"/>
        </w:rPr>
        <w:t xml:space="preserve">attendue </w:t>
      </w:r>
      <w:r w:rsidRPr="000C1720">
        <w:rPr>
          <w:rFonts w:cstheme="minorHAnsi"/>
          <w:color w:val="45130F" w:themeColor="background2"/>
          <w:sz w:val="20"/>
          <w:szCs w:val="20"/>
          <w:lang w:val="fr-FR"/>
        </w:rPr>
        <w:t xml:space="preserve">en raison de </w:t>
      </w:r>
      <w:r w:rsidR="00BD1856" w:rsidRPr="000C1720">
        <w:rPr>
          <w:rFonts w:cstheme="minorHAnsi"/>
          <w:color w:val="45130F" w:themeColor="background2"/>
          <w:sz w:val="20"/>
          <w:szCs w:val="20"/>
          <w:lang w:val="fr-FR"/>
        </w:rPr>
        <w:t>l'impact de l'effet de change transactionnel</w:t>
      </w:r>
      <w:r w:rsidRPr="000C1720">
        <w:rPr>
          <w:rFonts w:cstheme="minorHAnsi"/>
          <w:color w:val="45130F" w:themeColor="background2"/>
          <w:sz w:val="20"/>
          <w:szCs w:val="20"/>
          <w:lang w:val="fr-FR"/>
        </w:rPr>
        <w:t>.</w:t>
      </w:r>
      <w:r w:rsidR="00B57FCD" w:rsidRPr="000C1720">
        <w:rPr>
          <w:rFonts w:cstheme="minorHAnsi"/>
          <w:color w:val="45130F" w:themeColor="background2"/>
          <w:sz w:val="20"/>
          <w:szCs w:val="20"/>
          <w:lang w:val="fr-BE"/>
        </w:rPr>
        <w:t xml:space="preserve"> </w:t>
      </w:r>
      <w:r w:rsidR="00722A37" w:rsidRPr="000C1720">
        <w:rPr>
          <w:rFonts w:cstheme="minorHAnsi"/>
          <w:color w:val="45130F" w:themeColor="background2"/>
          <w:sz w:val="20"/>
          <w:szCs w:val="20"/>
          <w:lang w:val="fr-FR"/>
        </w:rPr>
        <w:t>L’EBITDA a baissé de 19,7 </w:t>
      </w:r>
      <w:r w:rsidRPr="000C1720">
        <w:rPr>
          <w:rFonts w:cstheme="minorHAnsi"/>
          <w:color w:val="45130F" w:themeColor="background2"/>
          <w:sz w:val="20"/>
          <w:szCs w:val="20"/>
          <w:lang w:val="fr-FR"/>
        </w:rPr>
        <w:t xml:space="preserve">% au 1S17 </w:t>
      </w:r>
      <w:r w:rsidR="00BD1856" w:rsidRPr="000C1720">
        <w:rPr>
          <w:rFonts w:cstheme="minorHAnsi"/>
          <w:color w:val="45130F" w:themeColor="background2"/>
          <w:sz w:val="20"/>
          <w:szCs w:val="20"/>
          <w:lang w:val="fr-FR"/>
        </w:rPr>
        <w:t>avec une contraction de l</w:t>
      </w:r>
      <w:r w:rsidRPr="000C1720">
        <w:rPr>
          <w:rFonts w:cstheme="minorHAnsi"/>
          <w:color w:val="45130F" w:themeColor="background2"/>
          <w:sz w:val="20"/>
          <w:szCs w:val="20"/>
          <w:lang w:val="fr-FR"/>
        </w:rPr>
        <w:t xml:space="preserve">a marge </w:t>
      </w:r>
      <w:r w:rsidR="00BD1856" w:rsidRPr="000C1720">
        <w:rPr>
          <w:rFonts w:cstheme="minorHAnsi"/>
          <w:color w:val="45130F" w:themeColor="background2"/>
          <w:sz w:val="20"/>
          <w:szCs w:val="20"/>
          <w:lang w:val="fr-FR"/>
        </w:rPr>
        <w:t>de</w:t>
      </w:r>
      <w:r w:rsidRPr="000C1720">
        <w:rPr>
          <w:rFonts w:cstheme="minorHAnsi"/>
          <w:color w:val="45130F" w:themeColor="background2"/>
          <w:sz w:val="20"/>
          <w:szCs w:val="20"/>
          <w:lang w:val="fr-FR"/>
        </w:rPr>
        <w:t xml:space="preserve"> 877 poi</w:t>
      </w:r>
      <w:r w:rsidR="00722A37" w:rsidRPr="000C1720">
        <w:rPr>
          <w:rFonts w:cstheme="minorHAnsi"/>
          <w:color w:val="45130F" w:themeColor="background2"/>
          <w:sz w:val="20"/>
          <w:szCs w:val="20"/>
          <w:lang w:val="fr-FR"/>
        </w:rPr>
        <w:t>nts de base pour atteindre 39,0 </w:t>
      </w:r>
      <w:r w:rsidRPr="000C1720">
        <w:rPr>
          <w:rFonts w:cstheme="minorHAnsi"/>
          <w:color w:val="45130F" w:themeColor="background2"/>
          <w:sz w:val="20"/>
          <w:szCs w:val="20"/>
          <w:lang w:val="fr-FR"/>
        </w:rPr>
        <w:t>%.</w:t>
      </w:r>
    </w:p>
    <w:p w14:paraId="764EE629" w14:textId="77777777" w:rsidR="009439A3" w:rsidRPr="00144F32" w:rsidRDefault="009439A3" w:rsidP="00AB5337">
      <w:pPr>
        <w:spacing w:after="0" w:line="240" w:lineRule="auto"/>
        <w:jc w:val="both"/>
        <w:rPr>
          <w:rFonts w:cstheme="minorHAnsi"/>
          <w:b/>
          <w:color w:val="45130F" w:themeColor="background2"/>
          <w:sz w:val="20"/>
          <w:szCs w:val="20"/>
          <w:u w:val="single"/>
          <w:lang w:val="fr-BE"/>
        </w:rPr>
      </w:pPr>
    </w:p>
    <w:p w14:paraId="46CFA829" w14:textId="028F0881" w:rsidR="006C3ABC" w:rsidRPr="000C1720" w:rsidRDefault="00EA04AC" w:rsidP="00722A37">
      <w:pPr>
        <w:spacing w:after="0" w:line="240" w:lineRule="auto"/>
        <w:jc w:val="both"/>
        <w:rPr>
          <w:rFonts w:cstheme="minorHAnsi"/>
          <w:b/>
          <w:color w:val="45130F" w:themeColor="background2"/>
          <w:sz w:val="20"/>
          <w:szCs w:val="20"/>
          <w:u w:val="single"/>
          <w:lang w:val="fr-BE"/>
        </w:rPr>
      </w:pPr>
      <w:r w:rsidRPr="000C1720">
        <w:rPr>
          <w:rFonts w:cstheme="minorHAnsi"/>
          <w:b/>
          <w:color w:val="45130F" w:themeColor="background2"/>
          <w:sz w:val="20"/>
          <w:szCs w:val="20"/>
          <w:u w:val="single"/>
          <w:lang w:val="fr-FR"/>
        </w:rPr>
        <w:t>Afrique du Sud</w:t>
      </w:r>
    </w:p>
    <w:p w14:paraId="273A0C90" w14:textId="5752B3AF" w:rsidR="00F4122D" w:rsidRPr="000C1720" w:rsidRDefault="00F4122D" w:rsidP="00C304B4">
      <w:pPr>
        <w:spacing w:after="0" w:line="240" w:lineRule="auto"/>
        <w:jc w:val="both"/>
        <w:rPr>
          <w:rFonts w:cstheme="minorHAnsi"/>
          <w:b/>
          <w:color w:val="45130F" w:themeColor="background2"/>
          <w:sz w:val="20"/>
          <w:szCs w:val="20"/>
          <w:highlight w:val="yellow"/>
          <w:u w:val="single"/>
          <w:lang w:val="fr-BE"/>
        </w:rPr>
      </w:pPr>
    </w:p>
    <w:p w14:paraId="27127E09" w14:textId="6DDED73C" w:rsidR="00A557FC" w:rsidRPr="000C1720" w:rsidRDefault="00EA04AC" w:rsidP="00722A37">
      <w:pPr>
        <w:spacing w:after="0" w:line="240" w:lineRule="auto"/>
        <w:jc w:val="both"/>
        <w:rPr>
          <w:rFonts w:cstheme="minorHAnsi"/>
          <w:color w:val="45130F" w:themeColor="background2"/>
          <w:sz w:val="20"/>
          <w:szCs w:val="20"/>
          <w:lang w:val="fr-BE"/>
        </w:rPr>
      </w:pPr>
      <w:r w:rsidRPr="000C1720">
        <w:rPr>
          <w:rFonts w:cstheme="minorHAnsi"/>
          <w:color w:val="45130F" w:themeColor="background2"/>
          <w:sz w:val="20"/>
          <w:szCs w:val="20"/>
          <w:lang w:val="fr-FR"/>
        </w:rPr>
        <w:t>Les produits de nos bières en Afrique du Sud ont gagné 13,4</w:t>
      </w:r>
      <w:r w:rsidR="00722A37" w:rsidRPr="000C1720">
        <w:rPr>
          <w:rFonts w:cstheme="minorHAnsi"/>
          <w:color w:val="45130F" w:themeColor="background2"/>
          <w:sz w:val="20"/>
          <w:szCs w:val="20"/>
          <w:lang w:val="fr-FR"/>
        </w:rPr>
        <w:t> </w:t>
      </w:r>
      <w:r w:rsidRPr="000C1720">
        <w:rPr>
          <w:rFonts w:cstheme="minorHAnsi"/>
          <w:color w:val="45130F" w:themeColor="background2"/>
          <w:sz w:val="20"/>
          <w:szCs w:val="20"/>
          <w:lang w:val="fr-FR"/>
        </w:rPr>
        <w:t>% au 2T17, grâce à la hausse des produits par hl de 2,4</w:t>
      </w:r>
      <w:r w:rsidR="00722A37" w:rsidRPr="000C1720">
        <w:rPr>
          <w:rFonts w:cstheme="minorHAnsi"/>
          <w:color w:val="45130F" w:themeColor="background2"/>
          <w:sz w:val="20"/>
          <w:szCs w:val="20"/>
          <w:lang w:val="fr-FR"/>
        </w:rPr>
        <w:t> </w:t>
      </w:r>
      <w:r w:rsidRPr="000C1720">
        <w:rPr>
          <w:rFonts w:cstheme="minorHAnsi"/>
          <w:color w:val="45130F" w:themeColor="background2"/>
          <w:sz w:val="20"/>
          <w:szCs w:val="20"/>
          <w:lang w:val="fr-FR"/>
        </w:rPr>
        <w:t>% et à la hausse de 10,8</w:t>
      </w:r>
      <w:r w:rsidR="00722A37" w:rsidRPr="000C1720">
        <w:rPr>
          <w:rFonts w:cstheme="minorHAnsi"/>
          <w:color w:val="45130F" w:themeColor="background2"/>
          <w:sz w:val="20"/>
          <w:szCs w:val="20"/>
          <w:lang w:val="fr-FR"/>
        </w:rPr>
        <w:t xml:space="preserve"> % </w:t>
      </w:r>
      <w:r w:rsidRPr="000C1720">
        <w:rPr>
          <w:rFonts w:cstheme="minorHAnsi"/>
          <w:color w:val="45130F" w:themeColor="background2"/>
          <w:sz w:val="20"/>
          <w:szCs w:val="20"/>
          <w:lang w:val="fr-FR"/>
        </w:rPr>
        <w:t>des volumes de bière, qui ont profité de la date de Pâques.</w:t>
      </w:r>
      <w:r w:rsidR="0065606A" w:rsidRPr="000C1720">
        <w:rPr>
          <w:rFonts w:cstheme="minorHAnsi"/>
          <w:color w:val="45130F" w:themeColor="background2"/>
          <w:sz w:val="20"/>
          <w:szCs w:val="20"/>
          <w:lang w:val="fr-BE"/>
        </w:rPr>
        <w:t xml:space="preserve"> </w:t>
      </w:r>
      <w:r w:rsidRPr="000C1720">
        <w:rPr>
          <w:rFonts w:cstheme="minorHAnsi"/>
          <w:color w:val="45130F" w:themeColor="background2"/>
          <w:sz w:val="20"/>
          <w:szCs w:val="20"/>
          <w:lang w:val="fr-FR"/>
        </w:rPr>
        <w:t>Au 1S17, les produits ont progressé de 9,7</w:t>
      </w:r>
      <w:r w:rsidR="00722A37" w:rsidRPr="000C1720">
        <w:rPr>
          <w:rFonts w:cstheme="minorHAnsi"/>
          <w:color w:val="45130F" w:themeColor="background2"/>
          <w:sz w:val="20"/>
          <w:szCs w:val="20"/>
          <w:lang w:val="fr-FR"/>
        </w:rPr>
        <w:t> </w:t>
      </w:r>
      <w:r w:rsidRPr="000C1720">
        <w:rPr>
          <w:rFonts w:cstheme="minorHAnsi"/>
          <w:color w:val="45130F" w:themeColor="background2"/>
          <w:sz w:val="20"/>
          <w:szCs w:val="20"/>
          <w:lang w:val="fr-FR"/>
        </w:rPr>
        <w:t>%, les produits par hl augmentant de 5,1</w:t>
      </w:r>
      <w:r w:rsidR="00722A37" w:rsidRPr="000C1720">
        <w:rPr>
          <w:rFonts w:cstheme="minorHAnsi"/>
          <w:color w:val="45130F" w:themeColor="background2"/>
          <w:sz w:val="20"/>
          <w:szCs w:val="20"/>
          <w:lang w:val="fr-FR"/>
        </w:rPr>
        <w:t> </w:t>
      </w:r>
      <w:r w:rsidRPr="000C1720">
        <w:rPr>
          <w:rFonts w:cstheme="minorHAnsi"/>
          <w:color w:val="45130F" w:themeColor="background2"/>
          <w:sz w:val="20"/>
          <w:szCs w:val="20"/>
          <w:lang w:val="fr-FR"/>
        </w:rPr>
        <w:t>% et les volumes de bière augmentant de 4,4</w:t>
      </w:r>
      <w:r w:rsidR="00722A37" w:rsidRPr="000C1720">
        <w:rPr>
          <w:rFonts w:cstheme="minorHAnsi"/>
          <w:color w:val="45130F" w:themeColor="background2"/>
          <w:sz w:val="20"/>
          <w:szCs w:val="20"/>
          <w:lang w:val="fr-FR"/>
        </w:rPr>
        <w:t> </w:t>
      </w:r>
      <w:r w:rsidRPr="000C1720">
        <w:rPr>
          <w:rFonts w:cstheme="minorHAnsi"/>
          <w:color w:val="45130F" w:themeColor="background2"/>
          <w:sz w:val="20"/>
          <w:szCs w:val="20"/>
          <w:lang w:val="fr-FR"/>
        </w:rPr>
        <w:t>%.</w:t>
      </w:r>
    </w:p>
    <w:p w14:paraId="6084A248" w14:textId="77777777" w:rsidR="00A557FC" w:rsidRPr="000C1720" w:rsidRDefault="00A557FC" w:rsidP="00C304B4">
      <w:pPr>
        <w:spacing w:after="0" w:line="240" w:lineRule="auto"/>
        <w:jc w:val="both"/>
        <w:rPr>
          <w:rFonts w:cstheme="minorHAnsi"/>
          <w:color w:val="45130F" w:themeColor="background2"/>
          <w:sz w:val="20"/>
          <w:szCs w:val="20"/>
          <w:lang w:val="fr-BE"/>
        </w:rPr>
      </w:pPr>
    </w:p>
    <w:p w14:paraId="28AE65D7" w14:textId="3677FDB3" w:rsidR="001D7E75" w:rsidRPr="00144F32" w:rsidRDefault="00EA04AC" w:rsidP="00722A37">
      <w:pPr>
        <w:spacing w:after="0" w:line="240" w:lineRule="auto"/>
        <w:jc w:val="both"/>
        <w:rPr>
          <w:rFonts w:cstheme="minorHAnsi"/>
          <w:color w:val="45130F" w:themeColor="background2"/>
          <w:sz w:val="20"/>
          <w:szCs w:val="20"/>
          <w:lang w:val="fr-BE"/>
        </w:rPr>
      </w:pPr>
      <w:r w:rsidRPr="000C1720">
        <w:rPr>
          <w:rFonts w:cstheme="minorHAnsi"/>
          <w:color w:val="45130F" w:themeColor="background2"/>
          <w:sz w:val="20"/>
          <w:szCs w:val="20"/>
          <w:lang w:val="fr-FR"/>
        </w:rPr>
        <w:t>Cette solide croissance des produits a été possible grâce au portefeuille de marques au positionnement unique et à l’exécution des ventes « through-the-line ».</w:t>
      </w:r>
      <w:r w:rsidR="005D0CDE" w:rsidRPr="000C1720">
        <w:rPr>
          <w:rFonts w:cstheme="minorHAnsi"/>
          <w:color w:val="45130F" w:themeColor="background2"/>
          <w:sz w:val="20"/>
          <w:szCs w:val="20"/>
          <w:lang w:val="fr-BE"/>
        </w:rPr>
        <w:t xml:space="preserve"> </w:t>
      </w:r>
      <w:r w:rsidRPr="000C1720">
        <w:rPr>
          <w:rFonts w:cstheme="minorHAnsi"/>
          <w:color w:val="45130F" w:themeColor="background2"/>
          <w:sz w:val="20"/>
          <w:szCs w:val="20"/>
          <w:lang w:val="fr-FR"/>
        </w:rPr>
        <w:t>La toute nouvelle unité haut de gamme a enregistré une croissance prometteuse pour Stella Artois et Corona.</w:t>
      </w:r>
      <w:r w:rsidR="00C97910" w:rsidRPr="000C1720">
        <w:rPr>
          <w:rFonts w:cstheme="minorHAnsi"/>
          <w:color w:val="45130F" w:themeColor="background2"/>
          <w:sz w:val="20"/>
          <w:szCs w:val="20"/>
          <w:lang w:val="fr-BE"/>
        </w:rPr>
        <w:t xml:space="preserve"> </w:t>
      </w:r>
      <w:r w:rsidRPr="000C1720">
        <w:rPr>
          <w:rFonts w:cstheme="minorHAnsi"/>
          <w:color w:val="45130F" w:themeColor="background2"/>
          <w:sz w:val="20"/>
          <w:szCs w:val="20"/>
          <w:lang w:val="fr-FR"/>
        </w:rPr>
        <w:t xml:space="preserve">Castle Lite poursuit la forte progression observée depuis plusieurs années dans le segment core plus, </w:t>
      </w:r>
      <w:r w:rsidRPr="006E0D8E">
        <w:rPr>
          <w:rFonts w:cstheme="minorHAnsi"/>
          <w:color w:val="45130F" w:themeColor="background2"/>
          <w:sz w:val="20"/>
          <w:szCs w:val="20"/>
          <w:lang w:val="fr-FR"/>
        </w:rPr>
        <w:t xml:space="preserve">tandis que Carling Black Label a </w:t>
      </w:r>
      <w:r w:rsidR="00101B42" w:rsidRPr="00D13FBB">
        <w:rPr>
          <w:rFonts w:cstheme="minorHAnsi"/>
          <w:color w:val="45130F" w:themeColor="background2"/>
          <w:sz w:val="20"/>
          <w:szCs w:val="20"/>
          <w:lang w:val="fr-FR"/>
        </w:rPr>
        <w:t xml:space="preserve">bien </w:t>
      </w:r>
      <w:r w:rsidR="00640E84" w:rsidRPr="00D13FBB">
        <w:rPr>
          <w:rFonts w:cstheme="minorHAnsi"/>
          <w:color w:val="45130F" w:themeColor="background2"/>
          <w:sz w:val="20"/>
          <w:szCs w:val="20"/>
          <w:lang w:val="fr-FR"/>
        </w:rPr>
        <w:t>réagi</w:t>
      </w:r>
      <w:r w:rsidRPr="006E0D8E">
        <w:rPr>
          <w:rFonts w:cstheme="minorHAnsi"/>
          <w:color w:val="45130F" w:themeColor="background2"/>
          <w:sz w:val="20"/>
          <w:szCs w:val="20"/>
          <w:lang w:val="fr-FR"/>
        </w:rPr>
        <w:t xml:space="preserve"> à la tarification core plus </w:t>
      </w:r>
      <w:r w:rsidR="00722A37" w:rsidRPr="006E0D8E">
        <w:rPr>
          <w:rFonts w:cstheme="minorHAnsi"/>
          <w:color w:val="45130F" w:themeColor="background2"/>
          <w:sz w:val="20"/>
          <w:szCs w:val="20"/>
          <w:lang w:val="fr-FR"/>
        </w:rPr>
        <w:t>et au positionnement de marque des « champions »</w:t>
      </w:r>
      <w:r w:rsidRPr="006E0D8E">
        <w:rPr>
          <w:rFonts w:cstheme="minorHAnsi"/>
          <w:color w:val="45130F" w:themeColor="background2"/>
          <w:sz w:val="20"/>
          <w:szCs w:val="20"/>
          <w:lang w:val="fr-FR"/>
        </w:rPr>
        <w:t xml:space="preserve"> grâce à l’activation </w:t>
      </w:r>
      <w:r w:rsidR="00640E84" w:rsidRPr="00D13FBB">
        <w:rPr>
          <w:rFonts w:cstheme="minorHAnsi"/>
          <w:color w:val="45130F" w:themeColor="background2"/>
          <w:sz w:val="20"/>
          <w:szCs w:val="20"/>
          <w:lang w:val="fr-FR"/>
        </w:rPr>
        <w:t xml:space="preserve">réussie </w:t>
      </w:r>
      <w:r w:rsidR="00BD1856" w:rsidRPr="00D13FBB">
        <w:rPr>
          <w:rFonts w:cstheme="minorHAnsi"/>
          <w:color w:val="45130F" w:themeColor="background2"/>
          <w:sz w:val="20"/>
          <w:szCs w:val="20"/>
          <w:lang w:val="fr-FR"/>
        </w:rPr>
        <w:t xml:space="preserve">sur de nombreuses plateformes multimédias </w:t>
      </w:r>
      <w:r w:rsidR="00101B42" w:rsidRPr="00D13FBB">
        <w:rPr>
          <w:rFonts w:cstheme="minorHAnsi"/>
          <w:color w:val="45130F" w:themeColor="background2"/>
          <w:sz w:val="20"/>
          <w:szCs w:val="20"/>
          <w:lang w:val="fr-FR"/>
        </w:rPr>
        <w:t>autour</w:t>
      </w:r>
      <w:r w:rsidR="00BD1856" w:rsidRPr="00D13FBB">
        <w:rPr>
          <w:rFonts w:cstheme="minorHAnsi"/>
          <w:color w:val="45130F" w:themeColor="background2"/>
          <w:sz w:val="20"/>
          <w:szCs w:val="20"/>
          <w:lang w:val="fr-FR"/>
        </w:rPr>
        <w:t xml:space="preserve"> du football. </w:t>
      </w:r>
      <w:r w:rsidRPr="006E0D8E">
        <w:rPr>
          <w:rFonts w:cstheme="minorHAnsi"/>
          <w:color w:val="45130F" w:themeColor="background2"/>
          <w:sz w:val="20"/>
          <w:szCs w:val="20"/>
          <w:lang w:val="fr-FR"/>
        </w:rPr>
        <w:t>Le retour de Lion Lager dans le portefeuille du segment bon marché est en bonne voie de reconquérir des parts de marché aux vins et alcools abordables.</w:t>
      </w:r>
      <w:r w:rsidR="001D7E75" w:rsidRPr="006E0D8E">
        <w:rPr>
          <w:rFonts w:cstheme="minorHAnsi"/>
          <w:color w:val="45130F" w:themeColor="background2"/>
          <w:sz w:val="20"/>
          <w:szCs w:val="20"/>
          <w:lang w:val="fr-BE"/>
        </w:rPr>
        <w:t xml:space="preserve"> </w:t>
      </w:r>
      <w:r w:rsidRPr="006E0D8E">
        <w:rPr>
          <w:rFonts w:cstheme="minorHAnsi"/>
          <w:color w:val="45130F" w:themeColor="background2"/>
          <w:sz w:val="20"/>
          <w:szCs w:val="20"/>
          <w:lang w:val="fr-FR"/>
        </w:rPr>
        <w:t xml:space="preserve">Dans le segment des boissons apparentées à la bière, Flying Fish, une boisson maltée aromatisée à la pomme, a enregistré de très bons résultats pendant le trimestre et a permis de récupérer des parts de marché </w:t>
      </w:r>
      <w:r w:rsidR="00101B42" w:rsidRPr="006E0D8E">
        <w:rPr>
          <w:rFonts w:cstheme="minorHAnsi"/>
          <w:color w:val="45130F" w:themeColor="background2"/>
          <w:sz w:val="20"/>
          <w:szCs w:val="20"/>
          <w:lang w:val="fr-FR"/>
        </w:rPr>
        <w:t>qui avaient été perdues précédemment en faveur</w:t>
      </w:r>
      <w:r w:rsidRPr="006E0D8E">
        <w:rPr>
          <w:rFonts w:cstheme="minorHAnsi"/>
          <w:color w:val="45130F" w:themeColor="background2"/>
          <w:sz w:val="20"/>
          <w:szCs w:val="20"/>
          <w:lang w:val="fr-FR"/>
        </w:rPr>
        <w:t xml:space="preserve"> des cidres.</w:t>
      </w:r>
    </w:p>
    <w:p w14:paraId="4C8423D4" w14:textId="77777777" w:rsidR="00C97910" w:rsidRPr="000C1720" w:rsidRDefault="00C97910" w:rsidP="00C304B4">
      <w:pPr>
        <w:spacing w:after="0" w:line="240" w:lineRule="auto"/>
        <w:jc w:val="both"/>
        <w:rPr>
          <w:rFonts w:cstheme="minorHAnsi"/>
          <w:color w:val="45130F" w:themeColor="background2"/>
          <w:sz w:val="20"/>
          <w:szCs w:val="20"/>
          <w:lang w:val="fr-BE"/>
        </w:rPr>
      </w:pPr>
    </w:p>
    <w:p w14:paraId="68B60B18" w14:textId="78D65A8D" w:rsidR="00912490" w:rsidRPr="000C1720" w:rsidRDefault="00EA04AC" w:rsidP="00F675AE">
      <w:pPr>
        <w:spacing w:after="0" w:line="240" w:lineRule="auto"/>
        <w:jc w:val="both"/>
        <w:rPr>
          <w:rFonts w:cstheme="minorHAnsi"/>
          <w:color w:val="45130F" w:themeColor="background2"/>
          <w:sz w:val="20"/>
          <w:szCs w:val="20"/>
          <w:highlight w:val="yellow"/>
          <w:lang w:val="fr-BE"/>
        </w:rPr>
      </w:pPr>
      <w:r w:rsidRPr="000C1720">
        <w:rPr>
          <w:rFonts w:cstheme="minorHAnsi"/>
          <w:color w:val="45130F" w:themeColor="background2"/>
          <w:sz w:val="20"/>
          <w:szCs w:val="20"/>
          <w:lang w:val="fr-FR"/>
        </w:rPr>
        <w:t>En tenant compte des boissons non alcoolisées, les activités sud-africaines ont vu leurs produits augmenter de 8,8</w:t>
      </w:r>
      <w:r w:rsidR="00722A37" w:rsidRPr="000C1720">
        <w:rPr>
          <w:rFonts w:cstheme="minorHAnsi"/>
          <w:color w:val="45130F" w:themeColor="background2"/>
          <w:sz w:val="20"/>
          <w:szCs w:val="20"/>
          <w:lang w:val="fr-FR"/>
        </w:rPr>
        <w:t> </w:t>
      </w:r>
      <w:r w:rsidRPr="000C1720">
        <w:rPr>
          <w:rFonts w:cstheme="minorHAnsi"/>
          <w:color w:val="45130F" w:themeColor="background2"/>
          <w:sz w:val="20"/>
          <w:szCs w:val="20"/>
          <w:lang w:val="fr-FR"/>
        </w:rPr>
        <w:t>% au 2T17 et de 6,1</w:t>
      </w:r>
      <w:r w:rsidR="00722A37" w:rsidRPr="000C1720">
        <w:rPr>
          <w:rFonts w:cstheme="minorHAnsi"/>
          <w:color w:val="45130F" w:themeColor="background2"/>
          <w:sz w:val="20"/>
          <w:szCs w:val="20"/>
          <w:lang w:val="fr-FR"/>
        </w:rPr>
        <w:t> </w:t>
      </w:r>
      <w:r w:rsidRPr="000C1720">
        <w:rPr>
          <w:rFonts w:cstheme="minorHAnsi"/>
          <w:color w:val="45130F" w:themeColor="background2"/>
          <w:sz w:val="20"/>
          <w:szCs w:val="20"/>
          <w:lang w:val="fr-FR"/>
        </w:rPr>
        <w:t>% au 1S17.</w:t>
      </w:r>
      <w:r w:rsidR="0098109A" w:rsidRPr="000C1720">
        <w:rPr>
          <w:rFonts w:cstheme="minorHAnsi"/>
          <w:color w:val="45130F" w:themeColor="background2"/>
          <w:sz w:val="20"/>
          <w:szCs w:val="20"/>
          <w:lang w:val="fr-BE"/>
        </w:rPr>
        <w:t xml:space="preserve"> </w:t>
      </w:r>
      <w:r w:rsidRPr="000C1720">
        <w:rPr>
          <w:rFonts w:cstheme="minorHAnsi"/>
          <w:color w:val="45130F" w:themeColor="background2"/>
          <w:sz w:val="20"/>
          <w:szCs w:val="20"/>
          <w:lang w:val="fr-FR"/>
        </w:rPr>
        <w:t xml:space="preserve">Cette solide croissance des produits associée à </w:t>
      </w:r>
      <w:r w:rsidR="00101B42" w:rsidRPr="000C1720">
        <w:rPr>
          <w:rFonts w:cstheme="minorHAnsi"/>
          <w:color w:val="45130F" w:themeColor="background2"/>
          <w:sz w:val="20"/>
          <w:szCs w:val="20"/>
          <w:lang w:val="fr-FR"/>
        </w:rPr>
        <w:t xml:space="preserve">la réalisation </w:t>
      </w:r>
      <w:r w:rsidRPr="000C1720">
        <w:rPr>
          <w:rFonts w:cstheme="minorHAnsi"/>
          <w:color w:val="45130F" w:themeColor="background2"/>
          <w:sz w:val="20"/>
          <w:szCs w:val="20"/>
          <w:lang w:val="fr-FR"/>
        </w:rPr>
        <w:t>des synergies a généré une hausse de l’EBITDA proche de 30</w:t>
      </w:r>
      <w:r w:rsidR="00722A37" w:rsidRPr="000C1720">
        <w:rPr>
          <w:rFonts w:cstheme="minorHAnsi"/>
          <w:color w:val="45130F" w:themeColor="background2"/>
          <w:sz w:val="20"/>
          <w:szCs w:val="20"/>
          <w:lang w:val="fr-FR"/>
        </w:rPr>
        <w:t> </w:t>
      </w:r>
      <w:r w:rsidRPr="000C1720">
        <w:rPr>
          <w:rFonts w:cstheme="minorHAnsi"/>
          <w:color w:val="45130F" w:themeColor="background2"/>
          <w:sz w:val="20"/>
          <w:szCs w:val="20"/>
          <w:lang w:val="fr-FR"/>
        </w:rPr>
        <w:t>% au 2T17 et de presque 20</w:t>
      </w:r>
      <w:r w:rsidR="00722A37" w:rsidRPr="000C1720">
        <w:rPr>
          <w:rFonts w:cstheme="minorHAnsi"/>
          <w:color w:val="45130F" w:themeColor="background2"/>
          <w:sz w:val="20"/>
          <w:szCs w:val="20"/>
          <w:lang w:val="fr-FR"/>
        </w:rPr>
        <w:t> </w:t>
      </w:r>
      <w:r w:rsidRPr="000C1720">
        <w:rPr>
          <w:rFonts w:cstheme="minorHAnsi"/>
          <w:color w:val="45130F" w:themeColor="background2"/>
          <w:sz w:val="20"/>
          <w:szCs w:val="20"/>
          <w:lang w:val="fr-FR"/>
        </w:rPr>
        <w:t>% au 1S17.</w:t>
      </w:r>
    </w:p>
    <w:p w14:paraId="63552EC7" w14:textId="77777777" w:rsidR="0053303B" w:rsidRPr="000C1720" w:rsidRDefault="0053303B" w:rsidP="00F675AE">
      <w:pPr>
        <w:spacing w:after="0" w:line="240" w:lineRule="auto"/>
        <w:jc w:val="both"/>
        <w:rPr>
          <w:rFonts w:cstheme="minorHAnsi"/>
          <w:color w:val="45130F" w:themeColor="background2"/>
          <w:sz w:val="20"/>
          <w:szCs w:val="20"/>
          <w:lang w:val="fr-BE"/>
        </w:rPr>
      </w:pPr>
    </w:p>
    <w:p w14:paraId="1178197C" w14:textId="201692B0" w:rsidR="00C26F50" w:rsidRPr="00D13FBB" w:rsidRDefault="00EA04AC" w:rsidP="00722A37">
      <w:pPr>
        <w:rPr>
          <w:rFonts w:ascii="Arial" w:eastAsia="Arial" w:hAnsi="Arial" w:cs="Arial"/>
          <w:color w:val="45130F" w:themeColor="background2"/>
          <w:sz w:val="20"/>
          <w:szCs w:val="20"/>
          <w:lang w:val="fr-BE"/>
        </w:rPr>
      </w:pPr>
      <w:r w:rsidRPr="00D13FBB">
        <w:rPr>
          <w:rFonts w:ascii="Arial" w:eastAsia="Arial" w:hAnsi="Arial" w:cs="Arial"/>
          <w:b/>
          <w:color w:val="45130F" w:themeColor="background2"/>
          <w:sz w:val="20"/>
          <w:szCs w:val="20"/>
          <w:u w:val="single"/>
          <w:lang w:val="fr-FR"/>
        </w:rPr>
        <w:t>Chine</w:t>
      </w:r>
    </w:p>
    <w:p w14:paraId="47766624" w14:textId="09FECEDF" w:rsidR="00C26F50" w:rsidRPr="00D13FBB" w:rsidRDefault="00EA04AC" w:rsidP="00722A37">
      <w:pPr>
        <w:spacing w:after="0" w:line="240" w:lineRule="auto"/>
        <w:jc w:val="both"/>
        <w:rPr>
          <w:rFonts w:ascii="Arial" w:eastAsia="Arial" w:hAnsi="Arial" w:cs="Arial"/>
          <w:color w:val="45130F" w:themeColor="background2"/>
          <w:sz w:val="20"/>
          <w:szCs w:val="20"/>
          <w:lang w:val="fr-BE"/>
        </w:rPr>
      </w:pPr>
      <w:r w:rsidRPr="00D13FBB">
        <w:rPr>
          <w:rFonts w:ascii="Arial" w:eastAsia="Arial" w:hAnsi="Arial" w:cs="Arial"/>
          <w:color w:val="45130F" w:themeColor="background2"/>
          <w:sz w:val="20"/>
          <w:szCs w:val="20"/>
          <w:lang w:val="fr-FR"/>
        </w:rPr>
        <w:t>Nos activités en Chine ont continué à prospérer</w:t>
      </w:r>
      <w:r w:rsidR="00C514D6" w:rsidRPr="00D13FBB">
        <w:rPr>
          <w:rFonts w:ascii="Arial" w:eastAsia="Arial" w:hAnsi="Arial" w:cs="Arial"/>
          <w:color w:val="45130F" w:themeColor="background2"/>
          <w:sz w:val="20"/>
          <w:szCs w:val="20"/>
          <w:lang w:val="fr-FR"/>
        </w:rPr>
        <w:t xml:space="preserve"> durant</w:t>
      </w:r>
      <w:r w:rsidRPr="00D13FBB">
        <w:rPr>
          <w:rFonts w:ascii="Arial" w:eastAsia="Arial" w:hAnsi="Arial" w:cs="Arial"/>
          <w:color w:val="45130F" w:themeColor="background2"/>
          <w:sz w:val="20"/>
          <w:szCs w:val="20"/>
          <w:lang w:val="fr-FR"/>
        </w:rPr>
        <w:t xml:space="preserve"> ce trimestre, avec une hausse des produits de 7,2</w:t>
      </w:r>
      <w:r w:rsidR="00722A37" w:rsidRPr="00144F32">
        <w:rPr>
          <w:rFonts w:cstheme="minorHAnsi"/>
          <w:color w:val="45130F" w:themeColor="background2"/>
          <w:sz w:val="20"/>
          <w:szCs w:val="20"/>
          <w:lang w:val="fr-FR"/>
        </w:rPr>
        <w:t> </w:t>
      </w:r>
      <w:r w:rsidRPr="00D13FBB">
        <w:rPr>
          <w:rFonts w:ascii="Arial" w:eastAsia="Arial" w:hAnsi="Arial" w:cs="Arial"/>
          <w:color w:val="45130F" w:themeColor="background2"/>
          <w:sz w:val="20"/>
          <w:szCs w:val="20"/>
          <w:lang w:val="fr-FR"/>
        </w:rPr>
        <w:t>% favorisée par nos initiatives de gestion des revenus et par la croissance des volumes de 1,0</w:t>
      </w:r>
      <w:r w:rsidR="00722A37" w:rsidRPr="00144F32">
        <w:rPr>
          <w:rFonts w:cstheme="minorHAnsi"/>
          <w:color w:val="45130F" w:themeColor="background2"/>
          <w:sz w:val="20"/>
          <w:szCs w:val="20"/>
          <w:lang w:val="fr-FR"/>
        </w:rPr>
        <w:t> </w:t>
      </w:r>
      <w:r w:rsidRPr="00D13FBB">
        <w:rPr>
          <w:rFonts w:ascii="Arial" w:eastAsia="Arial" w:hAnsi="Arial" w:cs="Arial"/>
          <w:color w:val="45130F" w:themeColor="background2"/>
          <w:sz w:val="20"/>
          <w:szCs w:val="20"/>
          <w:lang w:val="fr-FR"/>
        </w:rPr>
        <w:t>%.</w:t>
      </w:r>
      <w:r w:rsidR="00C26F50" w:rsidRPr="00D13FBB">
        <w:rPr>
          <w:rFonts w:ascii="Arial" w:eastAsia="Arial" w:hAnsi="Arial" w:cs="Arial"/>
          <w:color w:val="45130F" w:themeColor="background2"/>
          <w:sz w:val="20"/>
          <w:szCs w:val="20"/>
          <w:lang w:val="fr-BE"/>
        </w:rPr>
        <w:t xml:space="preserve"> </w:t>
      </w:r>
      <w:r w:rsidRPr="00D13FBB">
        <w:rPr>
          <w:rFonts w:ascii="Arial" w:eastAsia="Arial" w:hAnsi="Arial" w:cs="Arial"/>
          <w:color w:val="45130F" w:themeColor="background2"/>
          <w:sz w:val="20"/>
          <w:szCs w:val="20"/>
          <w:lang w:val="fr-FR"/>
        </w:rPr>
        <w:t xml:space="preserve">Au </w:t>
      </w:r>
      <w:r w:rsidRPr="00D13FBB">
        <w:rPr>
          <w:rFonts w:ascii="Arial" w:eastAsia="Arial" w:hAnsi="Arial" w:cs="Arial"/>
          <w:color w:val="45130F" w:themeColor="background2"/>
          <w:sz w:val="20"/>
          <w:szCs w:val="20"/>
          <w:lang w:val="fr-FR"/>
        </w:rPr>
        <w:lastRenderedPageBreak/>
        <w:t>1S17, les produits ont progressé de 9,1</w:t>
      </w:r>
      <w:r w:rsidR="00722A37" w:rsidRPr="00144F32">
        <w:rPr>
          <w:rFonts w:cstheme="minorHAnsi"/>
          <w:color w:val="45130F" w:themeColor="background2"/>
          <w:sz w:val="20"/>
          <w:szCs w:val="20"/>
          <w:lang w:val="fr-FR"/>
        </w:rPr>
        <w:t> </w:t>
      </w:r>
      <w:r w:rsidRPr="00D13FBB">
        <w:rPr>
          <w:rFonts w:ascii="Arial" w:eastAsia="Arial" w:hAnsi="Arial" w:cs="Arial"/>
          <w:color w:val="45130F" w:themeColor="background2"/>
          <w:sz w:val="20"/>
          <w:szCs w:val="20"/>
          <w:lang w:val="fr-FR"/>
        </w:rPr>
        <w:t>%, les produits par hl augmentant de 6,2</w:t>
      </w:r>
      <w:r w:rsidR="00722A37" w:rsidRPr="00144F32">
        <w:rPr>
          <w:rFonts w:cstheme="minorHAnsi"/>
          <w:color w:val="45130F" w:themeColor="background2"/>
          <w:sz w:val="20"/>
          <w:szCs w:val="20"/>
          <w:lang w:val="fr-FR"/>
        </w:rPr>
        <w:t> </w:t>
      </w:r>
      <w:r w:rsidRPr="00D13FBB">
        <w:rPr>
          <w:rFonts w:ascii="Arial" w:eastAsia="Arial" w:hAnsi="Arial" w:cs="Arial"/>
          <w:color w:val="45130F" w:themeColor="background2"/>
          <w:sz w:val="20"/>
          <w:szCs w:val="20"/>
          <w:lang w:val="fr-FR"/>
        </w:rPr>
        <w:t>% et les volumes de 2,7</w:t>
      </w:r>
      <w:r w:rsidR="00722A37" w:rsidRPr="00144F32">
        <w:rPr>
          <w:rFonts w:cstheme="minorHAnsi"/>
          <w:color w:val="45130F" w:themeColor="background2"/>
          <w:sz w:val="20"/>
          <w:szCs w:val="20"/>
          <w:lang w:val="fr-FR"/>
        </w:rPr>
        <w:t> </w:t>
      </w:r>
      <w:r w:rsidRPr="00D13FBB">
        <w:rPr>
          <w:rFonts w:ascii="Arial" w:eastAsia="Arial" w:hAnsi="Arial" w:cs="Arial"/>
          <w:color w:val="45130F" w:themeColor="background2"/>
          <w:sz w:val="20"/>
          <w:szCs w:val="20"/>
          <w:lang w:val="fr-FR"/>
        </w:rPr>
        <w:t>%.</w:t>
      </w:r>
    </w:p>
    <w:p w14:paraId="2439407B" w14:textId="77777777" w:rsidR="00C26F50" w:rsidRPr="00D13FBB" w:rsidRDefault="00C26F50" w:rsidP="00C26F50">
      <w:pPr>
        <w:spacing w:after="0" w:line="240" w:lineRule="auto"/>
        <w:jc w:val="both"/>
        <w:rPr>
          <w:rFonts w:ascii="Arial" w:eastAsia="Arial" w:hAnsi="Arial" w:cs="Arial"/>
          <w:color w:val="45130F" w:themeColor="background2"/>
          <w:sz w:val="20"/>
          <w:szCs w:val="20"/>
          <w:lang w:val="fr-BE"/>
        </w:rPr>
      </w:pPr>
    </w:p>
    <w:p w14:paraId="436B7A83" w14:textId="62BE830D" w:rsidR="00C26F50" w:rsidRPr="00D13FBB" w:rsidRDefault="00EA04AC" w:rsidP="008C3CC9">
      <w:pPr>
        <w:spacing w:after="0" w:line="240" w:lineRule="auto"/>
        <w:jc w:val="both"/>
        <w:rPr>
          <w:rFonts w:ascii="Arial" w:eastAsia="Arial" w:hAnsi="Arial" w:cs="Arial"/>
          <w:color w:val="45130F" w:themeColor="background2"/>
          <w:sz w:val="20"/>
          <w:szCs w:val="20"/>
          <w:lang w:val="fr-BE"/>
        </w:rPr>
      </w:pPr>
      <w:r w:rsidRPr="00D13FBB">
        <w:rPr>
          <w:rFonts w:ascii="Arial" w:eastAsia="Arial" w:hAnsi="Arial" w:cs="Arial"/>
          <w:color w:val="45130F" w:themeColor="background2"/>
          <w:sz w:val="20"/>
          <w:szCs w:val="20"/>
          <w:lang w:val="fr-FR"/>
        </w:rPr>
        <w:t xml:space="preserve">Budweiser </w:t>
      </w:r>
      <w:r w:rsidR="00C514D6" w:rsidRPr="00D13FBB">
        <w:rPr>
          <w:rFonts w:ascii="Arial" w:eastAsia="Arial" w:hAnsi="Arial" w:cs="Arial"/>
          <w:color w:val="45130F" w:themeColor="background2"/>
          <w:sz w:val="20"/>
          <w:szCs w:val="20"/>
          <w:lang w:val="fr-FR"/>
        </w:rPr>
        <w:t>poursuit ses bons résultats</w:t>
      </w:r>
      <w:r w:rsidRPr="00D13FBB">
        <w:rPr>
          <w:rFonts w:ascii="Arial" w:eastAsia="Arial" w:hAnsi="Arial" w:cs="Arial"/>
          <w:color w:val="45130F" w:themeColor="background2"/>
          <w:sz w:val="20"/>
          <w:szCs w:val="20"/>
          <w:lang w:val="fr-FR"/>
        </w:rPr>
        <w:t xml:space="preserve"> avec une croissance à deux chiffres des volumes au cours du trimestre.</w:t>
      </w:r>
      <w:r w:rsidR="000C496C" w:rsidRPr="00D13FBB">
        <w:rPr>
          <w:rFonts w:ascii="Arial" w:eastAsia="Arial" w:hAnsi="Arial" w:cs="Arial"/>
          <w:color w:val="45130F" w:themeColor="background2"/>
          <w:sz w:val="20"/>
          <w:szCs w:val="20"/>
          <w:lang w:val="fr-BE"/>
        </w:rPr>
        <w:t xml:space="preserve"> </w:t>
      </w:r>
      <w:r w:rsidR="00722A37" w:rsidRPr="00D13FBB">
        <w:rPr>
          <w:rFonts w:ascii="Arial" w:eastAsia="Arial" w:hAnsi="Arial" w:cs="Arial"/>
          <w:color w:val="45130F" w:themeColor="background2"/>
          <w:sz w:val="20"/>
          <w:szCs w:val="20"/>
          <w:lang w:val="fr-FR"/>
        </w:rPr>
        <w:t>S’appuyant sur les ventes solides réalisées durant le</w:t>
      </w:r>
      <w:r w:rsidRPr="00D13FBB">
        <w:rPr>
          <w:rFonts w:ascii="Arial" w:eastAsia="Arial" w:hAnsi="Arial" w:cs="Arial"/>
          <w:color w:val="45130F" w:themeColor="background2"/>
          <w:sz w:val="20"/>
          <w:szCs w:val="20"/>
          <w:lang w:val="fr-FR"/>
        </w:rPr>
        <w:t xml:space="preserve"> Nouvel An chinois au 1T</w:t>
      </w:r>
      <w:r w:rsidR="00722A37" w:rsidRPr="00D13FBB">
        <w:rPr>
          <w:rFonts w:ascii="Arial" w:eastAsia="Arial" w:hAnsi="Arial" w:cs="Arial"/>
          <w:color w:val="45130F" w:themeColor="background2"/>
          <w:sz w:val="20"/>
          <w:szCs w:val="20"/>
          <w:lang w:val="fr-FR"/>
        </w:rPr>
        <w:t xml:space="preserve">17, Budweiser s’impose avec un </w:t>
      </w:r>
      <w:r w:rsidRPr="00D13FBB">
        <w:rPr>
          <w:rFonts w:ascii="Arial" w:eastAsia="Arial" w:hAnsi="Arial" w:cs="Arial"/>
          <w:color w:val="45130F" w:themeColor="background2"/>
          <w:sz w:val="20"/>
          <w:szCs w:val="20"/>
          <w:lang w:val="fr-FR"/>
        </w:rPr>
        <w:t xml:space="preserve">mix de canaux plus équilibré soutenu par une forte croissance dans les restaurants chinois et </w:t>
      </w:r>
      <w:r w:rsidR="006E0D8E">
        <w:rPr>
          <w:rFonts w:ascii="Arial" w:eastAsia="Arial" w:hAnsi="Arial" w:cs="Arial"/>
          <w:color w:val="45130F" w:themeColor="background2"/>
          <w:sz w:val="20"/>
          <w:szCs w:val="20"/>
          <w:lang w:val="fr-FR"/>
        </w:rPr>
        <w:t xml:space="preserve">la </w:t>
      </w:r>
      <w:r w:rsidR="006E0D8E" w:rsidRPr="006E0D8E">
        <w:rPr>
          <w:rFonts w:ascii="Arial" w:eastAsia="Arial" w:hAnsi="Arial" w:cs="Arial"/>
          <w:color w:val="45130F" w:themeColor="background2"/>
          <w:sz w:val="20"/>
          <w:szCs w:val="20"/>
          <w:lang w:val="fr-FR"/>
        </w:rPr>
        <w:t>consommation</w:t>
      </w:r>
      <w:r w:rsidRPr="00D13FBB">
        <w:rPr>
          <w:rFonts w:ascii="Arial" w:eastAsia="Arial" w:hAnsi="Arial" w:cs="Arial"/>
          <w:color w:val="45130F" w:themeColor="background2"/>
          <w:sz w:val="20"/>
          <w:szCs w:val="20"/>
          <w:lang w:val="fr-FR"/>
        </w:rPr>
        <w:t xml:space="preserve"> à domicile.</w:t>
      </w:r>
      <w:r w:rsidR="00C26F50" w:rsidRPr="00D13FBB">
        <w:rPr>
          <w:rFonts w:ascii="Arial" w:eastAsia="Arial" w:hAnsi="Arial" w:cs="Arial"/>
          <w:color w:val="45130F" w:themeColor="background2"/>
          <w:sz w:val="20"/>
          <w:szCs w:val="20"/>
          <w:lang w:val="fr-BE"/>
        </w:rPr>
        <w:t xml:space="preserve"> </w:t>
      </w:r>
      <w:r w:rsidRPr="00D13FBB">
        <w:rPr>
          <w:rFonts w:ascii="Arial" w:eastAsia="Arial" w:hAnsi="Arial" w:cs="Arial"/>
          <w:color w:val="45130F" w:themeColor="background2"/>
          <w:sz w:val="20"/>
          <w:szCs w:val="20"/>
          <w:lang w:val="fr-FR"/>
        </w:rPr>
        <w:t xml:space="preserve">Les marques super premium Corona, Stella Artois et Hoegaarden continuent à afficher une belle progression grâce </w:t>
      </w:r>
      <w:r w:rsidR="00645FFE" w:rsidRPr="00D13FBB">
        <w:rPr>
          <w:rFonts w:ascii="Arial" w:eastAsia="Arial" w:hAnsi="Arial" w:cs="Arial"/>
          <w:color w:val="45130F" w:themeColor="background2"/>
          <w:sz w:val="20"/>
          <w:szCs w:val="20"/>
          <w:lang w:val="fr-FR"/>
        </w:rPr>
        <w:t xml:space="preserve">au public féminin séduit </w:t>
      </w:r>
      <w:r w:rsidRPr="00D13FBB">
        <w:rPr>
          <w:rFonts w:ascii="Arial" w:eastAsia="Arial" w:hAnsi="Arial" w:cs="Arial"/>
          <w:color w:val="45130F" w:themeColor="background2"/>
          <w:sz w:val="20"/>
          <w:szCs w:val="20"/>
          <w:lang w:val="fr-FR"/>
        </w:rPr>
        <w:t xml:space="preserve">par la </w:t>
      </w:r>
      <w:r w:rsidR="00C811C3" w:rsidRPr="00D13FBB">
        <w:rPr>
          <w:rFonts w:ascii="Arial" w:eastAsia="Arial" w:hAnsi="Arial" w:cs="Arial"/>
          <w:color w:val="45130F" w:themeColor="background2"/>
          <w:sz w:val="20"/>
          <w:szCs w:val="20"/>
          <w:lang w:val="fr-FR"/>
        </w:rPr>
        <w:t>tradi</w:t>
      </w:r>
      <w:r w:rsidRPr="00D13FBB">
        <w:rPr>
          <w:rFonts w:ascii="Arial" w:eastAsia="Arial" w:hAnsi="Arial" w:cs="Arial"/>
          <w:color w:val="45130F" w:themeColor="background2"/>
          <w:sz w:val="20"/>
          <w:szCs w:val="20"/>
          <w:lang w:val="fr-FR"/>
        </w:rPr>
        <w:t xml:space="preserve">tion, </w:t>
      </w:r>
      <w:r w:rsidR="00C811C3" w:rsidRPr="00D13FBB">
        <w:rPr>
          <w:rFonts w:ascii="Arial" w:eastAsia="Arial" w:hAnsi="Arial" w:cs="Arial"/>
          <w:color w:val="45130F" w:themeColor="background2"/>
          <w:sz w:val="20"/>
          <w:szCs w:val="20"/>
          <w:lang w:val="fr-FR"/>
        </w:rPr>
        <w:t>l</w:t>
      </w:r>
      <w:r w:rsidR="00722A37" w:rsidRPr="00D13FBB">
        <w:rPr>
          <w:rFonts w:ascii="Arial" w:eastAsia="Arial" w:hAnsi="Arial" w:cs="Arial"/>
          <w:color w:val="45130F" w:themeColor="background2"/>
          <w:sz w:val="20"/>
          <w:szCs w:val="20"/>
          <w:lang w:val="fr-FR"/>
        </w:rPr>
        <w:t xml:space="preserve">e caractère </w:t>
      </w:r>
      <w:r w:rsidRPr="00D13FBB">
        <w:rPr>
          <w:rFonts w:ascii="Arial" w:eastAsia="Arial" w:hAnsi="Arial" w:cs="Arial"/>
          <w:color w:val="45130F" w:themeColor="background2"/>
          <w:sz w:val="20"/>
          <w:szCs w:val="20"/>
          <w:lang w:val="fr-FR"/>
        </w:rPr>
        <w:t>uni</w:t>
      </w:r>
      <w:r w:rsidR="00722A37" w:rsidRPr="00D13FBB">
        <w:rPr>
          <w:rFonts w:ascii="Arial" w:eastAsia="Arial" w:hAnsi="Arial" w:cs="Arial"/>
          <w:color w:val="45130F" w:themeColor="background2"/>
          <w:sz w:val="20"/>
          <w:szCs w:val="20"/>
          <w:lang w:val="fr-FR"/>
        </w:rPr>
        <w:t xml:space="preserve">que </w:t>
      </w:r>
      <w:r w:rsidRPr="00D13FBB">
        <w:rPr>
          <w:rFonts w:ascii="Arial" w:eastAsia="Arial" w:hAnsi="Arial" w:cs="Arial"/>
          <w:color w:val="45130F" w:themeColor="background2"/>
          <w:sz w:val="20"/>
          <w:szCs w:val="20"/>
          <w:lang w:val="fr-FR"/>
        </w:rPr>
        <w:t xml:space="preserve">et les rituels </w:t>
      </w:r>
      <w:r w:rsidR="009E69A0" w:rsidRPr="00D13FBB">
        <w:rPr>
          <w:rFonts w:ascii="Arial" w:eastAsia="Arial" w:hAnsi="Arial" w:cs="Arial"/>
          <w:color w:val="45130F" w:themeColor="background2"/>
          <w:sz w:val="20"/>
          <w:szCs w:val="20"/>
          <w:lang w:val="fr-FR"/>
        </w:rPr>
        <w:t>d</w:t>
      </w:r>
      <w:r w:rsidRPr="00D13FBB">
        <w:rPr>
          <w:rFonts w:ascii="Arial" w:eastAsia="Arial" w:hAnsi="Arial" w:cs="Arial"/>
          <w:color w:val="45130F" w:themeColor="background2"/>
          <w:sz w:val="20"/>
          <w:szCs w:val="20"/>
          <w:lang w:val="fr-FR"/>
        </w:rPr>
        <w:t>e service</w:t>
      </w:r>
      <w:r w:rsidR="00C811C3" w:rsidRPr="00D13FBB">
        <w:rPr>
          <w:rFonts w:ascii="Arial" w:eastAsia="Arial" w:hAnsi="Arial" w:cs="Arial"/>
          <w:color w:val="45130F" w:themeColor="background2"/>
          <w:sz w:val="20"/>
          <w:szCs w:val="20"/>
          <w:lang w:val="fr-FR"/>
        </w:rPr>
        <w:t xml:space="preserve"> de ces marques</w:t>
      </w:r>
      <w:r w:rsidRPr="00D13FBB">
        <w:rPr>
          <w:rFonts w:ascii="Arial" w:eastAsia="Arial" w:hAnsi="Arial" w:cs="Arial"/>
          <w:color w:val="45130F" w:themeColor="background2"/>
          <w:sz w:val="20"/>
          <w:szCs w:val="20"/>
          <w:lang w:val="fr-FR"/>
        </w:rPr>
        <w:t>.</w:t>
      </w:r>
      <w:r w:rsidR="005959AF" w:rsidRPr="00D13FBB">
        <w:rPr>
          <w:rFonts w:ascii="Arial" w:eastAsia="Arial" w:hAnsi="Arial" w:cs="Arial"/>
          <w:color w:val="45130F" w:themeColor="background2"/>
          <w:sz w:val="20"/>
          <w:szCs w:val="20"/>
          <w:lang w:val="fr-BE"/>
        </w:rPr>
        <w:t xml:space="preserve"> </w:t>
      </w:r>
      <w:r w:rsidR="00C811C3" w:rsidRPr="00D13FBB">
        <w:rPr>
          <w:rFonts w:ascii="Arial" w:eastAsia="Arial" w:hAnsi="Arial" w:cs="Arial"/>
          <w:color w:val="45130F" w:themeColor="background2"/>
          <w:sz w:val="20"/>
          <w:szCs w:val="20"/>
          <w:lang w:val="fr-FR"/>
        </w:rPr>
        <w:t xml:space="preserve">Les innovations ont aussi contribué </w:t>
      </w:r>
      <w:r w:rsidR="00645FFE" w:rsidRPr="00D13FBB">
        <w:rPr>
          <w:rFonts w:ascii="Arial" w:eastAsia="Arial" w:hAnsi="Arial" w:cs="Arial"/>
          <w:color w:val="45130F" w:themeColor="background2"/>
          <w:sz w:val="20"/>
          <w:szCs w:val="20"/>
          <w:lang w:val="fr-FR"/>
        </w:rPr>
        <w:t>à la croissance</w:t>
      </w:r>
      <w:r w:rsidR="00C811C3" w:rsidRPr="00D13FBB">
        <w:rPr>
          <w:rFonts w:ascii="Arial" w:eastAsia="Arial" w:hAnsi="Arial" w:cs="Arial"/>
          <w:color w:val="45130F" w:themeColor="background2"/>
          <w:sz w:val="20"/>
          <w:szCs w:val="20"/>
          <w:lang w:val="fr-FR"/>
        </w:rPr>
        <w:t xml:space="preserve"> de Harbin Baipi, une bière de froment lancée récemment, qui plaît à un large public et enregistre une croissance rapide des ventes.</w:t>
      </w:r>
      <w:r w:rsidR="00C26F50" w:rsidRPr="00D13FBB">
        <w:rPr>
          <w:rFonts w:ascii="Arial" w:eastAsia="Arial" w:hAnsi="Arial" w:cs="Arial"/>
          <w:color w:val="45130F" w:themeColor="background2"/>
          <w:sz w:val="20"/>
          <w:szCs w:val="20"/>
          <w:lang w:val="fr-BE"/>
        </w:rPr>
        <w:t xml:space="preserve"> </w:t>
      </w:r>
      <w:r w:rsidR="00C811C3" w:rsidRPr="00D13FBB">
        <w:rPr>
          <w:rFonts w:ascii="Arial" w:eastAsia="Arial" w:hAnsi="Arial" w:cs="Arial"/>
          <w:color w:val="45130F" w:themeColor="background2"/>
          <w:sz w:val="20"/>
          <w:szCs w:val="20"/>
          <w:lang w:val="fr-FR"/>
        </w:rPr>
        <w:t xml:space="preserve">Harbin Ice </w:t>
      </w:r>
      <w:r w:rsidR="008C3CC9" w:rsidRPr="00D13FBB">
        <w:rPr>
          <w:rFonts w:ascii="Arial" w:eastAsia="Arial" w:hAnsi="Arial" w:cs="Arial"/>
          <w:color w:val="45130F" w:themeColor="background2"/>
          <w:sz w:val="20"/>
          <w:szCs w:val="20"/>
          <w:lang w:val="fr-FR"/>
        </w:rPr>
        <w:t xml:space="preserve">affiche </w:t>
      </w:r>
      <w:r w:rsidR="00C811C3" w:rsidRPr="00D13FBB">
        <w:rPr>
          <w:rFonts w:ascii="Arial" w:eastAsia="Arial" w:hAnsi="Arial" w:cs="Arial"/>
          <w:color w:val="45130F" w:themeColor="background2"/>
          <w:sz w:val="20"/>
          <w:szCs w:val="20"/>
          <w:lang w:val="fr-FR"/>
        </w:rPr>
        <w:t xml:space="preserve">également </w:t>
      </w:r>
      <w:r w:rsidR="008C3CC9" w:rsidRPr="00D13FBB">
        <w:rPr>
          <w:rFonts w:ascii="Arial" w:eastAsia="Arial" w:hAnsi="Arial" w:cs="Arial"/>
          <w:color w:val="45130F" w:themeColor="background2"/>
          <w:sz w:val="20"/>
          <w:szCs w:val="20"/>
          <w:lang w:val="fr-FR"/>
        </w:rPr>
        <w:t xml:space="preserve">une belle progression </w:t>
      </w:r>
      <w:r w:rsidR="00C811C3" w:rsidRPr="00D13FBB">
        <w:rPr>
          <w:rFonts w:ascii="Arial" w:eastAsia="Arial" w:hAnsi="Arial" w:cs="Arial"/>
          <w:color w:val="45130F" w:themeColor="background2"/>
          <w:sz w:val="20"/>
          <w:szCs w:val="20"/>
          <w:lang w:val="fr-FR"/>
        </w:rPr>
        <w:t>dans le segment core plus.</w:t>
      </w:r>
      <w:r w:rsidR="00C26F50" w:rsidRPr="00D13FBB">
        <w:rPr>
          <w:rFonts w:ascii="Arial" w:eastAsia="Arial" w:hAnsi="Arial" w:cs="Arial"/>
          <w:color w:val="45130F" w:themeColor="background2"/>
          <w:sz w:val="20"/>
          <w:szCs w:val="20"/>
          <w:lang w:val="fr-BE"/>
        </w:rPr>
        <w:t xml:space="preserve"> </w:t>
      </w:r>
    </w:p>
    <w:p w14:paraId="0D47C68A" w14:textId="77777777" w:rsidR="00C26F50" w:rsidRPr="00D13FBB" w:rsidRDefault="00C26F50" w:rsidP="00C26F50">
      <w:pPr>
        <w:spacing w:after="0" w:line="240" w:lineRule="auto"/>
        <w:jc w:val="both"/>
        <w:rPr>
          <w:rFonts w:ascii="Arial" w:eastAsia="Arial" w:hAnsi="Arial" w:cs="Arial"/>
          <w:color w:val="45130F" w:themeColor="background2"/>
          <w:sz w:val="20"/>
          <w:szCs w:val="20"/>
          <w:lang w:val="fr-BE"/>
        </w:rPr>
      </w:pPr>
    </w:p>
    <w:p w14:paraId="48FA47AC" w14:textId="0F49C3A4" w:rsidR="00513CC6" w:rsidRPr="00144F32" w:rsidRDefault="00C811C3" w:rsidP="00AB5337">
      <w:pPr>
        <w:spacing w:after="0" w:line="240" w:lineRule="auto"/>
        <w:jc w:val="both"/>
        <w:rPr>
          <w:rFonts w:cstheme="minorHAnsi"/>
          <w:b/>
          <w:color w:val="45130F" w:themeColor="background2"/>
          <w:sz w:val="20"/>
          <w:szCs w:val="20"/>
          <w:u w:val="single"/>
          <w:lang w:val="fr-BE"/>
        </w:rPr>
      </w:pPr>
      <w:r w:rsidRPr="00D13FBB">
        <w:rPr>
          <w:rFonts w:ascii="Arial" w:eastAsia="Arial" w:hAnsi="Arial" w:cs="Arial"/>
          <w:color w:val="45130F" w:themeColor="background2"/>
          <w:sz w:val="20"/>
          <w:szCs w:val="20"/>
          <w:lang w:val="fr-FR"/>
        </w:rPr>
        <w:t xml:space="preserve">L’EBITDA a augmenté de 20,9 % </w:t>
      </w:r>
      <w:r w:rsidR="008C3CC9" w:rsidRPr="00D13FBB">
        <w:rPr>
          <w:rFonts w:ascii="Arial" w:eastAsia="Arial" w:hAnsi="Arial" w:cs="Arial"/>
          <w:color w:val="45130F" w:themeColor="background2"/>
          <w:sz w:val="20"/>
          <w:szCs w:val="20"/>
          <w:lang w:val="fr-FR"/>
        </w:rPr>
        <w:t xml:space="preserve">en Chine </w:t>
      </w:r>
      <w:r w:rsidRPr="00D13FBB">
        <w:rPr>
          <w:rFonts w:ascii="Arial" w:eastAsia="Arial" w:hAnsi="Arial" w:cs="Arial"/>
          <w:color w:val="45130F" w:themeColor="background2"/>
          <w:sz w:val="20"/>
          <w:szCs w:val="20"/>
          <w:lang w:val="fr-FR"/>
        </w:rPr>
        <w:t>au 2T17</w:t>
      </w:r>
      <w:r w:rsidR="008C3CC9" w:rsidRPr="00D13FBB">
        <w:rPr>
          <w:rFonts w:ascii="Arial" w:eastAsia="Arial" w:hAnsi="Arial" w:cs="Arial"/>
          <w:color w:val="45130F" w:themeColor="background2"/>
          <w:sz w:val="20"/>
          <w:szCs w:val="20"/>
          <w:lang w:val="fr-FR"/>
        </w:rPr>
        <w:t>,</w:t>
      </w:r>
      <w:r w:rsidRPr="00D13FBB">
        <w:rPr>
          <w:rFonts w:ascii="Arial" w:eastAsia="Arial" w:hAnsi="Arial" w:cs="Arial"/>
          <w:color w:val="45130F" w:themeColor="background2"/>
          <w:sz w:val="20"/>
          <w:szCs w:val="20"/>
          <w:lang w:val="fr-FR"/>
        </w:rPr>
        <w:t xml:space="preserve"> avec un accroissement de la marge de </w:t>
      </w:r>
      <w:r w:rsidR="00E202DB">
        <w:rPr>
          <w:rFonts w:ascii="Arial" w:eastAsia="Arial" w:hAnsi="Arial" w:cs="Arial"/>
          <w:color w:val="45130F" w:themeColor="background2"/>
          <w:sz w:val="20"/>
          <w:szCs w:val="20"/>
          <w:lang w:val="fr-FR"/>
        </w:rPr>
        <w:t xml:space="preserve">plus de </w:t>
      </w:r>
      <w:r w:rsidRPr="00D13FBB">
        <w:rPr>
          <w:rFonts w:ascii="Arial" w:eastAsia="Arial" w:hAnsi="Arial" w:cs="Arial"/>
          <w:color w:val="45130F" w:themeColor="background2"/>
          <w:sz w:val="20"/>
          <w:szCs w:val="20"/>
          <w:lang w:val="fr-FR"/>
        </w:rPr>
        <w:t>400 points de base à 35,7</w:t>
      </w:r>
      <w:r w:rsidR="008C3CC9" w:rsidRPr="00D13FBB">
        <w:rPr>
          <w:rFonts w:ascii="Arial" w:eastAsia="Arial" w:hAnsi="Arial" w:cs="Arial"/>
          <w:color w:val="45130F" w:themeColor="background2"/>
          <w:sz w:val="20"/>
          <w:szCs w:val="20"/>
          <w:lang w:val="fr-FR"/>
        </w:rPr>
        <w:t> </w:t>
      </w:r>
      <w:r w:rsidRPr="00D13FBB">
        <w:rPr>
          <w:rFonts w:ascii="Arial" w:eastAsia="Arial" w:hAnsi="Arial" w:cs="Arial"/>
          <w:color w:val="45130F" w:themeColor="background2"/>
          <w:sz w:val="20"/>
          <w:szCs w:val="20"/>
          <w:lang w:val="fr-FR"/>
        </w:rPr>
        <w:t>%.</w:t>
      </w:r>
      <w:r w:rsidR="00C26F50" w:rsidRPr="00D13FBB">
        <w:rPr>
          <w:rFonts w:ascii="Arial" w:eastAsia="Arial" w:hAnsi="Arial" w:cs="Arial"/>
          <w:color w:val="45130F" w:themeColor="background2"/>
          <w:sz w:val="20"/>
          <w:szCs w:val="20"/>
          <w:lang w:val="fr-BE"/>
        </w:rPr>
        <w:t xml:space="preserve"> </w:t>
      </w:r>
      <w:r w:rsidRPr="00D13FBB">
        <w:rPr>
          <w:rFonts w:ascii="Arial" w:eastAsia="Arial" w:hAnsi="Arial" w:cs="Arial"/>
          <w:color w:val="45130F" w:themeColor="background2"/>
          <w:sz w:val="20"/>
          <w:szCs w:val="20"/>
          <w:lang w:val="fr-FR"/>
        </w:rPr>
        <w:t xml:space="preserve">Ceci s’explique par une forte croissance des produits associée à une réduction des CdV et des frais </w:t>
      </w:r>
      <w:r w:rsidR="00645FFE" w:rsidRPr="00D13FBB">
        <w:rPr>
          <w:rFonts w:ascii="Arial" w:eastAsia="Arial" w:hAnsi="Arial" w:cs="Arial"/>
          <w:color w:val="45130F" w:themeColor="background2"/>
          <w:sz w:val="20"/>
          <w:szCs w:val="20"/>
          <w:lang w:val="fr-FR"/>
        </w:rPr>
        <w:t>de vente, dépenses administratives et autres frais généraux</w:t>
      </w:r>
      <w:r w:rsidRPr="00D13FBB">
        <w:rPr>
          <w:rFonts w:ascii="Arial" w:eastAsia="Arial" w:hAnsi="Arial" w:cs="Arial"/>
          <w:color w:val="45130F" w:themeColor="background2"/>
          <w:sz w:val="20"/>
          <w:szCs w:val="20"/>
          <w:lang w:val="fr-FR"/>
        </w:rPr>
        <w:t>.</w:t>
      </w:r>
      <w:r w:rsidR="00C26F50" w:rsidRPr="00D13FBB">
        <w:rPr>
          <w:rFonts w:ascii="Arial" w:eastAsia="Arial" w:hAnsi="Arial" w:cs="Arial"/>
          <w:color w:val="45130F" w:themeColor="background2"/>
          <w:sz w:val="20"/>
          <w:szCs w:val="20"/>
          <w:lang w:val="fr-BE"/>
        </w:rPr>
        <w:t xml:space="preserve"> </w:t>
      </w:r>
      <w:r w:rsidRPr="00D13FBB">
        <w:rPr>
          <w:rFonts w:ascii="Arial" w:eastAsia="Arial" w:hAnsi="Arial" w:cs="Arial"/>
          <w:color w:val="45130F" w:themeColor="background2"/>
          <w:sz w:val="20"/>
          <w:szCs w:val="20"/>
          <w:lang w:val="fr-FR"/>
        </w:rPr>
        <w:t>L’EBITDA a augmenté de 28,6 % au 1S17 avec un accroissement de la marge de plus de 500 points de base à 34,7</w:t>
      </w:r>
      <w:r w:rsidR="008C3CC9" w:rsidRPr="00D13FBB">
        <w:rPr>
          <w:rFonts w:ascii="Arial" w:eastAsia="Arial" w:hAnsi="Arial" w:cs="Arial"/>
          <w:color w:val="45130F" w:themeColor="background2"/>
          <w:sz w:val="20"/>
          <w:szCs w:val="20"/>
          <w:lang w:val="fr-FR"/>
        </w:rPr>
        <w:t> </w:t>
      </w:r>
      <w:r w:rsidRPr="00D13FBB">
        <w:rPr>
          <w:rFonts w:ascii="Arial" w:eastAsia="Arial" w:hAnsi="Arial" w:cs="Arial"/>
          <w:color w:val="45130F" w:themeColor="background2"/>
          <w:sz w:val="20"/>
          <w:szCs w:val="20"/>
          <w:lang w:val="fr-FR"/>
        </w:rPr>
        <w:t>%.</w:t>
      </w:r>
    </w:p>
    <w:p w14:paraId="3E5222A9" w14:textId="32331807" w:rsidR="00DB0C0E" w:rsidRPr="00A86DC5" w:rsidRDefault="00DB0C0E" w:rsidP="00AB5337">
      <w:pPr>
        <w:spacing w:after="0" w:line="240" w:lineRule="auto"/>
        <w:jc w:val="both"/>
        <w:rPr>
          <w:rFonts w:cstheme="minorHAnsi"/>
          <w:b/>
          <w:color w:val="45130F" w:themeColor="background2"/>
          <w:sz w:val="20"/>
          <w:szCs w:val="20"/>
          <w:u w:val="single"/>
          <w:lang w:val="fr-BE"/>
        </w:rPr>
      </w:pPr>
    </w:p>
    <w:p w14:paraId="2484125C" w14:textId="65280895" w:rsidR="00AB5337" w:rsidRPr="00A86DC5" w:rsidRDefault="00C811C3" w:rsidP="008C3CC9">
      <w:pPr>
        <w:spacing w:after="0" w:line="240" w:lineRule="auto"/>
        <w:jc w:val="both"/>
        <w:rPr>
          <w:rFonts w:cstheme="minorHAnsi"/>
          <w:b/>
          <w:color w:val="45130F" w:themeColor="background2"/>
          <w:sz w:val="20"/>
          <w:szCs w:val="20"/>
          <w:u w:val="single"/>
          <w:lang w:val="fr-BE"/>
        </w:rPr>
      </w:pPr>
      <w:r w:rsidRPr="008C3CC9">
        <w:rPr>
          <w:rFonts w:cstheme="minorHAnsi"/>
          <w:b/>
          <w:color w:val="45130F" w:themeColor="background2"/>
          <w:sz w:val="20"/>
          <w:szCs w:val="20"/>
          <w:u w:val="single"/>
          <w:lang w:val="fr-FR"/>
        </w:rPr>
        <w:t>Faits marquants sur nos autres marchés</w:t>
      </w:r>
    </w:p>
    <w:p w14:paraId="79C12B03" w14:textId="77777777" w:rsidR="00AB5337" w:rsidRPr="00A86DC5" w:rsidRDefault="00AB5337" w:rsidP="00AB5337">
      <w:pPr>
        <w:pStyle w:val="ListParagraph"/>
        <w:ind w:left="0"/>
        <w:rPr>
          <w:rFonts w:asciiTheme="minorHAnsi" w:hAnsiTheme="minorHAnsi" w:cstheme="minorHAnsi"/>
          <w:b/>
          <w:color w:val="45130F" w:themeColor="background2"/>
          <w:sz w:val="20"/>
          <w:szCs w:val="20"/>
          <w:highlight w:val="yellow"/>
          <w:u w:val="single"/>
          <w:lang w:val="fr-BE"/>
        </w:rPr>
      </w:pPr>
    </w:p>
    <w:p w14:paraId="7F619668" w14:textId="72A31527" w:rsidR="00E15983" w:rsidRPr="00A86DC5" w:rsidRDefault="00C811C3" w:rsidP="008C3CC9">
      <w:pPr>
        <w:spacing w:after="0" w:line="240" w:lineRule="auto"/>
        <w:jc w:val="both"/>
        <w:rPr>
          <w:rFonts w:eastAsia="Calibri" w:cstheme="minorHAnsi"/>
          <w:color w:val="45130F" w:themeColor="background2"/>
          <w:sz w:val="20"/>
          <w:szCs w:val="20"/>
          <w:lang w:val="fr-BE"/>
        </w:rPr>
      </w:pPr>
      <w:r w:rsidRPr="008C3CC9">
        <w:rPr>
          <w:rFonts w:eastAsia="Calibri" w:cstheme="minorHAnsi"/>
          <w:color w:val="45130F" w:themeColor="background2"/>
          <w:sz w:val="20"/>
          <w:szCs w:val="20"/>
          <w:lang w:val="fr-FR"/>
        </w:rPr>
        <w:t>Le</w:t>
      </w:r>
      <w:r w:rsidRPr="008C3CC9">
        <w:rPr>
          <w:rFonts w:eastAsia="Calibri" w:cstheme="minorHAnsi"/>
          <w:b/>
          <w:color w:val="45130F" w:themeColor="background2"/>
          <w:sz w:val="20"/>
          <w:szCs w:val="20"/>
          <w:lang w:val="fr-FR"/>
        </w:rPr>
        <w:t xml:space="preserve"> Canada </w:t>
      </w:r>
      <w:r w:rsidRPr="008C3CC9">
        <w:rPr>
          <w:rFonts w:eastAsia="Calibri" w:cstheme="minorHAnsi"/>
          <w:color w:val="45130F" w:themeColor="background2"/>
          <w:sz w:val="20"/>
          <w:szCs w:val="20"/>
          <w:lang w:val="fr-FR"/>
        </w:rPr>
        <w:t xml:space="preserve">continue d’enregistrer de bons résultats, les gains de parts de marché et la croissance des produits nets par hl </w:t>
      </w:r>
      <w:r w:rsidR="008C3CC9" w:rsidRPr="008C3CC9">
        <w:rPr>
          <w:rFonts w:eastAsia="Calibri" w:cstheme="minorHAnsi"/>
          <w:color w:val="45130F" w:themeColor="background2"/>
          <w:sz w:val="20"/>
          <w:szCs w:val="20"/>
          <w:lang w:val="fr-FR"/>
        </w:rPr>
        <w:t xml:space="preserve">surmontant </w:t>
      </w:r>
      <w:r w:rsidRPr="008C3CC9">
        <w:rPr>
          <w:rFonts w:eastAsia="Calibri" w:cstheme="minorHAnsi"/>
          <w:color w:val="45130F" w:themeColor="background2"/>
          <w:sz w:val="20"/>
          <w:szCs w:val="20"/>
          <w:lang w:val="fr-FR"/>
        </w:rPr>
        <w:t xml:space="preserve">la faiblesse du secteur </w:t>
      </w:r>
      <w:r w:rsidR="00066D8A">
        <w:rPr>
          <w:rFonts w:eastAsia="Calibri" w:cstheme="minorHAnsi"/>
          <w:color w:val="45130F" w:themeColor="background2"/>
          <w:sz w:val="20"/>
          <w:szCs w:val="20"/>
          <w:lang w:val="fr-FR"/>
        </w:rPr>
        <w:t xml:space="preserve">de la </w:t>
      </w:r>
      <w:r w:rsidRPr="008C3CC9">
        <w:rPr>
          <w:rFonts w:eastAsia="Calibri" w:cstheme="minorHAnsi"/>
          <w:color w:val="45130F" w:themeColor="background2"/>
          <w:sz w:val="20"/>
          <w:szCs w:val="20"/>
          <w:lang w:val="fr-FR"/>
        </w:rPr>
        <w:t xml:space="preserve">bière </w:t>
      </w:r>
      <w:r w:rsidR="00066D8A">
        <w:rPr>
          <w:rFonts w:eastAsia="Calibri" w:cstheme="minorHAnsi"/>
          <w:color w:val="45130F" w:themeColor="background2"/>
          <w:sz w:val="20"/>
          <w:szCs w:val="20"/>
          <w:lang w:val="fr-FR"/>
        </w:rPr>
        <w:t>entraînant</w:t>
      </w:r>
      <w:r w:rsidRPr="008C3CC9">
        <w:rPr>
          <w:rFonts w:eastAsia="Calibri" w:cstheme="minorHAnsi"/>
          <w:color w:val="45130F" w:themeColor="background2"/>
          <w:sz w:val="20"/>
          <w:szCs w:val="20"/>
          <w:lang w:val="fr-FR"/>
        </w:rPr>
        <w:t xml:space="preserve"> une croissance des produits durant le trimestre.</w:t>
      </w:r>
      <w:r w:rsidR="00E15983" w:rsidRPr="00A86DC5">
        <w:rPr>
          <w:rFonts w:eastAsia="Calibri" w:cstheme="minorHAnsi"/>
          <w:color w:val="45130F" w:themeColor="background2"/>
          <w:sz w:val="20"/>
          <w:szCs w:val="20"/>
          <w:lang w:val="fr-BE"/>
        </w:rPr>
        <w:t xml:space="preserve"> </w:t>
      </w:r>
      <w:r w:rsidRPr="008C3CC9">
        <w:rPr>
          <w:rFonts w:eastAsia="Calibri" w:cstheme="minorHAnsi"/>
          <w:color w:val="45130F" w:themeColor="background2"/>
          <w:sz w:val="20"/>
          <w:szCs w:val="20"/>
          <w:lang w:val="fr-FR"/>
        </w:rPr>
        <w:t>Bud Light continue à gagner du terrain et le marché haut de gamme est performant, notre portefeuille de marques artisanales et Stella Artois gagnant des parts de marché.</w:t>
      </w:r>
    </w:p>
    <w:p w14:paraId="3D23D2E7" w14:textId="3BD506E3" w:rsidR="007F1782" w:rsidRPr="00A86DC5" w:rsidRDefault="007F1782" w:rsidP="00D57776">
      <w:pPr>
        <w:spacing w:after="0" w:line="240" w:lineRule="auto"/>
        <w:jc w:val="both"/>
        <w:rPr>
          <w:rFonts w:eastAsia="Calibri" w:cstheme="minorHAnsi"/>
          <w:color w:val="45130F" w:themeColor="background2"/>
          <w:sz w:val="20"/>
          <w:szCs w:val="20"/>
          <w:lang w:val="fr-BE"/>
        </w:rPr>
      </w:pPr>
    </w:p>
    <w:p w14:paraId="76760662" w14:textId="44E976E8" w:rsidR="007F1782" w:rsidRPr="00A86DC5" w:rsidRDefault="00C811C3" w:rsidP="008C3CC9">
      <w:pPr>
        <w:spacing w:after="0" w:line="240" w:lineRule="auto"/>
        <w:jc w:val="both"/>
        <w:rPr>
          <w:rFonts w:eastAsia="Calibri" w:cstheme="minorHAnsi"/>
          <w:color w:val="45130F" w:themeColor="background2"/>
          <w:sz w:val="20"/>
          <w:szCs w:val="20"/>
          <w:lang w:val="fr-BE"/>
        </w:rPr>
      </w:pPr>
      <w:r w:rsidRPr="008C3CC9">
        <w:rPr>
          <w:rFonts w:eastAsia="Calibri" w:cstheme="minorHAnsi"/>
          <w:color w:val="45130F" w:themeColor="background2"/>
          <w:sz w:val="20"/>
          <w:szCs w:val="20"/>
          <w:lang w:val="fr-FR"/>
        </w:rPr>
        <w:t>Le</w:t>
      </w:r>
      <w:r w:rsidRPr="008C3CC9">
        <w:rPr>
          <w:rFonts w:eastAsia="Calibri" w:cstheme="minorHAnsi"/>
          <w:b/>
          <w:color w:val="45130F" w:themeColor="background2"/>
          <w:sz w:val="20"/>
          <w:szCs w:val="20"/>
          <w:lang w:val="fr-FR"/>
        </w:rPr>
        <w:t xml:space="preserve"> Pérou </w:t>
      </w:r>
      <w:r w:rsidRPr="008C3CC9">
        <w:rPr>
          <w:rFonts w:eastAsia="Calibri" w:cstheme="minorHAnsi"/>
          <w:color w:val="45130F" w:themeColor="background2"/>
          <w:sz w:val="20"/>
          <w:szCs w:val="20"/>
          <w:lang w:val="fr-FR"/>
        </w:rPr>
        <w:t xml:space="preserve">affiche une forte croissance des produits </w:t>
      </w:r>
      <w:r w:rsidR="00C76AB3">
        <w:rPr>
          <w:rFonts w:eastAsia="Calibri" w:cstheme="minorHAnsi"/>
          <w:color w:val="45130F" w:themeColor="background2"/>
          <w:sz w:val="20"/>
          <w:szCs w:val="20"/>
          <w:lang w:val="fr-FR"/>
        </w:rPr>
        <w:t xml:space="preserve">de </w:t>
      </w:r>
      <w:r w:rsidRPr="008C3CC9">
        <w:rPr>
          <w:rFonts w:eastAsia="Calibri" w:cstheme="minorHAnsi"/>
          <w:color w:val="45130F" w:themeColor="background2"/>
          <w:sz w:val="20"/>
          <w:szCs w:val="20"/>
          <w:lang w:val="fr-FR"/>
        </w:rPr>
        <w:t>10,0</w:t>
      </w:r>
      <w:r w:rsidR="008C3CC9" w:rsidRPr="008C3CC9">
        <w:rPr>
          <w:rFonts w:ascii="Arial" w:eastAsia="Arial" w:hAnsi="Arial" w:cs="Arial"/>
          <w:color w:val="45130F"/>
          <w:sz w:val="20"/>
          <w:szCs w:val="20"/>
          <w:lang w:val="fr-FR"/>
        </w:rPr>
        <w:t> </w:t>
      </w:r>
      <w:r w:rsidRPr="008C3CC9">
        <w:rPr>
          <w:rFonts w:eastAsia="Calibri" w:cstheme="minorHAnsi"/>
          <w:color w:val="45130F" w:themeColor="background2"/>
          <w:sz w:val="20"/>
          <w:szCs w:val="20"/>
          <w:lang w:val="fr-FR"/>
        </w:rPr>
        <w:t>% avec une hausse de 4,1</w:t>
      </w:r>
      <w:r w:rsidR="008C3CC9" w:rsidRPr="008C3CC9">
        <w:rPr>
          <w:rFonts w:ascii="Arial" w:eastAsia="Arial" w:hAnsi="Arial" w:cs="Arial"/>
          <w:color w:val="45130F"/>
          <w:sz w:val="20"/>
          <w:szCs w:val="20"/>
          <w:lang w:val="fr-FR"/>
        </w:rPr>
        <w:t> </w:t>
      </w:r>
      <w:r w:rsidRPr="008C3CC9">
        <w:rPr>
          <w:rFonts w:eastAsia="Calibri" w:cstheme="minorHAnsi"/>
          <w:color w:val="45130F" w:themeColor="background2"/>
          <w:sz w:val="20"/>
          <w:szCs w:val="20"/>
          <w:lang w:val="fr-FR"/>
        </w:rPr>
        <w:t xml:space="preserve">% des volumes </w:t>
      </w:r>
      <w:r w:rsidR="00C76AB3">
        <w:rPr>
          <w:rFonts w:eastAsia="Calibri" w:cstheme="minorHAnsi"/>
          <w:color w:val="45130F" w:themeColor="background2"/>
          <w:sz w:val="20"/>
          <w:szCs w:val="20"/>
          <w:lang w:val="fr-FR"/>
        </w:rPr>
        <w:t xml:space="preserve">grâce à </w:t>
      </w:r>
      <w:r w:rsidRPr="008C3CC9">
        <w:rPr>
          <w:rFonts w:eastAsia="Calibri" w:cstheme="minorHAnsi"/>
          <w:color w:val="45130F" w:themeColor="background2"/>
          <w:sz w:val="20"/>
          <w:szCs w:val="20"/>
          <w:lang w:val="fr-FR"/>
        </w:rPr>
        <w:t>nos efforts commerciaux durant le trimestre.</w:t>
      </w:r>
      <w:r w:rsidR="007F1782" w:rsidRPr="00A86DC5">
        <w:rPr>
          <w:rFonts w:eastAsia="Calibri" w:cstheme="minorHAnsi"/>
          <w:color w:val="45130F" w:themeColor="background2"/>
          <w:sz w:val="20"/>
          <w:szCs w:val="20"/>
          <w:lang w:val="fr-BE"/>
        </w:rPr>
        <w:t xml:space="preserve"> </w:t>
      </w:r>
      <w:r w:rsidRPr="008C3CC9">
        <w:rPr>
          <w:rFonts w:eastAsia="Calibri" w:cstheme="minorHAnsi"/>
          <w:b/>
          <w:color w:val="45130F" w:themeColor="background2"/>
          <w:sz w:val="20"/>
          <w:szCs w:val="20"/>
          <w:lang w:val="fr-FR"/>
        </w:rPr>
        <w:t xml:space="preserve">L’Equateur </w:t>
      </w:r>
      <w:r w:rsidRPr="008C3CC9">
        <w:rPr>
          <w:rFonts w:eastAsia="Calibri" w:cstheme="minorHAnsi"/>
          <w:color w:val="45130F" w:themeColor="background2"/>
          <w:sz w:val="20"/>
          <w:szCs w:val="20"/>
          <w:lang w:val="fr-FR"/>
        </w:rPr>
        <w:t>a également enregistré une hausse des produits et des volumes de 8,9</w:t>
      </w:r>
      <w:r w:rsidR="008C3CC9" w:rsidRPr="008C3CC9">
        <w:rPr>
          <w:rFonts w:ascii="Arial" w:eastAsia="Arial" w:hAnsi="Arial" w:cs="Arial"/>
          <w:color w:val="45130F"/>
          <w:sz w:val="20"/>
          <w:szCs w:val="20"/>
          <w:lang w:val="fr-FR"/>
        </w:rPr>
        <w:t> </w:t>
      </w:r>
      <w:r w:rsidRPr="008C3CC9">
        <w:rPr>
          <w:rFonts w:eastAsia="Calibri" w:cstheme="minorHAnsi"/>
          <w:color w:val="45130F" w:themeColor="background2"/>
          <w:sz w:val="20"/>
          <w:szCs w:val="20"/>
          <w:lang w:val="fr-FR"/>
        </w:rPr>
        <w:t>% et 6,4</w:t>
      </w:r>
      <w:r w:rsidR="008C3CC9" w:rsidRPr="008C3CC9">
        <w:rPr>
          <w:rFonts w:ascii="Arial" w:eastAsia="Arial" w:hAnsi="Arial" w:cs="Arial"/>
          <w:color w:val="45130F"/>
          <w:sz w:val="20"/>
          <w:szCs w:val="20"/>
          <w:lang w:val="fr-FR"/>
        </w:rPr>
        <w:t> </w:t>
      </w:r>
      <w:r w:rsidRPr="008C3CC9">
        <w:rPr>
          <w:rFonts w:eastAsia="Calibri" w:cstheme="minorHAnsi"/>
          <w:color w:val="45130F" w:themeColor="background2"/>
          <w:sz w:val="20"/>
          <w:szCs w:val="20"/>
          <w:lang w:val="fr-FR"/>
        </w:rPr>
        <w:t>%</w:t>
      </w:r>
      <w:r w:rsidR="00C76AB3">
        <w:rPr>
          <w:rFonts w:eastAsia="Calibri" w:cstheme="minorHAnsi"/>
          <w:color w:val="45130F" w:themeColor="background2"/>
          <w:sz w:val="20"/>
          <w:szCs w:val="20"/>
          <w:lang w:val="fr-FR"/>
        </w:rPr>
        <w:t>,</w:t>
      </w:r>
      <w:r w:rsidRPr="008C3CC9">
        <w:rPr>
          <w:rFonts w:eastAsia="Calibri" w:cstheme="minorHAnsi"/>
          <w:color w:val="45130F" w:themeColor="background2"/>
          <w:sz w:val="20"/>
          <w:szCs w:val="20"/>
          <w:lang w:val="fr-FR"/>
        </w:rPr>
        <w:t xml:space="preserve"> </w:t>
      </w:r>
      <w:r w:rsidR="008C3CC9" w:rsidRPr="008C3CC9">
        <w:rPr>
          <w:rFonts w:eastAsia="Calibri" w:cstheme="minorHAnsi"/>
          <w:color w:val="45130F" w:themeColor="background2"/>
          <w:sz w:val="20"/>
          <w:szCs w:val="20"/>
          <w:lang w:val="fr-FR"/>
        </w:rPr>
        <w:t>respectivement</w:t>
      </w:r>
      <w:r w:rsidR="00C76AB3">
        <w:rPr>
          <w:rFonts w:eastAsia="Calibri" w:cstheme="minorHAnsi"/>
          <w:color w:val="45130F" w:themeColor="background2"/>
          <w:sz w:val="20"/>
          <w:szCs w:val="20"/>
          <w:lang w:val="fr-FR"/>
        </w:rPr>
        <w:t>,</w:t>
      </w:r>
      <w:r w:rsidR="008C3CC9" w:rsidRPr="008C3CC9">
        <w:rPr>
          <w:rFonts w:eastAsia="Calibri" w:cstheme="minorHAnsi"/>
          <w:color w:val="45130F" w:themeColor="background2"/>
          <w:sz w:val="20"/>
          <w:szCs w:val="20"/>
          <w:lang w:val="fr-FR"/>
        </w:rPr>
        <w:t xml:space="preserve"> pendant le trimestre, </w:t>
      </w:r>
      <w:r w:rsidRPr="008C3CC9">
        <w:rPr>
          <w:rFonts w:eastAsia="Calibri" w:cstheme="minorHAnsi"/>
          <w:color w:val="45130F" w:themeColor="background2"/>
          <w:sz w:val="20"/>
          <w:szCs w:val="20"/>
          <w:lang w:val="fr-FR"/>
        </w:rPr>
        <w:t xml:space="preserve">grâce à une stratégie commerciale améliorée et </w:t>
      </w:r>
      <w:r w:rsidR="008C3CC9" w:rsidRPr="008C3CC9">
        <w:rPr>
          <w:rFonts w:eastAsia="Calibri" w:cstheme="minorHAnsi"/>
          <w:color w:val="45130F" w:themeColor="background2"/>
          <w:sz w:val="20"/>
          <w:szCs w:val="20"/>
          <w:lang w:val="fr-FR"/>
        </w:rPr>
        <w:t xml:space="preserve">à </w:t>
      </w:r>
      <w:r w:rsidRPr="008C3CC9">
        <w:rPr>
          <w:rFonts w:eastAsia="Calibri" w:cstheme="minorHAnsi"/>
          <w:color w:val="45130F" w:themeColor="background2"/>
          <w:sz w:val="20"/>
          <w:szCs w:val="20"/>
          <w:lang w:val="fr-FR"/>
        </w:rPr>
        <w:t>des comparaisons favorables après le tremblement de terre en avril 2016.</w:t>
      </w:r>
    </w:p>
    <w:p w14:paraId="3F2CFEC5" w14:textId="1CA8CC1E" w:rsidR="007F1782" w:rsidRPr="00A86DC5" w:rsidRDefault="007F1782" w:rsidP="00D57776">
      <w:pPr>
        <w:spacing w:after="0" w:line="240" w:lineRule="auto"/>
        <w:jc w:val="both"/>
        <w:rPr>
          <w:rFonts w:eastAsia="Calibri" w:cstheme="minorHAnsi"/>
          <w:color w:val="45130F" w:themeColor="background2"/>
          <w:sz w:val="20"/>
          <w:szCs w:val="20"/>
          <w:lang w:val="fr-BE"/>
        </w:rPr>
      </w:pPr>
    </w:p>
    <w:p w14:paraId="717B75A0" w14:textId="50117C41" w:rsidR="00F37349" w:rsidRPr="00D13FBB" w:rsidRDefault="00C811C3" w:rsidP="008C3CC9">
      <w:pPr>
        <w:jc w:val="both"/>
        <w:rPr>
          <w:rFonts w:eastAsia="Calibri" w:cstheme="minorHAnsi"/>
          <w:color w:val="45130F" w:themeColor="background2"/>
          <w:sz w:val="20"/>
          <w:szCs w:val="20"/>
          <w:lang w:val="fr-FR"/>
        </w:rPr>
      </w:pPr>
      <w:r w:rsidRPr="008C3CC9">
        <w:rPr>
          <w:rFonts w:eastAsia="Calibri" w:cstheme="minorHAnsi"/>
          <w:b/>
          <w:color w:val="45130F" w:themeColor="background2"/>
          <w:sz w:val="20"/>
          <w:szCs w:val="20"/>
          <w:lang w:val="fr-FR"/>
        </w:rPr>
        <w:t>L’Argentine</w:t>
      </w:r>
      <w:r w:rsidRPr="008C3CC9">
        <w:rPr>
          <w:rFonts w:eastAsia="Calibri" w:cstheme="minorHAnsi"/>
          <w:color w:val="45130F" w:themeColor="background2"/>
          <w:sz w:val="20"/>
          <w:szCs w:val="20"/>
          <w:lang w:val="fr-FR"/>
        </w:rPr>
        <w:t xml:space="preserve"> affiche une croissance de plus de 20</w:t>
      </w:r>
      <w:r w:rsidR="008C3CC9" w:rsidRPr="008C3CC9">
        <w:rPr>
          <w:rFonts w:eastAsia="Calibri" w:cstheme="minorHAnsi"/>
          <w:color w:val="45130F" w:themeColor="background2"/>
          <w:sz w:val="20"/>
          <w:szCs w:val="20"/>
          <w:lang w:val="fr-FR"/>
        </w:rPr>
        <w:t> % des volumes de</w:t>
      </w:r>
      <w:r w:rsidRPr="008C3CC9">
        <w:rPr>
          <w:rFonts w:eastAsia="Calibri" w:cstheme="minorHAnsi"/>
          <w:color w:val="45130F" w:themeColor="background2"/>
          <w:sz w:val="20"/>
          <w:szCs w:val="20"/>
          <w:lang w:val="fr-FR"/>
        </w:rPr>
        <w:t xml:space="preserve"> bières, avec des stratégies commerciales améliorées donnant de bons résultats pour nos portefeuilles core et premium et nous permettant de gagner des parts de marché sur le marché de la bière et de la consommation totale d’alcool.</w:t>
      </w:r>
      <w:r w:rsidR="007755DD" w:rsidRPr="00D13FBB">
        <w:rPr>
          <w:rFonts w:eastAsia="Calibri" w:cstheme="minorHAnsi"/>
          <w:color w:val="45130F" w:themeColor="background2"/>
          <w:sz w:val="20"/>
          <w:szCs w:val="20"/>
          <w:lang w:val="fr-FR"/>
        </w:rPr>
        <w:t xml:space="preserve"> </w:t>
      </w:r>
      <w:r w:rsidRPr="008C3CC9">
        <w:rPr>
          <w:rFonts w:eastAsia="Calibri" w:cstheme="minorHAnsi"/>
          <w:color w:val="45130F" w:themeColor="background2"/>
          <w:sz w:val="20"/>
          <w:szCs w:val="20"/>
          <w:lang w:val="fr-FR"/>
        </w:rPr>
        <w:t>Notre portefeuille de boissons non alcoolisées a également enregistré une croissance des volumes à un chiffre dans le haut de la fourchette.</w:t>
      </w:r>
    </w:p>
    <w:p w14:paraId="396B83C2" w14:textId="19402C69" w:rsidR="001C5BED" w:rsidRPr="00A86DC5" w:rsidRDefault="00C811C3" w:rsidP="008C3CC9">
      <w:pPr>
        <w:spacing w:after="0" w:line="240" w:lineRule="auto"/>
        <w:jc w:val="both"/>
        <w:rPr>
          <w:rFonts w:cstheme="minorHAnsi"/>
          <w:color w:val="45130F" w:themeColor="background2"/>
          <w:sz w:val="20"/>
          <w:szCs w:val="20"/>
          <w:lang w:val="fr-BE"/>
        </w:rPr>
      </w:pPr>
      <w:r w:rsidRPr="008C3CC9">
        <w:rPr>
          <w:rFonts w:eastAsia="Calibri" w:cstheme="minorHAnsi"/>
          <w:color w:val="45130F" w:themeColor="background2"/>
          <w:sz w:val="20"/>
          <w:szCs w:val="20"/>
          <w:lang w:val="fr-FR"/>
        </w:rPr>
        <w:t>Au sein d’</w:t>
      </w:r>
      <w:r w:rsidRPr="00D13FBB">
        <w:rPr>
          <w:rFonts w:eastAsia="Calibri" w:cstheme="minorHAnsi"/>
          <w:b/>
          <w:color w:val="45130F" w:themeColor="background2"/>
          <w:sz w:val="20"/>
          <w:szCs w:val="20"/>
          <w:lang w:val="fr-FR"/>
        </w:rPr>
        <w:t>EMEA</w:t>
      </w:r>
      <w:r w:rsidRPr="008C3CC9">
        <w:rPr>
          <w:rFonts w:eastAsia="Calibri" w:cstheme="minorHAnsi"/>
          <w:color w:val="45130F" w:themeColor="background2"/>
          <w:sz w:val="20"/>
          <w:szCs w:val="20"/>
          <w:lang w:val="fr-FR"/>
        </w:rPr>
        <w:t xml:space="preserve">, </w:t>
      </w:r>
      <w:r w:rsidRPr="008C3CC9">
        <w:rPr>
          <w:rFonts w:eastAsia="Calibri" w:cstheme="minorHAnsi"/>
          <w:b/>
          <w:color w:val="45130F" w:themeColor="background2"/>
          <w:sz w:val="20"/>
          <w:szCs w:val="20"/>
          <w:lang w:val="fr-FR"/>
        </w:rPr>
        <w:t>l'Europe de l'Ouest</w:t>
      </w:r>
      <w:r w:rsidRPr="008C3CC9">
        <w:rPr>
          <w:rFonts w:eastAsia="Calibri" w:cstheme="minorHAnsi"/>
          <w:color w:val="45130F" w:themeColor="background2"/>
          <w:sz w:val="20"/>
          <w:szCs w:val="20"/>
          <w:lang w:val="fr-FR"/>
        </w:rPr>
        <w:t xml:space="preserve"> a de nouveau </w:t>
      </w:r>
      <w:r w:rsidR="00F50860">
        <w:rPr>
          <w:rFonts w:eastAsia="Calibri" w:cstheme="minorHAnsi"/>
          <w:color w:val="45130F" w:themeColor="background2"/>
          <w:sz w:val="20"/>
          <w:szCs w:val="20"/>
          <w:lang w:val="fr-FR"/>
        </w:rPr>
        <w:t>enregistré</w:t>
      </w:r>
      <w:r w:rsidR="00F50860" w:rsidRPr="008C3CC9">
        <w:rPr>
          <w:rFonts w:eastAsia="Calibri" w:cstheme="minorHAnsi"/>
          <w:color w:val="45130F" w:themeColor="background2"/>
          <w:sz w:val="20"/>
          <w:szCs w:val="20"/>
          <w:lang w:val="fr-FR"/>
        </w:rPr>
        <w:t xml:space="preserve"> </w:t>
      </w:r>
      <w:r w:rsidRPr="008C3CC9">
        <w:rPr>
          <w:rFonts w:eastAsia="Calibri" w:cstheme="minorHAnsi"/>
          <w:color w:val="45130F" w:themeColor="background2"/>
          <w:sz w:val="20"/>
          <w:szCs w:val="20"/>
          <w:lang w:val="fr-FR"/>
        </w:rPr>
        <w:t>un excellent trimestre et une croissance à deux chiffres des produits, grâce à l'excellente performance de notre portefeuille premium, notamment de nos marques mondiales.</w:t>
      </w:r>
      <w:r w:rsidR="009046BB" w:rsidRPr="00A86DC5">
        <w:rPr>
          <w:rFonts w:cstheme="minorHAnsi"/>
          <w:color w:val="45130F" w:themeColor="background2"/>
          <w:sz w:val="20"/>
          <w:szCs w:val="20"/>
          <w:lang w:val="fr-BE"/>
        </w:rPr>
        <w:t xml:space="preserve"> </w:t>
      </w:r>
      <w:r w:rsidRPr="008C3CC9">
        <w:rPr>
          <w:rFonts w:cstheme="minorHAnsi"/>
          <w:color w:val="45130F" w:themeColor="background2"/>
          <w:sz w:val="20"/>
          <w:szCs w:val="20"/>
          <w:lang w:val="fr-FR"/>
        </w:rPr>
        <w:t>Le Royaume Uni a enregistré des résultats particulièrement bons avec une croissance à deux chiffres des produits liée à une bonne performance commerciale.</w:t>
      </w:r>
      <w:r w:rsidR="00764FB7" w:rsidRPr="00A86DC5">
        <w:rPr>
          <w:rFonts w:cstheme="minorHAnsi"/>
          <w:color w:val="45130F" w:themeColor="background2"/>
          <w:sz w:val="20"/>
          <w:szCs w:val="20"/>
          <w:lang w:val="fr-BE"/>
        </w:rPr>
        <w:t xml:space="preserve"> </w:t>
      </w:r>
      <w:r w:rsidRPr="008C3CC9">
        <w:rPr>
          <w:rFonts w:cstheme="minorHAnsi"/>
          <w:color w:val="45130F" w:themeColor="background2"/>
          <w:sz w:val="20"/>
          <w:szCs w:val="20"/>
          <w:lang w:val="fr-FR"/>
        </w:rPr>
        <w:t xml:space="preserve">En </w:t>
      </w:r>
      <w:r w:rsidRPr="008C3CC9">
        <w:rPr>
          <w:rFonts w:eastAsia="Times New Roman" w:cstheme="minorHAnsi"/>
          <w:b/>
          <w:color w:val="45130F" w:themeColor="background2"/>
          <w:sz w:val="20"/>
          <w:szCs w:val="20"/>
          <w:lang w:val="fr-FR"/>
        </w:rPr>
        <w:t>Europe de l’Est,</w:t>
      </w:r>
      <w:r w:rsidRPr="008C3CC9">
        <w:rPr>
          <w:rFonts w:cstheme="minorHAnsi"/>
          <w:color w:val="45130F" w:themeColor="background2"/>
          <w:sz w:val="20"/>
          <w:szCs w:val="20"/>
          <w:lang w:val="fr-FR"/>
        </w:rPr>
        <w:t xml:space="preserve"> </w:t>
      </w:r>
      <w:r w:rsidR="001302A2" w:rsidRPr="008C3CC9">
        <w:rPr>
          <w:rFonts w:cstheme="minorHAnsi"/>
          <w:color w:val="45130F" w:themeColor="background2"/>
          <w:sz w:val="20"/>
          <w:szCs w:val="20"/>
          <w:lang w:val="fr-FR"/>
        </w:rPr>
        <w:t xml:space="preserve">les </w:t>
      </w:r>
      <w:r w:rsidR="001302A2" w:rsidRPr="00144F32">
        <w:rPr>
          <w:rFonts w:cstheme="minorHAnsi"/>
          <w:color w:val="45130F" w:themeColor="background2"/>
          <w:sz w:val="20"/>
          <w:szCs w:val="20"/>
          <w:lang w:val="fr-FR"/>
        </w:rPr>
        <w:t>produits</w:t>
      </w:r>
      <w:r w:rsidRPr="00144F32">
        <w:rPr>
          <w:rFonts w:cstheme="minorHAnsi"/>
          <w:color w:val="45130F" w:themeColor="background2"/>
          <w:sz w:val="20"/>
          <w:szCs w:val="20"/>
          <w:lang w:val="fr-FR"/>
        </w:rPr>
        <w:t xml:space="preserve"> </w:t>
      </w:r>
      <w:r w:rsidR="001302A2" w:rsidRPr="00D13FBB">
        <w:rPr>
          <w:rFonts w:asciiTheme="majorHAnsi" w:hAnsiTheme="majorHAnsi" w:cstheme="majorHAnsi"/>
          <w:color w:val="45130F" w:themeColor="background2"/>
          <w:sz w:val="20"/>
          <w:szCs w:val="20"/>
          <w:lang w:val="fr-FR"/>
        </w:rPr>
        <w:t>ont diminué d’un chiffre dans le bas de la fourchette et les volumes ont baissé d’un chiffre dans le haut de la fourchette</w:t>
      </w:r>
      <w:r w:rsidRPr="00D13FBB">
        <w:rPr>
          <w:rFonts w:asciiTheme="majorHAnsi" w:hAnsiTheme="majorHAnsi" w:cstheme="majorHAnsi"/>
          <w:color w:val="45130F" w:themeColor="background2"/>
          <w:sz w:val="20"/>
          <w:szCs w:val="20"/>
          <w:lang w:val="fr-FR"/>
        </w:rPr>
        <w:t>.</w:t>
      </w:r>
      <w:r w:rsidR="00966269" w:rsidRPr="00144F32">
        <w:rPr>
          <w:rFonts w:cstheme="minorHAnsi"/>
          <w:color w:val="45130F" w:themeColor="background2"/>
          <w:sz w:val="20"/>
          <w:szCs w:val="20"/>
          <w:lang w:val="fr-BE"/>
        </w:rPr>
        <w:t xml:space="preserve"> </w:t>
      </w:r>
      <w:r w:rsidR="001302A2" w:rsidRPr="00144F32">
        <w:rPr>
          <w:rFonts w:cstheme="minorHAnsi"/>
          <w:color w:val="45130F" w:themeColor="background2"/>
          <w:sz w:val="20"/>
          <w:szCs w:val="20"/>
          <w:lang w:val="fr-FR"/>
        </w:rPr>
        <w:t xml:space="preserve">Malgré </w:t>
      </w:r>
      <w:r w:rsidR="001302A2" w:rsidRPr="008C3CC9">
        <w:rPr>
          <w:rFonts w:cstheme="minorHAnsi"/>
          <w:color w:val="45130F" w:themeColor="background2"/>
          <w:sz w:val="20"/>
          <w:szCs w:val="20"/>
          <w:lang w:val="fr-FR"/>
        </w:rPr>
        <w:t xml:space="preserve">le contexte macroéconomique qui reste difficile en Russie et en Ukraine et l’interdiction généralisée du </w:t>
      </w:r>
      <w:r w:rsidR="000C1720">
        <w:rPr>
          <w:rFonts w:cstheme="minorHAnsi"/>
          <w:color w:val="45130F" w:themeColor="background2"/>
          <w:sz w:val="20"/>
          <w:szCs w:val="20"/>
          <w:lang w:val="fr-FR"/>
        </w:rPr>
        <w:t xml:space="preserve">large </w:t>
      </w:r>
      <w:r w:rsidR="001302A2" w:rsidRPr="008C3CC9">
        <w:rPr>
          <w:rFonts w:cstheme="minorHAnsi"/>
          <w:color w:val="45130F" w:themeColor="background2"/>
          <w:sz w:val="20"/>
          <w:szCs w:val="20"/>
          <w:lang w:val="fr-FR"/>
        </w:rPr>
        <w:t xml:space="preserve">PET en Russie, notre portefeuille premium a bien </w:t>
      </w:r>
      <w:r w:rsidR="008C3CC9" w:rsidRPr="008C3CC9">
        <w:rPr>
          <w:rFonts w:cstheme="minorHAnsi"/>
          <w:color w:val="45130F" w:themeColor="background2"/>
          <w:sz w:val="20"/>
          <w:szCs w:val="20"/>
          <w:lang w:val="fr-FR"/>
        </w:rPr>
        <w:t>progress</w:t>
      </w:r>
      <w:r w:rsidR="001302A2" w:rsidRPr="008C3CC9">
        <w:rPr>
          <w:rFonts w:cstheme="minorHAnsi"/>
          <w:color w:val="45130F" w:themeColor="background2"/>
          <w:sz w:val="20"/>
          <w:szCs w:val="20"/>
          <w:lang w:val="fr-FR"/>
        </w:rPr>
        <w:t>é sur ces marchés.</w:t>
      </w:r>
      <w:r w:rsidR="00A336B8" w:rsidRPr="00A86DC5">
        <w:rPr>
          <w:rFonts w:cstheme="minorHAnsi"/>
          <w:color w:val="45130F" w:themeColor="background2"/>
          <w:sz w:val="20"/>
          <w:szCs w:val="20"/>
          <w:lang w:val="fr-BE"/>
        </w:rPr>
        <w:t xml:space="preserve"> </w:t>
      </w:r>
      <w:r w:rsidR="001302A2" w:rsidRPr="008C3CC9">
        <w:rPr>
          <w:rFonts w:cstheme="minorHAnsi"/>
          <w:color w:val="45130F" w:themeColor="background2"/>
          <w:sz w:val="20"/>
          <w:szCs w:val="20"/>
          <w:lang w:val="fr-FR"/>
        </w:rPr>
        <w:t xml:space="preserve">En </w:t>
      </w:r>
      <w:r w:rsidR="001302A2" w:rsidRPr="008C3CC9">
        <w:rPr>
          <w:rFonts w:cstheme="minorHAnsi"/>
          <w:b/>
          <w:color w:val="45130F" w:themeColor="background2"/>
          <w:sz w:val="20"/>
          <w:szCs w:val="20"/>
          <w:lang w:val="fr-FR"/>
        </w:rPr>
        <w:t>Afrique</w:t>
      </w:r>
      <w:r w:rsidR="001302A2" w:rsidRPr="008C3CC9">
        <w:rPr>
          <w:rFonts w:cstheme="minorHAnsi"/>
          <w:color w:val="45130F" w:themeColor="background2"/>
          <w:sz w:val="20"/>
          <w:szCs w:val="20"/>
          <w:lang w:val="fr-FR"/>
        </w:rPr>
        <w:t xml:space="preserve"> </w:t>
      </w:r>
      <w:r w:rsidR="0058746F">
        <w:rPr>
          <w:rFonts w:cstheme="minorHAnsi"/>
          <w:color w:val="45130F" w:themeColor="background2"/>
          <w:sz w:val="20"/>
          <w:szCs w:val="20"/>
          <w:lang w:val="fr-FR"/>
        </w:rPr>
        <w:t xml:space="preserve">hors </w:t>
      </w:r>
      <w:r w:rsidR="001302A2" w:rsidRPr="008C3CC9">
        <w:rPr>
          <w:rFonts w:cstheme="minorHAnsi"/>
          <w:color w:val="45130F" w:themeColor="background2"/>
          <w:sz w:val="20"/>
          <w:szCs w:val="20"/>
          <w:lang w:val="fr-FR"/>
        </w:rPr>
        <w:t>Afrique du Sud, les volumes de bière ont augmenté de plus de 20</w:t>
      </w:r>
      <w:r w:rsidR="008C3CC9" w:rsidRPr="008C3CC9">
        <w:rPr>
          <w:rFonts w:eastAsia="Calibri" w:cstheme="minorHAnsi"/>
          <w:color w:val="45130F" w:themeColor="background2"/>
          <w:sz w:val="20"/>
          <w:szCs w:val="20"/>
          <w:lang w:val="fr-FR"/>
        </w:rPr>
        <w:t> %,</w:t>
      </w:r>
      <w:r w:rsidR="001302A2" w:rsidRPr="008C3CC9">
        <w:rPr>
          <w:rFonts w:cstheme="minorHAnsi"/>
          <w:color w:val="45130F" w:themeColor="background2"/>
          <w:sz w:val="20"/>
          <w:szCs w:val="20"/>
          <w:lang w:val="fr-FR"/>
        </w:rPr>
        <w:t xml:space="preserve"> profitant de la forte croissance au </w:t>
      </w:r>
      <w:r w:rsidR="001302A2" w:rsidRPr="008C3CC9">
        <w:rPr>
          <w:rFonts w:cstheme="minorHAnsi"/>
          <w:b/>
          <w:color w:val="45130F" w:themeColor="background2"/>
          <w:sz w:val="20"/>
          <w:szCs w:val="20"/>
          <w:lang w:val="fr-FR"/>
        </w:rPr>
        <w:t>Nigéria</w:t>
      </w:r>
      <w:r w:rsidR="001302A2" w:rsidRPr="008C3CC9">
        <w:rPr>
          <w:rFonts w:cstheme="minorHAnsi"/>
          <w:color w:val="45130F" w:themeColor="background2"/>
          <w:sz w:val="20"/>
          <w:szCs w:val="20"/>
          <w:lang w:val="fr-FR"/>
        </w:rPr>
        <w:t xml:space="preserve">, en </w:t>
      </w:r>
      <w:r w:rsidR="001302A2" w:rsidRPr="008C3CC9">
        <w:rPr>
          <w:rFonts w:cstheme="minorHAnsi"/>
          <w:b/>
          <w:color w:val="45130F" w:themeColor="background2"/>
          <w:sz w:val="20"/>
          <w:szCs w:val="20"/>
          <w:lang w:val="fr-FR"/>
        </w:rPr>
        <w:t>Tanzanie</w:t>
      </w:r>
      <w:r w:rsidR="001302A2" w:rsidRPr="008C3CC9">
        <w:rPr>
          <w:rFonts w:cstheme="minorHAnsi"/>
          <w:color w:val="45130F" w:themeColor="background2"/>
          <w:sz w:val="20"/>
          <w:szCs w:val="20"/>
          <w:lang w:val="fr-FR"/>
        </w:rPr>
        <w:t xml:space="preserve"> et en </w:t>
      </w:r>
      <w:r w:rsidR="001302A2" w:rsidRPr="008C3CC9">
        <w:rPr>
          <w:rFonts w:cstheme="minorHAnsi"/>
          <w:b/>
          <w:color w:val="45130F" w:themeColor="background2"/>
          <w:sz w:val="20"/>
          <w:szCs w:val="20"/>
          <w:lang w:val="fr-FR"/>
        </w:rPr>
        <w:t>Ouganda</w:t>
      </w:r>
      <w:r w:rsidR="001302A2" w:rsidRPr="008C3CC9">
        <w:rPr>
          <w:rFonts w:cstheme="minorHAnsi"/>
          <w:color w:val="45130F" w:themeColor="background2"/>
          <w:sz w:val="20"/>
          <w:szCs w:val="20"/>
          <w:lang w:val="fr-FR"/>
        </w:rPr>
        <w:t>.</w:t>
      </w:r>
      <w:r w:rsidR="00D27683" w:rsidRPr="00A86DC5">
        <w:rPr>
          <w:rFonts w:cstheme="minorHAnsi"/>
          <w:color w:val="45130F" w:themeColor="background2"/>
          <w:sz w:val="20"/>
          <w:szCs w:val="20"/>
          <w:lang w:val="fr-BE"/>
        </w:rPr>
        <w:t xml:space="preserve"> </w:t>
      </w:r>
      <w:r w:rsidR="001302A2" w:rsidRPr="008C3CC9">
        <w:rPr>
          <w:rFonts w:cstheme="minorHAnsi"/>
          <w:color w:val="45130F" w:themeColor="background2"/>
          <w:sz w:val="20"/>
          <w:szCs w:val="20"/>
          <w:lang w:val="fr-FR"/>
        </w:rPr>
        <w:t xml:space="preserve">Nous avons également vu les volumes de bière en </w:t>
      </w:r>
      <w:r w:rsidR="001302A2" w:rsidRPr="008C3CC9">
        <w:rPr>
          <w:rFonts w:cstheme="minorHAnsi"/>
          <w:b/>
          <w:color w:val="45130F" w:themeColor="background2"/>
          <w:sz w:val="20"/>
          <w:szCs w:val="20"/>
          <w:lang w:val="fr-FR"/>
        </w:rPr>
        <w:t>Zambie</w:t>
      </w:r>
      <w:r w:rsidR="001302A2" w:rsidRPr="008C3CC9">
        <w:rPr>
          <w:rFonts w:cstheme="minorHAnsi"/>
          <w:color w:val="45130F" w:themeColor="background2"/>
          <w:sz w:val="20"/>
          <w:szCs w:val="20"/>
          <w:lang w:val="fr-FR"/>
        </w:rPr>
        <w:t xml:space="preserve"> augmenter d’un chiffre dans le haut de la fourchette et progresser légèrement au </w:t>
      </w:r>
      <w:r w:rsidR="001302A2" w:rsidRPr="008C3CC9">
        <w:rPr>
          <w:rFonts w:cstheme="minorHAnsi"/>
          <w:b/>
          <w:color w:val="45130F" w:themeColor="background2"/>
          <w:sz w:val="20"/>
          <w:szCs w:val="20"/>
          <w:lang w:val="fr-FR"/>
        </w:rPr>
        <w:t>Mozambique</w:t>
      </w:r>
      <w:r w:rsidR="001302A2" w:rsidRPr="008C3CC9">
        <w:rPr>
          <w:rFonts w:cstheme="minorHAnsi"/>
          <w:color w:val="45130F" w:themeColor="background2"/>
          <w:sz w:val="20"/>
          <w:szCs w:val="20"/>
          <w:lang w:val="fr-FR"/>
        </w:rPr>
        <w:t>.</w:t>
      </w:r>
    </w:p>
    <w:p w14:paraId="7AACE89B" w14:textId="77777777" w:rsidR="003565F8" w:rsidRPr="00A86DC5" w:rsidRDefault="003565F8" w:rsidP="00AB5337">
      <w:pPr>
        <w:spacing w:after="0" w:line="240" w:lineRule="auto"/>
        <w:jc w:val="both"/>
        <w:rPr>
          <w:rFonts w:cstheme="minorHAnsi"/>
          <w:b/>
          <w:color w:val="45130F" w:themeColor="background2"/>
          <w:sz w:val="20"/>
          <w:szCs w:val="20"/>
          <w:lang w:val="fr-BE"/>
        </w:rPr>
      </w:pPr>
    </w:p>
    <w:p w14:paraId="0E0BE267" w14:textId="302BE012" w:rsidR="00BE006E" w:rsidRDefault="001302A2" w:rsidP="00722D42">
      <w:pPr>
        <w:spacing w:after="0" w:line="240" w:lineRule="auto"/>
        <w:jc w:val="both"/>
        <w:rPr>
          <w:rFonts w:cstheme="minorHAnsi"/>
          <w:color w:val="45130F" w:themeColor="background2"/>
          <w:sz w:val="20"/>
          <w:szCs w:val="20"/>
          <w:lang w:val="fr-BE"/>
        </w:rPr>
      </w:pPr>
      <w:r w:rsidRPr="008C3CC9">
        <w:rPr>
          <w:rFonts w:cstheme="minorHAnsi"/>
          <w:color w:val="45130F" w:themeColor="background2"/>
          <w:sz w:val="20"/>
          <w:szCs w:val="20"/>
          <w:lang w:val="fr-FR"/>
        </w:rPr>
        <w:t>L’</w:t>
      </w:r>
      <w:r w:rsidRPr="008C3CC9">
        <w:rPr>
          <w:rFonts w:cstheme="minorHAnsi"/>
          <w:b/>
          <w:color w:val="45130F" w:themeColor="background2"/>
          <w:sz w:val="20"/>
          <w:szCs w:val="20"/>
          <w:lang w:val="fr-FR"/>
        </w:rPr>
        <w:t xml:space="preserve">Australie </w:t>
      </w:r>
      <w:r w:rsidRPr="008C3CC9">
        <w:rPr>
          <w:rFonts w:cstheme="minorHAnsi"/>
          <w:color w:val="45130F" w:themeColor="background2"/>
          <w:sz w:val="20"/>
          <w:szCs w:val="20"/>
          <w:lang w:val="fr-FR"/>
        </w:rPr>
        <w:t>a de nouveau réalisé un excellent trimestre, avec une croissance</w:t>
      </w:r>
      <w:r w:rsidR="008C3CC9" w:rsidRPr="008C3CC9">
        <w:rPr>
          <w:rFonts w:cstheme="minorHAnsi"/>
          <w:color w:val="45130F" w:themeColor="background2"/>
          <w:sz w:val="20"/>
          <w:szCs w:val="20"/>
          <w:lang w:val="fr-FR"/>
        </w:rPr>
        <w:t xml:space="preserve"> des produits</w:t>
      </w:r>
      <w:r w:rsidRPr="008C3CC9">
        <w:rPr>
          <w:rFonts w:cstheme="minorHAnsi"/>
          <w:color w:val="45130F" w:themeColor="background2"/>
          <w:sz w:val="20"/>
          <w:szCs w:val="20"/>
          <w:lang w:val="fr-FR"/>
        </w:rPr>
        <w:t xml:space="preserve"> à un chiffre dans le haut de la fourchette et une hausse des volumes </w:t>
      </w:r>
      <w:r w:rsidR="0058746F">
        <w:rPr>
          <w:rFonts w:cstheme="minorHAnsi"/>
          <w:color w:val="45130F" w:themeColor="background2"/>
          <w:sz w:val="20"/>
          <w:szCs w:val="20"/>
          <w:lang w:val="fr-FR"/>
        </w:rPr>
        <w:t>d’</w:t>
      </w:r>
      <w:r w:rsidRPr="008C3CC9">
        <w:rPr>
          <w:rFonts w:cstheme="minorHAnsi"/>
          <w:color w:val="45130F" w:themeColor="background2"/>
          <w:sz w:val="20"/>
          <w:szCs w:val="20"/>
          <w:lang w:val="fr-FR"/>
        </w:rPr>
        <w:t>un chiffre dans la moyenne de la fourchette.</w:t>
      </w:r>
      <w:r w:rsidR="00AD47C6" w:rsidRPr="00A86DC5">
        <w:rPr>
          <w:rFonts w:cstheme="minorHAnsi"/>
          <w:color w:val="45130F" w:themeColor="background2"/>
          <w:sz w:val="20"/>
          <w:szCs w:val="20"/>
          <w:lang w:val="fr-BE"/>
        </w:rPr>
        <w:t xml:space="preserve"> </w:t>
      </w:r>
      <w:r w:rsidRPr="008C3CC9">
        <w:rPr>
          <w:rFonts w:cstheme="minorHAnsi"/>
          <w:color w:val="45130F" w:themeColor="background2"/>
          <w:sz w:val="20"/>
          <w:szCs w:val="20"/>
          <w:lang w:val="fr-FR"/>
        </w:rPr>
        <w:t xml:space="preserve">La forte progression des produits, et les gains de part de marché qui en découlent, ont été possibles grâce au succès </w:t>
      </w:r>
      <w:r w:rsidR="00F35E11">
        <w:rPr>
          <w:rFonts w:cstheme="minorHAnsi"/>
          <w:color w:val="45130F" w:themeColor="background2"/>
          <w:sz w:val="20"/>
          <w:szCs w:val="20"/>
          <w:lang w:val="fr-FR"/>
        </w:rPr>
        <w:t>continu</w:t>
      </w:r>
      <w:r w:rsidR="00F35E11" w:rsidRPr="008C3CC9">
        <w:rPr>
          <w:rFonts w:cstheme="minorHAnsi"/>
          <w:color w:val="45130F" w:themeColor="background2"/>
          <w:sz w:val="20"/>
          <w:szCs w:val="20"/>
          <w:lang w:val="fr-FR"/>
        </w:rPr>
        <w:t xml:space="preserve"> </w:t>
      </w:r>
      <w:r w:rsidRPr="008C3CC9">
        <w:rPr>
          <w:rFonts w:cstheme="minorHAnsi"/>
          <w:color w:val="45130F" w:themeColor="background2"/>
          <w:sz w:val="20"/>
          <w:szCs w:val="20"/>
          <w:lang w:val="fr-FR"/>
        </w:rPr>
        <w:t>du portefeuille Great Northern, la bière connaissant la croissance la plus rapide d’Australie, ainsi qu’à l'expansion accélérée du portefeuille de marques mondiales.</w:t>
      </w:r>
      <w:r w:rsidR="004343C4" w:rsidRPr="00A86DC5">
        <w:rPr>
          <w:rFonts w:cstheme="minorHAnsi"/>
          <w:color w:val="45130F" w:themeColor="background2"/>
          <w:sz w:val="20"/>
          <w:szCs w:val="20"/>
          <w:lang w:val="fr-BE"/>
        </w:rPr>
        <w:t xml:space="preserve"> </w:t>
      </w:r>
      <w:r w:rsidRPr="008C3CC9">
        <w:rPr>
          <w:rFonts w:cstheme="minorHAnsi"/>
          <w:color w:val="45130F" w:themeColor="background2"/>
          <w:sz w:val="20"/>
          <w:szCs w:val="20"/>
          <w:lang w:val="fr-FR"/>
        </w:rPr>
        <w:t xml:space="preserve">En outre, </w:t>
      </w:r>
      <w:r w:rsidR="007910C8">
        <w:rPr>
          <w:rFonts w:cstheme="minorHAnsi"/>
          <w:color w:val="45130F" w:themeColor="background2"/>
          <w:sz w:val="20"/>
          <w:szCs w:val="20"/>
          <w:lang w:val="fr-FR"/>
        </w:rPr>
        <w:t>la réalisation</w:t>
      </w:r>
      <w:r w:rsidR="007910C8" w:rsidRPr="008C3CC9">
        <w:rPr>
          <w:rFonts w:cstheme="minorHAnsi"/>
          <w:color w:val="45130F" w:themeColor="background2"/>
          <w:sz w:val="20"/>
          <w:szCs w:val="20"/>
          <w:lang w:val="fr-FR"/>
        </w:rPr>
        <w:t xml:space="preserve"> </w:t>
      </w:r>
      <w:r w:rsidRPr="008C3CC9">
        <w:rPr>
          <w:rFonts w:cstheme="minorHAnsi"/>
          <w:color w:val="45130F" w:themeColor="background2"/>
          <w:sz w:val="20"/>
          <w:szCs w:val="20"/>
          <w:lang w:val="fr-FR"/>
        </w:rPr>
        <w:lastRenderedPageBreak/>
        <w:t xml:space="preserve">des synergies a permis une croissance à deux chiffres de l’EBITDA et un accroissement </w:t>
      </w:r>
      <w:r w:rsidR="007910C8">
        <w:rPr>
          <w:rFonts w:cstheme="minorHAnsi"/>
          <w:color w:val="45130F" w:themeColor="background2"/>
          <w:sz w:val="20"/>
          <w:szCs w:val="20"/>
          <w:lang w:val="fr-FR"/>
        </w:rPr>
        <w:t>conséquent</w:t>
      </w:r>
      <w:r w:rsidR="007910C8" w:rsidRPr="008C3CC9">
        <w:rPr>
          <w:rFonts w:cstheme="minorHAnsi"/>
          <w:color w:val="45130F" w:themeColor="background2"/>
          <w:sz w:val="20"/>
          <w:szCs w:val="20"/>
          <w:lang w:val="fr-FR"/>
        </w:rPr>
        <w:t xml:space="preserve"> </w:t>
      </w:r>
      <w:r w:rsidRPr="008C3CC9">
        <w:rPr>
          <w:rFonts w:cstheme="minorHAnsi"/>
          <w:color w:val="45130F" w:themeColor="background2"/>
          <w:sz w:val="20"/>
          <w:szCs w:val="20"/>
          <w:lang w:val="fr-FR"/>
        </w:rPr>
        <w:t>de la marge.</w:t>
      </w:r>
    </w:p>
    <w:p w14:paraId="047DBD49" w14:textId="77777777" w:rsidR="00C146D5" w:rsidRPr="00A86DC5" w:rsidRDefault="00C146D5" w:rsidP="00722D42">
      <w:pPr>
        <w:spacing w:after="0" w:line="240" w:lineRule="auto"/>
        <w:jc w:val="both"/>
        <w:rPr>
          <w:rFonts w:cstheme="minorHAnsi"/>
          <w:color w:val="45130F" w:themeColor="background2"/>
          <w:sz w:val="20"/>
          <w:szCs w:val="20"/>
          <w:lang w:val="fr-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580B" w:themeFill="accent2"/>
        <w:tblLayout w:type="fixed"/>
        <w:tblLook w:val="04A0" w:firstRow="1" w:lastRow="0" w:firstColumn="1" w:lastColumn="0" w:noHBand="0" w:noVBand="1"/>
      </w:tblPr>
      <w:tblGrid>
        <w:gridCol w:w="9746"/>
      </w:tblGrid>
      <w:tr w:rsidR="00AB5337" w:rsidRPr="006916D2" w14:paraId="7FEE17BE" w14:textId="77777777" w:rsidTr="001302A2">
        <w:tc>
          <w:tcPr>
            <w:tcW w:w="9746" w:type="dxa"/>
            <w:shd w:val="clear" w:color="auto" w:fill="DB580B" w:themeFill="accent2"/>
          </w:tcPr>
          <w:p w14:paraId="14E06778" w14:textId="39E5BD57" w:rsidR="00AB5337" w:rsidRPr="008C3CC9" w:rsidRDefault="001302A2" w:rsidP="00851C9B">
            <w:pPr>
              <w:rPr>
                <w:rFonts w:eastAsia="Times New Roman" w:cstheme="minorHAnsi"/>
                <w:b/>
                <w:color w:val="FFFFFF" w:themeColor="background1"/>
                <w:szCs w:val="18"/>
              </w:rPr>
            </w:pPr>
            <w:r w:rsidRPr="008C3CC9">
              <w:rPr>
                <w:rFonts w:eastAsia="Times New Roman" w:cstheme="minorHAnsi"/>
                <w:b/>
                <w:color w:val="FFFFFF" w:themeColor="background1"/>
                <w:szCs w:val="18"/>
                <w:lang w:val="fr-FR"/>
              </w:rPr>
              <w:t>COMPTE DE RESULTATS CONSOLIDE</w:t>
            </w:r>
          </w:p>
        </w:tc>
      </w:tr>
    </w:tbl>
    <w:p w14:paraId="1E9A4B40" w14:textId="69054C7A" w:rsidR="003A791B" w:rsidRDefault="003A791B" w:rsidP="00AB5337">
      <w:pPr>
        <w:spacing w:after="0" w:line="240" w:lineRule="auto"/>
        <w:jc w:val="both"/>
        <w:rPr>
          <w:rFonts w:ascii="Verdana" w:hAnsi="Verdana"/>
          <w:b/>
          <w:bCs/>
          <w:sz w:val="18"/>
          <w:szCs w:val="18"/>
          <w:u w:val="single"/>
        </w:rPr>
      </w:pPr>
    </w:p>
    <w:p w14:paraId="6736D001" w14:textId="3CD67ACD" w:rsidR="00BE12D7" w:rsidRPr="006916D2" w:rsidRDefault="00A86DC5" w:rsidP="00AB5337">
      <w:pPr>
        <w:spacing w:after="0" w:line="240" w:lineRule="auto"/>
        <w:jc w:val="both"/>
        <w:rPr>
          <w:rFonts w:ascii="Verdana" w:hAnsi="Verdana"/>
          <w:b/>
          <w:bCs/>
          <w:sz w:val="18"/>
          <w:szCs w:val="18"/>
          <w:u w:val="single"/>
        </w:rPr>
      </w:pPr>
      <w:r w:rsidRPr="00A86DC5">
        <w:rPr>
          <w:noProof/>
        </w:rPr>
        <w:drawing>
          <wp:inline distT="0" distB="0" distL="0" distR="0" wp14:anchorId="04B3A714" wp14:editId="1358926B">
            <wp:extent cx="5943600" cy="2532985"/>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532985"/>
                    </a:xfrm>
                    <a:prstGeom prst="rect">
                      <a:avLst/>
                    </a:prstGeom>
                    <a:noFill/>
                    <a:ln>
                      <a:noFill/>
                    </a:ln>
                  </pic:spPr>
                </pic:pic>
              </a:graphicData>
            </a:graphic>
          </wp:inline>
        </w:drawing>
      </w:r>
    </w:p>
    <w:p w14:paraId="7A440AB6" w14:textId="10015118" w:rsidR="001A28C7" w:rsidRDefault="001A28C7" w:rsidP="00AB5337">
      <w:pPr>
        <w:spacing w:after="0" w:line="240" w:lineRule="auto"/>
        <w:jc w:val="both"/>
        <w:rPr>
          <w:rFonts w:ascii="Verdana" w:hAnsi="Verdana"/>
          <w:b/>
          <w:bCs/>
          <w:sz w:val="18"/>
          <w:szCs w:val="18"/>
          <w:u w:val="single"/>
        </w:rPr>
      </w:pPr>
    </w:p>
    <w:p w14:paraId="73027773" w14:textId="7B9C48FA" w:rsidR="000D2D3D" w:rsidRDefault="000D2D3D" w:rsidP="00AB5337">
      <w:pPr>
        <w:spacing w:after="0" w:line="240" w:lineRule="auto"/>
        <w:jc w:val="both"/>
        <w:rPr>
          <w:rFonts w:ascii="Verdana" w:hAnsi="Verdana"/>
          <w:b/>
          <w:bCs/>
          <w:sz w:val="18"/>
          <w:szCs w:val="18"/>
          <w:u w:val="single"/>
        </w:rPr>
      </w:pPr>
      <w:r w:rsidRPr="000D2D3D">
        <w:rPr>
          <w:noProof/>
        </w:rPr>
        <w:drawing>
          <wp:inline distT="0" distB="0" distL="0" distR="0" wp14:anchorId="184E7711" wp14:editId="4CB627A6">
            <wp:extent cx="5943600" cy="2417153"/>
            <wp:effectExtent l="0" t="0" r="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417153"/>
                    </a:xfrm>
                    <a:prstGeom prst="rect">
                      <a:avLst/>
                    </a:prstGeom>
                    <a:noFill/>
                    <a:ln>
                      <a:noFill/>
                    </a:ln>
                  </pic:spPr>
                </pic:pic>
              </a:graphicData>
            </a:graphic>
          </wp:inline>
        </w:drawing>
      </w:r>
    </w:p>
    <w:p w14:paraId="1B95E76B" w14:textId="4948F1A1" w:rsidR="001B6403" w:rsidRDefault="001B6403" w:rsidP="00AB5337">
      <w:pPr>
        <w:spacing w:after="0" w:line="240" w:lineRule="auto"/>
        <w:jc w:val="both"/>
        <w:rPr>
          <w:rFonts w:cstheme="minorHAnsi"/>
          <w:b/>
          <w:bCs/>
          <w:color w:val="45130F" w:themeColor="background2"/>
          <w:sz w:val="20"/>
          <w:szCs w:val="20"/>
          <w:u w:val="single"/>
        </w:rPr>
      </w:pPr>
    </w:p>
    <w:p w14:paraId="75A7E869" w14:textId="5DA67FAA" w:rsidR="00AB5337" w:rsidRPr="00A86DC5" w:rsidRDefault="001302A2" w:rsidP="008C3CC9">
      <w:pPr>
        <w:spacing w:after="0" w:line="240" w:lineRule="auto"/>
        <w:jc w:val="both"/>
        <w:rPr>
          <w:rFonts w:cstheme="minorHAnsi"/>
          <w:color w:val="45130F" w:themeColor="background2"/>
          <w:sz w:val="20"/>
          <w:szCs w:val="20"/>
          <w:u w:val="single"/>
          <w:lang w:val="fr-BE"/>
        </w:rPr>
      </w:pPr>
      <w:r w:rsidRPr="008C3CC9">
        <w:rPr>
          <w:rFonts w:cstheme="minorHAnsi"/>
          <w:b/>
          <w:bCs/>
          <w:color w:val="45130F" w:themeColor="background2"/>
          <w:sz w:val="20"/>
          <w:szCs w:val="20"/>
          <w:u w:val="single"/>
          <w:lang w:val="fr-FR"/>
        </w:rPr>
        <w:t>Produits</w:t>
      </w:r>
    </w:p>
    <w:p w14:paraId="458BF2F7" w14:textId="1C883C36" w:rsidR="00AB5337" w:rsidRPr="00A86DC5" w:rsidRDefault="001302A2" w:rsidP="008C3CC9">
      <w:pPr>
        <w:spacing w:after="0" w:line="240" w:lineRule="auto"/>
        <w:jc w:val="both"/>
        <w:rPr>
          <w:rFonts w:cstheme="minorHAnsi"/>
          <w:color w:val="45130F" w:themeColor="background2"/>
          <w:sz w:val="20"/>
          <w:szCs w:val="20"/>
          <w:lang w:val="fr-BE"/>
        </w:rPr>
      </w:pPr>
      <w:r w:rsidRPr="008C3CC9">
        <w:rPr>
          <w:rFonts w:cstheme="minorHAnsi"/>
          <w:color w:val="45130F" w:themeColor="background2"/>
          <w:sz w:val="20"/>
          <w:szCs w:val="20"/>
          <w:lang w:val="fr-FR"/>
        </w:rPr>
        <w:t>Les produits</w:t>
      </w:r>
      <w:r w:rsidR="008C3CC9" w:rsidRPr="008C3CC9">
        <w:rPr>
          <w:rFonts w:cstheme="minorHAnsi"/>
          <w:color w:val="45130F" w:themeColor="background2"/>
          <w:sz w:val="20"/>
          <w:szCs w:val="20"/>
          <w:lang w:val="fr-FR"/>
        </w:rPr>
        <w:t xml:space="preserve"> consolidés ont augmenté de 5,0 </w:t>
      </w:r>
      <w:r w:rsidRPr="008C3CC9">
        <w:rPr>
          <w:rFonts w:cstheme="minorHAnsi"/>
          <w:color w:val="45130F" w:themeColor="background2"/>
          <w:sz w:val="20"/>
          <w:szCs w:val="20"/>
          <w:lang w:val="fr-FR"/>
        </w:rPr>
        <w:t>% au 2T17, avec une croissance des produits par hl de 3,2 %, grâce à nos initiatives de gestion des revenus et de premiumisation.</w:t>
      </w:r>
      <w:r w:rsidR="00AB5337" w:rsidRPr="00A86DC5">
        <w:rPr>
          <w:rFonts w:cstheme="minorHAnsi"/>
          <w:color w:val="45130F" w:themeColor="background2"/>
          <w:sz w:val="20"/>
          <w:szCs w:val="20"/>
          <w:lang w:val="fr-BE"/>
        </w:rPr>
        <w:t xml:space="preserve"> </w:t>
      </w:r>
      <w:r w:rsidRPr="008C3CC9">
        <w:rPr>
          <w:rFonts w:cstheme="minorHAnsi"/>
          <w:color w:val="45130F" w:themeColor="background2"/>
          <w:sz w:val="20"/>
          <w:szCs w:val="20"/>
          <w:lang w:val="fr-FR"/>
        </w:rPr>
        <w:t>Les produits par hl ont augmenté de 3,6</w:t>
      </w:r>
      <w:r w:rsidR="008C3CC9" w:rsidRPr="008C3CC9">
        <w:rPr>
          <w:rFonts w:eastAsia="Calibri" w:cstheme="minorHAnsi"/>
          <w:color w:val="45130F" w:themeColor="background2"/>
          <w:sz w:val="20"/>
          <w:szCs w:val="20"/>
          <w:lang w:val="fr-FR"/>
        </w:rPr>
        <w:t> </w:t>
      </w:r>
      <w:r w:rsidRPr="008C3CC9">
        <w:rPr>
          <w:rFonts w:cstheme="minorHAnsi"/>
          <w:color w:val="45130F" w:themeColor="background2"/>
          <w:sz w:val="20"/>
          <w:szCs w:val="20"/>
          <w:lang w:val="fr-FR"/>
        </w:rPr>
        <w:t>% sur une base géographique constante.</w:t>
      </w:r>
      <w:r w:rsidR="00AB5337" w:rsidRPr="00A86DC5">
        <w:rPr>
          <w:rFonts w:cstheme="minorHAnsi"/>
          <w:color w:val="45130F" w:themeColor="background2"/>
          <w:sz w:val="20"/>
          <w:szCs w:val="20"/>
          <w:lang w:val="fr-BE"/>
        </w:rPr>
        <w:t xml:space="preserve"> </w:t>
      </w:r>
      <w:r w:rsidRPr="008C3CC9">
        <w:rPr>
          <w:rFonts w:cstheme="minorHAnsi"/>
          <w:color w:val="45130F" w:themeColor="background2"/>
          <w:sz w:val="20"/>
          <w:szCs w:val="20"/>
          <w:lang w:val="fr-FR"/>
        </w:rPr>
        <w:t>Au 1S17, les produits ont enregistré une hausse de 4,4 %, avec une croissance des produits par hl de 4,2 % et de 4,1 % sur une base géographique constante.</w:t>
      </w:r>
    </w:p>
    <w:p w14:paraId="24F4BA16" w14:textId="77777777" w:rsidR="00AB5337" w:rsidRPr="00A86DC5" w:rsidRDefault="00AB5337" w:rsidP="00AB5337">
      <w:pPr>
        <w:pStyle w:val="BalloonText"/>
        <w:jc w:val="both"/>
        <w:rPr>
          <w:rFonts w:asciiTheme="minorHAnsi" w:hAnsiTheme="minorHAnsi" w:cstheme="minorHAnsi"/>
          <w:b/>
          <w:color w:val="45130F" w:themeColor="background2"/>
          <w:sz w:val="20"/>
          <w:szCs w:val="20"/>
          <w:u w:val="single"/>
          <w:lang w:val="fr-BE"/>
        </w:rPr>
      </w:pPr>
    </w:p>
    <w:p w14:paraId="5B9394FD" w14:textId="27BA79D3" w:rsidR="00AB5337" w:rsidRPr="00A86DC5" w:rsidRDefault="001302A2" w:rsidP="008C3CC9">
      <w:pPr>
        <w:pStyle w:val="BalloonText"/>
        <w:jc w:val="both"/>
        <w:rPr>
          <w:rFonts w:asciiTheme="minorHAnsi" w:hAnsiTheme="minorHAnsi" w:cstheme="minorHAnsi"/>
          <w:color w:val="45130F" w:themeColor="background2"/>
          <w:sz w:val="20"/>
          <w:szCs w:val="20"/>
          <w:u w:val="single"/>
          <w:lang w:val="fr-BE"/>
        </w:rPr>
      </w:pPr>
      <w:r w:rsidRPr="008C3CC9">
        <w:rPr>
          <w:rFonts w:asciiTheme="minorHAnsi" w:hAnsiTheme="minorHAnsi" w:cstheme="minorHAnsi"/>
          <w:b/>
          <w:color w:val="45130F" w:themeColor="background2"/>
          <w:sz w:val="20"/>
          <w:szCs w:val="20"/>
          <w:u w:val="single"/>
          <w:lang w:val="fr-FR"/>
        </w:rPr>
        <w:t>Coûts des Ventes (CdV)</w:t>
      </w:r>
    </w:p>
    <w:p w14:paraId="4E8CCCF4" w14:textId="18AFA9A0" w:rsidR="00AB5337" w:rsidRPr="00A86DC5" w:rsidRDefault="001302A2" w:rsidP="008C3CC9">
      <w:pPr>
        <w:pStyle w:val="BalloonText"/>
        <w:jc w:val="both"/>
        <w:rPr>
          <w:rFonts w:asciiTheme="minorHAnsi" w:hAnsiTheme="minorHAnsi" w:cstheme="minorHAnsi"/>
          <w:color w:val="45130F" w:themeColor="background2"/>
          <w:sz w:val="20"/>
          <w:szCs w:val="20"/>
          <w:lang w:val="fr-BE"/>
        </w:rPr>
      </w:pPr>
      <w:r w:rsidRPr="008C3CC9">
        <w:rPr>
          <w:rFonts w:asciiTheme="minorHAnsi" w:hAnsiTheme="minorHAnsi" w:cstheme="minorHAnsi"/>
          <w:color w:val="45130F" w:themeColor="background2"/>
          <w:sz w:val="20"/>
          <w:szCs w:val="20"/>
          <w:lang w:val="fr-FR"/>
        </w:rPr>
        <w:t>Au cours du 2T17, les CdV totaux ont augmenté de 3,2</w:t>
      </w:r>
      <w:r w:rsidR="008C3CC9" w:rsidRPr="008C3CC9">
        <w:rPr>
          <w:rFonts w:eastAsia="Calibri" w:cstheme="minorHAnsi"/>
          <w:color w:val="45130F" w:themeColor="background2"/>
          <w:sz w:val="20"/>
          <w:szCs w:val="20"/>
          <w:lang w:val="fr-FR"/>
        </w:rPr>
        <w:t> </w:t>
      </w:r>
      <w:r w:rsidRPr="008C3CC9">
        <w:rPr>
          <w:rFonts w:asciiTheme="minorHAnsi" w:hAnsiTheme="minorHAnsi" w:cstheme="minorHAnsi"/>
          <w:color w:val="45130F" w:themeColor="background2"/>
          <w:sz w:val="20"/>
          <w:szCs w:val="20"/>
          <w:lang w:val="fr-FR"/>
        </w:rPr>
        <w:t>% et de 1,3</w:t>
      </w:r>
      <w:r w:rsidR="008C3CC9" w:rsidRPr="008C3CC9">
        <w:rPr>
          <w:rFonts w:eastAsia="Calibri" w:cstheme="minorHAnsi"/>
          <w:color w:val="45130F" w:themeColor="background2"/>
          <w:sz w:val="20"/>
          <w:szCs w:val="20"/>
          <w:lang w:val="fr-FR"/>
        </w:rPr>
        <w:t> </w:t>
      </w:r>
      <w:r w:rsidRPr="008C3CC9">
        <w:rPr>
          <w:rFonts w:asciiTheme="minorHAnsi" w:hAnsiTheme="minorHAnsi" w:cstheme="minorHAnsi"/>
          <w:color w:val="45130F" w:themeColor="background2"/>
          <w:sz w:val="20"/>
          <w:szCs w:val="20"/>
          <w:lang w:val="fr-FR"/>
        </w:rPr>
        <w:t>% par hl.</w:t>
      </w:r>
      <w:r w:rsidR="00F675AE" w:rsidRPr="00A86DC5">
        <w:rPr>
          <w:rFonts w:asciiTheme="minorHAnsi" w:hAnsiTheme="minorHAnsi" w:cstheme="minorHAnsi"/>
          <w:color w:val="45130F" w:themeColor="background2"/>
          <w:sz w:val="20"/>
          <w:szCs w:val="20"/>
          <w:lang w:val="fr-BE"/>
        </w:rPr>
        <w:t xml:space="preserve"> </w:t>
      </w:r>
      <w:r w:rsidRPr="008C3CC9">
        <w:rPr>
          <w:rFonts w:asciiTheme="minorHAnsi" w:hAnsiTheme="minorHAnsi" w:cstheme="minorHAnsi"/>
          <w:color w:val="45130F" w:themeColor="background2"/>
          <w:sz w:val="20"/>
          <w:szCs w:val="20"/>
          <w:lang w:val="fr-FR"/>
        </w:rPr>
        <w:t xml:space="preserve">Cette hausse était surtout due à l'impact </w:t>
      </w:r>
      <w:r w:rsidR="008C3CC9" w:rsidRPr="008C3CC9">
        <w:rPr>
          <w:rFonts w:asciiTheme="minorHAnsi" w:hAnsiTheme="minorHAnsi" w:cstheme="minorHAnsi"/>
          <w:color w:val="45130F" w:themeColor="background2"/>
          <w:sz w:val="20"/>
          <w:szCs w:val="20"/>
          <w:lang w:val="fr-FR"/>
        </w:rPr>
        <w:t xml:space="preserve">attendu </w:t>
      </w:r>
      <w:r w:rsidRPr="008C3CC9">
        <w:rPr>
          <w:rFonts w:asciiTheme="minorHAnsi" w:hAnsiTheme="minorHAnsi" w:cstheme="minorHAnsi"/>
          <w:color w:val="45130F" w:themeColor="background2"/>
          <w:sz w:val="20"/>
          <w:szCs w:val="20"/>
          <w:lang w:val="fr-FR"/>
        </w:rPr>
        <w:t>de l'effet de change transactionnel et des matières premières, compensé par des synergies, des économies d’approvisionnement et des mesures d’efficacité.</w:t>
      </w:r>
      <w:r w:rsidR="00AB5337" w:rsidRPr="00A86DC5">
        <w:rPr>
          <w:rFonts w:asciiTheme="minorHAnsi" w:hAnsiTheme="minorHAnsi" w:cstheme="minorHAnsi"/>
          <w:color w:val="45130F" w:themeColor="background2"/>
          <w:sz w:val="20"/>
          <w:szCs w:val="20"/>
          <w:lang w:val="fr-BE"/>
        </w:rPr>
        <w:t xml:space="preserve"> </w:t>
      </w:r>
      <w:r w:rsidRPr="008C3CC9">
        <w:rPr>
          <w:rFonts w:asciiTheme="minorHAnsi" w:hAnsiTheme="minorHAnsi" w:cstheme="minorHAnsi"/>
          <w:color w:val="45130F" w:themeColor="background2"/>
          <w:sz w:val="20"/>
          <w:szCs w:val="20"/>
          <w:lang w:val="fr-FR"/>
        </w:rPr>
        <w:t xml:space="preserve">Sur une base géographique </w:t>
      </w:r>
      <w:r w:rsidRPr="008C3CC9">
        <w:rPr>
          <w:rFonts w:asciiTheme="minorHAnsi" w:hAnsiTheme="minorHAnsi" w:cstheme="minorHAnsi"/>
          <w:color w:val="45130F" w:themeColor="background2"/>
          <w:sz w:val="20"/>
          <w:szCs w:val="20"/>
          <w:lang w:val="fr-FR"/>
        </w:rPr>
        <w:lastRenderedPageBreak/>
        <w:t>constante, les CdV par hl ont augmenté de 2,2</w:t>
      </w:r>
      <w:r w:rsidR="008C3CC9" w:rsidRPr="008C3CC9">
        <w:rPr>
          <w:rFonts w:eastAsia="Calibri" w:cstheme="minorHAnsi"/>
          <w:color w:val="45130F" w:themeColor="background2"/>
          <w:sz w:val="20"/>
          <w:szCs w:val="20"/>
          <w:lang w:val="fr-FR"/>
        </w:rPr>
        <w:t> </w:t>
      </w:r>
      <w:r w:rsidRPr="008C3CC9">
        <w:rPr>
          <w:rFonts w:asciiTheme="minorHAnsi" w:hAnsiTheme="minorHAnsi" w:cstheme="minorHAnsi"/>
          <w:color w:val="45130F" w:themeColor="background2"/>
          <w:sz w:val="20"/>
          <w:szCs w:val="20"/>
          <w:lang w:val="fr-FR"/>
        </w:rPr>
        <w:t>%.</w:t>
      </w:r>
      <w:r w:rsidR="00053D1C" w:rsidRPr="00A86DC5">
        <w:rPr>
          <w:rFonts w:asciiTheme="minorHAnsi" w:hAnsiTheme="minorHAnsi" w:cstheme="minorHAnsi"/>
          <w:color w:val="45130F" w:themeColor="background2"/>
          <w:sz w:val="20"/>
          <w:szCs w:val="20"/>
          <w:lang w:val="fr-BE"/>
        </w:rPr>
        <w:t xml:space="preserve"> </w:t>
      </w:r>
      <w:r w:rsidRPr="008C3CC9">
        <w:rPr>
          <w:rFonts w:asciiTheme="minorHAnsi" w:hAnsiTheme="minorHAnsi" w:cstheme="minorHAnsi"/>
          <w:color w:val="45130F" w:themeColor="background2"/>
          <w:sz w:val="20"/>
          <w:szCs w:val="20"/>
          <w:lang w:val="fr-FR"/>
        </w:rPr>
        <w:t>Au 1S17, les CdV totaux ont augmenté de 4,3</w:t>
      </w:r>
      <w:r w:rsidR="008C3CC9" w:rsidRPr="008C3CC9">
        <w:rPr>
          <w:rFonts w:eastAsia="Calibri" w:cstheme="minorHAnsi"/>
          <w:color w:val="45130F" w:themeColor="background2"/>
          <w:sz w:val="20"/>
          <w:szCs w:val="20"/>
          <w:lang w:val="fr-FR"/>
        </w:rPr>
        <w:t> </w:t>
      </w:r>
      <w:r w:rsidRPr="008C3CC9">
        <w:rPr>
          <w:rFonts w:asciiTheme="minorHAnsi" w:hAnsiTheme="minorHAnsi" w:cstheme="minorHAnsi"/>
          <w:color w:val="45130F" w:themeColor="background2"/>
          <w:sz w:val="20"/>
          <w:szCs w:val="20"/>
          <w:lang w:val="fr-FR"/>
        </w:rPr>
        <w:t>%, de 4,2 % par hl, et de 4,3 % par hl sur une base géographique constante.</w:t>
      </w:r>
    </w:p>
    <w:p w14:paraId="29182354" w14:textId="77777777" w:rsidR="00511539" w:rsidRPr="00A86DC5" w:rsidRDefault="00511539" w:rsidP="00AB5337">
      <w:pPr>
        <w:pStyle w:val="BalloonText"/>
        <w:jc w:val="both"/>
        <w:rPr>
          <w:rFonts w:asciiTheme="minorHAnsi" w:hAnsiTheme="minorHAnsi" w:cstheme="minorHAnsi"/>
          <w:color w:val="45130F" w:themeColor="background2"/>
          <w:sz w:val="20"/>
          <w:szCs w:val="20"/>
          <w:lang w:val="fr-BE"/>
        </w:rPr>
      </w:pPr>
    </w:p>
    <w:p w14:paraId="0A9F8C7A" w14:textId="6D4FB232" w:rsidR="00AB5337" w:rsidRPr="00A86DC5" w:rsidRDefault="001302A2" w:rsidP="00F07E33">
      <w:pPr>
        <w:pStyle w:val="BalloonText"/>
        <w:jc w:val="both"/>
        <w:rPr>
          <w:rFonts w:asciiTheme="minorHAnsi" w:hAnsiTheme="minorHAnsi" w:cstheme="minorHAnsi"/>
          <w:b/>
          <w:color w:val="45130F" w:themeColor="background2"/>
          <w:sz w:val="20"/>
          <w:szCs w:val="20"/>
          <w:u w:val="single"/>
          <w:lang w:val="fr-BE"/>
        </w:rPr>
      </w:pPr>
      <w:r w:rsidRPr="00F07E33">
        <w:rPr>
          <w:rFonts w:asciiTheme="minorHAnsi" w:hAnsiTheme="minorHAnsi" w:cstheme="minorHAnsi"/>
          <w:b/>
          <w:color w:val="45130F" w:themeColor="background2"/>
          <w:sz w:val="20"/>
          <w:szCs w:val="20"/>
          <w:u w:val="single"/>
          <w:lang w:val="fr-FR"/>
        </w:rPr>
        <w:t>Frais commerciaux, gé</w:t>
      </w:r>
      <w:r w:rsidR="008C3CC9" w:rsidRPr="00F07E33">
        <w:rPr>
          <w:rFonts w:asciiTheme="minorHAnsi" w:hAnsiTheme="minorHAnsi" w:cstheme="minorHAnsi"/>
          <w:b/>
          <w:color w:val="45130F" w:themeColor="background2"/>
          <w:sz w:val="20"/>
          <w:szCs w:val="20"/>
          <w:u w:val="single"/>
          <w:lang w:val="fr-FR"/>
        </w:rPr>
        <w:t>néraux et administratifs (CGA) :</w:t>
      </w:r>
      <w:r w:rsidR="00AB5337" w:rsidRPr="00A86DC5">
        <w:rPr>
          <w:rFonts w:asciiTheme="minorHAnsi" w:hAnsiTheme="minorHAnsi" w:cstheme="minorHAnsi"/>
          <w:b/>
          <w:color w:val="45130F" w:themeColor="background2"/>
          <w:sz w:val="20"/>
          <w:szCs w:val="20"/>
          <w:u w:val="single"/>
          <w:lang w:val="fr-BE"/>
        </w:rPr>
        <w:t xml:space="preserve"> </w:t>
      </w:r>
    </w:p>
    <w:p w14:paraId="25DCE403" w14:textId="7E5B331F" w:rsidR="00AB5337" w:rsidRPr="00A86DC5" w:rsidRDefault="001302A2" w:rsidP="00F07E33">
      <w:pPr>
        <w:pStyle w:val="BalloonText"/>
        <w:jc w:val="both"/>
        <w:rPr>
          <w:rFonts w:asciiTheme="minorHAnsi" w:hAnsiTheme="minorHAnsi" w:cstheme="minorHAnsi"/>
          <w:iCs/>
          <w:color w:val="45130F" w:themeColor="background2"/>
          <w:sz w:val="20"/>
          <w:szCs w:val="20"/>
          <w:lang w:val="fr-BE"/>
        </w:rPr>
      </w:pPr>
      <w:r w:rsidRPr="00F07E33">
        <w:rPr>
          <w:rFonts w:asciiTheme="minorHAnsi" w:hAnsiTheme="minorHAnsi" w:cstheme="minorHAnsi"/>
          <w:iCs/>
          <w:color w:val="45130F" w:themeColor="background2"/>
          <w:sz w:val="20"/>
          <w:szCs w:val="20"/>
          <w:lang w:val="fr-FR"/>
        </w:rPr>
        <w:t xml:space="preserve">Les frais </w:t>
      </w:r>
      <w:r w:rsidR="006D53E2">
        <w:rPr>
          <w:rFonts w:asciiTheme="minorHAnsi" w:hAnsiTheme="minorHAnsi" w:cstheme="minorHAnsi"/>
          <w:iCs/>
          <w:color w:val="45130F" w:themeColor="background2"/>
          <w:sz w:val="20"/>
          <w:szCs w:val="20"/>
          <w:lang w:val="fr-FR"/>
        </w:rPr>
        <w:t>de vente, dépenses administratives et autres frais généraux</w:t>
      </w:r>
      <w:r w:rsidR="006D53E2" w:rsidRPr="00F07E33">
        <w:rPr>
          <w:rFonts w:asciiTheme="minorHAnsi" w:hAnsiTheme="minorHAnsi" w:cstheme="minorHAnsi"/>
          <w:iCs/>
          <w:color w:val="45130F" w:themeColor="background2"/>
          <w:sz w:val="20"/>
          <w:szCs w:val="20"/>
          <w:lang w:val="fr-FR"/>
        </w:rPr>
        <w:t xml:space="preserve"> </w:t>
      </w:r>
      <w:r w:rsidRPr="00F07E33">
        <w:rPr>
          <w:rFonts w:asciiTheme="minorHAnsi" w:hAnsiTheme="minorHAnsi" w:cstheme="minorHAnsi"/>
          <w:iCs/>
          <w:color w:val="45130F" w:themeColor="background2"/>
          <w:sz w:val="20"/>
          <w:szCs w:val="20"/>
          <w:lang w:val="fr-FR"/>
        </w:rPr>
        <w:t xml:space="preserve">ont baissé de </w:t>
      </w:r>
      <w:r w:rsidRPr="00BE2FAB">
        <w:rPr>
          <w:rFonts w:asciiTheme="minorHAnsi" w:hAnsiTheme="minorHAnsi" w:cstheme="minorHAnsi"/>
          <w:iCs/>
          <w:color w:val="45130F" w:themeColor="background2"/>
          <w:sz w:val="20"/>
          <w:szCs w:val="20"/>
          <w:lang w:val="fr-FR"/>
        </w:rPr>
        <w:t>3,</w:t>
      </w:r>
      <w:r w:rsidR="00BE2FAB" w:rsidRPr="00D13FBB">
        <w:rPr>
          <w:rFonts w:asciiTheme="minorHAnsi" w:hAnsiTheme="minorHAnsi" w:cstheme="minorHAnsi"/>
          <w:iCs/>
          <w:color w:val="45130F" w:themeColor="background2"/>
          <w:sz w:val="20"/>
          <w:szCs w:val="20"/>
          <w:lang w:val="fr-FR"/>
        </w:rPr>
        <w:t>8</w:t>
      </w:r>
      <w:r w:rsidR="00F07E33" w:rsidRPr="00434F63">
        <w:rPr>
          <w:rFonts w:asciiTheme="minorHAnsi" w:hAnsiTheme="minorHAnsi" w:cstheme="minorHAnsi"/>
          <w:color w:val="45130F" w:themeColor="background2"/>
          <w:sz w:val="20"/>
          <w:szCs w:val="20"/>
          <w:lang w:val="fr-FR"/>
        </w:rPr>
        <w:t> </w:t>
      </w:r>
      <w:r w:rsidRPr="00434F63">
        <w:rPr>
          <w:rFonts w:asciiTheme="minorHAnsi" w:hAnsiTheme="minorHAnsi" w:cstheme="minorHAnsi"/>
          <w:iCs/>
          <w:color w:val="45130F" w:themeColor="background2"/>
          <w:sz w:val="20"/>
          <w:szCs w:val="20"/>
          <w:lang w:val="fr-FR"/>
        </w:rPr>
        <w:t>%</w:t>
      </w:r>
      <w:r w:rsidRPr="00F07E33">
        <w:rPr>
          <w:rFonts w:asciiTheme="minorHAnsi" w:hAnsiTheme="minorHAnsi" w:cstheme="minorHAnsi"/>
          <w:iCs/>
          <w:color w:val="45130F" w:themeColor="background2"/>
          <w:sz w:val="20"/>
          <w:szCs w:val="20"/>
          <w:lang w:val="fr-FR"/>
        </w:rPr>
        <w:t xml:space="preserve">, </w:t>
      </w:r>
      <w:r w:rsidR="00F07E33" w:rsidRPr="00F07E33">
        <w:rPr>
          <w:rFonts w:asciiTheme="minorHAnsi" w:hAnsiTheme="minorHAnsi" w:cstheme="minorHAnsi"/>
          <w:iCs/>
          <w:color w:val="45130F" w:themeColor="background2"/>
          <w:sz w:val="20"/>
          <w:szCs w:val="20"/>
          <w:lang w:val="fr-FR"/>
        </w:rPr>
        <w:t xml:space="preserve">reflétant </w:t>
      </w:r>
      <w:r w:rsidR="006D53E2">
        <w:rPr>
          <w:rFonts w:asciiTheme="minorHAnsi" w:hAnsiTheme="minorHAnsi" w:cstheme="minorHAnsi"/>
          <w:iCs/>
          <w:color w:val="45130F" w:themeColor="background2"/>
          <w:sz w:val="20"/>
          <w:szCs w:val="20"/>
          <w:lang w:val="fr-FR"/>
        </w:rPr>
        <w:t>la réalisation</w:t>
      </w:r>
      <w:r w:rsidR="006D53E2" w:rsidRPr="00F07E33">
        <w:rPr>
          <w:rFonts w:asciiTheme="minorHAnsi" w:hAnsiTheme="minorHAnsi" w:cstheme="minorHAnsi"/>
          <w:iCs/>
          <w:color w:val="45130F" w:themeColor="background2"/>
          <w:sz w:val="20"/>
          <w:szCs w:val="20"/>
          <w:lang w:val="fr-FR"/>
        </w:rPr>
        <w:t xml:space="preserve"> </w:t>
      </w:r>
      <w:r w:rsidRPr="00F07E33">
        <w:rPr>
          <w:rFonts w:asciiTheme="minorHAnsi" w:hAnsiTheme="minorHAnsi" w:cstheme="minorHAnsi"/>
          <w:iCs/>
          <w:color w:val="45130F" w:themeColor="background2"/>
          <w:sz w:val="20"/>
          <w:szCs w:val="20"/>
          <w:lang w:val="fr-FR"/>
        </w:rPr>
        <w:t xml:space="preserve">de synergies associée à </w:t>
      </w:r>
      <w:r w:rsidRPr="006E0D8E">
        <w:rPr>
          <w:rFonts w:asciiTheme="minorHAnsi" w:hAnsiTheme="minorHAnsi" w:cstheme="minorHAnsi"/>
          <w:iCs/>
          <w:color w:val="45130F" w:themeColor="background2"/>
          <w:sz w:val="20"/>
          <w:szCs w:val="20"/>
          <w:lang w:val="fr-FR"/>
        </w:rPr>
        <w:t>une bonne discipline ZBB</w:t>
      </w:r>
      <w:r w:rsidRPr="00F07E33">
        <w:rPr>
          <w:rFonts w:asciiTheme="minorHAnsi" w:hAnsiTheme="minorHAnsi" w:cstheme="minorHAnsi"/>
          <w:iCs/>
          <w:color w:val="45130F" w:themeColor="background2"/>
          <w:sz w:val="20"/>
          <w:szCs w:val="20"/>
          <w:lang w:val="fr-FR"/>
        </w:rPr>
        <w:t xml:space="preserve"> en général.</w:t>
      </w:r>
      <w:r w:rsidR="003B5D87" w:rsidRPr="00A86DC5">
        <w:rPr>
          <w:rFonts w:asciiTheme="minorHAnsi" w:hAnsiTheme="minorHAnsi" w:cstheme="minorHAnsi"/>
          <w:iCs/>
          <w:color w:val="45130F" w:themeColor="background2"/>
          <w:sz w:val="20"/>
          <w:szCs w:val="20"/>
          <w:lang w:val="fr-BE"/>
        </w:rPr>
        <w:t xml:space="preserve"> </w:t>
      </w:r>
      <w:r w:rsidRPr="00F07E33">
        <w:rPr>
          <w:rFonts w:asciiTheme="minorHAnsi" w:hAnsiTheme="minorHAnsi" w:cstheme="minorHAnsi"/>
          <w:iCs/>
          <w:color w:val="45130F" w:themeColor="background2"/>
          <w:sz w:val="20"/>
          <w:szCs w:val="20"/>
          <w:lang w:val="fr-FR"/>
        </w:rPr>
        <w:t xml:space="preserve">Au 1S17, les frais </w:t>
      </w:r>
      <w:r w:rsidR="005C5270" w:rsidRPr="005C5270">
        <w:rPr>
          <w:rFonts w:asciiTheme="minorHAnsi" w:hAnsiTheme="minorHAnsi" w:cstheme="minorHAnsi"/>
          <w:iCs/>
          <w:color w:val="45130F" w:themeColor="background2"/>
          <w:sz w:val="20"/>
          <w:szCs w:val="20"/>
          <w:lang w:val="fr-FR"/>
        </w:rPr>
        <w:t>de vente, dépenses administratives et autres frais généraux</w:t>
      </w:r>
      <w:r w:rsidRPr="00F07E33">
        <w:rPr>
          <w:rFonts w:asciiTheme="minorHAnsi" w:hAnsiTheme="minorHAnsi" w:cstheme="minorHAnsi"/>
          <w:iCs/>
          <w:color w:val="45130F" w:themeColor="background2"/>
          <w:sz w:val="20"/>
          <w:szCs w:val="20"/>
          <w:lang w:val="fr-FR"/>
        </w:rPr>
        <w:t xml:space="preserve"> affichent un recul de 1,2</w:t>
      </w:r>
      <w:r w:rsidR="00F07E33" w:rsidRPr="00F07E33">
        <w:rPr>
          <w:rFonts w:asciiTheme="minorHAnsi" w:hAnsiTheme="minorHAnsi" w:cstheme="minorHAnsi"/>
          <w:iCs/>
          <w:color w:val="45130F" w:themeColor="background2"/>
          <w:sz w:val="20"/>
          <w:szCs w:val="20"/>
          <w:lang w:val="fr-FR"/>
        </w:rPr>
        <w:t> </w:t>
      </w:r>
      <w:r w:rsidRPr="00F07E33">
        <w:rPr>
          <w:rFonts w:asciiTheme="minorHAnsi" w:hAnsiTheme="minorHAnsi" w:cstheme="minorHAnsi"/>
          <w:iCs/>
          <w:color w:val="45130F" w:themeColor="background2"/>
          <w:sz w:val="20"/>
          <w:szCs w:val="20"/>
          <w:lang w:val="fr-FR"/>
        </w:rPr>
        <w:t>%.</w:t>
      </w:r>
      <w:r w:rsidR="003B5D87" w:rsidRPr="00A86DC5">
        <w:rPr>
          <w:rFonts w:asciiTheme="minorHAnsi" w:hAnsiTheme="minorHAnsi" w:cstheme="minorHAnsi"/>
          <w:iCs/>
          <w:color w:val="45130F" w:themeColor="background2"/>
          <w:sz w:val="20"/>
          <w:szCs w:val="20"/>
          <w:lang w:val="fr-BE"/>
        </w:rPr>
        <w:t xml:space="preserve"> </w:t>
      </w:r>
      <w:r w:rsidR="00D75596" w:rsidRPr="00A86DC5">
        <w:rPr>
          <w:rFonts w:asciiTheme="minorHAnsi" w:hAnsiTheme="minorHAnsi" w:cstheme="minorHAnsi"/>
          <w:iCs/>
          <w:color w:val="45130F" w:themeColor="background2"/>
          <w:sz w:val="20"/>
          <w:szCs w:val="20"/>
          <w:lang w:val="fr-BE"/>
        </w:rPr>
        <w:t xml:space="preserve"> </w:t>
      </w:r>
    </w:p>
    <w:p w14:paraId="262409B4" w14:textId="77777777" w:rsidR="00D75596" w:rsidRPr="00A86DC5" w:rsidRDefault="00D75596" w:rsidP="00AB5337">
      <w:pPr>
        <w:pStyle w:val="BalloonText"/>
        <w:jc w:val="both"/>
        <w:rPr>
          <w:rFonts w:asciiTheme="minorHAnsi" w:hAnsiTheme="minorHAnsi" w:cstheme="minorHAnsi"/>
          <w:b/>
          <w:iCs/>
          <w:color w:val="45130F" w:themeColor="background2"/>
          <w:sz w:val="20"/>
          <w:szCs w:val="20"/>
          <w:u w:val="single"/>
          <w:lang w:val="fr-BE"/>
        </w:rPr>
      </w:pPr>
    </w:p>
    <w:p w14:paraId="4F950439" w14:textId="6938080C" w:rsidR="00AB5337" w:rsidRPr="00A86DC5" w:rsidRDefault="001302A2" w:rsidP="00F07E33">
      <w:pPr>
        <w:pStyle w:val="BalloonText"/>
        <w:jc w:val="both"/>
        <w:rPr>
          <w:rFonts w:asciiTheme="minorHAnsi" w:hAnsiTheme="minorHAnsi" w:cstheme="minorHAnsi"/>
          <w:color w:val="45130F" w:themeColor="background2"/>
          <w:sz w:val="20"/>
          <w:szCs w:val="20"/>
          <w:lang w:val="fr-BE"/>
        </w:rPr>
      </w:pPr>
      <w:r w:rsidRPr="00F07E33">
        <w:rPr>
          <w:rFonts w:asciiTheme="minorHAnsi" w:hAnsiTheme="minorHAnsi" w:cstheme="minorHAnsi"/>
          <w:b/>
          <w:iCs/>
          <w:color w:val="45130F" w:themeColor="background2"/>
          <w:sz w:val="20"/>
          <w:szCs w:val="20"/>
          <w:u w:val="single"/>
          <w:lang w:val="fr-FR"/>
        </w:rPr>
        <w:t>Autres revenus d'exploitation</w:t>
      </w:r>
      <w:r w:rsidR="00AB5337" w:rsidRPr="00A86DC5">
        <w:rPr>
          <w:rFonts w:asciiTheme="minorHAnsi" w:hAnsiTheme="minorHAnsi" w:cstheme="minorHAnsi"/>
          <w:color w:val="45130F" w:themeColor="background2"/>
          <w:sz w:val="20"/>
          <w:szCs w:val="20"/>
          <w:lang w:val="fr-BE"/>
        </w:rPr>
        <w:t xml:space="preserve"> </w:t>
      </w:r>
    </w:p>
    <w:p w14:paraId="5A4617C0" w14:textId="5A5E18E4" w:rsidR="00E21DCD" w:rsidRPr="00A86DC5" w:rsidRDefault="001302A2" w:rsidP="00F07E33">
      <w:pPr>
        <w:pStyle w:val="BalloonText"/>
        <w:jc w:val="both"/>
        <w:rPr>
          <w:rFonts w:asciiTheme="minorHAnsi" w:hAnsiTheme="minorHAnsi" w:cstheme="minorHAnsi"/>
          <w:color w:val="45130F" w:themeColor="background2"/>
          <w:sz w:val="20"/>
          <w:szCs w:val="20"/>
          <w:lang w:val="fr-BE"/>
        </w:rPr>
      </w:pPr>
      <w:r w:rsidRPr="00F07E33">
        <w:rPr>
          <w:rFonts w:asciiTheme="minorHAnsi" w:hAnsiTheme="minorHAnsi" w:cstheme="minorHAnsi"/>
          <w:color w:val="45130F" w:themeColor="background2"/>
          <w:sz w:val="20"/>
          <w:szCs w:val="20"/>
          <w:lang w:val="fr-FR"/>
        </w:rPr>
        <w:t>Les autres revenus d’exploitation ont diminué de 40,1</w:t>
      </w:r>
      <w:r w:rsidR="00F07E33" w:rsidRPr="00F07E33">
        <w:rPr>
          <w:rFonts w:asciiTheme="minorHAnsi" w:hAnsiTheme="minorHAnsi" w:cstheme="minorHAnsi"/>
          <w:iCs/>
          <w:color w:val="45130F" w:themeColor="background2"/>
          <w:sz w:val="20"/>
          <w:szCs w:val="20"/>
          <w:lang w:val="fr-FR"/>
        </w:rPr>
        <w:t> </w:t>
      </w:r>
      <w:r w:rsidRPr="00F07E33">
        <w:rPr>
          <w:rFonts w:asciiTheme="minorHAnsi" w:hAnsiTheme="minorHAnsi" w:cstheme="minorHAnsi"/>
          <w:color w:val="45130F" w:themeColor="background2"/>
          <w:sz w:val="20"/>
          <w:szCs w:val="20"/>
          <w:lang w:val="fr-FR"/>
        </w:rPr>
        <w:t xml:space="preserve">% pour atteindre 151 millions d’USD au 2T17, les subventions </w:t>
      </w:r>
      <w:r w:rsidR="00213310">
        <w:rPr>
          <w:rFonts w:asciiTheme="minorHAnsi" w:hAnsiTheme="minorHAnsi" w:cstheme="minorHAnsi"/>
          <w:color w:val="45130F" w:themeColor="background2"/>
          <w:sz w:val="20"/>
          <w:szCs w:val="20"/>
          <w:lang w:val="fr-FR"/>
        </w:rPr>
        <w:t>publiques</w:t>
      </w:r>
      <w:r w:rsidRPr="00F07E33">
        <w:rPr>
          <w:rFonts w:asciiTheme="minorHAnsi" w:hAnsiTheme="minorHAnsi" w:cstheme="minorHAnsi"/>
          <w:color w:val="45130F" w:themeColor="background2"/>
          <w:sz w:val="20"/>
          <w:szCs w:val="20"/>
          <w:lang w:val="fr-FR"/>
        </w:rPr>
        <w:t xml:space="preserve"> reçu</w:t>
      </w:r>
      <w:r w:rsidR="00213310">
        <w:rPr>
          <w:rFonts w:asciiTheme="minorHAnsi" w:hAnsiTheme="minorHAnsi" w:cstheme="minorHAnsi"/>
          <w:color w:val="45130F" w:themeColor="background2"/>
          <w:sz w:val="20"/>
          <w:szCs w:val="20"/>
          <w:lang w:val="fr-FR"/>
        </w:rPr>
        <w:t>e</w:t>
      </w:r>
      <w:r w:rsidRPr="00F07E33">
        <w:rPr>
          <w:rFonts w:asciiTheme="minorHAnsi" w:hAnsiTheme="minorHAnsi" w:cstheme="minorHAnsi"/>
          <w:color w:val="45130F" w:themeColor="background2"/>
          <w:sz w:val="20"/>
          <w:szCs w:val="20"/>
          <w:lang w:val="fr-FR"/>
        </w:rPr>
        <w:t>s l’année précédente en Chine et au Brésil n’ayant pas été renouvelées.</w:t>
      </w:r>
      <w:r w:rsidR="00A9501B" w:rsidRPr="00A86DC5">
        <w:rPr>
          <w:rFonts w:asciiTheme="minorHAnsi" w:hAnsiTheme="minorHAnsi" w:cstheme="minorHAnsi"/>
          <w:color w:val="45130F" w:themeColor="background2"/>
          <w:sz w:val="20"/>
          <w:szCs w:val="20"/>
          <w:lang w:val="fr-BE"/>
        </w:rPr>
        <w:t xml:space="preserve"> </w:t>
      </w:r>
      <w:r w:rsidRPr="00F07E33">
        <w:rPr>
          <w:rFonts w:asciiTheme="minorHAnsi" w:hAnsiTheme="minorHAnsi" w:cstheme="minorHAnsi"/>
          <w:color w:val="45130F" w:themeColor="background2"/>
          <w:sz w:val="20"/>
          <w:szCs w:val="20"/>
          <w:lang w:val="fr-FR"/>
        </w:rPr>
        <w:t>Les autres revenus d'exploitation ont diminué de 7,3</w:t>
      </w:r>
      <w:r w:rsidR="00F07E33" w:rsidRPr="00F07E33">
        <w:rPr>
          <w:rFonts w:asciiTheme="minorHAnsi" w:hAnsiTheme="minorHAnsi" w:cstheme="minorHAnsi"/>
          <w:iCs/>
          <w:color w:val="45130F" w:themeColor="background2"/>
          <w:sz w:val="20"/>
          <w:szCs w:val="20"/>
          <w:lang w:val="fr-FR"/>
        </w:rPr>
        <w:t> </w:t>
      </w:r>
      <w:r w:rsidRPr="00F07E33">
        <w:rPr>
          <w:rFonts w:asciiTheme="minorHAnsi" w:hAnsiTheme="minorHAnsi" w:cstheme="minorHAnsi"/>
          <w:color w:val="45130F" w:themeColor="background2"/>
          <w:sz w:val="20"/>
          <w:szCs w:val="20"/>
          <w:lang w:val="fr-FR"/>
        </w:rPr>
        <w:t>% pour atteindre 408 millions d’USD au 1S17.</w:t>
      </w:r>
    </w:p>
    <w:p w14:paraId="3868C38C" w14:textId="77777777" w:rsidR="00053D1C" w:rsidRPr="00A86DC5" w:rsidRDefault="00053D1C" w:rsidP="00AB5337">
      <w:pPr>
        <w:spacing w:after="0" w:line="240" w:lineRule="auto"/>
        <w:jc w:val="both"/>
        <w:rPr>
          <w:rFonts w:cstheme="minorHAnsi"/>
          <w:b/>
          <w:iCs/>
          <w:color w:val="45130F" w:themeColor="background2"/>
          <w:sz w:val="20"/>
          <w:szCs w:val="20"/>
          <w:u w:val="single"/>
          <w:lang w:val="fr-BE"/>
        </w:rPr>
      </w:pPr>
    </w:p>
    <w:p w14:paraId="001E0ACB" w14:textId="24FD50DA" w:rsidR="00BE006E" w:rsidRPr="00A86DC5" w:rsidRDefault="001302A2" w:rsidP="00F07E33">
      <w:pPr>
        <w:shd w:val="clear" w:color="auto" w:fill="FFFFFF" w:themeFill="background1"/>
        <w:tabs>
          <w:tab w:val="left" w:pos="7560"/>
        </w:tabs>
        <w:spacing w:after="0" w:line="240" w:lineRule="auto"/>
        <w:jc w:val="both"/>
        <w:rPr>
          <w:rFonts w:cstheme="minorHAnsi"/>
          <w:color w:val="45130F" w:themeColor="background2"/>
          <w:sz w:val="20"/>
          <w:szCs w:val="20"/>
          <w:lang w:val="fr-BE"/>
        </w:rPr>
      </w:pPr>
      <w:r w:rsidRPr="00F07E33">
        <w:rPr>
          <w:rFonts w:cstheme="minorHAnsi"/>
          <w:b/>
          <w:iCs/>
          <w:color w:val="45130F" w:themeColor="background2"/>
          <w:sz w:val="20"/>
          <w:szCs w:val="20"/>
          <w:u w:val="single"/>
          <w:lang w:val="fr-FR"/>
        </w:rPr>
        <w:t>Eléments non-récurrents au-dessus de l'EBIT</w:t>
      </w:r>
    </w:p>
    <w:p w14:paraId="654FE754" w14:textId="1BCDA3E4" w:rsidR="002F1C3E" w:rsidRPr="00A86DC5" w:rsidRDefault="002F1C3E" w:rsidP="00AB5337">
      <w:pPr>
        <w:pStyle w:val="BalloonText"/>
        <w:tabs>
          <w:tab w:val="left" w:pos="7560"/>
        </w:tabs>
        <w:jc w:val="both"/>
        <w:rPr>
          <w:rFonts w:asciiTheme="minorHAnsi" w:hAnsiTheme="minorHAnsi" w:cstheme="minorHAnsi"/>
          <w:color w:val="45130F" w:themeColor="background2"/>
          <w:sz w:val="20"/>
          <w:szCs w:val="20"/>
          <w:lang w:val="fr-BE"/>
        </w:rPr>
      </w:pPr>
    </w:p>
    <w:p w14:paraId="765CA855" w14:textId="7D9881FF" w:rsidR="00A86DC5" w:rsidRDefault="00A86DC5" w:rsidP="00AB5337">
      <w:pPr>
        <w:pStyle w:val="BalloonText"/>
        <w:tabs>
          <w:tab w:val="left" w:pos="7560"/>
        </w:tabs>
        <w:jc w:val="both"/>
        <w:rPr>
          <w:rFonts w:asciiTheme="minorHAnsi" w:hAnsiTheme="minorHAnsi" w:cstheme="minorHAnsi"/>
          <w:color w:val="45130F" w:themeColor="background2"/>
          <w:sz w:val="20"/>
          <w:szCs w:val="20"/>
          <w:lang w:val="fr-BE"/>
        </w:rPr>
      </w:pPr>
      <w:r w:rsidRPr="00A86DC5">
        <w:rPr>
          <w:noProof/>
        </w:rPr>
        <w:drawing>
          <wp:inline distT="0" distB="0" distL="0" distR="0" wp14:anchorId="1650D8A2" wp14:editId="437CC320">
            <wp:extent cx="5943600" cy="734021"/>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734021"/>
                    </a:xfrm>
                    <a:prstGeom prst="rect">
                      <a:avLst/>
                    </a:prstGeom>
                    <a:noFill/>
                    <a:ln>
                      <a:noFill/>
                    </a:ln>
                  </pic:spPr>
                </pic:pic>
              </a:graphicData>
            </a:graphic>
          </wp:inline>
        </w:drawing>
      </w:r>
    </w:p>
    <w:p w14:paraId="5BB2C89A" w14:textId="77777777" w:rsidR="00A86DC5" w:rsidRPr="00A86DC5" w:rsidRDefault="00A86DC5" w:rsidP="00AB5337">
      <w:pPr>
        <w:pStyle w:val="BalloonText"/>
        <w:tabs>
          <w:tab w:val="left" w:pos="7560"/>
        </w:tabs>
        <w:jc w:val="both"/>
        <w:rPr>
          <w:rFonts w:asciiTheme="minorHAnsi" w:hAnsiTheme="minorHAnsi" w:cstheme="minorHAnsi"/>
          <w:color w:val="45130F" w:themeColor="background2"/>
          <w:sz w:val="20"/>
          <w:szCs w:val="20"/>
          <w:lang w:val="fr-BE"/>
        </w:rPr>
      </w:pPr>
    </w:p>
    <w:p w14:paraId="7F91B63E" w14:textId="66EDC61B" w:rsidR="00AB5337" w:rsidRPr="00A86DC5" w:rsidRDefault="001302A2" w:rsidP="00F07E33">
      <w:pPr>
        <w:pStyle w:val="BalloonText"/>
        <w:tabs>
          <w:tab w:val="left" w:pos="7560"/>
        </w:tabs>
        <w:jc w:val="both"/>
        <w:rPr>
          <w:rFonts w:asciiTheme="minorHAnsi" w:hAnsiTheme="minorHAnsi" w:cstheme="minorHAnsi"/>
          <w:color w:val="45130F" w:themeColor="background2"/>
          <w:sz w:val="20"/>
          <w:szCs w:val="20"/>
          <w:lang w:val="fr-BE"/>
        </w:rPr>
      </w:pPr>
      <w:r w:rsidRPr="00F07E33">
        <w:rPr>
          <w:rFonts w:asciiTheme="minorHAnsi" w:hAnsiTheme="minorHAnsi" w:cstheme="minorHAnsi"/>
          <w:color w:val="45130F" w:themeColor="background2"/>
          <w:sz w:val="20"/>
          <w:szCs w:val="20"/>
          <w:lang w:val="fr-FR"/>
        </w:rPr>
        <w:t xml:space="preserve">Le bénéfice d’exploitation normalisé ne comprend pas les éléments négatifs non-récurrents de 66 millions d’USD au 2T17, principalement dus aux coûts </w:t>
      </w:r>
      <w:r w:rsidR="00111D8D">
        <w:rPr>
          <w:rFonts w:asciiTheme="minorHAnsi" w:hAnsiTheme="minorHAnsi" w:cstheme="minorHAnsi"/>
          <w:color w:val="45130F" w:themeColor="background2"/>
          <w:sz w:val="20"/>
          <w:szCs w:val="20"/>
          <w:lang w:val="fr-FR"/>
        </w:rPr>
        <w:t xml:space="preserve">non-récurrents </w:t>
      </w:r>
      <w:r w:rsidRPr="00F07E33">
        <w:rPr>
          <w:rFonts w:asciiTheme="minorHAnsi" w:hAnsiTheme="minorHAnsi" w:cstheme="minorHAnsi"/>
          <w:color w:val="45130F" w:themeColor="background2"/>
          <w:sz w:val="20"/>
          <w:szCs w:val="20"/>
          <w:lang w:val="fr-FR"/>
        </w:rPr>
        <w:t>de restructuration relatifs au rapprochement avec SAB.</w:t>
      </w:r>
      <w:r w:rsidR="00CC1057" w:rsidRPr="00A86DC5">
        <w:rPr>
          <w:rFonts w:asciiTheme="minorHAnsi" w:hAnsiTheme="minorHAnsi" w:cstheme="minorHAnsi"/>
          <w:color w:val="45130F" w:themeColor="background2"/>
          <w:sz w:val="20"/>
          <w:szCs w:val="20"/>
          <w:lang w:val="fr-BE"/>
        </w:rPr>
        <w:t xml:space="preserve"> </w:t>
      </w:r>
    </w:p>
    <w:p w14:paraId="6402E32F" w14:textId="77777777" w:rsidR="001B6403" w:rsidRPr="00A86DC5" w:rsidRDefault="001B6403" w:rsidP="00AB5337">
      <w:pPr>
        <w:pStyle w:val="BalloonText"/>
        <w:tabs>
          <w:tab w:val="left" w:pos="7560"/>
        </w:tabs>
        <w:jc w:val="both"/>
        <w:rPr>
          <w:rFonts w:asciiTheme="minorHAnsi" w:hAnsiTheme="minorHAnsi" w:cstheme="minorHAnsi"/>
          <w:color w:val="45130F" w:themeColor="background2"/>
          <w:sz w:val="20"/>
          <w:szCs w:val="20"/>
          <w:lang w:val="fr-BE"/>
        </w:rPr>
      </w:pPr>
    </w:p>
    <w:p w14:paraId="6404789F" w14:textId="69F4D35A" w:rsidR="00BE006E" w:rsidRDefault="00A86DC5" w:rsidP="00AB5337">
      <w:pPr>
        <w:pStyle w:val="BalloonText"/>
        <w:tabs>
          <w:tab w:val="left" w:pos="7560"/>
        </w:tabs>
        <w:jc w:val="both"/>
        <w:rPr>
          <w:rFonts w:asciiTheme="minorHAnsi" w:hAnsiTheme="minorHAnsi" w:cstheme="minorHAnsi"/>
          <w:color w:val="45130F" w:themeColor="background2"/>
          <w:sz w:val="20"/>
          <w:szCs w:val="20"/>
        </w:rPr>
      </w:pPr>
      <w:r w:rsidRPr="00A86DC5">
        <w:rPr>
          <w:noProof/>
        </w:rPr>
        <w:drawing>
          <wp:inline distT="0" distB="0" distL="0" distR="0" wp14:anchorId="10245F44" wp14:editId="6CBE1BCF">
            <wp:extent cx="5943600" cy="849153"/>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849153"/>
                    </a:xfrm>
                    <a:prstGeom prst="rect">
                      <a:avLst/>
                    </a:prstGeom>
                    <a:noFill/>
                    <a:ln>
                      <a:noFill/>
                    </a:ln>
                  </pic:spPr>
                </pic:pic>
              </a:graphicData>
            </a:graphic>
          </wp:inline>
        </w:drawing>
      </w:r>
    </w:p>
    <w:p w14:paraId="1A945424" w14:textId="38162C37" w:rsidR="00BE006E" w:rsidRPr="00240D9B" w:rsidRDefault="00BE006E" w:rsidP="00AB5337">
      <w:pPr>
        <w:pStyle w:val="BalloonText"/>
        <w:tabs>
          <w:tab w:val="left" w:pos="7560"/>
        </w:tabs>
        <w:jc w:val="both"/>
        <w:rPr>
          <w:rFonts w:asciiTheme="minorHAnsi" w:hAnsiTheme="minorHAnsi" w:cstheme="minorHAnsi"/>
          <w:color w:val="45130F" w:themeColor="background2"/>
          <w:sz w:val="20"/>
          <w:szCs w:val="20"/>
        </w:rPr>
      </w:pPr>
    </w:p>
    <w:p w14:paraId="63954ABC" w14:textId="0C050C5D" w:rsidR="00D37F3B" w:rsidRPr="00D13FBB" w:rsidRDefault="001302A2" w:rsidP="00F07E33">
      <w:pPr>
        <w:pStyle w:val="BalloonText"/>
        <w:jc w:val="both"/>
        <w:rPr>
          <w:rFonts w:asciiTheme="minorHAnsi" w:hAnsiTheme="minorHAnsi" w:cstheme="minorHAnsi"/>
          <w:bCs/>
          <w:color w:val="45130F" w:themeColor="background2"/>
          <w:sz w:val="20"/>
          <w:szCs w:val="20"/>
          <w:lang w:val="fr-FR"/>
        </w:rPr>
      </w:pPr>
      <w:r w:rsidRPr="00144F32">
        <w:rPr>
          <w:rFonts w:asciiTheme="minorHAnsi" w:hAnsiTheme="minorHAnsi" w:cstheme="minorHAnsi"/>
          <w:b/>
          <w:bCs/>
          <w:color w:val="45130F" w:themeColor="background2"/>
          <w:sz w:val="20"/>
          <w:szCs w:val="20"/>
          <w:lang w:val="fr-FR"/>
        </w:rPr>
        <w:t>Les coûts financiers nets</w:t>
      </w:r>
      <w:r w:rsidRPr="006E0D8E">
        <w:rPr>
          <w:rFonts w:asciiTheme="minorHAnsi" w:hAnsiTheme="minorHAnsi" w:cstheme="minorHAnsi"/>
          <w:bCs/>
          <w:color w:val="45130F" w:themeColor="background2"/>
          <w:sz w:val="20"/>
          <w:szCs w:val="20"/>
          <w:lang w:val="fr-FR"/>
        </w:rPr>
        <w:t xml:space="preserve"> (hors coûts financiers nets</w:t>
      </w:r>
      <w:r w:rsidR="00F07E33" w:rsidRPr="006E0D8E">
        <w:rPr>
          <w:rFonts w:asciiTheme="minorHAnsi" w:hAnsiTheme="minorHAnsi" w:cstheme="minorHAnsi"/>
          <w:bCs/>
          <w:color w:val="45130F" w:themeColor="background2"/>
          <w:sz w:val="20"/>
          <w:szCs w:val="20"/>
          <w:lang w:val="fr-FR"/>
        </w:rPr>
        <w:t xml:space="preserve"> non-récurrents) ont totalisé 1</w:t>
      </w:r>
      <w:r w:rsidR="00111D8D" w:rsidRPr="006E0D8E">
        <w:rPr>
          <w:rFonts w:asciiTheme="minorHAnsi" w:hAnsiTheme="minorHAnsi" w:cstheme="minorHAnsi"/>
          <w:bCs/>
          <w:color w:val="45130F" w:themeColor="background2"/>
          <w:sz w:val="20"/>
          <w:szCs w:val="20"/>
          <w:lang w:val="fr-FR"/>
        </w:rPr>
        <w:t xml:space="preserve"> </w:t>
      </w:r>
      <w:r w:rsidRPr="00381484">
        <w:rPr>
          <w:rFonts w:asciiTheme="minorHAnsi" w:hAnsiTheme="minorHAnsi" w:cstheme="minorHAnsi"/>
          <w:bCs/>
          <w:color w:val="45130F" w:themeColor="background2"/>
          <w:sz w:val="20"/>
          <w:szCs w:val="20"/>
          <w:lang w:val="fr-FR"/>
        </w:rPr>
        <w:t>628 millions d'USD au 2T17, par rapport à 726 millions d'USD au 2T16.</w:t>
      </w:r>
      <w:r w:rsidR="00551C1B" w:rsidRPr="00381484">
        <w:rPr>
          <w:rFonts w:asciiTheme="minorHAnsi" w:hAnsiTheme="minorHAnsi" w:cstheme="minorHAnsi"/>
          <w:bCs/>
          <w:color w:val="45130F" w:themeColor="background2"/>
          <w:sz w:val="20"/>
          <w:szCs w:val="20"/>
          <w:lang w:val="fr-BE"/>
        </w:rPr>
        <w:t xml:space="preserve"> </w:t>
      </w:r>
      <w:r w:rsidRPr="00381484">
        <w:rPr>
          <w:rFonts w:asciiTheme="minorHAnsi" w:hAnsiTheme="minorHAnsi" w:cstheme="minorHAnsi"/>
          <w:bCs/>
          <w:color w:val="45130F" w:themeColor="background2"/>
          <w:sz w:val="20"/>
          <w:szCs w:val="20"/>
          <w:lang w:val="fr-FR"/>
        </w:rPr>
        <w:t>Les charges nettes d’intérêts ont augmenté de 866 millions d'USD à 973 millions d'USD.</w:t>
      </w:r>
      <w:r w:rsidR="0020473B" w:rsidRPr="00381484">
        <w:rPr>
          <w:rFonts w:asciiTheme="minorHAnsi" w:hAnsiTheme="minorHAnsi" w:cstheme="minorHAnsi"/>
          <w:bCs/>
          <w:color w:val="45130F" w:themeColor="background2"/>
          <w:sz w:val="20"/>
          <w:szCs w:val="20"/>
          <w:lang w:val="fr-BE"/>
        </w:rPr>
        <w:t xml:space="preserve"> </w:t>
      </w:r>
      <w:r w:rsidRPr="00381484">
        <w:rPr>
          <w:rFonts w:asciiTheme="minorHAnsi" w:hAnsiTheme="minorHAnsi" w:cstheme="minorHAnsi"/>
          <w:bCs/>
          <w:color w:val="45130F" w:themeColor="background2"/>
          <w:sz w:val="20"/>
          <w:szCs w:val="20"/>
          <w:lang w:val="fr-FR"/>
        </w:rPr>
        <w:t>Les autres résultats financiers comprennent un</w:t>
      </w:r>
      <w:r w:rsidR="00F07E33" w:rsidRPr="00381484">
        <w:rPr>
          <w:rFonts w:asciiTheme="minorHAnsi" w:hAnsiTheme="minorHAnsi" w:cstheme="minorHAnsi"/>
          <w:bCs/>
          <w:color w:val="45130F" w:themeColor="background2"/>
          <w:sz w:val="20"/>
          <w:szCs w:val="20"/>
          <w:lang w:val="fr-FR"/>
        </w:rPr>
        <w:t xml:space="preserve">e perte </w:t>
      </w:r>
      <w:r w:rsidRPr="00381484">
        <w:rPr>
          <w:rFonts w:asciiTheme="minorHAnsi" w:hAnsiTheme="minorHAnsi" w:cstheme="minorHAnsi"/>
          <w:bCs/>
          <w:color w:val="45130F" w:themeColor="background2"/>
          <w:sz w:val="20"/>
          <w:szCs w:val="20"/>
          <w:lang w:val="fr-FR"/>
        </w:rPr>
        <w:t xml:space="preserve">à la valeur de marché de 265 millions d’USD </w:t>
      </w:r>
      <w:r w:rsidR="00700741" w:rsidRPr="00381484">
        <w:rPr>
          <w:rFonts w:asciiTheme="minorHAnsi" w:hAnsiTheme="minorHAnsi" w:cstheme="minorHAnsi"/>
          <w:bCs/>
          <w:color w:val="45130F" w:themeColor="background2"/>
          <w:sz w:val="20"/>
          <w:szCs w:val="20"/>
          <w:lang w:val="fr-FR"/>
        </w:rPr>
        <w:t xml:space="preserve">au 2T17 </w:t>
      </w:r>
      <w:r w:rsidRPr="00381484">
        <w:rPr>
          <w:rFonts w:asciiTheme="minorHAnsi" w:hAnsiTheme="minorHAnsi" w:cstheme="minorHAnsi"/>
          <w:bCs/>
          <w:color w:val="45130F" w:themeColor="background2"/>
          <w:sz w:val="20"/>
          <w:szCs w:val="20"/>
          <w:lang w:val="fr-FR"/>
        </w:rPr>
        <w:t>lié</w:t>
      </w:r>
      <w:r w:rsidR="00F07E33" w:rsidRPr="00381484">
        <w:rPr>
          <w:rFonts w:asciiTheme="minorHAnsi" w:hAnsiTheme="minorHAnsi" w:cstheme="minorHAnsi"/>
          <w:bCs/>
          <w:color w:val="45130F" w:themeColor="background2"/>
          <w:sz w:val="20"/>
          <w:szCs w:val="20"/>
          <w:lang w:val="fr-FR"/>
        </w:rPr>
        <w:t>e</w:t>
      </w:r>
      <w:r w:rsidRPr="00381484">
        <w:rPr>
          <w:rFonts w:asciiTheme="minorHAnsi" w:hAnsiTheme="minorHAnsi" w:cstheme="minorHAnsi"/>
          <w:bCs/>
          <w:color w:val="45130F" w:themeColor="background2"/>
          <w:sz w:val="20"/>
          <w:szCs w:val="20"/>
          <w:lang w:val="fr-FR"/>
        </w:rPr>
        <w:t xml:space="preserve"> à la couverture de nos programmes de paiements fondés sur des actions, par rapport à un gain de 444 millions d’USD au 2T16</w:t>
      </w:r>
      <w:r w:rsidR="00AD7955" w:rsidRPr="00381484">
        <w:rPr>
          <w:rFonts w:asciiTheme="minorHAnsi" w:hAnsiTheme="minorHAnsi" w:cstheme="minorHAnsi"/>
          <w:bCs/>
          <w:color w:val="45130F" w:themeColor="background2"/>
          <w:sz w:val="20"/>
          <w:szCs w:val="20"/>
          <w:lang w:val="fr-FR"/>
        </w:rPr>
        <w:t xml:space="preserve">, </w:t>
      </w:r>
      <w:r w:rsidR="00AD7955" w:rsidRPr="00D13FBB">
        <w:rPr>
          <w:rFonts w:asciiTheme="minorHAnsi" w:hAnsiTheme="minorHAnsi" w:cstheme="minorHAnsi"/>
          <w:bCs/>
          <w:color w:val="45130F" w:themeColor="background2"/>
          <w:sz w:val="20"/>
          <w:szCs w:val="20"/>
          <w:lang w:val="fr-FR"/>
        </w:rPr>
        <w:t>correspondant à un écart de 709 millions d’USD.</w:t>
      </w:r>
    </w:p>
    <w:p w14:paraId="0DF8A523" w14:textId="4C55BF13" w:rsidR="00684687" w:rsidRPr="00144F32" w:rsidRDefault="00684687" w:rsidP="00AB5337">
      <w:pPr>
        <w:pStyle w:val="BalloonText"/>
        <w:jc w:val="both"/>
        <w:rPr>
          <w:rFonts w:asciiTheme="minorHAnsi" w:hAnsiTheme="minorHAnsi" w:cstheme="minorHAnsi"/>
          <w:bCs/>
          <w:color w:val="45130F" w:themeColor="background2"/>
          <w:sz w:val="20"/>
          <w:szCs w:val="20"/>
          <w:lang w:val="fr-BE"/>
        </w:rPr>
      </w:pPr>
    </w:p>
    <w:p w14:paraId="10901DB0" w14:textId="03EFF6F6" w:rsidR="00684687" w:rsidRPr="00381484" w:rsidRDefault="000E5E80" w:rsidP="00F07E33">
      <w:pPr>
        <w:pStyle w:val="BalloonText"/>
        <w:jc w:val="both"/>
        <w:rPr>
          <w:rFonts w:asciiTheme="minorHAnsi" w:hAnsiTheme="minorHAnsi" w:cstheme="minorHAnsi"/>
          <w:bCs/>
          <w:color w:val="45130F" w:themeColor="background2"/>
          <w:sz w:val="20"/>
          <w:szCs w:val="20"/>
          <w:lang w:val="fr-BE"/>
        </w:rPr>
      </w:pPr>
      <w:r w:rsidRPr="00381484">
        <w:rPr>
          <w:rFonts w:asciiTheme="minorHAnsi" w:hAnsiTheme="minorHAnsi" w:cstheme="minorHAnsi"/>
          <w:bCs/>
          <w:color w:val="45130F" w:themeColor="background2"/>
          <w:sz w:val="20"/>
          <w:szCs w:val="20"/>
          <w:lang w:val="fr-FR"/>
        </w:rPr>
        <w:t>Les coûts financiers net</w:t>
      </w:r>
      <w:r w:rsidR="00F07E33" w:rsidRPr="00381484">
        <w:rPr>
          <w:rFonts w:asciiTheme="minorHAnsi" w:hAnsiTheme="minorHAnsi" w:cstheme="minorHAnsi"/>
          <w:bCs/>
          <w:color w:val="45130F" w:themeColor="background2"/>
          <w:sz w:val="20"/>
          <w:szCs w:val="20"/>
          <w:lang w:val="fr-FR"/>
        </w:rPr>
        <w:t>s au 1S17 s’élevaient à 3</w:t>
      </w:r>
      <w:r w:rsidR="00111D8D" w:rsidRPr="00381484">
        <w:rPr>
          <w:rFonts w:asciiTheme="minorHAnsi" w:hAnsiTheme="minorHAnsi" w:cstheme="minorHAnsi"/>
          <w:bCs/>
          <w:color w:val="45130F" w:themeColor="background2"/>
          <w:sz w:val="20"/>
          <w:szCs w:val="20"/>
          <w:lang w:val="fr-FR"/>
        </w:rPr>
        <w:t xml:space="preserve"> </w:t>
      </w:r>
      <w:r w:rsidR="00F07E33" w:rsidRPr="00381484">
        <w:rPr>
          <w:rFonts w:asciiTheme="minorHAnsi" w:hAnsiTheme="minorHAnsi" w:cstheme="minorHAnsi"/>
          <w:bCs/>
          <w:color w:val="45130F" w:themeColor="background2"/>
          <w:sz w:val="20"/>
          <w:szCs w:val="20"/>
          <w:lang w:val="fr-FR"/>
        </w:rPr>
        <w:t>120 millions d’USD, contre 1</w:t>
      </w:r>
      <w:r w:rsidR="00111D8D" w:rsidRPr="00381484">
        <w:rPr>
          <w:rFonts w:asciiTheme="minorHAnsi" w:hAnsiTheme="minorHAnsi" w:cstheme="minorHAnsi"/>
          <w:bCs/>
          <w:color w:val="45130F" w:themeColor="background2"/>
          <w:sz w:val="20"/>
          <w:szCs w:val="20"/>
          <w:lang w:val="fr-FR"/>
        </w:rPr>
        <w:t xml:space="preserve"> </w:t>
      </w:r>
      <w:r w:rsidRPr="00381484">
        <w:rPr>
          <w:rFonts w:asciiTheme="minorHAnsi" w:hAnsiTheme="minorHAnsi" w:cstheme="minorHAnsi"/>
          <w:bCs/>
          <w:color w:val="45130F" w:themeColor="background2"/>
          <w:sz w:val="20"/>
          <w:szCs w:val="20"/>
          <w:lang w:val="fr-FR"/>
        </w:rPr>
        <w:t>945 millions d’USD au 1S16.</w:t>
      </w:r>
      <w:r w:rsidR="00684687" w:rsidRPr="00381484">
        <w:rPr>
          <w:rFonts w:asciiTheme="minorHAnsi" w:hAnsiTheme="minorHAnsi" w:cstheme="minorHAnsi"/>
          <w:bCs/>
          <w:color w:val="45130F" w:themeColor="background2"/>
          <w:sz w:val="20"/>
          <w:szCs w:val="20"/>
          <w:lang w:val="fr-BE"/>
        </w:rPr>
        <w:t xml:space="preserve"> </w:t>
      </w:r>
      <w:r w:rsidRPr="00381484">
        <w:rPr>
          <w:rFonts w:asciiTheme="minorHAnsi" w:hAnsiTheme="minorHAnsi" w:cstheme="minorHAnsi"/>
          <w:bCs/>
          <w:color w:val="45130F" w:themeColor="background2"/>
          <w:sz w:val="20"/>
          <w:szCs w:val="20"/>
          <w:lang w:val="fr-FR"/>
        </w:rPr>
        <w:t>Cette hausse des coûts financiers est surtout due à un emprunt supplémentaire lié au rapprochement avec SAB et aux charges d’intérêts sur l</w:t>
      </w:r>
      <w:r w:rsidR="00F07E33" w:rsidRPr="00381484">
        <w:rPr>
          <w:rFonts w:asciiTheme="minorHAnsi" w:hAnsiTheme="minorHAnsi" w:cstheme="minorHAnsi"/>
          <w:bCs/>
          <w:color w:val="45130F" w:themeColor="background2"/>
          <w:sz w:val="20"/>
          <w:szCs w:val="20"/>
          <w:lang w:val="fr-FR"/>
        </w:rPr>
        <w:t xml:space="preserve">a dette héritée </w:t>
      </w:r>
      <w:r w:rsidRPr="00381484">
        <w:rPr>
          <w:rFonts w:asciiTheme="minorHAnsi" w:hAnsiTheme="minorHAnsi" w:cstheme="minorHAnsi"/>
          <w:bCs/>
          <w:color w:val="45130F" w:themeColor="background2"/>
          <w:sz w:val="20"/>
          <w:szCs w:val="20"/>
          <w:lang w:val="fr-FR"/>
        </w:rPr>
        <w:t>de SAB.</w:t>
      </w:r>
      <w:r w:rsidR="00D66701" w:rsidRPr="00381484">
        <w:rPr>
          <w:rFonts w:asciiTheme="minorHAnsi" w:hAnsiTheme="minorHAnsi" w:cstheme="minorHAnsi"/>
          <w:bCs/>
          <w:color w:val="45130F" w:themeColor="background2"/>
          <w:sz w:val="20"/>
          <w:szCs w:val="20"/>
          <w:lang w:val="fr-BE"/>
        </w:rPr>
        <w:t xml:space="preserve"> </w:t>
      </w:r>
      <w:r w:rsidRPr="00381484">
        <w:rPr>
          <w:rFonts w:asciiTheme="minorHAnsi" w:hAnsiTheme="minorHAnsi" w:cstheme="minorHAnsi"/>
          <w:bCs/>
          <w:color w:val="45130F" w:themeColor="background2"/>
          <w:sz w:val="20"/>
          <w:szCs w:val="20"/>
          <w:lang w:val="fr-FR"/>
        </w:rPr>
        <w:t>Les autres résultats financiers du 1S17 comprennent un ajustement à la valeur de marché négatif de 135 millions d’USD lié à la couverture de nos programmes de paiements fondés sur des actions, par rapport à un gain de 306 millions d’USD au 1S16.</w:t>
      </w:r>
      <w:r w:rsidR="007910B0" w:rsidRPr="00381484" w:rsidDel="007910B0">
        <w:rPr>
          <w:rFonts w:asciiTheme="minorHAnsi" w:hAnsiTheme="minorHAnsi" w:cstheme="minorHAnsi"/>
          <w:bCs/>
          <w:color w:val="45130F" w:themeColor="background2"/>
          <w:sz w:val="20"/>
          <w:szCs w:val="20"/>
          <w:lang w:val="fr-BE"/>
        </w:rPr>
        <w:t xml:space="preserve"> </w:t>
      </w:r>
    </w:p>
    <w:p w14:paraId="7161043B" w14:textId="77777777" w:rsidR="00AB5337" w:rsidRPr="00381484" w:rsidRDefault="00AB5337" w:rsidP="00AB5337">
      <w:pPr>
        <w:pStyle w:val="BalloonText"/>
        <w:jc w:val="both"/>
        <w:rPr>
          <w:rFonts w:asciiTheme="minorHAnsi" w:hAnsiTheme="minorHAnsi" w:cstheme="minorHAnsi"/>
          <w:bCs/>
          <w:color w:val="45130F" w:themeColor="background2"/>
          <w:sz w:val="20"/>
          <w:szCs w:val="20"/>
          <w:lang w:val="fr-BE"/>
        </w:rPr>
      </w:pPr>
    </w:p>
    <w:p w14:paraId="31EC47E4" w14:textId="2034FB50" w:rsidR="00AB5337" w:rsidRPr="00381484" w:rsidRDefault="000E5E80" w:rsidP="00F07E33">
      <w:pPr>
        <w:pStyle w:val="BalloonText"/>
        <w:jc w:val="both"/>
        <w:rPr>
          <w:rFonts w:asciiTheme="minorHAnsi" w:hAnsiTheme="minorHAnsi" w:cstheme="minorHAnsi"/>
          <w:bCs/>
          <w:color w:val="45130F" w:themeColor="background2"/>
          <w:sz w:val="20"/>
          <w:szCs w:val="20"/>
          <w:lang w:val="fr-BE"/>
        </w:rPr>
      </w:pPr>
      <w:r w:rsidRPr="00381484">
        <w:rPr>
          <w:rFonts w:asciiTheme="minorHAnsi" w:hAnsiTheme="minorHAnsi" w:cstheme="minorHAnsi"/>
          <w:bCs/>
          <w:color w:val="45130F" w:themeColor="background2"/>
          <w:sz w:val="20"/>
          <w:szCs w:val="20"/>
          <w:lang w:val="fr-FR"/>
        </w:rPr>
        <w:t>Le nombre d’actions incluses dans la couverture de nos programmes de paiements fondés sur des actions ainsi que les cours d'ouverture et de clôture des actions sont présentés au tableau 6 ci-dessous.</w:t>
      </w:r>
    </w:p>
    <w:p w14:paraId="5E069ACE" w14:textId="5D911479" w:rsidR="00BE006E" w:rsidRPr="00A86DC5" w:rsidRDefault="00BE006E" w:rsidP="00AB5337">
      <w:pPr>
        <w:spacing w:after="0" w:line="240" w:lineRule="auto"/>
        <w:jc w:val="both"/>
        <w:rPr>
          <w:rFonts w:cstheme="minorHAnsi"/>
          <w:b/>
          <w:bCs/>
          <w:iCs/>
          <w:color w:val="45130F" w:themeColor="background2"/>
          <w:sz w:val="20"/>
          <w:szCs w:val="20"/>
          <w:lang w:val="fr-BE"/>
        </w:rPr>
      </w:pPr>
    </w:p>
    <w:p w14:paraId="40370B34" w14:textId="4A9CCE25" w:rsidR="00BE006E" w:rsidRDefault="00A86DC5" w:rsidP="00AB5337">
      <w:pPr>
        <w:spacing w:after="0" w:line="240" w:lineRule="auto"/>
        <w:jc w:val="both"/>
        <w:rPr>
          <w:rFonts w:cstheme="minorHAnsi"/>
          <w:b/>
          <w:bCs/>
          <w:iCs/>
          <w:color w:val="45130F" w:themeColor="background2"/>
          <w:sz w:val="20"/>
          <w:szCs w:val="20"/>
        </w:rPr>
      </w:pPr>
      <w:r w:rsidRPr="00A86DC5">
        <w:rPr>
          <w:noProof/>
        </w:rPr>
        <w:drawing>
          <wp:inline distT="0" distB="0" distL="0" distR="0" wp14:anchorId="248AEEFC" wp14:editId="521D540B">
            <wp:extent cx="5943600" cy="61278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612781"/>
                    </a:xfrm>
                    <a:prstGeom prst="rect">
                      <a:avLst/>
                    </a:prstGeom>
                    <a:noFill/>
                    <a:ln>
                      <a:noFill/>
                    </a:ln>
                  </pic:spPr>
                </pic:pic>
              </a:graphicData>
            </a:graphic>
          </wp:inline>
        </w:drawing>
      </w:r>
    </w:p>
    <w:p w14:paraId="3A6EE387" w14:textId="6D4D41CF" w:rsidR="00AB5337" w:rsidRPr="00144F32" w:rsidRDefault="000E5E80" w:rsidP="00F07E33">
      <w:pPr>
        <w:spacing w:after="0" w:line="240" w:lineRule="auto"/>
        <w:jc w:val="both"/>
        <w:rPr>
          <w:rFonts w:cstheme="minorHAnsi"/>
          <w:b/>
          <w:bCs/>
          <w:color w:val="45130F" w:themeColor="background2"/>
          <w:sz w:val="20"/>
          <w:szCs w:val="20"/>
          <w:u w:val="single"/>
          <w:lang w:val="fr-BE"/>
        </w:rPr>
      </w:pPr>
      <w:r w:rsidRPr="00144F32">
        <w:rPr>
          <w:rFonts w:cstheme="minorHAnsi"/>
          <w:b/>
          <w:bCs/>
          <w:color w:val="45130F" w:themeColor="background2"/>
          <w:sz w:val="20"/>
          <w:szCs w:val="20"/>
          <w:u w:val="single"/>
          <w:lang w:val="fr-FR"/>
        </w:rPr>
        <w:lastRenderedPageBreak/>
        <w:t>Revenus/(coûts) financiers nets non-récurrents</w:t>
      </w:r>
    </w:p>
    <w:p w14:paraId="5ACDEE90" w14:textId="38B7FC7D" w:rsidR="00BA0BE4" w:rsidRPr="00381484" w:rsidRDefault="000E5E80" w:rsidP="00F07E33">
      <w:pPr>
        <w:autoSpaceDE w:val="0"/>
        <w:autoSpaceDN w:val="0"/>
        <w:adjustRightInd w:val="0"/>
        <w:spacing w:before="120" w:after="0" w:line="240" w:lineRule="auto"/>
        <w:jc w:val="both"/>
        <w:rPr>
          <w:rFonts w:cstheme="minorHAnsi"/>
          <w:bCs/>
          <w:color w:val="45130F" w:themeColor="background2"/>
          <w:sz w:val="20"/>
          <w:szCs w:val="20"/>
          <w:lang w:val="fr-FR"/>
        </w:rPr>
      </w:pPr>
      <w:r w:rsidRPr="00381484">
        <w:rPr>
          <w:rFonts w:cstheme="minorHAnsi"/>
          <w:b/>
          <w:bCs/>
          <w:color w:val="45130F" w:themeColor="background2"/>
          <w:sz w:val="20"/>
          <w:szCs w:val="20"/>
          <w:lang w:val="fr-FR"/>
        </w:rPr>
        <w:t xml:space="preserve">Les coûts financiers nets non-récurrents </w:t>
      </w:r>
      <w:r w:rsidRPr="00381484">
        <w:rPr>
          <w:rFonts w:cstheme="minorHAnsi"/>
          <w:bCs/>
          <w:color w:val="45130F" w:themeColor="background2"/>
          <w:sz w:val="20"/>
          <w:szCs w:val="20"/>
          <w:lang w:val="fr-FR"/>
        </w:rPr>
        <w:t>sont de 310 millions d’USD au 2T1</w:t>
      </w:r>
      <w:r w:rsidR="00F07E33" w:rsidRPr="00381484">
        <w:rPr>
          <w:rFonts w:cstheme="minorHAnsi"/>
          <w:bCs/>
          <w:color w:val="45130F" w:themeColor="background2"/>
          <w:sz w:val="20"/>
          <w:szCs w:val="20"/>
          <w:lang w:val="fr-FR"/>
        </w:rPr>
        <w:t>7, alors qu’ils s’élevaient à 1</w:t>
      </w:r>
      <w:r w:rsidR="00700741" w:rsidRPr="00381484">
        <w:rPr>
          <w:rFonts w:cstheme="minorHAnsi"/>
          <w:bCs/>
          <w:color w:val="45130F" w:themeColor="background2"/>
          <w:sz w:val="20"/>
          <w:szCs w:val="20"/>
          <w:lang w:val="fr-FR"/>
        </w:rPr>
        <w:t xml:space="preserve"> </w:t>
      </w:r>
      <w:r w:rsidRPr="00381484">
        <w:rPr>
          <w:rFonts w:cstheme="minorHAnsi"/>
          <w:bCs/>
          <w:color w:val="45130F" w:themeColor="background2"/>
          <w:sz w:val="20"/>
          <w:szCs w:val="20"/>
          <w:lang w:val="fr-FR"/>
        </w:rPr>
        <w:t>484 millions d’USD au 2T16.</w:t>
      </w:r>
      <w:r w:rsidR="001B6403" w:rsidRPr="00381484">
        <w:rPr>
          <w:rFonts w:cstheme="minorHAnsi"/>
          <w:bCs/>
          <w:color w:val="45130F" w:themeColor="background2"/>
          <w:sz w:val="20"/>
          <w:szCs w:val="20"/>
          <w:lang w:val="fr-BE"/>
        </w:rPr>
        <w:t xml:space="preserve"> </w:t>
      </w:r>
      <w:r w:rsidRPr="00381484">
        <w:rPr>
          <w:rFonts w:cstheme="minorHAnsi"/>
          <w:bCs/>
          <w:color w:val="45130F" w:themeColor="background2"/>
          <w:sz w:val="20"/>
          <w:szCs w:val="20"/>
          <w:lang w:val="fr-FR"/>
        </w:rPr>
        <w:t xml:space="preserve">Les coûts financiers nets non-récurrents du 2T16 </w:t>
      </w:r>
      <w:r w:rsidR="00700741" w:rsidRPr="00381484">
        <w:rPr>
          <w:rFonts w:cstheme="minorHAnsi"/>
          <w:bCs/>
          <w:color w:val="45130F" w:themeColor="background2"/>
          <w:sz w:val="20"/>
          <w:szCs w:val="20"/>
          <w:lang w:val="fr-FR"/>
        </w:rPr>
        <w:t>comprenaient</w:t>
      </w:r>
      <w:r w:rsidRPr="00381484">
        <w:rPr>
          <w:rFonts w:cstheme="minorHAnsi"/>
          <w:bCs/>
          <w:color w:val="45130F" w:themeColor="background2"/>
          <w:sz w:val="20"/>
          <w:szCs w:val="20"/>
          <w:lang w:val="fr-FR"/>
        </w:rPr>
        <w:t xml:space="preserve"> un ajustement à l</w:t>
      </w:r>
      <w:r w:rsidR="00F07E33" w:rsidRPr="00381484">
        <w:rPr>
          <w:rFonts w:cstheme="minorHAnsi"/>
          <w:bCs/>
          <w:color w:val="45130F" w:themeColor="background2"/>
          <w:sz w:val="20"/>
          <w:szCs w:val="20"/>
          <w:lang w:val="fr-FR"/>
        </w:rPr>
        <w:t>a valeur de marché négatif de 1</w:t>
      </w:r>
      <w:r w:rsidR="00700741" w:rsidRPr="00381484">
        <w:rPr>
          <w:rFonts w:cstheme="minorHAnsi"/>
          <w:bCs/>
          <w:color w:val="45130F" w:themeColor="background2"/>
          <w:sz w:val="20"/>
          <w:szCs w:val="20"/>
          <w:lang w:val="fr-FR"/>
        </w:rPr>
        <w:t xml:space="preserve"> </w:t>
      </w:r>
      <w:r w:rsidRPr="00381484">
        <w:rPr>
          <w:rFonts w:cstheme="minorHAnsi"/>
          <w:bCs/>
          <w:color w:val="45130F" w:themeColor="background2"/>
          <w:sz w:val="20"/>
          <w:szCs w:val="20"/>
          <w:lang w:val="fr-FR"/>
        </w:rPr>
        <w:t>766 millions d’USD se rapportant à la partie de la couverture du risque de change du prix d’achat du rapprochement avec SAB qui n’a pas été qualifiée pour la comptabilité de couverture en vertu des règles IFRS.</w:t>
      </w:r>
    </w:p>
    <w:p w14:paraId="0C61E0FC" w14:textId="2945EF05" w:rsidR="001B6403" w:rsidRPr="00381484" w:rsidRDefault="001B6403" w:rsidP="00D13FBB">
      <w:pPr>
        <w:autoSpaceDE w:val="0"/>
        <w:autoSpaceDN w:val="0"/>
        <w:adjustRightInd w:val="0"/>
        <w:spacing w:after="0" w:line="240" w:lineRule="auto"/>
        <w:jc w:val="both"/>
        <w:rPr>
          <w:rFonts w:cstheme="minorHAnsi"/>
          <w:bCs/>
          <w:vanish/>
          <w:color w:val="45130F" w:themeColor="background2"/>
          <w:sz w:val="20"/>
          <w:szCs w:val="20"/>
          <w:lang w:val="fr-BE"/>
        </w:rPr>
      </w:pPr>
      <w:r w:rsidRPr="00381484">
        <w:rPr>
          <w:rFonts w:cstheme="minorHAnsi"/>
          <w:bCs/>
          <w:color w:val="45130F" w:themeColor="background2"/>
          <w:sz w:val="20"/>
          <w:szCs w:val="20"/>
          <w:lang w:val="fr-BE"/>
        </w:rPr>
        <w:t xml:space="preserve"> </w:t>
      </w:r>
    </w:p>
    <w:p w14:paraId="3E703056" w14:textId="77777777" w:rsidR="008D29F8" w:rsidRPr="00381484" w:rsidRDefault="008D29F8" w:rsidP="001B6403">
      <w:pPr>
        <w:autoSpaceDE w:val="0"/>
        <w:autoSpaceDN w:val="0"/>
        <w:adjustRightInd w:val="0"/>
        <w:spacing w:before="120" w:after="0" w:line="240" w:lineRule="auto"/>
        <w:jc w:val="both"/>
        <w:rPr>
          <w:rFonts w:cstheme="minorHAnsi"/>
          <w:bCs/>
          <w:color w:val="45130F" w:themeColor="background2"/>
          <w:sz w:val="20"/>
          <w:szCs w:val="20"/>
          <w:lang w:val="fr-BE"/>
        </w:rPr>
      </w:pPr>
    </w:p>
    <w:p w14:paraId="4B1B74F4" w14:textId="50C212E1" w:rsidR="00D37F3B" w:rsidRPr="00381484" w:rsidRDefault="000E5E80" w:rsidP="00F07E33">
      <w:pPr>
        <w:pStyle w:val="BalloonText"/>
        <w:jc w:val="both"/>
        <w:rPr>
          <w:rFonts w:asciiTheme="minorHAnsi" w:hAnsiTheme="minorHAnsi" w:cstheme="minorHAnsi"/>
          <w:b/>
          <w:bCs/>
          <w:color w:val="45130F" w:themeColor="background2"/>
          <w:sz w:val="20"/>
          <w:szCs w:val="20"/>
          <w:lang w:val="fr-BE"/>
        </w:rPr>
      </w:pPr>
      <w:r w:rsidRPr="00381484">
        <w:rPr>
          <w:rFonts w:asciiTheme="minorHAnsi" w:hAnsiTheme="minorHAnsi" w:cstheme="minorHAnsi"/>
          <w:bCs/>
          <w:color w:val="45130F" w:themeColor="background2"/>
          <w:sz w:val="20"/>
          <w:szCs w:val="20"/>
          <w:lang w:val="fr-FR"/>
        </w:rPr>
        <w:t xml:space="preserve">Les résultats du 2T17 comprennent un ajustement à la valeur de marché </w:t>
      </w:r>
      <w:r w:rsidR="00F07E33" w:rsidRPr="00381484">
        <w:rPr>
          <w:rFonts w:asciiTheme="minorHAnsi" w:hAnsiTheme="minorHAnsi" w:cstheme="minorHAnsi"/>
          <w:bCs/>
          <w:color w:val="45130F" w:themeColor="background2"/>
          <w:sz w:val="20"/>
          <w:szCs w:val="20"/>
          <w:lang w:val="fr-FR"/>
        </w:rPr>
        <w:t xml:space="preserve">négatif </w:t>
      </w:r>
      <w:r w:rsidRPr="00381484">
        <w:rPr>
          <w:rFonts w:asciiTheme="minorHAnsi" w:hAnsiTheme="minorHAnsi" w:cstheme="minorHAnsi"/>
          <w:bCs/>
          <w:color w:val="45130F" w:themeColor="background2"/>
          <w:sz w:val="20"/>
          <w:szCs w:val="20"/>
          <w:lang w:val="fr-FR"/>
        </w:rPr>
        <w:t>de nos instruments de fonds propres liés à l'émission d'actions différées dans le cadre du rapprochement avec Grupo Modelo et à l'émission d'actions restreintes dans le cadre du rapprochement avec SAB.</w:t>
      </w:r>
      <w:r w:rsidR="001B6403" w:rsidRPr="00381484">
        <w:rPr>
          <w:rFonts w:asciiTheme="minorHAnsi" w:hAnsiTheme="minorHAnsi" w:cstheme="minorHAnsi"/>
          <w:bCs/>
          <w:color w:val="45130F" w:themeColor="background2"/>
          <w:sz w:val="20"/>
          <w:szCs w:val="20"/>
          <w:lang w:val="fr-BE"/>
        </w:rPr>
        <w:t xml:space="preserve"> </w:t>
      </w:r>
      <w:r w:rsidRPr="00381484">
        <w:rPr>
          <w:rFonts w:asciiTheme="minorHAnsi" w:hAnsiTheme="minorHAnsi" w:cstheme="minorHAnsi"/>
          <w:bCs/>
          <w:color w:val="45130F" w:themeColor="background2"/>
          <w:sz w:val="20"/>
          <w:szCs w:val="20"/>
          <w:lang w:val="fr-FR"/>
        </w:rPr>
        <w:t>Le nombre d’actions incluses dans la couverture du système d’action différé et les actions restreintes ainsi que les cours d’ouverture et de clôture des actions sont fournis au tableau 8.</w:t>
      </w:r>
    </w:p>
    <w:p w14:paraId="7C498588" w14:textId="77777777" w:rsidR="00BE006E" w:rsidRPr="00A86DC5" w:rsidRDefault="00BE006E" w:rsidP="00AB5337">
      <w:pPr>
        <w:pStyle w:val="BalloonText"/>
        <w:jc w:val="both"/>
        <w:rPr>
          <w:lang w:val="fr-BE"/>
        </w:rPr>
      </w:pPr>
    </w:p>
    <w:p w14:paraId="2B94A26D" w14:textId="3AA241E3" w:rsidR="00BE006E" w:rsidRDefault="00A86DC5" w:rsidP="00AB5337">
      <w:pPr>
        <w:pStyle w:val="BalloonText"/>
        <w:jc w:val="both"/>
        <w:rPr>
          <w:rFonts w:asciiTheme="minorHAnsi" w:hAnsiTheme="minorHAnsi" w:cstheme="minorHAnsi"/>
          <w:b/>
          <w:bCs/>
          <w:color w:val="45130F" w:themeColor="background2"/>
          <w:sz w:val="20"/>
          <w:szCs w:val="20"/>
        </w:rPr>
      </w:pPr>
      <w:r w:rsidRPr="00A86DC5">
        <w:rPr>
          <w:noProof/>
        </w:rPr>
        <w:drawing>
          <wp:inline distT="0" distB="0" distL="0" distR="0" wp14:anchorId="6E15B507" wp14:editId="0F04EB0F">
            <wp:extent cx="5943600" cy="1308739"/>
            <wp:effectExtent l="0" t="0" r="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1308739"/>
                    </a:xfrm>
                    <a:prstGeom prst="rect">
                      <a:avLst/>
                    </a:prstGeom>
                    <a:noFill/>
                    <a:ln>
                      <a:noFill/>
                    </a:ln>
                  </pic:spPr>
                </pic:pic>
              </a:graphicData>
            </a:graphic>
          </wp:inline>
        </w:drawing>
      </w:r>
    </w:p>
    <w:p w14:paraId="4BA792E4" w14:textId="77777777" w:rsidR="00E702A3" w:rsidRDefault="00E702A3" w:rsidP="00AB5337">
      <w:pPr>
        <w:pStyle w:val="BalloonText"/>
        <w:jc w:val="both"/>
        <w:rPr>
          <w:rFonts w:asciiTheme="minorHAnsi" w:hAnsiTheme="minorHAnsi" w:cstheme="minorHAnsi"/>
          <w:b/>
          <w:bCs/>
          <w:color w:val="45130F" w:themeColor="background2"/>
          <w:sz w:val="20"/>
          <w:szCs w:val="20"/>
        </w:rPr>
      </w:pPr>
    </w:p>
    <w:p w14:paraId="348A0FD1" w14:textId="643117FE" w:rsidR="001F2A5C" w:rsidRPr="00240D9B" w:rsidRDefault="00A86DC5" w:rsidP="0020478B">
      <w:pPr>
        <w:pStyle w:val="BalloonText"/>
        <w:jc w:val="both"/>
        <w:rPr>
          <w:rFonts w:cstheme="minorHAnsi"/>
          <w:bCs/>
          <w:color w:val="45130F" w:themeColor="background2"/>
          <w:sz w:val="20"/>
          <w:szCs w:val="20"/>
        </w:rPr>
      </w:pPr>
      <w:r w:rsidRPr="00A86DC5">
        <w:rPr>
          <w:noProof/>
        </w:rPr>
        <w:drawing>
          <wp:inline distT="0" distB="0" distL="0" distR="0" wp14:anchorId="5CF6F8B5" wp14:editId="6117241D">
            <wp:extent cx="5943600" cy="606672"/>
            <wp:effectExtent l="0" t="0" r="0"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606672"/>
                    </a:xfrm>
                    <a:prstGeom prst="rect">
                      <a:avLst/>
                    </a:prstGeom>
                    <a:noFill/>
                    <a:ln>
                      <a:noFill/>
                    </a:ln>
                  </pic:spPr>
                </pic:pic>
              </a:graphicData>
            </a:graphic>
          </wp:inline>
        </w:drawing>
      </w:r>
    </w:p>
    <w:p w14:paraId="10C81C01" w14:textId="77777777" w:rsidR="001F2A5C" w:rsidRDefault="001F2A5C" w:rsidP="00AB5337">
      <w:pPr>
        <w:pStyle w:val="BalloonText"/>
        <w:jc w:val="both"/>
        <w:rPr>
          <w:rFonts w:asciiTheme="minorHAnsi" w:hAnsiTheme="minorHAnsi" w:cstheme="minorHAnsi"/>
          <w:color w:val="45130F" w:themeColor="background2"/>
          <w:sz w:val="20"/>
          <w:szCs w:val="20"/>
        </w:rPr>
      </w:pPr>
    </w:p>
    <w:p w14:paraId="1DB609EC" w14:textId="03D23140" w:rsidR="001B6403" w:rsidRDefault="00A86DC5" w:rsidP="00AB5337">
      <w:pPr>
        <w:pStyle w:val="BalloonText"/>
        <w:jc w:val="both"/>
        <w:rPr>
          <w:rFonts w:asciiTheme="minorHAnsi" w:hAnsiTheme="minorHAnsi" w:cstheme="minorHAnsi"/>
          <w:color w:val="45130F" w:themeColor="background2"/>
          <w:sz w:val="20"/>
          <w:szCs w:val="20"/>
        </w:rPr>
      </w:pPr>
      <w:r w:rsidRPr="00A86DC5">
        <w:rPr>
          <w:noProof/>
        </w:rPr>
        <w:drawing>
          <wp:inline distT="0" distB="0" distL="0" distR="0" wp14:anchorId="4FC91DBD" wp14:editId="17350DA1">
            <wp:extent cx="5943600" cy="606672"/>
            <wp:effectExtent l="0" t="0" r="0"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606672"/>
                    </a:xfrm>
                    <a:prstGeom prst="rect">
                      <a:avLst/>
                    </a:prstGeom>
                    <a:noFill/>
                    <a:ln>
                      <a:noFill/>
                    </a:ln>
                  </pic:spPr>
                </pic:pic>
              </a:graphicData>
            </a:graphic>
          </wp:inline>
        </w:drawing>
      </w:r>
    </w:p>
    <w:p w14:paraId="4DD869EE" w14:textId="4FD1635F" w:rsidR="00E702A3" w:rsidRPr="00240D9B" w:rsidRDefault="00E702A3" w:rsidP="00A86DC5">
      <w:pPr>
        <w:spacing w:after="0"/>
        <w:rPr>
          <w:rFonts w:cstheme="minorHAnsi"/>
          <w:b/>
          <w:bCs/>
          <w:iCs/>
          <w:color w:val="45130F" w:themeColor="background2"/>
          <w:sz w:val="20"/>
          <w:szCs w:val="20"/>
          <w:u w:val="single"/>
        </w:rPr>
      </w:pPr>
    </w:p>
    <w:p w14:paraId="14046D62" w14:textId="37C86F9F" w:rsidR="00E702A3" w:rsidRDefault="00A86DC5" w:rsidP="00AB5337">
      <w:pPr>
        <w:spacing w:after="0" w:line="240" w:lineRule="auto"/>
        <w:jc w:val="both"/>
        <w:rPr>
          <w:rFonts w:cstheme="minorHAnsi"/>
          <w:b/>
          <w:bCs/>
          <w:color w:val="45130F" w:themeColor="background2"/>
          <w:sz w:val="20"/>
          <w:szCs w:val="20"/>
          <w:u w:val="single"/>
        </w:rPr>
      </w:pPr>
      <w:r w:rsidRPr="00A86DC5">
        <w:rPr>
          <w:noProof/>
        </w:rPr>
        <w:drawing>
          <wp:inline distT="0" distB="0" distL="0" distR="0" wp14:anchorId="2C90AECB" wp14:editId="05255932">
            <wp:extent cx="5943600" cy="122556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1225562"/>
                    </a:xfrm>
                    <a:prstGeom prst="rect">
                      <a:avLst/>
                    </a:prstGeom>
                    <a:noFill/>
                    <a:ln>
                      <a:noFill/>
                    </a:ln>
                  </pic:spPr>
                </pic:pic>
              </a:graphicData>
            </a:graphic>
          </wp:inline>
        </w:drawing>
      </w:r>
    </w:p>
    <w:p w14:paraId="08E4F7F6" w14:textId="695893C8" w:rsidR="00E702A3" w:rsidRDefault="00E702A3" w:rsidP="00AB5337">
      <w:pPr>
        <w:spacing w:after="0" w:line="240" w:lineRule="auto"/>
        <w:jc w:val="both"/>
        <w:rPr>
          <w:rFonts w:cstheme="minorHAnsi"/>
          <w:b/>
          <w:bCs/>
          <w:color w:val="45130F" w:themeColor="background2"/>
          <w:sz w:val="20"/>
          <w:szCs w:val="20"/>
          <w:u w:val="single"/>
        </w:rPr>
      </w:pPr>
    </w:p>
    <w:p w14:paraId="05C988FC" w14:textId="77777777" w:rsidR="00053D1C" w:rsidRPr="00053D1C" w:rsidRDefault="00053D1C" w:rsidP="00AB5337">
      <w:pPr>
        <w:spacing w:after="0" w:line="240" w:lineRule="auto"/>
        <w:jc w:val="both"/>
        <w:rPr>
          <w:rFonts w:cstheme="minorHAnsi"/>
          <w:color w:val="45130F" w:themeColor="background2"/>
          <w:sz w:val="20"/>
          <w:szCs w:val="20"/>
        </w:rPr>
      </w:pPr>
    </w:p>
    <w:p w14:paraId="5009D686" w14:textId="77777777" w:rsidR="00BA0BE4" w:rsidRDefault="00BA0BE4">
      <w:pPr>
        <w:rPr>
          <w:rFonts w:cstheme="minorHAnsi"/>
          <w:b/>
          <w:color w:val="45130F" w:themeColor="background2"/>
          <w:sz w:val="20"/>
          <w:szCs w:val="20"/>
          <w:u w:val="single"/>
          <w:lang w:val="fr-FR"/>
        </w:rPr>
      </w:pPr>
      <w:r>
        <w:rPr>
          <w:rFonts w:cstheme="minorHAnsi"/>
          <w:b/>
          <w:color w:val="45130F" w:themeColor="background2"/>
          <w:sz w:val="20"/>
          <w:szCs w:val="20"/>
          <w:u w:val="single"/>
          <w:lang w:val="fr-FR"/>
        </w:rPr>
        <w:br w:type="page"/>
      </w:r>
    </w:p>
    <w:p w14:paraId="29AB138A" w14:textId="620AB68B" w:rsidR="00AB5337" w:rsidRPr="00A86DC5" w:rsidRDefault="000E5E80" w:rsidP="00F07E33">
      <w:pPr>
        <w:spacing w:after="0" w:line="240" w:lineRule="auto"/>
        <w:jc w:val="both"/>
        <w:rPr>
          <w:rFonts w:cstheme="minorHAnsi"/>
          <w:b/>
          <w:color w:val="45130F" w:themeColor="background2"/>
          <w:sz w:val="20"/>
          <w:szCs w:val="20"/>
          <w:u w:val="single"/>
          <w:lang w:val="fr-BE"/>
        </w:rPr>
      </w:pPr>
      <w:r w:rsidRPr="00F07E33">
        <w:rPr>
          <w:rFonts w:cstheme="minorHAnsi"/>
          <w:b/>
          <w:color w:val="45130F" w:themeColor="background2"/>
          <w:sz w:val="20"/>
          <w:szCs w:val="20"/>
          <w:u w:val="single"/>
          <w:lang w:val="fr-FR"/>
        </w:rPr>
        <w:lastRenderedPageBreak/>
        <w:t>BPA normalisé et de base</w:t>
      </w:r>
    </w:p>
    <w:p w14:paraId="1F89F1BD" w14:textId="5F3DF3AA" w:rsidR="00B41E8B" w:rsidRPr="00A86DC5" w:rsidRDefault="00B41E8B" w:rsidP="00AB5337">
      <w:pPr>
        <w:spacing w:after="0" w:line="240" w:lineRule="auto"/>
        <w:jc w:val="both"/>
        <w:rPr>
          <w:rFonts w:cstheme="minorHAnsi"/>
          <w:color w:val="45130F" w:themeColor="background2"/>
          <w:sz w:val="20"/>
          <w:szCs w:val="20"/>
          <w:lang w:val="fr-BE"/>
        </w:rPr>
      </w:pPr>
    </w:p>
    <w:p w14:paraId="308CCE20" w14:textId="0E491FBD" w:rsidR="00AB5337" w:rsidRDefault="00D455DC" w:rsidP="00AB5337">
      <w:pPr>
        <w:spacing w:after="0" w:line="240" w:lineRule="auto"/>
        <w:jc w:val="both"/>
        <w:rPr>
          <w:rFonts w:cstheme="minorHAnsi"/>
          <w:color w:val="45130F" w:themeColor="background2"/>
          <w:sz w:val="20"/>
          <w:szCs w:val="20"/>
        </w:rPr>
      </w:pPr>
      <w:r w:rsidRPr="00D455DC">
        <w:rPr>
          <w:noProof/>
        </w:rPr>
        <w:drawing>
          <wp:inline distT="0" distB="0" distL="0" distR="0" wp14:anchorId="610F5611" wp14:editId="6BAB3E18">
            <wp:extent cx="5943600" cy="1104322"/>
            <wp:effectExtent l="0" t="0" r="0"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1104322"/>
                    </a:xfrm>
                    <a:prstGeom prst="rect">
                      <a:avLst/>
                    </a:prstGeom>
                    <a:noFill/>
                    <a:ln>
                      <a:noFill/>
                    </a:ln>
                  </pic:spPr>
                </pic:pic>
              </a:graphicData>
            </a:graphic>
          </wp:inline>
        </w:drawing>
      </w:r>
    </w:p>
    <w:p w14:paraId="358F4D0D" w14:textId="77777777" w:rsidR="001A5A02" w:rsidRPr="00240D9B" w:rsidRDefault="001A5A02" w:rsidP="00AB5337">
      <w:pPr>
        <w:spacing w:after="0" w:line="240" w:lineRule="auto"/>
        <w:jc w:val="both"/>
        <w:rPr>
          <w:rFonts w:cstheme="minorHAnsi"/>
          <w:color w:val="45130F" w:themeColor="background2"/>
          <w:sz w:val="20"/>
          <w:szCs w:val="20"/>
        </w:rPr>
      </w:pPr>
    </w:p>
    <w:p w14:paraId="5862B27C" w14:textId="055E23CD" w:rsidR="00C11799" w:rsidRPr="00A86DC5" w:rsidRDefault="000E5E80" w:rsidP="00F07E33">
      <w:pPr>
        <w:pStyle w:val="BalloonText"/>
        <w:jc w:val="both"/>
        <w:rPr>
          <w:rFonts w:asciiTheme="minorHAnsi" w:hAnsiTheme="minorHAnsi" w:cstheme="minorHAnsi"/>
          <w:color w:val="45130F" w:themeColor="background2"/>
          <w:sz w:val="20"/>
          <w:szCs w:val="20"/>
          <w:lang w:val="fr-BE"/>
        </w:rPr>
      </w:pPr>
      <w:r w:rsidRPr="00F07E33">
        <w:rPr>
          <w:rFonts w:asciiTheme="minorHAnsi" w:hAnsiTheme="minorHAnsi" w:cstheme="minorHAnsi"/>
          <w:color w:val="45130F" w:themeColor="background2"/>
          <w:sz w:val="20"/>
          <w:szCs w:val="20"/>
          <w:lang w:val="fr-FR"/>
        </w:rPr>
        <w:t>Le bénéfice par action (BPA) normalisé a diminué, passant de 1,06 USD au 2T16 à 0,95 USD au 2T17, la hausse de l’EBITDA étant plus qu’atténuée par l’impact négatif des ajustements à la valeur de marché lié à la couverture de nos programmes de paiements fondés sur des actions et par l’augmentation du nombre d’actions en circulation.</w:t>
      </w:r>
    </w:p>
    <w:p w14:paraId="05A56D3F" w14:textId="77777777" w:rsidR="00E702A3" w:rsidRPr="00A86DC5" w:rsidRDefault="00E702A3" w:rsidP="00C11799">
      <w:pPr>
        <w:pStyle w:val="BalloonText"/>
        <w:jc w:val="both"/>
        <w:rPr>
          <w:rFonts w:asciiTheme="minorHAnsi" w:hAnsiTheme="minorHAnsi" w:cstheme="minorHAnsi"/>
          <w:color w:val="45130F" w:themeColor="background2"/>
          <w:sz w:val="20"/>
          <w:szCs w:val="20"/>
          <w:lang w:val="fr-BE"/>
        </w:rPr>
      </w:pPr>
    </w:p>
    <w:p w14:paraId="25296DB5" w14:textId="2AB12D5F" w:rsidR="00E702A3" w:rsidRDefault="00D455DC" w:rsidP="00C51959">
      <w:pPr>
        <w:spacing w:after="0" w:line="240" w:lineRule="auto"/>
        <w:jc w:val="both"/>
        <w:rPr>
          <w:rFonts w:cstheme="minorHAnsi"/>
          <w:b/>
          <w:color w:val="45130F" w:themeColor="background2"/>
          <w:sz w:val="20"/>
          <w:szCs w:val="20"/>
          <w:u w:val="single"/>
        </w:rPr>
      </w:pPr>
      <w:r w:rsidRPr="00D455DC">
        <w:rPr>
          <w:noProof/>
        </w:rPr>
        <w:drawing>
          <wp:inline distT="0" distB="0" distL="0" distR="0" wp14:anchorId="46D60901" wp14:editId="12772C1A">
            <wp:extent cx="5943600" cy="1615247"/>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1615247"/>
                    </a:xfrm>
                    <a:prstGeom prst="rect">
                      <a:avLst/>
                    </a:prstGeom>
                    <a:noFill/>
                    <a:ln>
                      <a:noFill/>
                    </a:ln>
                  </pic:spPr>
                </pic:pic>
              </a:graphicData>
            </a:graphic>
          </wp:inline>
        </w:drawing>
      </w:r>
    </w:p>
    <w:p w14:paraId="17E1DDBB" w14:textId="77777777" w:rsidR="00671484" w:rsidRDefault="00671484" w:rsidP="00C51959">
      <w:pPr>
        <w:spacing w:after="0" w:line="240" w:lineRule="auto"/>
        <w:jc w:val="both"/>
        <w:rPr>
          <w:rFonts w:cstheme="minorHAnsi"/>
          <w:b/>
          <w:color w:val="45130F" w:themeColor="background2"/>
          <w:sz w:val="20"/>
          <w:szCs w:val="20"/>
          <w:u w:val="single"/>
        </w:rPr>
      </w:pPr>
    </w:p>
    <w:p w14:paraId="5F63B26A" w14:textId="4205E4BC" w:rsidR="00C51959" w:rsidRPr="00A86DC5" w:rsidRDefault="000E5E80" w:rsidP="00F07E33">
      <w:pPr>
        <w:spacing w:after="0" w:line="240" w:lineRule="auto"/>
        <w:jc w:val="both"/>
        <w:rPr>
          <w:rFonts w:cstheme="minorHAnsi"/>
          <w:b/>
          <w:color w:val="45130F" w:themeColor="background2"/>
          <w:sz w:val="20"/>
          <w:szCs w:val="20"/>
          <w:u w:val="single"/>
          <w:lang w:val="fr-BE"/>
        </w:rPr>
      </w:pPr>
      <w:r w:rsidRPr="00F07E33">
        <w:rPr>
          <w:rFonts w:cstheme="minorHAnsi"/>
          <w:b/>
          <w:color w:val="45130F" w:themeColor="background2"/>
          <w:sz w:val="20"/>
          <w:szCs w:val="20"/>
          <w:u w:val="single"/>
          <w:lang w:val="fr-FR"/>
        </w:rPr>
        <w:t xml:space="preserve">Réconciliation entre le bénéfice attribuable aux porteurs de capitaux propres et l’EBITDA normalisé </w:t>
      </w:r>
    </w:p>
    <w:p w14:paraId="66B9B798" w14:textId="3DC92B5C" w:rsidR="00144A79" w:rsidRPr="00A86DC5" w:rsidRDefault="00144A79" w:rsidP="00AB5337">
      <w:pPr>
        <w:spacing w:after="0" w:line="240" w:lineRule="auto"/>
        <w:jc w:val="both"/>
        <w:rPr>
          <w:rFonts w:cstheme="minorHAnsi"/>
          <w:b/>
          <w:color w:val="45130F" w:themeColor="background2"/>
          <w:sz w:val="20"/>
          <w:szCs w:val="20"/>
          <w:u w:val="single"/>
          <w:lang w:val="fr-BE"/>
        </w:rPr>
      </w:pPr>
    </w:p>
    <w:p w14:paraId="6D0D070E" w14:textId="4236FADC" w:rsidR="00144A79" w:rsidRPr="00240D9B" w:rsidRDefault="00D455DC" w:rsidP="00AB5337">
      <w:pPr>
        <w:spacing w:after="0" w:line="240" w:lineRule="auto"/>
        <w:jc w:val="both"/>
        <w:rPr>
          <w:rFonts w:cstheme="minorHAnsi"/>
          <w:b/>
          <w:color w:val="45130F" w:themeColor="background2"/>
          <w:sz w:val="20"/>
          <w:szCs w:val="20"/>
          <w:u w:val="single"/>
        </w:rPr>
      </w:pPr>
      <w:r w:rsidRPr="00D455DC">
        <w:rPr>
          <w:noProof/>
        </w:rPr>
        <w:drawing>
          <wp:inline distT="0" distB="0" distL="0" distR="0" wp14:anchorId="2737C114" wp14:editId="5B4CDAA1">
            <wp:extent cx="5943600" cy="1915258"/>
            <wp:effectExtent l="0" t="0" r="0" b="889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1915258"/>
                    </a:xfrm>
                    <a:prstGeom prst="rect">
                      <a:avLst/>
                    </a:prstGeom>
                    <a:noFill/>
                    <a:ln>
                      <a:noFill/>
                    </a:ln>
                  </pic:spPr>
                </pic:pic>
              </a:graphicData>
            </a:graphic>
          </wp:inline>
        </w:drawing>
      </w:r>
    </w:p>
    <w:p w14:paraId="3F121460" w14:textId="5976F1F7" w:rsidR="00B41E8B" w:rsidRPr="00240D9B" w:rsidRDefault="00B41E8B" w:rsidP="00AB5337">
      <w:pPr>
        <w:shd w:val="clear" w:color="auto" w:fill="FFFFFF" w:themeFill="background1"/>
        <w:spacing w:after="0" w:line="240" w:lineRule="auto"/>
        <w:jc w:val="both"/>
        <w:rPr>
          <w:rFonts w:cstheme="minorHAnsi"/>
          <w:noProof/>
          <w:color w:val="45130F" w:themeColor="background2"/>
          <w:sz w:val="20"/>
          <w:szCs w:val="20"/>
        </w:rPr>
      </w:pPr>
    </w:p>
    <w:p w14:paraId="613779F0" w14:textId="2778F183" w:rsidR="00AB5337" w:rsidRPr="00A86DC5" w:rsidRDefault="000E5E80" w:rsidP="00F07E33">
      <w:pPr>
        <w:spacing w:after="0" w:line="240" w:lineRule="auto"/>
        <w:jc w:val="both"/>
        <w:rPr>
          <w:rFonts w:cstheme="minorHAnsi"/>
          <w:iCs/>
          <w:color w:val="45130F" w:themeColor="background2"/>
          <w:sz w:val="20"/>
          <w:szCs w:val="20"/>
          <w:lang w:val="fr-BE"/>
        </w:rPr>
      </w:pPr>
      <w:r w:rsidRPr="00851C9B">
        <w:rPr>
          <w:rFonts w:cstheme="minorHAnsi"/>
          <w:iCs/>
          <w:color w:val="45130F" w:themeColor="background2"/>
          <w:sz w:val="20"/>
          <w:szCs w:val="20"/>
          <w:lang w:val="fr-FR"/>
        </w:rPr>
        <w:t>L’EBITDA normalisé et l’EBIT normalisé sont des indicateurs utilisés par AB InBev pour démontrer les performances sous-jacentes de l’entreprise.</w:t>
      </w:r>
    </w:p>
    <w:p w14:paraId="284DD9F6" w14:textId="77777777" w:rsidR="00AB5337" w:rsidRPr="00A86DC5" w:rsidRDefault="00AB5337" w:rsidP="00AB5337">
      <w:pPr>
        <w:spacing w:after="0" w:line="240" w:lineRule="auto"/>
        <w:jc w:val="both"/>
        <w:rPr>
          <w:rFonts w:cstheme="minorHAnsi"/>
          <w:iCs/>
          <w:color w:val="45130F" w:themeColor="background2"/>
          <w:sz w:val="20"/>
          <w:szCs w:val="20"/>
          <w:lang w:val="fr-BE"/>
        </w:rPr>
      </w:pPr>
    </w:p>
    <w:p w14:paraId="4DAF69D0" w14:textId="69A6601E" w:rsidR="00AB5337" w:rsidRPr="00A86DC5" w:rsidRDefault="000E5E80" w:rsidP="000E5E80">
      <w:pPr>
        <w:spacing w:after="0" w:line="240" w:lineRule="auto"/>
        <w:jc w:val="both"/>
        <w:rPr>
          <w:rFonts w:cstheme="minorHAnsi"/>
          <w:iCs/>
          <w:color w:val="45130F" w:themeColor="background2"/>
          <w:sz w:val="20"/>
          <w:szCs w:val="20"/>
          <w:lang w:val="fr-BE"/>
        </w:rPr>
      </w:pPr>
      <w:r w:rsidRPr="00851C9B">
        <w:rPr>
          <w:rFonts w:cstheme="minorHAnsi"/>
          <w:iCs/>
          <w:color w:val="45130F" w:themeColor="background2"/>
          <w:sz w:val="20"/>
          <w:szCs w:val="20"/>
          <w:lang w:val="fr-FR"/>
        </w:rPr>
        <w:t>L’EBITDA normalisé est calculé sans tenir compte des effets suivants du bénéfice attribuable aux porteurs des capitaux propres d’AB InBev :</w:t>
      </w:r>
      <w:r w:rsidR="00AB5337" w:rsidRPr="00A86DC5">
        <w:rPr>
          <w:rFonts w:cstheme="minorHAnsi"/>
          <w:iCs/>
          <w:color w:val="45130F" w:themeColor="background2"/>
          <w:sz w:val="20"/>
          <w:szCs w:val="20"/>
          <w:lang w:val="fr-BE"/>
        </w:rPr>
        <w:t xml:space="preserve"> </w:t>
      </w:r>
      <w:r w:rsidRPr="00851C9B">
        <w:rPr>
          <w:rFonts w:cstheme="minorHAnsi"/>
          <w:iCs/>
          <w:color w:val="45130F" w:themeColor="background2"/>
          <w:sz w:val="20"/>
          <w:szCs w:val="20"/>
          <w:lang w:val="fr-FR"/>
        </w:rPr>
        <w:t>(i) intérêts minoritaires, (ii) résultats d’activités abandonnées, (iii) impôt sur le résultat, (iv) quote-part dans les résultats des entreprises associées, (v) coût financier net, (vi) coût financier net non-récurrent, (vii) éléments non-récurrents au-dessus de l’EBIT (dépréciations non-récurrentes incluses) et (viii) amortissements et dépréciation.</w:t>
      </w:r>
    </w:p>
    <w:p w14:paraId="5D7B3A49" w14:textId="77777777" w:rsidR="00AB5337" w:rsidRPr="00A86DC5" w:rsidRDefault="00AB5337" w:rsidP="00AB5337">
      <w:pPr>
        <w:spacing w:after="0" w:line="240" w:lineRule="auto"/>
        <w:jc w:val="both"/>
        <w:rPr>
          <w:rFonts w:cstheme="minorHAnsi"/>
          <w:iCs/>
          <w:color w:val="45130F" w:themeColor="background2"/>
          <w:sz w:val="20"/>
          <w:szCs w:val="20"/>
          <w:lang w:val="fr-BE"/>
        </w:rPr>
      </w:pPr>
    </w:p>
    <w:p w14:paraId="7D9101A6" w14:textId="0AEACE7F" w:rsidR="00B02B8B" w:rsidRPr="00A86DC5" w:rsidRDefault="000E5E80" w:rsidP="00D13FBB">
      <w:pPr>
        <w:jc w:val="both"/>
        <w:rPr>
          <w:rFonts w:cstheme="minorHAnsi"/>
          <w:iCs/>
          <w:color w:val="45130F" w:themeColor="background2"/>
          <w:sz w:val="20"/>
          <w:szCs w:val="20"/>
          <w:lang w:val="fr-BE"/>
        </w:rPr>
      </w:pPr>
      <w:r w:rsidRPr="00851C9B">
        <w:rPr>
          <w:rFonts w:cstheme="minorHAnsi"/>
          <w:iCs/>
          <w:color w:val="45130F" w:themeColor="background2"/>
          <w:sz w:val="20"/>
          <w:szCs w:val="20"/>
          <w:lang w:val="fr-FR"/>
        </w:rPr>
        <w:t>L’EBITDA normalisé et l’EBIT normalisé ne sont pas des indicateurs de comptabilité conformes aux normes comptables IFRS et ne doivent pas être considérés comme une alternative au bénéfice attribuable aux porteurs de capitaux propres en tant qu'indicateur de performance opérationnelle ou comme une alternative au flux de trésorerie en tant qu’indicateur de liquidité.</w:t>
      </w:r>
      <w:r w:rsidR="00AB5337" w:rsidRPr="00A86DC5">
        <w:rPr>
          <w:rFonts w:cstheme="minorHAnsi"/>
          <w:iCs/>
          <w:color w:val="45130F" w:themeColor="background2"/>
          <w:sz w:val="20"/>
          <w:szCs w:val="20"/>
          <w:lang w:val="fr-BE"/>
        </w:rPr>
        <w:t xml:space="preserve"> </w:t>
      </w:r>
      <w:r w:rsidRPr="00851C9B">
        <w:rPr>
          <w:rFonts w:cstheme="minorHAnsi"/>
          <w:iCs/>
          <w:color w:val="45130F" w:themeColor="background2"/>
          <w:sz w:val="20"/>
          <w:szCs w:val="20"/>
          <w:lang w:val="fr-FR"/>
        </w:rPr>
        <w:t>Il n’existe pas de méthode de calcul standard pour l’EBITDA normalisé et l’EBIT normalisé, et la définition de l’EBITDA normalisé et de l’EBIT normalisé selon AB InBev ne peut pas être comparée à celle d’autres sociétés.</w:t>
      </w:r>
    </w:p>
    <w:tbl>
      <w:tblPr>
        <w:tblStyle w:val="TableGrid"/>
        <w:tblpPr w:leftFromText="180" w:rightFromText="180" w:vertAnchor="text" w:tblpY="12"/>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580B" w:themeFill="accent2"/>
        <w:tblLayout w:type="fixed"/>
        <w:tblLook w:val="04A0" w:firstRow="1" w:lastRow="0" w:firstColumn="1" w:lastColumn="0" w:noHBand="0" w:noVBand="1"/>
      </w:tblPr>
      <w:tblGrid>
        <w:gridCol w:w="9360"/>
      </w:tblGrid>
      <w:tr w:rsidR="001B6403" w:rsidRPr="009A28F1" w14:paraId="475321D8" w14:textId="77777777" w:rsidTr="000E5E80">
        <w:tc>
          <w:tcPr>
            <w:tcW w:w="9360" w:type="dxa"/>
            <w:shd w:val="clear" w:color="auto" w:fill="DB580B" w:themeFill="accent2"/>
          </w:tcPr>
          <w:p w14:paraId="7BA36B2A" w14:textId="60F9937E" w:rsidR="001B6403" w:rsidRPr="00D2206F" w:rsidRDefault="000E5E80" w:rsidP="00851C9B">
            <w:pPr>
              <w:rPr>
                <w:rFonts w:eastAsia="Times New Roman" w:cstheme="minorHAnsi"/>
                <w:b/>
                <w:color w:val="FFFFFF" w:themeColor="background1"/>
              </w:rPr>
            </w:pPr>
            <w:r w:rsidRPr="00D2206F">
              <w:rPr>
                <w:rFonts w:eastAsia="Times New Roman" w:cstheme="minorHAnsi"/>
                <w:b/>
                <w:color w:val="FFFFFF" w:themeColor="background1"/>
                <w:lang w:val="fr-FR"/>
              </w:rPr>
              <w:t>SITUATION FINANCIERE</w:t>
            </w:r>
          </w:p>
        </w:tc>
      </w:tr>
    </w:tbl>
    <w:p w14:paraId="30AF8EAE" w14:textId="77777777" w:rsidR="008D29F8" w:rsidRDefault="008D29F8" w:rsidP="00D455DC">
      <w:pPr>
        <w:spacing w:after="0"/>
        <w:rPr>
          <w:rFonts w:eastAsia="Times New Roman" w:cstheme="minorHAnsi"/>
          <w:color w:val="45130F" w:themeColor="background2"/>
          <w:sz w:val="20"/>
          <w:szCs w:val="20"/>
        </w:rPr>
      </w:pPr>
    </w:p>
    <w:p w14:paraId="0B855C06" w14:textId="2ADE42D5" w:rsidR="009C0156" w:rsidRDefault="00D455DC" w:rsidP="00390BF8">
      <w:pPr>
        <w:rPr>
          <w:rFonts w:eastAsia="Times New Roman" w:cstheme="minorHAnsi"/>
          <w:color w:val="45130F" w:themeColor="background2"/>
          <w:sz w:val="20"/>
          <w:szCs w:val="20"/>
        </w:rPr>
      </w:pPr>
      <w:r w:rsidRPr="00D455DC">
        <w:rPr>
          <w:noProof/>
        </w:rPr>
        <w:drawing>
          <wp:inline distT="0" distB="0" distL="0" distR="0" wp14:anchorId="69A2C8EF" wp14:editId="73C54DA7">
            <wp:extent cx="5943600" cy="4505203"/>
            <wp:effectExtent l="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4505203"/>
                    </a:xfrm>
                    <a:prstGeom prst="rect">
                      <a:avLst/>
                    </a:prstGeom>
                    <a:noFill/>
                    <a:ln>
                      <a:noFill/>
                    </a:ln>
                  </pic:spPr>
                </pic:pic>
              </a:graphicData>
            </a:graphic>
          </wp:inline>
        </w:drawing>
      </w:r>
    </w:p>
    <w:p w14:paraId="5FBFDEBC" w14:textId="77777777" w:rsidR="008A5363" w:rsidRDefault="008A5363" w:rsidP="00C11799">
      <w:pPr>
        <w:spacing w:after="0" w:line="240" w:lineRule="auto"/>
        <w:jc w:val="both"/>
        <w:rPr>
          <w:rFonts w:cstheme="minorHAnsi"/>
          <w:iCs/>
          <w:color w:val="45130F" w:themeColor="background2"/>
          <w:sz w:val="20"/>
          <w:szCs w:val="20"/>
        </w:rPr>
      </w:pPr>
    </w:p>
    <w:p w14:paraId="37EE97F2" w14:textId="4047376B" w:rsidR="00C11799" w:rsidRPr="00D13FBB" w:rsidRDefault="000E5E80" w:rsidP="0099109D">
      <w:pPr>
        <w:spacing w:after="0" w:line="240" w:lineRule="auto"/>
        <w:jc w:val="both"/>
        <w:rPr>
          <w:rFonts w:cstheme="minorHAnsi"/>
          <w:iCs/>
          <w:color w:val="45130F" w:themeColor="background2"/>
          <w:sz w:val="20"/>
          <w:szCs w:val="20"/>
          <w:lang w:val="fr-BE"/>
        </w:rPr>
      </w:pPr>
      <w:r w:rsidRPr="00D13FBB">
        <w:rPr>
          <w:rFonts w:cstheme="minorHAnsi"/>
          <w:iCs/>
          <w:color w:val="45130F" w:themeColor="background2"/>
          <w:sz w:val="20"/>
          <w:szCs w:val="20"/>
          <w:lang w:val="fr-FR"/>
        </w:rPr>
        <w:t xml:space="preserve">Le 1S17 a enregistré une hausse de la trésorerie et des équivalents de trésorerie de 57 millions d’USD, par rapport à une baisse de 899 millions d’USD au 1S16, en tenant </w:t>
      </w:r>
      <w:r w:rsidR="00D2206F" w:rsidRPr="00D13FBB">
        <w:rPr>
          <w:rFonts w:cstheme="minorHAnsi"/>
          <w:iCs/>
          <w:color w:val="45130F" w:themeColor="background2"/>
          <w:sz w:val="20"/>
          <w:szCs w:val="20"/>
          <w:lang w:val="fr-FR"/>
        </w:rPr>
        <w:t>compte des mouvements suivants :</w:t>
      </w:r>
      <w:r w:rsidR="00C11799" w:rsidRPr="00D13FBB">
        <w:rPr>
          <w:rFonts w:cstheme="minorHAnsi"/>
          <w:iCs/>
          <w:color w:val="45130F" w:themeColor="background2"/>
          <w:sz w:val="20"/>
          <w:szCs w:val="20"/>
          <w:lang w:val="fr-BE"/>
        </w:rPr>
        <w:t xml:space="preserve"> </w:t>
      </w:r>
    </w:p>
    <w:p w14:paraId="49038517" w14:textId="77777777" w:rsidR="00671484" w:rsidRPr="00D13FBB" w:rsidRDefault="00671484" w:rsidP="00D13FBB">
      <w:pPr>
        <w:spacing w:after="0" w:line="240" w:lineRule="auto"/>
        <w:jc w:val="both"/>
        <w:rPr>
          <w:rFonts w:cstheme="minorHAnsi"/>
          <w:color w:val="45130F" w:themeColor="background2"/>
          <w:sz w:val="20"/>
          <w:szCs w:val="20"/>
          <w:lang w:val="fr-BE"/>
        </w:rPr>
      </w:pPr>
    </w:p>
    <w:p w14:paraId="099D3DDB" w14:textId="4802D428" w:rsidR="00D2206F" w:rsidRPr="00D13FBB" w:rsidRDefault="00D2206F" w:rsidP="00D2206F">
      <w:pPr>
        <w:numPr>
          <w:ilvl w:val="0"/>
          <w:numId w:val="1"/>
        </w:numPr>
        <w:spacing w:after="120" w:line="240" w:lineRule="auto"/>
        <w:ind w:left="357" w:hanging="357"/>
        <w:jc w:val="both"/>
        <w:rPr>
          <w:rFonts w:cstheme="minorHAnsi"/>
          <w:color w:val="45130F" w:themeColor="background2"/>
          <w:sz w:val="20"/>
          <w:szCs w:val="20"/>
          <w:lang w:val="fr-BE"/>
        </w:rPr>
      </w:pPr>
      <w:r w:rsidRPr="00D13FBB">
        <w:rPr>
          <w:rFonts w:cstheme="minorHAnsi"/>
          <w:color w:val="45130F" w:themeColor="background2"/>
          <w:sz w:val="20"/>
          <w:szCs w:val="20"/>
          <w:lang w:val="fr-FR"/>
        </w:rPr>
        <w:t>Nos flux de trésorerie provenant des activités d’exploitation ont totalisé 4</w:t>
      </w:r>
      <w:r w:rsidR="005E7E8E" w:rsidRPr="00D13FBB">
        <w:rPr>
          <w:rFonts w:cstheme="minorHAnsi"/>
          <w:color w:val="45130F" w:themeColor="background2"/>
          <w:sz w:val="20"/>
          <w:szCs w:val="20"/>
          <w:lang w:val="fr-FR"/>
        </w:rPr>
        <w:t xml:space="preserve"> </w:t>
      </w:r>
      <w:r w:rsidRPr="00D13FBB">
        <w:rPr>
          <w:rFonts w:cstheme="minorHAnsi"/>
          <w:color w:val="45130F" w:themeColor="background2"/>
          <w:sz w:val="20"/>
          <w:szCs w:val="20"/>
          <w:lang w:val="fr-FR"/>
        </w:rPr>
        <w:t>018 millions d’USD au premier semestre de 2017, par rapport à 2</w:t>
      </w:r>
      <w:r w:rsidR="005E7E8E" w:rsidRPr="00D13FBB">
        <w:rPr>
          <w:rFonts w:cstheme="minorHAnsi"/>
          <w:color w:val="45130F" w:themeColor="background2"/>
          <w:sz w:val="20"/>
          <w:szCs w:val="20"/>
          <w:lang w:val="fr-FR"/>
        </w:rPr>
        <w:t xml:space="preserve"> </w:t>
      </w:r>
      <w:r w:rsidRPr="00D13FBB">
        <w:rPr>
          <w:rFonts w:cstheme="minorHAnsi"/>
          <w:color w:val="45130F" w:themeColor="background2"/>
          <w:sz w:val="20"/>
          <w:szCs w:val="20"/>
          <w:lang w:val="fr-FR"/>
        </w:rPr>
        <w:t>453 millions d’USD au premier semestre de 2016.</w:t>
      </w:r>
      <w:r w:rsidRPr="00D13FBB">
        <w:rPr>
          <w:rFonts w:cstheme="minorHAnsi"/>
          <w:color w:val="45130F" w:themeColor="background2"/>
          <w:sz w:val="20"/>
          <w:szCs w:val="20"/>
          <w:lang w:val="fr-BE"/>
        </w:rPr>
        <w:t xml:space="preserve"> </w:t>
      </w:r>
      <w:r w:rsidRPr="00D13FBB">
        <w:rPr>
          <w:rFonts w:cstheme="minorHAnsi"/>
          <w:color w:val="45130F" w:themeColor="background2"/>
          <w:sz w:val="20"/>
          <w:szCs w:val="20"/>
          <w:lang w:val="fr-FR"/>
        </w:rPr>
        <w:t>L’évolution d’une année à l’autre s’explique surtout par la hausse des bénéfices suite au rapprochement avec SAB.</w:t>
      </w:r>
    </w:p>
    <w:p w14:paraId="2B4F4701" w14:textId="6D00A012" w:rsidR="006B0507" w:rsidRPr="00D13FBB" w:rsidRDefault="006B0507" w:rsidP="006B0507">
      <w:pPr>
        <w:numPr>
          <w:ilvl w:val="0"/>
          <w:numId w:val="1"/>
        </w:numPr>
        <w:spacing w:after="120" w:line="240" w:lineRule="auto"/>
        <w:ind w:left="357" w:hanging="357"/>
        <w:jc w:val="both"/>
        <w:rPr>
          <w:rFonts w:cstheme="minorHAnsi"/>
          <w:color w:val="45130F" w:themeColor="background2"/>
          <w:sz w:val="20"/>
          <w:szCs w:val="20"/>
          <w:lang w:val="fr-BE"/>
        </w:rPr>
      </w:pPr>
      <w:r w:rsidRPr="00D13FBB">
        <w:rPr>
          <w:rFonts w:cstheme="minorHAnsi"/>
          <w:color w:val="45130F" w:themeColor="background2"/>
          <w:sz w:val="20"/>
          <w:szCs w:val="20"/>
          <w:lang w:val="fr-FR"/>
        </w:rPr>
        <w:t>Les flux de trésorerie entrants nets provenant des investissements s’élevaient à 6</w:t>
      </w:r>
      <w:r w:rsidR="005E7E8E" w:rsidRPr="00D13FBB">
        <w:rPr>
          <w:rFonts w:cstheme="minorHAnsi"/>
          <w:color w:val="45130F" w:themeColor="background2"/>
          <w:sz w:val="20"/>
          <w:szCs w:val="20"/>
          <w:lang w:val="fr-FR"/>
        </w:rPr>
        <w:t xml:space="preserve"> </w:t>
      </w:r>
      <w:r w:rsidRPr="00D13FBB">
        <w:rPr>
          <w:rFonts w:cstheme="minorHAnsi"/>
          <w:color w:val="45130F" w:themeColor="background2"/>
          <w:sz w:val="20"/>
          <w:szCs w:val="20"/>
          <w:lang w:val="fr-FR"/>
        </w:rPr>
        <w:t>114 millions d’USD au premier semestre de 2017, par rapport à 58 299 millions d’USD au premier semestre de 2016.</w:t>
      </w:r>
      <w:r w:rsidRPr="00D13FBB">
        <w:rPr>
          <w:rFonts w:cstheme="minorHAnsi"/>
          <w:color w:val="45130F" w:themeColor="background2"/>
          <w:sz w:val="20"/>
          <w:szCs w:val="20"/>
          <w:lang w:val="fr-BE"/>
        </w:rPr>
        <w:t xml:space="preserve"> </w:t>
      </w:r>
      <w:r w:rsidRPr="00D13FBB">
        <w:rPr>
          <w:rFonts w:cstheme="minorHAnsi"/>
          <w:color w:val="45130F" w:themeColor="background2"/>
          <w:sz w:val="20"/>
          <w:szCs w:val="20"/>
          <w:lang w:val="fr-FR"/>
        </w:rPr>
        <w:t xml:space="preserve">Les </w:t>
      </w:r>
      <w:r w:rsidRPr="00D13FBB">
        <w:rPr>
          <w:rFonts w:cstheme="minorHAnsi"/>
          <w:color w:val="45130F" w:themeColor="background2"/>
          <w:sz w:val="20"/>
          <w:szCs w:val="20"/>
          <w:lang w:val="fr-FR"/>
        </w:rPr>
        <w:lastRenderedPageBreak/>
        <w:t xml:space="preserve">flux de trésorerie provenant des investissements de 2017 reflètent principalement les produits des cessions annoncées </w:t>
      </w:r>
      <w:r w:rsidR="00BE2FAB" w:rsidRPr="00D13FBB">
        <w:rPr>
          <w:rFonts w:cstheme="minorHAnsi"/>
          <w:color w:val="45130F" w:themeColor="background2"/>
          <w:sz w:val="20"/>
          <w:szCs w:val="20"/>
          <w:lang w:val="fr-FR"/>
        </w:rPr>
        <w:t xml:space="preserve">et </w:t>
      </w:r>
      <w:r w:rsidRPr="00D13FBB">
        <w:rPr>
          <w:rFonts w:cstheme="minorHAnsi"/>
          <w:color w:val="45130F" w:themeColor="background2"/>
          <w:sz w:val="20"/>
          <w:szCs w:val="20"/>
          <w:lang w:val="fr-FR"/>
        </w:rPr>
        <w:t>clôturées en 2017 nets d’impôts payés en 2017 sur des cessions d’années précédentes.</w:t>
      </w:r>
      <w:r w:rsidRPr="00D13FBB">
        <w:rPr>
          <w:rFonts w:cstheme="minorHAnsi"/>
          <w:color w:val="45130F" w:themeColor="background2"/>
          <w:sz w:val="20"/>
          <w:szCs w:val="20"/>
          <w:lang w:val="fr-BE"/>
        </w:rPr>
        <w:t> </w:t>
      </w:r>
      <w:r w:rsidRPr="00D13FBB">
        <w:rPr>
          <w:rFonts w:cstheme="minorHAnsi"/>
          <w:color w:val="45130F" w:themeColor="background2"/>
          <w:sz w:val="20"/>
          <w:szCs w:val="20"/>
          <w:lang w:val="fr-FR"/>
        </w:rPr>
        <w:t>Au cours du premier semestre 2016, nous avons émis une série d’obligations pour soutenir le rapprochement avec SAB.</w:t>
      </w:r>
      <w:r w:rsidRPr="00D13FBB">
        <w:rPr>
          <w:rFonts w:cstheme="minorHAnsi"/>
          <w:color w:val="45130F" w:themeColor="background2"/>
          <w:sz w:val="20"/>
          <w:szCs w:val="20"/>
          <w:lang w:val="fr-BE"/>
        </w:rPr>
        <w:t xml:space="preserve"> </w:t>
      </w:r>
      <w:r w:rsidRPr="00D13FBB">
        <w:rPr>
          <w:rFonts w:cstheme="minorHAnsi"/>
          <w:color w:val="45130F" w:themeColor="background2"/>
          <w:sz w:val="20"/>
          <w:szCs w:val="20"/>
          <w:lang w:val="fr-FR"/>
        </w:rPr>
        <w:t>Les flux de trésorerie provenant des investissements de 2016 reflètent l'investissement de l'excédent de liquidités résultant de ces obligations, principalement dans des bons du Trésor américain en attendant la finalisation du rapprochement.</w:t>
      </w:r>
      <w:r w:rsidRPr="00D13FBB">
        <w:rPr>
          <w:rFonts w:cstheme="minorHAnsi"/>
          <w:color w:val="45130F" w:themeColor="background2"/>
          <w:sz w:val="20"/>
          <w:szCs w:val="20"/>
          <w:lang w:val="fr-BE"/>
        </w:rPr>
        <w:t xml:space="preserve"> </w:t>
      </w:r>
      <w:r w:rsidRPr="00D13FBB">
        <w:rPr>
          <w:rFonts w:cstheme="minorHAnsi"/>
          <w:color w:val="45130F" w:themeColor="background2"/>
          <w:sz w:val="20"/>
          <w:szCs w:val="20"/>
          <w:lang w:val="fr-FR"/>
        </w:rPr>
        <w:t>Nos dépenses d’investissement nettes s’élèvent à 1</w:t>
      </w:r>
      <w:r w:rsidR="00BE2FAB" w:rsidRPr="00D13FBB">
        <w:rPr>
          <w:rFonts w:cstheme="minorHAnsi"/>
          <w:color w:val="45130F" w:themeColor="background2"/>
          <w:sz w:val="20"/>
          <w:szCs w:val="20"/>
          <w:lang w:val="fr-FR"/>
        </w:rPr>
        <w:t xml:space="preserve"> </w:t>
      </w:r>
      <w:r w:rsidRPr="00D13FBB">
        <w:rPr>
          <w:rFonts w:cstheme="minorHAnsi"/>
          <w:color w:val="45130F" w:themeColor="background2"/>
          <w:sz w:val="20"/>
          <w:szCs w:val="20"/>
          <w:lang w:val="fr-FR"/>
        </w:rPr>
        <w:t>579 millions d’USD pour le premier semestre 2017 et à 1</w:t>
      </w:r>
      <w:r w:rsidR="00BE2FAB" w:rsidRPr="00D13FBB">
        <w:rPr>
          <w:rFonts w:cstheme="minorHAnsi"/>
          <w:color w:val="45130F" w:themeColor="background2"/>
          <w:sz w:val="20"/>
          <w:szCs w:val="20"/>
          <w:lang w:val="fr-FR"/>
        </w:rPr>
        <w:t xml:space="preserve"> </w:t>
      </w:r>
      <w:r w:rsidRPr="00D13FBB">
        <w:rPr>
          <w:rFonts w:cstheme="minorHAnsi"/>
          <w:color w:val="45130F" w:themeColor="background2"/>
          <w:sz w:val="20"/>
          <w:szCs w:val="20"/>
          <w:lang w:val="fr-FR"/>
        </w:rPr>
        <w:t>419 millions d’USD pour le premier semestre 2016.</w:t>
      </w:r>
      <w:r w:rsidRPr="00D13FBB">
        <w:rPr>
          <w:rFonts w:cstheme="minorHAnsi"/>
          <w:color w:val="45130F" w:themeColor="background2"/>
          <w:sz w:val="20"/>
          <w:szCs w:val="20"/>
          <w:lang w:val="fr-BE"/>
        </w:rPr>
        <w:t xml:space="preserve"> </w:t>
      </w:r>
      <w:r w:rsidRPr="00D13FBB">
        <w:rPr>
          <w:color w:val="45130F" w:themeColor="background2"/>
          <w:sz w:val="20"/>
          <w:szCs w:val="20"/>
          <w:lang w:val="fr-FR"/>
        </w:rPr>
        <w:t>Environ 49 % des dépenses d’investissements totales du 1S17 ont été utilisés pour améliorer les équipements de production de la société, environ 36 % ont été consacrés à des investissements logistiques et commerciaux et environ 15 % ont servi à l'amélioration des capacités administratives et à l'acquisition de matériel informatique et de logiciels.</w:t>
      </w:r>
    </w:p>
    <w:p w14:paraId="36697957" w14:textId="16D4DC9D" w:rsidR="006B0507" w:rsidRPr="00D13FBB" w:rsidRDefault="006B0507" w:rsidP="00D13FBB">
      <w:pPr>
        <w:numPr>
          <w:ilvl w:val="0"/>
          <w:numId w:val="1"/>
        </w:numPr>
        <w:spacing w:after="0" w:line="240" w:lineRule="auto"/>
        <w:ind w:left="357" w:hanging="357"/>
        <w:jc w:val="both"/>
        <w:rPr>
          <w:rFonts w:cstheme="minorHAnsi"/>
          <w:color w:val="45130F" w:themeColor="background2"/>
          <w:sz w:val="20"/>
          <w:szCs w:val="20"/>
          <w:lang w:val="fr-BE"/>
        </w:rPr>
      </w:pPr>
      <w:r w:rsidRPr="00D13FBB">
        <w:rPr>
          <w:rFonts w:cstheme="minorHAnsi"/>
          <w:color w:val="45130F" w:themeColor="background2"/>
          <w:sz w:val="20"/>
          <w:szCs w:val="20"/>
          <w:lang w:val="fr-FR"/>
        </w:rPr>
        <w:t>Les flux de trésorerie sortants provenant d’activités de financement s’élevaient à 10 075 millions d’USD au premier semestre de 2017, par rapport à un flux de trésorerie entrant de 54 947 millions d’USD au premier semestre de 2016.</w:t>
      </w:r>
      <w:r w:rsidRPr="00D13FBB">
        <w:rPr>
          <w:rFonts w:cstheme="minorHAnsi"/>
          <w:color w:val="45130F" w:themeColor="background2"/>
          <w:sz w:val="20"/>
          <w:szCs w:val="20"/>
          <w:lang w:val="fr-BE"/>
        </w:rPr>
        <w:t xml:space="preserve"> </w:t>
      </w:r>
      <w:r w:rsidRPr="00D13FBB">
        <w:rPr>
          <w:rFonts w:cstheme="minorHAnsi"/>
          <w:color w:val="45130F" w:themeColor="background2"/>
          <w:sz w:val="20"/>
          <w:szCs w:val="20"/>
          <w:lang w:val="fr-FR"/>
        </w:rPr>
        <w:t xml:space="preserve">Au premier semestre 2017, nous </w:t>
      </w:r>
      <w:r w:rsidRPr="00D13FBB">
        <w:rPr>
          <w:rFonts w:ascii="Arial" w:hAnsi="Arial" w:cs="Arial"/>
          <w:color w:val="45130F" w:themeColor="background2"/>
          <w:sz w:val="20"/>
          <w:szCs w:val="20"/>
          <w:lang w:val="fr-FR"/>
        </w:rPr>
        <w:t>avons remboursé 8 milliards d'USD du prêt à terme B.</w:t>
      </w:r>
      <w:r w:rsidRPr="00D13FBB">
        <w:rPr>
          <w:rFonts w:cstheme="minorHAnsi"/>
          <w:color w:val="45130F" w:themeColor="background2"/>
          <w:sz w:val="20"/>
          <w:szCs w:val="20"/>
          <w:lang w:val="fr-BE"/>
        </w:rPr>
        <w:t xml:space="preserve"> </w:t>
      </w:r>
      <w:r w:rsidRPr="00D13FBB">
        <w:rPr>
          <w:rFonts w:cstheme="minorHAnsi"/>
          <w:color w:val="45130F" w:themeColor="background2"/>
          <w:sz w:val="20"/>
          <w:szCs w:val="20"/>
          <w:lang w:val="fr-FR"/>
        </w:rPr>
        <w:t>Ce prêt à terme était le dernier des crédits de la ligne de crédits senior de 75 milliards d'USD mobilisés en octobre 2015 pour financer le rapprochement avec SAB.</w:t>
      </w:r>
      <w:r w:rsidRPr="00D13FBB">
        <w:rPr>
          <w:rFonts w:cstheme="minorHAnsi"/>
          <w:color w:val="45130F" w:themeColor="background2"/>
          <w:sz w:val="20"/>
          <w:szCs w:val="20"/>
          <w:lang w:val="fr-BE"/>
        </w:rPr>
        <w:t xml:space="preserve"> </w:t>
      </w:r>
      <w:r w:rsidRPr="00D13FBB">
        <w:rPr>
          <w:rFonts w:cstheme="minorHAnsi"/>
          <w:color w:val="45130F" w:themeColor="background2"/>
          <w:sz w:val="20"/>
          <w:szCs w:val="20"/>
          <w:lang w:val="fr-FR"/>
        </w:rPr>
        <w:t>Les flux de trésorerie entrants provenant d’activités de financement au premier semestre de 2016 reflétaient le préfinancement du rapprochement avec SAB.</w:t>
      </w:r>
    </w:p>
    <w:p w14:paraId="53C22B28" w14:textId="77777777" w:rsidR="009C0156" w:rsidRPr="00D13FBB" w:rsidRDefault="009C0156" w:rsidP="0099109D">
      <w:pPr>
        <w:spacing w:after="0" w:line="240" w:lineRule="auto"/>
        <w:jc w:val="both"/>
        <w:rPr>
          <w:rFonts w:cstheme="minorHAnsi"/>
          <w:color w:val="45130F" w:themeColor="background2"/>
          <w:sz w:val="20"/>
          <w:szCs w:val="20"/>
          <w:lang w:val="fr-BE"/>
        </w:rPr>
      </w:pPr>
    </w:p>
    <w:p w14:paraId="57EA51C0" w14:textId="000A22FC" w:rsidR="00C11799" w:rsidRPr="00D13FBB" w:rsidRDefault="006B0507" w:rsidP="0099109D">
      <w:pPr>
        <w:spacing w:after="0" w:line="240" w:lineRule="auto"/>
        <w:jc w:val="both"/>
        <w:rPr>
          <w:rFonts w:cstheme="minorHAnsi"/>
          <w:color w:val="45130F" w:themeColor="background2"/>
          <w:sz w:val="20"/>
          <w:szCs w:val="20"/>
          <w:lang w:val="fr-BE"/>
        </w:rPr>
      </w:pPr>
      <w:r w:rsidRPr="00D13FBB">
        <w:rPr>
          <w:rFonts w:cstheme="minorHAnsi"/>
          <w:color w:val="45130F" w:themeColor="background2"/>
          <w:sz w:val="20"/>
          <w:szCs w:val="20"/>
          <w:lang w:val="fr-FR"/>
        </w:rPr>
        <w:t>Notre e</w:t>
      </w:r>
      <w:r w:rsidR="00C34E4B" w:rsidRPr="00D13FBB">
        <w:rPr>
          <w:rFonts w:cstheme="minorHAnsi"/>
          <w:color w:val="45130F" w:themeColor="background2"/>
          <w:sz w:val="20"/>
          <w:szCs w:val="20"/>
          <w:lang w:val="fr-FR"/>
        </w:rPr>
        <w:t xml:space="preserve">ndettement net </w:t>
      </w:r>
      <w:r w:rsidRPr="00D13FBB">
        <w:rPr>
          <w:rFonts w:cstheme="minorHAnsi"/>
          <w:color w:val="45130F" w:themeColor="background2"/>
          <w:sz w:val="20"/>
          <w:szCs w:val="20"/>
          <w:lang w:val="fr-FR"/>
        </w:rPr>
        <w:t>au 30 juin 2017 s’élevait à 109,</w:t>
      </w:r>
      <w:r w:rsidR="00C34E4B" w:rsidRPr="00D13FBB">
        <w:rPr>
          <w:rFonts w:cstheme="minorHAnsi"/>
          <w:color w:val="45130F" w:themeColor="background2"/>
          <w:sz w:val="20"/>
          <w:szCs w:val="20"/>
          <w:lang w:val="fr-FR"/>
        </w:rPr>
        <w:t>1 milliards d’USD, enregistrant ainsi</w:t>
      </w:r>
      <w:r w:rsidRPr="00D13FBB">
        <w:rPr>
          <w:rFonts w:cstheme="minorHAnsi"/>
          <w:color w:val="45130F" w:themeColor="background2"/>
          <w:sz w:val="20"/>
          <w:szCs w:val="20"/>
          <w:lang w:val="fr-FR"/>
        </w:rPr>
        <w:t xml:space="preserve"> une hausse par rapport aux 108,</w:t>
      </w:r>
      <w:r w:rsidR="00C34E4B" w:rsidRPr="00D13FBB">
        <w:rPr>
          <w:rFonts w:cstheme="minorHAnsi"/>
          <w:color w:val="45130F" w:themeColor="background2"/>
          <w:sz w:val="20"/>
          <w:szCs w:val="20"/>
          <w:lang w:val="fr-FR"/>
        </w:rPr>
        <w:t>0 milliards d’USD au 31 décembre 2016.</w:t>
      </w:r>
      <w:r w:rsidR="00C11799" w:rsidRPr="00D13FBB">
        <w:rPr>
          <w:rFonts w:cstheme="minorHAnsi"/>
          <w:color w:val="45130F" w:themeColor="background2"/>
          <w:sz w:val="20"/>
          <w:szCs w:val="20"/>
          <w:lang w:val="fr-BE"/>
        </w:rPr>
        <w:t xml:space="preserve"> </w:t>
      </w:r>
      <w:r w:rsidR="00C34E4B" w:rsidRPr="00D13FBB">
        <w:rPr>
          <w:rFonts w:cstheme="minorHAnsi"/>
          <w:color w:val="45130F" w:themeColor="background2"/>
          <w:sz w:val="20"/>
          <w:szCs w:val="20"/>
          <w:lang w:val="fr-FR"/>
        </w:rPr>
        <w:t>Le ratio endettement net / EBITDA normalisé a baissé de 5,5x au 31 décembre 2016 à 5,3x au 30 juin 2017, sur une base modifiée, intégrant la base de référence de l’EBITDA du groupe combiné pour les périodes précédant la rapprochement avec SAB.</w:t>
      </w:r>
      <w:r w:rsidR="001447A8" w:rsidRPr="00D13FBB">
        <w:rPr>
          <w:rFonts w:cstheme="minorHAnsi"/>
          <w:color w:val="45130F" w:themeColor="background2"/>
          <w:sz w:val="20"/>
          <w:szCs w:val="20"/>
          <w:lang w:val="fr-BE"/>
        </w:rPr>
        <w:t xml:space="preserve"> </w:t>
      </w:r>
      <w:r w:rsidR="00C34E4B" w:rsidRPr="00D13FBB">
        <w:rPr>
          <w:rFonts w:cstheme="minorHAnsi"/>
          <w:color w:val="45130F" w:themeColor="background2"/>
          <w:sz w:val="20"/>
          <w:szCs w:val="20"/>
          <w:lang w:val="fr-FR"/>
        </w:rPr>
        <w:t xml:space="preserve">Le calcul du ratio endettement net / EBITDA ne comprend </w:t>
      </w:r>
      <w:r w:rsidR="00434F63" w:rsidRPr="00D13FBB">
        <w:rPr>
          <w:rFonts w:cstheme="minorHAnsi"/>
          <w:color w:val="45130F" w:themeColor="background2"/>
          <w:sz w:val="20"/>
          <w:szCs w:val="20"/>
          <w:lang w:val="fr-FR"/>
        </w:rPr>
        <w:t>pas l’</w:t>
      </w:r>
      <w:r w:rsidR="00C34E4B" w:rsidRPr="00D13FBB">
        <w:rPr>
          <w:rFonts w:cstheme="minorHAnsi"/>
          <w:color w:val="45130F" w:themeColor="background2"/>
          <w:sz w:val="20"/>
          <w:szCs w:val="20"/>
          <w:lang w:val="fr-FR"/>
        </w:rPr>
        <w:t>EBITDA de</w:t>
      </w:r>
      <w:r w:rsidRPr="00D13FBB">
        <w:rPr>
          <w:rFonts w:cstheme="minorHAnsi"/>
          <w:color w:val="45130F" w:themeColor="background2"/>
          <w:sz w:val="20"/>
          <w:szCs w:val="20"/>
          <w:lang w:val="fr-FR"/>
        </w:rPr>
        <w:t xml:space="preserve">s </w:t>
      </w:r>
      <w:r w:rsidR="00C34E4B" w:rsidRPr="00D13FBB">
        <w:rPr>
          <w:rFonts w:cstheme="minorHAnsi"/>
          <w:color w:val="45130F" w:themeColor="background2"/>
          <w:sz w:val="20"/>
          <w:szCs w:val="20"/>
          <w:lang w:val="fr-FR"/>
        </w:rPr>
        <w:t>activité</w:t>
      </w:r>
      <w:r w:rsidRPr="00D13FBB">
        <w:rPr>
          <w:rFonts w:cstheme="minorHAnsi"/>
          <w:color w:val="45130F" w:themeColor="background2"/>
          <w:sz w:val="20"/>
          <w:szCs w:val="20"/>
          <w:lang w:val="fr-FR"/>
        </w:rPr>
        <w:t>s</w:t>
      </w:r>
      <w:r w:rsidR="00C34E4B" w:rsidRPr="00D13FBB">
        <w:rPr>
          <w:rFonts w:cstheme="minorHAnsi"/>
          <w:color w:val="45130F" w:themeColor="background2"/>
          <w:sz w:val="20"/>
          <w:szCs w:val="20"/>
          <w:lang w:val="fr-FR"/>
        </w:rPr>
        <w:t xml:space="preserve"> </w:t>
      </w:r>
      <w:r w:rsidR="00434F63" w:rsidRPr="00D13FBB">
        <w:rPr>
          <w:rFonts w:cstheme="minorHAnsi"/>
          <w:color w:val="45130F" w:themeColor="background2"/>
          <w:sz w:val="20"/>
          <w:szCs w:val="20"/>
          <w:lang w:val="fr-FR"/>
        </w:rPr>
        <w:t xml:space="preserve">de </w:t>
      </w:r>
      <w:r w:rsidR="00C34E4B" w:rsidRPr="00D13FBB">
        <w:rPr>
          <w:rFonts w:cstheme="minorHAnsi"/>
          <w:color w:val="45130F" w:themeColor="background2"/>
          <w:sz w:val="20"/>
          <w:szCs w:val="20"/>
          <w:lang w:val="fr-FR"/>
        </w:rPr>
        <w:t xml:space="preserve">SAB </w:t>
      </w:r>
      <w:r w:rsidR="00434F63" w:rsidRPr="00D13FBB">
        <w:rPr>
          <w:rFonts w:cstheme="minorHAnsi"/>
          <w:color w:val="45130F" w:themeColor="background2"/>
          <w:sz w:val="20"/>
          <w:szCs w:val="20"/>
          <w:lang w:val="fr-FR"/>
        </w:rPr>
        <w:t xml:space="preserve">en Europe </w:t>
      </w:r>
      <w:r w:rsidR="00C34E4B" w:rsidRPr="00D13FBB">
        <w:rPr>
          <w:rFonts w:cstheme="minorHAnsi"/>
          <w:color w:val="45130F" w:themeColor="background2"/>
          <w:sz w:val="20"/>
          <w:szCs w:val="20"/>
          <w:lang w:val="fr-FR"/>
        </w:rPr>
        <w:t>centrale et de l'Est ni la participation dans Distell.</w:t>
      </w:r>
      <w:r w:rsidR="001447A8" w:rsidRPr="00D13FBB">
        <w:rPr>
          <w:rFonts w:cstheme="minorHAnsi"/>
          <w:color w:val="45130F" w:themeColor="background2"/>
          <w:sz w:val="20"/>
          <w:szCs w:val="20"/>
          <w:lang w:val="fr-BE"/>
        </w:rPr>
        <w:t xml:space="preserve"> </w:t>
      </w:r>
      <w:r w:rsidR="00D903C9" w:rsidRPr="00D13FBB">
        <w:rPr>
          <w:rFonts w:cstheme="minorHAnsi"/>
          <w:color w:val="45130F" w:themeColor="background2"/>
          <w:sz w:val="20"/>
          <w:szCs w:val="20"/>
          <w:lang w:val="fr-FR"/>
        </w:rPr>
        <w:t xml:space="preserve">Les résultats de CCBA sont inclus à partir de juillet 2016 et continueront d’être rapportés tant que nous </w:t>
      </w:r>
      <w:r w:rsidR="00434F63" w:rsidRPr="00D13FBB">
        <w:rPr>
          <w:rFonts w:cstheme="minorHAnsi"/>
          <w:color w:val="45130F" w:themeColor="background2"/>
          <w:sz w:val="20"/>
          <w:szCs w:val="20"/>
          <w:lang w:val="fr-FR"/>
        </w:rPr>
        <w:t xml:space="preserve">détiendrons </w:t>
      </w:r>
      <w:r w:rsidR="00D903C9" w:rsidRPr="00D13FBB">
        <w:rPr>
          <w:rFonts w:cstheme="minorHAnsi"/>
          <w:color w:val="45130F" w:themeColor="background2"/>
          <w:sz w:val="20"/>
          <w:szCs w:val="20"/>
          <w:lang w:val="fr-FR"/>
        </w:rPr>
        <w:t>une participation dans CCBA.</w:t>
      </w:r>
    </w:p>
    <w:p w14:paraId="6951EB30" w14:textId="640677E9" w:rsidR="001447A8" w:rsidRPr="00D13FBB" w:rsidRDefault="001447A8" w:rsidP="00C11799">
      <w:pPr>
        <w:spacing w:after="0" w:line="240" w:lineRule="auto"/>
        <w:jc w:val="both"/>
        <w:rPr>
          <w:rFonts w:cstheme="minorHAnsi"/>
          <w:color w:val="45130F" w:themeColor="background2"/>
          <w:sz w:val="20"/>
          <w:szCs w:val="20"/>
          <w:lang w:val="fr-BE"/>
        </w:rPr>
      </w:pPr>
    </w:p>
    <w:p w14:paraId="67331A3B" w14:textId="5F0C0AB9" w:rsidR="001447A8" w:rsidRPr="00D13FBB" w:rsidRDefault="001447A8" w:rsidP="00C11799">
      <w:pPr>
        <w:spacing w:after="0" w:line="240" w:lineRule="auto"/>
        <w:jc w:val="both"/>
        <w:rPr>
          <w:rFonts w:cstheme="minorHAnsi"/>
          <w:color w:val="45130F" w:themeColor="background2"/>
          <w:sz w:val="20"/>
          <w:szCs w:val="20"/>
          <w:lang w:val="fr-BE"/>
        </w:rPr>
      </w:pPr>
      <w:r w:rsidRPr="00D13FBB">
        <w:rPr>
          <w:rFonts w:cstheme="minorHAnsi"/>
          <w:iCs/>
          <w:color w:val="45130F" w:themeColor="background2"/>
          <w:sz w:val="20"/>
          <w:szCs w:val="20"/>
          <w:lang w:val="fr-BE"/>
        </w:rPr>
        <w:tab/>
      </w:r>
      <w:r w:rsidRPr="00D13FBB">
        <w:rPr>
          <w:rFonts w:cstheme="minorHAnsi"/>
          <w:iCs/>
          <w:color w:val="45130F" w:themeColor="background2"/>
          <w:sz w:val="20"/>
          <w:szCs w:val="20"/>
          <w:lang w:val="fr-BE"/>
        </w:rPr>
        <w:tab/>
      </w:r>
      <w:r w:rsidRPr="00D13FBB">
        <w:rPr>
          <w:rFonts w:cstheme="minorHAnsi"/>
          <w:iCs/>
          <w:color w:val="45130F" w:themeColor="background2"/>
          <w:sz w:val="20"/>
          <w:szCs w:val="20"/>
          <w:lang w:val="fr-BE"/>
        </w:rPr>
        <w:tab/>
      </w:r>
      <w:r w:rsidR="00D903C9" w:rsidRPr="00D13FBB">
        <w:rPr>
          <w:rFonts w:cstheme="minorHAnsi"/>
          <w:color w:val="45130F" w:themeColor="background2"/>
          <w:sz w:val="20"/>
          <w:szCs w:val="20"/>
          <w:lang w:val="fr-FR"/>
        </w:rPr>
        <w:t>EBITDA normalisé d</w:t>
      </w:r>
      <w:r w:rsidR="006B0507" w:rsidRPr="00D13FBB">
        <w:rPr>
          <w:rFonts w:cstheme="minorHAnsi"/>
          <w:color w:val="45130F" w:themeColor="background2"/>
          <w:sz w:val="20"/>
          <w:szCs w:val="20"/>
          <w:lang w:val="fr-FR"/>
        </w:rPr>
        <w:t xml:space="preserve">u </w:t>
      </w:r>
      <w:r w:rsidR="00D903C9" w:rsidRPr="00D13FBB">
        <w:rPr>
          <w:rFonts w:cstheme="minorHAnsi"/>
          <w:color w:val="45130F" w:themeColor="background2"/>
          <w:sz w:val="20"/>
          <w:szCs w:val="20"/>
          <w:lang w:val="fr-FR"/>
        </w:rPr>
        <w:t>3</w:t>
      </w:r>
      <w:r w:rsidR="006B0507" w:rsidRPr="00D13FBB">
        <w:rPr>
          <w:rFonts w:cstheme="minorHAnsi"/>
          <w:color w:val="45130F" w:themeColor="background2"/>
          <w:sz w:val="20"/>
          <w:szCs w:val="20"/>
          <w:lang w:val="fr-FR"/>
        </w:rPr>
        <w:t>T</w:t>
      </w:r>
      <w:r w:rsidR="00D903C9" w:rsidRPr="00D13FBB">
        <w:rPr>
          <w:rFonts w:cstheme="minorHAnsi"/>
          <w:color w:val="45130F" w:themeColor="background2"/>
          <w:sz w:val="20"/>
          <w:szCs w:val="20"/>
          <w:lang w:val="fr-FR"/>
        </w:rPr>
        <w:t>16 (Base de référence)</w:t>
      </w:r>
      <w:r w:rsidRPr="00D13FBB">
        <w:rPr>
          <w:rFonts w:cstheme="minorHAnsi"/>
          <w:color w:val="45130F" w:themeColor="background2"/>
          <w:sz w:val="20"/>
          <w:szCs w:val="20"/>
          <w:lang w:val="fr-BE"/>
        </w:rPr>
        <w:tab/>
      </w:r>
      <w:r w:rsidR="00671484" w:rsidRPr="00D13FBB">
        <w:rPr>
          <w:rFonts w:cstheme="minorHAnsi"/>
          <w:color w:val="45130F" w:themeColor="background2"/>
          <w:sz w:val="20"/>
          <w:szCs w:val="20"/>
          <w:lang w:val="fr-BE"/>
        </w:rPr>
        <w:t xml:space="preserve"> </w:t>
      </w:r>
      <w:r w:rsidRPr="00D13FBB">
        <w:rPr>
          <w:rFonts w:cstheme="minorHAnsi"/>
          <w:color w:val="45130F" w:themeColor="background2"/>
          <w:sz w:val="20"/>
          <w:szCs w:val="20"/>
          <w:lang w:val="fr-BE"/>
        </w:rPr>
        <w:t xml:space="preserve"> </w:t>
      </w:r>
      <w:r w:rsidR="00A34D4C" w:rsidRPr="00D13FBB">
        <w:rPr>
          <w:rFonts w:cstheme="minorHAnsi"/>
          <w:color w:val="45130F" w:themeColor="background2"/>
          <w:sz w:val="20"/>
          <w:szCs w:val="20"/>
          <w:lang w:val="fr-FR"/>
        </w:rPr>
        <w:t>5</w:t>
      </w:r>
      <w:r w:rsidR="00434F63" w:rsidRPr="00D13FBB">
        <w:rPr>
          <w:rFonts w:cstheme="minorHAnsi"/>
          <w:color w:val="45130F" w:themeColor="background2"/>
          <w:sz w:val="20"/>
          <w:szCs w:val="20"/>
          <w:lang w:val="fr-FR"/>
        </w:rPr>
        <w:t xml:space="preserve"> </w:t>
      </w:r>
      <w:r w:rsidR="00D903C9" w:rsidRPr="00D13FBB">
        <w:rPr>
          <w:rFonts w:cstheme="minorHAnsi"/>
          <w:color w:val="45130F" w:themeColor="background2"/>
          <w:sz w:val="20"/>
          <w:szCs w:val="20"/>
          <w:lang w:val="fr-FR"/>
        </w:rPr>
        <w:t>039 millions USD</w:t>
      </w:r>
    </w:p>
    <w:p w14:paraId="02AFCF76" w14:textId="2CD99E80" w:rsidR="001447A8" w:rsidRPr="00D13FBB" w:rsidRDefault="001447A8" w:rsidP="00C11799">
      <w:pPr>
        <w:spacing w:after="0" w:line="240" w:lineRule="auto"/>
        <w:jc w:val="both"/>
        <w:rPr>
          <w:rFonts w:cstheme="minorHAnsi"/>
          <w:color w:val="45130F" w:themeColor="background2"/>
          <w:sz w:val="20"/>
          <w:szCs w:val="20"/>
          <w:lang w:val="fr-BE"/>
        </w:rPr>
      </w:pPr>
      <w:r w:rsidRPr="00D13FBB">
        <w:rPr>
          <w:rFonts w:cstheme="minorHAnsi"/>
          <w:color w:val="45130F" w:themeColor="background2"/>
          <w:sz w:val="20"/>
          <w:szCs w:val="20"/>
          <w:lang w:val="fr-BE"/>
        </w:rPr>
        <w:tab/>
      </w:r>
      <w:r w:rsidRPr="00D13FBB">
        <w:rPr>
          <w:rFonts w:cstheme="minorHAnsi"/>
          <w:color w:val="45130F" w:themeColor="background2"/>
          <w:sz w:val="20"/>
          <w:szCs w:val="20"/>
          <w:lang w:val="fr-BE"/>
        </w:rPr>
        <w:tab/>
      </w:r>
      <w:r w:rsidRPr="00D13FBB">
        <w:rPr>
          <w:rFonts w:cstheme="minorHAnsi"/>
          <w:color w:val="45130F" w:themeColor="background2"/>
          <w:sz w:val="20"/>
          <w:szCs w:val="20"/>
          <w:lang w:val="fr-BE"/>
        </w:rPr>
        <w:tab/>
      </w:r>
      <w:r w:rsidR="00D903C9" w:rsidRPr="00D13FBB">
        <w:rPr>
          <w:rFonts w:cstheme="minorHAnsi"/>
          <w:color w:val="45130F" w:themeColor="background2"/>
          <w:sz w:val="20"/>
          <w:szCs w:val="20"/>
          <w:lang w:val="fr-FR"/>
        </w:rPr>
        <w:t>EBITDA normalisé du 4T16</w:t>
      </w:r>
      <w:r w:rsidRPr="00D13FBB">
        <w:rPr>
          <w:rFonts w:cstheme="minorHAnsi"/>
          <w:color w:val="45130F" w:themeColor="background2"/>
          <w:sz w:val="20"/>
          <w:szCs w:val="20"/>
          <w:lang w:val="fr-BE"/>
        </w:rPr>
        <w:tab/>
      </w:r>
      <w:r w:rsidRPr="00D13FBB">
        <w:rPr>
          <w:rFonts w:cstheme="minorHAnsi"/>
          <w:color w:val="45130F" w:themeColor="background2"/>
          <w:sz w:val="20"/>
          <w:szCs w:val="20"/>
          <w:lang w:val="fr-BE"/>
        </w:rPr>
        <w:tab/>
      </w:r>
      <w:r w:rsidRPr="00D13FBB">
        <w:rPr>
          <w:rFonts w:cstheme="minorHAnsi"/>
          <w:color w:val="45130F" w:themeColor="background2"/>
          <w:sz w:val="20"/>
          <w:szCs w:val="20"/>
          <w:lang w:val="fr-BE"/>
        </w:rPr>
        <w:tab/>
        <w:t xml:space="preserve"> </w:t>
      </w:r>
      <w:r w:rsidR="00671484" w:rsidRPr="00D13FBB">
        <w:rPr>
          <w:rFonts w:cstheme="minorHAnsi"/>
          <w:color w:val="45130F" w:themeColor="background2"/>
          <w:sz w:val="20"/>
          <w:szCs w:val="20"/>
          <w:lang w:val="fr-BE"/>
        </w:rPr>
        <w:t xml:space="preserve"> </w:t>
      </w:r>
      <w:r w:rsidR="00434F63" w:rsidRPr="00D13FBB">
        <w:rPr>
          <w:rFonts w:cstheme="minorHAnsi"/>
          <w:color w:val="45130F" w:themeColor="background2"/>
          <w:sz w:val="20"/>
          <w:szCs w:val="20"/>
          <w:lang w:val="fr-BE"/>
        </w:rPr>
        <w:tab/>
        <w:t xml:space="preserve">  </w:t>
      </w:r>
      <w:r w:rsidR="00A34D4C" w:rsidRPr="00D13FBB">
        <w:rPr>
          <w:rFonts w:cstheme="minorHAnsi"/>
          <w:color w:val="45130F" w:themeColor="background2"/>
          <w:sz w:val="20"/>
          <w:szCs w:val="20"/>
          <w:lang w:val="fr-FR"/>
        </w:rPr>
        <w:t>5</w:t>
      </w:r>
      <w:r w:rsidR="00434F63" w:rsidRPr="00D13FBB">
        <w:rPr>
          <w:rFonts w:cstheme="minorHAnsi"/>
          <w:color w:val="45130F" w:themeColor="background2"/>
          <w:sz w:val="20"/>
          <w:szCs w:val="20"/>
          <w:lang w:val="fr-FR"/>
        </w:rPr>
        <w:t xml:space="preserve"> </w:t>
      </w:r>
      <w:r w:rsidR="00D903C9" w:rsidRPr="00D13FBB">
        <w:rPr>
          <w:rFonts w:cstheme="minorHAnsi"/>
          <w:color w:val="45130F" w:themeColor="background2"/>
          <w:sz w:val="20"/>
          <w:szCs w:val="20"/>
          <w:lang w:val="fr-FR"/>
        </w:rPr>
        <w:t>248 millions USD</w:t>
      </w:r>
    </w:p>
    <w:p w14:paraId="6DD27942" w14:textId="74A6AD8B" w:rsidR="001447A8" w:rsidRPr="00D13FBB" w:rsidRDefault="001447A8" w:rsidP="00C11799">
      <w:pPr>
        <w:spacing w:after="0" w:line="240" w:lineRule="auto"/>
        <w:jc w:val="both"/>
        <w:rPr>
          <w:rFonts w:cstheme="minorHAnsi"/>
          <w:color w:val="45130F" w:themeColor="background2"/>
          <w:sz w:val="20"/>
          <w:szCs w:val="20"/>
          <w:u w:val="single"/>
          <w:lang w:val="fr-BE"/>
        </w:rPr>
      </w:pPr>
      <w:r w:rsidRPr="00D13FBB">
        <w:rPr>
          <w:rFonts w:cstheme="minorHAnsi"/>
          <w:color w:val="45130F" w:themeColor="background2"/>
          <w:sz w:val="20"/>
          <w:szCs w:val="20"/>
          <w:lang w:val="fr-BE"/>
        </w:rPr>
        <w:tab/>
      </w:r>
      <w:r w:rsidRPr="00D13FBB">
        <w:rPr>
          <w:rFonts w:cstheme="minorHAnsi"/>
          <w:color w:val="45130F" w:themeColor="background2"/>
          <w:sz w:val="20"/>
          <w:szCs w:val="20"/>
          <w:lang w:val="fr-BE"/>
        </w:rPr>
        <w:tab/>
      </w:r>
      <w:r w:rsidRPr="00D13FBB">
        <w:rPr>
          <w:rFonts w:cstheme="minorHAnsi"/>
          <w:color w:val="45130F" w:themeColor="background2"/>
          <w:sz w:val="20"/>
          <w:szCs w:val="20"/>
          <w:lang w:val="fr-BE"/>
        </w:rPr>
        <w:tab/>
      </w:r>
      <w:r w:rsidR="00D903C9" w:rsidRPr="00D13FBB">
        <w:rPr>
          <w:rFonts w:cstheme="minorHAnsi"/>
          <w:color w:val="45130F" w:themeColor="background2"/>
          <w:sz w:val="20"/>
          <w:szCs w:val="20"/>
          <w:u w:val="single"/>
          <w:lang w:val="fr-FR"/>
        </w:rPr>
        <w:t>EBITDA normalisé du 1S17</w:t>
      </w:r>
      <w:r w:rsidRPr="00D13FBB">
        <w:rPr>
          <w:rFonts w:cstheme="minorHAnsi"/>
          <w:color w:val="45130F" w:themeColor="background2"/>
          <w:sz w:val="20"/>
          <w:szCs w:val="20"/>
          <w:u w:val="single"/>
          <w:lang w:val="fr-BE"/>
        </w:rPr>
        <w:tab/>
      </w:r>
      <w:r w:rsidRPr="00D13FBB">
        <w:rPr>
          <w:rFonts w:cstheme="minorHAnsi"/>
          <w:color w:val="45130F" w:themeColor="background2"/>
          <w:sz w:val="20"/>
          <w:szCs w:val="20"/>
          <w:u w:val="single"/>
          <w:lang w:val="fr-BE"/>
        </w:rPr>
        <w:tab/>
      </w:r>
      <w:r w:rsidR="00D66701" w:rsidRPr="00D13FBB">
        <w:rPr>
          <w:rFonts w:cstheme="minorHAnsi"/>
          <w:color w:val="45130F" w:themeColor="background2"/>
          <w:sz w:val="20"/>
          <w:szCs w:val="20"/>
          <w:u w:val="single"/>
          <w:lang w:val="fr-BE"/>
        </w:rPr>
        <w:t xml:space="preserve">            </w:t>
      </w:r>
      <w:r w:rsidR="00671484" w:rsidRPr="00D13FBB">
        <w:rPr>
          <w:rFonts w:cstheme="minorHAnsi"/>
          <w:color w:val="45130F" w:themeColor="background2"/>
          <w:sz w:val="20"/>
          <w:szCs w:val="20"/>
          <w:u w:val="single"/>
          <w:lang w:val="fr-BE"/>
        </w:rPr>
        <w:t xml:space="preserve"> </w:t>
      </w:r>
      <w:r w:rsidR="00434F63" w:rsidRPr="00D13FBB">
        <w:rPr>
          <w:rFonts w:cstheme="minorHAnsi"/>
          <w:color w:val="45130F" w:themeColor="background2"/>
          <w:sz w:val="20"/>
          <w:szCs w:val="20"/>
          <w:u w:val="single"/>
          <w:lang w:val="fr-BE"/>
        </w:rPr>
        <w:tab/>
      </w:r>
      <w:r w:rsidR="00A34D4C" w:rsidRPr="00D13FBB">
        <w:rPr>
          <w:rFonts w:cstheme="minorHAnsi"/>
          <w:color w:val="45130F" w:themeColor="background2"/>
          <w:sz w:val="20"/>
          <w:szCs w:val="20"/>
          <w:u w:val="single"/>
          <w:lang w:val="fr-FR"/>
        </w:rPr>
        <w:t>10</w:t>
      </w:r>
      <w:r w:rsidR="00434F63" w:rsidRPr="00D13FBB">
        <w:rPr>
          <w:rFonts w:cstheme="minorHAnsi"/>
          <w:color w:val="45130F" w:themeColor="background2"/>
          <w:sz w:val="20"/>
          <w:szCs w:val="20"/>
          <w:u w:val="single"/>
          <w:lang w:val="fr-FR"/>
        </w:rPr>
        <w:t xml:space="preserve"> </w:t>
      </w:r>
      <w:r w:rsidR="00D903C9" w:rsidRPr="00D13FBB">
        <w:rPr>
          <w:rFonts w:cstheme="minorHAnsi"/>
          <w:color w:val="45130F" w:themeColor="background2"/>
          <w:sz w:val="20"/>
          <w:szCs w:val="20"/>
          <w:u w:val="single"/>
          <w:lang w:val="fr-FR"/>
        </w:rPr>
        <w:t>157 millions USD</w:t>
      </w:r>
    </w:p>
    <w:p w14:paraId="02CEB9F5" w14:textId="7D287DF9" w:rsidR="001447A8" w:rsidRPr="00D13FBB" w:rsidRDefault="001447A8" w:rsidP="00C11799">
      <w:pPr>
        <w:spacing w:after="0" w:line="240" w:lineRule="auto"/>
        <w:jc w:val="both"/>
        <w:rPr>
          <w:rFonts w:cstheme="minorHAnsi"/>
          <w:color w:val="45130F" w:themeColor="background2"/>
          <w:sz w:val="20"/>
          <w:szCs w:val="20"/>
          <w:lang w:val="fr-BE"/>
        </w:rPr>
      </w:pPr>
      <w:r w:rsidRPr="00D13FBB">
        <w:rPr>
          <w:rFonts w:cstheme="minorHAnsi"/>
          <w:color w:val="45130F" w:themeColor="background2"/>
          <w:sz w:val="20"/>
          <w:szCs w:val="20"/>
          <w:lang w:val="fr-BE"/>
        </w:rPr>
        <w:tab/>
      </w:r>
      <w:r w:rsidRPr="00D13FBB">
        <w:rPr>
          <w:rFonts w:cstheme="minorHAnsi"/>
          <w:color w:val="45130F" w:themeColor="background2"/>
          <w:sz w:val="20"/>
          <w:szCs w:val="20"/>
          <w:lang w:val="fr-BE"/>
        </w:rPr>
        <w:tab/>
      </w:r>
      <w:r w:rsidRPr="00D13FBB">
        <w:rPr>
          <w:rFonts w:cstheme="minorHAnsi"/>
          <w:color w:val="45130F" w:themeColor="background2"/>
          <w:sz w:val="20"/>
          <w:szCs w:val="20"/>
          <w:lang w:val="fr-BE"/>
        </w:rPr>
        <w:tab/>
      </w:r>
      <w:r w:rsidR="00D903C9" w:rsidRPr="00D13FBB">
        <w:rPr>
          <w:rFonts w:cstheme="minorHAnsi"/>
          <w:color w:val="45130F" w:themeColor="background2"/>
          <w:sz w:val="20"/>
          <w:szCs w:val="20"/>
          <w:lang w:val="fr-FR"/>
        </w:rPr>
        <w:t>EBITDA normalisé des 12 derniers mois</w:t>
      </w:r>
      <w:r w:rsidRPr="00D13FBB">
        <w:rPr>
          <w:rFonts w:cstheme="minorHAnsi"/>
          <w:color w:val="45130F" w:themeColor="background2"/>
          <w:sz w:val="20"/>
          <w:szCs w:val="20"/>
          <w:lang w:val="fr-BE"/>
        </w:rPr>
        <w:tab/>
      </w:r>
      <w:r w:rsidRPr="00D13FBB">
        <w:rPr>
          <w:rFonts w:cstheme="minorHAnsi"/>
          <w:color w:val="45130F" w:themeColor="background2"/>
          <w:sz w:val="20"/>
          <w:szCs w:val="20"/>
          <w:lang w:val="fr-BE"/>
        </w:rPr>
        <w:tab/>
      </w:r>
      <w:r w:rsidR="00A34D4C" w:rsidRPr="00D13FBB">
        <w:rPr>
          <w:rFonts w:cstheme="minorHAnsi"/>
          <w:color w:val="45130F" w:themeColor="background2"/>
          <w:sz w:val="20"/>
          <w:szCs w:val="20"/>
          <w:lang w:val="fr-FR"/>
        </w:rPr>
        <w:t>20</w:t>
      </w:r>
      <w:r w:rsidR="00434F63" w:rsidRPr="00D13FBB">
        <w:rPr>
          <w:rFonts w:cstheme="minorHAnsi"/>
          <w:color w:val="45130F" w:themeColor="background2"/>
          <w:sz w:val="20"/>
          <w:szCs w:val="20"/>
          <w:lang w:val="fr-FR"/>
        </w:rPr>
        <w:t xml:space="preserve"> </w:t>
      </w:r>
      <w:r w:rsidR="00D903C9" w:rsidRPr="00D13FBB">
        <w:rPr>
          <w:rFonts w:cstheme="minorHAnsi"/>
          <w:color w:val="45130F" w:themeColor="background2"/>
          <w:sz w:val="20"/>
          <w:szCs w:val="20"/>
          <w:lang w:val="fr-FR"/>
        </w:rPr>
        <w:t>444 millions USD</w:t>
      </w:r>
    </w:p>
    <w:p w14:paraId="5D763549" w14:textId="77777777" w:rsidR="00016628" w:rsidRPr="00D13FBB" w:rsidRDefault="00016628" w:rsidP="00145735">
      <w:pPr>
        <w:spacing w:after="0" w:line="240" w:lineRule="auto"/>
        <w:jc w:val="both"/>
        <w:rPr>
          <w:rFonts w:cstheme="minorHAnsi"/>
          <w:color w:val="45130F" w:themeColor="background2"/>
          <w:sz w:val="20"/>
          <w:szCs w:val="20"/>
          <w:lang w:val="fr-BE"/>
        </w:rPr>
      </w:pPr>
    </w:p>
    <w:p w14:paraId="2DA94EF9" w14:textId="5B0785C2" w:rsidR="009F7489" w:rsidRPr="00D13FBB" w:rsidRDefault="00D903C9" w:rsidP="00066204">
      <w:pPr>
        <w:spacing w:after="0" w:line="240" w:lineRule="auto"/>
        <w:jc w:val="both"/>
        <w:rPr>
          <w:rFonts w:cstheme="minorHAnsi"/>
          <w:color w:val="45130F" w:themeColor="background2"/>
          <w:sz w:val="20"/>
          <w:szCs w:val="20"/>
          <w:lang w:val="fr-BE"/>
        </w:rPr>
      </w:pPr>
      <w:r w:rsidRPr="00D13FBB">
        <w:rPr>
          <w:rFonts w:cstheme="minorHAnsi"/>
          <w:color w:val="45130F" w:themeColor="background2"/>
          <w:sz w:val="20"/>
          <w:szCs w:val="20"/>
          <w:lang w:val="fr-FR"/>
        </w:rPr>
        <w:t>Au 30 juin 201</w:t>
      </w:r>
      <w:r w:rsidR="00AD7955" w:rsidRPr="00D13FBB">
        <w:rPr>
          <w:rFonts w:cstheme="minorHAnsi"/>
          <w:color w:val="45130F" w:themeColor="background2"/>
          <w:sz w:val="20"/>
          <w:szCs w:val="20"/>
          <w:lang w:val="fr-FR"/>
        </w:rPr>
        <w:t>7</w:t>
      </w:r>
      <w:r w:rsidRPr="00D13FBB">
        <w:rPr>
          <w:rFonts w:cstheme="minorHAnsi"/>
          <w:color w:val="45130F" w:themeColor="background2"/>
          <w:sz w:val="20"/>
          <w:szCs w:val="20"/>
          <w:lang w:val="fr-FR"/>
        </w:rPr>
        <w:t>, nous disposions d’une liquidité totale de 19,1 milliards d’USD, dont 9</w:t>
      </w:r>
      <w:r w:rsidR="00A34D4C" w:rsidRPr="00D13FBB">
        <w:rPr>
          <w:rFonts w:cstheme="minorHAnsi"/>
          <w:color w:val="45130F" w:themeColor="background2"/>
          <w:sz w:val="20"/>
          <w:szCs w:val="20"/>
          <w:lang w:val="fr-FR"/>
        </w:rPr>
        <w:t>,</w:t>
      </w:r>
      <w:r w:rsidRPr="00D13FBB">
        <w:rPr>
          <w:rFonts w:cstheme="minorHAnsi"/>
          <w:color w:val="45130F" w:themeColor="background2"/>
          <w:sz w:val="20"/>
          <w:szCs w:val="20"/>
          <w:lang w:val="fr-FR"/>
        </w:rPr>
        <w:t xml:space="preserve">0 milliards d’USD disponibles sous la forme de lignes de crédit à long terme et 10,1 milliards d’USD de trésorerie, d’équivalents de trésorerie et de placements à court terme dans </w:t>
      </w:r>
      <w:r w:rsidR="00434F63" w:rsidRPr="00D13FBB">
        <w:rPr>
          <w:rFonts w:cstheme="minorHAnsi"/>
          <w:color w:val="45130F" w:themeColor="background2"/>
          <w:sz w:val="20"/>
          <w:szCs w:val="20"/>
          <w:lang w:val="fr-FR"/>
        </w:rPr>
        <w:t>d</w:t>
      </w:r>
      <w:r w:rsidRPr="00D13FBB">
        <w:rPr>
          <w:rFonts w:cstheme="minorHAnsi"/>
          <w:color w:val="45130F" w:themeColor="background2"/>
          <w:sz w:val="20"/>
          <w:szCs w:val="20"/>
          <w:lang w:val="fr-FR"/>
        </w:rPr>
        <w:t>es titres d’emprunt, moins les découverts bancaires.</w:t>
      </w:r>
      <w:r w:rsidR="00C11799" w:rsidRPr="00D13FBB">
        <w:rPr>
          <w:rFonts w:cstheme="minorHAnsi"/>
          <w:color w:val="45130F" w:themeColor="background2"/>
          <w:sz w:val="20"/>
          <w:szCs w:val="20"/>
          <w:lang w:val="fr-BE"/>
        </w:rPr>
        <w:t xml:space="preserve"> </w:t>
      </w:r>
      <w:r w:rsidRPr="00D13FBB">
        <w:rPr>
          <w:rFonts w:cstheme="minorHAnsi"/>
          <w:color w:val="45130F" w:themeColor="background2"/>
          <w:sz w:val="20"/>
          <w:szCs w:val="20"/>
          <w:lang w:val="fr-FR"/>
        </w:rPr>
        <w:t>Bien que nous puissions emprunter ces montants pour combler nos besoins en liquidité, nous comptons essentiellement sur les flux de trésorerie provenant d’activités d’exploitation pour fina</w:t>
      </w:r>
      <w:r w:rsidR="00A34D4C" w:rsidRPr="00D13FBB">
        <w:rPr>
          <w:rFonts w:cstheme="minorHAnsi"/>
          <w:color w:val="45130F" w:themeColor="background2"/>
          <w:sz w:val="20"/>
          <w:szCs w:val="20"/>
          <w:lang w:val="fr-FR"/>
        </w:rPr>
        <w:t>ncer nos activités permanentes.</w:t>
      </w:r>
      <w:r w:rsidR="00C11799" w:rsidRPr="00D13FBB">
        <w:rPr>
          <w:rFonts w:cstheme="minorHAnsi"/>
          <w:color w:val="45130F" w:themeColor="background2"/>
          <w:sz w:val="20"/>
          <w:szCs w:val="20"/>
          <w:lang w:val="fr-BE"/>
        </w:rPr>
        <w:t xml:space="preserve"> </w:t>
      </w:r>
    </w:p>
    <w:p w14:paraId="72885085" w14:textId="77777777" w:rsidR="00066204" w:rsidRPr="00A86DC5" w:rsidRDefault="00066204" w:rsidP="00066204">
      <w:pPr>
        <w:spacing w:after="0" w:line="240" w:lineRule="auto"/>
        <w:jc w:val="both"/>
        <w:rPr>
          <w:rFonts w:cstheme="minorHAnsi"/>
          <w:sz w:val="20"/>
          <w:szCs w:val="20"/>
          <w:lang w:val="fr-BE"/>
        </w:rPr>
      </w:pPr>
    </w:p>
    <w:p w14:paraId="194B6873" w14:textId="7400F7C2" w:rsidR="00066204" w:rsidRDefault="00066204">
      <w:r w:rsidRPr="00066204">
        <w:rPr>
          <w:noProof/>
        </w:rPr>
        <w:drawing>
          <wp:inline distT="0" distB="0" distL="0" distR="0" wp14:anchorId="68C1CDF0" wp14:editId="04E5DB68">
            <wp:extent cx="5033176" cy="1805638"/>
            <wp:effectExtent l="0" t="0" r="0" b="4445"/>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33176" cy="1805638"/>
                    </a:xfrm>
                    <a:prstGeom prst="rect">
                      <a:avLst/>
                    </a:prstGeom>
                    <a:noFill/>
                    <a:ln>
                      <a:noFill/>
                    </a:ln>
                  </pic:spPr>
                </pic:pic>
              </a:graphicData>
            </a:graphic>
          </wp:inline>
        </w:drawing>
      </w:r>
      <w:r>
        <w:br w:type="page"/>
      </w: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580B" w:themeFill="accent2"/>
        <w:tblLayout w:type="fixed"/>
        <w:tblLook w:val="04A0" w:firstRow="1" w:lastRow="0" w:firstColumn="1" w:lastColumn="0" w:noHBand="0" w:noVBand="1"/>
      </w:tblPr>
      <w:tblGrid>
        <w:gridCol w:w="9576"/>
      </w:tblGrid>
      <w:tr w:rsidR="00C34B10" w:rsidRPr="00C34B10" w14:paraId="46D72CAC" w14:textId="77777777" w:rsidTr="00D903C9">
        <w:trPr>
          <w:trHeight w:val="264"/>
        </w:trPr>
        <w:tc>
          <w:tcPr>
            <w:tcW w:w="9576" w:type="dxa"/>
            <w:shd w:val="clear" w:color="auto" w:fill="DB580B" w:themeFill="accent2"/>
          </w:tcPr>
          <w:p w14:paraId="40F6603F" w14:textId="164326A8" w:rsidR="00C34B10" w:rsidRPr="00D903C9" w:rsidRDefault="00D903C9" w:rsidP="00851C9B">
            <w:pPr>
              <w:spacing w:before="40"/>
              <w:rPr>
                <w:rFonts w:asciiTheme="majorHAnsi" w:eastAsia="Times New Roman" w:hAnsiTheme="majorHAnsi" w:cstheme="majorHAnsi"/>
                <w:b/>
                <w:color w:val="FFFFFF" w:themeColor="background1"/>
              </w:rPr>
            </w:pPr>
            <w:r w:rsidRPr="00D903C9">
              <w:rPr>
                <w:rFonts w:asciiTheme="majorHAnsi" w:eastAsia="Times New Roman" w:hAnsiTheme="majorHAnsi" w:cstheme="majorHAnsi"/>
                <w:b/>
                <w:color w:val="FFFFFF" w:themeColor="background1"/>
                <w:lang w:val="fr-FR"/>
              </w:rPr>
              <w:lastRenderedPageBreak/>
              <w:t>NOTES</w:t>
            </w:r>
          </w:p>
        </w:tc>
      </w:tr>
    </w:tbl>
    <w:p w14:paraId="47D9AFE1" w14:textId="5BF1D9DE" w:rsidR="00C34B10" w:rsidRPr="00A86DC5" w:rsidRDefault="00D903C9" w:rsidP="00710637">
      <w:pPr>
        <w:pBdr>
          <w:top w:val="single" w:sz="4" w:space="1" w:color="auto"/>
          <w:left w:val="single" w:sz="4" w:space="4" w:color="auto"/>
          <w:bottom w:val="single" w:sz="4" w:space="1" w:color="auto"/>
          <w:right w:val="single" w:sz="4" w:space="4" w:color="auto"/>
        </w:pBdr>
        <w:autoSpaceDE w:val="0"/>
        <w:autoSpaceDN w:val="0"/>
        <w:spacing w:before="120" w:line="240" w:lineRule="auto"/>
        <w:jc w:val="both"/>
        <w:rPr>
          <w:sz w:val="16"/>
          <w:szCs w:val="16"/>
          <w:lang w:val="fr-BE" w:eastAsia="zh-CN"/>
        </w:rPr>
      </w:pPr>
      <w:r w:rsidRPr="00851C9B">
        <w:rPr>
          <w:sz w:val="16"/>
          <w:szCs w:val="16"/>
          <w:lang w:val="fr-FR" w:eastAsia="zh-CN"/>
        </w:rPr>
        <w:t>Afin de faciliter la compréhension de la performance sous-jacente d'AB InBev, les analyses relatives à la croissance, y compris tous les commentaires contenus dans le présent communiqué de presse, sauf indication contraire, sont basées sur des chiffres de croissance interne et des chiffres normalisés.</w:t>
      </w:r>
      <w:r w:rsidR="00C34B10" w:rsidRPr="00A86DC5">
        <w:rPr>
          <w:sz w:val="16"/>
          <w:szCs w:val="16"/>
          <w:lang w:val="fr-BE" w:eastAsia="zh-CN"/>
        </w:rPr>
        <w:t xml:space="preserve"> </w:t>
      </w:r>
      <w:r w:rsidRPr="00851C9B">
        <w:rPr>
          <w:sz w:val="16"/>
          <w:szCs w:val="16"/>
          <w:lang w:val="fr-FR" w:eastAsia="zh-CN"/>
        </w:rPr>
        <w:t>En d'autres termes, les chiffres financiers sont analysés de manière à éliminer l'impact des écarts de conversion des activités à l'étranger et des changements dans le périmètre.</w:t>
      </w:r>
      <w:r w:rsidR="00C34B10" w:rsidRPr="00A86DC5">
        <w:rPr>
          <w:sz w:val="16"/>
          <w:szCs w:val="16"/>
          <w:lang w:val="fr-BE" w:eastAsia="zh-CN"/>
        </w:rPr>
        <w:t xml:space="preserve"> </w:t>
      </w:r>
      <w:r w:rsidRPr="00851C9B">
        <w:rPr>
          <w:sz w:val="16"/>
          <w:szCs w:val="16"/>
          <w:lang w:val="fr-FR" w:eastAsia="zh-CN"/>
        </w:rPr>
        <w:t>Les changements dans le périmètre représentent l'impact des acquisitions et cessions, le lancement ou l'arrêt d'activités ou le transfert d'activités entre segments, les pertes et profits enregistrés au titre de réduction et les modifications apportées aux estimations comptables d’une année à l’autre ainsi que d’autres hypothèses que la direction ne considère pas comme faisant partie de la performance sous-jacente de l’entreprise.</w:t>
      </w:r>
    </w:p>
    <w:p w14:paraId="053D2C13" w14:textId="6A8AAF6D" w:rsidR="00C34B10" w:rsidRPr="00A86DC5" w:rsidRDefault="00D903C9" w:rsidP="00710637">
      <w:pPr>
        <w:pBdr>
          <w:top w:val="single" w:sz="4" w:space="1" w:color="auto"/>
          <w:left w:val="single" w:sz="4" w:space="4" w:color="auto"/>
          <w:bottom w:val="single" w:sz="4" w:space="1" w:color="auto"/>
          <w:right w:val="single" w:sz="4" w:space="4" w:color="auto"/>
        </w:pBdr>
        <w:autoSpaceDE w:val="0"/>
        <w:autoSpaceDN w:val="0"/>
        <w:spacing w:before="120" w:line="240" w:lineRule="auto"/>
        <w:jc w:val="both"/>
        <w:rPr>
          <w:sz w:val="16"/>
          <w:szCs w:val="16"/>
          <w:lang w:val="fr-BE" w:eastAsia="zh-CN"/>
        </w:rPr>
      </w:pPr>
      <w:r w:rsidRPr="00851C9B">
        <w:rPr>
          <w:sz w:val="16"/>
          <w:szCs w:val="16"/>
          <w:lang w:val="fr-FR" w:eastAsia="zh-CN"/>
        </w:rPr>
        <w:t>Les références données par hectolitre (par hl) ne comprennent pas les activités non-bières américaines.</w:t>
      </w:r>
      <w:r w:rsidR="00C34B10" w:rsidRPr="00A86DC5">
        <w:rPr>
          <w:sz w:val="16"/>
          <w:szCs w:val="16"/>
          <w:lang w:val="fr-BE" w:eastAsia="zh-CN"/>
        </w:rPr>
        <w:t xml:space="preserve"> </w:t>
      </w:r>
      <w:r w:rsidRPr="00851C9B">
        <w:rPr>
          <w:sz w:val="16"/>
          <w:szCs w:val="16"/>
          <w:lang w:val="fr-FR" w:eastAsia="zh-CN"/>
        </w:rPr>
        <w:t>Afin d’éliminer l’effet mix géographique, c’est-à-dire l’impact d’une croissance des volumes plus forte dans les pays à plus faibles produits par hl et à plus faibles coûts des ventes par hl, nous présentons également, aux endroits spécifiés, les chiffres par hectolitre internes sur une base géographique constante.</w:t>
      </w:r>
      <w:r w:rsidR="00C34B10" w:rsidRPr="00A86DC5">
        <w:rPr>
          <w:sz w:val="16"/>
          <w:szCs w:val="16"/>
          <w:lang w:val="fr-BE" w:eastAsia="zh-CN"/>
        </w:rPr>
        <w:t xml:space="preserve"> </w:t>
      </w:r>
      <w:r w:rsidRPr="00851C9B">
        <w:rPr>
          <w:sz w:val="16"/>
          <w:szCs w:val="16"/>
          <w:lang w:val="fr-FR" w:eastAsia="zh-CN"/>
        </w:rPr>
        <w:t>Lorsque nous faisons des estimations sur une base géographique constante, nous supposons que chaque pays dans lequel nous opérons représente le même pourcentage de notre volume mondial que pour la même période de l’année précédente.</w:t>
      </w:r>
    </w:p>
    <w:p w14:paraId="16D08682" w14:textId="0C10BDBF" w:rsidR="00C34B10" w:rsidRPr="00A86DC5" w:rsidRDefault="00D903C9" w:rsidP="00710637">
      <w:pPr>
        <w:pBdr>
          <w:top w:val="single" w:sz="4" w:space="1" w:color="auto"/>
          <w:left w:val="single" w:sz="4" w:space="4" w:color="auto"/>
          <w:bottom w:val="single" w:sz="4" w:space="1" w:color="auto"/>
          <w:right w:val="single" w:sz="4" w:space="4" w:color="auto"/>
        </w:pBdr>
        <w:autoSpaceDE w:val="0"/>
        <w:autoSpaceDN w:val="0"/>
        <w:spacing w:before="120" w:line="240" w:lineRule="auto"/>
        <w:jc w:val="both"/>
        <w:rPr>
          <w:rFonts w:cstheme="minorHAnsi"/>
          <w:sz w:val="16"/>
          <w:szCs w:val="16"/>
          <w:lang w:val="fr-BE" w:eastAsia="zh-CN"/>
        </w:rPr>
      </w:pPr>
      <w:r w:rsidRPr="00851C9B">
        <w:rPr>
          <w:sz w:val="16"/>
          <w:szCs w:val="16"/>
          <w:lang w:val="fr-FR" w:eastAsia="zh-CN"/>
        </w:rPr>
        <w:t>Chaque fois qu’ils sont mentionnés dans le présent document, les indicateurs de performance (EBITDA, EBIT, bénéfice, taux d’imposition, BPA) sont rapportés sur une base « normalisée », ce qui signifie qu'ils sont présentés avant les éléments non-récurrents et les activités abandonnées.</w:t>
      </w:r>
      <w:r w:rsidR="00C34B10" w:rsidRPr="00A86DC5">
        <w:rPr>
          <w:sz w:val="16"/>
          <w:szCs w:val="16"/>
          <w:lang w:val="fr-BE" w:eastAsia="zh-CN"/>
        </w:rPr>
        <w:t xml:space="preserve"> </w:t>
      </w:r>
      <w:r w:rsidRPr="00851C9B">
        <w:rPr>
          <w:sz w:val="16"/>
          <w:szCs w:val="16"/>
          <w:lang w:val="fr-FR" w:eastAsia="zh-CN"/>
        </w:rPr>
        <w:t>Les éléments non-récurrents sont des produits ou charges qui surviennent de manière irrégulière et ne font pas partie des activités normales de la société.</w:t>
      </w:r>
      <w:r w:rsidR="00C34B10" w:rsidRPr="00A86DC5">
        <w:rPr>
          <w:sz w:val="16"/>
          <w:szCs w:val="16"/>
          <w:lang w:val="fr-BE" w:eastAsia="zh-CN"/>
        </w:rPr>
        <w:t xml:space="preserve"> </w:t>
      </w:r>
      <w:r w:rsidRPr="00851C9B">
        <w:rPr>
          <w:sz w:val="16"/>
          <w:szCs w:val="16"/>
          <w:lang w:val="fr-FR" w:eastAsia="zh-CN"/>
        </w:rPr>
        <w:t>Ils sont présentés séparément en raison de leur importance pour comprendre la performance sous-jacente durable de la société de par leur taille ou nature.</w:t>
      </w:r>
      <w:r w:rsidR="00C34B10" w:rsidRPr="00A86DC5">
        <w:rPr>
          <w:rFonts w:cstheme="minorHAnsi"/>
          <w:sz w:val="16"/>
          <w:szCs w:val="16"/>
          <w:lang w:val="fr-BE" w:eastAsia="zh-CN"/>
        </w:rPr>
        <w:t xml:space="preserve"> </w:t>
      </w:r>
      <w:r w:rsidRPr="00851C9B">
        <w:rPr>
          <w:rFonts w:cstheme="minorHAnsi"/>
          <w:sz w:val="16"/>
          <w:szCs w:val="16"/>
          <w:lang w:val="fr-FR" w:eastAsia="zh-CN"/>
        </w:rPr>
        <w:t>Les indicateurs normalisés sont des indicateurs additionnels utilisés par la direction et ne peuvent pas remplacer les indicateurs conformes aux normes IFRS comme indicateurs de la performance de l'entreprise.</w:t>
      </w:r>
      <w:r w:rsidR="00C34B10" w:rsidRPr="00A86DC5">
        <w:rPr>
          <w:rFonts w:cstheme="minorHAnsi"/>
          <w:sz w:val="16"/>
          <w:szCs w:val="16"/>
          <w:lang w:val="fr-BE" w:eastAsia="zh-CN"/>
        </w:rPr>
        <w:t xml:space="preserve"> </w:t>
      </w:r>
      <w:r w:rsidRPr="00851C9B">
        <w:rPr>
          <w:rFonts w:cstheme="minorHAnsi"/>
          <w:sz w:val="16"/>
          <w:szCs w:val="16"/>
          <w:lang w:val="fr-FR" w:eastAsia="zh-CN"/>
        </w:rPr>
        <w:t>Les résultats de l’activité CEE sont présentés en tant que « résultat d’activités abandonnées » jusqu'à leur vente le 31 mars 2017.</w:t>
      </w:r>
      <w:r w:rsidR="00C34B10" w:rsidRPr="00A86DC5">
        <w:rPr>
          <w:rFonts w:cstheme="minorHAnsi"/>
          <w:sz w:val="16"/>
          <w:szCs w:val="16"/>
          <w:lang w:val="fr-BE" w:eastAsia="zh-CN"/>
        </w:rPr>
        <w:t xml:space="preserve"> </w:t>
      </w:r>
      <w:r w:rsidRPr="00851C9B">
        <w:rPr>
          <w:rFonts w:cstheme="minorHAnsi"/>
          <w:sz w:val="16"/>
          <w:szCs w:val="16"/>
          <w:lang w:val="fr-FR" w:eastAsia="zh-CN"/>
        </w:rPr>
        <w:t>Les valeurs indiquées dans les tableaux et les annexes peuvent ne pas concorder à cause d'arrondis.</w:t>
      </w:r>
    </w:p>
    <w:p w14:paraId="58C4E624" w14:textId="1BFEF0C3" w:rsidR="00C34B10" w:rsidRPr="00A86DC5" w:rsidRDefault="00D903C9" w:rsidP="00710637">
      <w:pPr>
        <w:pBdr>
          <w:top w:val="single" w:sz="4" w:space="1" w:color="auto"/>
          <w:left w:val="single" w:sz="4" w:space="4" w:color="auto"/>
          <w:bottom w:val="single" w:sz="4" w:space="1" w:color="auto"/>
          <w:right w:val="single" w:sz="4" w:space="4" w:color="auto"/>
        </w:pBdr>
        <w:autoSpaceDE w:val="0"/>
        <w:autoSpaceDN w:val="0"/>
        <w:spacing w:before="120" w:line="240" w:lineRule="auto"/>
        <w:jc w:val="both"/>
        <w:rPr>
          <w:rFonts w:cstheme="minorHAnsi"/>
          <w:sz w:val="16"/>
          <w:szCs w:val="16"/>
          <w:lang w:val="fr-BE" w:eastAsia="zh-CN"/>
        </w:rPr>
      </w:pPr>
      <w:r w:rsidRPr="00851C9B">
        <w:rPr>
          <w:rFonts w:cstheme="minorHAnsi"/>
          <w:sz w:val="16"/>
          <w:szCs w:val="16"/>
          <w:lang w:val="fr-FR" w:eastAsia="zh-CN"/>
        </w:rPr>
        <w:t>Vu la nature transformative du rapprochement avec SAB finalisé le 10 octobre 2016 et afin de faciliter la compréhension de la performance sous-jacente d’AB InBev, AB InBev a modifié son information sectorielle du 1T16 aux fins de la publication des résultats et du contrôle interne effectué par la direction.</w:t>
      </w:r>
      <w:r w:rsidR="00C34B10" w:rsidRPr="00A86DC5">
        <w:rPr>
          <w:rFonts w:cstheme="minorHAnsi"/>
          <w:sz w:val="16"/>
          <w:szCs w:val="16"/>
          <w:lang w:val="fr-BE" w:eastAsia="zh-CN"/>
        </w:rPr>
        <w:t xml:space="preserve"> </w:t>
      </w:r>
      <w:r w:rsidRPr="00851C9B">
        <w:rPr>
          <w:rFonts w:cstheme="minorHAnsi"/>
          <w:sz w:val="16"/>
          <w:szCs w:val="16"/>
          <w:lang w:val="fr-FR" w:eastAsia="zh-CN"/>
        </w:rPr>
        <w:t>Cette présentation (appelée la « Base de référence  ») inclut, à des fins comparatives, les résultats de l'activité de SAB comme si le rapprochement avait eu lieu au début du 4T15, mais exclut les résultats (i) des activités vendues depuis la finalisation du rapprochement, y compris les participations dans les joint ventures MillerCoors et CR Snow, et la vente des marques Peroni, Grolsch et Meantime et de leurs activités connexes en Italie, aux Pays-Bas, au Royaume-Uni et à l’international et (ii) l'activité en Europe centrale et de l'Est ainsi que la participation dans Distell.</w:t>
      </w:r>
      <w:r w:rsidR="00C34B10" w:rsidRPr="00A86DC5">
        <w:rPr>
          <w:rFonts w:cstheme="minorHAnsi"/>
          <w:sz w:val="16"/>
          <w:szCs w:val="16"/>
          <w:lang w:val="fr-BE" w:eastAsia="zh-CN"/>
        </w:rPr>
        <w:t xml:space="preserve"> </w:t>
      </w:r>
      <w:r w:rsidRPr="00851C9B">
        <w:rPr>
          <w:rFonts w:cstheme="minorHAnsi"/>
          <w:sz w:val="16"/>
          <w:szCs w:val="16"/>
          <w:lang w:val="fr-FR" w:eastAsia="zh-CN"/>
        </w:rPr>
        <w:t>Ces changements, appliqués à partir du 1er octobre 2016, incluent les anciennes zones de SAB.</w:t>
      </w:r>
      <w:r w:rsidR="00C34B10" w:rsidRPr="00A86DC5">
        <w:rPr>
          <w:rFonts w:cstheme="minorHAnsi"/>
          <w:sz w:val="16"/>
          <w:szCs w:val="16"/>
          <w:lang w:val="fr-BE" w:eastAsia="zh-CN"/>
        </w:rPr>
        <w:t xml:space="preserve"> </w:t>
      </w:r>
      <w:r w:rsidRPr="00851C9B">
        <w:rPr>
          <w:rFonts w:cstheme="minorHAnsi"/>
          <w:sz w:val="16"/>
          <w:szCs w:val="16"/>
          <w:lang w:val="fr-FR" w:eastAsia="zh-CN"/>
        </w:rPr>
        <w:t>La Colombie, le Pérou, l’Equateur, le Honduras et le Salvador sont présentés avec le Mexique en tant qu’Amérique latine Ouest ; le Panama est présenté au sein de l’Amérique latine Nord ; l’Afrique est présentée avec l’Europe en tant qu’EMEA ; et l’Australie, l’Inde et le Vietnam sont présentés au sein de l’APAC.</w:t>
      </w:r>
    </w:p>
    <w:p w14:paraId="14BDE6C5" w14:textId="15EE1E13" w:rsidR="00C34B10" w:rsidRPr="00A86DC5" w:rsidRDefault="00D903C9" w:rsidP="00710637">
      <w:pPr>
        <w:pBdr>
          <w:top w:val="single" w:sz="4" w:space="1" w:color="auto"/>
          <w:left w:val="single" w:sz="4" w:space="4" w:color="auto"/>
          <w:bottom w:val="single" w:sz="4" w:space="1" w:color="auto"/>
          <w:right w:val="single" w:sz="4" w:space="4" w:color="auto"/>
        </w:pBdr>
        <w:shd w:val="clear" w:color="auto" w:fill="FFFFFF"/>
        <w:autoSpaceDE w:val="0"/>
        <w:autoSpaceDN w:val="0"/>
        <w:spacing w:before="120" w:line="240" w:lineRule="auto"/>
        <w:jc w:val="both"/>
        <w:rPr>
          <w:sz w:val="16"/>
          <w:szCs w:val="16"/>
          <w:lang w:val="fr-BE" w:eastAsia="zh-CN"/>
        </w:rPr>
      </w:pPr>
      <w:r w:rsidRPr="00851C9B">
        <w:rPr>
          <w:rFonts w:cstheme="minorHAnsi"/>
          <w:sz w:val="16"/>
          <w:szCs w:val="16"/>
          <w:lang w:val="fr-FR" w:eastAsia="zh-CN"/>
        </w:rPr>
        <w:t>Les BPA du 2T17 et du 1S17 sont bas</w:t>
      </w:r>
      <w:r w:rsidR="00E22F85" w:rsidRPr="00851C9B">
        <w:rPr>
          <w:rFonts w:cstheme="minorHAnsi"/>
          <w:sz w:val="16"/>
          <w:szCs w:val="16"/>
          <w:lang w:val="fr-FR" w:eastAsia="zh-CN"/>
        </w:rPr>
        <w:t>és sur la moyenne pondérée de 1</w:t>
      </w:r>
      <w:r w:rsidR="00FB0D6D">
        <w:rPr>
          <w:rFonts w:cstheme="minorHAnsi"/>
          <w:sz w:val="16"/>
          <w:szCs w:val="16"/>
          <w:lang w:val="fr-FR" w:eastAsia="zh-CN"/>
        </w:rPr>
        <w:t xml:space="preserve"> </w:t>
      </w:r>
      <w:r w:rsidRPr="00851C9B">
        <w:rPr>
          <w:rFonts w:cstheme="minorHAnsi"/>
          <w:sz w:val="16"/>
          <w:szCs w:val="16"/>
          <w:lang w:val="fr-FR" w:eastAsia="zh-CN"/>
        </w:rPr>
        <w:t>970 millions d'actions, compa</w:t>
      </w:r>
      <w:r w:rsidR="00E22F85" w:rsidRPr="00851C9B">
        <w:rPr>
          <w:rFonts w:cstheme="minorHAnsi"/>
          <w:sz w:val="16"/>
          <w:szCs w:val="16"/>
          <w:lang w:val="fr-FR" w:eastAsia="zh-CN"/>
        </w:rPr>
        <w:t>ré à une moyenne pondérée de 1</w:t>
      </w:r>
      <w:r w:rsidR="00FB0D6D">
        <w:rPr>
          <w:rFonts w:cstheme="minorHAnsi"/>
          <w:sz w:val="16"/>
          <w:szCs w:val="16"/>
          <w:lang w:val="fr-FR" w:eastAsia="zh-CN"/>
        </w:rPr>
        <w:t xml:space="preserve"> </w:t>
      </w:r>
      <w:r w:rsidR="00E22F85" w:rsidRPr="00851C9B">
        <w:rPr>
          <w:rFonts w:cstheme="minorHAnsi"/>
          <w:sz w:val="16"/>
          <w:szCs w:val="16"/>
          <w:lang w:val="fr-FR" w:eastAsia="zh-CN"/>
        </w:rPr>
        <w:t>6</w:t>
      </w:r>
      <w:r w:rsidRPr="00851C9B">
        <w:rPr>
          <w:rFonts w:cstheme="minorHAnsi"/>
          <w:sz w:val="16"/>
          <w:szCs w:val="16"/>
          <w:lang w:val="fr-FR" w:eastAsia="zh-CN"/>
        </w:rPr>
        <w:t>41 millions d’actions au 2T16 et au 1S16.</w:t>
      </w:r>
    </w:p>
    <w:p w14:paraId="544AD86D" w14:textId="7F5D8F60" w:rsidR="00C34B10" w:rsidRPr="00A86DC5" w:rsidRDefault="00C34B10" w:rsidP="00C34B10">
      <w:pPr>
        <w:jc w:val="both"/>
        <w:rPr>
          <w:b/>
          <w:bCs/>
          <w:i/>
          <w:iCs/>
          <w:sz w:val="2"/>
          <w:szCs w:val="2"/>
          <w:lang w:val="fr-BE" w:eastAsia="zh-CN"/>
        </w:rPr>
      </w:pPr>
    </w:p>
    <w:p w14:paraId="565DA4AA" w14:textId="1D71332D" w:rsidR="00C34B10" w:rsidRPr="00A86DC5" w:rsidRDefault="00D903C9" w:rsidP="00710637">
      <w:pPr>
        <w:pBdr>
          <w:top w:val="single" w:sz="4" w:space="1" w:color="auto"/>
          <w:left w:val="single" w:sz="4" w:space="4" w:color="auto"/>
          <w:bottom w:val="single" w:sz="4" w:space="1" w:color="auto"/>
          <w:right w:val="single" w:sz="4" w:space="4" w:color="auto"/>
        </w:pBdr>
        <w:spacing w:after="0" w:line="240" w:lineRule="auto"/>
        <w:jc w:val="both"/>
        <w:rPr>
          <w:sz w:val="16"/>
          <w:szCs w:val="16"/>
          <w:lang w:val="fr-BE" w:eastAsia="zh-CN"/>
        </w:rPr>
      </w:pPr>
      <w:r w:rsidRPr="00851C9B">
        <w:rPr>
          <w:b/>
          <w:bCs/>
          <w:i/>
          <w:iCs/>
          <w:sz w:val="16"/>
          <w:szCs w:val="16"/>
          <w:lang w:val="fr-FR" w:eastAsia="zh-CN"/>
        </w:rPr>
        <w:t>Mentions légales</w:t>
      </w:r>
    </w:p>
    <w:p w14:paraId="6182EA25" w14:textId="2CB48FD3" w:rsidR="00C34B10" w:rsidRPr="00A86DC5" w:rsidRDefault="00D903C9" w:rsidP="00710637">
      <w:pPr>
        <w:pBdr>
          <w:top w:val="single" w:sz="4" w:space="1" w:color="auto"/>
          <w:left w:val="single" w:sz="4" w:space="4" w:color="auto"/>
          <w:bottom w:val="single" w:sz="4" w:space="1" w:color="auto"/>
          <w:right w:val="single" w:sz="4" w:space="4" w:color="auto"/>
        </w:pBdr>
        <w:spacing w:before="120" w:line="240" w:lineRule="auto"/>
        <w:jc w:val="both"/>
        <w:rPr>
          <w:sz w:val="16"/>
          <w:szCs w:val="16"/>
          <w:lang w:val="fr-BE" w:eastAsia="zh-CN"/>
        </w:rPr>
      </w:pPr>
      <w:r w:rsidRPr="00851C9B">
        <w:rPr>
          <w:sz w:val="16"/>
          <w:szCs w:val="16"/>
          <w:lang w:val="fr-FR" w:eastAsia="zh-CN"/>
        </w:rPr>
        <w:t>Le présent communiqué de presse contient des « déclarations prévisionnelles ».</w:t>
      </w:r>
      <w:r w:rsidR="00C34B10" w:rsidRPr="00A86DC5">
        <w:rPr>
          <w:sz w:val="16"/>
          <w:szCs w:val="16"/>
          <w:lang w:val="fr-BE" w:eastAsia="zh-CN"/>
        </w:rPr>
        <w:t xml:space="preserve"> </w:t>
      </w:r>
      <w:r w:rsidRPr="00851C9B">
        <w:rPr>
          <w:sz w:val="16"/>
          <w:szCs w:val="16"/>
          <w:lang w:val="fr-FR" w:eastAsia="zh-CN"/>
        </w:rPr>
        <w:t>Ces déclarations reposent sur les attentes et points de vue actuels du management d’AB InBev quant aux événements et évolutions futurs et sont soumises à des incertitudes et des changements au gré des circonstances.</w:t>
      </w:r>
      <w:r w:rsidR="00C34B10" w:rsidRPr="00A86DC5">
        <w:rPr>
          <w:sz w:val="16"/>
          <w:szCs w:val="16"/>
          <w:lang w:val="fr-BE" w:eastAsia="zh-CN"/>
        </w:rPr>
        <w:t xml:space="preserve"> </w:t>
      </w:r>
      <w:r w:rsidRPr="00851C9B">
        <w:rPr>
          <w:sz w:val="16"/>
          <w:szCs w:val="16"/>
          <w:lang w:val="fr-FR" w:eastAsia="zh-CN"/>
        </w:rPr>
        <w:t>Les déclarations prévisionnelles contenues dans le présent communiqué incluent, entre autres, des déclarations liées au rapprochement d’AB InBev et de SAB et d’autres déclarations qui ne sont pas des faits historiques.</w:t>
      </w:r>
      <w:r w:rsidR="00C34B10" w:rsidRPr="00A86DC5">
        <w:rPr>
          <w:sz w:val="16"/>
          <w:szCs w:val="16"/>
          <w:lang w:val="fr-BE" w:eastAsia="zh-CN"/>
        </w:rPr>
        <w:t xml:space="preserve"> </w:t>
      </w:r>
      <w:r w:rsidRPr="00851C9B">
        <w:rPr>
          <w:sz w:val="16"/>
          <w:szCs w:val="16"/>
          <w:lang w:val="fr-FR" w:eastAsia="zh-CN"/>
        </w:rPr>
        <w:t>Les déclarations prévisionnelles sont généralement rédigées au futur ou comprennent des mots ou expressions tels que « pourrait », « devrait », « croire », « avoir l’intention », « s’attendre à », « anticiper », « viser », « estimer », « probable », « prévoir » ou d’autres mots ou expressions ayant une portée similaire.</w:t>
      </w:r>
      <w:r w:rsidR="00C34B10" w:rsidRPr="00A86DC5">
        <w:rPr>
          <w:sz w:val="16"/>
          <w:szCs w:val="16"/>
          <w:lang w:val="fr-BE" w:eastAsia="zh-CN"/>
        </w:rPr>
        <w:t xml:space="preserve">  </w:t>
      </w:r>
      <w:r w:rsidRPr="00851C9B">
        <w:rPr>
          <w:sz w:val="16"/>
          <w:szCs w:val="16"/>
          <w:lang w:val="fr-FR" w:eastAsia="zh-CN"/>
        </w:rPr>
        <w:t>Toutes les déclarations qui ne sont pas relatives à des données historiques sont des déclarations prévisionnelles.</w:t>
      </w:r>
      <w:r w:rsidR="00C34B10" w:rsidRPr="00A86DC5">
        <w:rPr>
          <w:sz w:val="16"/>
          <w:szCs w:val="16"/>
          <w:lang w:val="fr-BE" w:eastAsia="zh-CN"/>
        </w:rPr>
        <w:t xml:space="preserve"> </w:t>
      </w:r>
      <w:r w:rsidRPr="00851C9B">
        <w:rPr>
          <w:sz w:val="16"/>
          <w:szCs w:val="16"/>
          <w:lang w:val="fr-FR" w:eastAsia="zh-CN"/>
        </w:rPr>
        <w:t>Vous ne devriez pas accorder une confiance excessive à ces déclarations prévisionnelles, qui reflètent le point de vue actuel du management d’AB InBev, sont sujettes à de nombreux risques et incertitudes au sujet d’AB InBev et sont dépendantes de nombreux facteurs, qui pour certains sont en dehors du contrôle d’AB InBev.</w:t>
      </w:r>
      <w:r w:rsidR="00C34B10" w:rsidRPr="00A86DC5">
        <w:rPr>
          <w:sz w:val="16"/>
          <w:szCs w:val="16"/>
          <w:lang w:val="fr-BE" w:eastAsia="zh-CN"/>
        </w:rPr>
        <w:t xml:space="preserve"> </w:t>
      </w:r>
      <w:r w:rsidRPr="00851C9B">
        <w:rPr>
          <w:sz w:val="16"/>
          <w:szCs w:val="16"/>
          <w:lang w:val="fr-FR" w:eastAsia="zh-CN"/>
        </w:rPr>
        <w:t>Des facteurs, risques et incertitudes importants  peuvent  entraîner  des différences  sensibles  entre  les  résultats  réels  et  les  résultats  escomptés.  Ceci  inclut,  entre  autres,  la capacité à réaliser des synergies à partir du rapprochement avec SAB, les risques et incertitudes relatifs à AB InBev décrits au point 3.D du rapport annuel d’AB InBev inclus dans le formulaire 20-F (« Form 20-F ») déposé auprès de la US Securities and Exchange Commission (« SEC ») le 22 mars 2017.</w:t>
      </w:r>
      <w:r w:rsidR="00C34B10" w:rsidRPr="00A86DC5">
        <w:rPr>
          <w:sz w:val="16"/>
          <w:szCs w:val="16"/>
          <w:lang w:val="fr-BE" w:eastAsia="zh-CN"/>
        </w:rPr>
        <w:t xml:space="preserve"> </w:t>
      </w:r>
      <w:r w:rsidRPr="00851C9B">
        <w:rPr>
          <w:sz w:val="16"/>
          <w:szCs w:val="16"/>
          <w:lang w:val="fr-FR" w:eastAsia="zh-CN"/>
        </w:rPr>
        <w:t>D’autres facteurs inconnus ou imprévisibles peuvent entraîner des différences sensibles entre les résultats réels et les résultats énoncés dans les déclarations prévisionnelles.</w:t>
      </w:r>
      <w:r w:rsidR="00C34B10" w:rsidRPr="00A86DC5">
        <w:rPr>
          <w:sz w:val="16"/>
          <w:szCs w:val="16"/>
          <w:lang w:val="fr-BE" w:eastAsia="zh-CN"/>
        </w:rPr>
        <w:t xml:space="preserve"> </w:t>
      </w:r>
    </w:p>
    <w:p w14:paraId="765D65DB" w14:textId="378EC1E0" w:rsidR="00C34B10" w:rsidRPr="00A86DC5" w:rsidRDefault="00D903C9" w:rsidP="00710637">
      <w:pPr>
        <w:pBdr>
          <w:top w:val="single" w:sz="4" w:space="1" w:color="auto"/>
          <w:left w:val="single" w:sz="4" w:space="4" w:color="auto"/>
          <w:bottom w:val="single" w:sz="4" w:space="1" w:color="auto"/>
          <w:right w:val="single" w:sz="4" w:space="4" w:color="auto"/>
        </w:pBdr>
        <w:spacing w:before="120" w:line="240" w:lineRule="auto"/>
        <w:jc w:val="both"/>
        <w:rPr>
          <w:rFonts w:eastAsia="Calibri" w:cstheme="minorHAnsi"/>
          <w:sz w:val="16"/>
          <w:szCs w:val="16"/>
          <w:lang w:val="fr-BE" w:eastAsia="zh-CN"/>
        </w:rPr>
      </w:pPr>
      <w:r w:rsidRPr="00851C9B">
        <w:rPr>
          <w:sz w:val="16"/>
          <w:szCs w:val="16"/>
          <w:lang w:val="fr-FR" w:eastAsia="zh-CN"/>
        </w:rPr>
        <w:t>Les déclarations prévisionnelles doivent être lues conjointement avec les autres avertissements et mises en garde contenus dans d’autres documents, y compris le formulaire 20-F le plus récent d’AB InBev et d'autres rapports inclus dans le formulaire 6-K, ou tout autre document qu’AB InBev ou SAB a rendu public.</w:t>
      </w:r>
      <w:r w:rsidR="00C34B10" w:rsidRPr="00A86DC5">
        <w:rPr>
          <w:sz w:val="16"/>
          <w:szCs w:val="16"/>
          <w:lang w:val="fr-BE" w:eastAsia="zh-CN"/>
        </w:rPr>
        <w:t xml:space="preserve"> </w:t>
      </w:r>
      <w:r w:rsidRPr="00851C9B">
        <w:rPr>
          <w:sz w:val="16"/>
          <w:szCs w:val="16"/>
          <w:lang w:val="fr-FR" w:eastAsia="zh-CN"/>
        </w:rPr>
        <w:t xml:space="preserve">Toute déclaration prévisionnelle contenue dans le présent communiqué doit être lue dans son intégralité à la lumière de ces avertissements et mises en garde, et il ne peut être garanti que les résultats </w:t>
      </w:r>
      <w:r w:rsidRPr="00851C9B">
        <w:rPr>
          <w:sz w:val="16"/>
          <w:szCs w:val="16"/>
          <w:lang w:val="fr-FR" w:eastAsia="zh-CN"/>
        </w:rPr>
        <w:lastRenderedPageBreak/>
        <w:t>effectifs ou les évolutions attendues par AB InBev se réaliseront ou, dans l’hypothèse où ceux-ci se réaliseraient de manière substantielle, qu’ils auront les conséquences ou effets attendus sur AB InBev, ses affaires ou ses opérations.</w:t>
      </w:r>
      <w:r w:rsidR="00C34B10" w:rsidRPr="00A86DC5">
        <w:rPr>
          <w:sz w:val="16"/>
          <w:szCs w:val="16"/>
          <w:lang w:val="fr-BE" w:eastAsia="zh-CN"/>
        </w:rPr>
        <w:t xml:space="preserve"> </w:t>
      </w:r>
      <w:r w:rsidRPr="00851C9B">
        <w:rPr>
          <w:sz w:val="16"/>
          <w:szCs w:val="16"/>
          <w:lang w:val="fr-FR" w:eastAsia="zh-CN"/>
        </w:rPr>
        <w:t>Sauf lorsque cela est requis par la loi, AB InBev ne s’engage pas à publier des mises à jour ou à réviser ces déclarations prévisionnelles, à la lumière de nouvelles informations, événements futurs ou autre.</w:t>
      </w:r>
    </w:p>
    <w:p w14:paraId="78196948" w14:textId="007131D6" w:rsidR="00C34B10" w:rsidRPr="00A86DC5" w:rsidRDefault="00D903C9" w:rsidP="00BA0BE4">
      <w:pPr>
        <w:pBdr>
          <w:top w:val="single" w:sz="4" w:space="1" w:color="auto"/>
          <w:left w:val="single" w:sz="4" w:space="4" w:color="auto"/>
          <w:bottom w:val="single" w:sz="4" w:space="1" w:color="auto"/>
          <w:right w:val="single" w:sz="4" w:space="4" w:color="auto"/>
        </w:pBdr>
        <w:spacing w:before="120" w:after="0" w:line="240" w:lineRule="auto"/>
        <w:jc w:val="both"/>
        <w:rPr>
          <w:sz w:val="16"/>
          <w:szCs w:val="16"/>
          <w:lang w:val="fr-BE"/>
        </w:rPr>
      </w:pPr>
      <w:r w:rsidRPr="00851C9B">
        <w:rPr>
          <w:sz w:val="16"/>
          <w:szCs w:val="16"/>
          <w:lang w:val="fr-FR"/>
        </w:rPr>
        <w:t>Les données de la base de référence 2016 reposent en partie sur certaines hypothèses qu’AB InBev estime raisonnables dans les circonstances actuelles.</w:t>
      </w:r>
      <w:r w:rsidR="00C34B10" w:rsidRPr="00A86DC5">
        <w:rPr>
          <w:sz w:val="16"/>
          <w:szCs w:val="16"/>
          <w:lang w:val="fr-BE"/>
        </w:rPr>
        <w:t xml:space="preserve">  </w:t>
      </w:r>
      <w:r w:rsidRPr="00851C9B">
        <w:rPr>
          <w:sz w:val="16"/>
          <w:szCs w:val="16"/>
          <w:lang w:val="fr-FR"/>
        </w:rPr>
        <w:t>Les données de la base de référence 2016 sont présentées à titre d’information uniquement ; elles ne reflètent pas nécessairement les résultats d’opérations ni la position financière des anciens groupes AB InBev et SAB combinés qui en auraient résulté si le rapprochement avait eu lieu le 8 octobre 2015, et ne prévoit pas les résultats d’opérations ni la position financière du groupe combiné à toute date ou période future.</w:t>
      </w:r>
      <w:r w:rsidR="00C34B10" w:rsidRPr="00A86DC5">
        <w:rPr>
          <w:sz w:val="16"/>
          <w:szCs w:val="16"/>
          <w:lang w:val="fr-BE"/>
        </w:rPr>
        <w:t xml:space="preserve"> </w:t>
      </w:r>
      <w:r w:rsidRPr="00851C9B">
        <w:rPr>
          <w:sz w:val="16"/>
          <w:szCs w:val="16"/>
          <w:lang w:val="fr-FR"/>
        </w:rPr>
        <w:t xml:space="preserve">Les données de la base de référence 2016 ne sont pas des données financières </w:t>
      </w:r>
      <w:r w:rsidRPr="00851C9B">
        <w:rPr>
          <w:i/>
          <w:iCs/>
          <w:sz w:val="16"/>
          <w:szCs w:val="16"/>
          <w:lang w:val="fr-FR"/>
        </w:rPr>
        <w:t>pro forma</w:t>
      </w:r>
      <w:r w:rsidRPr="00851C9B">
        <w:rPr>
          <w:sz w:val="16"/>
          <w:szCs w:val="16"/>
          <w:lang w:val="fr-FR"/>
        </w:rPr>
        <w:t xml:space="preserve"> et n’ont pas été établies conformément à l’Article 11 de la réglementation S-X promulguée par la U.S. Securities and Exchange Commission.</w:t>
      </w:r>
      <w:r w:rsidR="00C34B10" w:rsidRPr="00A86DC5">
        <w:rPr>
          <w:sz w:val="16"/>
          <w:szCs w:val="16"/>
          <w:lang w:val="fr-BE"/>
        </w:rPr>
        <w:t xml:space="preserve"> </w:t>
      </w:r>
      <w:r w:rsidRPr="00851C9B">
        <w:rPr>
          <w:sz w:val="16"/>
          <w:szCs w:val="16"/>
          <w:lang w:val="fr-FR"/>
        </w:rPr>
        <w:t xml:space="preserve">Par conséquent, elles ne concordent pas en termes de contenu et de présentation avec les informations financières pro forma qui </w:t>
      </w:r>
      <w:r w:rsidR="00E22F85" w:rsidRPr="00851C9B">
        <w:rPr>
          <w:sz w:val="16"/>
          <w:szCs w:val="16"/>
          <w:lang w:val="fr-FR"/>
        </w:rPr>
        <w:t>ont été</w:t>
      </w:r>
      <w:r w:rsidR="00E22F85" w:rsidRPr="00E22F85">
        <w:rPr>
          <w:sz w:val="16"/>
          <w:szCs w:val="16"/>
          <w:lang w:val="fr-FR"/>
        </w:rPr>
        <w:t xml:space="preserve"> ou seront </w:t>
      </w:r>
      <w:r w:rsidRPr="00E22F85">
        <w:rPr>
          <w:sz w:val="16"/>
          <w:szCs w:val="16"/>
          <w:lang w:val="fr-FR"/>
        </w:rPr>
        <w:t>incluses dans les rapports déposés conformément aux Sections 13(a) ou 15(d) du U.S. Securities Exchange Act de 1934, tel qu’amendé.</w:t>
      </w:r>
    </w:p>
    <w:p w14:paraId="1219FB37" w14:textId="77777777" w:rsidR="00AB5337" w:rsidRPr="00A86DC5" w:rsidRDefault="00AB5337" w:rsidP="00AB5337">
      <w:pPr>
        <w:autoSpaceDE w:val="0"/>
        <w:autoSpaceDN w:val="0"/>
        <w:adjustRightInd w:val="0"/>
        <w:spacing w:after="0" w:line="240" w:lineRule="auto"/>
        <w:rPr>
          <w:rFonts w:ascii="Verdana" w:eastAsia="Times New Roman" w:hAnsi="Verdana"/>
          <w:sz w:val="20"/>
          <w:szCs w:val="20"/>
          <w:lang w:val="fr-BE"/>
        </w:rPr>
      </w:pPr>
    </w:p>
    <w:tbl>
      <w:tblPr>
        <w:tblStyle w:val="TableGrid"/>
        <w:tblpPr w:leftFromText="180" w:rightFromText="180" w:vertAnchor="text" w:tblpY="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580B" w:themeFill="accent2"/>
        <w:tblLayout w:type="fixed"/>
        <w:tblLook w:val="04A0" w:firstRow="1" w:lastRow="0" w:firstColumn="1" w:lastColumn="0" w:noHBand="0" w:noVBand="1"/>
      </w:tblPr>
      <w:tblGrid>
        <w:gridCol w:w="9962"/>
      </w:tblGrid>
      <w:tr w:rsidR="00AB5337" w:rsidRPr="00240D9B" w14:paraId="370F9BDC" w14:textId="77777777" w:rsidTr="00D903C9">
        <w:tc>
          <w:tcPr>
            <w:tcW w:w="9962" w:type="dxa"/>
            <w:shd w:val="clear" w:color="auto" w:fill="DB580B" w:themeFill="accent2"/>
          </w:tcPr>
          <w:p w14:paraId="09C71F7C" w14:textId="7566EF3E" w:rsidR="00AB5337" w:rsidRPr="00E22F85" w:rsidRDefault="00D903C9" w:rsidP="00851C9B">
            <w:pPr>
              <w:rPr>
                <w:rFonts w:ascii="Verdana" w:eastAsia="Times New Roman" w:hAnsi="Verdana"/>
                <w:b/>
                <w:color w:val="FFFFFF" w:themeColor="background1"/>
              </w:rPr>
            </w:pPr>
            <w:r w:rsidRPr="00E22F85">
              <w:rPr>
                <w:rFonts w:ascii="Verdana" w:eastAsia="Times New Roman" w:hAnsi="Verdana"/>
                <w:b/>
                <w:color w:val="FFFFFF" w:themeColor="background1"/>
                <w:lang w:val="fr-FR"/>
              </w:rPr>
              <w:t>NOTES</w:t>
            </w:r>
          </w:p>
        </w:tc>
      </w:tr>
    </w:tbl>
    <w:p w14:paraId="6CDB0928" w14:textId="3C9E51A7" w:rsidR="00AB5337" w:rsidRPr="00EE1042" w:rsidRDefault="00AB5337" w:rsidP="00AB5337">
      <w:pPr>
        <w:spacing w:after="0" w:line="240" w:lineRule="auto"/>
        <w:rPr>
          <w:rFonts w:eastAsia="Times New Roman" w:cstheme="minorHAnsi"/>
          <w:sz w:val="20"/>
          <w:szCs w:val="20"/>
        </w:rPr>
      </w:pPr>
    </w:p>
    <w:p w14:paraId="29FB3340" w14:textId="6342DF54" w:rsidR="00AB5337" w:rsidRPr="00A86DC5" w:rsidRDefault="00D903C9" w:rsidP="00710637">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cstheme="minorHAnsi"/>
          <w:sz w:val="16"/>
          <w:szCs w:val="16"/>
          <w:lang w:val="fr-BE"/>
        </w:rPr>
      </w:pPr>
      <w:r w:rsidRPr="0059238E">
        <w:rPr>
          <w:sz w:val="16"/>
          <w:szCs w:val="16"/>
          <w:lang w:val="fr-FR"/>
        </w:rPr>
        <w:t>Les données financières relatives au deuxième trimestre de 201</w:t>
      </w:r>
      <w:r w:rsidR="00C2109D" w:rsidRPr="0059238E">
        <w:rPr>
          <w:sz w:val="16"/>
          <w:szCs w:val="16"/>
          <w:lang w:val="fr-FR"/>
        </w:rPr>
        <w:t>7</w:t>
      </w:r>
      <w:r w:rsidRPr="0059238E">
        <w:rPr>
          <w:sz w:val="16"/>
          <w:szCs w:val="16"/>
          <w:lang w:val="fr-FR"/>
        </w:rPr>
        <w:t xml:space="preserve"> (2T1</w:t>
      </w:r>
      <w:r w:rsidR="00C2109D" w:rsidRPr="0059238E">
        <w:rPr>
          <w:sz w:val="16"/>
          <w:szCs w:val="16"/>
          <w:lang w:val="fr-FR"/>
        </w:rPr>
        <w:t>7</w:t>
      </w:r>
      <w:r w:rsidRPr="0059238E">
        <w:rPr>
          <w:sz w:val="16"/>
          <w:szCs w:val="16"/>
          <w:lang w:val="fr-FR"/>
        </w:rPr>
        <w:t>) et au premier semestre (1S1</w:t>
      </w:r>
      <w:r w:rsidR="00C2109D" w:rsidRPr="0059238E">
        <w:rPr>
          <w:sz w:val="16"/>
          <w:szCs w:val="16"/>
          <w:lang w:val="fr-FR"/>
        </w:rPr>
        <w:t>7</w:t>
      </w:r>
      <w:r w:rsidRPr="0059238E">
        <w:rPr>
          <w:sz w:val="16"/>
          <w:szCs w:val="16"/>
          <w:lang w:val="fr-FR"/>
        </w:rPr>
        <w:t>) présentées aux tableaux 1 (excepté les informations relatives aux volumes),</w:t>
      </w:r>
      <w:r w:rsidR="00C2109D" w:rsidRPr="0059238E">
        <w:rPr>
          <w:sz w:val="16"/>
          <w:szCs w:val="16"/>
          <w:lang w:val="fr-FR"/>
        </w:rPr>
        <w:t xml:space="preserve"> 3 à 5,</w:t>
      </w:r>
      <w:r w:rsidRPr="0059238E">
        <w:rPr>
          <w:sz w:val="16"/>
          <w:szCs w:val="16"/>
          <w:lang w:val="fr-FR"/>
        </w:rPr>
        <w:t xml:space="preserve"> 7</w:t>
      </w:r>
      <w:r w:rsidR="00C2109D" w:rsidRPr="0059238E">
        <w:rPr>
          <w:sz w:val="16"/>
          <w:szCs w:val="16"/>
          <w:lang w:val="fr-FR"/>
        </w:rPr>
        <w:t>,</w:t>
      </w:r>
      <w:r w:rsidRPr="0059238E">
        <w:rPr>
          <w:sz w:val="16"/>
          <w:szCs w:val="16"/>
          <w:lang w:val="fr-FR"/>
        </w:rPr>
        <w:t xml:space="preserve"> 9</w:t>
      </w:r>
      <w:r w:rsidR="00C2109D" w:rsidRPr="0059238E">
        <w:rPr>
          <w:sz w:val="16"/>
          <w:szCs w:val="16"/>
          <w:lang w:val="fr-FR"/>
        </w:rPr>
        <w:t xml:space="preserve"> à</w:t>
      </w:r>
      <w:r w:rsidRPr="0059238E">
        <w:rPr>
          <w:sz w:val="16"/>
          <w:szCs w:val="16"/>
          <w:lang w:val="fr-FR"/>
        </w:rPr>
        <w:t xml:space="preserve"> 11</w:t>
      </w:r>
      <w:r w:rsidR="00C2109D" w:rsidRPr="0059238E">
        <w:rPr>
          <w:sz w:val="16"/>
          <w:szCs w:val="16"/>
          <w:lang w:val="fr-FR"/>
        </w:rPr>
        <w:t xml:space="preserve"> et </w:t>
      </w:r>
      <w:r w:rsidRPr="0059238E">
        <w:rPr>
          <w:sz w:val="16"/>
          <w:szCs w:val="16"/>
          <w:lang w:val="fr-FR"/>
        </w:rPr>
        <w:t>13 du présent communiqué de presse sont extraites des états financiers intermédiaires consolidés condensés non-audités du groupe arrêtés au 30 juin 201</w:t>
      </w:r>
      <w:r w:rsidR="00C2109D" w:rsidRPr="0059238E">
        <w:rPr>
          <w:sz w:val="16"/>
          <w:szCs w:val="16"/>
          <w:lang w:val="fr-FR"/>
        </w:rPr>
        <w:t>7</w:t>
      </w:r>
      <w:r w:rsidRPr="0059238E">
        <w:rPr>
          <w:sz w:val="16"/>
          <w:szCs w:val="16"/>
          <w:lang w:val="fr-FR"/>
        </w:rPr>
        <w:t xml:space="preserve"> et pour la période de six mois close à cette date, qui ont fait l’objet d’un examen par notre commissaire Deloitte Réviseurs d’entreprises SCCRL conformément à l’International Standard on Review Engagements 2410, à la « Review of Interim Financial Information Performed by the Independent Auditor of the Entity » et aux normes du ‘Public Company Accounting Oversight Board’ (Etats-Unis).</w:t>
      </w:r>
      <w:r w:rsidR="00A80499" w:rsidRPr="00A86DC5">
        <w:rPr>
          <w:sz w:val="16"/>
          <w:szCs w:val="16"/>
          <w:lang w:val="fr-BE"/>
        </w:rPr>
        <w:t xml:space="preserve"> </w:t>
      </w:r>
      <w:r w:rsidR="00C2109D" w:rsidRPr="0059238E">
        <w:rPr>
          <w:sz w:val="16"/>
          <w:szCs w:val="16"/>
          <w:lang w:val="fr-FR"/>
        </w:rPr>
        <w:t>Les commissaires ont conclu que, sur la base de leur examen, aucun fait n’a été porté à leur connaissance, qui tendrait à indiquer que ces états financiers intermédiaires n’ont pas été établis</w:t>
      </w:r>
      <w:r w:rsidR="0059238E" w:rsidRPr="0059238E">
        <w:rPr>
          <w:sz w:val="16"/>
          <w:szCs w:val="16"/>
          <w:lang w:val="fr-FR"/>
        </w:rPr>
        <w:t xml:space="preserve"> équitablement</w:t>
      </w:r>
      <w:r w:rsidR="00C2109D" w:rsidRPr="0059238E">
        <w:rPr>
          <w:sz w:val="16"/>
          <w:szCs w:val="16"/>
          <w:lang w:val="fr-FR"/>
        </w:rPr>
        <w:t xml:space="preserve">, sous tous égards significativement importants, </w:t>
      </w:r>
      <w:r w:rsidR="0059238E">
        <w:rPr>
          <w:sz w:val="16"/>
          <w:szCs w:val="16"/>
          <w:lang w:val="fr-FR"/>
        </w:rPr>
        <w:t>conformément à la norme IAS 34 « </w:t>
      </w:r>
      <w:r w:rsidR="00C2109D" w:rsidRPr="0059238E">
        <w:rPr>
          <w:sz w:val="16"/>
          <w:szCs w:val="16"/>
          <w:lang w:val="fr-FR"/>
        </w:rPr>
        <w:t>Infor</w:t>
      </w:r>
      <w:r w:rsidR="0059238E">
        <w:rPr>
          <w:sz w:val="16"/>
          <w:szCs w:val="16"/>
          <w:lang w:val="fr-FR"/>
        </w:rPr>
        <w:t>mation financière intermédiaire »</w:t>
      </w:r>
      <w:r w:rsidR="00C2109D" w:rsidRPr="0059238E">
        <w:rPr>
          <w:sz w:val="16"/>
          <w:szCs w:val="16"/>
          <w:lang w:val="fr-FR"/>
        </w:rPr>
        <w:t>, telle que publiée par l'IASB et adoptée par l'Union européenne.</w:t>
      </w:r>
      <w:r w:rsidR="00A80499" w:rsidRPr="00A86DC5">
        <w:rPr>
          <w:sz w:val="16"/>
          <w:szCs w:val="16"/>
          <w:lang w:val="fr-BE"/>
        </w:rPr>
        <w:t xml:space="preserve"> </w:t>
      </w:r>
      <w:r w:rsidR="00C2109D" w:rsidRPr="0059238E">
        <w:rPr>
          <w:sz w:val="16"/>
          <w:szCs w:val="16"/>
          <w:lang w:val="fr-FR"/>
        </w:rPr>
        <w:t>Les données financières présentées aux tableaux 6, 8 et 12 sont extraites des documents comptables sous-jacents arrêtés au 30 juin 2017 et pour la période de six mois close à cette date (excepté les informations relatives aux volumes)</w:t>
      </w:r>
    </w:p>
    <w:p w14:paraId="24E9F17F" w14:textId="1A4F69A8" w:rsidR="00AB5337" w:rsidRPr="00A86DC5" w:rsidRDefault="00AB5337" w:rsidP="00AB5337">
      <w:pPr>
        <w:shd w:val="clear" w:color="auto" w:fill="FFFFFF" w:themeFill="background1"/>
        <w:spacing w:after="0" w:line="240" w:lineRule="auto"/>
        <w:jc w:val="both"/>
        <w:rPr>
          <w:rFonts w:ascii="Verdana" w:hAnsi="Verdana"/>
          <w:sz w:val="20"/>
          <w:szCs w:val="20"/>
          <w:lang w:val="fr-BE"/>
        </w:rPr>
      </w:pPr>
    </w:p>
    <w:p w14:paraId="46BD9349" w14:textId="77777777" w:rsidR="00BA0BE4" w:rsidRPr="00D13FBB" w:rsidRDefault="00BA0BE4">
      <w:pPr>
        <w:rPr>
          <w:lang w:val="fr-BE"/>
        </w:rPr>
      </w:pPr>
      <w:r w:rsidRPr="00D13FBB">
        <w:rPr>
          <w:lang w:val="fr-BE"/>
        </w:rPr>
        <w:br w:type="page"/>
      </w:r>
    </w:p>
    <w:tbl>
      <w:tblPr>
        <w:tblStyle w:val="TableGrid"/>
        <w:tblW w:w="974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580B" w:themeFill="accent2"/>
        <w:tblLayout w:type="fixed"/>
        <w:tblLook w:val="04A0" w:firstRow="1" w:lastRow="0" w:firstColumn="1" w:lastColumn="0" w:noHBand="0" w:noVBand="1"/>
      </w:tblPr>
      <w:tblGrid>
        <w:gridCol w:w="9746"/>
      </w:tblGrid>
      <w:tr w:rsidR="00AB5337" w:rsidRPr="00DD6282" w14:paraId="3796148D" w14:textId="77777777" w:rsidTr="00D13FBB">
        <w:tc>
          <w:tcPr>
            <w:tcW w:w="9746" w:type="dxa"/>
            <w:shd w:val="clear" w:color="auto" w:fill="DB580B" w:themeFill="accent2"/>
          </w:tcPr>
          <w:p w14:paraId="01CD2F23" w14:textId="32C83C49" w:rsidR="00AB5337" w:rsidRPr="0059238E" w:rsidRDefault="00C2109D" w:rsidP="00851C9B">
            <w:pPr>
              <w:rPr>
                <w:rFonts w:eastAsia="Times New Roman" w:cstheme="minorHAnsi"/>
                <w:b/>
                <w:color w:val="FFFFFF" w:themeColor="background1"/>
              </w:rPr>
            </w:pPr>
            <w:r w:rsidRPr="0059238E">
              <w:rPr>
                <w:rFonts w:eastAsia="Times New Roman" w:cstheme="minorHAnsi"/>
                <w:b/>
                <w:color w:val="FFFFFF" w:themeColor="background1"/>
                <w:lang w:val="fr-FR"/>
              </w:rPr>
              <w:lastRenderedPageBreak/>
              <w:t>CONFERENCE TELEPHONIQUE ET WEBDIFFUSION</w:t>
            </w:r>
          </w:p>
        </w:tc>
      </w:tr>
    </w:tbl>
    <w:p w14:paraId="139F3FF7" w14:textId="77777777" w:rsidR="00AB5337" w:rsidRPr="00B70223" w:rsidRDefault="00AB5337" w:rsidP="00AB5337">
      <w:pPr>
        <w:spacing w:after="0" w:line="240" w:lineRule="auto"/>
        <w:ind w:left="360"/>
        <w:rPr>
          <w:rFonts w:cstheme="minorHAnsi"/>
          <w:b/>
          <w:sz w:val="20"/>
          <w:szCs w:val="20"/>
          <w:u w:val="single"/>
        </w:rPr>
      </w:pPr>
    </w:p>
    <w:p w14:paraId="5F65AFEF" w14:textId="525AE861" w:rsidR="00AB5337" w:rsidRPr="00A86DC5" w:rsidRDefault="00C2109D" w:rsidP="00AB5337">
      <w:pPr>
        <w:spacing w:after="0" w:line="240" w:lineRule="auto"/>
        <w:rPr>
          <w:rFonts w:cstheme="minorHAnsi"/>
          <w:b/>
          <w:sz w:val="20"/>
          <w:szCs w:val="20"/>
          <w:u w:val="single"/>
          <w:lang w:val="fr-BE"/>
        </w:rPr>
      </w:pPr>
      <w:r w:rsidRPr="0059238E">
        <w:rPr>
          <w:rFonts w:cstheme="minorHAnsi"/>
          <w:b/>
          <w:sz w:val="20"/>
          <w:szCs w:val="20"/>
          <w:u w:val="single"/>
          <w:lang w:val="fr-FR"/>
        </w:rPr>
        <w:t>Conférence téléphonique et webdiffusion pour les investisseurs le jeudi 27 juillet 2017 :</w:t>
      </w:r>
    </w:p>
    <w:p w14:paraId="5B1B4F6B" w14:textId="77777777" w:rsidR="00AB5337" w:rsidRPr="00A86DC5" w:rsidRDefault="00AB5337" w:rsidP="00AB5337">
      <w:pPr>
        <w:spacing w:after="0" w:line="240" w:lineRule="auto"/>
        <w:rPr>
          <w:rFonts w:cstheme="minorHAnsi"/>
          <w:sz w:val="20"/>
          <w:szCs w:val="20"/>
          <w:lang w:val="fr-BE"/>
        </w:rPr>
      </w:pPr>
    </w:p>
    <w:p w14:paraId="41C2B5C8" w14:textId="5958E4A7" w:rsidR="00AB5337" w:rsidRPr="00A86DC5" w:rsidRDefault="00C2109D" w:rsidP="00AB5337">
      <w:pPr>
        <w:spacing w:after="0" w:line="240" w:lineRule="auto"/>
        <w:rPr>
          <w:rFonts w:cstheme="minorHAnsi"/>
          <w:sz w:val="20"/>
          <w:szCs w:val="20"/>
          <w:lang w:val="fr-BE"/>
        </w:rPr>
      </w:pPr>
      <w:r w:rsidRPr="0059238E">
        <w:rPr>
          <w:rFonts w:cstheme="minorHAnsi"/>
          <w:sz w:val="20"/>
          <w:szCs w:val="20"/>
          <w:lang w:val="fr-FR"/>
        </w:rPr>
        <w:t>15h00 Bruxelles / 14h00 Londres / 9h00 New York</w:t>
      </w:r>
    </w:p>
    <w:p w14:paraId="65C48170" w14:textId="77777777" w:rsidR="00AB5337" w:rsidRPr="00A86DC5" w:rsidRDefault="00AB5337" w:rsidP="00AB5337">
      <w:pPr>
        <w:spacing w:after="0" w:line="240" w:lineRule="auto"/>
        <w:rPr>
          <w:rFonts w:cstheme="minorHAnsi"/>
          <w:b/>
          <w:sz w:val="20"/>
          <w:szCs w:val="20"/>
          <w:u w:val="single"/>
          <w:lang w:val="fr-BE"/>
        </w:rPr>
      </w:pPr>
    </w:p>
    <w:p w14:paraId="3EA67FFA" w14:textId="1BA71137" w:rsidR="00AB5337" w:rsidRPr="00A86DC5" w:rsidRDefault="00C2109D" w:rsidP="00AB5337">
      <w:pPr>
        <w:spacing w:after="0" w:line="240" w:lineRule="auto"/>
        <w:rPr>
          <w:rFonts w:cstheme="minorHAnsi"/>
          <w:b/>
          <w:sz w:val="20"/>
          <w:szCs w:val="20"/>
          <w:u w:val="single"/>
          <w:lang w:val="fr-BE"/>
        </w:rPr>
      </w:pPr>
      <w:r w:rsidRPr="0059238E">
        <w:rPr>
          <w:rFonts w:cstheme="minorHAnsi"/>
          <w:b/>
          <w:sz w:val="20"/>
          <w:szCs w:val="20"/>
          <w:u w:val="single"/>
          <w:lang w:val="fr-FR"/>
        </w:rPr>
        <w:t>Détails concernant l’inscription</w:t>
      </w:r>
    </w:p>
    <w:p w14:paraId="14886EF1" w14:textId="77777777" w:rsidR="00AB5337" w:rsidRPr="00A86DC5" w:rsidRDefault="00AB5337" w:rsidP="00AB5337">
      <w:pPr>
        <w:spacing w:after="0" w:line="240" w:lineRule="auto"/>
        <w:rPr>
          <w:rFonts w:cstheme="minorHAnsi"/>
          <w:sz w:val="20"/>
          <w:szCs w:val="20"/>
          <w:lang w:val="fr-BE"/>
        </w:rPr>
      </w:pPr>
    </w:p>
    <w:p w14:paraId="4792541C" w14:textId="59B09FF6" w:rsidR="006B6E2E" w:rsidRPr="00B029C5" w:rsidRDefault="00C2109D" w:rsidP="00AB5337">
      <w:pPr>
        <w:spacing w:after="0" w:line="240" w:lineRule="auto"/>
        <w:rPr>
          <w:sz w:val="20"/>
          <w:lang w:val="fr-BE"/>
        </w:rPr>
      </w:pPr>
      <w:r w:rsidRPr="0059238E">
        <w:rPr>
          <w:rFonts w:cstheme="minorHAnsi"/>
          <w:sz w:val="20"/>
          <w:szCs w:val="20"/>
          <w:lang w:val="fr-FR"/>
        </w:rPr>
        <w:t xml:space="preserve">Webdiffusion (mode écoute uniquement) </w:t>
      </w:r>
      <w:r w:rsidRPr="0059238E">
        <w:rPr>
          <w:rFonts w:cstheme="minorHAnsi"/>
          <w:sz w:val="20"/>
          <w:szCs w:val="20"/>
          <w:lang w:val="fr-FR"/>
        </w:rPr>
        <w:br/>
      </w:r>
      <w:hyperlink r:id="rId27" w:history="1">
        <w:r w:rsidRPr="00D13FBB">
          <w:rPr>
            <w:rStyle w:val="Hyperlink"/>
            <w:sz w:val="20"/>
            <w:lang w:val="fr-FR"/>
          </w:rPr>
          <w:t>http://bit.ly/webcastq2</w:t>
        </w:r>
      </w:hyperlink>
    </w:p>
    <w:p w14:paraId="23E1E5DE" w14:textId="77777777" w:rsidR="00511539" w:rsidRPr="00A86DC5" w:rsidRDefault="00511539" w:rsidP="00AB5337">
      <w:pPr>
        <w:spacing w:after="0" w:line="240" w:lineRule="auto"/>
        <w:rPr>
          <w:rFonts w:cstheme="minorHAnsi"/>
          <w:sz w:val="20"/>
          <w:szCs w:val="20"/>
          <w:lang w:val="fr-BE"/>
        </w:rPr>
      </w:pPr>
    </w:p>
    <w:p w14:paraId="56F967D7" w14:textId="04F50469" w:rsidR="00EB658C" w:rsidRPr="00A86DC5" w:rsidRDefault="00C2109D" w:rsidP="00EB658C">
      <w:pPr>
        <w:spacing w:after="0" w:line="240" w:lineRule="auto"/>
        <w:rPr>
          <w:rFonts w:cstheme="minorHAnsi"/>
          <w:sz w:val="20"/>
          <w:szCs w:val="20"/>
          <w:lang w:val="fr-BE"/>
        </w:rPr>
      </w:pPr>
      <w:r w:rsidRPr="0059238E">
        <w:rPr>
          <w:rFonts w:cstheme="minorHAnsi"/>
          <w:sz w:val="20"/>
          <w:szCs w:val="20"/>
          <w:lang w:val="fr-FR"/>
        </w:rPr>
        <w:t>Conférence téléphonique (avec Q&amp;R interactives)</w:t>
      </w:r>
    </w:p>
    <w:p w14:paraId="62DC0B11" w14:textId="2C694148" w:rsidR="00EB658C" w:rsidRPr="0059238E" w:rsidRDefault="00C2109D" w:rsidP="00EB658C">
      <w:pPr>
        <w:spacing w:after="0" w:line="240" w:lineRule="auto"/>
        <w:rPr>
          <w:rStyle w:val="Hyperlink"/>
          <w:rFonts w:cstheme="minorHAnsi"/>
          <w:sz w:val="20"/>
          <w:szCs w:val="20"/>
        </w:rPr>
      </w:pPr>
      <w:r w:rsidRPr="0059238E">
        <w:rPr>
          <w:rStyle w:val="Hyperlink"/>
          <w:rFonts w:cstheme="minorHAnsi"/>
          <w:sz w:val="20"/>
          <w:szCs w:val="20"/>
          <w:lang w:val="fr-FR"/>
        </w:rPr>
        <w:t>http://bit.ly/confcallq2</w:t>
      </w:r>
    </w:p>
    <w:p w14:paraId="1BB1F9EA" w14:textId="4E4458C0" w:rsidR="0056782F" w:rsidRDefault="0056782F" w:rsidP="00EB658C">
      <w:pPr>
        <w:spacing w:after="0" w:line="240" w:lineRule="auto"/>
        <w:rPr>
          <w:rStyle w:val="Hyperlink"/>
          <w:rFonts w:cstheme="minorHAnsi"/>
          <w:sz w:val="20"/>
          <w:szCs w:val="20"/>
        </w:rPr>
      </w:pPr>
    </w:p>
    <w:p w14:paraId="2F0D95DE" w14:textId="77777777" w:rsidR="00B70F44" w:rsidRDefault="00B70F44" w:rsidP="00EB658C">
      <w:pPr>
        <w:spacing w:after="0" w:line="240" w:lineRule="auto"/>
        <w:rPr>
          <w:rStyle w:val="Hyperlink"/>
          <w:rFonts w:cstheme="minorHAnsi"/>
          <w:sz w:val="20"/>
          <w:szCs w:val="20"/>
        </w:rPr>
      </w:pPr>
    </w:p>
    <w:p w14:paraId="068ACEBC" w14:textId="2DF040D2" w:rsidR="00EE1042" w:rsidRPr="00B70223" w:rsidRDefault="00EE1042" w:rsidP="00AB5337">
      <w:pPr>
        <w:spacing w:after="0" w:line="240" w:lineRule="auto"/>
        <w:rPr>
          <w:rFonts w:eastAsia="Times New Roman" w:cstheme="minorHAnsi"/>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580B" w:themeFill="accent2"/>
        <w:tblLook w:val="04A0" w:firstRow="1" w:lastRow="0" w:firstColumn="1" w:lastColumn="0" w:noHBand="0" w:noVBand="1"/>
      </w:tblPr>
      <w:tblGrid>
        <w:gridCol w:w="9576"/>
      </w:tblGrid>
      <w:tr w:rsidR="00AB5337" w:rsidRPr="00E33C5B" w14:paraId="1177431E" w14:textId="77777777" w:rsidTr="0059238E">
        <w:tc>
          <w:tcPr>
            <w:tcW w:w="9576" w:type="dxa"/>
            <w:shd w:val="clear" w:color="auto" w:fill="DB580B" w:themeFill="accent2"/>
          </w:tcPr>
          <w:p w14:paraId="03D15A06" w14:textId="7BE85CBE" w:rsidR="00AB5337" w:rsidRPr="0059238E" w:rsidRDefault="00C2109D" w:rsidP="00851C9B">
            <w:pPr>
              <w:rPr>
                <w:rFonts w:eastAsia="Times New Roman" w:cstheme="minorHAnsi"/>
                <w:b/>
                <w:color w:val="FFFFFF" w:themeColor="background1"/>
              </w:rPr>
            </w:pPr>
            <w:r w:rsidRPr="0059238E">
              <w:rPr>
                <w:rFonts w:eastAsia="Times New Roman" w:cstheme="minorHAnsi"/>
                <w:b/>
                <w:color w:val="FFFFFF" w:themeColor="background1"/>
                <w:lang w:val="fr-FR"/>
              </w:rPr>
              <w:t>CONTACTS ANHEUSER-BUSCH INBEV</w:t>
            </w:r>
          </w:p>
        </w:tc>
      </w:tr>
    </w:tbl>
    <w:tbl>
      <w:tblPr>
        <w:tblW w:w="5000" w:type="pct"/>
        <w:jc w:val="center"/>
        <w:tblCellMar>
          <w:left w:w="0" w:type="dxa"/>
          <w:right w:w="0" w:type="dxa"/>
        </w:tblCellMar>
        <w:tblLook w:val="04A0" w:firstRow="1" w:lastRow="0" w:firstColumn="1" w:lastColumn="0" w:noHBand="0" w:noVBand="1"/>
      </w:tblPr>
      <w:tblGrid>
        <w:gridCol w:w="2451"/>
        <w:gridCol w:w="2450"/>
        <w:gridCol w:w="143"/>
        <w:gridCol w:w="4316"/>
      </w:tblGrid>
      <w:tr w:rsidR="00AB5337" w:rsidRPr="00887E6C" w14:paraId="2CFC5A0C" w14:textId="77777777" w:rsidTr="0059238E">
        <w:trPr>
          <w:jc w:val="center"/>
        </w:trPr>
        <w:tc>
          <w:tcPr>
            <w:tcW w:w="4901" w:type="dxa"/>
            <w:gridSpan w:val="2"/>
            <w:hideMark/>
          </w:tcPr>
          <w:p w14:paraId="27568C73" w14:textId="77777777" w:rsidR="00AB5337" w:rsidRPr="00B70223" w:rsidRDefault="00AB5337" w:rsidP="00AB5337">
            <w:pPr>
              <w:spacing w:after="0" w:line="240" w:lineRule="auto"/>
              <w:rPr>
                <w:rFonts w:cstheme="minorHAnsi"/>
                <w:b/>
                <w:bCs/>
                <w:sz w:val="20"/>
                <w:szCs w:val="20"/>
              </w:rPr>
            </w:pPr>
          </w:p>
          <w:p w14:paraId="3E56D43F" w14:textId="1864EBD2" w:rsidR="00AB5337" w:rsidRPr="0059238E" w:rsidRDefault="00C2109D" w:rsidP="00851C9B">
            <w:pPr>
              <w:spacing w:after="0" w:line="240" w:lineRule="auto"/>
              <w:rPr>
                <w:rFonts w:cstheme="minorHAnsi"/>
                <w:color w:val="DB580B" w:themeColor="accent2"/>
                <w:sz w:val="20"/>
                <w:szCs w:val="20"/>
              </w:rPr>
            </w:pPr>
            <w:r w:rsidRPr="0059238E">
              <w:rPr>
                <w:rFonts w:cstheme="minorHAnsi"/>
                <w:b/>
                <w:bCs/>
                <w:color w:val="DB580B" w:themeColor="accent2"/>
                <w:sz w:val="20"/>
                <w:szCs w:val="20"/>
                <w:lang w:val="fr-FR"/>
              </w:rPr>
              <w:t>Médias</w:t>
            </w:r>
          </w:p>
        </w:tc>
        <w:tc>
          <w:tcPr>
            <w:tcW w:w="143" w:type="dxa"/>
            <w:vAlign w:val="bottom"/>
            <w:hideMark/>
          </w:tcPr>
          <w:p w14:paraId="24193EC5" w14:textId="77777777" w:rsidR="00AB5337" w:rsidRPr="00B70223" w:rsidRDefault="00AB5337" w:rsidP="00AB5337">
            <w:pPr>
              <w:spacing w:after="0" w:line="240" w:lineRule="auto"/>
              <w:rPr>
                <w:rFonts w:cstheme="minorHAnsi"/>
                <w:sz w:val="20"/>
                <w:szCs w:val="20"/>
              </w:rPr>
            </w:pPr>
            <w:r w:rsidRPr="00B70223">
              <w:rPr>
                <w:rFonts w:cstheme="minorHAnsi"/>
                <w:sz w:val="20"/>
                <w:szCs w:val="20"/>
              </w:rPr>
              <w:t>  </w:t>
            </w:r>
          </w:p>
        </w:tc>
        <w:tc>
          <w:tcPr>
            <w:tcW w:w="4316" w:type="dxa"/>
            <w:hideMark/>
          </w:tcPr>
          <w:p w14:paraId="7789C2C9" w14:textId="77777777" w:rsidR="00AB5337" w:rsidRPr="00B70223" w:rsidRDefault="00AB5337" w:rsidP="00AB5337">
            <w:pPr>
              <w:spacing w:after="0" w:line="240" w:lineRule="auto"/>
              <w:rPr>
                <w:rFonts w:cstheme="minorHAnsi"/>
                <w:b/>
                <w:bCs/>
                <w:sz w:val="20"/>
                <w:szCs w:val="20"/>
              </w:rPr>
            </w:pPr>
          </w:p>
          <w:p w14:paraId="7B029433" w14:textId="079DE402" w:rsidR="00AB5337" w:rsidRPr="0059238E" w:rsidRDefault="00C2109D" w:rsidP="00851C9B">
            <w:pPr>
              <w:spacing w:after="0" w:line="240" w:lineRule="auto"/>
              <w:rPr>
                <w:rFonts w:cstheme="minorHAnsi"/>
                <w:color w:val="DB580B" w:themeColor="accent2"/>
                <w:sz w:val="20"/>
                <w:szCs w:val="20"/>
              </w:rPr>
            </w:pPr>
            <w:r w:rsidRPr="0059238E">
              <w:rPr>
                <w:rFonts w:cstheme="minorHAnsi"/>
                <w:b/>
                <w:bCs/>
                <w:color w:val="DB580B" w:themeColor="accent2"/>
                <w:sz w:val="20"/>
                <w:szCs w:val="20"/>
                <w:lang w:val="fr-FR"/>
              </w:rPr>
              <w:t>Investisseurs</w:t>
            </w:r>
          </w:p>
        </w:tc>
      </w:tr>
      <w:tr w:rsidR="00AB5337" w:rsidRPr="0056782F" w14:paraId="66E76166" w14:textId="77777777" w:rsidTr="0059238E">
        <w:trPr>
          <w:jc w:val="center"/>
        </w:trPr>
        <w:tc>
          <w:tcPr>
            <w:tcW w:w="4901" w:type="dxa"/>
            <w:gridSpan w:val="2"/>
            <w:vAlign w:val="center"/>
            <w:hideMark/>
          </w:tcPr>
          <w:p w14:paraId="68173907" w14:textId="77777777" w:rsidR="00AB5337" w:rsidRPr="00B70223" w:rsidRDefault="00AB5337" w:rsidP="00AB5337">
            <w:pPr>
              <w:spacing w:after="0" w:line="240" w:lineRule="auto"/>
              <w:rPr>
                <w:rFonts w:cstheme="minorHAnsi"/>
                <w:sz w:val="20"/>
                <w:szCs w:val="20"/>
              </w:rPr>
            </w:pPr>
          </w:p>
        </w:tc>
        <w:tc>
          <w:tcPr>
            <w:tcW w:w="4459" w:type="dxa"/>
            <w:gridSpan w:val="2"/>
            <w:vAlign w:val="center"/>
            <w:hideMark/>
          </w:tcPr>
          <w:p w14:paraId="5DF3A3FF" w14:textId="77777777" w:rsidR="00AB5337" w:rsidRPr="00B70223" w:rsidRDefault="00AB5337" w:rsidP="00AB5337">
            <w:pPr>
              <w:spacing w:after="0" w:line="240" w:lineRule="auto"/>
              <w:rPr>
                <w:rFonts w:cstheme="minorHAnsi"/>
                <w:sz w:val="20"/>
                <w:szCs w:val="20"/>
              </w:rPr>
            </w:pPr>
          </w:p>
        </w:tc>
      </w:tr>
      <w:tr w:rsidR="00AB5337" w:rsidRPr="00D13FBB" w14:paraId="0E4D07BE" w14:textId="77777777" w:rsidTr="0059238E">
        <w:trPr>
          <w:jc w:val="center"/>
        </w:trPr>
        <w:tc>
          <w:tcPr>
            <w:tcW w:w="4901" w:type="dxa"/>
            <w:gridSpan w:val="2"/>
            <w:hideMark/>
          </w:tcPr>
          <w:p w14:paraId="5590783F" w14:textId="0302F89F" w:rsidR="00AB5337" w:rsidRPr="0059238E" w:rsidRDefault="00C2109D" w:rsidP="00AB5337">
            <w:pPr>
              <w:spacing w:after="0" w:line="240" w:lineRule="auto"/>
              <w:rPr>
                <w:rFonts w:cstheme="minorHAnsi"/>
                <w:sz w:val="20"/>
                <w:szCs w:val="20"/>
              </w:rPr>
            </w:pPr>
            <w:r w:rsidRPr="0059238E">
              <w:rPr>
                <w:rFonts w:cstheme="minorHAnsi"/>
                <w:b/>
                <w:bCs/>
                <w:sz w:val="20"/>
                <w:szCs w:val="20"/>
                <w:lang w:val="fr-FR"/>
              </w:rPr>
              <w:t>Marianne Amssoms</w:t>
            </w:r>
          </w:p>
          <w:p w14:paraId="2261DBD6" w14:textId="19461586" w:rsidR="00AB5337" w:rsidRPr="00B70223" w:rsidRDefault="00C2109D" w:rsidP="00AB5337">
            <w:pPr>
              <w:spacing w:after="0" w:line="240" w:lineRule="auto"/>
              <w:rPr>
                <w:rFonts w:cstheme="minorHAnsi"/>
                <w:sz w:val="20"/>
                <w:szCs w:val="20"/>
              </w:rPr>
            </w:pPr>
            <w:r w:rsidRPr="0059238E">
              <w:rPr>
                <w:rFonts w:cstheme="minorHAnsi"/>
                <w:sz w:val="20"/>
                <w:szCs w:val="20"/>
                <w:lang w:val="fr-FR"/>
              </w:rPr>
              <w:t>Tél. :</w:t>
            </w:r>
            <w:r w:rsidR="00AB5337" w:rsidRPr="0059238E">
              <w:rPr>
                <w:rFonts w:cstheme="minorHAnsi"/>
                <w:sz w:val="20"/>
                <w:szCs w:val="20"/>
              </w:rPr>
              <w:t xml:space="preserve"> </w:t>
            </w:r>
            <w:r w:rsidR="00AB5337" w:rsidRPr="00B70223">
              <w:rPr>
                <w:rFonts w:cstheme="minorHAnsi"/>
                <w:sz w:val="20"/>
                <w:szCs w:val="20"/>
              </w:rPr>
              <w:t>+1-212-573-9281</w:t>
            </w:r>
          </w:p>
          <w:p w14:paraId="1F3B5724" w14:textId="73C9E39B" w:rsidR="00381484" w:rsidRPr="0059238E" w:rsidRDefault="00C2109D" w:rsidP="00144F32">
            <w:pPr>
              <w:spacing w:after="0" w:line="240" w:lineRule="auto"/>
              <w:rPr>
                <w:rFonts w:cstheme="minorHAnsi"/>
                <w:sz w:val="20"/>
                <w:szCs w:val="20"/>
              </w:rPr>
            </w:pPr>
            <w:r w:rsidRPr="0059238E">
              <w:rPr>
                <w:rFonts w:cstheme="minorHAnsi"/>
                <w:sz w:val="20"/>
                <w:szCs w:val="20"/>
                <w:lang w:val="fr-FR"/>
              </w:rPr>
              <w:t xml:space="preserve">E-mail : </w:t>
            </w:r>
            <w:hyperlink r:id="rId28" w:history="1">
              <w:r w:rsidR="00381484" w:rsidRPr="00D13FBB">
                <w:rPr>
                  <w:rStyle w:val="Hyperlink"/>
                  <w:color w:val="auto"/>
                  <w:lang w:val="pt-BR"/>
                </w:rPr>
                <w:t>marianne.amssoms@ab-inbev.com</w:t>
              </w:r>
            </w:hyperlink>
          </w:p>
        </w:tc>
        <w:tc>
          <w:tcPr>
            <w:tcW w:w="143" w:type="dxa"/>
            <w:vAlign w:val="bottom"/>
            <w:hideMark/>
          </w:tcPr>
          <w:p w14:paraId="428AD4F9" w14:textId="77777777" w:rsidR="00AB5337" w:rsidRPr="00B70223" w:rsidRDefault="00AB5337" w:rsidP="00AB5337">
            <w:pPr>
              <w:spacing w:after="0" w:line="240" w:lineRule="auto"/>
              <w:rPr>
                <w:rFonts w:cstheme="minorHAnsi"/>
                <w:sz w:val="20"/>
                <w:szCs w:val="20"/>
              </w:rPr>
            </w:pPr>
            <w:r w:rsidRPr="00B70223">
              <w:rPr>
                <w:rFonts w:cstheme="minorHAnsi"/>
                <w:sz w:val="20"/>
                <w:szCs w:val="20"/>
              </w:rPr>
              <w:t>  </w:t>
            </w:r>
          </w:p>
        </w:tc>
        <w:tc>
          <w:tcPr>
            <w:tcW w:w="4316" w:type="dxa"/>
            <w:hideMark/>
          </w:tcPr>
          <w:p w14:paraId="63192694" w14:textId="7CF07DEA" w:rsidR="00AB5337" w:rsidRPr="00A86DC5" w:rsidRDefault="00C2109D" w:rsidP="00AB5337">
            <w:pPr>
              <w:spacing w:after="0" w:line="240" w:lineRule="auto"/>
              <w:rPr>
                <w:rFonts w:cstheme="minorHAnsi"/>
                <w:sz w:val="20"/>
                <w:szCs w:val="20"/>
                <w:lang w:val="pt-BR"/>
              </w:rPr>
            </w:pPr>
            <w:r w:rsidRPr="00A86DC5">
              <w:rPr>
                <w:rFonts w:cstheme="minorHAnsi"/>
                <w:b/>
                <w:bCs/>
                <w:sz w:val="20"/>
                <w:szCs w:val="20"/>
                <w:lang w:val="pt-BR"/>
              </w:rPr>
              <w:t>Henry Rudd</w:t>
            </w:r>
          </w:p>
          <w:p w14:paraId="56E9D89A" w14:textId="3EC3456F" w:rsidR="00AB5337" w:rsidRPr="00A86DC5" w:rsidRDefault="00C2109D" w:rsidP="00AB5337">
            <w:pPr>
              <w:spacing w:after="0" w:line="240" w:lineRule="auto"/>
              <w:rPr>
                <w:rFonts w:cstheme="minorHAnsi"/>
                <w:sz w:val="20"/>
                <w:szCs w:val="20"/>
                <w:lang w:val="pt-BR"/>
              </w:rPr>
            </w:pPr>
            <w:r w:rsidRPr="00A86DC5">
              <w:rPr>
                <w:rFonts w:cstheme="minorHAnsi"/>
                <w:sz w:val="20"/>
                <w:szCs w:val="20"/>
                <w:lang w:val="pt-BR"/>
              </w:rPr>
              <w:t>Tél. :</w:t>
            </w:r>
            <w:r w:rsidR="00D046A1" w:rsidRPr="00A86DC5">
              <w:rPr>
                <w:rFonts w:cstheme="minorHAnsi"/>
                <w:sz w:val="20"/>
                <w:szCs w:val="20"/>
                <w:lang w:val="pt-BR"/>
              </w:rPr>
              <w:t xml:space="preserve"> +1-212-503</w:t>
            </w:r>
            <w:r w:rsidR="003B7B86" w:rsidRPr="00A86DC5">
              <w:rPr>
                <w:rFonts w:cstheme="minorHAnsi"/>
                <w:sz w:val="20"/>
                <w:szCs w:val="20"/>
                <w:lang w:val="pt-BR"/>
              </w:rPr>
              <w:t>-2890</w:t>
            </w:r>
          </w:p>
          <w:p w14:paraId="56C63E33" w14:textId="0FA11A7B" w:rsidR="00381484" w:rsidRPr="00A86DC5" w:rsidRDefault="00C2109D" w:rsidP="00144F32">
            <w:pPr>
              <w:spacing w:after="0" w:line="240" w:lineRule="auto"/>
              <w:rPr>
                <w:rFonts w:cstheme="minorHAnsi"/>
                <w:szCs w:val="20"/>
                <w:lang w:val="pt-BR"/>
              </w:rPr>
            </w:pPr>
            <w:r w:rsidRPr="00A86DC5">
              <w:rPr>
                <w:rFonts w:cstheme="minorHAnsi"/>
                <w:sz w:val="20"/>
                <w:szCs w:val="20"/>
                <w:lang w:val="pt-BR"/>
              </w:rPr>
              <w:t>E-mail :</w:t>
            </w:r>
            <w:r w:rsidR="00AB5337" w:rsidRPr="00A86DC5">
              <w:rPr>
                <w:rFonts w:cstheme="minorHAnsi"/>
                <w:sz w:val="20"/>
                <w:szCs w:val="20"/>
                <w:lang w:val="pt-BR"/>
              </w:rPr>
              <w:t xml:space="preserve"> </w:t>
            </w:r>
            <w:hyperlink r:id="rId29" w:history="1">
              <w:r w:rsidRPr="00A86DC5">
                <w:rPr>
                  <w:rStyle w:val="Hyperlink"/>
                  <w:rFonts w:cstheme="minorHAnsi"/>
                  <w:color w:val="auto"/>
                  <w:sz w:val="20"/>
                  <w:szCs w:val="20"/>
                  <w:lang w:val="pt-BR"/>
                </w:rPr>
                <w:t>henry.rudd@ab-inbev.com</w:t>
              </w:r>
            </w:hyperlink>
          </w:p>
        </w:tc>
      </w:tr>
      <w:tr w:rsidR="00AB5337" w:rsidRPr="00D13FBB" w14:paraId="5EFBDA8F" w14:textId="77777777" w:rsidTr="0059238E">
        <w:trPr>
          <w:jc w:val="center"/>
        </w:trPr>
        <w:tc>
          <w:tcPr>
            <w:tcW w:w="4901" w:type="dxa"/>
            <w:gridSpan w:val="2"/>
            <w:vAlign w:val="center"/>
            <w:hideMark/>
          </w:tcPr>
          <w:p w14:paraId="3C2EB600" w14:textId="77777777" w:rsidR="00AB5337" w:rsidRPr="00A86DC5" w:rsidRDefault="00AB5337" w:rsidP="00AB5337">
            <w:pPr>
              <w:spacing w:after="0" w:line="240" w:lineRule="auto"/>
              <w:rPr>
                <w:rFonts w:cstheme="minorHAnsi"/>
                <w:sz w:val="20"/>
                <w:szCs w:val="20"/>
                <w:lang w:val="pt-BR"/>
              </w:rPr>
            </w:pPr>
          </w:p>
        </w:tc>
        <w:tc>
          <w:tcPr>
            <w:tcW w:w="4459" w:type="dxa"/>
            <w:gridSpan w:val="2"/>
            <w:vAlign w:val="center"/>
            <w:hideMark/>
          </w:tcPr>
          <w:p w14:paraId="6708FDC2" w14:textId="77777777" w:rsidR="00AB5337" w:rsidRPr="00A86DC5" w:rsidRDefault="00AB5337" w:rsidP="00AB5337">
            <w:pPr>
              <w:spacing w:after="0" w:line="240" w:lineRule="auto"/>
              <w:rPr>
                <w:rFonts w:cstheme="minorHAnsi"/>
                <w:sz w:val="20"/>
                <w:szCs w:val="20"/>
                <w:lang w:val="pt-BR"/>
              </w:rPr>
            </w:pPr>
          </w:p>
        </w:tc>
      </w:tr>
      <w:tr w:rsidR="00AB5337" w:rsidRPr="0056782F" w14:paraId="4667967F" w14:textId="77777777" w:rsidTr="0059238E">
        <w:trPr>
          <w:jc w:val="center"/>
        </w:trPr>
        <w:tc>
          <w:tcPr>
            <w:tcW w:w="4901" w:type="dxa"/>
            <w:gridSpan w:val="2"/>
            <w:hideMark/>
          </w:tcPr>
          <w:p w14:paraId="000EFEC5" w14:textId="77777777" w:rsidR="007E72FB" w:rsidRPr="00A86DC5" w:rsidRDefault="007E72FB" w:rsidP="00AB5337">
            <w:pPr>
              <w:spacing w:after="0" w:line="240" w:lineRule="auto"/>
              <w:rPr>
                <w:rFonts w:cstheme="minorHAnsi"/>
                <w:b/>
                <w:bCs/>
                <w:sz w:val="20"/>
                <w:szCs w:val="20"/>
                <w:lang w:val="pt-BR"/>
              </w:rPr>
            </w:pPr>
          </w:p>
          <w:p w14:paraId="256CE58D" w14:textId="6BE11437" w:rsidR="008D29F8" w:rsidRPr="0059238E" w:rsidRDefault="00C2109D" w:rsidP="00AB5337">
            <w:pPr>
              <w:spacing w:after="0" w:line="240" w:lineRule="auto"/>
              <w:rPr>
                <w:rFonts w:cstheme="minorHAnsi"/>
                <w:b/>
                <w:bCs/>
                <w:sz w:val="20"/>
                <w:szCs w:val="20"/>
                <w:lang w:val="fr-FR"/>
              </w:rPr>
            </w:pPr>
            <w:r w:rsidRPr="0059238E">
              <w:rPr>
                <w:rFonts w:cstheme="minorHAnsi"/>
                <w:b/>
                <w:bCs/>
                <w:sz w:val="20"/>
                <w:szCs w:val="20"/>
                <w:lang w:val="fr-FR"/>
              </w:rPr>
              <w:t>Aimee Baxter</w:t>
            </w:r>
          </w:p>
          <w:p w14:paraId="36BD863F" w14:textId="1BFE9C92" w:rsidR="008D29F8" w:rsidRPr="009F3A88" w:rsidRDefault="00C2109D" w:rsidP="00AB5337">
            <w:pPr>
              <w:spacing w:after="0" w:line="240" w:lineRule="auto"/>
              <w:rPr>
                <w:rFonts w:cstheme="minorHAnsi"/>
                <w:bCs/>
                <w:sz w:val="20"/>
                <w:szCs w:val="20"/>
                <w:lang w:val="fr-FR"/>
              </w:rPr>
            </w:pPr>
            <w:r w:rsidRPr="00C2109D">
              <w:rPr>
                <w:rFonts w:cstheme="minorHAnsi"/>
                <w:bCs/>
                <w:sz w:val="20"/>
                <w:szCs w:val="20"/>
                <w:lang w:val="fr-FR"/>
              </w:rPr>
              <w:t>Tél. :</w:t>
            </w:r>
            <w:r w:rsidR="008D29F8" w:rsidRPr="00C2109D">
              <w:rPr>
                <w:rFonts w:cstheme="minorHAnsi"/>
                <w:bCs/>
                <w:sz w:val="20"/>
                <w:szCs w:val="20"/>
                <w:lang w:val="fr-FR"/>
              </w:rPr>
              <w:t xml:space="preserve"> </w:t>
            </w:r>
            <w:r w:rsidR="008D29F8" w:rsidRPr="009F3A88">
              <w:rPr>
                <w:rFonts w:cstheme="minorHAnsi"/>
                <w:bCs/>
                <w:sz w:val="20"/>
                <w:szCs w:val="20"/>
                <w:lang w:val="fr-FR"/>
              </w:rPr>
              <w:t>+1-718-650-4003</w:t>
            </w:r>
          </w:p>
          <w:p w14:paraId="328190F0" w14:textId="5F70A4C6" w:rsidR="00381484" w:rsidRPr="00C2109D" w:rsidRDefault="00C2109D" w:rsidP="00AB5337">
            <w:pPr>
              <w:spacing w:after="0" w:line="240" w:lineRule="auto"/>
              <w:rPr>
                <w:rFonts w:cstheme="minorHAnsi"/>
                <w:bCs/>
                <w:sz w:val="20"/>
                <w:szCs w:val="20"/>
                <w:lang w:val="fr-FR"/>
              </w:rPr>
            </w:pPr>
            <w:r w:rsidRPr="00C2109D">
              <w:rPr>
                <w:rFonts w:cstheme="minorHAnsi"/>
                <w:bCs/>
                <w:sz w:val="20"/>
                <w:szCs w:val="20"/>
                <w:lang w:val="fr-FR"/>
              </w:rPr>
              <w:t>E-mail</w:t>
            </w:r>
            <w:r w:rsidR="0059238E">
              <w:rPr>
                <w:rFonts w:cstheme="minorHAnsi"/>
                <w:bCs/>
                <w:sz w:val="20"/>
                <w:szCs w:val="20"/>
                <w:lang w:val="fr-FR"/>
              </w:rPr>
              <w:t> </w:t>
            </w:r>
            <w:r w:rsidRPr="00C2109D">
              <w:rPr>
                <w:rFonts w:cstheme="minorHAnsi"/>
                <w:bCs/>
                <w:sz w:val="20"/>
                <w:szCs w:val="20"/>
                <w:lang w:val="fr-FR"/>
              </w:rPr>
              <w:t xml:space="preserve">: </w:t>
            </w:r>
            <w:hyperlink r:id="rId30" w:history="1">
              <w:r w:rsidR="00381484" w:rsidRPr="00D13FBB">
                <w:rPr>
                  <w:rStyle w:val="Hyperlink"/>
                  <w:color w:val="auto"/>
                  <w:lang w:val="fr-BE"/>
                </w:rPr>
                <w:t>aimee.baxter@ab-inbev.com</w:t>
              </w:r>
            </w:hyperlink>
          </w:p>
          <w:p w14:paraId="1FAD8BFB" w14:textId="77777777" w:rsidR="008D29F8" w:rsidRPr="009F3A88" w:rsidRDefault="008D29F8" w:rsidP="00AB5337">
            <w:pPr>
              <w:spacing w:after="0" w:line="240" w:lineRule="auto"/>
              <w:rPr>
                <w:rFonts w:cstheme="minorHAnsi"/>
                <w:b/>
                <w:bCs/>
                <w:sz w:val="20"/>
                <w:szCs w:val="20"/>
                <w:lang w:val="fr-FR"/>
              </w:rPr>
            </w:pPr>
          </w:p>
          <w:p w14:paraId="66639FD1" w14:textId="1FE95FDC" w:rsidR="00AB5337" w:rsidRPr="00C2109D" w:rsidRDefault="00C2109D" w:rsidP="00AB5337">
            <w:pPr>
              <w:spacing w:after="0" w:line="240" w:lineRule="auto"/>
              <w:rPr>
                <w:rFonts w:cstheme="minorHAnsi"/>
                <w:sz w:val="20"/>
                <w:szCs w:val="20"/>
                <w:lang w:val="fr-FR"/>
              </w:rPr>
            </w:pPr>
            <w:r w:rsidRPr="00C2109D">
              <w:rPr>
                <w:rFonts w:cstheme="minorHAnsi"/>
                <w:b/>
                <w:bCs/>
                <w:sz w:val="20"/>
                <w:szCs w:val="20"/>
                <w:lang w:val="fr-FR"/>
              </w:rPr>
              <w:t>Peter Dercon</w:t>
            </w:r>
          </w:p>
          <w:p w14:paraId="16F6FD87" w14:textId="6FA70435" w:rsidR="00AB5337" w:rsidRPr="009F3A88" w:rsidRDefault="00C2109D" w:rsidP="00AB5337">
            <w:pPr>
              <w:spacing w:after="0" w:line="240" w:lineRule="auto"/>
              <w:rPr>
                <w:rFonts w:cstheme="minorHAnsi"/>
                <w:sz w:val="20"/>
                <w:szCs w:val="20"/>
                <w:lang w:val="fr-FR"/>
              </w:rPr>
            </w:pPr>
            <w:r w:rsidRPr="00C2109D">
              <w:rPr>
                <w:rFonts w:cstheme="minorHAnsi"/>
                <w:sz w:val="20"/>
                <w:szCs w:val="20"/>
                <w:lang w:val="fr-FR"/>
              </w:rPr>
              <w:t>Tél. :</w:t>
            </w:r>
            <w:r w:rsidR="00AB5337" w:rsidRPr="00C2109D">
              <w:rPr>
                <w:rFonts w:cstheme="minorHAnsi"/>
                <w:sz w:val="20"/>
                <w:szCs w:val="20"/>
                <w:lang w:val="fr-FR"/>
              </w:rPr>
              <w:t xml:space="preserve"> </w:t>
            </w:r>
            <w:r w:rsidR="00AB5337" w:rsidRPr="009F3A88">
              <w:rPr>
                <w:rFonts w:cstheme="minorHAnsi"/>
                <w:sz w:val="20"/>
                <w:szCs w:val="20"/>
                <w:lang w:val="fr-FR"/>
              </w:rPr>
              <w:t>+32-16-27-68-23</w:t>
            </w:r>
          </w:p>
          <w:p w14:paraId="0068353B" w14:textId="0F7A446B" w:rsidR="00AB5337" w:rsidRPr="009F3A88" w:rsidRDefault="00C2109D" w:rsidP="00144F32">
            <w:pPr>
              <w:spacing w:after="0" w:line="240" w:lineRule="auto"/>
              <w:rPr>
                <w:rFonts w:cstheme="minorHAnsi"/>
                <w:sz w:val="20"/>
                <w:szCs w:val="20"/>
                <w:lang w:val="fr-FR"/>
              </w:rPr>
            </w:pPr>
            <w:r w:rsidRPr="00C2109D">
              <w:rPr>
                <w:rFonts w:cstheme="minorHAnsi"/>
                <w:sz w:val="20"/>
                <w:szCs w:val="20"/>
                <w:lang w:val="fr-FR"/>
              </w:rPr>
              <w:t>E-mail</w:t>
            </w:r>
            <w:r w:rsidR="0059238E">
              <w:rPr>
                <w:rFonts w:cstheme="minorHAnsi"/>
                <w:bCs/>
                <w:sz w:val="20"/>
                <w:szCs w:val="20"/>
                <w:lang w:val="fr-FR"/>
              </w:rPr>
              <w:t> </w:t>
            </w:r>
            <w:r w:rsidRPr="00C2109D">
              <w:rPr>
                <w:rFonts w:cstheme="minorHAnsi"/>
                <w:sz w:val="20"/>
                <w:szCs w:val="20"/>
                <w:lang w:val="fr-FR"/>
              </w:rPr>
              <w:t xml:space="preserve">: </w:t>
            </w:r>
            <w:hyperlink r:id="rId31" w:history="1">
              <w:r w:rsidR="00381484" w:rsidRPr="00D13FBB">
                <w:rPr>
                  <w:rStyle w:val="Hyperlink"/>
                  <w:color w:val="auto"/>
                  <w:lang w:val="pt-BR"/>
                </w:rPr>
                <w:t>peter.dercon@ab-inbev.com</w:t>
              </w:r>
            </w:hyperlink>
            <w:r w:rsidR="00AB5337" w:rsidRPr="00C2109D">
              <w:rPr>
                <w:rFonts w:cstheme="minorHAnsi"/>
                <w:sz w:val="20"/>
                <w:szCs w:val="20"/>
                <w:lang w:val="fr-FR"/>
              </w:rPr>
              <w:t xml:space="preserve"> </w:t>
            </w:r>
          </w:p>
        </w:tc>
        <w:tc>
          <w:tcPr>
            <w:tcW w:w="143" w:type="dxa"/>
            <w:vAlign w:val="bottom"/>
            <w:hideMark/>
          </w:tcPr>
          <w:p w14:paraId="38CEBD60" w14:textId="77777777" w:rsidR="00AB5337" w:rsidRPr="009F3A88" w:rsidRDefault="00AB5337" w:rsidP="00AB5337">
            <w:pPr>
              <w:spacing w:after="0" w:line="240" w:lineRule="auto"/>
              <w:rPr>
                <w:rFonts w:cstheme="minorHAnsi"/>
                <w:sz w:val="20"/>
                <w:szCs w:val="20"/>
                <w:lang w:val="fr-FR"/>
              </w:rPr>
            </w:pPr>
            <w:r w:rsidRPr="009F3A88">
              <w:rPr>
                <w:rFonts w:cstheme="minorHAnsi"/>
                <w:sz w:val="20"/>
                <w:szCs w:val="20"/>
                <w:lang w:val="fr-FR"/>
              </w:rPr>
              <w:t>  </w:t>
            </w:r>
          </w:p>
        </w:tc>
        <w:tc>
          <w:tcPr>
            <w:tcW w:w="4316" w:type="dxa"/>
            <w:hideMark/>
          </w:tcPr>
          <w:p w14:paraId="5A50876F" w14:textId="77777777" w:rsidR="007E72FB" w:rsidRPr="009F3A88" w:rsidRDefault="007E72FB" w:rsidP="007E72FB">
            <w:pPr>
              <w:spacing w:after="0" w:line="240" w:lineRule="auto"/>
              <w:rPr>
                <w:rFonts w:cstheme="minorHAnsi"/>
                <w:b/>
                <w:bCs/>
                <w:sz w:val="20"/>
                <w:szCs w:val="20"/>
                <w:lang w:val="fr-FR"/>
              </w:rPr>
            </w:pPr>
          </w:p>
          <w:p w14:paraId="78D2207E" w14:textId="48EF6BE5" w:rsidR="007E72FB" w:rsidRPr="00A86DC5" w:rsidRDefault="00C2109D" w:rsidP="007E72FB">
            <w:pPr>
              <w:spacing w:after="0" w:line="240" w:lineRule="auto"/>
              <w:rPr>
                <w:rFonts w:cstheme="minorHAnsi"/>
                <w:sz w:val="20"/>
                <w:szCs w:val="20"/>
                <w:lang w:val="fr-FR"/>
              </w:rPr>
            </w:pPr>
            <w:r w:rsidRPr="00C2109D">
              <w:rPr>
                <w:rFonts w:cstheme="minorHAnsi"/>
                <w:b/>
                <w:bCs/>
                <w:sz w:val="20"/>
                <w:szCs w:val="20"/>
                <w:lang w:val="fr-FR"/>
              </w:rPr>
              <w:t>Mariusz Jamka</w:t>
            </w:r>
          </w:p>
          <w:p w14:paraId="30356864" w14:textId="257C884B" w:rsidR="007E72FB" w:rsidRPr="00A86DC5" w:rsidRDefault="00C2109D" w:rsidP="007E72FB">
            <w:pPr>
              <w:spacing w:after="0" w:line="240" w:lineRule="auto"/>
              <w:rPr>
                <w:rFonts w:cstheme="minorHAnsi"/>
                <w:sz w:val="20"/>
                <w:szCs w:val="20"/>
                <w:lang w:val="fr-FR"/>
              </w:rPr>
            </w:pPr>
            <w:r w:rsidRPr="00C2109D">
              <w:rPr>
                <w:rFonts w:cstheme="minorHAnsi"/>
                <w:sz w:val="20"/>
                <w:szCs w:val="20"/>
                <w:lang w:val="fr-FR"/>
              </w:rPr>
              <w:t>Tél. :</w:t>
            </w:r>
            <w:r w:rsidR="007E72FB" w:rsidRPr="00A86DC5">
              <w:rPr>
                <w:rFonts w:cstheme="minorHAnsi"/>
                <w:sz w:val="20"/>
                <w:szCs w:val="20"/>
                <w:lang w:val="fr-FR"/>
              </w:rPr>
              <w:t xml:space="preserve"> +32-16-27-68-88</w:t>
            </w:r>
          </w:p>
          <w:p w14:paraId="609F7BBC" w14:textId="615AC458" w:rsidR="00381484" w:rsidRPr="00A86DC5" w:rsidRDefault="00C2109D" w:rsidP="007E72FB">
            <w:pPr>
              <w:spacing w:after="0" w:line="240" w:lineRule="auto"/>
              <w:rPr>
                <w:rStyle w:val="Hyperlink"/>
                <w:rFonts w:cstheme="minorHAnsi"/>
                <w:color w:val="auto"/>
                <w:sz w:val="20"/>
                <w:szCs w:val="20"/>
                <w:lang w:val="fr-FR"/>
              </w:rPr>
            </w:pPr>
            <w:r w:rsidRPr="00C2109D">
              <w:rPr>
                <w:rFonts w:cstheme="minorHAnsi"/>
                <w:sz w:val="20"/>
                <w:szCs w:val="20"/>
                <w:lang w:val="fr-FR"/>
              </w:rPr>
              <w:t>E-mail :</w:t>
            </w:r>
            <w:r w:rsidR="007E72FB" w:rsidRPr="00A86DC5">
              <w:rPr>
                <w:rFonts w:cstheme="minorHAnsi"/>
                <w:sz w:val="20"/>
                <w:szCs w:val="20"/>
                <w:lang w:val="fr-FR"/>
              </w:rPr>
              <w:t xml:space="preserve"> </w:t>
            </w:r>
            <w:hyperlink r:id="rId32" w:history="1">
              <w:r w:rsidRPr="00C2109D">
                <w:rPr>
                  <w:rStyle w:val="Hyperlink"/>
                  <w:rFonts w:cstheme="minorHAnsi"/>
                  <w:color w:val="auto"/>
                  <w:sz w:val="20"/>
                  <w:szCs w:val="20"/>
                  <w:lang w:val="fr-FR"/>
                </w:rPr>
                <w:t>mariusz.jamka@ab-inbev.com</w:t>
              </w:r>
            </w:hyperlink>
          </w:p>
          <w:p w14:paraId="53C194CC" w14:textId="77777777" w:rsidR="008D29F8" w:rsidRPr="00A86DC5" w:rsidRDefault="008D29F8" w:rsidP="007E72FB">
            <w:pPr>
              <w:spacing w:after="0" w:line="240" w:lineRule="auto"/>
              <w:rPr>
                <w:rStyle w:val="Hyperlink"/>
                <w:rFonts w:cstheme="minorHAnsi"/>
                <w:color w:val="auto"/>
                <w:sz w:val="20"/>
                <w:szCs w:val="20"/>
                <w:lang w:val="fr-FR"/>
              </w:rPr>
            </w:pPr>
          </w:p>
          <w:p w14:paraId="0AE95DA1" w14:textId="32888407" w:rsidR="008D29F8" w:rsidRPr="00A86DC5" w:rsidRDefault="00C2109D" w:rsidP="007E72FB">
            <w:pPr>
              <w:spacing w:after="0" w:line="240" w:lineRule="auto"/>
              <w:rPr>
                <w:rFonts w:cstheme="minorHAnsi"/>
                <w:b/>
                <w:sz w:val="20"/>
                <w:szCs w:val="20"/>
                <w:lang w:val="fr-FR"/>
              </w:rPr>
            </w:pPr>
            <w:r w:rsidRPr="00C2109D">
              <w:rPr>
                <w:rFonts w:cstheme="minorHAnsi"/>
                <w:b/>
                <w:sz w:val="20"/>
                <w:szCs w:val="20"/>
                <w:lang w:val="fr-FR"/>
              </w:rPr>
              <w:t>Lauren Abbott</w:t>
            </w:r>
          </w:p>
          <w:p w14:paraId="19A6980B" w14:textId="277CF51A" w:rsidR="00D4644F" w:rsidRPr="00A86DC5" w:rsidRDefault="00C2109D" w:rsidP="00D4644F">
            <w:pPr>
              <w:spacing w:after="0" w:line="240" w:lineRule="auto"/>
              <w:rPr>
                <w:rFonts w:cstheme="minorHAnsi"/>
                <w:sz w:val="20"/>
                <w:szCs w:val="20"/>
                <w:lang w:val="fr-FR"/>
              </w:rPr>
            </w:pPr>
            <w:r w:rsidRPr="00C2109D">
              <w:rPr>
                <w:rFonts w:cstheme="minorHAnsi"/>
                <w:sz w:val="20"/>
                <w:szCs w:val="20"/>
                <w:lang w:val="fr-FR"/>
              </w:rPr>
              <w:t>Tél. :</w:t>
            </w:r>
            <w:r w:rsidR="00D4644F" w:rsidRPr="00A86DC5">
              <w:rPr>
                <w:rFonts w:cstheme="minorHAnsi"/>
                <w:sz w:val="20"/>
                <w:szCs w:val="20"/>
                <w:lang w:val="fr-FR"/>
              </w:rPr>
              <w:t xml:space="preserve"> +1-212-573-9287</w:t>
            </w:r>
          </w:p>
          <w:p w14:paraId="6B9ECE92" w14:textId="653817B6" w:rsidR="00381484" w:rsidRPr="00C2109D" w:rsidRDefault="00C2109D" w:rsidP="00144F32">
            <w:pPr>
              <w:spacing w:after="0" w:line="240" w:lineRule="auto"/>
              <w:rPr>
                <w:rFonts w:cstheme="minorHAnsi"/>
                <w:sz w:val="20"/>
                <w:szCs w:val="20"/>
                <w:lang w:val="fr-FR"/>
              </w:rPr>
            </w:pPr>
            <w:r w:rsidRPr="00C2109D">
              <w:rPr>
                <w:rFonts w:cstheme="minorHAnsi"/>
                <w:sz w:val="20"/>
                <w:szCs w:val="20"/>
                <w:lang w:val="fr-FR"/>
              </w:rPr>
              <w:t xml:space="preserve">E-mail : </w:t>
            </w:r>
            <w:hyperlink r:id="rId33" w:history="1">
              <w:r w:rsidR="00381484" w:rsidRPr="00D13FBB">
                <w:rPr>
                  <w:rStyle w:val="Hyperlink"/>
                  <w:color w:val="auto"/>
                  <w:lang w:val="pt-BR"/>
                </w:rPr>
                <w:t>lauren.abbott@ab-inbev.com</w:t>
              </w:r>
            </w:hyperlink>
          </w:p>
        </w:tc>
      </w:tr>
      <w:tr w:rsidR="008D29F8" w:rsidRPr="0056782F" w14:paraId="0365A88F" w14:textId="77777777" w:rsidTr="0059238E">
        <w:trPr>
          <w:gridAfter w:val="2"/>
          <w:wAfter w:w="4459" w:type="dxa"/>
          <w:jc w:val="center"/>
        </w:trPr>
        <w:tc>
          <w:tcPr>
            <w:tcW w:w="2451" w:type="dxa"/>
            <w:vAlign w:val="center"/>
          </w:tcPr>
          <w:p w14:paraId="76C79A06" w14:textId="77777777" w:rsidR="008D29F8" w:rsidRPr="00B70223" w:rsidRDefault="008D29F8" w:rsidP="00AB5337">
            <w:pPr>
              <w:spacing w:after="0" w:line="240" w:lineRule="auto"/>
              <w:rPr>
                <w:rFonts w:cstheme="minorHAnsi"/>
                <w:sz w:val="20"/>
                <w:szCs w:val="20"/>
                <w:lang w:val="fr-FR"/>
              </w:rPr>
            </w:pPr>
          </w:p>
        </w:tc>
        <w:tc>
          <w:tcPr>
            <w:tcW w:w="2450" w:type="dxa"/>
          </w:tcPr>
          <w:p w14:paraId="626CCF9D" w14:textId="77777777" w:rsidR="008D29F8" w:rsidRPr="00B70223" w:rsidRDefault="008D29F8" w:rsidP="00AB5337">
            <w:pPr>
              <w:spacing w:after="0" w:line="240" w:lineRule="auto"/>
              <w:rPr>
                <w:rFonts w:cstheme="minorHAnsi"/>
                <w:sz w:val="20"/>
                <w:szCs w:val="20"/>
                <w:lang w:val="fr-FR"/>
              </w:rPr>
            </w:pPr>
          </w:p>
        </w:tc>
      </w:tr>
      <w:tr w:rsidR="008B1F4D" w:rsidRPr="001D18D6" w14:paraId="7CB9BF13" w14:textId="77777777" w:rsidTr="0059238E">
        <w:trPr>
          <w:trHeight w:val="1548"/>
          <w:jc w:val="center"/>
        </w:trPr>
        <w:tc>
          <w:tcPr>
            <w:tcW w:w="4901" w:type="dxa"/>
            <w:gridSpan w:val="2"/>
            <w:vAlign w:val="center"/>
          </w:tcPr>
          <w:p w14:paraId="285CE021" w14:textId="77777777" w:rsidR="008B1F4D" w:rsidRPr="009B4743" w:rsidRDefault="008B1F4D" w:rsidP="00AB5337">
            <w:pPr>
              <w:spacing w:after="0" w:line="240" w:lineRule="auto"/>
              <w:rPr>
                <w:rFonts w:ascii="Verdana" w:hAnsi="Verdana"/>
                <w:sz w:val="20"/>
                <w:szCs w:val="20"/>
                <w:lang w:val="fr-FR"/>
              </w:rPr>
            </w:pPr>
          </w:p>
        </w:tc>
        <w:tc>
          <w:tcPr>
            <w:tcW w:w="143" w:type="dxa"/>
            <w:vAlign w:val="center"/>
          </w:tcPr>
          <w:p w14:paraId="0E0F0E89" w14:textId="77777777" w:rsidR="008B1F4D" w:rsidRPr="009B4743" w:rsidRDefault="008B1F4D" w:rsidP="00AB5337">
            <w:pPr>
              <w:spacing w:after="0" w:line="240" w:lineRule="auto"/>
              <w:rPr>
                <w:rFonts w:ascii="Verdana" w:hAnsi="Verdana"/>
                <w:sz w:val="20"/>
                <w:szCs w:val="20"/>
                <w:lang w:val="fr-FR"/>
              </w:rPr>
            </w:pPr>
          </w:p>
        </w:tc>
        <w:tc>
          <w:tcPr>
            <w:tcW w:w="4316" w:type="dxa"/>
          </w:tcPr>
          <w:p w14:paraId="72AD4840" w14:textId="77777777" w:rsidR="008B1F4D" w:rsidRPr="009B4743" w:rsidRDefault="008B1F4D" w:rsidP="007E72FB">
            <w:pPr>
              <w:spacing w:after="0" w:line="240" w:lineRule="auto"/>
              <w:rPr>
                <w:rFonts w:ascii="Verdana" w:hAnsi="Verdana"/>
                <w:b/>
                <w:bCs/>
                <w:sz w:val="20"/>
                <w:szCs w:val="20"/>
                <w:lang w:val="fr-FR"/>
              </w:rPr>
            </w:pPr>
          </w:p>
        </w:tc>
      </w:tr>
    </w:tbl>
    <w:p w14:paraId="1BD38F89" w14:textId="03B7E241" w:rsidR="008B1F4D" w:rsidRPr="00851C9B" w:rsidRDefault="00C2109D" w:rsidP="00851C9B">
      <w:pPr>
        <w:pBdr>
          <w:top w:val="single" w:sz="4" w:space="1" w:color="auto"/>
          <w:left w:val="single" w:sz="4" w:space="1" w:color="auto"/>
          <w:bottom w:val="single" w:sz="4" w:space="1" w:color="auto"/>
          <w:right w:val="single" w:sz="4" w:space="1" w:color="auto"/>
        </w:pBdr>
        <w:spacing w:after="0" w:line="240" w:lineRule="auto"/>
        <w:jc w:val="both"/>
        <w:outlineLvl w:val="0"/>
        <w:rPr>
          <w:rFonts w:ascii="Arial" w:hAnsi="Arial" w:cs="Arial"/>
          <w:b/>
          <w:color w:val="B11F24" w:themeColor="text2"/>
          <w:sz w:val="16"/>
          <w:szCs w:val="16"/>
        </w:rPr>
      </w:pPr>
      <w:bookmarkStart w:id="1" w:name="OLE_LINK1"/>
      <w:r w:rsidRPr="00C2109D">
        <w:rPr>
          <w:rFonts w:ascii="Arial" w:hAnsi="Arial" w:cs="Arial"/>
          <w:b/>
          <w:color w:val="B11F24" w:themeColor="text2"/>
          <w:sz w:val="16"/>
          <w:szCs w:val="16"/>
          <w:lang w:val="fr-FR"/>
        </w:rPr>
        <w:t xml:space="preserve">A </w:t>
      </w:r>
      <w:r w:rsidRPr="00851C9B">
        <w:rPr>
          <w:rFonts w:ascii="Arial" w:hAnsi="Arial" w:cs="Arial"/>
          <w:b/>
          <w:color w:val="B11F24" w:themeColor="text2"/>
          <w:sz w:val="16"/>
          <w:szCs w:val="16"/>
          <w:lang w:val="fr-FR"/>
        </w:rPr>
        <w:t>propos d’Anheuser-Busch InBev</w:t>
      </w:r>
    </w:p>
    <w:p w14:paraId="47F4263D" w14:textId="77777777" w:rsidR="008B1F4D" w:rsidRPr="00851C9B" w:rsidRDefault="008B1F4D" w:rsidP="00851C9B">
      <w:pPr>
        <w:pBdr>
          <w:top w:val="single" w:sz="4" w:space="1" w:color="auto"/>
          <w:left w:val="single" w:sz="4" w:space="1" w:color="auto"/>
          <w:bottom w:val="single" w:sz="4" w:space="1" w:color="auto"/>
          <w:right w:val="single" w:sz="4" w:space="1" w:color="auto"/>
        </w:pBdr>
        <w:spacing w:after="0" w:line="240" w:lineRule="auto"/>
        <w:jc w:val="both"/>
        <w:outlineLvl w:val="0"/>
        <w:rPr>
          <w:rFonts w:cstheme="minorHAnsi"/>
          <w:b/>
          <w:bCs/>
          <w:color w:val="DA1A35"/>
          <w:sz w:val="16"/>
          <w:szCs w:val="18"/>
        </w:rPr>
      </w:pPr>
    </w:p>
    <w:p w14:paraId="421D699F" w14:textId="59FCC8CF" w:rsidR="008B1F4D" w:rsidRPr="00A86DC5" w:rsidRDefault="00C2109D" w:rsidP="00851C9B">
      <w:pPr>
        <w:pBdr>
          <w:top w:val="single" w:sz="4" w:space="1" w:color="auto"/>
          <w:left w:val="single" w:sz="4" w:space="1" w:color="auto"/>
          <w:bottom w:val="single" w:sz="4" w:space="1" w:color="auto"/>
          <w:right w:val="single" w:sz="4" w:space="1" w:color="auto"/>
        </w:pBdr>
        <w:spacing w:after="0" w:line="240" w:lineRule="auto"/>
        <w:jc w:val="both"/>
        <w:outlineLvl w:val="0"/>
        <w:rPr>
          <w:rFonts w:cstheme="minorHAnsi"/>
          <w:b/>
          <w:bCs/>
          <w:color w:val="DA1A35"/>
          <w:sz w:val="16"/>
          <w:szCs w:val="18"/>
          <w:lang w:val="fr-BE"/>
        </w:rPr>
      </w:pPr>
      <w:r w:rsidRPr="00851C9B">
        <w:rPr>
          <w:rFonts w:ascii="Arial" w:hAnsi="Arial" w:cs="Arial"/>
          <w:color w:val="45130F"/>
          <w:sz w:val="16"/>
          <w:szCs w:val="16"/>
          <w:lang w:val="fr-FR"/>
        </w:rPr>
        <w:t>Anheuser-Bush InBev est une société cotée en bourse (Euronext :</w:t>
      </w:r>
      <w:r w:rsidR="008B1F4D" w:rsidRPr="00A86DC5">
        <w:rPr>
          <w:rFonts w:ascii="Arial" w:hAnsi="Arial" w:cs="Arial"/>
          <w:color w:val="45130F"/>
          <w:sz w:val="16"/>
          <w:szCs w:val="16"/>
          <w:lang w:val="fr-BE"/>
        </w:rPr>
        <w:t xml:space="preserve"> </w:t>
      </w:r>
      <w:r w:rsidRPr="00851C9B">
        <w:rPr>
          <w:rFonts w:ascii="Arial" w:hAnsi="Arial" w:cs="Arial"/>
          <w:color w:val="45130F"/>
          <w:sz w:val="16"/>
          <w:szCs w:val="16"/>
          <w:lang w:val="fr-FR"/>
        </w:rPr>
        <w:t>ABI) basée à Leuven, en Belgique, avec des cotations secondaires à la Bourse du Mexique (MEXBOL : ANB) et à la Bourse d’Afrique du Sud (JSE : ANH) et une cotation d’American Depositary Receipts à la Bourse de New York (NYSE : BUD).</w:t>
      </w:r>
      <w:r w:rsidR="008B1F4D" w:rsidRPr="00A86DC5">
        <w:rPr>
          <w:rFonts w:ascii="Arial" w:hAnsi="Arial" w:cs="Arial"/>
          <w:color w:val="45130F"/>
          <w:sz w:val="16"/>
          <w:szCs w:val="16"/>
          <w:lang w:val="fr-BE"/>
        </w:rPr>
        <w:t xml:space="preserve"> </w:t>
      </w:r>
      <w:r w:rsidRPr="00851C9B">
        <w:rPr>
          <w:rFonts w:ascii="Arial" w:hAnsi="Arial" w:cs="Arial"/>
          <w:color w:val="45130F"/>
          <w:sz w:val="16"/>
          <w:szCs w:val="16"/>
          <w:lang w:val="fr-FR"/>
        </w:rPr>
        <w:t>Notre Rêve est de rassembler les gens pour un monde meilleur.</w:t>
      </w:r>
      <w:r w:rsidR="008B1F4D" w:rsidRPr="00A86DC5">
        <w:rPr>
          <w:rFonts w:ascii="Arial" w:hAnsi="Arial" w:cs="Arial"/>
          <w:color w:val="45130F"/>
          <w:sz w:val="16"/>
          <w:szCs w:val="16"/>
          <w:lang w:val="fr-BE"/>
        </w:rPr>
        <w:t xml:space="preserve"> </w:t>
      </w:r>
      <w:r w:rsidRPr="00851C9B">
        <w:rPr>
          <w:rFonts w:ascii="Arial" w:hAnsi="Arial" w:cs="Arial"/>
          <w:color w:val="45130F"/>
          <w:sz w:val="16"/>
          <w:szCs w:val="16"/>
          <w:lang w:val="fr-FR"/>
        </w:rPr>
        <w:t>La bière, premier réseau social, rassemble les gens depuis des milliers d’années.</w:t>
      </w:r>
      <w:r w:rsidR="008B1F4D" w:rsidRPr="00A86DC5">
        <w:rPr>
          <w:rFonts w:ascii="Arial" w:hAnsi="Arial" w:cs="Arial"/>
          <w:color w:val="45130F"/>
          <w:sz w:val="16"/>
          <w:szCs w:val="16"/>
          <w:lang w:val="fr-BE"/>
        </w:rPr>
        <w:t xml:space="preserve"> </w:t>
      </w:r>
      <w:r w:rsidRPr="00851C9B">
        <w:rPr>
          <w:rFonts w:ascii="Arial" w:hAnsi="Arial" w:cs="Arial"/>
          <w:color w:val="45130F"/>
          <w:sz w:val="16"/>
          <w:szCs w:val="16"/>
          <w:lang w:val="fr-FR"/>
        </w:rPr>
        <w:t>Nous avons à cœur de développer de grandes marques qui résistent à l’épreuve du temps et de brasser les meilleures bières en utilisant les ingrédients naturels de la plus haute qualité.</w:t>
      </w:r>
      <w:r w:rsidR="008B1F4D" w:rsidRPr="00A86DC5">
        <w:rPr>
          <w:rFonts w:ascii="Arial" w:hAnsi="Arial" w:cs="Arial"/>
          <w:color w:val="45130F"/>
          <w:sz w:val="16"/>
          <w:szCs w:val="16"/>
          <w:lang w:val="fr-BE"/>
        </w:rPr>
        <w:t xml:space="preserve"> </w:t>
      </w:r>
      <w:r w:rsidRPr="00851C9B">
        <w:rPr>
          <w:rFonts w:ascii="Arial" w:hAnsi="Arial" w:cs="Arial"/>
          <w:color w:val="45130F"/>
          <w:sz w:val="16"/>
          <w:szCs w:val="16"/>
          <w:lang w:val="fr-FR"/>
        </w:rPr>
        <w:t>Notre portefeuille diversifié de plus de 500 marques de bières comprend les marques mondiales Budweiser®, Corona® et Stella Artois® ; les marques multi-pays Beck’s®, Castle®, Castle Lite®, Hoegaarden® et Leffe® ; et des championnes locales telles que Aguila®, Antarctica®, Bud Light®, Brahma®, Cass®, Chernigivske®, Cristal®, Harbin®, Jupiler®, Klinskoye®, Michelob Ultra®, Modelo Especial®, Quilmes®, Victoria®, Sedrin®, Sibirskaya Korona® et Skol®.</w:t>
      </w:r>
      <w:r w:rsidR="008B1F4D" w:rsidRPr="00A86DC5">
        <w:rPr>
          <w:rFonts w:ascii="Arial" w:hAnsi="Arial" w:cs="Arial"/>
          <w:color w:val="45130F"/>
          <w:sz w:val="16"/>
          <w:szCs w:val="16"/>
          <w:lang w:val="fr-BE"/>
        </w:rPr>
        <w:t xml:space="preserve"> </w:t>
      </w:r>
      <w:r w:rsidRPr="00851C9B">
        <w:rPr>
          <w:rFonts w:ascii="Arial" w:hAnsi="Arial" w:cs="Arial"/>
          <w:color w:val="45130F"/>
          <w:sz w:val="16"/>
          <w:szCs w:val="16"/>
          <w:lang w:val="fr-FR"/>
        </w:rPr>
        <w:t>Notre héritage brassicole remonte à plus de 600 ans, traversant les continents et les générations.</w:t>
      </w:r>
      <w:r w:rsidR="008B1F4D" w:rsidRPr="00A86DC5">
        <w:rPr>
          <w:rFonts w:ascii="Arial" w:hAnsi="Arial" w:cs="Arial"/>
          <w:color w:val="45130F"/>
          <w:sz w:val="16"/>
          <w:szCs w:val="16"/>
          <w:lang w:val="fr-BE"/>
        </w:rPr>
        <w:t xml:space="preserve"> </w:t>
      </w:r>
      <w:r w:rsidRPr="00851C9B">
        <w:rPr>
          <w:rFonts w:ascii="Arial" w:hAnsi="Arial" w:cs="Arial"/>
          <w:color w:val="45130F"/>
          <w:sz w:val="16"/>
          <w:szCs w:val="16"/>
          <w:lang w:val="fr-FR"/>
        </w:rPr>
        <w:t>De nos racines européennes ancrées dans la brasserie Den Hoorn à Leuven en Belgique,</w:t>
      </w:r>
      <w:r w:rsidR="008B1F4D" w:rsidRPr="00A86DC5">
        <w:rPr>
          <w:rFonts w:ascii="Arial" w:hAnsi="Arial" w:cs="Arial"/>
          <w:color w:val="45130F"/>
          <w:sz w:val="16"/>
          <w:szCs w:val="16"/>
          <w:lang w:val="fr-BE"/>
        </w:rPr>
        <w:t xml:space="preserve"> </w:t>
      </w:r>
      <w:r w:rsidRPr="00851C9B">
        <w:rPr>
          <w:rFonts w:ascii="Arial" w:hAnsi="Arial" w:cs="Arial"/>
          <w:color w:val="45130F"/>
          <w:sz w:val="16"/>
          <w:szCs w:val="16"/>
          <w:lang w:val="fr-FR"/>
        </w:rPr>
        <w:t>à l’esprit innovateur de la brasserie Anheuser &amp; Co à St. Louis aux,</w:t>
      </w:r>
      <w:r w:rsidR="008B1F4D" w:rsidRPr="00A86DC5">
        <w:rPr>
          <w:rFonts w:ascii="Arial" w:hAnsi="Arial" w:cs="Arial"/>
          <w:color w:val="45130F"/>
          <w:sz w:val="16"/>
          <w:szCs w:val="16"/>
          <w:lang w:val="fr-BE"/>
        </w:rPr>
        <w:t xml:space="preserve"> </w:t>
      </w:r>
      <w:r w:rsidRPr="00851C9B">
        <w:rPr>
          <w:rFonts w:ascii="Arial" w:hAnsi="Arial" w:cs="Arial"/>
          <w:color w:val="45130F"/>
          <w:sz w:val="16"/>
          <w:szCs w:val="16"/>
          <w:lang w:val="fr-FR"/>
        </w:rPr>
        <w:t>Etats-Unis.</w:t>
      </w:r>
      <w:r w:rsidR="008B1F4D" w:rsidRPr="00A86DC5">
        <w:rPr>
          <w:rFonts w:ascii="Arial" w:hAnsi="Arial" w:cs="Arial"/>
          <w:color w:val="45130F"/>
          <w:sz w:val="16"/>
          <w:szCs w:val="16"/>
          <w:lang w:val="fr-BE"/>
        </w:rPr>
        <w:t xml:space="preserve"> </w:t>
      </w:r>
      <w:r w:rsidRPr="00851C9B">
        <w:rPr>
          <w:rFonts w:ascii="Arial" w:hAnsi="Arial" w:cs="Arial"/>
          <w:color w:val="45130F"/>
          <w:sz w:val="16"/>
          <w:szCs w:val="16"/>
          <w:lang w:val="fr-FR"/>
        </w:rPr>
        <w:t>à la création de la brasserie Castle en Afrique du Sud lors de la ruée vers l’or à Johannesburg,</w:t>
      </w:r>
      <w:r w:rsidR="008B1F4D" w:rsidRPr="00A86DC5">
        <w:rPr>
          <w:rFonts w:ascii="Arial" w:hAnsi="Arial" w:cs="Arial"/>
          <w:color w:val="45130F"/>
          <w:sz w:val="16"/>
          <w:szCs w:val="16"/>
          <w:lang w:val="fr-BE"/>
        </w:rPr>
        <w:t xml:space="preserve"> </w:t>
      </w:r>
      <w:r w:rsidRPr="00851C9B">
        <w:rPr>
          <w:rFonts w:ascii="Arial" w:hAnsi="Arial" w:cs="Arial"/>
          <w:color w:val="45130F"/>
          <w:sz w:val="16"/>
          <w:szCs w:val="16"/>
          <w:lang w:val="fr-FR"/>
        </w:rPr>
        <w:t>ou encore à Bohemia, la première brasserie au Brésil.</w:t>
      </w:r>
      <w:r w:rsidR="008B1F4D" w:rsidRPr="00A86DC5">
        <w:rPr>
          <w:rFonts w:ascii="Arial" w:hAnsi="Arial" w:cs="Arial"/>
          <w:color w:val="45130F"/>
          <w:sz w:val="16"/>
          <w:szCs w:val="16"/>
          <w:lang w:val="fr-BE"/>
        </w:rPr>
        <w:t xml:space="preserve"> </w:t>
      </w:r>
      <w:bookmarkEnd w:id="1"/>
      <w:r w:rsidRPr="00851C9B">
        <w:rPr>
          <w:rFonts w:ascii="Arial" w:hAnsi="Arial" w:cs="Arial"/>
          <w:color w:val="45130F"/>
          <w:sz w:val="16"/>
          <w:szCs w:val="16"/>
          <w:lang w:val="fr-FR"/>
        </w:rPr>
        <w:t>Géographiquement diversifiés avec une exposition équilibrée sur les marchés émergents et développés, nous misons sur les forces collectives d’environ 200 000 collaborateurs basés dans plus de 50 pays de par le monde.</w:t>
      </w:r>
      <w:r w:rsidR="008B1F4D" w:rsidRPr="00A86DC5">
        <w:rPr>
          <w:rFonts w:ascii="Arial" w:hAnsi="Arial" w:cs="Arial"/>
          <w:color w:val="45130F"/>
          <w:sz w:val="16"/>
          <w:szCs w:val="16"/>
          <w:lang w:val="fr-BE"/>
        </w:rPr>
        <w:t xml:space="preserve"> </w:t>
      </w:r>
      <w:r w:rsidRPr="00851C9B">
        <w:rPr>
          <w:rFonts w:ascii="Arial" w:hAnsi="Arial" w:cs="Arial"/>
          <w:color w:val="45130F"/>
          <w:sz w:val="16"/>
          <w:szCs w:val="16"/>
          <w:lang w:val="fr-FR"/>
        </w:rPr>
        <w:t>En 2016, les produits rapportés d’AB InBev s’élevaient à 45,5 milliards d’US dollar (hors joint-ventures et entités associées).</w:t>
      </w:r>
    </w:p>
    <w:p w14:paraId="65708E39" w14:textId="77777777" w:rsidR="00BE12D7" w:rsidRPr="00A86DC5" w:rsidRDefault="007E72FB">
      <w:pPr>
        <w:spacing w:after="0" w:line="240" w:lineRule="auto"/>
        <w:rPr>
          <w:lang w:val="fr-BE"/>
        </w:rPr>
      </w:pPr>
      <w:r w:rsidRPr="00A86DC5">
        <w:rPr>
          <w:lang w:val="fr-BE"/>
        </w:rPr>
        <w:br w:type="page"/>
      </w:r>
    </w:p>
    <w:p w14:paraId="4F8A17CE" w14:textId="69CFE711" w:rsidR="00BE12D7" w:rsidRDefault="002159B9">
      <w:pPr>
        <w:spacing w:after="0" w:line="240" w:lineRule="auto"/>
      </w:pPr>
      <w:r w:rsidRPr="002159B9">
        <w:rPr>
          <w:noProof/>
        </w:rPr>
        <w:lastRenderedPageBreak/>
        <w:drawing>
          <wp:inline distT="0" distB="0" distL="0" distR="0" wp14:anchorId="5D0B1678" wp14:editId="6EB6492D">
            <wp:extent cx="5943600" cy="6022379"/>
            <wp:effectExtent l="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6022379"/>
                    </a:xfrm>
                    <a:prstGeom prst="rect">
                      <a:avLst/>
                    </a:prstGeom>
                    <a:noFill/>
                    <a:ln>
                      <a:noFill/>
                    </a:ln>
                  </pic:spPr>
                </pic:pic>
              </a:graphicData>
            </a:graphic>
          </wp:inline>
        </w:drawing>
      </w:r>
    </w:p>
    <w:p w14:paraId="71A3967E" w14:textId="44554741" w:rsidR="0018640D" w:rsidRDefault="0018640D">
      <w:pPr>
        <w:spacing w:after="0" w:line="240" w:lineRule="auto"/>
      </w:pPr>
    </w:p>
    <w:p w14:paraId="32B3FE7B" w14:textId="77777777" w:rsidR="004F6A0B" w:rsidRDefault="0018640D">
      <w:pPr>
        <w:rPr>
          <w:noProof/>
        </w:rPr>
      </w:pPr>
      <w:r w:rsidRPr="0018640D">
        <w:rPr>
          <w:noProof/>
        </w:rPr>
        <w:t xml:space="preserve"> </w:t>
      </w:r>
      <w:r>
        <w:rPr>
          <w:noProof/>
        </w:rPr>
        <w:br w:type="page"/>
      </w:r>
    </w:p>
    <w:p w14:paraId="4D9F0102" w14:textId="6CAE2DE8" w:rsidR="004F6A0B" w:rsidRDefault="00434F63">
      <w:pPr>
        <w:rPr>
          <w:noProof/>
        </w:rPr>
      </w:pPr>
      <w:r w:rsidRPr="00434F63">
        <w:rPr>
          <w:noProof/>
        </w:rPr>
        <w:lastRenderedPageBreak/>
        <w:drawing>
          <wp:inline distT="0" distB="0" distL="0" distR="0" wp14:anchorId="0F822299" wp14:editId="5426E751">
            <wp:extent cx="5943600" cy="579227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43600" cy="5792273"/>
                    </a:xfrm>
                    <a:prstGeom prst="rect">
                      <a:avLst/>
                    </a:prstGeom>
                    <a:noFill/>
                    <a:ln>
                      <a:noFill/>
                    </a:ln>
                  </pic:spPr>
                </pic:pic>
              </a:graphicData>
            </a:graphic>
          </wp:inline>
        </w:drawing>
      </w:r>
    </w:p>
    <w:p w14:paraId="3A995781" w14:textId="56867567" w:rsidR="0018640D" w:rsidRDefault="0018640D">
      <w:pPr>
        <w:rPr>
          <w:noProof/>
        </w:rPr>
      </w:pPr>
    </w:p>
    <w:p w14:paraId="651A4C06" w14:textId="77777777" w:rsidR="004F6A0B" w:rsidRDefault="0018640D">
      <w:pPr>
        <w:rPr>
          <w:noProof/>
        </w:rPr>
      </w:pPr>
      <w:r>
        <w:rPr>
          <w:noProof/>
        </w:rPr>
        <w:br w:type="page"/>
      </w:r>
    </w:p>
    <w:p w14:paraId="7C3C3BBB" w14:textId="2FC10067" w:rsidR="004F6A0B" w:rsidRDefault="002159B9">
      <w:pPr>
        <w:rPr>
          <w:noProof/>
        </w:rPr>
      </w:pPr>
      <w:r w:rsidRPr="002159B9">
        <w:rPr>
          <w:noProof/>
        </w:rPr>
        <w:lastRenderedPageBreak/>
        <w:drawing>
          <wp:inline distT="0" distB="0" distL="0" distR="0" wp14:anchorId="2003F40E" wp14:editId="354F9C68">
            <wp:extent cx="5943600" cy="5998124"/>
            <wp:effectExtent l="0" t="0" r="0" b="3175"/>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3600" cy="5998124"/>
                    </a:xfrm>
                    <a:prstGeom prst="rect">
                      <a:avLst/>
                    </a:prstGeom>
                    <a:noFill/>
                    <a:ln>
                      <a:noFill/>
                    </a:ln>
                  </pic:spPr>
                </pic:pic>
              </a:graphicData>
            </a:graphic>
          </wp:inline>
        </w:drawing>
      </w:r>
    </w:p>
    <w:p w14:paraId="1249E7BA" w14:textId="3434CCA9" w:rsidR="00F06365" w:rsidRDefault="00F06365">
      <w:pPr>
        <w:rPr>
          <w:noProof/>
        </w:rPr>
      </w:pPr>
    </w:p>
    <w:p w14:paraId="630B68D6" w14:textId="77777777" w:rsidR="00E702A3" w:rsidRDefault="00F06365" w:rsidP="00511539">
      <w:pPr>
        <w:rPr>
          <w:noProof/>
        </w:rPr>
      </w:pPr>
      <w:r>
        <w:rPr>
          <w:noProof/>
        </w:rPr>
        <w:br w:type="page"/>
      </w:r>
    </w:p>
    <w:p w14:paraId="71FB6B49" w14:textId="71240368" w:rsidR="00E702A3" w:rsidRDefault="00434F63" w:rsidP="00511539">
      <w:pPr>
        <w:rPr>
          <w:noProof/>
        </w:rPr>
      </w:pPr>
      <w:r w:rsidRPr="00434F63">
        <w:rPr>
          <w:noProof/>
        </w:rPr>
        <w:lastRenderedPageBreak/>
        <w:drawing>
          <wp:inline distT="0" distB="0" distL="0" distR="0" wp14:anchorId="621F5C81" wp14:editId="763A299B">
            <wp:extent cx="5943600" cy="5768945"/>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3600" cy="5768945"/>
                    </a:xfrm>
                    <a:prstGeom prst="rect">
                      <a:avLst/>
                    </a:prstGeom>
                    <a:noFill/>
                    <a:ln>
                      <a:noFill/>
                    </a:ln>
                  </pic:spPr>
                </pic:pic>
              </a:graphicData>
            </a:graphic>
          </wp:inline>
        </w:drawing>
      </w:r>
    </w:p>
    <w:p w14:paraId="79F02A85" w14:textId="31EB5C95" w:rsidR="00F06365" w:rsidRDefault="00F06365" w:rsidP="00511539">
      <w:pPr>
        <w:rPr>
          <w:noProof/>
        </w:rPr>
      </w:pPr>
    </w:p>
    <w:p w14:paraId="09119FBE" w14:textId="77777777" w:rsidR="0018640D" w:rsidRDefault="0018640D" w:rsidP="00511539"/>
    <w:sectPr w:rsidR="0018640D" w:rsidSect="00BF6DC1">
      <w:headerReference w:type="default" r:id="rId38"/>
      <w:footerReference w:type="default" r:id="rId39"/>
      <w:headerReference w:type="first" r:id="rId40"/>
      <w:type w:val="continuous"/>
      <w:pgSz w:w="12240" w:h="15840"/>
      <w:pgMar w:top="2160" w:right="1440" w:bottom="1440" w:left="1440" w:header="10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2FAE3" w14:textId="77777777" w:rsidR="00536ECC" w:rsidRDefault="00536ECC" w:rsidP="00D808A6">
      <w:pPr>
        <w:spacing w:after="0" w:line="240" w:lineRule="auto"/>
      </w:pPr>
      <w:r>
        <w:separator/>
      </w:r>
    </w:p>
  </w:endnote>
  <w:endnote w:type="continuationSeparator" w:id="0">
    <w:p w14:paraId="2F7CF7B3" w14:textId="77777777" w:rsidR="00536ECC" w:rsidRDefault="00536ECC" w:rsidP="00D8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653311"/>
      <w:docPartObj>
        <w:docPartGallery w:val="Page Numbers (Bottom of Page)"/>
        <w:docPartUnique/>
      </w:docPartObj>
    </w:sdtPr>
    <w:sdtEndPr>
      <w:rPr>
        <w:noProof/>
        <w:color w:val="45130F" w:themeColor="background2"/>
        <w:sz w:val="20"/>
        <w:szCs w:val="20"/>
      </w:rPr>
    </w:sdtEndPr>
    <w:sdtContent>
      <w:p w14:paraId="44C730A7" w14:textId="3A1B0F1B" w:rsidR="00C146D5" w:rsidRPr="00226C6C" w:rsidRDefault="00C146D5" w:rsidP="00226C6C">
        <w:pPr>
          <w:pStyle w:val="Footer"/>
          <w:ind w:left="9360" w:hanging="9360"/>
          <w:jc w:val="right"/>
          <w:rPr>
            <w:color w:val="45130F" w:themeColor="background2"/>
            <w:sz w:val="20"/>
            <w:szCs w:val="20"/>
          </w:rPr>
        </w:pPr>
        <w:r w:rsidRPr="00A37039">
          <w:rPr>
            <w:color w:val="45130F" w:themeColor="background2"/>
            <w:sz w:val="20"/>
            <w:szCs w:val="20"/>
          </w:rPr>
          <w:fldChar w:fldCharType="begin"/>
        </w:r>
        <w:r w:rsidRPr="00A37039">
          <w:rPr>
            <w:color w:val="45130F" w:themeColor="background2"/>
            <w:sz w:val="20"/>
            <w:szCs w:val="20"/>
          </w:rPr>
          <w:instrText xml:space="preserve"> PAGE   \* MERGEFORMAT </w:instrText>
        </w:r>
        <w:r w:rsidRPr="00A37039">
          <w:rPr>
            <w:color w:val="45130F" w:themeColor="background2"/>
            <w:sz w:val="20"/>
            <w:szCs w:val="20"/>
          </w:rPr>
          <w:fldChar w:fldCharType="separate"/>
        </w:r>
        <w:r w:rsidR="0072723B">
          <w:rPr>
            <w:noProof/>
            <w:color w:val="45130F" w:themeColor="background2"/>
            <w:sz w:val="20"/>
            <w:szCs w:val="20"/>
          </w:rPr>
          <w:t>1</w:t>
        </w:r>
        <w:r w:rsidRPr="00A37039">
          <w:rPr>
            <w:noProof/>
            <w:color w:val="45130F" w:themeColor="background2"/>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18F0B" w14:textId="77777777" w:rsidR="00536ECC" w:rsidRDefault="00536ECC" w:rsidP="00D808A6">
      <w:pPr>
        <w:spacing w:after="0" w:line="240" w:lineRule="auto"/>
      </w:pPr>
      <w:r>
        <w:separator/>
      </w:r>
    </w:p>
  </w:footnote>
  <w:footnote w:type="continuationSeparator" w:id="0">
    <w:p w14:paraId="46D519AF" w14:textId="77777777" w:rsidR="00536ECC" w:rsidRDefault="00536ECC" w:rsidP="00D808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EB853" w14:textId="61B8BE06" w:rsidR="00C146D5" w:rsidRDefault="00C146D5">
    <w:pPr>
      <w:pStyle w:val="Header"/>
    </w:pPr>
    <w:r>
      <w:rPr>
        <w:noProof/>
      </w:rPr>
      <mc:AlternateContent>
        <mc:Choice Requires="wpg">
          <w:drawing>
            <wp:anchor distT="0" distB="0" distL="114300" distR="114300" simplePos="0" relativeHeight="251671552" behindDoc="0" locked="0" layoutInCell="1" allowOverlap="1" wp14:anchorId="2FCFF36B" wp14:editId="2435374F">
              <wp:simplePos x="0" y="0"/>
              <wp:positionH relativeFrom="column">
                <wp:posOffset>-604299</wp:posOffset>
              </wp:positionH>
              <wp:positionV relativeFrom="paragraph">
                <wp:posOffset>43256</wp:posOffset>
              </wp:positionV>
              <wp:extent cx="7128510" cy="9151019"/>
              <wp:effectExtent l="0" t="0" r="0" b="0"/>
              <wp:wrapNone/>
              <wp:docPr id="6" name="Group 6"/>
              <wp:cNvGraphicFramePr/>
              <a:graphic xmlns:a="http://schemas.openxmlformats.org/drawingml/2006/main">
                <a:graphicData uri="http://schemas.microsoft.com/office/word/2010/wordprocessingGroup">
                  <wpg:wgp>
                    <wpg:cNvGrpSpPr/>
                    <wpg:grpSpPr>
                      <a:xfrm>
                        <a:off x="0" y="0"/>
                        <a:ext cx="7128510" cy="9151019"/>
                        <a:chOff x="0" y="343831"/>
                        <a:chExt cx="7128510" cy="9152416"/>
                      </a:xfrm>
                    </wpg:grpSpPr>
                    <pic:pic xmlns:pic="http://schemas.openxmlformats.org/drawingml/2006/picture">
                      <pic:nvPicPr>
                        <pic:cNvPr id="266" name="Picture 26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50125" y="343831"/>
                          <a:ext cx="1574165" cy="283210"/>
                        </a:xfrm>
                        <a:prstGeom prst="rect">
                          <a:avLst/>
                        </a:prstGeom>
                      </pic:spPr>
                    </pic:pic>
                    <wpg:grpSp>
                      <wpg:cNvPr id="3" name="Group 1"/>
                      <wpg:cNvGrpSpPr/>
                      <wpg:grpSpPr>
                        <a:xfrm>
                          <a:off x="0" y="9103057"/>
                          <a:ext cx="7128510" cy="393190"/>
                          <a:chOff x="0" y="135603"/>
                          <a:chExt cx="7128510" cy="393219"/>
                        </a:xfrm>
                      </wpg:grpSpPr>
                      <pic:pic xmlns:pic="http://schemas.openxmlformats.org/drawingml/2006/picture">
                        <pic:nvPicPr>
                          <pic:cNvPr id="268" name="Picture 268"/>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382137"/>
                            <a:ext cx="7128510" cy="146685"/>
                          </a:xfrm>
                          <a:prstGeom prst="rect">
                            <a:avLst/>
                          </a:prstGeom>
                        </pic:spPr>
                      </pic:pic>
                      <wps:wsp>
                        <wps:cNvPr id="269" name="Text Box 2"/>
                        <wps:cNvSpPr txBox="1">
                          <a:spLocks noChangeArrowheads="1"/>
                        </wps:cNvSpPr>
                        <wps:spPr bwMode="auto">
                          <a:xfrm>
                            <a:off x="150125" y="135603"/>
                            <a:ext cx="973825" cy="235626"/>
                          </a:xfrm>
                          <a:prstGeom prst="rect">
                            <a:avLst/>
                          </a:prstGeom>
                          <a:noFill/>
                          <a:ln w="9525">
                            <a:noFill/>
                            <a:miter lim="800000"/>
                            <a:headEnd/>
                            <a:tailEnd/>
                          </a:ln>
                        </wps:spPr>
                        <wps:txbx>
                          <w:txbxContent>
                            <w:p w14:paraId="6BF67BF3" w14:textId="77777777" w:rsidR="00C146D5" w:rsidRPr="00D873D0" w:rsidRDefault="00C146D5" w:rsidP="00FC2CEA">
                              <w:pPr>
                                <w:pStyle w:val="Footer1"/>
                                <w:rPr>
                                  <w:color w:val="45130F" w:themeColor="background2"/>
                                </w:rPr>
                              </w:pPr>
                              <w:r>
                                <w:t>ab-inbev.com</w:t>
                              </w:r>
                            </w:p>
                          </w:txbxContent>
                        </wps:txbx>
                        <wps:bodyPr rot="0" vert="horz" wrap="square" lIns="0" tIns="0" rIns="0" bIns="0" anchor="t" anchorCtr="0">
                          <a:noAutofit/>
                        </wps:bodyPr>
                      </wps:wsp>
                    </wpg:grpSp>
                    <wps:wsp>
                      <wps:cNvPr id="4" name="Text Box 2"/>
                      <wps:cNvSpPr txBox="1">
                        <a:spLocks noChangeArrowheads="1"/>
                      </wps:cNvSpPr>
                      <wps:spPr bwMode="auto">
                        <a:xfrm>
                          <a:off x="4572001" y="343831"/>
                          <a:ext cx="2402162" cy="261945"/>
                        </a:xfrm>
                        <a:prstGeom prst="rect">
                          <a:avLst/>
                        </a:prstGeom>
                        <a:noFill/>
                        <a:ln w="9525">
                          <a:noFill/>
                          <a:miter lim="800000"/>
                          <a:headEnd/>
                          <a:tailEnd/>
                        </a:ln>
                      </wps:spPr>
                      <wps:txbx>
                        <w:txbxContent>
                          <w:p w14:paraId="539A5BA3" w14:textId="01BDE67B" w:rsidR="00C146D5" w:rsidRPr="00214880" w:rsidRDefault="00C146D5" w:rsidP="00FC2CEA">
                            <w:pPr>
                              <w:pStyle w:val="Header"/>
                              <w:ind w:left="4680" w:hanging="4680"/>
                              <w:rPr>
                                <w:rFonts w:asciiTheme="majorHAnsi" w:hAnsiTheme="majorHAnsi" w:cstheme="majorHAnsi"/>
                                <w:sz w:val="14"/>
                                <w:szCs w:val="14"/>
                              </w:rPr>
                            </w:pPr>
                            <w:r>
                              <w:rPr>
                                <w:rFonts w:asciiTheme="majorHAnsi" w:hAnsiTheme="majorHAnsi" w:cstheme="majorHAnsi"/>
                                <w:b/>
                                <w:bCs/>
                                <w:color w:val="A90000"/>
                                <w:sz w:val="32"/>
                                <w:szCs w:val="32"/>
                              </w:rPr>
                              <w:t>Communiqué de presse</w:t>
                            </w:r>
                          </w:p>
                        </w:txbxContent>
                      </wps:txbx>
                      <wps:bodyPr rot="0" vert="horz" wrap="square" lIns="0" tIns="0" rIns="0" bIns="0" anchor="t" anchorCtr="0">
                        <a:noAutofit/>
                      </wps:bodyPr>
                    </wps:wsp>
                  </wpg:wgp>
                </a:graphicData>
              </a:graphic>
              <wp14:sizeRelV relativeFrom="margin">
                <wp14:pctHeight>0</wp14:pctHeight>
              </wp14:sizeRelV>
            </wp:anchor>
          </w:drawing>
        </mc:Choice>
        <mc:Fallback>
          <w:pict>
            <v:group id="Group 6" o:spid="_x0000_s1027" style="position:absolute;margin-left:-47.6pt;margin-top:3.4pt;width:561.3pt;height:720.55pt;z-index:251671552;mso-height-relative:margin" coordorigin=",3438" coordsize="71285,9152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6" o:spid="_x0000_s1028" type="#_x0000_t75" style="position:absolute;left:1501;top:3438;width:15741;height:28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myG/EAAAA3AAAAA8AAABkcnMvZG93bnJldi54bWxEj0FrAjEUhO+C/yE8oTfN1sMiW6MU20q9&#10;WbvU62Pzutm6eVk2cY3++qZQ8DjMzDfMch1tKwbqfeNYweMsA0FcOd1wraD8fJsuQPiArLF1TAqu&#10;5GG9Go+WWGh34Q8aDqEWCcK+QAUmhK6Q0leGLPqZ64iT9+16iyHJvpa6x0uC21bOsyyXFhtOCwY7&#10;2hiqToezVXC8+VfjcLvfxfIlfg0/Jd+OmVIPk/j8BCJQDPfwf/tdK5jnOfydSUdAr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LmyG/EAAAA3AAAAA8AAAAAAAAAAAAAAAAA&#10;nwIAAGRycy9kb3ducmV2LnhtbFBLBQYAAAAABAAEAPcAAACQAwAAAAA=&#10;">
                <v:imagedata r:id="rId3" o:title=""/>
                <v:path arrowok="t"/>
              </v:shape>
              <v:group id="Group 1" o:spid="_x0000_s1029" style="position:absolute;top:91030;width:71285;height:3932" coordorigin=",1356" coordsize="71285,3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Picture 268" o:spid="_x0000_s1030" type="#_x0000_t75" style="position:absolute;top:3821;width:71285;height:14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mBSHCAAAA3AAAAA8AAABkcnMvZG93bnJldi54bWxET89rwjAUvg/8H8ITdpvprGipRhFl0Iuw&#10;Vcd6fDTPtqx5KUmm3X9vDoMdP77fm91oenEj5zvLCl5nCQji2uqOGwWX89tLBsIHZI29ZVLwSx52&#10;28nTBnNt7/xBtzI0Ioawz1FBG8KQS+nrlgz6mR2II3e1zmCI0DVSO7zHcNPLeZIspcGOY0OLAx1a&#10;qr/LH6NgTD+L1eJkXUpfVZWdjk35nuyVep6O+zWIQGP4F/+5C61gvoxr45l4BOT2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25gUhwgAAANwAAAAPAAAAAAAAAAAAAAAAAJ8C&#10;AABkcnMvZG93bnJldi54bWxQSwUGAAAAAAQABAD3AAAAjgMAAAAA&#10;">
                  <v:imagedata r:id="rId4" o:title=""/>
                  <v:path arrowok="t"/>
                </v:shape>
                <v:shapetype id="_x0000_t202" coordsize="21600,21600" o:spt="202" path="m,l,21600r21600,l21600,xe">
                  <v:stroke joinstyle="miter"/>
                  <v:path gradientshapeok="t" o:connecttype="rect"/>
                </v:shapetype>
                <v:shape id="_x0000_s1031" type="#_x0000_t202" style="position:absolute;left:1501;top:1356;width:9738;height:2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58rsUA&#10;AADcAAAADwAAAGRycy9kb3ducmV2LnhtbESPQWvCQBSE70L/w/KE3sxGD6FGV5FSQSgUYzx4fM0+&#10;k8Xs25hdNf33bqHQ4zAz3zDL9WBbcafeG8cKpkkKgrhy2nCt4FhuJ28gfEDW2DomBT/kYb16GS0x&#10;1+7BBd0PoRYRwj5HBU0IXS6lrxqy6BPXEUfv7HqLIcq+lrrHR4TbVs7SNJMWDceFBjt6b6i6HG5W&#10;webExYe5fn3vi3NhynKe8md2Uep1PGwWIAIN4T/8195pBbNsDr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HnyuxQAAANwAAAAPAAAAAAAAAAAAAAAAAJgCAABkcnMv&#10;ZG93bnJldi54bWxQSwUGAAAAAAQABAD1AAAAigMAAAAA&#10;" filled="f" stroked="f">
                  <v:textbox inset="0,0,0,0">
                    <w:txbxContent>
                      <w:p w14:paraId="6BF67BF3" w14:textId="77777777" w:rsidR="006D53E2" w:rsidRPr="00D873D0" w:rsidRDefault="006D53E2" w:rsidP="00FC2CEA">
                        <w:pPr>
                          <w:pStyle w:val="Footer1"/>
                          <w:rPr>
                            <w:color w:val="45130F" w:themeColor="background2"/>
                          </w:rPr>
                        </w:pPr>
                        <w:r>
                          <w:t>ab-inbev.com</w:t>
                        </w:r>
                      </w:p>
                    </w:txbxContent>
                  </v:textbox>
                </v:shape>
              </v:group>
              <v:shape id="_x0000_s1032" type="#_x0000_t202" style="position:absolute;left:45720;top:3438;width:24021;height:2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14:paraId="539A5BA3" w14:textId="01BDE67B" w:rsidR="006D53E2" w:rsidRPr="00214880" w:rsidRDefault="006D53E2" w:rsidP="00FC2CEA">
                      <w:pPr>
                        <w:pStyle w:val="Header"/>
                        <w:ind w:left="4680" w:hanging="4680"/>
                        <w:rPr>
                          <w:rFonts w:asciiTheme="majorHAnsi" w:hAnsiTheme="majorHAnsi" w:cstheme="majorHAnsi"/>
                          <w:sz w:val="14"/>
                          <w:szCs w:val="14"/>
                        </w:rPr>
                      </w:pPr>
                      <w:r>
                        <w:rPr>
                          <w:rFonts w:asciiTheme="majorHAnsi" w:hAnsiTheme="majorHAnsi" w:cstheme="majorHAnsi"/>
                          <w:b/>
                          <w:bCs/>
                          <w:color w:val="A90000"/>
                          <w:sz w:val="32"/>
                          <w:szCs w:val="32"/>
                        </w:rPr>
                        <w:t>Communiqué de presse</w:t>
                      </w:r>
                    </w:p>
                  </w:txbxContent>
                </v:textbox>
              </v:shape>
            </v:group>
          </w:pict>
        </mc:Fallback>
      </mc:AlternateContent>
    </w:r>
    <w:r>
      <w:rPr>
        <w:noProof/>
      </w:rPr>
      <mc:AlternateContent>
        <mc:Choice Requires="wps">
          <w:drawing>
            <wp:anchor distT="45720" distB="45720" distL="114300" distR="114300" simplePos="0" relativeHeight="251658240" behindDoc="0" locked="0" layoutInCell="1" allowOverlap="1" wp14:anchorId="2FA41B07" wp14:editId="5FBA05E7">
              <wp:simplePos x="0" y="0"/>
              <wp:positionH relativeFrom="column">
                <wp:posOffset>3596971</wp:posOffset>
              </wp:positionH>
              <wp:positionV relativeFrom="paragraph">
                <wp:posOffset>237490</wp:posOffset>
              </wp:positionV>
              <wp:extent cx="2663825" cy="161925"/>
              <wp:effectExtent l="0" t="0" r="3175" b="95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161925"/>
                      </a:xfrm>
                      <a:prstGeom prst="rect">
                        <a:avLst/>
                      </a:prstGeom>
                      <a:noFill/>
                      <a:ln w="9525">
                        <a:noFill/>
                        <a:miter lim="800000"/>
                        <a:headEnd/>
                        <a:tailEnd/>
                      </a:ln>
                    </wps:spPr>
                    <wps:txbx>
                      <w:txbxContent>
                        <w:p w14:paraId="441490DF" w14:textId="2D92C8CA" w:rsidR="00C146D5" w:rsidRPr="00851C9B" w:rsidRDefault="00C146D5" w:rsidP="002F782B">
                          <w:pPr>
                            <w:pStyle w:val="Pa0"/>
                            <w:ind w:left="720" w:hanging="720"/>
                            <w:jc w:val="right"/>
                            <w:rPr>
                              <w:color w:val="45130F" w:themeColor="background2"/>
                              <w:sz w:val="14"/>
                              <w:szCs w:val="14"/>
                              <w:lang w:val="fr-BE"/>
                            </w:rPr>
                          </w:pPr>
                          <w:r w:rsidRPr="00851C9B">
                            <w:rPr>
                              <w:rStyle w:val="A0"/>
                              <w:color w:val="45130F" w:themeColor="background2"/>
                              <w:lang w:val="fr-BE"/>
                            </w:rPr>
                            <w:t>Bruxelles / 27 juillet 2017 / 07h00 CET</w:t>
                          </w:r>
                        </w:p>
                      </w:txbxContent>
                    </wps:txbx>
                    <wps:bodyPr rot="0" vert="horz" wrap="square" lIns="0" tIns="0" rIns="0" bIns="0" anchor="b"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283.25pt;margin-top:18.7pt;width:209.75pt;height:12.7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" filled="f" stroked="f">
              <v:textbox style="mso-fit-shape-to-text:t" inset="0,0,0,0">
                <w:txbxContent>
                  <w:p w14:paraId="441490DF" w14:textId="2D92C8CA" w:rsidR="006D53E2" w:rsidRPr="00851C9B" w:rsidRDefault="006D53E2" w:rsidP="002F782B">
                    <w:pPr>
                      <w:pStyle w:val="Pa0"/>
                      <w:ind w:left="720" w:hanging="720"/>
                      <w:jc w:val="right"/>
                      <w:rPr>
                        <w:color w:val="45130F" w:themeColor="background2"/>
                        <w:sz w:val="14"/>
                        <w:szCs w:val="14"/>
                        <w:lang w:val="fr-BE"/>
                      </w:rPr>
                    </w:pPr>
                    <w:r w:rsidRPr="00851C9B">
                      <w:rPr>
                        <w:rStyle w:val="A0"/>
                        <w:color w:val="45130F" w:themeColor="background2"/>
                        <w:lang w:val="fr-BE"/>
                      </w:rPr>
                      <w:t>Bruxelles / 27 juillet 2017 / 07h00 CET</w:t>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AC38C" w14:textId="75E60504" w:rsidR="00C146D5" w:rsidRDefault="00C146D5">
    <w:pPr>
      <w:pStyle w:val="Header"/>
    </w:pPr>
    <w:r>
      <w:rPr>
        <w:noProof/>
      </w:rPr>
      <mc:AlternateContent>
        <mc:Choice Requires="wpg">
          <w:drawing>
            <wp:anchor distT="0" distB="0" distL="114300" distR="114300" simplePos="0" relativeHeight="251682816" behindDoc="0" locked="0" layoutInCell="1" allowOverlap="1" wp14:anchorId="2DE38642" wp14:editId="15AEEF18">
              <wp:simplePos x="0" y="0"/>
              <wp:positionH relativeFrom="margin">
                <wp:posOffset>-591671</wp:posOffset>
              </wp:positionH>
              <wp:positionV relativeFrom="paragraph">
                <wp:posOffset>-155986</wp:posOffset>
              </wp:positionV>
              <wp:extent cx="7128510" cy="9020705"/>
              <wp:effectExtent l="0" t="0" r="0" b="9525"/>
              <wp:wrapNone/>
              <wp:docPr id="42" name="Group 42"/>
              <wp:cNvGraphicFramePr/>
              <a:graphic xmlns:a="http://schemas.openxmlformats.org/drawingml/2006/main">
                <a:graphicData uri="http://schemas.microsoft.com/office/word/2010/wordprocessingGroup">
                  <wpg:wgp>
                    <wpg:cNvGrpSpPr/>
                    <wpg:grpSpPr>
                      <a:xfrm>
                        <a:off x="0" y="0"/>
                        <a:ext cx="7128510" cy="9020705"/>
                        <a:chOff x="0" y="81887"/>
                        <a:chExt cx="7128510" cy="9414360"/>
                      </a:xfrm>
                    </wpg:grpSpPr>
                    <pic:pic xmlns:pic="http://schemas.openxmlformats.org/drawingml/2006/picture">
                      <pic:nvPicPr>
                        <pic:cNvPr id="43" name="Picture 4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50125" y="166248"/>
                          <a:ext cx="1574165" cy="283210"/>
                        </a:xfrm>
                        <a:prstGeom prst="rect">
                          <a:avLst/>
                        </a:prstGeom>
                      </pic:spPr>
                    </pic:pic>
                    <wpg:grpSp>
                      <wpg:cNvPr id="44" name="Group 1"/>
                      <wpg:cNvGrpSpPr/>
                      <wpg:grpSpPr>
                        <a:xfrm>
                          <a:off x="0" y="9103057"/>
                          <a:ext cx="7128510" cy="393190"/>
                          <a:chOff x="0" y="135603"/>
                          <a:chExt cx="7128510" cy="393219"/>
                        </a:xfrm>
                      </wpg:grpSpPr>
                      <pic:pic xmlns:pic="http://schemas.openxmlformats.org/drawingml/2006/picture">
                        <pic:nvPicPr>
                          <pic:cNvPr id="46" name="Picture 4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382137"/>
                            <a:ext cx="7128510" cy="146685"/>
                          </a:xfrm>
                          <a:prstGeom prst="rect">
                            <a:avLst/>
                          </a:prstGeom>
                        </pic:spPr>
                      </pic:pic>
                      <wps:wsp>
                        <wps:cNvPr id="47" name="Text Box 2"/>
                        <wps:cNvSpPr txBox="1">
                          <a:spLocks noChangeArrowheads="1"/>
                        </wps:cNvSpPr>
                        <wps:spPr bwMode="auto">
                          <a:xfrm>
                            <a:off x="150125" y="135603"/>
                            <a:ext cx="973825" cy="235626"/>
                          </a:xfrm>
                          <a:prstGeom prst="rect">
                            <a:avLst/>
                          </a:prstGeom>
                          <a:noFill/>
                          <a:ln w="9525">
                            <a:noFill/>
                            <a:miter lim="800000"/>
                            <a:headEnd/>
                            <a:tailEnd/>
                          </a:ln>
                        </wps:spPr>
                        <wps:txbx>
                          <w:txbxContent>
                            <w:p w14:paraId="4C12B391" w14:textId="77777777" w:rsidR="00C146D5" w:rsidRPr="00D873D0" w:rsidRDefault="00C146D5" w:rsidP="00F82D14">
                              <w:pPr>
                                <w:pStyle w:val="Footer1"/>
                                <w:rPr>
                                  <w:color w:val="45130F" w:themeColor="background2"/>
                                </w:rPr>
                              </w:pPr>
                              <w:r>
                                <w:t>ab-inbev.com</w:t>
                              </w:r>
                            </w:p>
                          </w:txbxContent>
                        </wps:txbx>
                        <wps:bodyPr rot="0" vert="horz" wrap="square" lIns="0" tIns="0" rIns="0" bIns="0" anchor="t" anchorCtr="0">
                          <a:noAutofit/>
                        </wps:bodyPr>
                      </wps:wsp>
                    </wpg:grpSp>
                    <wps:wsp>
                      <wps:cNvPr id="49" name="Text Box 2"/>
                      <wps:cNvSpPr txBox="1">
                        <a:spLocks noChangeArrowheads="1"/>
                      </wps:cNvSpPr>
                      <wps:spPr bwMode="auto">
                        <a:xfrm>
                          <a:off x="5527343" y="81887"/>
                          <a:ext cx="1481455" cy="261945"/>
                        </a:xfrm>
                        <a:prstGeom prst="rect">
                          <a:avLst/>
                        </a:prstGeom>
                        <a:noFill/>
                        <a:ln w="9525">
                          <a:noFill/>
                          <a:miter lim="800000"/>
                          <a:headEnd/>
                          <a:tailEnd/>
                        </a:ln>
                      </wps:spPr>
                      <wps:txbx>
                        <w:txbxContent>
                          <w:p w14:paraId="2EB1A64C" w14:textId="77777777" w:rsidR="00C146D5" w:rsidRPr="00214880" w:rsidRDefault="00C146D5" w:rsidP="00F82D14">
                            <w:pPr>
                              <w:pStyle w:val="Header"/>
                              <w:ind w:left="4680" w:hanging="4680"/>
                              <w:rPr>
                                <w:rFonts w:asciiTheme="majorHAnsi" w:hAnsiTheme="majorHAnsi" w:cstheme="majorHAnsi"/>
                                <w:sz w:val="14"/>
                                <w:szCs w:val="14"/>
                              </w:rPr>
                            </w:pPr>
                            <w:r w:rsidRPr="00214880">
                              <w:rPr>
                                <w:rFonts w:asciiTheme="majorHAnsi" w:hAnsiTheme="majorHAnsi" w:cstheme="majorHAnsi"/>
                                <w:b/>
                                <w:bCs/>
                                <w:color w:val="A90000"/>
                                <w:sz w:val="32"/>
                                <w:szCs w:val="32"/>
                              </w:rPr>
                              <w:t>Press Release</w:t>
                            </w:r>
                          </w:p>
                        </w:txbxContent>
                      </wps:txbx>
                      <wps:bodyPr rot="0" vert="horz" wrap="square" lIns="0" tIns="0" rIns="0" bIns="0" anchor="t" anchorCtr="0">
                        <a:noAutofit/>
                      </wps:bodyPr>
                    </wps:wsp>
                  </wpg:wgp>
                </a:graphicData>
              </a:graphic>
              <wp14:sizeRelV relativeFrom="margin">
                <wp14:pctHeight>0</wp14:pctHeight>
              </wp14:sizeRelV>
            </wp:anchor>
          </w:drawing>
        </mc:Choice>
        <mc:Fallback>
          <w:pict>
            <v:group id="Group 42" o:spid="_x0000_s1034" style="position:absolute;margin-left:-46.6pt;margin-top:-12.3pt;width:561.3pt;height:710.3pt;z-index:251682816;mso-position-horizontal-relative:margin;mso-height-relative:margin" coordorigin=",818" coordsize="71285,9414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35" type="#_x0000_t75" style="position:absolute;left:1501;top:1662;width:15741;height:28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TDpvEAAAA2wAAAA8AAABkcnMvZG93bnJldi54bWxEj0FrAjEUhO9C/0N4hd40ay1FVqNIW0t7&#10;q7ro9bF5blY3L8smXVN/fVMoeBxm5htmvoy2ET11vnasYDzKQBCXTtdcKSh26+EUhA/IGhvHpOCH&#10;PCwXd4M55tpdeEP9NlQiQdjnqMCE0OZS+tKQRT9yLXHyjq6zGJLsKqk7vCS4beRjlj1LizWnBYMt&#10;vRgqz9tvq+Bw9W/G4fvXZyxe474/FXw9ZEo93MfVDESgGG7h//aHVvA0gb8v6QfIx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6TDpvEAAAA2wAAAA8AAAAAAAAAAAAAAAAA&#10;nwIAAGRycy9kb3ducmV2LnhtbFBLBQYAAAAABAAEAPcAAACQAwAAAAA=&#10;">
                <v:imagedata r:id="rId3" o:title=""/>
                <v:path arrowok="t"/>
              </v:shape>
              <v:group id="Group 1" o:spid="_x0000_s1036" style="position:absolute;top:91030;width:71285;height:3932" coordorigin=",1356" coordsize="71285,3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Picture 46" o:spid="_x0000_s1037" type="#_x0000_t75" style="position:absolute;top:3821;width:71285;height:14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PWJjDAAAA2wAAAA8AAABkcnMvZG93bnJldi54bWxEj0GLwjAUhO/C/ofwFvamqau4Uo0iKwte&#10;BK0renw0z7bYvJQkav33RhA8DjPzDTOdt6YWV3K+sqyg30tAEOdWV1wo+N/9dccgfEDWWFsmBXfy&#10;MJ99dKaYanvjLV2zUIgIYZ+igjKEJpXS5yUZ9D3bEEfvZJ3BEKUrpHZ4i3BTy+8kGUmDFceFEhv6&#10;LSk/ZxejoB3sVz/DtXUDOhyP4/WyyDbJQqmvz3YxARGoDe/wq73SCoYjeH6JP0DO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9YmMMAAADbAAAADwAAAAAAAAAAAAAAAACf&#10;AgAAZHJzL2Rvd25yZXYueG1sUEsFBgAAAAAEAAQA9wAAAI8DAAAAAA==&#10;">
                  <v:imagedata r:id="rId4" o:title=""/>
                  <v:path arrowok="t"/>
                </v:shape>
                <v:shapetype id="_x0000_t202" coordsize="21600,21600" o:spt="202" path="m,l,21600r21600,l21600,xe">
                  <v:stroke joinstyle="miter"/>
                  <v:path gradientshapeok="t" o:connecttype="rect"/>
                </v:shapetype>
                <v:shape id="_x0000_s1038" type="#_x0000_t202" style="position:absolute;left:1501;top:1356;width:9738;height:2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14:paraId="4C12B391" w14:textId="77777777" w:rsidR="006D53E2" w:rsidRPr="00D873D0" w:rsidRDefault="006D53E2" w:rsidP="00F82D14">
                        <w:pPr>
                          <w:pStyle w:val="Footer1"/>
                          <w:rPr>
                            <w:color w:val="45130F" w:themeColor="background2"/>
                          </w:rPr>
                        </w:pPr>
                        <w:r>
                          <w:t>ab-inbev.com</w:t>
                        </w:r>
                      </w:p>
                    </w:txbxContent>
                  </v:textbox>
                </v:shape>
              </v:group>
              <v:shape id="_x0000_s1039" type="#_x0000_t202" style="position:absolute;left:55273;top:818;width:14814;height:2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14:paraId="2EB1A64C" w14:textId="77777777" w:rsidR="006D53E2" w:rsidRPr="00214880" w:rsidRDefault="006D53E2" w:rsidP="00F82D14">
                      <w:pPr>
                        <w:pStyle w:val="Header"/>
                        <w:ind w:left="4680" w:hanging="4680"/>
                        <w:rPr>
                          <w:rFonts w:asciiTheme="majorHAnsi" w:hAnsiTheme="majorHAnsi" w:cstheme="majorHAnsi"/>
                          <w:sz w:val="14"/>
                          <w:szCs w:val="14"/>
                        </w:rPr>
                      </w:pPr>
                      <w:r w:rsidRPr="00214880">
                        <w:rPr>
                          <w:rFonts w:asciiTheme="majorHAnsi" w:hAnsiTheme="majorHAnsi" w:cstheme="majorHAnsi"/>
                          <w:b/>
                          <w:bCs/>
                          <w:color w:val="A90000"/>
                          <w:sz w:val="32"/>
                          <w:szCs w:val="32"/>
                        </w:rPr>
                        <w:t>Press Release</w:t>
                      </w:r>
                    </w:p>
                  </w:txbxContent>
                </v:textbox>
              </v:shape>
              <w10:wrap anchorx="margin"/>
            </v:group>
          </w:pict>
        </mc:Fallback>
      </mc:AlternateContent>
    </w:r>
    <w:r>
      <w:rPr>
        <w:noProof/>
      </w:rPr>
      <mc:AlternateContent>
        <mc:Choice Requires="wps">
          <w:drawing>
            <wp:anchor distT="45720" distB="45720" distL="114300" distR="114300" simplePos="0" relativeHeight="251644928" behindDoc="0" locked="0" layoutInCell="1" allowOverlap="1" wp14:anchorId="1AC54977" wp14:editId="12407AEB">
              <wp:simplePos x="0" y="0"/>
              <wp:positionH relativeFrom="column">
                <wp:posOffset>4766983</wp:posOffset>
              </wp:positionH>
              <wp:positionV relativeFrom="paragraph">
                <wp:posOffset>179649</wp:posOffset>
              </wp:positionV>
              <wp:extent cx="1551305" cy="161925"/>
              <wp:effectExtent l="0" t="0" r="10795"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161925"/>
                      </a:xfrm>
                      <a:prstGeom prst="rect">
                        <a:avLst/>
                      </a:prstGeom>
                      <a:noFill/>
                      <a:ln w="9525">
                        <a:noFill/>
                        <a:miter lim="800000"/>
                        <a:headEnd/>
                        <a:tailEnd/>
                      </a:ln>
                    </wps:spPr>
                    <wps:txbx>
                      <w:txbxContent>
                        <w:p w14:paraId="0064332A" w14:textId="6FE3B551" w:rsidR="00C146D5" w:rsidRPr="002F782B" w:rsidRDefault="00C146D5" w:rsidP="002F782B">
                          <w:pPr>
                            <w:pStyle w:val="Pa0"/>
                            <w:ind w:left="720" w:hanging="720"/>
                            <w:jc w:val="right"/>
                            <w:rPr>
                              <w:color w:val="45130F" w:themeColor="background2"/>
                              <w:sz w:val="14"/>
                              <w:szCs w:val="14"/>
                            </w:rPr>
                          </w:pPr>
                          <w:r>
                            <w:rPr>
                              <w:color w:val="45130F" w:themeColor="background2"/>
                              <w:sz w:val="14"/>
                              <w:szCs w:val="14"/>
                            </w:rPr>
                            <w:t>Brussels</w:t>
                          </w:r>
                          <w:r w:rsidRPr="002F782B">
                            <w:rPr>
                              <w:color w:val="45130F" w:themeColor="background2"/>
                              <w:sz w:val="14"/>
                              <w:szCs w:val="14"/>
                            </w:rPr>
                            <w:t xml:space="preserve"> / </w:t>
                          </w:r>
                          <w:r>
                            <w:rPr>
                              <w:color w:val="45130F" w:themeColor="background2"/>
                              <w:sz w:val="14"/>
                              <w:szCs w:val="14"/>
                            </w:rPr>
                            <w:t>4 May 2017</w:t>
                          </w:r>
                          <w:r w:rsidRPr="002F782B">
                            <w:rPr>
                              <w:rStyle w:val="A0"/>
                              <w:color w:val="45130F" w:themeColor="background2"/>
                            </w:rPr>
                            <w:t xml:space="preserve"> /</w:t>
                          </w:r>
                          <w:r>
                            <w:rPr>
                              <w:rStyle w:val="A0"/>
                              <w:color w:val="45130F" w:themeColor="background2"/>
                            </w:rPr>
                            <w:t xml:space="preserve"> 7.00am CET</w:t>
                          </w:r>
                        </w:p>
                      </w:txbxContent>
                    </wps:txbx>
                    <wps:bodyPr rot="0" vert="horz" wrap="square" lIns="0" tIns="0" rIns="0" bIns="0" anchor="b"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375.35pt;margin-top:14.15pt;width:122.15pt;height:12.75pt;z-index:251644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" filled="f" stroked="f">
              <v:textbox style="mso-fit-shape-to-text:t" inset="0,0,0,0">
                <w:txbxContent>
                  <w:p w14:paraId="0064332A" w14:textId="6FE3B551" w:rsidR="006D53E2" w:rsidRPr="002F782B" w:rsidRDefault="006D53E2" w:rsidP="002F782B">
                    <w:pPr>
                      <w:pStyle w:val="Pa0"/>
                      <w:ind w:left="720" w:hanging="720"/>
                      <w:jc w:val="right"/>
                      <w:rPr>
                        <w:color w:val="45130F" w:themeColor="background2"/>
                        <w:sz w:val="14"/>
                        <w:szCs w:val="14"/>
                      </w:rPr>
                    </w:pPr>
                    <w:r>
                      <w:rPr>
                        <w:color w:val="45130F" w:themeColor="background2"/>
                        <w:sz w:val="14"/>
                        <w:szCs w:val="14"/>
                      </w:rPr>
                      <w:t>Brussels</w:t>
                    </w:r>
                    <w:r w:rsidRPr="002F782B">
                      <w:rPr>
                        <w:color w:val="45130F" w:themeColor="background2"/>
                        <w:sz w:val="14"/>
                        <w:szCs w:val="14"/>
                      </w:rPr>
                      <w:t xml:space="preserve"> / </w:t>
                    </w:r>
                    <w:r>
                      <w:rPr>
                        <w:color w:val="45130F" w:themeColor="background2"/>
                        <w:sz w:val="14"/>
                        <w:szCs w:val="14"/>
                      </w:rPr>
                      <w:t>4 May 2017</w:t>
                    </w:r>
                    <w:r w:rsidRPr="002F782B">
                      <w:rPr>
                        <w:rStyle w:val="A0"/>
                        <w:color w:val="45130F" w:themeColor="background2"/>
                      </w:rPr>
                      <w:t xml:space="preserve"> /</w:t>
                    </w:r>
                    <w:r>
                      <w:rPr>
                        <w:rStyle w:val="A0"/>
                        <w:color w:val="45130F" w:themeColor="background2"/>
                      </w:rPr>
                      <w:t xml:space="preserve"> 7.00am CET</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3D7A"/>
    <w:multiLevelType w:val="hybridMultilevel"/>
    <w:tmpl w:val="1B0E5B2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C961568"/>
    <w:multiLevelType w:val="hybridMultilevel"/>
    <w:tmpl w:val="FC9A490C"/>
    <w:lvl w:ilvl="0" w:tplc="5580626E">
      <w:start w:val="1"/>
      <w:numFmt w:val="lowerRoman"/>
      <w:lvlText w:val="(%1)"/>
      <w:lvlJc w:val="left"/>
      <w:pPr>
        <w:ind w:left="1364" w:hanging="720"/>
      </w:pPr>
      <w:rPr>
        <w:rFonts w:cs="Times New Roman" w:hint="default"/>
        <w:b w:val="0"/>
        <w:i w:val="0"/>
      </w:rPr>
    </w:lvl>
    <w:lvl w:ilvl="1" w:tplc="86088000">
      <w:start w:val="1"/>
      <w:numFmt w:val="bullet"/>
      <w:lvlText w:val=""/>
      <w:lvlJc w:val="left"/>
      <w:pPr>
        <w:ind w:left="1724" w:hanging="360"/>
      </w:pPr>
      <w:rPr>
        <w:rFonts w:ascii="Symbol" w:hAnsi="Symbol" w:hint="default"/>
        <w:color w:val="auto"/>
      </w:rPr>
    </w:lvl>
    <w:lvl w:ilvl="2" w:tplc="0409001B">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2">
    <w:nsid w:val="165C7417"/>
    <w:multiLevelType w:val="hybridMultilevel"/>
    <w:tmpl w:val="DDD27C3E"/>
    <w:lvl w:ilvl="0" w:tplc="5580626E">
      <w:start w:val="1"/>
      <w:numFmt w:val="lowerRoman"/>
      <w:lvlText w:val="(%1)"/>
      <w:lvlJc w:val="left"/>
      <w:pPr>
        <w:ind w:left="1364" w:hanging="720"/>
      </w:pPr>
      <w:rPr>
        <w:rFonts w:cs="Times New Roman" w:hint="default"/>
        <w:b w:val="0"/>
        <w:i w:val="0"/>
      </w:rPr>
    </w:lvl>
    <w:lvl w:ilvl="1" w:tplc="86088000">
      <w:start w:val="1"/>
      <w:numFmt w:val="bullet"/>
      <w:lvlText w:val=""/>
      <w:lvlJc w:val="left"/>
      <w:pPr>
        <w:ind w:left="1724" w:hanging="360"/>
      </w:pPr>
      <w:rPr>
        <w:rFonts w:ascii="Symbol" w:hAnsi="Symbol" w:hint="default"/>
        <w:color w:val="auto"/>
      </w:rPr>
    </w:lvl>
    <w:lvl w:ilvl="2" w:tplc="5580626E">
      <w:start w:val="1"/>
      <w:numFmt w:val="lowerRoman"/>
      <w:lvlText w:val="(%3)"/>
      <w:lvlJc w:val="left"/>
      <w:pPr>
        <w:ind w:left="2444" w:hanging="180"/>
      </w:pPr>
      <w:rPr>
        <w:rFonts w:cs="Times New Roman" w:hint="default"/>
        <w:b w:val="0"/>
        <w:i w:val="0"/>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3">
    <w:nsid w:val="1B0F4D67"/>
    <w:multiLevelType w:val="hybridMultilevel"/>
    <w:tmpl w:val="7B806958"/>
    <w:lvl w:ilvl="0" w:tplc="71BEF5D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1C1823"/>
    <w:multiLevelType w:val="hybridMultilevel"/>
    <w:tmpl w:val="BE707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F6F16B3"/>
    <w:multiLevelType w:val="hybridMultilevel"/>
    <w:tmpl w:val="9CD8705A"/>
    <w:lvl w:ilvl="0" w:tplc="5580626E">
      <w:start w:val="1"/>
      <w:numFmt w:val="lowerRoman"/>
      <w:lvlText w:val="(%1)"/>
      <w:lvlJc w:val="left"/>
      <w:pPr>
        <w:ind w:left="1364" w:hanging="720"/>
      </w:pPr>
      <w:rPr>
        <w:rFonts w:cs="Times New Roman" w:hint="default"/>
        <w:b w:val="0"/>
        <w:i w:val="0"/>
      </w:rPr>
    </w:lvl>
    <w:lvl w:ilvl="1" w:tplc="04090019">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6">
    <w:nsid w:val="21B1406D"/>
    <w:multiLevelType w:val="hybridMultilevel"/>
    <w:tmpl w:val="0CD4886E"/>
    <w:lvl w:ilvl="0" w:tplc="71BEF5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821465"/>
    <w:multiLevelType w:val="hybridMultilevel"/>
    <w:tmpl w:val="13587B92"/>
    <w:lvl w:ilvl="0" w:tplc="0CD215CE">
      <w:start w:val="1"/>
      <w:numFmt w:val="bullet"/>
      <w:lvlText w:val="•"/>
      <w:lvlJc w:val="left"/>
      <w:pPr>
        <w:tabs>
          <w:tab w:val="num" w:pos="720"/>
        </w:tabs>
        <w:ind w:left="720" w:hanging="360"/>
      </w:pPr>
      <w:rPr>
        <w:rFonts w:ascii="Arial" w:hAnsi="Arial" w:hint="default"/>
      </w:rPr>
    </w:lvl>
    <w:lvl w:ilvl="1" w:tplc="C18CCE42">
      <w:start w:val="1"/>
      <w:numFmt w:val="bullet"/>
      <w:lvlText w:val="•"/>
      <w:lvlJc w:val="left"/>
      <w:pPr>
        <w:tabs>
          <w:tab w:val="num" w:pos="1440"/>
        </w:tabs>
        <w:ind w:left="1440" w:hanging="360"/>
      </w:pPr>
      <w:rPr>
        <w:rFonts w:ascii="Arial" w:hAnsi="Arial" w:hint="default"/>
      </w:rPr>
    </w:lvl>
    <w:lvl w:ilvl="2" w:tplc="64E4D6AE" w:tentative="1">
      <w:start w:val="1"/>
      <w:numFmt w:val="bullet"/>
      <w:lvlText w:val="•"/>
      <w:lvlJc w:val="left"/>
      <w:pPr>
        <w:tabs>
          <w:tab w:val="num" w:pos="2160"/>
        </w:tabs>
        <w:ind w:left="2160" w:hanging="360"/>
      </w:pPr>
      <w:rPr>
        <w:rFonts w:ascii="Arial" w:hAnsi="Arial" w:hint="default"/>
      </w:rPr>
    </w:lvl>
    <w:lvl w:ilvl="3" w:tplc="5F467688" w:tentative="1">
      <w:start w:val="1"/>
      <w:numFmt w:val="bullet"/>
      <w:lvlText w:val="•"/>
      <w:lvlJc w:val="left"/>
      <w:pPr>
        <w:tabs>
          <w:tab w:val="num" w:pos="2880"/>
        </w:tabs>
        <w:ind w:left="2880" w:hanging="360"/>
      </w:pPr>
      <w:rPr>
        <w:rFonts w:ascii="Arial" w:hAnsi="Arial" w:hint="default"/>
      </w:rPr>
    </w:lvl>
    <w:lvl w:ilvl="4" w:tplc="DA9294C2" w:tentative="1">
      <w:start w:val="1"/>
      <w:numFmt w:val="bullet"/>
      <w:lvlText w:val="•"/>
      <w:lvlJc w:val="left"/>
      <w:pPr>
        <w:tabs>
          <w:tab w:val="num" w:pos="3600"/>
        </w:tabs>
        <w:ind w:left="3600" w:hanging="360"/>
      </w:pPr>
      <w:rPr>
        <w:rFonts w:ascii="Arial" w:hAnsi="Arial" w:hint="default"/>
      </w:rPr>
    </w:lvl>
    <w:lvl w:ilvl="5" w:tplc="5E008BE0" w:tentative="1">
      <w:start w:val="1"/>
      <w:numFmt w:val="bullet"/>
      <w:lvlText w:val="•"/>
      <w:lvlJc w:val="left"/>
      <w:pPr>
        <w:tabs>
          <w:tab w:val="num" w:pos="4320"/>
        </w:tabs>
        <w:ind w:left="4320" w:hanging="360"/>
      </w:pPr>
      <w:rPr>
        <w:rFonts w:ascii="Arial" w:hAnsi="Arial" w:hint="default"/>
      </w:rPr>
    </w:lvl>
    <w:lvl w:ilvl="6" w:tplc="B6DA7240" w:tentative="1">
      <w:start w:val="1"/>
      <w:numFmt w:val="bullet"/>
      <w:lvlText w:val="•"/>
      <w:lvlJc w:val="left"/>
      <w:pPr>
        <w:tabs>
          <w:tab w:val="num" w:pos="5040"/>
        </w:tabs>
        <w:ind w:left="5040" w:hanging="360"/>
      </w:pPr>
      <w:rPr>
        <w:rFonts w:ascii="Arial" w:hAnsi="Arial" w:hint="default"/>
      </w:rPr>
    </w:lvl>
    <w:lvl w:ilvl="7" w:tplc="9BDEFE08" w:tentative="1">
      <w:start w:val="1"/>
      <w:numFmt w:val="bullet"/>
      <w:lvlText w:val="•"/>
      <w:lvlJc w:val="left"/>
      <w:pPr>
        <w:tabs>
          <w:tab w:val="num" w:pos="5760"/>
        </w:tabs>
        <w:ind w:left="5760" w:hanging="360"/>
      </w:pPr>
      <w:rPr>
        <w:rFonts w:ascii="Arial" w:hAnsi="Arial" w:hint="default"/>
      </w:rPr>
    </w:lvl>
    <w:lvl w:ilvl="8" w:tplc="2474F7D0" w:tentative="1">
      <w:start w:val="1"/>
      <w:numFmt w:val="bullet"/>
      <w:lvlText w:val="•"/>
      <w:lvlJc w:val="left"/>
      <w:pPr>
        <w:tabs>
          <w:tab w:val="num" w:pos="6480"/>
        </w:tabs>
        <w:ind w:left="6480" w:hanging="360"/>
      </w:pPr>
      <w:rPr>
        <w:rFonts w:ascii="Arial" w:hAnsi="Arial" w:hint="default"/>
      </w:rPr>
    </w:lvl>
  </w:abstractNum>
  <w:abstractNum w:abstractNumId="8">
    <w:nsid w:val="2EB76E79"/>
    <w:multiLevelType w:val="hybridMultilevel"/>
    <w:tmpl w:val="E86E84D2"/>
    <w:lvl w:ilvl="0" w:tplc="D83AE55C">
      <w:start w:val="1"/>
      <w:numFmt w:val="bullet"/>
      <w:lvlText w:val=""/>
      <w:lvlJc w:val="left"/>
      <w:pPr>
        <w:tabs>
          <w:tab w:val="num" w:pos="360"/>
        </w:tabs>
        <w:ind w:left="360" w:hanging="360"/>
      </w:pPr>
      <w:rPr>
        <w:rFonts w:ascii="Symbol" w:hAnsi="Symbol" w:hint="default"/>
      </w:rPr>
    </w:lvl>
    <w:lvl w:ilvl="1" w:tplc="7E0ACC2A" w:tentative="1">
      <w:start w:val="1"/>
      <w:numFmt w:val="bullet"/>
      <w:lvlText w:val=""/>
      <w:lvlJc w:val="left"/>
      <w:pPr>
        <w:tabs>
          <w:tab w:val="num" w:pos="1080"/>
        </w:tabs>
        <w:ind w:left="1080" w:hanging="360"/>
      </w:pPr>
      <w:rPr>
        <w:rFonts w:ascii="Symbol" w:hAnsi="Symbol" w:hint="default"/>
      </w:rPr>
    </w:lvl>
    <w:lvl w:ilvl="2" w:tplc="0EC4CD0C" w:tentative="1">
      <w:start w:val="1"/>
      <w:numFmt w:val="bullet"/>
      <w:lvlText w:val=""/>
      <w:lvlJc w:val="left"/>
      <w:pPr>
        <w:tabs>
          <w:tab w:val="num" w:pos="1800"/>
        </w:tabs>
        <w:ind w:left="1800" w:hanging="360"/>
      </w:pPr>
      <w:rPr>
        <w:rFonts w:ascii="Symbol" w:hAnsi="Symbol" w:hint="default"/>
      </w:rPr>
    </w:lvl>
    <w:lvl w:ilvl="3" w:tplc="E9367E5A" w:tentative="1">
      <w:start w:val="1"/>
      <w:numFmt w:val="bullet"/>
      <w:lvlText w:val=""/>
      <w:lvlJc w:val="left"/>
      <w:pPr>
        <w:tabs>
          <w:tab w:val="num" w:pos="2520"/>
        </w:tabs>
        <w:ind w:left="2520" w:hanging="360"/>
      </w:pPr>
      <w:rPr>
        <w:rFonts w:ascii="Symbol" w:hAnsi="Symbol" w:hint="default"/>
      </w:rPr>
    </w:lvl>
    <w:lvl w:ilvl="4" w:tplc="A41AF67A" w:tentative="1">
      <w:start w:val="1"/>
      <w:numFmt w:val="bullet"/>
      <w:lvlText w:val=""/>
      <w:lvlJc w:val="left"/>
      <w:pPr>
        <w:tabs>
          <w:tab w:val="num" w:pos="3240"/>
        </w:tabs>
        <w:ind w:left="3240" w:hanging="360"/>
      </w:pPr>
      <w:rPr>
        <w:rFonts w:ascii="Symbol" w:hAnsi="Symbol" w:hint="default"/>
      </w:rPr>
    </w:lvl>
    <w:lvl w:ilvl="5" w:tplc="421486C8" w:tentative="1">
      <w:start w:val="1"/>
      <w:numFmt w:val="bullet"/>
      <w:lvlText w:val=""/>
      <w:lvlJc w:val="left"/>
      <w:pPr>
        <w:tabs>
          <w:tab w:val="num" w:pos="3960"/>
        </w:tabs>
        <w:ind w:left="3960" w:hanging="360"/>
      </w:pPr>
      <w:rPr>
        <w:rFonts w:ascii="Symbol" w:hAnsi="Symbol" w:hint="default"/>
      </w:rPr>
    </w:lvl>
    <w:lvl w:ilvl="6" w:tplc="3C504FD8" w:tentative="1">
      <w:start w:val="1"/>
      <w:numFmt w:val="bullet"/>
      <w:lvlText w:val=""/>
      <w:lvlJc w:val="left"/>
      <w:pPr>
        <w:tabs>
          <w:tab w:val="num" w:pos="4680"/>
        </w:tabs>
        <w:ind w:left="4680" w:hanging="360"/>
      </w:pPr>
      <w:rPr>
        <w:rFonts w:ascii="Symbol" w:hAnsi="Symbol" w:hint="default"/>
      </w:rPr>
    </w:lvl>
    <w:lvl w:ilvl="7" w:tplc="6FC8C350" w:tentative="1">
      <w:start w:val="1"/>
      <w:numFmt w:val="bullet"/>
      <w:lvlText w:val=""/>
      <w:lvlJc w:val="left"/>
      <w:pPr>
        <w:tabs>
          <w:tab w:val="num" w:pos="5400"/>
        </w:tabs>
        <w:ind w:left="5400" w:hanging="360"/>
      </w:pPr>
      <w:rPr>
        <w:rFonts w:ascii="Symbol" w:hAnsi="Symbol" w:hint="default"/>
      </w:rPr>
    </w:lvl>
    <w:lvl w:ilvl="8" w:tplc="823CD450" w:tentative="1">
      <w:start w:val="1"/>
      <w:numFmt w:val="bullet"/>
      <w:lvlText w:val=""/>
      <w:lvlJc w:val="left"/>
      <w:pPr>
        <w:tabs>
          <w:tab w:val="num" w:pos="6120"/>
        </w:tabs>
        <w:ind w:left="6120" w:hanging="360"/>
      </w:pPr>
      <w:rPr>
        <w:rFonts w:ascii="Symbol" w:hAnsi="Symbol" w:hint="default"/>
      </w:rPr>
    </w:lvl>
  </w:abstractNum>
  <w:abstractNum w:abstractNumId="9">
    <w:nsid w:val="3D773DD5"/>
    <w:multiLevelType w:val="hybridMultilevel"/>
    <w:tmpl w:val="BF885E3C"/>
    <w:lvl w:ilvl="0" w:tplc="826E420C">
      <w:start w:val="1"/>
      <w:numFmt w:val="lowerRoman"/>
      <w:lvlText w:val="(%1)"/>
      <w:lvlJc w:val="right"/>
      <w:pPr>
        <w:tabs>
          <w:tab w:val="num" w:pos="720"/>
        </w:tabs>
        <w:ind w:left="720" w:hanging="360"/>
      </w:pPr>
    </w:lvl>
    <w:lvl w:ilvl="1" w:tplc="29B69DDA">
      <w:start w:val="49"/>
      <w:numFmt w:val="bullet"/>
      <w:lvlText w:val=""/>
      <w:lvlJc w:val="right"/>
      <w:pPr>
        <w:tabs>
          <w:tab w:val="num" w:pos="1440"/>
        </w:tabs>
        <w:ind w:left="1440" w:hanging="360"/>
      </w:pPr>
      <w:rPr>
        <w:rFonts w:ascii="Symbol" w:hAnsi="Symbol" w:hint="default"/>
      </w:rPr>
    </w:lvl>
    <w:lvl w:ilvl="2" w:tplc="56626F04" w:tentative="1">
      <w:start w:val="1"/>
      <w:numFmt w:val="lowerRoman"/>
      <w:lvlText w:val="(%3)"/>
      <w:lvlJc w:val="right"/>
      <w:pPr>
        <w:tabs>
          <w:tab w:val="num" w:pos="2160"/>
        </w:tabs>
        <w:ind w:left="2160" w:hanging="360"/>
      </w:pPr>
    </w:lvl>
    <w:lvl w:ilvl="3" w:tplc="544C62AC" w:tentative="1">
      <w:start w:val="1"/>
      <w:numFmt w:val="lowerRoman"/>
      <w:lvlText w:val="(%4)"/>
      <w:lvlJc w:val="right"/>
      <w:pPr>
        <w:tabs>
          <w:tab w:val="num" w:pos="2880"/>
        </w:tabs>
        <w:ind w:left="2880" w:hanging="360"/>
      </w:pPr>
    </w:lvl>
    <w:lvl w:ilvl="4" w:tplc="F856BBAC" w:tentative="1">
      <w:start w:val="1"/>
      <w:numFmt w:val="lowerRoman"/>
      <w:lvlText w:val="(%5)"/>
      <w:lvlJc w:val="right"/>
      <w:pPr>
        <w:tabs>
          <w:tab w:val="num" w:pos="3600"/>
        </w:tabs>
        <w:ind w:left="3600" w:hanging="360"/>
      </w:pPr>
    </w:lvl>
    <w:lvl w:ilvl="5" w:tplc="4962935C" w:tentative="1">
      <w:start w:val="1"/>
      <w:numFmt w:val="lowerRoman"/>
      <w:lvlText w:val="(%6)"/>
      <w:lvlJc w:val="right"/>
      <w:pPr>
        <w:tabs>
          <w:tab w:val="num" w:pos="4320"/>
        </w:tabs>
        <w:ind w:left="4320" w:hanging="360"/>
      </w:pPr>
    </w:lvl>
    <w:lvl w:ilvl="6" w:tplc="D1CC3B14" w:tentative="1">
      <w:start w:val="1"/>
      <w:numFmt w:val="lowerRoman"/>
      <w:lvlText w:val="(%7)"/>
      <w:lvlJc w:val="right"/>
      <w:pPr>
        <w:tabs>
          <w:tab w:val="num" w:pos="5040"/>
        </w:tabs>
        <w:ind w:left="5040" w:hanging="360"/>
      </w:pPr>
    </w:lvl>
    <w:lvl w:ilvl="7" w:tplc="DACED396" w:tentative="1">
      <w:start w:val="1"/>
      <w:numFmt w:val="lowerRoman"/>
      <w:lvlText w:val="(%8)"/>
      <w:lvlJc w:val="right"/>
      <w:pPr>
        <w:tabs>
          <w:tab w:val="num" w:pos="5760"/>
        </w:tabs>
        <w:ind w:left="5760" w:hanging="360"/>
      </w:pPr>
    </w:lvl>
    <w:lvl w:ilvl="8" w:tplc="B4AE2446" w:tentative="1">
      <w:start w:val="1"/>
      <w:numFmt w:val="lowerRoman"/>
      <w:lvlText w:val="(%9)"/>
      <w:lvlJc w:val="right"/>
      <w:pPr>
        <w:tabs>
          <w:tab w:val="num" w:pos="6480"/>
        </w:tabs>
        <w:ind w:left="6480" w:hanging="360"/>
      </w:pPr>
    </w:lvl>
  </w:abstractNum>
  <w:abstractNum w:abstractNumId="10">
    <w:nsid w:val="4A345F37"/>
    <w:multiLevelType w:val="multilevel"/>
    <w:tmpl w:val="1FE017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534F31CC"/>
    <w:multiLevelType w:val="hybridMultilevel"/>
    <w:tmpl w:val="D7E403DE"/>
    <w:lvl w:ilvl="0" w:tplc="8C7C13D2">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F25604"/>
    <w:multiLevelType w:val="hybridMultilevel"/>
    <w:tmpl w:val="295E5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451C03"/>
    <w:multiLevelType w:val="hybridMultilevel"/>
    <w:tmpl w:val="A378A44C"/>
    <w:lvl w:ilvl="0" w:tplc="10FE6282">
      <w:start w:val="1"/>
      <w:numFmt w:val="lowerRoman"/>
      <w:lvlText w:val="(%1)"/>
      <w:lvlJc w:val="left"/>
      <w:pPr>
        <w:ind w:left="99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4C3609"/>
    <w:multiLevelType w:val="hybridMultilevel"/>
    <w:tmpl w:val="17F6A5CC"/>
    <w:lvl w:ilvl="0" w:tplc="70FE40AA">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C1E7F87"/>
    <w:multiLevelType w:val="hybridMultilevel"/>
    <w:tmpl w:val="8AB8460E"/>
    <w:lvl w:ilvl="0" w:tplc="1BA0204C">
      <w:start w:val="1"/>
      <w:numFmt w:val="lowerRoman"/>
      <w:lvlText w:val="(%1)"/>
      <w:lvlJc w:val="right"/>
      <w:pPr>
        <w:tabs>
          <w:tab w:val="num" w:pos="720"/>
        </w:tabs>
        <w:ind w:left="720" w:hanging="360"/>
      </w:pPr>
    </w:lvl>
    <w:lvl w:ilvl="1" w:tplc="462EAAE2" w:tentative="1">
      <w:start w:val="1"/>
      <w:numFmt w:val="lowerRoman"/>
      <w:lvlText w:val="(%2)"/>
      <w:lvlJc w:val="right"/>
      <w:pPr>
        <w:tabs>
          <w:tab w:val="num" w:pos="1440"/>
        </w:tabs>
        <w:ind w:left="1440" w:hanging="360"/>
      </w:pPr>
    </w:lvl>
    <w:lvl w:ilvl="2" w:tplc="2570AA76" w:tentative="1">
      <w:start w:val="1"/>
      <w:numFmt w:val="lowerRoman"/>
      <w:lvlText w:val="(%3)"/>
      <w:lvlJc w:val="right"/>
      <w:pPr>
        <w:tabs>
          <w:tab w:val="num" w:pos="2160"/>
        </w:tabs>
        <w:ind w:left="2160" w:hanging="360"/>
      </w:pPr>
    </w:lvl>
    <w:lvl w:ilvl="3" w:tplc="E9F8824C" w:tentative="1">
      <w:start w:val="1"/>
      <w:numFmt w:val="lowerRoman"/>
      <w:lvlText w:val="(%4)"/>
      <w:lvlJc w:val="right"/>
      <w:pPr>
        <w:tabs>
          <w:tab w:val="num" w:pos="2880"/>
        </w:tabs>
        <w:ind w:left="2880" w:hanging="360"/>
      </w:pPr>
    </w:lvl>
    <w:lvl w:ilvl="4" w:tplc="2352807A" w:tentative="1">
      <w:start w:val="1"/>
      <w:numFmt w:val="lowerRoman"/>
      <w:lvlText w:val="(%5)"/>
      <w:lvlJc w:val="right"/>
      <w:pPr>
        <w:tabs>
          <w:tab w:val="num" w:pos="3600"/>
        </w:tabs>
        <w:ind w:left="3600" w:hanging="360"/>
      </w:pPr>
    </w:lvl>
    <w:lvl w:ilvl="5" w:tplc="5022BE54" w:tentative="1">
      <w:start w:val="1"/>
      <w:numFmt w:val="lowerRoman"/>
      <w:lvlText w:val="(%6)"/>
      <w:lvlJc w:val="right"/>
      <w:pPr>
        <w:tabs>
          <w:tab w:val="num" w:pos="4320"/>
        </w:tabs>
        <w:ind w:left="4320" w:hanging="360"/>
      </w:pPr>
    </w:lvl>
    <w:lvl w:ilvl="6" w:tplc="20F25840" w:tentative="1">
      <w:start w:val="1"/>
      <w:numFmt w:val="lowerRoman"/>
      <w:lvlText w:val="(%7)"/>
      <w:lvlJc w:val="right"/>
      <w:pPr>
        <w:tabs>
          <w:tab w:val="num" w:pos="5040"/>
        </w:tabs>
        <w:ind w:left="5040" w:hanging="360"/>
      </w:pPr>
    </w:lvl>
    <w:lvl w:ilvl="7" w:tplc="0926748E" w:tentative="1">
      <w:start w:val="1"/>
      <w:numFmt w:val="lowerRoman"/>
      <w:lvlText w:val="(%8)"/>
      <w:lvlJc w:val="right"/>
      <w:pPr>
        <w:tabs>
          <w:tab w:val="num" w:pos="5760"/>
        </w:tabs>
        <w:ind w:left="5760" w:hanging="360"/>
      </w:pPr>
    </w:lvl>
    <w:lvl w:ilvl="8" w:tplc="F348BE1A" w:tentative="1">
      <w:start w:val="1"/>
      <w:numFmt w:val="lowerRoman"/>
      <w:lvlText w:val="(%9)"/>
      <w:lvlJc w:val="right"/>
      <w:pPr>
        <w:tabs>
          <w:tab w:val="num" w:pos="6480"/>
        </w:tabs>
        <w:ind w:left="6480" w:hanging="360"/>
      </w:pPr>
    </w:lvl>
  </w:abstractNum>
  <w:abstractNum w:abstractNumId="16">
    <w:nsid w:val="746A4B5C"/>
    <w:multiLevelType w:val="hybridMultilevel"/>
    <w:tmpl w:val="7946E08E"/>
    <w:lvl w:ilvl="0" w:tplc="0BBC8FAE">
      <w:start w:val="1"/>
      <w:numFmt w:val="lowerRoman"/>
      <w:lvlText w:val="(%1)"/>
      <w:lvlJc w:val="left"/>
      <w:pPr>
        <w:ind w:left="1530" w:hanging="360"/>
      </w:pPr>
      <w:rPr>
        <w:rFonts w:ascii="Verdana" w:hAnsi="Verdana" w:hint="default"/>
        <w:sz w:val="18"/>
        <w:szCs w:val="18"/>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nsid w:val="76D47CD7"/>
    <w:multiLevelType w:val="hybridMultilevel"/>
    <w:tmpl w:val="33EA1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DF444DC"/>
    <w:multiLevelType w:val="hybridMultilevel"/>
    <w:tmpl w:val="F4388C0E"/>
    <w:lvl w:ilvl="0" w:tplc="D47C3D16">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F616E91"/>
    <w:multiLevelType w:val="hybridMultilevel"/>
    <w:tmpl w:val="F4388C0E"/>
    <w:lvl w:ilvl="0" w:tplc="D47C3D16">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13"/>
  </w:num>
  <w:num w:numId="3">
    <w:abstractNumId w:val="5"/>
  </w:num>
  <w:num w:numId="4">
    <w:abstractNumId w:val="1"/>
  </w:num>
  <w:num w:numId="5">
    <w:abstractNumId w:val="19"/>
  </w:num>
  <w:num w:numId="6">
    <w:abstractNumId w:val="6"/>
  </w:num>
  <w:num w:numId="7">
    <w:abstractNumId w:val="2"/>
  </w:num>
  <w:num w:numId="8">
    <w:abstractNumId w:val="15"/>
  </w:num>
  <w:num w:numId="9">
    <w:abstractNumId w:val="9"/>
  </w:num>
  <w:num w:numId="10">
    <w:abstractNumId w:val="3"/>
  </w:num>
  <w:num w:numId="11">
    <w:abstractNumId w:val="16"/>
  </w:num>
  <w:num w:numId="12">
    <w:abstractNumId w:val="18"/>
  </w:num>
  <w:num w:numId="13">
    <w:abstractNumId w:val="17"/>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it-IT" w:vendorID="64" w:dllVersion="0" w:nlCheck="1" w:checkStyle="0"/>
  <w:activeWritingStyle w:appName="MSWord" w:lang="en-US" w:vendorID="64" w:dllVersion="0" w:nlCheck="1" w:checkStyle="1"/>
  <w:activeWritingStyle w:appName="MSWord" w:lang="en-IE" w:vendorID="64" w:dllVersion="0" w:nlCheck="1" w:checkStyle="1"/>
  <w:activeWritingStyle w:appName="MSWord" w:lang="es-ES" w:vendorID="64" w:dllVersion="0" w:nlCheck="1" w:checkStyle="1"/>
  <w:activeWritingStyle w:appName="MSWord" w:lang="fr-FR" w:vendorID="64" w:dllVersion="0" w:nlCheck="1" w:checkStyle="0"/>
  <w:activeWritingStyle w:appName="MSWord" w:lang="en-US" w:vendorID="64" w:dllVersion="6" w:nlCheck="1" w:checkStyle="1"/>
  <w:activeWritingStyle w:appName="MSWord" w:lang="fr-FR" w:vendorID="64" w:dllVersion="6" w:nlCheck="1" w:checkStyle="1"/>
  <w:activeWritingStyle w:appName="MSWord" w:lang="fr-FR" w:vendorID="64" w:dllVersion="131078" w:nlCheck="1" w:checkStyle="1"/>
  <w:activeWritingStyle w:appName="MSWord" w:lang="fr-BE" w:vendorID="64" w:dllVersion="131078" w:nlCheck="1" w:checkStyle="1"/>
  <w:activeWritingStyle w:appName="MSWord" w:lang="en-US" w:vendorID="64" w:dllVersion="131078" w:nlCheck="1" w:checkStyle="1"/>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8A6"/>
    <w:rsid w:val="00000F87"/>
    <w:rsid w:val="00001379"/>
    <w:rsid w:val="00002A15"/>
    <w:rsid w:val="00003A0E"/>
    <w:rsid w:val="00004D39"/>
    <w:rsid w:val="00011CBF"/>
    <w:rsid w:val="00013457"/>
    <w:rsid w:val="00015DB3"/>
    <w:rsid w:val="00016628"/>
    <w:rsid w:val="00016E9E"/>
    <w:rsid w:val="000170D3"/>
    <w:rsid w:val="0001719D"/>
    <w:rsid w:val="00021415"/>
    <w:rsid w:val="00025C1F"/>
    <w:rsid w:val="00031F91"/>
    <w:rsid w:val="00036510"/>
    <w:rsid w:val="00037AA0"/>
    <w:rsid w:val="0004167F"/>
    <w:rsid w:val="000513B2"/>
    <w:rsid w:val="0005155B"/>
    <w:rsid w:val="00051589"/>
    <w:rsid w:val="00053961"/>
    <w:rsid w:val="00053D1C"/>
    <w:rsid w:val="00056992"/>
    <w:rsid w:val="00057A65"/>
    <w:rsid w:val="0006099D"/>
    <w:rsid w:val="00061535"/>
    <w:rsid w:val="00065539"/>
    <w:rsid w:val="00066204"/>
    <w:rsid w:val="00066D8A"/>
    <w:rsid w:val="00071760"/>
    <w:rsid w:val="00073E79"/>
    <w:rsid w:val="0007543C"/>
    <w:rsid w:val="00077747"/>
    <w:rsid w:val="0008091D"/>
    <w:rsid w:val="00080ED4"/>
    <w:rsid w:val="00081186"/>
    <w:rsid w:val="00081F59"/>
    <w:rsid w:val="0008212F"/>
    <w:rsid w:val="00082582"/>
    <w:rsid w:val="00082F23"/>
    <w:rsid w:val="000861FC"/>
    <w:rsid w:val="0009090A"/>
    <w:rsid w:val="00094F05"/>
    <w:rsid w:val="00096B8D"/>
    <w:rsid w:val="000A138E"/>
    <w:rsid w:val="000A25EE"/>
    <w:rsid w:val="000A56B3"/>
    <w:rsid w:val="000A58BE"/>
    <w:rsid w:val="000A5E16"/>
    <w:rsid w:val="000A6498"/>
    <w:rsid w:val="000A671D"/>
    <w:rsid w:val="000A78D1"/>
    <w:rsid w:val="000B00B5"/>
    <w:rsid w:val="000B1C37"/>
    <w:rsid w:val="000B3E95"/>
    <w:rsid w:val="000B4389"/>
    <w:rsid w:val="000B4448"/>
    <w:rsid w:val="000B4895"/>
    <w:rsid w:val="000B7F73"/>
    <w:rsid w:val="000C03D3"/>
    <w:rsid w:val="000C041F"/>
    <w:rsid w:val="000C1720"/>
    <w:rsid w:val="000C1873"/>
    <w:rsid w:val="000C496C"/>
    <w:rsid w:val="000C4F09"/>
    <w:rsid w:val="000C5588"/>
    <w:rsid w:val="000C75DB"/>
    <w:rsid w:val="000D1614"/>
    <w:rsid w:val="000D2C42"/>
    <w:rsid w:val="000D2D3D"/>
    <w:rsid w:val="000D4C62"/>
    <w:rsid w:val="000D6027"/>
    <w:rsid w:val="000D6279"/>
    <w:rsid w:val="000E0069"/>
    <w:rsid w:val="000E09A4"/>
    <w:rsid w:val="000E1D6D"/>
    <w:rsid w:val="000E1DDE"/>
    <w:rsid w:val="000E481A"/>
    <w:rsid w:val="000E5C1E"/>
    <w:rsid w:val="000E5E80"/>
    <w:rsid w:val="000F0483"/>
    <w:rsid w:val="000F14DC"/>
    <w:rsid w:val="000F2599"/>
    <w:rsid w:val="000F28C8"/>
    <w:rsid w:val="000F3138"/>
    <w:rsid w:val="000F3426"/>
    <w:rsid w:val="000F71CD"/>
    <w:rsid w:val="00101AF3"/>
    <w:rsid w:val="00101B42"/>
    <w:rsid w:val="00101C84"/>
    <w:rsid w:val="001023C2"/>
    <w:rsid w:val="001034C1"/>
    <w:rsid w:val="00104AFA"/>
    <w:rsid w:val="00107FBE"/>
    <w:rsid w:val="00110831"/>
    <w:rsid w:val="00110DA8"/>
    <w:rsid w:val="00111373"/>
    <w:rsid w:val="00111D8D"/>
    <w:rsid w:val="00113C5F"/>
    <w:rsid w:val="001151FC"/>
    <w:rsid w:val="001167DB"/>
    <w:rsid w:val="00117BEE"/>
    <w:rsid w:val="00120283"/>
    <w:rsid w:val="00120D76"/>
    <w:rsid w:val="00122632"/>
    <w:rsid w:val="00125421"/>
    <w:rsid w:val="00125821"/>
    <w:rsid w:val="001302A2"/>
    <w:rsid w:val="001315F7"/>
    <w:rsid w:val="0013361A"/>
    <w:rsid w:val="001337F7"/>
    <w:rsid w:val="001338A3"/>
    <w:rsid w:val="00133DAA"/>
    <w:rsid w:val="001342DD"/>
    <w:rsid w:val="00142015"/>
    <w:rsid w:val="00143AF1"/>
    <w:rsid w:val="001447A8"/>
    <w:rsid w:val="00144A79"/>
    <w:rsid w:val="00144F32"/>
    <w:rsid w:val="00144F35"/>
    <w:rsid w:val="00145037"/>
    <w:rsid w:val="00145735"/>
    <w:rsid w:val="0014668F"/>
    <w:rsid w:val="0015147E"/>
    <w:rsid w:val="00151A92"/>
    <w:rsid w:val="00152250"/>
    <w:rsid w:val="00152CE0"/>
    <w:rsid w:val="0015339B"/>
    <w:rsid w:val="001546D5"/>
    <w:rsid w:val="001560CF"/>
    <w:rsid w:val="00160892"/>
    <w:rsid w:val="00160AC8"/>
    <w:rsid w:val="00161A97"/>
    <w:rsid w:val="001641B4"/>
    <w:rsid w:val="001667A1"/>
    <w:rsid w:val="00167DFC"/>
    <w:rsid w:val="00181B8A"/>
    <w:rsid w:val="001821DF"/>
    <w:rsid w:val="0018584C"/>
    <w:rsid w:val="0018640D"/>
    <w:rsid w:val="00190020"/>
    <w:rsid w:val="001904DB"/>
    <w:rsid w:val="001913A4"/>
    <w:rsid w:val="001947AF"/>
    <w:rsid w:val="00196DF5"/>
    <w:rsid w:val="001A28C7"/>
    <w:rsid w:val="001A34CA"/>
    <w:rsid w:val="001A3C27"/>
    <w:rsid w:val="001A40A3"/>
    <w:rsid w:val="001A4DBB"/>
    <w:rsid w:val="001A5A02"/>
    <w:rsid w:val="001A6096"/>
    <w:rsid w:val="001A646E"/>
    <w:rsid w:val="001A7D6D"/>
    <w:rsid w:val="001B1F6E"/>
    <w:rsid w:val="001B4527"/>
    <w:rsid w:val="001B4FB1"/>
    <w:rsid w:val="001B6403"/>
    <w:rsid w:val="001C2011"/>
    <w:rsid w:val="001C3888"/>
    <w:rsid w:val="001C5BED"/>
    <w:rsid w:val="001D0305"/>
    <w:rsid w:val="001D18D6"/>
    <w:rsid w:val="001D4474"/>
    <w:rsid w:val="001D4A06"/>
    <w:rsid w:val="001D640A"/>
    <w:rsid w:val="001D7E75"/>
    <w:rsid w:val="001E19F0"/>
    <w:rsid w:val="001E6038"/>
    <w:rsid w:val="001F0B9F"/>
    <w:rsid w:val="001F0E23"/>
    <w:rsid w:val="001F2A5C"/>
    <w:rsid w:val="001F2C8B"/>
    <w:rsid w:val="001F3BF3"/>
    <w:rsid w:val="001F63A4"/>
    <w:rsid w:val="0020206E"/>
    <w:rsid w:val="0020473B"/>
    <w:rsid w:val="0020478B"/>
    <w:rsid w:val="00205E1C"/>
    <w:rsid w:val="00207746"/>
    <w:rsid w:val="00210CAB"/>
    <w:rsid w:val="00211D62"/>
    <w:rsid w:val="00213171"/>
    <w:rsid w:val="00213310"/>
    <w:rsid w:val="002149E1"/>
    <w:rsid w:val="002159B9"/>
    <w:rsid w:val="00217267"/>
    <w:rsid w:val="002240D3"/>
    <w:rsid w:val="002249B0"/>
    <w:rsid w:val="00226C6C"/>
    <w:rsid w:val="00232F75"/>
    <w:rsid w:val="00234237"/>
    <w:rsid w:val="00240D9B"/>
    <w:rsid w:val="002412F2"/>
    <w:rsid w:val="0024219C"/>
    <w:rsid w:val="00245869"/>
    <w:rsid w:val="00246404"/>
    <w:rsid w:val="002477F9"/>
    <w:rsid w:val="00252340"/>
    <w:rsid w:val="00252C9C"/>
    <w:rsid w:val="00254FD5"/>
    <w:rsid w:val="0025752C"/>
    <w:rsid w:val="00261564"/>
    <w:rsid w:val="00261A9E"/>
    <w:rsid w:val="00262F22"/>
    <w:rsid w:val="0026342C"/>
    <w:rsid w:val="00263793"/>
    <w:rsid w:val="002640AF"/>
    <w:rsid w:val="002649CB"/>
    <w:rsid w:val="002652F0"/>
    <w:rsid w:val="002708A1"/>
    <w:rsid w:val="0027148E"/>
    <w:rsid w:val="00271CCF"/>
    <w:rsid w:val="002757FF"/>
    <w:rsid w:val="00275DB6"/>
    <w:rsid w:val="0027649A"/>
    <w:rsid w:val="00280757"/>
    <w:rsid w:val="00282452"/>
    <w:rsid w:val="0028489C"/>
    <w:rsid w:val="00285657"/>
    <w:rsid w:val="00285DF7"/>
    <w:rsid w:val="002913EA"/>
    <w:rsid w:val="00292381"/>
    <w:rsid w:val="00293E3A"/>
    <w:rsid w:val="00297289"/>
    <w:rsid w:val="002B3293"/>
    <w:rsid w:val="002B65B2"/>
    <w:rsid w:val="002B6BAC"/>
    <w:rsid w:val="002C009C"/>
    <w:rsid w:val="002C04EF"/>
    <w:rsid w:val="002D11B7"/>
    <w:rsid w:val="002D1C10"/>
    <w:rsid w:val="002D2AEB"/>
    <w:rsid w:val="002D2D70"/>
    <w:rsid w:val="002D6451"/>
    <w:rsid w:val="002D69A2"/>
    <w:rsid w:val="002E14C4"/>
    <w:rsid w:val="002F0CE4"/>
    <w:rsid w:val="002F1C3E"/>
    <w:rsid w:val="002F1DB5"/>
    <w:rsid w:val="002F20A5"/>
    <w:rsid w:val="002F412A"/>
    <w:rsid w:val="002F661D"/>
    <w:rsid w:val="002F6815"/>
    <w:rsid w:val="002F782B"/>
    <w:rsid w:val="002F7E0A"/>
    <w:rsid w:val="00300A7A"/>
    <w:rsid w:val="00301CC2"/>
    <w:rsid w:val="0030517D"/>
    <w:rsid w:val="0031004B"/>
    <w:rsid w:val="00310583"/>
    <w:rsid w:val="00312895"/>
    <w:rsid w:val="00312EAF"/>
    <w:rsid w:val="00314563"/>
    <w:rsid w:val="00316D11"/>
    <w:rsid w:val="003227E0"/>
    <w:rsid w:val="00326C66"/>
    <w:rsid w:val="00331273"/>
    <w:rsid w:val="00331AF5"/>
    <w:rsid w:val="00341127"/>
    <w:rsid w:val="00341733"/>
    <w:rsid w:val="00342D58"/>
    <w:rsid w:val="003442F7"/>
    <w:rsid w:val="0034538F"/>
    <w:rsid w:val="003537BF"/>
    <w:rsid w:val="00353B39"/>
    <w:rsid w:val="003565F8"/>
    <w:rsid w:val="00361716"/>
    <w:rsid w:val="003640AA"/>
    <w:rsid w:val="00365123"/>
    <w:rsid w:val="00370639"/>
    <w:rsid w:val="00370F52"/>
    <w:rsid w:val="00372440"/>
    <w:rsid w:val="00374B5C"/>
    <w:rsid w:val="00374D40"/>
    <w:rsid w:val="003751B0"/>
    <w:rsid w:val="0037659C"/>
    <w:rsid w:val="003800AB"/>
    <w:rsid w:val="00381484"/>
    <w:rsid w:val="003870AA"/>
    <w:rsid w:val="00390BF8"/>
    <w:rsid w:val="003961B9"/>
    <w:rsid w:val="00397A86"/>
    <w:rsid w:val="00397CFF"/>
    <w:rsid w:val="003A0585"/>
    <w:rsid w:val="003A303D"/>
    <w:rsid w:val="003A3238"/>
    <w:rsid w:val="003A791B"/>
    <w:rsid w:val="003B5420"/>
    <w:rsid w:val="003B5D87"/>
    <w:rsid w:val="003B61F4"/>
    <w:rsid w:val="003B6BD8"/>
    <w:rsid w:val="003B7B86"/>
    <w:rsid w:val="003B7D67"/>
    <w:rsid w:val="003C457C"/>
    <w:rsid w:val="003D29FF"/>
    <w:rsid w:val="003D52AA"/>
    <w:rsid w:val="003D562E"/>
    <w:rsid w:val="003D73AD"/>
    <w:rsid w:val="003D7CC7"/>
    <w:rsid w:val="003E0F32"/>
    <w:rsid w:val="003E2DB6"/>
    <w:rsid w:val="003E2F88"/>
    <w:rsid w:val="003E345B"/>
    <w:rsid w:val="003E3BD7"/>
    <w:rsid w:val="003E3CFD"/>
    <w:rsid w:val="003E54F2"/>
    <w:rsid w:val="003E7B2C"/>
    <w:rsid w:val="003F0470"/>
    <w:rsid w:val="003F6B99"/>
    <w:rsid w:val="003F7E44"/>
    <w:rsid w:val="004010C7"/>
    <w:rsid w:val="00401A96"/>
    <w:rsid w:val="00404017"/>
    <w:rsid w:val="00404257"/>
    <w:rsid w:val="0040472B"/>
    <w:rsid w:val="00405412"/>
    <w:rsid w:val="0040541D"/>
    <w:rsid w:val="00405B49"/>
    <w:rsid w:val="00406EF4"/>
    <w:rsid w:val="0040774C"/>
    <w:rsid w:val="0041226C"/>
    <w:rsid w:val="00420430"/>
    <w:rsid w:val="0042391D"/>
    <w:rsid w:val="00424DD3"/>
    <w:rsid w:val="00425BE8"/>
    <w:rsid w:val="00427047"/>
    <w:rsid w:val="004343C4"/>
    <w:rsid w:val="00434F63"/>
    <w:rsid w:val="00435727"/>
    <w:rsid w:val="004361F3"/>
    <w:rsid w:val="004400DA"/>
    <w:rsid w:val="00443471"/>
    <w:rsid w:val="0044535C"/>
    <w:rsid w:val="00445620"/>
    <w:rsid w:val="00446A7B"/>
    <w:rsid w:val="0045302D"/>
    <w:rsid w:val="004538C5"/>
    <w:rsid w:val="00454233"/>
    <w:rsid w:val="00460B2F"/>
    <w:rsid w:val="00460BF3"/>
    <w:rsid w:val="0046197B"/>
    <w:rsid w:val="00462866"/>
    <w:rsid w:val="00463A5B"/>
    <w:rsid w:val="00464523"/>
    <w:rsid w:val="00464A49"/>
    <w:rsid w:val="0046510D"/>
    <w:rsid w:val="0046625C"/>
    <w:rsid w:val="004702E0"/>
    <w:rsid w:val="00473092"/>
    <w:rsid w:val="00474B72"/>
    <w:rsid w:val="00482A03"/>
    <w:rsid w:val="00484AAB"/>
    <w:rsid w:val="00487D6A"/>
    <w:rsid w:val="00487FDA"/>
    <w:rsid w:val="00490B79"/>
    <w:rsid w:val="004918BB"/>
    <w:rsid w:val="00491B9A"/>
    <w:rsid w:val="00493D2C"/>
    <w:rsid w:val="004945D8"/>
    <w:rsid w:val="00494DD5"/>
    <w:rsid w:val="00496377"/>
    <w:rsid w:val="00496A43"/>
    <w:rsid w:val="0049785B"/>
    <w:rsid w:val="004A1399"/>
    <w:rsid w:val="004A3BC4"/>
    <w:rsid w:val="004B0EAE"/>
    <w:rsid w:val="004B2F6F"/>
    <w:rsid w:val="004B449B"/>
    <w:rsid w:val="004B557F"/>
    <w:rsid w:val="004B582F"/>
    <w:rsid w:val="004B5A69"/>
    <w:rsid w:val="004B7536"/>
    <w:rsid w:val="004C035C"/>
    <w:rsid w:val="004C46F6"/>
    <w:rsid w:val="004C4DCD"/>
    <w:rsid w:val="004D064B"/>
    <w:rsid w:val="004D09E6"/>
    <w:rsid w:val="004D16E7"/>
    <w:rsid w:val="004D2734"/>
    <w:rsid w:val="004D368A"/>
    <w:rsid w:val="004D45AF"/>
    <w:rsid w:val="004D4DB0"/>
    <w:rsid w:val="004D6D91"/>
    <w:rsid w:val="004D7BE5"/>
    <w:rsid w:val="004E0254"/>
    <w:rsid w:val="004E2053"/>
    <w:rsid w:val="004E2491"/>
    <w:rsid w:val="004E2632"/>
    <w:rsid w:val="004E2BD9"/>
    <w:rsid w:val="004E3B65"/>
    <w:rsid w:val="004E3ED8"/>
    <w:rsid w:val="004E4553"/>
    <w:rsid w:val="004E55B9"/>
    <w:rsid w:val="004E79EC"/>
    <w:rsid w:val="004F2EC6"/>
    <w:rsid w:val="004F551A"/>
    <w:rsid w:val="004F5DD3"/>
    <w:rsid w:val="004F6977"/>
    <w:rsid w:val="004F6A0B"/>
    <w:rsid w:val="00502521"/>
    <w:rsid w:val="00511441"/>
    <w:rsid w:val="00511539"/>
    <w:rsid w:val="005120F3"/>
    <w:rsid w:val="0051238C"/>
    <w:rsid w:val="00513CC6"/>
    <w:rsid w:val="0051788E"/>
    <w:rsid w:val="00520083"/>
    <w:rsid w:val="005200EC"/>
    <w:rsid w:val="0052033C"/>
    <w:rsid w:val="00521207"/>
    <w:rsid w:val="00523D03"/>
    <w:rsid w:val="00523D29"/>
    <w:rsid w:val="00524A7B"/>
    <w:rsid w:val="00524D2C"/>
    <w:rsid w:val="00524F09"/>
    <w:rsid w:val="005266A6"/>
    <w:rsid w:val="005272E7"/>
    <w:rsid w:val="0053071E"/>
    <w:rsid w:val="0053303B"/>
    <w:rsid w:val="00535271"/>
    <w:rsid w:val="00536ECC"/>
    <w:rsid w:val="00540F1E"/>
    <w:rsid w:val="00541A19"/>
    <w:rsid w:val="005430D5"/>
    <w:rsid w:val="005442D3"/>
    <w:rsid w:val="00551C1B"/>
    <w:rsid w:val="00551E5F"/>
    <w:rsid w:val="00557641"/>
    <w:rsid w:val="00561B2B"/>
    <w:rsid w:val="005629B2"/>
    <w:rsid w:val="0056782F"/>
    <w:rsid w:val="00571040"/>
    <w:rsid w:val="0057175B"/>
    <w:rsid w:val="00572A92"/>
    <w:rsid w:val="00573DCD"/>
    <w:rsid w:val="005741DE"/>
    <w:rsid w:val="00575CDF"/>
    <w:rsid w:val="00583F76"/>
    <w:rsid w:val="0058425D"/>
    <w:rsid w:val="005860BD"/>
    <w:rsid w:val="0058746F"/>
    <w:rsid w:val="00587E5D"/>
    <w:rsid w:val="0059238E"/>
    <w:rsid w:val="005929C9"/>
    <w:rsid w:val="005959AF"/>
    <w:rsid w:val="005A039F"/>
    <w:rsid w:val="005A1AF5"/>
    <w:rsid w:val="005A2641"/>
    <w:rsid w:val="005A5BD6"/>
    <w:rsid w:val="005A5BF8"/>
    <w:rsid w:val="005A6CFA"/>
    <w:rsid w:val="005B1129"/>
    <w:rsid w:val="005B1ABF"/>
    <w:rsid w:val="005B1E05"/>
    <w:rsid w:val="005B37F0"/>
    <w:rsid w:val="005B4B0F"/>
    <w:rsid w:val="005B4CF2"/>
    <w:rsid w:val="005B6681"/>
    <w:rsid w:val="005B741C"/>
    <w:rsid w:val="005B7E8D"/>
    <w:rsid w:val="005C0122"/>
    <w:rsid w:val="005C2DC6"/>
    <w:rsid w:val="005C2ED4"/>
    <w:rsid w:val="005C318E"/>
    <w:rsid w:val="005C3865"/>
    <w:rsid w:val="005C3D0C"/>
    <w:rsid w:val="005C5270"/>
    <w:rsid w:val="005D0A69"/>
    <w:rsid w:val="005D0CDE"/>
    <w:rsid w:val="005D22BF"/>
    <w:rsid w:val="005D2D7C"/>
    <w:rsid w:val="005D4152"/>
    <w:rsid w:val="005D57CA"/>
    <w:rsid w:val="005D79EB"/>
    <w:rsid w:val="005E2B38"/>
    <w:rsid w:val="005E3055"/>
    <w:rsid w:val="005E4D6F"/>
    <w:rsid w:val="005E51E8"/>
    <w:rsid w:val="005E7E8E"/>
    <w:rsid w:val="005F284D"/>
    <w:rsid w:val="005F4208"/>
    <w:rsid w:val="005F540E"/>
    <w:rsid w:val="005F6326"/>
    <w:rsid w:val="005F7729"/>
    <w:rsid w:val="005F78B2"/>
    <w:rsid w:val="00600A33"/>
    <w:rsid w:val="006010F5"/>
    <w:rsid w:val="006019AA"/>
    <w:rsid w:val="00601C70"/>
    <w:rsid w:val="006051C5"/>
    <w:rsid w:val="00605420"/>
    <w:rsid w:val="0061354E"/>
    <w:rsid w:val="00615639"/>
    <w:rsid w:val="006159F4"/>
    <w:rsid w:val="00615B36"/>
    <w:rsid w:val="00615DF6"/>
    <w:rsid w:val="006161A6"/>
    <w:rsid w:val="00616F57"/>
    <w:rsid w:val="00616F71"/>
    <w:rsid w:val="00616F7A"/>
    <w:rsid w:val="00617310"/>
    <w:rsid w:val="006225EC"/>
    <w:rsid w:val="00623749"/>
    <w:rsid w:val="006276E3"/>
    <w:rsid w:val="00627A35"/>
    <w:rsid w:val="00627B4C"/>
    <w:rsid w:val="00631282"/>
    <w:rsid w:val="00632C57"/>
    <w:rsid w:val="006335C9"/>
    <w:rsid w:val="00633C98"/>
    <w:rsid w:val="0063745C"/>
    <w:rsid w:val="00640E84"/>
    <w:rsid w:val="00643B52"/>
    <w:rsid w:val="0064414D"/>
    <w:rsid w:val="00645FFE"/>
    <w:rsid w:val="0064752A"/>
    <w:rsid w:val="00650015"/>
    <w:rsid w:val="00652C6E"/>
    <w:rsid w:val="00653C27"/>
    <w:rsid w:val="00654186"/>
    <w:rsid w:val="0065606A"/>
    <w:rsid w:val="00662D6F"/>
    <w:rsid w:val="006640D6"/>
    <w:rsid w:val="00664FC1"/>
    <w:rsid w:val="00665B5C"/>
    <w:rsid w:val="00667DF4"/>
    <w:rsid w:val="00671484"/>
    <w:rsid w:val="0067412B"/>
    <w:rsid w:val="00675962"/>
    <w:rsid w:val="00683527"/>
    <w:rsid w:val="00684351"/>
    <w:rsid w:val="00684687"/>
    <w:rsid w:val="00690C36"/>
    <w:rsid w:val="006915ED"/>
    <w:rsid w:val="00692521"/>
    <w:rsid w:val="00694AEF"/>
    <w:rsid w:val="00694EDE"/>
    <w:rsid w:val="006951AA"/>
    <w:rsid w:val="006952F0"/>
    <w:rsid w:val="00695EA3"/>
    <w:rsid w:val="0069611F"/>
    <w:rsid w:val="006A25A4"/>
    <w:rsid w:val="006A2970"/>
    <w:rsid w:val="006A503C"/>
    <w:rsid w:val="006A7689"/>
    <w:rsid w:val="006A7E6A"/>
    <w:rsid w:val="006B0507"/>
    <w:rsid w:val="006B055F"/>
    <w:rsid w:val="006B16F6"/>
    <w:rsid w:val="006B17D8"/>
    <w:rsid w:val="006B3BE2"/>
    <w:rsid w:val="006B6E2E"/>
    <w:rsid w:val="006C0E17"/>
    <w:rsid w:val="006C1FA3"/>
    <w:rsid w:val="006C25D0"/>
    <w:rsid w:val="006C30C0"/>
    <w:rsid w:val="006C3ABC"/>
    <w:rsid w:val="006C4E8D"/>
    <w:rsid w:val="006C7ABA"/>
    <w:rsid w:val="006D186A"/>
    <w:rsid w:val="006D1A52"/>
    <w:rsid w:val="006D3B2C"/>
    <w:rsid w:val="006D53E2"/>
    <w:rsid w:val="006E068A"/>
    <w:rsid w:val="006E0D8E"/>
    <w:rsid w:val="006E31AB"/>
    <w:rsid w:val="006E5633"/>
    <w:rsid w:val="006E627F"/>
    <w:rsid w:val="006E79A3"/>
    <w:rsid w:val="006F1510"/>
    <w:rsid w:val="006F2301"/>
    <w:rsid w:val="006F326C"/>
    <w:rsid w:val="006F3A0D"/>
    <w:rsid w:val="006F54FE"/>
    <w:rsid w:val="006F63B8"/>
    <w:rsid w:val="00700741"/>
    <w:rsid w:val="00704B07"/>
    <w:rsid w:val="0070630E"/>
    <w:rsid w:val="00710637"/>
    <w:rsid w:val="00712627"/>
    <w:rsid w:val="007137AB"/>
    <w:rsid w:val="007137BC"/>
    <w:rsid w:val="00713AC2"/>
    <w:rsid w:val="0071466B"/>
    <w:rsid w:val="00714CF7"/>
    <w:rsid w:val="007158D3"/>
    <w:rsid w:val="00717191"/>
    <w:rsid w:val="00721AB9"/>
    <w:rsid w:val="00722A37"/>
    <w:rsid w:val="00722D42"/>
    <w:rsid w:val="00724599"/>
    <w:rsid w:val="007247F7"/>
    <w:rsid w:val="0072592D"/>
    <w:rsid w:val="00726308"/>
    <w:rsid w:val="007267C3"/>
    <w:rsid w:val="00726BD2"/>
    <w:rsid w:val="0072723B"/>
    <w:rsid w:val="00731297"/>
    <w:rsid w:val="007323C5"/>
    <w:rsid w:val="007326E1"/>
    <w:rsid w:val="00733CD4"/>
    <w:rsid w:val="00734567"/>
    <w:rsid w:val="00735B40"/>
    <w:rsid w:val="00742042"/>
    <w:rsid w:val="00744038"/>
    <w:rsid w:val="0074437A"/>
    <w:rsid w:val="00744F2D"/>
    <w:rsid w:val="007463D7"/>
    <w:rsid w:val="0074715D"/>
    <w:rsid w:val="00747D8A"/>
    <w:rsid w:val="00747E99"/>
    <w:rsid w:val="00751A0B"/>
    <w:rsid w:val="00751F63"/>
    <w:rsid w:val="00752B68"/>
    <w:rsid w:val="00752CD5"/>
    <w:rsid w:val="00752F4F"/>
    <w:rsid w:val="007532DA"/>
    <w:rsid w:val="00754DAA"/>
    <w:rsid w:val="00755F46"/>
    <w:rsid w:val="007609E2"/>
    <w:rsid w:val="00762459"/>
    <w:rsid w:val="00762C6D"/>
    <w:rsid w:val="00764D61"/>
    <w:rsid w:val="00764FB7"/>
    <w:rsid w:val="0076725B"/>
    <w:rsid w:val="007702AB"/>
    <w:rsid w:val="00770D32"/>
    <w:rsid w:val="007755DD"/>
    <w:rsid w:val="007762E4"/>
    <w:rsid w:val="007765C8"/>
    <w:rsid w:val="007773D8"/>
    <w:rsid w:val="00777E32"/>
    <w:rsid w:val="0078024D"/>
    <w:rsid w:val="007807FC"/>
    <w:rsid w:val="00782068"/>
    <w:rsid w:val="007865D0"/>
    <w:rsid w:val="007901A5"/>
    <w:rsid w:val="007910B0"/>
    <w:rsid w:val="007910C8"/>
    <w:rsid w:val="0079199F"/>
    <w:rsid w:val="00792AD1"/>
    <w:rsid w:val="00792F07"/>
    <w:rsid w:val="0079658E"/>
    <w:rsid w:val="00797E1B"/>
    <w:rsid w:val="007A0C68"/>
    <w:rsid w:val="007A14E2"/>
    <w:rsid w:val="007A6EA4"/>
    <w:rsid w:val="007A7285"/>
    <w:rsid w:val="007A754A"/>
    <w:rsid w:val="007A7C2C"/>
    <w:rsid w:val="007B6CD6"/>
    <w:rsid w:val="007C3D7A"/>
    <w:rsid w:val="007C3D90"/>
    <w:rsid w:val="007D12F0"/>
    <w:rsid w:val="007D5D6F"/>
    <w:rsid w:val="007D7314"/>
    <w:rsid w:val="007E0031"/>
    <w:rsid w:val="007E0537"/>
    <w:rsid w:val="007E082B"/>
    <w:rsid w:val="007E14FD"/>
    <w:rsid w:val="007E34F8"/>
    <w:rsid w:val="007E3B68"/>
    <w:rsid w:val="007E4EE7"/>
    <w:rsid w:val="007E51F4"/>
    <w:rsid w:val="007E55EF"/>
    <w:rsid w:val="007E56F8"/>
    <w:rsid w:val="007E72FB"/>
    <w:rsid w:val="007E789A"/>
    <w:rsid w:val="007F098E"/>
    <w:rsid w:val="007F1762"/>
    <w:rsid w:val="007F1782"/>
    <w:rsid w:val="007F429A"/>
    <w:rsid w:val="007F472D"/>
    <w:rsid w:val="007F5703"/>
    <w:rsid w:val="007F58AA"/>
    <w:rsid w:val="00802DC7"/>
    <w:rsid w:val="008038BB"/>
    <w:rsid w:val="00803DA0"/>
    <w:rsid w:val="00805A15"/>
    <w:rsid w:val="008064EB"/>
    <w:rsid w:val="00806C2B"/>
    <w:rsid w:val="00807A92"/>
    <w:rsid w:val="0081325A"/>
    <w:rsid w:val="00821B99"/>
    <w:rsid w:val="00823CD7"/>
    <w:rsid w:val="00824105"/>
    <w:rsid w:val="00824DFF"/>
    <w:rsid w:val="00825D73"/>
    <w:rsid w:val="00826CF0"/>
    <w:rsid w:val="0083023E"/>
    <w:rsid w:val="00832A6C"/>
    <w:rsid w:val="008370E3"/>
    <w:rsid w:val="008410DE"/>
    <w:rsid w:val="00841901"/>
    <w:rsid w:val="00844D58"/>
    <w:rsid w:val="008469BC"/>
    <w:rsid w:val="0085002F"/>
    <w:rsid w:val="00851C9B"/>
    <w:rsid w:val="008528FB"/>
    <w:rsid w:val="00852A46"/>
    <w:rsid w:val="00855CF2"/>
    <w:rsid w:val="00856E1B"/>
    <w:rsid w:val="0086055A"/>
    <w:rsid w:val="008615A7"/>
    <w:rsid w:val="00866756"/>
    <w:rsid w:val="00875B55"/>
    <w:rsid w:val="00876595"/>
    <w:rsid w:val="0088369C"/>
    <w:rsid w:val="00885E8D"/>
    <w:rsid w:val="00887A83"/>
    <w:rsid w:val="00887E6C"/>
    <w:rsid w:val="00891265"/>
    <w:rsid w:val="00893762"/>
    <w:rsid w:val="008943F2"/>
    <w:rsid w:val="008950D4"/>
    <w:rsid w:val="008960FC"/>
    <w:rsid w:val="0089688C"/>
    <w:rsid w:val="008A0301"/>
    <w:rsid w:val="008A12B1"/>
    <w:rsid w:val="008A18D6"/>
    <w:rsid w:val="008A3339"/>
    <w:rsid w:val="008A474D"/>
    <w:rsid w:val="008A5363"/>
    <w:rsid w:val="008A6F1B"/>
    <w:rsid w:val="008B1793"/>
    <w:rsid w:val="008B1F4D"/>
    <w:rsid w:val="008B25BC"/>
    <w:rsid w:val="008B4BE2"/>
    <w:rsid w:val="008B695D"/>
    <w:rsid w:val="008C3CC9"/>
    <w:rsid w:val="008C45A2"/>
    <w:rsid w:val="008C46D4"/>
    <w:rsid w:val="008C56DD"/>
    <w:rsid w:val="008D0562"/>
    <w:rsid w:val="008D0A2A"/>
    <w:rsid w:val="008D1DE2"/>
    <w:rsid w:val="008D1F40"/>
    <w:rsid w:val="008D269C"/>
    <w:rsid w:val="008D29F4"/>
    <w:rsid w:val="008D29F8"/>
    <w:rsid w:val="008D2EC7"/>
    <w:rsid w:val="008D46B6"/>
    <w:rsid w:val="008D48AF"/>
    <w:rsid w:val="008D507C"/>
    <w:rsid w:val="008D58EB"/>
    <w:rsid w:val="008D5B40"/>
    <w:rsid w:val="008D7B38"/>
    <w:rsid w:val="008E028C"/>
    <w:rsid w:val="008E3E80"/>
    <w:rsid w:val="008E542B"/>
    <w:rsid w:val="008F01AD"/>
    <w:rsid w:val="008F1C57"/>
    <w:rsid w:val="008F43A6"/>
    <w:rsid w:val="009015F6"/>
    <w:rsid w:val="009046BB"/>
    <w:rsid w:val="009051C0"/>
    <w:rsid w:val="0090786E"/>
    <w:rsid w:val="0091114A"/>
    <w:rsid w:val="00912490"/>
    <w:rsid w:val="009177A0"/>
    <w:rsid w:val="00917B47"/>
    <w:rsid w:val="00917F38"/>
    <w:rsid w:val="00920055"/>
    <w:rsid w:val="009208AE"/>
    <w:rsid w:val="009225CF"/>
    <w:rsid w:val="00923205"/>
    <w:rsid w:val="00923AB7"/>
    <w:rsid w:val="009249E1"/>
    <w:rsid w:val="00930D38"/>
    <w:rsid w:val="00931FA6"/>
    <w:rsid w:val="00932A0E"/>
    <w:rsid w:val="00935B50"/>
    <w:rsid w:val="00937C0D"/>
    <w:rsid w:val="00937EBC"/>
    <w:rsid w:val="00941A73"/>
    <w:rsid w:val="009439A3"/>
    <w:rsid w:val="009466CC"/>
    <w:rsid w:val="00955D58"/>
    <w:rsid w:val="009607C3"/>
    <w:rsid w:val="00962808"/>
    <w:rsid w:val="00963051"/>
    <w:rsid w:val="00963499"/>
    <w:rsid w:val="00963EC1"/>
    <w:rsid w:val="009650EE"/>
    <w:rsid w:val="00966269"/>
    <w:rsid w:val="00970446"/>
    <w:rsid w:val="009758D0"/>
    <w:rsid w:val="009762FE"/>
    <w:rsid w:val="00976533"/>
    <w:rsid w:val="00976D60"/>
    <w:rsid w:val="00977CEB"/>
    <w:rsid w:val="0098109A"/>
    <w:rsid w:val="009863CE"/>
    <w:rsid w:val="0098648A"/>
    <w:rsid w:val="00990243"/>
    <w:rsid w:val="00990A83"/>
    <w:rsid w:val="0099109D"/>
    <w:rsid w:val="00994B69"/>
    <w:rsid w:val="00996E64"/>
    <w:rsid w:val="009A12FF"/>
    <w:rsid w:val="009A17C9"/>
    <w:rsid w:val="009A1900"/>
    <w:rsid w:val="009A1AAB"/>
    <w:rsid w:val="009A28F1"/>
    <w:rsid w:val="009A29E6"/>
    <w:rsid w:val="009A2A69"/>
    <w:rsid w:val="009A2E5C"/>
    <w:rsid w:val="009A3D1E"/>
    <w:rsid w:val="009A43FB"/>
    <w:rsid w:val="009A7240"/>
    <w:rsid w:val="009B1026"/>
    <w:rsid w:val="009B12A4"/>
    <w:rsid w:val="009B22DA"/>
    <w:rsid w:val="009B4743"/>
    <w:rsid w:val="009B738A"/>
    <w:rsid w:val="009B763E"/>
    <w:rsid w:val="009C0156"/>
    <w:rsid w:val="009C2C03"/>
    <w:rsid w:val="009C3BEC"/>
    <w:rsid w:val="009C4CB9"/>
    <w:rsid w:val="009C65C2"/>
    <w:rsid w:val="009C67D3"/>
    <w:rsid w:val="009D1977"/>
    <w:rsid w:val="009D27AA"/>
    <w:rsid w:val="009D2D28"/>
    <w:rsid w:val="009D3FD4"/>
    <w:rsid w:val="009D4951"/>
    <w:rsid w:val="009D4BD6"/>
    <w:rsid w:val="009D4E2E"/>
    <w:rsid w:val="009D5AB6"/>
    <w:rsid w:val="009D5CD4"/>
    <w:rsid w:val="009E07CA"/>
    <w:rsid w:val="009E3348"/>
    <w:rsid w:val="009E3B85"/>
    <w:rsid w:val="009E5022"/>
    <w:rsid w:val="009E69A0"/>
    <w:rsid w:val="009E7239"/>
    <w:rsid w:val="009F20DE"/>
    <w:rsid w:val="009F3A88"/>
    <w:rsid w:val="009F4E79"/>
    <w:rsid w:val="009F532D"/>
    <w:rsid w:val="009F7489"/>
    <w:rsid w:val="00A05011"/>
    <w:rsid w:val="00A06CF6"/>
    <w:rsid w:val="00A0762E"/>
    <w:rsid w:val="00A07A3A"/>
    <w:rsid w:val="00A11B09"/>
    <w:rsid w:val="00A13861"/>
    <w:rsid w:val="00A15FC1"/>
    <w:rsid w:val="00A169C0"/>
    <w:rsid w:val="00A16B22"/>
    <w:rsid w:val="00A17606"/>
    <w:rsid w:val="00A20502"/>
    <w:rsid w:val="00A21F27"/>
    <w:rsid w:val="00A22C52"/>
    <w:rsid w:val="00A22ED6"/>
    <w:rsid w:val="00A25A1E"/>
    <w:rsid w:val="00A273E7"/>
    <w:rsid w:val="00A278FF"/>
    <w:rsid w:val="00A31E1F"/>
    <w:rsid w:val="00A32994"/>
    <w:rsid w:val="00A336B8"/>
    <w:rsid w:val="00A346A7"/>
    <w:rsid w:val="00A34757"/>
    <w:rsid w:val="00A34D4C"/>
    <w:rsid w:val="00A3525D"/>
    <w:rsid w:val="00A35F4A"/>
    <w:rsid w:val="00A37039"/>
    <w:rsid w:val="00A408C4"/>
    <w:rsid w:val="00A415E9"/>
    <w:rsid w:val="00A41F99"/>
    <w:rsid w:val="00A44AA4"/>
    <w:rsid w:val="00A47D83"/>
    <w:rsid w:val="00A52FC7"/>
    <w:rsid w:val="00A557FC"/>
    <w:rsid w:val="00A60855"/>
    <w:rsid w:val="00A6178F"/>
    <w:rsid w:val="00A62F10"/>
    <w:rsid w:val="00A65FD4"/>
    <w:rsid w:val="00A67134"/>
    <w:rsid w:val="00A67A53"/>
    <w:rsid w:val="00A70DF0"/>
    <w:rsid w:val="00A72F36"/>
    <w:rsid w:val="00A76C6C"/>
    <w:rsid w:val="00A80499"/>
    <w:rsid w:val="00A824ED"/>
    <w:rsid w:val="00A8464D"/>
    <w:rsid w:val="00A86B5D"/>
    <w:rsid w:val="00A86DC5"/>
    <w:rsid w:val="00A87385"/>
    <w:rsid w:val="00A93A15"/>
    <w:rsid w:val="00A93C0E"/>
    <w:rsid w:val="00A9501B"/>
    <w:rsid w:val="00A95EDF"/>
    <w:rsid w:val="00A966EE"/>
    <w:rsid w:val="00AA09CE"/>
    <w:rsid w:val="00AA1DA2"/>
    <w:rsid w:val="00AA23A8"/>
    <w:rsid w:val="00AA4338"/>
    <w:rsid w:val="00AA6DDA"/>
    <w:rsid w:val="00AA7717"/>
    <w:rsid w:val="00AB1F19"/>
    <w:rsid w:val="00AB2545"/>
    <w:rsid w:val="00AB5337"/>
    <w:rsid w:val="00AB5C0F"/>
    <w:rsid w:val="00AB63E5"/>
    <w:rsid w:val="00AB6E32"/>
    <w:rsid w:val="00AB7FBA"/>
    <w:rsid w:val="00AC31B5"/>
    <w:rsid w:val="00AC435C"/>
    <w:rsid w:val="00AC617D"/>
    <w:rsid w:val="00AC701E"/>
    <w:rsid w:val="00AC7414"/>
    <w:rsid w:val="00AD00BB"/>
    <w:rsid w:val="00AD36AC"/>
    <w:rsid w:val="00AD47C6"/>
    <w:rsid w:val="00AD48AC"/>
    <w:rsid w:val="00AD5641"/>
    <w:rsid w:val="00AD77D0"/>
    <w:rsid w:val="00AD7955"/>
    <w:rsid w:val="00AE0104"/>
    <w:rsid w:val="00AE0381"/>
    <w:rsid w:val="00AE2273"/>
    <w:rsid w:val="00AE2FA8"/>
    <w:rsid w:val="00AE4C8D"/>
    <w:rsid w:val="00AE64B8"/>
    <w:rsid w:val="00AE7E1F"/>
    <w:rsid w:val="00AF083D"/>
    <w:rsid w:val="00AF210E"/>
    <w:rsid w:val="00AF4D57"/>
    <w:rsid w:val="00AF67EC"/>
    <w:rsid w:val="00AF6C8D"/>
    <w:rsid w:val="00AF7E6F"/>
    <w:rsid w:val="00B0079E"/>
    <w:rsid w:val="00B007E0"/>
    <w:rsid w:val="00B00CB2"/>
    <w:rsid w:val="00B00F4F"/>
    <w:rsid w:val="00B029C5"/>
    <w:rsid w:val="00B02B8B"/>
    <w:rsid w:val="00B05037"/>
    <w:rsid w:val="00B07521"/>
    <w:rsid w:val="00B079E5"/>
    <w:rsid w:val="00B10D7E"/>
    <w:rsid w:val="00B1170A"/>
    <w:rsid w:val="00B22654"/>
    <w:rsid w:val="00B235C3"/>
    <w:rsid w:val="00B3013F"/>
    <w:rsid w:val="00B3159F"/>
    <w:rsid w:val="00B324DE"/>
    <w:rsid w:val="00B342D2"/>
    <w:rsid w:val="00B36068"/>
    <w:rsid w:val="00B36F2D"/>
    <w:rsid w:val="00B41E8B"/>
    <w:rsid w:val="00B42A66"/>
    <w:rsid w:val="00B43E41"/>
    <w:rsid w:val="00B466D7"/>
    <w:rsid w:val="00B509F5"/>
    <w:rsid w:val="00B5156C"/>
    <w:rsid w:val="00B5201F"/>
    <w:rsid w:val="00B5297A"/>
    <w:rsid w:val="00B52B46"/>
    <w:rsid w:val="00B53CAC"/>
    <w:rsid w:val="00B55CFC"/>
    <w:rsid w:val="00B57FCD"/>
    <w:rsid w:val="00B60D3D"/>
    <w:rsid w:val="00B60F1B"/>
    <w:rsid w:val="00B62DED"/>
    <w:rsid w:val="00B630D5"/>
    <w:rsid w:val="00B637BC"/>
    <w:rsid w:val="00B63F36"/>
    <w:rsid w:val="00B65CF6"/>
    <w:rsid w:val="00B65EDD"/>
    <w:rsid w:val="00B665FD"/>
    <w:rsid w:val="00B70223"/>
    <w:rsid w:val="00B70B05"/>
    <w:rsid w:val="00B70F44"/>
    <w:rsid w:val="00B71C8B"/>
    <w:rsid w:val="00B727EC"/>
    <w:rsid w:val="00B73AA6"/>
    <w:rsid w:val="00B765C7"/>
    <w:rsid w:val="00B76C31"/>
    <w:rsid w:val="00B774AD"/>
    <w:rsid w:val="00B77C27"/>
    <w:rsid w:val="00B80045"/>
    <w:rsid w:val="00B8256E"/>
    <w:rsid w:val="00B83F7E"/>
    <w:rsid w:val="00B84E7E"/>
    <w:rsid w:val="00B85D56"/>
    <w:rsid w:val="00B87E01"/>
    <w:rsid w:val="00B918CE"/>
    <w:rsid w:val="00B921B9"/>
    <w:rsid w:val="00B94351"/>
    <w:rsid w:val="00BA0BE4"/>
    <w:rsid w:val="00BA442A"/>
    <w:rsid w:val="00BA6609"/>
    <w:rsid w:val="00BA661E"/>
    <w:rsid w:val="00BB256F"/>
    <w:rsid w:val="00BB2704"/>
    <w:rsid w:val="00BB38F8"/>
    <w:rsid w:val="00BB3FC2"/>
    <w:rsid w:val="00BB4FF9"/>
    <w:rsid w:val="00BC2628"/>
    <w:rsid w:val="00BC278A"/>
    <w:rsid w:val="00BC2CA6"/>
    <w:rsid w:val="00BC4353"/>
    <w:rsid w:val="00BC4906"/>
    <w:rsid w:val="00BC5934"/>
    <w:rsid w:val="00BD00A6"/>
    <w:rsid w:val="00BD0ACA"/>
    <w:rsid w:val="00BD1856"/>
    <w:rsid w:val="00BD2271"/>
    <w:rsid w:val="00BE006E"/>
    <w:rsid w:val="00BE03BA"/>
    <w:rsid w:val="00BE12D7"/>
    <w:rsid w:val="00BE2FAB"/>
    <w:rsid w:val="00BE396F"/>
    <w:rsid w:val="00BF09CB"/>
    <w:rsid w:val="00BF2664"/>
    <w:rsid w:val="00BF4639"/>
    <w:rsid w:val="00BF5BDC"/>
    <w:rsid w:val="00BF6772"/>
    <w:rsid w:val="00BF6DC1"/>
    <w:rsid w:val="00C019B6"/>
    <w:rsid w:val="00C028BF"/>
    <w:rsid w:val="00C0532C"/>
    <w:rsid w:val="00C0650D"/>
    <w:rsid w:val="00C1107B"/>
    <w:rsid w:val="00C11799"/>
    <w:rsid w:val="00C128A3"/>
    <w:rsid w:val="00C13A24"/>
    <w:rsid w:val="00C146D5"/>
    <w:rsid w:val="00C1471A"/>
    <w:rsid w:val="00C15DB8"/>
    <w:rsid w:val="00C15E55"/>
    <w:rsid w:val="00C16304"/>
    <w:rsid w:val="00C16501"/>
    <w:rsid w:val="00C202A0"/>
    <w:rsid w:val="00C20AFC"/>
    <w:rsid w:val="00C2109D"/>
    <w:rsid w:val="00C21C68"/>
    <w:rsid w:val="00C21FBF"/>
    <w:rsid w:val="00C26F50"/>
    <w:rsid w:val="00C30041"/>
    <w:rsid w:val="00C304B4"/>
    <w:rsid w:val="00C30621"/>
    <w:rsid w:val="00C306FA"/>
    <w:rsid w:val="00C3458A"/>
    <w:rsid w:val="00C34B10"/>
    <w:rsid w:val="00C34E4B"/>
    <w:rsid w:val="00C35C5E"/>
    <w:rsid w:val="00C40722"/>
    <w:rsid w:val="00C40B48"/>
    <w:rsid w:val="00C46224"/>
    <w:rsid w:val="00C514D6"/>
    <w:rsid w:val="00C51959"/>
    <w:rsid w:val="00C551A0"/>
    <w:rsid w:val="00C60A0C"/>
    <w:rsid w:val="00C610D5"/>
    <w:rsid w:val="00C63C3D"/>
    <w:rsid w:val="00C67A86"/>
    <w:rsid w:val="00C67BDE"/>
    <w:rsid w:val="00C70580"/>
    <w:rsid w:val="00C72355"/>
    <w:rsid w:val="00C75596"/>
    <w:rsid w:val="00C761C8"/>
    <w:rsid w:val="00C76A7B"/>
    <w:rsid w:val="00C76AB3"/>
    <w:rsid w:val="00C80507"/>
    <w:rsid w:val="00C811C3"/>
    <w:rsid w:val="00C841EA"/>
    <w:rsid w:val="00C84D39"/>
    <w:rsid w:val="00C866E5"/>
    <w:rsid w:val="00C90336"/>
    <w:rsid w:val="00C94133"/>
    <w:rsid w:val="00C96251"/>
    <w:rsid w:val="00C9636E"/>
    <w:rsid w:val="00C97910"/>
    <w:rsid w:val="00CA009C"/>
    <w:rsid w:val="00CA53A9"/>
    <w:rsid w:val="00CB1254"/>
    <w:rsid w:val="00CB5449"/>
    <w:rsid w:val="00CB5537"/>
    <w:rsid w:val="00CB6547"/>
    <w:rsid w:val="00CB76E4"/>
    <w:rsid w:val="00CC1057"/>
    <w:rsid w:val="00CC27BC"/>
    <w:rsid w:val="00CC44BC"/>
    <w:rsid w:val="00CC6202"/>
    <w:rsid w:val="00CD30E1"/>
    <w:rsid w:val="00CD3849"/>
    <w:rsid w:val="00CD5563"/>
    <w:rsid w:val="00CD5B12"/>
    <w:rsid w:val="00CD6C9F"/>
    <w:rsid w:val="00CE08D3"/>
    <w:rsid w:val="00CE0CFD"/>
    <w:rsid w:val="00CE1B64"/>
    <w:rsid w:val="00CE1CD1"/>
    <w:rsid w:val="00CE5662"/>
    <w:rsid w:val="00CF0150"/>
    <w:rsid w:val="00CF0299"/>
    <w:rsid w:val="00CF50AA"/>
    <w:rsid w:val="00CF562B"/>
    <w:rsid w:val="00CF7B3D"/>
    <w:rsid w:val="00D00406"/>
    <w:rsid w:val="00D046A1"/>
    <w:rsid w:val="00D0493A"/>
    <w:rsid w:val="00D06113"/>
    <w:rsid w:val="00D10928"/>
    <w:rsid w:val="00D1369C"/>
    <w:rsid w:val="00D13FBB"/>
    <w:rsid w:val="00D143E4"/>
    <w:rsid w:val="00D1635A"/>
    <w:rsid w:val="00D2025A"/>
    <w:rsid w:val="00D21C2E"/>
    <w:rsid w:val="00D21DB7"/>
    <w:rsid w:val="00D2206F"/>
    <w:rsid w:val="00D23A67"/>
    <w:rsid w:val="00D23C17"/>
    <w:rsid w:val="00D24E3D"/>
    <w:rsid w:val="00D251F3"/>
    <w:rsid w:val="00D25F80"/>
    <w:rsid w:val="00D27683"/>
    <w:rsid w:val="00D3160A"/>
    <w:rsid w:val="00D31BC4"/>
    <w:rsid w:val="00D32EEB"/>
    <w:rsid w:val="00D33D1B"/>
    <w:rsid w:val="00D36803"/>
    <w:rsid w:val="00D37F3B"/>
    <w:rsid w:val="00D42761"/>
    <w:rsid w:val="00D455DC"/>
    <w:rsid w:val="00D459E0"/>
    <w:rsid w:val="00D4644F"/>
    <w:rsid w:val="00D51821"/>
    <w:rsid w:val="00D51827"/>
    <w:rsid w:val="00D518E4"/>
    <w:rsid w:val="00D56799"/>
    <w:rsid w:val="00D57776"/>
    <w:rsid w:val="00D57806"/>
    <w:rsid w:val="00D601B0"/>
    <w:rsid w:val="00D60C6A"/>
    <w:rsid w:val="00D60D56"/>
    <w:rsid w:val="00D60E82"/>
    <w:rsid w:val="00D60EF7"/>
    <w:rsid w:val="00D62E2E"/>
    <w:rsid w:val="00D65057"/>
    <w:rsid w:val="00D659CE"/>
    <w:rsid w:val="00D66605"/>
    <w:rsid w:val="00D66701"/>
    <w:rsid w:val="00D67A0A"/>
    <w:rsid w:val="00D67FED"/>
    <w:rsid w:val="00D70BA8"/>
    <w:rsid w:val="00D71831"/>
    <w:rsid w:val="00D75596"/>
    <w:rsid w:val="00D75B0F"/>
    <w:rsid w:val="00D808A6"/>
    <w:rsid w:val="00D8122A"/>
    <w:rsid w:val="00D824A5"/>
    <w:rsid w:val="00D827CE"/>
    <w:rsid w:val="00D82F28"/>
    <w:rsid w:val="00D85122"/>
    <w:rsid w:val="00D866AC"/>
    <w:rsid w:val="00D86783"/>
    <w:rsid w:val="00D86E85"/>
    <w:rsid w:val="00D903C9"/>
    <w:rsid w:val="00D956D8"/>
    <w:rsid w:val="00DA0425"/>
    <w:rsid w:val="00DA0698"/>
    <w:rsid w:val="00DA0BBF"/>
    <w:rsid w:val="00DA3244"/>
    <w:rsid w:val="00DA346E"/>
    <w:rsid w:val="00DA42AC"/>
    <w:rsid w:val="00DA42EE"/>
    <w:rsid w:val="00DA545C"/>
    <w:rsid w:val="00DA60D5"/>
    <w:rsid w:val="00DB0C0E"/>
    <w:rsid w:val="00DB1B46"/>
    <w:rsid w:val="00DB425D"/>
    <w:rsid w:val="00DB534C"/>
    <w:rsid w:val="00DC2179"/>
    <w:rsid w:val="00DC3C1B"/>
    <w:rsid w:val="00DC4458"/>
    <w:rsid w:val="00DC4CDE"/>
    <w:rsid w:val="00DC5475"/>
    <w:rsid w:val="00DD3E05"/>
    <w:rsid w:val="00DD422B"/>
    <w:rsid w:val="00DD73D4"/>
    <w:rsid w:val="00DE0684"/>
    <w:rsid w:val="00DE0EB4"/>
    <w:rsid w:val="00DE17AA"/>
    <w:rsid w:val="00DE2778"/>
    <w:rsid w:val="00DE3DA6"/>
    <w:rsid w:val="00DE4336"/>
    <w:rsid w:val="00DE631C"/>
    <w:rsid w:val="00DF0640"/>
    <w:rsid w:val="00DF423A"/>
    <w:rsid w:val="00DF56D8"/>
    <w:rsid w:val="00DF6038"/>
    <w:rsid w:val="00DF6A53"/>
    <w:rsid w:val="00DF6B12"/>
    <w:rsid w:val="00E01BD6"/>
    <w:rsid w:val="00E032CE"/>
    <w:rsid w:val="00E04020"/>
    <w:rsid w:val="00E04C4B"/>
    <w:rsid w:val="00E04D73"/>
    <w:rsid w:val="00E0560B"/>
    <w:rsid w:val="00E1409F"/>
    <w:rsid w:val="00E15983"/>
    <w:rsid w:val="00E16B76"/>
    <w:rsid w:val="00E202DB"/>
    <w:rsid w:val="00E2109E"/>
    <w:rsid w:val="00E21DCD"/>
    <w:rsid w:val="00E22B66"/>
    <w:rsid w:val="00E22F85"/>
    <w:rsid w:val="00E27FF0"/>
    <w:rsid w:val="00E30FE1"/>
    <w:rsid w:val="00E33C5B"/>
    <w:rsid w:val="00E35EC4"/>
    <w:rsid w:val="00E372ED"/>
    <w:rsid w:val="00E40DAC"/>
    <w:rsid w:val="00E41528"/>
    <w:rsid w:val="00E42180"/>
    <w:rsid w:val="00E45777"/>
    <w:rsid w:val="00E52240"/>
    <w:rsid w:val="00E53E2A"/>
    <w:rsid w:val="00E576A8"/>
    <w:rsid w:val="00E61625"/>
    <w:rsid w:val="00E618E2"/>
    <w:rsid w:val="00E6570F"/>
    <w:rsid w:val="00E65715"/>
    <w:rsid w:val="00E66DE2"/>
    <w:rsid w:val="00E701DA"/>
    <w:rsid w:val="00E702A3"/>
    <w:rsid w:val="00E72773"/>
    <w:rsid w:val="00E73DA5"/>
    <w:rsid w:val="00E7651C"/>
    <w:rsid w:val="00E80B5F"/>
    <w:rsid w:val="00E81213"/>
    <w:rsid w:val="00E81320"/>
    <w:rsid w:val="00E84484"/>
    <w:rsid w:val="00E84CC7"/>
    <w:rsid w:val="00E85B4D"/>
    <w:rsid w:val="00E863CB"/>
    <w:rsid w:val="00E9450E"/>
    <w:rsid w:val="00E94A2D"/>
    <w:rsid w:val="00EA027C"/>
    <w:rsid w:val="00EA04AC"/>
    <w:rsid w:val="00EA05E7"/>
    <w:rsid w:val="00EA069F"/>
    <w:rsid w:val="00EA1AED"/>
    <w:rsid w:val="00EA2578"/>
    <w:rsid w:val="00EA2E9C"/>
    <w:rsid w:val="00EA308B"/>
    <w:rsid w:val="00EA383C"/>
    <w:rsid w:val="00EA7BCE"/>
    <w:rsid w:val="00EA7FF3"/>
    <w:rsid w:val="00EB057F"/>
    <w:rsid w:val="00EB1E54"/>
    <w:rsid w:val="00EB2417"/>
    <w:rsid w:val="00EB2698"/>
    <w:rsid w:val="00EB3980"/>
    <w:rsid w:val="00EB3DAE"/>
    <w:rsid w:val="00EB5526"/>
    <w:rsid w:val="00EB658C"/>
    <w:rsid w:val="00EB6F98"/>
    <w:rsid w:val="00EC0D65"/>
    <w:rsid w:val="00EC3A86"/>
    <w:rsid w:val="00EC4FB9"/>
    <w:rsid w:val="00EC5D6A"/>
    <w:rsid w:val="00EC668A"/>
    <w:rsid w:val="00EC68C2"/>
    <w:rsid w:val="00EC75C4"/>
    <w:rsid w:val="00EC766D"/>
    <w:rsid w:val="00ED0C79"/>
    <w:rsid w:val="00ED47B3"/>
    <w:rsid w:val="00ED6B46"/>
    <w:rsid w:val="00EE1042"/>
    <w:rsid w:val="00EF03B6"/>
    <w:rsid w:val="00EF0A45"/>
    <w:rsid w:val="00EF1793"/>
    <w:rsid w:val="00EF22D4"/>
    <w:rsid w:val="00EF5889"/>
    <w:rsid w:val="00F02D26"/>
    <w:rsid w:val="00F04105"/>
    <w:rsid w:val="00F0550D"/>
    <w:rsid w:val="00F05E4B"/>
    <w:rsid w:val="00F06365"/>
    <w:rsid w:val="00F06378"/>
    <w:rsid w:val="00F07E33"/>
    <w:rsid w:val="00F122FE"/>
    <w:rsid w:val="00F1290D"/>
    <w:rsid w:val="00F1356A"/>
    <w:rsid w:val="00F17723"/>
    <w:rsid w:val="00F204C4"/>
    <w:rsid w:val="00F212BB"/>
    <w:rsid w:val="00F21ABD"/>
    <w:rsid w:val="00F21D86"/>
    <w:rsid w:val="00F22EB7"/>
    <w:rsid w:val="00F23D79"/>
    <w:rsid w:val="00F24888"/>
    <w:rsid w:val="00F26EF3"/>
    <w:rsid w:val="00F27A79"/>
    <w:rsid w:val="00F31042"/>
    <w:rsid w:val="00F311D6"/>
    <w:rsid w:val="00F321D9"/>
    <w:rsid w:val="00F3231C"/>
    <w:rsid w:val="00F33006"/>
    <w:rsid w:val="00F35E11"/>
    <w:rsid w:val="00F3671B"/>
    <w:rsid w:val="00F37349"/>
    <w:rsid w:val="00F378AE"/>
    <w:rsid w:val="00F4122D"/>
    <w:rsid w:val="00F4231C"/>
    <w:rsid w:val="00F45BE2"/>
    <w:rsid w:val="00F50860"/>
    <w:rsid w:val="00F51B6C"/>
    <w:rsid w:val="00F575E5"/>
    <w:rsid w:val="00F646E1"/>
    <w:rsid w:val="00F64B35"/>
    <w:rsid w:val="00F675AE"/>
    <w:rsid w:val="00F74A9B"/>
    <w:rsid w:val="00F75CC3"/>
    <w:rsid w:val="00F75DDB"/>
    <w:rsid w:val="00F76005"/>
    <w:rsid w:val="00F776A9"/>
    <w:rsid w:val="00F80B83"/>
    <w:rsid w:val="00F8291D"/>
    <w:rsid w:val="00F82D14"/>
    <w:rsid w:val="00F82EA1"/>
    <w:rsid w:val="00F8382D"/>
    <w:rsid w:val="00F878A3"/>
    <w:rsid w:val="00F90635"/>
    <w:rsid w:val="00F90AD5"/>
    <w:rsid w:val="00F92789"/>
    <w:rsid w:val="00F948BE"/>
    <w:rsid w:val="00F95E34"/>
    <w:rsid w:val="00F96F2F"/>
    <w:rsid w:val="00FA1B22"/>
    <w:rsid w:val="00FA21E4"/>
    <w:rsid w:val="00FA2C00"/>
    <w:rsid w:val="00FB0B77"/>
    <w:rsid w:val="00FB0D6D"/>
    <w:rsid w:val="00FB31F1"/>
    <w:rsid w:val="00FB4453"/>
    <w:rsid w:val="00FB52D7"/>
    <w:rsid w:val="00FB7977"/>
    <w:rsid w:val="00FB7D67"/>
    <w:rsid w:val="00FC01AD"/>
    <w:rsid w:val="00FC1B19"/>
    <w:rsid w:val="00FC2CEA"/>
    <w:rsid w:val="00FC5837"/>
    <w:rsid w:val="00FC6BBB"/>
    <w:rsid w:val="00FD0CFD"/>
    <w:rsid w:val="00FD0DB7"/>
    <w:rsid w:val="00FD1804"/>
    <w:rsid w:val="00FD1EAB"/>
    <w:rsid w:val="00FD54BD"/>
    <w:rsid w:val="00FE16D8"/>
    <w:rsid w:val="00FE19CB"/>
    <w:rsid w:val="00FE2D21"/>
    <w:rsid w:val="00FE2DF4"/>
    <w:rsid w:val="00FE40E1"/>
    <w:rsid w:val="00FE535C"/>
    <w:rsid w:val="00FE6286"/>
    <w:rsid w:val="00FE6A79"/>
    <w:rsid w:val="00FF0204"/>
    <w:rsid w:val="00FF1103"/>
    <w:rsid w:val="00FF3B0F"/>
    <w:rsid w:val="00FF47C7"/>
    <w:rsid w:val="00FF7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717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8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8A6"/>
  </w:style>
  <w:style w:type="paragraph" w:styleId="Footer">
    <w:name w:val="footer"/>
    <w:basedOn w:val="Normal"/>
    <w:link w:val="FooterChar"/>
    <w:uiPriority w:val="99"/>
    <w:unhideWhenUsed/>
    <w:rsid w:val="00D80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8A6"/>
  </w:style>
  <w:style w:type="paragraph" w:customStyle="1" w:styleId="Footer1">
    <w:name w:val="Footer1"/>
    <w:basedOn w:val="Normal"/>
    <w:link w:val="footerChar0"/>
    <w:rsid w:val="00963499"/>
    <w:pPr>
      <w:autoSpaceDE w:val="0"/>
      <w:autoSpaceDN w:val="0"/>
      <w:adjustRightInd w:val="0"/>
      <w:spacing w:after="0" w:line="240" w:lineRule="auto"/>
      <w:textAlignment w:val="center"/>
    </w:pPr>
    <w:rPr>
      <w:rFonts w:ascii="Arial" w:hAnsi="Arial" w:cs="Arial"/>
      <w:b/>
      <w:bCs/>
      <w:color w:val="A80000"/>
      <w:sz w:val="20"/>
      <w:szCs w:val="20"/>
    </w:rPr>
  </w:style>
  <w:style w:type="character" w:customStyle="1" w:styleId="footerChar0">
    <w:name w:val="footer Char"/>
    <w:basedOn w:val="DefaultParagraphFont"/>
    <w:link w:val="Footer1"/>
    <w:rsid w:val="00963499"/>
    <w:rPr>
      <w:rFonts w:ascii="Arial" w:hAnsi="Arial" w:cs="Arial"/>
      <w:b/>
      <w:bCs/>
      <w:color w:val="A80000"/>
      <w:sz w:val="20"/>
      <w:szCs w:val="20"/>
    </w:rPr>
  </w:style>
  <w:style w:type="paragraph" w:customStyle="1" w:styleId="Pa0">
    <w:name w:val="Pa0"/>
    <w:basedOn w:val="Normal"/>
    <w:next w:val="Normal"/>
    <w:uiPriority w:val="99"/>
    <w:rsid w:val="00963499"/>
    <w:pPr>
      <w:autoSpaceDE w:val="0"/>
      <w:autoSpaceDN w:val="0"/>
      <w:adjustRightInd w:val="0"/>
      <w:spacing w:after="0" w:line="241" w:lineRule="atLeast"/>
    </w:pPr>
    <w:rPr>
      <w:rFonts w:ascii="Arial" w:hAnsi="Arial" w:cs="Arial"/>
      <w:sz w:val="24"/>
      <w:szCs w:val="24"/>
    </w:rPr>
  </w:style>
  <w:style w:type="character" w:customStyle="1" w:styleId="A0">
    <w:name w:val="A0"/>
    <w:uiPriority w:val="99"/>
    <w:rsid w:val="00963499"/>
    <w:rPr>
      <w:color w:val="C0ABA5"/>
      <w:sz w:val="14"/>
      <w:szCs w:val="14"/>
    </w:rPr>
  </w:style>
  <w:style w:type="paragraph" w:styleId="NoSpacing">
    <w:name w:val="No Spacing"/>
    <w:aliases w:val="Body copy"/>
    <w:uiPriority w:val="1"/>
    <w:qFormat/>
    <w:rsid w:val="00C60A0C"/>
    <w:pPr>
      <w:spacing w:after="120" w:line="360" w:lineRule="auto"/>
      <w:jc w:val="both"/>
    </w:pPr>
    <w:rPr>
      <w:color w:val="45130F" w:themeColor="background2"/>
      <w:sz w:val="20"/>
    </w:rPr>
  </w:style>
  <w:style w:type="paragraph" w:styleId="Title">
    <w:name w:val="Title"/>
    <w:basedOn w:val="Normal"/>
    <w:next w:val="Normal"/>
    <w:link w:val="TitleChar"/>
    <w:uiPriority w:val="10"/>
    <w:qFormat/>
    <w:rsid w:val="00FA2C00"/>
    <w:pPr>
      <w:spacing w:after="120" w:line="240" w:lineRule="auto"/>
      <w:contextualSpacing/>
      <w:jc w:val="center"/>
    </w:pPr>
    <w:rPr>
      <w:rFonts w:asciiTheme="majorHAnsi" w:eastAsiaTheme="majorEastAsia" w:hAnsiTheme="majorHAnsi" w:cstheme="majorBidi"/>
      <w:b/>
      <w:color w:val="B11F24" w:themeColor="text2"/>
      <w:spacing w:val="-10"/>
      <w:kern w:val="28"/>
      <w:sz w:val="48"/>
      <w:szCs w:val="56"/>
    </w:rPr>
  </w:style>
  <w:style w:type="character" w:customStyle="1" w:styleId="TitleChar">
    <w:name w:val="Title Char"/>
    <w:basedOn w:val="DefaultParagraphFont"/>
    <w:link w:val="Title"/>
    <w:uiPriority w:val="10"/>
    <w:rsid w:val="00FA2C00"/>
    <w:rPr>
      <w:rFonts w:asciiTheme="majorHAnsi" w:eastAsiaTheme="majorEastAsia" w:hAnsiTheme="majorHAnsi" w:cstheme="majorBidi"/>
      <w:b/>
      <w:color w:val="B11F24" w:themeColor="text2"/>
      <w:spacing w:val="-10"/>
      <w:kern w:val="28"/>
      <w:sz w:val="48"/>
      <w:szCs w:val="56"/>
    </w:rPr>
  </w:style>
  <w:style w:type="paragraph" w:styleId="Subtitle">
    <w:name w:val="Subtitle"/>
    <w:basedOn w:val="Normal"/>
    <w:next w:val="Normal"/>
    <w:link w:val="SubtitleChar"/>
    <w:uiPriority w:val="11"/>
    <w:qFormat/>
    <w:rsid w:val="00C80507"/>
    <w:pPr>
      <w:numPr>
        <w:ilvl w:val="1"/>
      </w:numPr>
      <w:ind w:left="2160"/>
      <w:jc w:val="center"/>
    </w:pPr>
    <w:rPr>
      <w:rFonts w:eastAsiaTheme="minorEastAsia"/>
      <w:b/>
      <w:color w:val="B11F24" w:themeColor="text2"/>
      <w:spacing w:val="15"/>
      <w:sz w:val="32"/>
    </w:rPr>
  </w:style>
  <w:style w:type="character" w:customStyle="1" w:styleId="SubtitleChar">
    <w:name w:val="Subtitle Char"/>
    <w:basedOn w:val="DefaultParagraphFont"/>
    <w:link w:val="Subtitle"/>
    <w:uiPriority w:val="11"/>
    <w:rsid w:val="00C80507"/>
    <w:rPr>
      <w:rFonts w:eastAsiaTheme="minorEastAsia"/>
      <w:b/>
      <w:color w:val="B11F24" w:themeColor="text2"/>
      <w:spacing w:val="15"/>
      <w:sz w:val="32"/>
    </w:rPr>
  </w:style>
  <w:style w:type="character" w:styleId="Hyperlink">
    <w:name w:val="Hyperlink"/>
    <w:basedOn w:val="DefaultParagraphFont"/>
    <w:unhideWhenUsed/>
    <w:rsid w:val="009C2C03"/>
    <w:rPr>
      <w:color w:val="0563C1" w:themeColor="hyperlink"/>
      <w:u w:val="single"/>
    </w:rPr>
  </w:style>
  <w:style w:type="table" w:styleId="TableGrid">
    <w:name w:val="Table Grid"/>
    <w:basedOn w:val="TableNormal"/>
    <w:uiPriority w:val="59"/>
    <w:rsid w:val="001167DB"/>
    <w:pPr>
      <w:spacing w:after="0" w:line="240" w:lineRule="auto"/>
    </w:pPr>
    <w:rPr>
      <w:rFonts w:ascii="Calibri" w:eastAsia="Calibri"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7DB"/>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167DB"/>
    <w:rPr>
      <w:sz w:val="16"/>
      <w:szCs w:val="16"/>
    </w:rPr>
  </w:style>
  <w:style w:type="paragraph" w:styleId="CommentText">
    <w:name w:val="annotation text"/>
    <w:basedOn w:val="Normal"/>
    <w:link w:val="CommentTextChar"/>
    <w:uiPriority w:val="99"/>
    <w:semiHidden/>
    <w:unhideWhenUsed/>
    <w:rsid w:val="001167DB"/>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1167DB"/>
    <w:rPr>
      <w:rFonts w:ascii="Calibri" w:eastAsia="Calibri" w:hAnsi="Calibri" w:cs="Times New Roman"/>
      <w:sz w:val="20"/>
      <w:szCs w:val="20"/>
    </w:rPr>
  </w:style>
  <w:style w:type="paragraph" w:styleId="BalloonText">
    <w:name w:val="Balloon Text"/>
    <w:basedOn w:val="Normal"/>
    <w:link w:val="BalloonTextChar"/>
    <w:uiPriority w:val="99"/>
    <w:unhideWhenUsed/>
    <w:rsid w:val="00116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167DB"/>
    <w:rPr>
      <w:rFonts w:ascii="Tahoma" w:hAnsi="Tahoma" w:cs="Tahoma"/>
      <w:sz w:val="16"/>
      <w:szCs w:val="16"/>
    </w:rPr>
  </w:style>
  <w:style w:type="character" w:styleId="FollowedHyperlink">
    <w:name w:val="FollowedHyperlink"/>
    <w:basedOn w:val="DefaultParagraphFont"/>
    <w:uiPriority w:val="99"/>
    <w:semiHidden/>
    <w:unhideWhenUsed/>
    <w:rsid w:val="0027148E"/>
    <w:rPr>
      <w:color w:val="954F72" w:themeColor="followedHyperlink"/>
      <w:u w:val="single"/>
    </w:rPr>
  </w:style>
  <w:style w:type="table" w:customStyle="1" w:styleId="TableGrid1">
    <w:name w:val="Table Grid1"/>
    <w:basedOn w:val="TableNormal"/>
    <w:next w:val="TableGrid"/>
    <w:uiPriority w:val="59"/>
    <w:rsid w:val="00036510"/>
    <w:pPr>
      <w:spacing w:after="0" w:line="240" w:lineRule="auto"/>
    </w:pPr>
    <w:rPr>
      <w:rFonts w:ascii="Calibri" w:eastAsia="Calibri"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177A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177A0"/>
    <w:rPr>
      <w:rFonts w:ascii="Calibri" w:eastAsia="Calibri" w:hAnsi="Calibri" w:cs="Times New Roman"/>
      <w:b/>
      <w:bCs/>
      <w:sz w:val="20"/>
      <w:szCs w:val="20"/>
    </w:rPr>
  </w:style>
  <w:style w:type="paragraph" w:styleId="NormalWeb">
    <w:name w:val="Normal (Web)"/>
    <w:basedOn w:val="Normal"/>
    <w:link w:val="NormalWebChar"/>
    <w:uiPriority w:val="99"/>
    <w:unhideWhenUsed/>
    <w:rsid w:val="00AB53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rsid w:val="00AB5337"/>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AB5337"/>
  </w:style>
  <w:style w:type="paragraph" w:customStyle="1" w:styleId="SCFileStamp">
    <w:name w:val="S&amp;CFileStamp"/>
    <w:basedOn w:val="Normal"/>
    <w:next w:val="Header"/>
    <w:link w:val="SCFileStampChar"/>
    <w:rsid w:val="00AB5337"/>
    <w:pPr>
      <w:pBdr>
        <w:bottom w:val="single" w:sz="4" w:space="0" w:color="000000"/>
      </w:pBdr>
      <w:spacing w:after="0" w:line="240" w:lineRule="auto"/>
      <w:jc w:val="right"/>
    </w:pPr>
    <w:rPr>
      <w:rFonts w:ascii="Times New Roman" w:eastAsia="Times New Roman" w:hAnsi="Times New Roman" w:cs="Times New Roman"/>
      <w:sz w:val="24"/>
    </w:rPr>
  </w:style>
  <w:style w:type="character" w:customStyle="1" w:styleId="SCFileStampChar">
    <w:name w:val="S&amp;CFileStamp Char"/>
    <w:link w:val="SCFileStamp"/>
    <w:rsid w:val="00AB5337"/>
    <w:rPr>
      <w:rFonts w:ascii="Times New Roman" w:eastAsia="Times New Roman" w:hAnsi="Times New Roman" w:cs="Times New Roman"/>
      <w:sz w:val="24"/>
    </w:rPr>
  </w:style>
  <w:style w:type="paragraph" w:customStyle="1" w:styleId="Default">
    <w:name w:val="Default"/>
    <w:rsid w:val="00AB5337"/>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rsid w:val="00AB5337"/>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rsid w:val="00AB5337"/>
    <w:rPr>
      <w:rFonts w:ascii="Times New Roman" w:eastAsia="Times New Roman" w:hAnsi="Times New Roman" w:cs="Times New Roman"/>
      <w:sz w:val="24"/>
      <w:szCs w:val="24"/>
      <w:lang w:eastAsia="en-GB"/>
    </w:rPr>
  </w:style>
  <w:style w:type="paragraph" w:styleId="Revision">
    <w:name w:val="Revision"/>
    <w:hidden/>
    <w:uiPriority w:val="99"/>
    <w:semiHidden/>
    <w:rsid w:val="00AB5337"/>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AB533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AB533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B5337"/>
    <w:rPr>
      <w:vertAlign w:val="superscript"/>
    </w:rPr>
  </w:style>
  <w:style w:type="table" w:customStyle="1" w:styleId="TableGrid2">
    <w:name w:val="Table Grid2"/>
    <w:basedOn w:val="TableNormal"/>
    <w:next w:val="TableGrid"/>
    <w:uiPriority w:val="59"/>
    <w:rsid w:val="00C34B10"/>
    <w:pPr>
      <w:spacing w:after="0" w:line="240" w:lineRule="auto"/>
    </w:pPr>
    <w:rPr>
      <w:rFonts w:ascii="Calibri" w:eastAsia="Calibri"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D67A0A"/>
    <w:rPr>
      <w:color w:val="2B579A"/>
      <w:shd w:val="clear" w:color="auto" w:fill="E6E6E6"/>
    </w:rPr>
  </w:style>
  <w:style w:type="character" w:customStyle="1" w:styleId="Mention2">
    <w:name w:val="Mention2"/>
    <w:basedOn w:val="DefaultParagraphFont"/>
    <w:uiPriority w:val="99"/>
    <w:semiHidden/>
    <w:unhideWhenUsed/>
    <w:rsid w:val="00511539"/>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8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8A6"/>
  </w:style>
  <w:style w:type="paragraph" w:styleId="Footer">
    <w:name w:val="footer"/>
    <w:basedOn w:val="Normal"/>
    <w:link w:val="FooterChar"/>
    <w:uiPriority w:val="99"/>
    <w:unhideWhenUsed/>
    <w:rsid w:val="00D80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8A6"/>
  </w:style>
  <w:style w:type="paragraph" w:customStyle="1" w:styleId="Footer1">
    <w:name w:val="Footer1"/>
    <w:basedOn w:val="Normal"/>
    <w:link w:val="footerChar0"/>
    <w:rsid w:val="00963499"/>
    <w:pPr>
      <w:autoSpaceDE w:val="0"/>
      <w:autoSpaceDN w:val="0"/>
      <w:adjustRightInd w:val="0"/>
      <w:spacing w:after="0" w:line="240" w:lineRule="auto"/>
      <w:textAlignment w:val="center"/>
    </w:pPr>
    <w:rPr>
      <w:rFonts w:ascii="Arial" w:hAnsi="Arial" w:cs="Arial"/>
      <w:b/>
      <w:bCs/>
      <w:color w:val="A80000"/>
      <w:sz w:val="20"/>
      <w:szCs w:val="20"/>
    </w:rPr>
  </w:style>
  <w:style w:type="character" w:customStyle="1" w:styleId="footerChar0">
    <w:name w:val="footer Char"/>
    <w:basedOn w:val="DefaultParagraphFont"/>
    <w:link w:val="Footer1"/>
    <w:rsid w:val="00963499"/>
    <w:rPr>
      <w:rFonts w:ascii="Arial" w:hAnsi="Arial" w:cs="Arial"/>
      <w:b/>
      <w:bCs/>
      <w:color w:val="A80000"/>
      <w:sz w:val="20"/>
      <w:szCs w:val="20"/>
    </w:rPr>
  </w:style>
  <w:style w:type="paragraph" w:customStyle="1" w:styleId="Pa0">
    <w:name w:val="Pa0"/>
    <w:basedOn w:val="Normal"/>
    <w:next w:val="Normal"/>
    <w:uiPriority w:val="99"/>
    <w:rsid w:val="00963499"/>
    <w:pPr>
      <w:autoSpaceDE w:val="0"/>
      <w:autoSpaceDN w:val="0"/>
      <w:adjustRightInd w:val="0"/>
      <w:spacing w:after="0" w:line="241" w:lineRule="atLeast"/>
    </w:pPr>
    <w:rPr>
      <w:rFonts w:ascii="Arial" w:hAnsi="Arial" w:cs="Arial"/>
      <w:sz w:val="24"/>
      <w:szCs w:val="24"/>
    </w:rPr>
  </w:style>
  <w:style w:type="character" w:customStyle="1" w:styleId="A0">
    <w:name w:val="A0"/>
    <w:uiPriority w:val="99"/>
    <w:rsid w:val="00963499"/>
    <w:rPr>
      <w:color w:val="C0ABA5"/>
      <w:sz w:val="14"/>
      <w:szCs w:val="14"/>
    </w:rPr>
  </w:style>
  <w:style w:type="paragraph" w:styleId="NoSpacing">
    <w:name w:val="No Spacing"/>
    <w:aliases w:val="Body copy"/>
    <w:uiPriority w:val="1"/>
    <w:qFormat/>
    <w:rsid w:val="00C60A0C"/>
    <w:pPr>
      <w:spacing w:after="120" w:line="360" w:lineRule="auto"/>
      <w:jc w:val="both"/>
    </w:pPr>
    <w:rPr>
      <w:color w:val="45130F" w:themeColor="background2"/>
      <w:sz w:val="20"/>
    </w:rPr>
  </w:style>
  <w:style w:type="paragraph" w:styleId="Title">
    <w:name w:val="Title"/>
    <w:basedOn w:val="Normal"/>
    <w:next w:val="Normal"/>
    <w:link w:val="TitleChar"/>
    <w:uiPriority w:val="10"/>
    <w:qFormat/>
    <w:rsid w:val="00FA2C00"/>
    <w:pPr>
      <w:spacing w:after="120" w:line="240" w:lineRule="auto"/>
      <w:contextualSpacing/>
      <w:jc w:val="center"/>
    </w:pPr>
    <w:rPr>
      <w:rFonts w:asciiTheme="majorHAnsi" w:eastAsiaTheme="majorEastAsia" w:hAnsiTheme="majorHAnsi" w:cstheme="majorBidi"/>
      <w:b/>
      <w:color w:val="B11F24" w:themeColor="text2"/>
      <w:spacing w:val="-10"/>
      <w:kern w:val="28"/>
      <w:sz w:val="48"/>
      <w:szCs w:val="56"/>
    </w:rPr>
  </w:style>
  <w:style w:type="character" w:customStyle="1" w:styleId="TitleChar">
    <w:name w:val="Title Char"/>
    <w:basedOn w:val="DefaultParagraphFont"/>
    <w:link w:val="Title"/>
    <w:uiPriority w:val="10"/>
    <w:rsid w:val="00FA2C00"/>
    <w:rPr>
      <w:rFonts w:asciiTheme="majorHAnsi" w:eastAsiaTheme="majorEastAsia" w:hAnsiTheme="majorHAnsi" w:cstheme="majorBidi"/>
      <w:b/>
      <w:color w:val="B11F24" w:themeColor="text2"/>
      <w:spacing w:val="-10"/>
      <w:kern w:val="28"/>
      <w:sz w:val="48"/>
      <w:szCs w:val="56"/>
    </w:rPr>
  </w:style>
  <w:style w:type="paragraph" w:styleId="Subtitle">
    <w:name w:val="Subtitle"/>
    <w:basedOn w:val="Normal"/>
    <w:next w:val="Normal"/>
    <w:link w:val="SubtitleChar"/>
    <w:uiPriority w:val="11"/>
    <w:qFormat/>
    <w:rsid w:val="00C80507"/>
    <w:pPr>
      <w:numPr>
        <w:ilvl w:val="1"/>
      </w:numPr>
      <w:ind w:left="2160"/>
      <w:jc w:val="center"/>
    </w:pPr>
    <w:rPr>
      <w:rFonts w:eastAsiaTheme="minorEastAsia"/>
      <w:b/>
      <w:color w:val="B11F24" w:themeColor="text2"/>
      <w:spacing w:val="15"/>
      <w:sz w:val="32"/>
    </w:rPr>
  </w:style>
  <w:style w:type="character" w:customStyle="1" w:styleId="SubtitleChar">
    <w:name w:val="Subtitle Char"/>
    <w:basedOn w:val="DefaultParagraphFont"/>
    <w:link w:val="Subtitle"/>
    <w:uiPriority w:val="11"/>
    <w:rsid w:val="00C80507"/>
    <w:rPr>
      <w:rFonts w:eastAsiaTheme="minorEastAsia"/>
      <w:b/>
      <w:color w:val="B11F24" w:themeColor="text2"/>
      <w:spacing w:val="15"/>
      <w:sz w:val="32"/>
    </w:rPr>
  </w:style>
  <w:style w:type="character" w:styleId="Hyperlink">
    <w:name w:val="Hyperlink"/>
    <w:basedOn w:val="DefaultParagraphFont"/>
    <w:unhideWhenUsed/>
    <w:rsid w:val="009C2C03"/>
    <w:rPr>
      <w:color w:val="0563C1" w:themeColor="hyperlink"/>
      <w:u w:val="single"/>
    </w:rPr>
  </w:style>
  <w:style w:type="table" w:styleId="TableGrid">
    <w:name w:val="Table Grid"/>
    <w:basedOn w:val="TableNormal"/>
    <w:uiPriority w:val="59"/>
    <w:rsid w:val="001167DB"/>
    <w:pPr>
      <w:spacing w:after="0" w:line="240" w:lineRule="auto"/>
    </w:pPr>
    <w:rPr>
      <w:rFonts w:ascii="Calibri" w:eastAsia="Calibri"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7DB"/>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167DB"/>
    <w:rPr>
      <w:sz w:val="16"/>
      <w:szCs w:val="16"/>
    </w:rPr>
  </w:style>
  <w:style w:type="paragraph" w:styleId="CommentText">
    <w:name w:val="annotation text"/>
    <w:basedOn w:val="Normal"/>
    <w:link w:val="CommentTextChar"/>
    <w:uiPriority w:val="99"/>
    <w:semiHidden/>
    <w:unhideWhenUsed/>
    <w:rsid w:val="001167DB"/>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1167DB"/>
    <w:rPr>
      <w:rFonts w:ascii="Calibri" w:eastAsia="Calibri" w:hAnsi="Calibri" w:cs="Times New Roman"/>
      <w:sz w:val="20"/>
      <w:szCs w:val="20"/>
    </w:rPr>
  </w:style>
  <w:style w:type="paragraph" w:styleId="BalloonText">
    <w:name w:val="Balloon Text"/>
    <w:basedOn w:val="Normal"/>
    <w:link w:val="BalloonTextChar"/>
    <w:uiPriority w:val="99"/>
    <w:unhideWhenUsed/>
    <w:rsid w:val="00116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167DB"/>
    <w:rPr>
      <w:rFonts w:ascii="Tahoma" w:hAnsi="Tahoma" w:cs="Tahoma"/>
      <w:sz w:val="16"/>
      <w:szCs w:val="16"/>
    </w:rPr>
  </w:style>
  <w:style w:type="character" w:styleId="FollowedHyperlink">
    <w:name w:val="FollowedHyperlink"/>
    <w:basedOn w:val="DefaultParagraphFont"/>
    <w:uiPriority w:val="99"/>
    <w:semiHidden/>
    <w:unhideWhenUsed/>
    <w:rsid w:val="0027148E"/>
    <w:rPr>
      <w:color w:val="954F72" w:themeColor="followedHyperlink"/>
      <w:u w:val="single"/>
    </w:rPr>
  </w:style>
  <w:style w:type="table" w:customStyle="1" w:styleId="TableGrid1">
    <w:name w:val="Table Grid1"/>
    <w:basedOn w:val="TableNormal"/>
    <w:next w:val="TableGrid"/>
    <w:uiPriority w:val="59"/>
    <w:rsid w:val="00036510"/>
    <w:pPr>
      <w:spacing w:after="0" w:line="240" w:lineRule="auto"/>
    </w:pPr>
    <w:rPr>
      <w:rFonts w:ascii="Calibri" w:eastAsia="Calibri"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177A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177A0"/>
    <w:rPr>
      <w:rFonts w:ascii="Calibri" w:eastAsia="Calibri" w:hAnsi="Calibri" w:cs="Times New Roman"/>
      <w:b/>
      <w:bCs/>
      <w:sz w:val="20"/>
      <w:szCs w:val="20"/>
    </w:rPr>
  </w:style>
  <w:style w:type="paragraph" w:styleId="NormalWeb">
    <w:name w:val="Normal (Web)"/>
    <w:basedOn w:val="Normal"/>
    <w:link w:val="NormalWebChar"/>
    <w:uiPriority w:val="99"/>
    <w:unhideWhenUsed/>
    <w:rsid w:val="00AB53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rsid w:val="00AB5337"/>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AB5337"/>
  </w:style>
  <w:style w:type="paragraph" w:customStyle="1" w:styleId="SCFileStamp">
    <w:name w:val="S&amp;CFileStamp"/>
    <w:basedOn w:val="Normal"/>
    <w:next w:val="Header"/>
    <w:link w:val="SCFileStampChar"/>
    <w:rsid w:val="00AB5337"/>
    <w:pPr>
      <w:pBdr>
        <w:bottom w:val="single" w:sz="4" w:space="0" w:color="000000"/>
      </w:pBdr>
      <w:spacing w:after="0" w:line="240" w:lineRule="auto"/>
      <w:jc w:val="right"/>
    </w:pPr>
    <w:rPr>
      <w:rFonts w:ascii="Times New Roman" w:eastAsia="Times New Roman" w:hAnsi="Times New Roman" w:cs="Times New Roman"/>
      <w:sz w:val="24"/>
    </w:rPr>
  </w:style>
  <w:style w:type="character" w:customStyle="1" w:styleId="SCFileStampChar">
    <w:name w:val="S&amp;CFileStamp Char"/>
    <w:link w:val="SCFileStamp"/>
    <w:rsid w:val="00AB5337"/>
    <w:rPr>
      <w:rFonts w:ascii="Times New Roman" w:eastAsia="Times New Roman" w:hAnsi="Times New Roman" w:cs="Times New Roman"/>
      <w:sz w:val="24"/>
    </w:rPr>
  </w:style>
  <w:style w:type="paragraph" w:customStyle="1" w:styleId="Default">
    <w:name w:val="Default"/>
    <w:rsid w:val="00AB5337"/>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rsid w:val="00AB5337"/>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rsid w:val="00AB5337"/>
    <w:rPr>
      <w:rFonts w:ascii="Times New Roman" w:eastAsia="Times New Roman" w:hAnsi="Times New Roman" w:cs="Times New Roman"/>
      <w:sz w:val="24"/>
      <w:szCs w:val="24"/>
      <w:lang w:eastAsia="en-GB"/>
    </w:rPr>
  </w:style>
  <w:style w:type="paragraph" w:styleId="Revision">
    <w:name w:val="Revision"/>
    <w:hidden/>
    <w:uiPriority w:val="99"/>
    <w:semiHidden/>
    <w:rsid w:val="00AB5337"/>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AB533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AB533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B5337"/>
    <w:rPr>
      <w:vertAlign w:val="superscript"/>
    </w:rPr>
  </w:style>
  <w:style w:type="table" w:customStyle="1" w:styleId="TableGrid2">
    <w:name w:val="Table Grid2"/>
    <w:basedOn w:val="TableNormal"/>
    <w:next w:val="TableGrid"/>
    <w:uiPriority w:val="59"/>
    <w:rsid w:val="00C34B10"/>
    <w:pPr>
      <w:spacing w:after="0" w:line="240" w:lineRule="auto"/>
    </w:pPr>
    <w:rPr>
      <w:rFonts w:ascii="Calibri" w:eastAsia="Calibri"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D67A0A"/>
    <w:rPr>
      <w:color w:val="2B579A"/>
      <w:shd w:val="clear" w:color="auto" w:fill="E6E6E6"/>
    </w:rPr>
  </w:style>
  <w:style w:type="character" w:customStyle="1" w:styleId="Mention2">
    <w:name w:val="Mention2"/>
    <w:basedOn w:val="DefaultParagraphFont"/>
    <w:uiPriority w:val="99"/>
    <w:semiHidden/>
    <w:unhideWhenUsed/>
    <w:rsid w:val="0051153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1311">
      <w:bodyDiv w:val="1"/>
      <w:marLeft w:val="0"/>
      <w:marRight w:val="0"/>
      <w:marTop w:val="0"/>
      <w:marBottom w:val="0"/>
      <w:divBdr>
        <w:top w:val="none" w:sz="0" w:space="0" w:color="auto"/>
        <w:left w:val="none" w:sz="0" w:space="0" w:color="auto"/>
        <w:bottom w:val="none" w:sz="0" w:space="0" w:color="auto"/>
        <w:right w:val="none" w:sz="0" w:space="0" w:color="auto"/>
      </w:divBdr>
    </w:div>
    <w:div w:id="51318721">
      <w:bodyDiv w:val="1"/>
      <w:marLeft w:val="0"/>
      <w:marRight w:val="0"/>
      <w:marTop w:val="0"/>
      <w:marBottom w:val="0"/>
      <w:divBdr>
        <w:top w:val="none" w:sz="0" w:space="0" w:color="auto"/>
        <w:left w:val="none" w:sz="0" w:space="0" w:color="auto"/>
        <w:bottom w:val="none" w:sz="0" w:space="0" w:color="auto"/>
        <w:right w:val="none" w:sz="0" w:space="0" w:color="auto"/>
      </w:divBdr>
    </w:div>
    <w:div w:id="157236536">
      <w:bodyDiv w:val="1"/>
      <w:marLeft w:val="0"/>
      <w:marRight w:val="0"/>
      <w:marTop w:val="0"/>
      <w:marBottom w:val="0"/>
      <w:divBdr>
        <w:top w:val="none" w:sz="0" w:space="0" w:color="auto"/>
        <w:left w:val="none" w:sz="0" w:space="0" w:color="auto"/>
        <w:bottom w:val="none" w:sz="0" w:space="0" w:color="auto"/>
        <w:right w:val="none" w:sz="0" w:space="0" w:color="auto"/>
      </w:divBdr>
    </w:div>
    <w:div w:id="250938284">
      <w:bodyDiv w:val="1"/>
      <w:marLeft w:val="0"/>
      <w:marRight w:val="0"/>
      <w:marTop w:val="0"/>
      <w:marBottom w:val="0"/>
      <w:divBdr>
        <w:top w:val="none" w:sz="0" w:space="0" w:color="auto"/>
        <w:left w:val="none" w:sz="0" w:space="0" w:color="auto"/>
        <w:bottom w:val="none" w:sz="0" w:space="0" w:color="auto"/>
        <w:right w:val="none" w:sz="0" w:space="0" w:color="auto"/>
      </w:divBdr>
    </w:div>
    <w:div w:id="287275399">
      <w:bodyDiv w:val="1"/>
      <w:marLeft w:val="0"/>
      <w:marRight w:val="0"/>
      <w:marTop w:val="0"/>
      <w:marBottom w:val="0"/>
      <w:divBdr>
        <w:top w:val="none" w:sz="0" w:space="0" w:color="auto"/>
        <w:left w:val="none" w:sz="0" w:space="0" w:color="auto"/>
        <w:bottom w:val="none" w:sz="0" w:space="0" w:color="auto"/>
        <w:right w:val="none" w:sz="0" w:space="0" w:color="auto"/>
      </w:divBdr>
    </w:div>
    <w:div w:id="352462299">
      <w:bodyDiv w:val="1"/>
      <w:marLeft w:val="0"/>
      <w:marRight w:val="0"/>
      <w:marTop w:val="0"/>
      <w:marBottom w:val="0"/>
      <w:divBdr>
        <w:top w:val="none" w:sz="0" w:space="0" w:color="auto"/>
        <w:left w:val="none" w:sz="0" w:space="0" w:color="auto"/>
        <w:bottom w:val="none" w:sz="0" w:space="0" w:color="auto"/>
        <w:right w:val="none" w:sz="0" w:space="0" w:color="auto"/>
      </w:divBdr>
    </w:div>
    <w:div w:id="354695685">
      <w:bodyDiv w:val="1"/>
      <w:marLeft w:val="0"/>
      <w:marRight w:val="0"/>
      <w:marTop w:val="0"/>
      <w:marBottom w:val="0"/>
      <w:divBdr>
        <w:top w:val="none" w:sz="0" w:space="0" w:color="auto"/>
        <w:left w:val="none" w:sz="0" w:space="0" w:color="auto"/>
        <w:bottom w:val="none" w:sz="0" w:space="0" w:color="auto"/>
        <w:right w:val="none" w:sz="0" w:space="0" w:color="auto"/>
      </w:divBdr>
    </w:div>
    <w:div w:id="377433949">
      <w:bodyDiv w:val="1"/>
      <w:marLeft w:val="0"/>
      <w:marRight w:val="0"/>
      <w:marTop w:val="0"/>
      <w:marBottom w:val="0"/>
      <w:divBdr>
        <w:top w:val="none" w:sz="0" w:space="0" w:color="auto"/>
        <w:left w:val="none" w:sz="0" w:space="0" w:color="auto"/>
        <w:bottom w:val="none" w:sz="0" w:space="0" w:color="auto"/>
        <w:right w:val="none" w:sz="0" w:space="0" w:color="auto"/>
      </w:divBdr>
    </w:div>
    <w:div w:id="394821469">
      <w:bodyDiv w:val="1"/>
      <w:marLeft w:val="0"/>
      <w:marRight w:val="0"/>
      <w:marTop w:val="0"/>
      <w:marBottom w:val="0"/>
      <w:divBdr>
        <w:top w:val="none" w:sz="0" w:space="0" w:color="auto"/>
        <w:left w:val="none" w:sz="0" w:space="0" w:color="auto"/>
        <w:bottom w:val="none" w:sz="0" w:space="0" w:color="auto"/>
        <w:right w:val="none" w:sz="0" w:space="0" w:color="auto"/>
      </w:divBdr>
      <w:divsChild>
        <w:div w:id="169223701">
          <w:marLeft w:val="720"/>
          <w:marRight w:val="0"/>
          <w:marTop w:val="0"/>
          <w:marBottom w:val="0"/>
          <w:divBdr>
            <w:top w:val="none" w:sz="0" w:space="0" w:color="auto"/>
            <w:left w:val="none" w:sz="0" w:space="0" w:color="auto"/>
            <w:bottom w:val="none" w:sz="0" w:space="0" w:color="auto"/>
            <w:right w:val="none" w:sz="0" w:space="0" w:color="auto"/>
          </w:divBdr>
        </w:div>
      </w:divsChild>
    </w:div>
    <w:div w:id="409041768">
      <w:bodyDiv w:val="1"/>
      <w:marLeft w:val="0"/>
      <w:marRight w:val="0"/>
      <w:marTop w:val="0"/>
      <w:marBottom w:val="0"/>
      <w:divBdr>
        <w:top w:val="none" w:sz="0" w:space="0" w:color="auto"/>
        <w:left w:val="none" w:sz="0" w:space="0" w:color="auto"/>
        <w:bottom w:val="none" w:sz="0" w:space="0" w:color="auto"/>
        <w:right w:val="none" w:sz="0" w:space="0" w:color="auto"/>
      </w:divBdr>
    </w:div>
    <w:div w:id="447312772">
      <w:bodyDiv w:val="1"/>
      <w:marLeft w:val="0"/>
      <w:marRight w:val="0"/>
      <w:marTop w:val="0"/>
      <w:marBottom w:val="0"/>
      <w:divBdr>
        <w:top w:val="none" w:sz="0" w:space="0" w:color="auto"/>
        <w:left w:val="none" w:sz="0" w:space="0" w:color="auto"/>
        <w:bottom w:val="none" w:sz="0" w:space="0" w:color="auto"/>
        <w:right w:val="none" w:sz="0" w:space="0" w:color="auto"/>
      </w:divBdr>
    </w:div>
    <w:div w:id="501553954">
      <w:bodyDiv w:val="1"/>
      <w:marLeft w:val="0"/>
      <w:marRight w:val="0"/>
      <w:marTop w:val="0"/>
      <w:marBottom w:val="0"/>
      <w:divBdr>
        <w:top w:val="none" w:sz="0" w:space="0" w:color="auto"/>
        <w:left w:val="none" w:sz="0" w:space="0" w:color="auto"/>
        <w:bottom w:val="none" w:sz="0" w:space="0" w:color="auto"/>
        <w:right w:val="none" w:sz="0" w:space="0" w:color="auto"/>
      </w:divBdr>
      <w:divsChild>
        <w:div w:id="398401052">
          <w:marLeft w:val="274"/>
          <w:marRight w:val="0"/>
          <w:marTop w:val="0"/>
          <w:marBottom w:val="0"/>
          <w:divBdr>
            <w:top w:val="none" w:sz="0" w:space="0" w:color="auto"/>
            <w:left w:val="none" w:sz="0" w:space="0" w:color="auto"/>
            <w:bottom w:val="none" w:sz="0" w:space="0" w:color="auto"/>
            <w:right w:val="none" w:sz="0" w:space="0" w:color="auto"/>
          </w:divBdr>
        </w:div>
      </w:divsChild>
    </w:div>
    <w:div w:id="505097121">
      <w:bodyDiv w:val="1"/>
      <w:marLeft w:val="0"/>
      <w:marRight w:val="0"/>
      <w:marTop w:val="0"/>
      <w:marBottom w:val="0"/>
      <w:divBdr>
        <w:top w:val="none" w:sz="0" w:space="0" w:color="auto"/>
        <w:left w:val="none" w:sz="0" w:space="0" w:color="auto"/>
        <w:bottom w:val="none" w:sz="0" w:space="0" w:color="auto"/>
        <w:right w:val="none" w:sz="0" w:space="0" w:color="auto"/>
      </w:divBdr>
    </w:div>
    <w:div w:id="577713543">
      <w:bodyDiv w:val="1"/>
      <w:marLeft w:val="0"/>
      <w:marRight w:val="0"/>
      <w:marTop w:val="0"/>
      <w:marBottom w:val="0"/>
      <w:divBdr>
        <w:top w:val="none" w:sz="0" w:space="0" w:color="auto"/>
        <w:left w:val="none" w:sz="0" w:space="0" w:color="auto"/>
        <w:bottom w:val="none" w:sz="0" w:space="0" w:color="auto"/>
        <w:right w:val="none" w:sz="0" w:space="0" w:color="auto"/>
      </w:divBdr>
    </w:div>
    <w:div w:id="642276391">
      <w:bodyDiv w:val="1"/>
      <w:marLeft w:val="0"/>
      <w:marRight w:val="0"/>
      <w:marTop w:val="0"/>
      <w:marBottom w:val="0"/>
      <w:divBdr>
        <w:top w:val="none" w:sz="0" w:space="0" w:color="auto"/>
        <w:left w:val="none" w:sz="0" w:space="0" w:color="auto"/>
        <w:bottom w:val="none" w:sz="0" w:space="0" w:color="auto"/>
        <w:right w:val="none" w:sz="0" w:space="0" w:color="auto"/>
      </w:divBdr>
    </w:div>
    <w:div w:id="722951727">
      <w:bodyDiv w:val="1"/>
      <w:marLeft w:val="0"/>
      <w:marRight w:val="0"/>
      <w:marTop w:val="0"/>
      <w:marBottom w:val="0"/>
      <w:divBdr>
        <w:top w:val="none" w:sz="0" w:space="0" w:color="auto"/>
        <w:left w:val="none" w:sz="0" w:space="0" w:color="auto"/>
        <w:bottom w:val="none" w:sz="0" w:space="0" w:color="auto"/>
        <w:right w:val="none" w:sz="0" w:space="0" w:color="auto"/>
      </w:divBdr>
    </w:div>
    <w:div w:id="754548484">
      <w:bodyDiv w:val="1"/>
      <w:marLeft w:val="0"/>
      <w:marRight w:val="0"/>
      <w:marTop w:val="0"/>
      <w:marBottom w:val="0"/>
      <w:divBdr>
        <w:top w:val="none" w:sz="0" w:space="0" w:color="auto"/>
        <w:left w:val="none" w:sz="0" w:space="0" w:color="auto"/>
        <w:bottom w:val="none" w:sz="0" w:space="0" w:color="auto"/>
        <w:right w:val="none" w:sz="0" w:space="0" w:color="auto"/>
      </w:divBdr>
    </w:div>
    <w:div w:id="825627558">
      <w:bodyDiv w:val="1"/>
      <w:marLeft w:val="0"/>
      <w:marRight w:val="0"/>
      <w:marTop w:val="0"/>
      <w:marBottom w:val="0"/>
      <w:divBdr>
        <w:top w:val="none" w:sz="0" w:space="0" w:color="auto"/>
        <w:left w:val="none" w:sz="0" w:space="0" w:color="auto"/>
        <w:bottom w:val="none" w:sz="0" w:space="0" w:color="auto"/>
        <w:right w:val="none" w:sz="0" w:space="0" w:color="auto"/>
      </w:divBdr>
    </w:div>
    <w:div w:id="842858559">
      <w:bodyDiv w:val="1"/>
      <w:marLeft w:val="0"/>
      <w:marRight w:val="0"/>
      <w:marTop w:val="0"/>
      <w:marBottom w:val="0"/>
      <w:divBdr>
        <w:top w:val="none" w:sz="0" w:space="0" w:color="auto"/>
        <w:left w:val="none" w:sz="0" w:space="0" w:color="auto"/>
        <w:bottom w:val="none" w:sz="0" w:space="0" w:color="auto"/>
        <w:right w:val="none" w:sz="0" w:space="0" w:color="auto"/>
      </w:divBdr>
    </w:div>
    <w:div w:id="874467994">
      <w:bodyDiv w:val="1"/>
      <w:marLeft w:val="0"/>
      <w:marRight w:val="0"/>
      <w:marTop w:val="0"/>
      <w:marBottom w:val="0"/>
      <w:divBdr>
        <w:top w:val="none" w:sz="0" w:space="0" w:color="auto"/>
        <w:left w:val="none" w:sz="0" w:space="0" w:color="auto"/>
        <w:bottom w:val="none" w:sz="0" w:space="0" w:color="auto"/>
        <w:right w:val="none" w:sz="0" w:space="0" w:color="auto"/>
      </w:divBdr>
    </w:div>
    <w:div w:id="906960607">
      <w:bodyDiv w:val="1"/>
      <w:marLeft w:val="0"/>
      <w:marRight w:val="0"/>
      <w:marTop w:val="0"/>
      <w:marBottom w:val="0"/>
      <w:divBdr>
        <w:top w:val="none" w:sz="0" w:space="0" w:color="auto"/>
        <w:left w:val="none" w:sz="0" w:space="0" w:color="auto"/>
        <w:bottom w:val="none" w:sz="0" w:space="0" w:color="auto"/>
        <w:right w:val="none" w:sz="0" w:space="0" w:color="auto"/>
      </w:divBdr>
    </w:div>
    <w:div w:id="945769169">
      <w:bodyDiv w:val="1"/>
      <w:marLeft w:val="0"/>
      <w:marRight w:val="0"/>
      <w:marTop w:val="0"/>
      <w:marBottom w:val="0"/>
      <w:divBdr>
        <w:top w:val="none" w:sz="0" w:space="0" w:color="auto"/>
        <w:left w:val="none" w:sz="0" w:space="0" w:color="auto"/>
        <w:bottom w:val="none" w:sz="0" w:space="0" w:color="auto"/>
        <w:right w:val="none" w:sz="0" w:space="0" w:color="auto"/>
      </w:divBdr>
    </w:div>
    <w:div w:id="963510574">
      <w:bodyDiv w:val="1"/>
      <w:marLeft w:val="0"/>
      <w:marRight w:val="0"/>
      <w:marTop w:val="0"/>
      <w:marBottom w:val="0"/>
      <w:divBdr>
        <w:top w:val="none" w:sz="0" w:space="0" w:color="auto"/>
        <w:left w:val="none" w:sz="0" w:space="0" w:color="auto"/>
        <w:bottom w:val="none" w:sz="0" w:space="0" w:color="auto"/>
        <w:right w:val="none" w:sz="0" w:space="0" w:color="auto"/>
      </w:divBdr>
    </w:div>
    <w:div w:id="973482255">
      <w:bodyDiv w:val="1"/>
      <w:marLeft w:val="0"/>
      <w:marRight w:val="0"/>
      <w:marTop w:val="0"/>
      <w:marBottom w:val="0"/>
      <w:divBdr>
        <w:top w:val="none" w:sz="0" w:space="0" w:color="auto"/>
        <w:left w:val="none" w:sz="0" w:space="0" w:color="auto"/>
        <w:bottom w:val="none" w:sz="0" w:space="0" w:color="auto"/>
        <w:right w:val="none" w:sz="0" w:space="0" w:color="auto"/>
      </w:divBdr>
    </w:div>
    <w:div w:id="1028335814">
      <w:bodyDiv w:val="1"/>
      <w:marLeft w:val="0"/>
      <w:marRight w:val="0"/>
      <w:marTop w:val="0"/>
      <w:marBottom w:val="0"/>
      <w:divBdr>
        <w:top w:val="none" w:sz="0" w:space="0" w:color="auto"/>
        <w:left w:val="none" w:sz="0" w:space="0" w:color="auto"/>
        <w:bottom w:val="none" w:sz="0" w:space="0" w:color="auto"/>
        <w:right w:val="none" w:sz="0" w:space="0" w:color="auto"/>
      </w:divBdr>
    </w:div>
    <w:div w:id="1089930765">
      <w:bodyDiv w:val="1"/>
      <w:marLeft w:val="0"/>
      <w:marRight w:val="0"/>
      <w:marTop w:val="0"/>
      <w:marBottom w:val="0"/>
      <w:divBdr>
        <w:top w:val="none" w:sz="0" w:space="0" w:color="auto"/>
        <w:left w:val="none" w:sz="0" w:space="0" w:color="auto"/>
        <w:bottom w:val="none" w:sz="0" w:space="0" w:color="auto"/>
        <w:right w:val="none" w:sz="0" w:space="0" w:color="auto"/>
      </w:divBdr>
    </w:div>
    <w:div w:id="1097752679">
      <w:bodyDiv w:val="1"/>
      <w:marLeft w:val="0"/>
      <w:marRight w:val="0"/>
      <w:marTop w:val="0"/>
      <w:marBottom w:val="0"/>
      <w:divBdr>
        <w:top w:val="none" w:sz="0" w:space="0" w:color="auto"/>
        <w:left w:val="none" w:sz="0" w:space="0" w:color="auto"/>
        <w:bottom w:val="none" w:sz="0" w:space="0" w:color="auto"/>
        <w:right w:val="none" w:sz="0" w:space="0" w:color="auto"/>
      </w:divBdr>
    </w:div>
    <w:div w:id="1303463982">
      <w:bodyDiv w:val="1"/>
      <w:marLeft w:val="0"/>
      <w:marRight w:val="0"/>
      <w:marTop w:val="0"/>
      <w:marBottom w:val="0"/>
      <w:divBdr>
        <w:top w:val="none" w:sz="0" w:space="0" w:color="auto"/>
        <w:left w:val="none" w:sz="0" w:space="0" w:color="auto"/>
        <w:bottom w:val="none" w:sz="0" w:space="0" w:color="auto"/>
        <w:right w:val="none" w:sz="0" w:space="0" w:color="auto"/>
      </w:divBdr>
    </w:div>
    <w:div w:id="1304693768">
      <w:bodyDiv w:val="1"/>
      <w:marLeft w:val="0"/>
      <w:marRight w:val="0"/>
      <w:marTop w:val="0"/>
      <w:marBottom w:val="0"/>
      <w:divBdr>
        <w:top w:val="none" w:sz="0" w:space="0" w:color="auto"/>
        <w:left w:val="none" w:sz="0" w:space="0" w:color="auto"/>
        <w:bottom w:val="none" w:sz="0" w:space="0" w:color="auto"/>
        <w:right w:val="none" w:sz="0" w:space="0" w:color="auto"/>
      </w:divBdr>
    </w:div>
    <w:div w:id="1305772013">
      <w:bodyDiv w:val="1"/>
      <w:marLeft w:val="0"/>
      <w:marRight w:val="0"/>
      <w:marTop w:val="0"/>
      <w:marBottom w:val="0"/>
      <w:divBdr>
        <w:top w:val="none" w:sz="0" w:space="0" w:color="auto"/>
        <w:left w:val="none" w:sz="0" w:space="0" w:color="auto"/>
        <w:bottom w:val="none" w:sz="0" w:space="0" w:color="auto"/>
        <w:right w:val="none" w:sz="0" w:space="0" w:color="auto"/>
      </w:divBdr>
    </w:div>
    <w:div w:id="1323896660">
      <w:bodyDiv w:val="1"/>
      <w:marLeft w:val="0"/>
      <w:marRight w:val="0"/>
      <w:marTop w:val="0"/>
      <w:marBottom w:val="0"/>
      <w:divBdr>
        <w:top w:val="none" w:sz="0" w:space="0" w:color="auto"/>
        <w:left w:val="none" w:sz="0" w:space="0" w:color="auto"/>
        <w:bottom w:val="none" w:sz="0" w:space="0" w:color="auto"/>
        <w:right w:val="none" w:sz="0" w:space="0" w:color="auto"/>
      </w:divBdr>
    </w:div>
    <w:div w:id="1327129385">
      <w:bodyDiv w:val="1"/>
      <w:marLeft w:val="0"/>
      <w:marRight w:val="0"/>
      <w:marTop w:val="0"/>
      <w:marBottom w:val="0"/>
      <w:divBdr>
        <w:top w:val="none" w:sz="0" w:space="0" w:color="auto"/>
        <w:left w:val="none" w:sz="0" w:space="0" w:color="auto"/>
        <w:bottom w:val="none" w:sz="0" w:space="0" w:color="auto"/>
        <w:right w:val="none" w:sz="0" w:space="0" w:color="auto"/>
      </w:divBdr>
    </w:div>
    <w:div w:id="1345786659">
      <w:bodyDiv w:val="1"/>
      <w:marLeft w:val="0"/>
      <w:marRight w:val="0"/>
      <w:marTop w:val="0"/>
      <w:marBottom w:val="0"/>
      <w:divBdr>
        <w:top w:val="none" w:sz="0" w:space="0" w:color="auto"/>
        <w:left w:val="none" w:sz="0" w:space="0" w:color="auto"/>
        <w:bottom w:val="none" w:sz="0" w:space="0" w:color="auto"/>
        <w:right w:val="none" w:sz="0" w:space="0" w:color="auto"/>
      </w:divBdr>
    </w:div>
    <w:div w:id="1415126497">
      <w:bodyDiv w:val="1"/>
      <w:marLeft w:val="0"/>
      <w:marRight w:val="0"/>
      <w:marTop w:val="0"/>
      <w:marBottom w:val="0"/>
      <w:divBdr>
        <w:top w:val="none" w:sz="0" w:space="0" w:color="auto"/>
        <w:left w:val="none" w:sz="0" w:space="0" w:color="auto"/>
        <w:bottom w:val="none" w:sz="0" w:space="0" w:color="auto"/>
        <w:right w:val="none" w:sz="0" w:space="0" w:color="auto"/>
      </w:divBdr>
    </w:div>
    <w:div w:id="1417627975">
      <w:bodyDiv w:val="1"/>
      <w:marLeft w:val="0"/>
      <w:marRight w:val="0"/>
      <w:marTop w:val="0"/>
      <w:marBottom w:val="0"/>
      <w:divBdr>
        <w:top w:val="none" w:sz="0" w:space="0" w:color="auto"/>
        <w:left w:val="none" w:sz="0" w:space="0" w:color="auto"/>
        <w:bottom w:val="none" w:sz="0" w:space="0" w:color="auto"/>
        <w:right w:val="none" w:sz="0" w:space="0" w:color="auto"/>
      </w:divBdr>
    </w:div>
    <w:div w:id="1453209061">
      <w:bodyDiv w:val="1"/>
      <w:marLeft w:val="0"/>
      <w:marRight w:val="0"/>
      <w:marTop w:val="0"/>
      <w:marBottom w:val="0"/>
      <w:divBdr>
        <w:top w:val="none" w:sz="0" w:space="0" w:color="auto"/>
        <w:left w:val="none" w:sz="0" w:space="0" w:color="auto"/>
        <w:bottom w:val="none" w:sz="0" w:space="0" w:color="auto"/>
        <w:right w:val="none" w:sz="0" w:space="0" w:color="auto"/>
      </w:divBdr>
    </w:div>
    <w:div w:id="1529756905">
      <w:bodyDiv w:val="1"/>
      <w:marLeft w:val="0"/>
      <w:marRight w:val="0"/>
      <w:marTop w:val="0"/>
      <w:marBottom w:val="0"/>
      <w:divBdr>
        <w:top w:val="none" w:sz="0" w:space="0" w:color="auto"/>
        <w:left w:val="none" w:sz="0" w:space="0" w:color="auto"/>
        <w:bottom w:val="none" w:sz="0" w:space="0" w:color="auto"/>
        <w:right w:val="none" w:sz="0" w:space="0" w:color="auto"/>
      </w:divBdr>
    </w:div>
    <w:div w:id="1564877581">
      <w:bodyDiv w:val="1"/>
      <w:marLeft w:val="0"/>
      <w:marRight w:val="0"/>
      <w:marTop w:val="0"/>
      <w:marBottom w:val="0"/>
      <w:divBdr>
        <w:top w:val="none" w:sz="0" w:space="0" w:color="auto"/>
        <w:left w:val="none" w:sz="0" w:space="0" w:color="auto"/>
        <w:bottom w:val="none" w:sz="0" w:space="0" w:color="auto"/>
        <w:right w:val="none" w:sz="0" w:space="0" w:color="auto"/>
      </w:divBdr>
    </w:div>
    <w:div w:id="1577471000">
      <w:bodyDiv w:val="1"/>
      <w:marLeft w:val="0"/>
      <w:marRight w:val="0"/>
      <w:marTop w:val="0"/>
      <w:marBottom w:val="0"/>
      <w:divBdr>
        <w:top w:val="none" w:sz="0" w:space="0" w:color="auto"/>
        <w:left w:val="none" w:sz="0" w:space="0" w:color="auto"/>
        <w:bottom w:val="none" w:sz="0" w:space="0" w:color="auto"/>
        <w:right w:val="none" w:sz="0" w:space="0" w:color="auto"/>
      </w:divBdr>
    </w:div>
    <w:div w:id="1589078728">
      <w:bodyDiv w:val="1"/>
      <w:marLeft w:val="0"/>
      <w:marRight w:val="0"/>
      <w:marTop w:val="0"/>
      <w:marBottom w:val="0"/>
      <w:divBdr>
        <w:top w:val="none" w:sz="0" w:space="0" w:color="auto"/>
        <w:left w:val="none" w:sz="0" w:space="0" w:color="auto"/>
        <w:bottom w:val="none" w:sz="0" w:space="0" w:color="auto"/>
        <w:right w:val="none" w:sz="0" w:space="0" w:color="auto"/>
      </w:divBdr>
    </w:div>
    <w:div w:id="1657952801">
      <w:bodyDiv w:val="1"/>
      <w:marLeft w:val="0"/>
      <w:marRight w:val="0"/>
      <w:marTop w:val="0"/>
      <w:marBottom w:val="0"/>
      <w:divBdr>
        <w:top w:val="none" w:sz="0" w:space="0" w:color="auto"/>
        <w:left w:val="none" w:sz="0" w:space="0" w:color="auto"/>
        <w:bottom w:val="none" w:sz="0" w:space="0" w:color="auto"/>
        <w:right w:val="none" w:sz="0" w:space="0" w:color="auto"/>
      </w:divBdr>
    </w:div>
    <w:div w:id="1686981243">
      <w:bodyDiv w:val="1"/>
      <w:marLeft w:val="0"/>
      <w:marRight w:val="0"/>
      <w:marTop w:val="0"/>
      <w:marBottom w:val="0"/>
      <w:divBdr>
        <w:top w:val="none" w:sz="0" w:space="0" w:color="auto"/>
        <w:left w:val="none" w:sz="0" w:space="0" w:color="auto"/>
        <w:bottom w:val="none" w:sz="0" w:space="0" w:color="auto"/>
        <w:right w:val="none" w:sz="0" w:space="0" w:color="auto"/>
      </w:divBdr>
    </w:div>
    <w:div w:id="1800490952">
      <w:bodyDiv w:val="1"/>
      <w:marLeft w:val="0"/>
      <w:marRight w:val="0"/>
      <w:marTop w:val="0"/>
      <w:marBottom w:val="0"/>
      <w:divBdr>
        <w:top w:val="none" w:sz="0" w:space="0" w:color="auto"/>
        <w:left w:val="none" w:sz="0" w:space="0" w:color="auto"/>
        <w:bottom w:val="none" w:sz="0" w:space="0" w:color="auto"/>
        <w:right w:val="none" w:sz="0" w:space="0" w:color="auto"/>
      </w:divBdr>
    </w:div>
    <w:div w:id="1826437705">
      <w:bodyDiv w:val="1"/>
      <w:marLeft w:val="0"/>
      <w:marRight w:val="0"/>
      <w:marTop w:val="0"/>
      <w:marBottom w:val="0"/>
      <w:divBdr>
        <w:top w:val="none" w:sz="0" w:space="0" w:color="auto"/>
        <w:left w:val="none" w:sz="0" w:space="0" w:color="auto"/>
        <w:bottom w:val="none" w:sz="0" w:space="0" w:color="auto"/>
        <w:right w:val="none" w:sz="0" w:space="0" w:color="auto"/>
      </w:divBdr>
    </w:div>
    <w:div w:id="1884905663">
      <w:bodyDiv w:val="1"/>
      <w:marLeft w:val="0"/>
      <w:marRight w:val="0"/>
      <w:marTop w:val="0"/>
      <w:marBottom w:val="0"/>
      <w:divBdr>
        <w:top w:val="none" w:sz="0" w:space="0" w:color="auto"/>
        <w:left w:val="none" w:sz="0" w:space="0" w:color="auto"/>
        <w:bottom w:val="none" w:sz="0" w:space="0" w:color="auto"/>
        <w:right w:val="none" w:sz="0" w:space="0" w:color="auto"/>
      </w:divBdr>
    </w:div>
    <w:div w:id="1891266890">
      <w:bodyDiv w:val="1"/>
      <w:marLeft w:val="0"/>
      <w:marRight w:val="0"/>
      <w:marTop w:val="0"/>
      <w:marBottom w:val="0"/>
      <w:divBdr>
        <w:top w:val="none" w:sz="0" w:space="0" w:color="auto"/>
        <w:left w:val="none" w:sz="0" w:space="0" w:color="auto"/>
        <w:bottom w:val="none" w:sz="0" w:space="0" w:color="auto"/>
        <w:right w:val="none" w:sz="0" w:space="0" w:color="auto"/>
      </w:divBdr>
    </w:div>
    <w:div w:id="1950963397">
      <w:bodyDiv w:val="1"/>
      <w:marLeft w:val="0"/>
      <w:marRight w:val="0"/>
      <w:marTop w:val="0"/>
      <w:marBottom w:val="0"/>
      <w:divBdr>
        <w:top w:val="none" w:sz="0" w:space="0" w:color="auto"/>
        <w:left w:val="none" w:sz="0" w:space="0" w:color="auto"/>
        <w:bottom w:val="none" w:sz="0" w:space="0" w:color="auto"/>
        <w:right w:val="none" w:sz="0" w:space="0" w:color="auto"/>
      </w:divBdr>
    </w:div>
    <w:div w:id="1992174307">
      <w:bodyDiv w:val="1"/>
      <w:marLeft w:val="0"/>
      <w:marRight w:val="0"/>
      <w:marTop w:val="0"/>
      <w:marBottom w:val="0"/>
      <w:divBdr>
        <w:top w:val="none" w:sz="0" w:space="0" w:color="auto"/>
        <w:left w:val="none" w:sz="0" w:space="0" w:color="auto"/>
        <w:bottom w:val="none" w:sz="0" w:space="0" w:color="auto"/>
        <w:right w:val="none" w:sz="0" w:space="0" w:color="auto"/>
      </w:divBdr>
    </w:div>
    <w:div w:id="1998339088">
      <w:bodyDiv w:val="1"/>
      <w:marLeft w:val="0"/>
      <w:marRight w:val="0"/>
      <w:marTop w:val="0"/>
      <w:marBottom w:val="0"/>
      <w:divBdr>
        <w:top w:val="none" w:sz="0" w:space="0" w:color="auto"/>
        <w:left w:val="none" w:sz="0" w:space="0" w:color="auto"/>
        <w:bottom w:val="none" w:sz="0" w:space="0" w:color="auto"/>
        <w:right w:val="none" w:sz="0" w:space="0" w:color="auto"/>
      </w:divBdr>
    </w:div>
    <w:div w:id="2006543035">
      <w:bodyDiv w:val="1"/>
      <w:marLeft w:val="0"/>
      <w:marRight w:val="0"/>
      <w:marTop w:val="0"/>
      <w:marBottom w:val="0"/>
      <w:divBdr>
        <w:top w:val="none" w:sz="0" w:space="0" w:color="auto"/>
        <w:left w:val="none" w:sz="0" w:space="0" w:color="auto"/>
        <w:bottom w:val="none" w:sz="0" w:space="0" w:color="auto"/>
        <w:right w:val="none" w:sz="0" w:space="0" w:color="auto"/>
      </w:divBdr>
    </w:div>
    <w:div w:id="2026662642">
      <w:bodyDiv w:val="1"/>
      <w:marLeft w:val="0"/>
      <w:marRight w:val="0"/>
      <w:marTop w:val="0"/>
      <w:marBottom w:val="0"/>
      <w:divBdr>
        <w:top w:val="none" w:sz="0" w:space="0" w:color="auto"/>
        <w:left w:val="none" w:sz="0" w:space="0" w:color="auto"/>
        <w:bottom w:val="none" w:sz="0" w:space="0" w:color="auto"/>
        <w:right w:val="none" w:sz="0" w:space="0" w:color="auto"/>
      </w:divBdr>
    </w:div>
    <w:div w:id="2049598459">
      <w:bodyDiv w:val="1"/>
      <w:marLeft w:val="0"/>
      <w:marRight w:val="0"/>
      <w:marTop w:val="0"/>
      <w:marBottom w:val="0"/>
      <w:divBdr>
        <w:top w:val="none" w:sz="0" w:space="0" w:color="auto"/>
        <w:left w:val="none" w:sz="0" w:space="0" w:color="auto"/>
        <w:bottom w:val="none" w:sz="0" w:space="0" w:color="auto"/>
        <w:right w:val="none" w:sz="0" w:space="0" w:color="auto"/>
      </w:divBdr>
    </w:div>
    <w:div w:id="2071534241">
      <w:bodyDiv w:val="1"/>
      <w:marLeft w:val="0"/>
      <w:marRight w:val="0"/>
      <w:marTop w:val="0"/>
      <w:marBottom w:val="0"/>
      <w:divBdr>
        <w:top w:val="none" w:sz="0" w:space="0" w:color="auto"/>
        <w:left w:val="none" w:sz="0" w:space="0" w:color="auto"/>
        <w:bottom w:val="none" w:sz="0" w:space="0" w:color="auto"/>
        <w:right w:val="none" w:sz="0" w:space="0" w:color="auto"/>
      </w:divBdr>
    </w:div>
    <w:div w:id="214048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image" Target="media/image19.emf"/><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hyperlink" Target="mailto:lauren.abbott@ab-inbev.com"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hyperlink" Target="mailto:henry.rudd@ab-inbev.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hyperlink" Target="mailto:mariusz.jamka@ab-inbev.com" TargetMode="External"/><Relationship Id="rId37" Type="http://schemas.openxmlformats.org/officeDocument/2006/relationships/image" Target="media/image22.emf"/><Relationship Id="rId40"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hyperlink" Target="mailto:marianne.amssoms@ab-inbev.com" TargetMode="External"/><Relationship Id="rId36" Type="http://schemas.openxmlformats.org/officeDocument/2006/relationships/image" Target="media/image21.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hyperlink" Target="mailto:peter.dercon@ab-inbev.co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hyperlink" Target="http://bit.ly/webcastq2" TargetMode="External"/><Relationship Id="rId30" Type="http://schemas.openxmlformats.org/officeDocument/2006/relationships/hyperlink" Target="mailto:aimee.baxter@ab-inbev.com" TargetMode="External"/><Relationship Id="rId35" Type="http://schemas.openxmlformats.org/officeDocument/2006/relationships/image" Target="media/image20.emf"/></Relationships>
</file>

<file path=word/_rels/header1.xml.rels><?xml version="1.0" encoding="UTF-8" standalone="yes"?>
<Relationships xmlns="http://schemas.openxmlformats.org/package/2006/relationships"><Relationship Id="rId3" Type="http://schemas.openxmlformats.org/officeDocument/2006/relationships/image" Target="media/image29.png"/><Relationship Id="rId2" Type="http://schemas.openxmlformats.org/officeDocument/2006/relationships/image" Target="media/image24.jpeg"/><Relationship Id="rId1" Type="http://schemas.openxmlformats.org/officeDocument/2006/relationships/image" Target="media/image23.png"/><Relationship Id="rId4" Type="http://schemas.openxmlformats.org/officeDocument/2006/relationships/image" Target="media/image30.jpeg"/></Relationships>
</file>

<file path=word/_rels/header2.xml.rels><?xml version="1.0" encoding="UTF-8" standalone="yes"?>
<Relationships xmlns="http://schemas.openxmlformats.org/package/2006/relationships"><Relationship Id="rId3" Type="http://schemas.openxmlformats.org/officeDocument/2006/relationships/image" Target="media/image29.png"/><Relationship Id="rId2" Type="http://schemas.openxmlformats.org/officeDocument/2006/relationships/image" Target="media/image24.jpeg"/><Relationship Id="rId1" Type="http://schemas.openxmlformats.org/officeDocument/2006/relationships/image" Target="media/image23.png"/><Relationship Id="rId4" Type="http://schemas.openxmlformats.org/officeDocument/2006/relationships/image" Target="media/image30.jpeg"/></Relationships>
</file>

<file path=word/theme/theme1.xml><?xml version="1.0" encoding="utf-8"?>
<a:theme xmlns:a="http://schemas.openxmlformats.org/drawingml/2006/main" name="use for FS">
  <a:themeElements>
    <a:clrScheme name="ABI-revised">
      <a:dk1>
        <a:sysClr val="windowText" lastClr="000000"/>
      </a:dk1>
      <a:lt1>
        <a:sysClr val="window" lastClr="FFFFFF"/>
      </a:lt1>
      <a:dk2>
        <a:srgbClr val="B11F24"/>
      </a:dk2>
      <a:lt2>
        <a:srgbClr val="45130F"/>
      </a:lt2>
      <a:accent1>
        <a:srgbClr val="F49C00"/>
      </a:accent1>
      <a:accent2>
        <a:srgbClr val="DB580B"/>
      </a:accent2>
      <a:accent3>
        <a:srgbClr val="C43300"/>
      </a:accent3>
      <a:accent4>
        <a:srgbClr val="892000"/>
      </a:accent4>
      <a:accent5>
        <a:srgbClr val="D1C4C3"/>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use for FS" id="{99A047B5-FBB3-44C4-BF4C-C4D602086920}" vid="{F626D0D5-7728-4597-A8AB-A4D2CF30DC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81B2E-4BE5-4A78-959A-7E6E920EF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6994</Words>
  <Characters>39869</Characters>
  <Application>Microsoft Office Word</Application>
  <DocSecurity>0</DocSecurity>
  <Lines>332</Lines>
  <Paragraphs>93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ABInbev</Company>
  <LinksUpToDate>false</LinksUpToDate>
  <CharactersWithSpaces>46770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dc:creator>
  <cp:lastModifiedBy>Dercon, Peter (ext - d.com.Press)</cp:lastModifiedBy>
  <cp:revision>3</cp:revision>
  <cp:lastPrinted>2017-07-26T22:44:00Z</cp:lastPrinted>
  <dcterms:created xsi:type="dcterms:W3CDTF">2017-07-26T22:43:00Z</dcterms:created>
  <dcterms:modified xsi:type="dcterms:W3CDTF">2017-07-26T22:44:00Z</dcterms:modified>
</cp:coreProperties>
</file>