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2309" w14:textId="77777777" w:rsidR="00B3383B" w:rsidRPr="000F3294" w:rsidRDefault="00B3383B" w:rsidP="00B3383B">
      <w:pPr>
        <w:pStyle w:val="Title16"/>
        <w:spacing w:after="0" w:line="240" w:lineRule="auto"/>
        <w:rPr>
          <w:rFonts w:ascii="Verdana" w:eastAsiaTheme="minorHAnsi" w:hAnsi="Verdana" w:cstheme="minorHAnsi"/>
          <w:b w:val="0"/>
          <w:kern w:val="0"/>
          <w:sz w:val="22"/>
          <w:szCs w:val="22"/>
          <w:lang w:val="en-US" w:eastAsia="en-US"/>
        </w:rPr>
      </w:pPr>
      <w:bookmarkStart w:id="0" w:name="Rule_2_7"/>
      <w:r w:rsidRPr="000F3294">
        <w:rPr>
          <w:rFonts w:ascii="Verdana" w:eastAsiaTheme="minorHAnsi" w:hAnsi="Verdana" w:cstheme="minorHAnsi"/>
          <w:b w:val="0"/>
          <w:kern w:val="0"/>
          <w:sz w:val="22"/>
          <w:szCs w:val="22"/>
          <w:lang w:val="en-US" w:eastAsia="en-US"/>
        </w:rPr>
        <w:t>PROSUS N.V.</w:t>
      </w:r>
    </w:p>
    <w:p w14:paraId="24ABCEFD" w14:textId="77777777" w:rsidR="00B3383B" w:rsidRPr="000F3294" w:rsidRDefault="00B3383B" w:rsidP="00B3383B">
      <w:pPr>
        <w:pStyle w:val="Title16"/>
        <w:spacing w:after="0" w:line="240" w:lineRule="auto"/>
        <w:rPr>
          <w:rFonts w:ascii="Verdana" w:eastAsiaTheme="minorHAnsi" w:hAnsi="Verdana" w:cstheme="minorHAnsi"/>
          <w:b w:val="0"/>
          <w:kern w:val="0"/>
          <w:sz w:val="22"/>
          <w:szCs w:val="22"/>
          <w:lang w:val="en-US" w:eastAsia="en-US"/>
        </w:rPr>
      </w:pPr>
      <w:r w:rsidRPr="000F3294">
        <w:rPr>
          <w:rFonts w:ascii="Verdana" w:eastAsiaTheme="minorHAnsi" w:hAnsi="Verdana" w:cstheme="minorHAnsi"/>
          <w:b w:val="0"/>
          <w:kern w:val="0"/>
          <w:sz w:val="22"/>
          <w:szCs w:val="22"/>
          <w:lang w:val="en-US" w:eastAsia="en-US"/>
        </w:rPr>
        <w:t>(formerly named Myriad International Holdings N.V)</w:t>
      </w:r>
    </w:p>
    <w:p w14:paraId="6E3074A8" w14:textId="77777777" w:rsidR="00B3383B" w:rsidRPr="000F3294" w:rsidRDefault="00B3383B" w:rsidP="00B3383B">
      <w:pPr>
        <w:pStyle w:val="Title16"/>
        <w:spacing w:after="0" w:line="240" w:lineRule="auto"/>
        <w:rPr>
          <w:rFonts w:ascii="Verdana" w:eastAsiaTheme="minorHAnsi" w:hAnsi="Verdana" w:cstheme="minorHAnsi"/>
          <w:b w:val="0"/>
          <w:kern w:val="0"/>
          <w:sz w:val="22"/>
          <w:szCs w:val="22"/>
          <w:lang w:val="en-US" w:eastAsia="en-US"/>
        </w:rPr>
      </w:pPr>
      <w:r w:rsidRPr="000F3294">
        <w:rPr>
          <w:rFonts w:ascii="Verdana" w:eastAsiaTheme="minorHAnsi" w:hAnsi="Verdana" w:cstheme="minorHAnsi"/>
          <w:b w:val="0"/>
          <w:kern w:val="0"/>
          <w:sz w:val="22"/>
          <w:szCs w:val="22"/>
          <w:lang w:val="en-US" w:eastAsia="en-US"/>
        </w:rPr>
        <w:t>Incorporated in the Netherlands</w:t>
      </w:r>
    </w:p>
    <w:p w14:paraId="53F84C70" w14:textId="77777777" w:rsidR="00B3383B" w:rsidRPr="000F3294" w:rsidRDefault="00B3383B" w:rsidP="00B3383B">
      <w:pPr>
        <w:pStyle w:val="Title16"/>
        <w:spacing w:after="0" w:line="240" w:lineRule="auto"/>
        <w:rPr>
          <w:rFonts w:ascii="Verdana" w:eastAsiaTheme="minorHAnsi" w:hAnsi="Verdana" w:cstheme="minorHAnsi"/>
          <w:b w:val="0"/>
          <w:kern w:val="0"/>
          <w:sz w:val="22"/>
          <w:szCs w:val="22"/>
          <w:lang w:val="en-US" w:eastAsia="en-US"/>
        </w:rPr>
      </w:pPr>
      <w:r w:rsidRPr="000F3294">
        <w:rPr>
          <w:rFonts w:ascii="Verdana" w:eastAsiaTheme="minorHAnsi" w:hAnsi="Verdana" w:cstheme="minorHAnsi"/>
          <w:b w:val="0"/>
          <w:kern w:val="0"/>
          <w:sz w:val="22"/>
          <w:szCs w:val="22"/>
          <w:lang w:val="en-US" w:eastAsia="en-US"/>
        </w:rPr>
        <w:t>Legal Entity Identifier: 635400Z5LQ5F9OLVT688</w:t>
      </w:r>
    </w:p>
    <w:p w14:paraId="779944D1" w14:textId="77777777" w:rsidR="00B3383B" w:rsidRPr="000F3294" w:rsidRDefault="00B3383B" w:rsidP="00B3383B">
      <w:pPr>
        <w:pStyle w:val="Title16"/>
        <w:spacing w:after="0" w:line="240" w:lineRule="auto"/>
        <w:rPr>
          <w:rFonts w:ascii="Verdana" w:eastAsiaTheme="minorHAnsi" w:hAnsi="Verdana" w:cstheme="minorHAnsi"/>
          <w:b w:val="0"/>
          <w:kern w:val="0"/>
          <w:sz w:val="22"/>
          <w:szCs w:val="22"/>
          <w:lang w:val="en-US" w:eastAsia="en-US"/>
        </w:rPr>
      </w:pPr>
      <w:r w:rsidRPr="000F3294">
        <w:rPr>
          <w:rFonts w:ascii="Verdana" w:eastAsiaTheme="minorHAnsi" w:hAnsi="Verdana" w:cstheme="minorHAnsi"/>
          <w:b w:val="0"/>
          <w:kern w:val="0"/>
          <w:sz w:val="22"/>
          <w:szCs w:val="22"/>
          <w:lang w:val="en-US" w:eastAsia="en-US"/>
        </w:rPr>
        <w:t>ISIN: NL0013654783</w:t>
      </w:r>
    </w:p>
    <w:p w14:paraId="4DF207DA" w14:textId="77777777" w:rsidR="00B3383B" w:rsidRPr="000F3294" w:rsidRDefault="00B3383B" w:rsidP="00B3383B">
      <w:pPr>
        <w:pStyle w:val="Title16"/>
        <w:spacing w:after="0" w:line="240" w:lineRule="auto"/>
        <w:rPr>
          <w:rFonts w:ascii="Verdana" w:eastAsiaTheme="minorHAnsi" w:hAnsi="Verdana" w:cstheme="minorHAnsi"/>
          <w:b w:val="0"/>
          <w:kern w:val="0"/>
          <w:sz w:val="22"/>
          <w:szCs w:val="22"/>
          <w:lang w:val="en-US" w:eastAsia="en-US"/>
        </w:rPr>
      </w:pPr>
      <w:r w:rsidRPr="000F3294">
        <w:rPr>
          <w:rFonts w:ascii="Verdana" w:eastAsiaTheme="minorHAnsi" w:hAnsi="Verdana" w:cstheme="minorHAnsi"/>
          <w:b w:val="0"/>
          <w:kern w:val="0"/>
          <w:sz w:val="22"/>
          <w:szCs w:val="22"/>
          <w:lang w:val="en-US" w:eastAsia="en-US"/>
        </w:rPr>
        <w:t>Euronext Amsterdam and JSE Share code: PRX</w:t>
      </w:r>
    </w:p>
    <w:p w14:paraId="59240ED6" w14:textId="2CBFD7C8" w:rsidR="00B3383B" w:rsidRPr="000F3294" w:rsidRDefault="00B3383B" w:rsidP="00B3383B">
      <w:pPr>
        <w:pStyle w:val="DocText"/>
        <w:spacing w:before="0" w:line="240" w:lineRule="auto"/>
        <w:jc w:val="center"/>
        <w:rPr>
          <w:rFonts w:ascii="Verdana" w:hAnsi="Verdana"/>
        </w:rPr>
      </w:pPr>
      <w:r w:rsidRPr="000F3294">
        <w:rPr>
          <w:rFonts w:ascii="Verdana" w:hAnsi="Verdana"/>
          <w:lang w:val="en-US"/>
        </w:rPr>
        <w:t>("Prosus")</w:t>
      </w:r>
    </w:p>
    <w:p w14:paraId="56C5D119" w14:textId="77777777" w:rsidR="00A5773B" w:rsidRPr="000F3294" w:rsidRDefault="00A5773B" w:rsidP="00B3383B">
      <w:pPr>
        <w:pStyle w:val="DocText"/>
        <w:spacing w:before="0" w:line="240" w:lineRule="auto"/>
        <w:jc w:val="center"/>
        <w:rPr>
          <w:rFonts w:ascii="Verdana" w:hAnsi="Verdana"/>
        </w:rPr>
      </w:pPr>
    </w:p>
    <w:p w14:paraId="58F1211C" w14:textId="77777777" w:rsidR="00A5773B" w:rsidRPr="000F3294" w:rsidRDefault="00A5773B" w:rsidP="00B3383B">
      <w:pPr>
        <w:pStyle w:val="DocText"/>
        <w:spacing w:before="0" w:line="240" w:lineRule="auto"/>
        <w:jc w:val="center"/>
        <w:rPr>
          <w:rFonts w:ascii="Verdana" w:hAnsi="Verdana"/>
        </w:rPr>
      </w:pPr>
    </w:p>
    <w:p w14:paraId="2CCA9CCB" w14:textId="1E885617" w:rsidR="00A5773B" w:rsidRPr="000F3294" w:rsidRDefault="00A5773B" w:rsidP="00A5773B">
      <w:pPr>
        <w:pStyle w:val="DocText"/>
        <w:jc w:val="center"/>
        <w:rPr>
          <w:rFonts w:ascii="Verdana" w:hAnsi="Verdana"/>
          <w:b/>
          <w:bCs/>
          <w:lang w:val="en-US"/>
        </w:rPr>
      </w:pPr>
      <w:r w:rsidRPr="000F3294">
        <w:rPr>
          <w:rFonts w:ascii="Verdana" w:hAnsi="Verdana"/>
          <w:b/>
          <w:bCs/>
          <w:lang w:val="en-US"/>
        </w:rPr>
        <w:t>BOND OFFERING BY PROSUS N.V.</w:t>
      </w:r>
    </w:p>
    <w:p w14:paraId="1F87BA43" w14:textId="77777777" w:rsidR="00A5773B" w:rsidRPr="000F3294" w:rsidRDefault="00A5773B" w:rsidP="00A5773B">
      <w:pPr>
        <w:pStyle w:val="ListParagraph"/>
        <w:rPr>
          <w:rFonts w:ascii="Verdana" w:hAnsi="Verdana"/>
          <w:b/>
          <w:bCs/>
          <w:lang w:val="en-US"/>
        </w:rPr>
      </w:pPr>
    </w:p>
    <w:p w14:paraId="73EDE478" w14:textId="77777777" w:rsidR="00A5773B" w:rsidRPr="000F3294" w:rsidRDefault="00A5773B" w:rsidP="000F3294">
      <w:pPr>
        <w:pStyle w:val="DocText"/>
        <w:rPr>
          <w:rFonts w:ascii="Verdana" w:hAnsi="Verdana"/>
          <w:b/>
          <w:bCs/>
          <w:lang w:val="en-US"/>
        </w:rPr>
      </w:pPr>
      <w:r w:rsidRPr="000F3294">
        <w:rPr>
          <w:rFonts w:ascii="Verdana" w:hAnsi="Verdana"/>
          <w:lang w:val="en-US"/>
        </w:rPr>
        <w:t>Shareholders are advised that Prosus, on 14 January 2020, successfully priced US$1.25 billion 3.680% notes due 2030 (the “Bonds”) issued under its Global Medium-Term Note Program.</w:t>
      </w:r>
    </w:p>
    <w:p w14:paraId="0862CFCD" w14:textId="77777777" w:rsidR="00A5773B" w:rsidRPr="000F3294" w:rsidRDefault="00A5773B" w:rsidP="000F3294">
      <w:pPr>
        <w:pStyle w:val="DocText"/>
        <w:rPr>
          <w:rFonts w:ascii="Verdana" w:hAnsi="Verdana"/>
          <w:lang w:val="en-US"/>
        </w:rPr>
      </w:pPr>
      <w:r w:rsidRPr="000F3294">
        <w:rPr>
          <w:rFonts w:ascii="Verdana" w:hAnsi="Verdana"/>
          <w:lang w:val="en-US"/>
        </w:rPr>
        <w:t xml:space="preserve">The purpose of this offering was to raise proceeds to redeem the U.S.$1.0 billion 6.000% notes due in July 2020 (the “2020 Bonds”). Demand for the Bonds was five times the originally contemplated US$1.0 billion at attractive pricing terms, which is why Prosus has chosen to increase the size of the issuance. </w:t>
      </w:r>
    </w:p>
    <w:p w14:paraId="51CA96DB" w14:textId="77777777" w:rsidR="00A5773B" w:rsidRPr="000F3294" w:rsidRDefault="00A5773B" w:rsidP="000F3294">
      <w:pPr>
        <w:pStyle w:val="DocText"/>
        <w:rPr>
          <w:rFonts w:ascii="Verdana" w:hAnsi="Verdana"/>
          <w:lang w:val="en-US"/>
        </w:rPr>
      </w:pPr>
      <w:r w:rsidRPr="000F3294">
        <w:rPr>
          <w:rFonts w:ascii="Verdana" w:hAnsi="Verdana"/>
          <w:lang w:val="en-US"/>
        </w:rPr>
        <w:t>An application has been made to Euronext Dublin to admit the Bonds to listing on the Official List of Euronext Dublin and trading on the regulated market thereof.</w:t>
      </w:r>
    </w:p>
    <w:p w14:paraId="640A2FEA" w14:textId="77777777" w:rsidR="00A5773B" w:rsidRPr="000F3294" w:rsidRDefault="00A5773B" w:rsidP="000F3294">
      <w:pPr>
        <w:pStyle w:val="DocText"/>
        <w:rPr>
          <w:rFonts w:ascii="Verdana" w:hAnsi="Verdana"/>
          <w:lang w:val="en-US"/>
        </w:rPr>
      </w:pPr>
      <w:r w:rsidRPr="000F3294">
        <w:rPr>
          <w:rFonts w:ascii="Verdana" w:hAnsi="Verdana"/>
          <w:lang w:val="en-US"/>
        </w:rPr>
        <w:t>The net proceeds of the offering of the Bonds will be used by Prosus for the redemption of the 2020 Bonds and otherwise for general corporate purposes. Prosus is considering various options for the redemption of the 2020 Bonds, including exercising the “make-whole” call option.</w:t>
      </w:r>
    </w:p>
    <w:p w14:paraId="3D0C22A7" w14:textId="77777777" w:rsidR="000F3294" w:rsidRDefault="000F3294" w:rsidP="00C34D6E">
      <w:pPr>
        <w:pStyle w:val="DocText"/>
        <w:numPr>
          <w:ilvl w:val="0"/>
          <w:numId w:val="0"/>
        </w:numPr>
        <w:rPr>
          <w:rFonts w:ascii="Verdana" w:hAnsi="Verdana" w:cs="Arial"/>
          <w:b/>
          <w:szCs w:val="20"/>
        </w:rPr>
      </w:pPr>
    </w:p>
    <w:p w14:paraId="0D124E8C" w14:textId="734BC687" w:rsidR="00C34D6E" w:rsidRPr="000F3294" w:rsidRDefault="00C34D6E" w:rsidP="00C34D6E">
      <w:pPr>
        <w:pStyle w:val="DocText"/>
        <w:numPr>
          <w:ilvl w:val="0"/>
          <w:numId w:val="0"/>
        </w:numPr>
        <w:rPr>
          <w:rFonts w:ascii="Verdana" w:hAnsi="Verdana" w:cs="Arial"/>
          <w:b/>
          <w:szCs w:val="20"/>
        </w:rPr>
      </w:pPr>
      <w:bookmarkStart w:id="1" w:name="_GoBack"/>
      <w:bookmarkEnd w:id="1"/>
      <w:r w:rsidRPr="000F3294">
        <w:rPr>
          <w:rFonts w:ascii="Verdana" w:hAnsi="Verdana" w:cs="Arial"/>
          <w:b/>
          <w:szCs w:val="20"/>
        </w:rPr>
        <w:t xml:space="preserve">Enquiries: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790"/>
      </w:tblGrid>
      <w:tr w:rsidR="00C34D6E" w:rsidRPr="000F3294" w14:paraId="699C04F0" w14:textId="77777777" w:rsidTr="00B3383B">
        <w:tc>
          <w:tcPr>
            <w:tcW w:w="6237" w:type="dxa"/>
            <w:hideMark/>
          </w:tcPr>
          <w:p w14:paraId="125C1B44" w14:textId="6A24182E" w:rsidR="00C34D6E" w:rsidRPr="000F3294" w:rsidRDefault="00C34D6E" w:rsidP="00B3383B">
            <w:pPr>
              <w:pStyle w:val="DocText"/>
              <w:rPr>
                <w:rFonts w:ascii="Verdana" w:hAnsi="Verdana" w:cs="Arial"/>
                <w:b/>
                <w:szCs w:val="20"/>
              </w:rPr>
            </w:pPr>
            <w:r w:rsidRPr="000F3294">
              <w:rPr>
                <w:rFonts w:ascii="Verdana" w:hAnsi="Verdana" w:cs="Arial"/>
                <w:b/>
                <w:szCs w:val="20"/>
              </w:rPr>
              <w:t xml:space="preserve">Investor </w:t>
            </w:r>
          </w:p>
        </w:tc>
        <w:tc>
          <w:tcPr>
            <w:tcW w:w="2790" w:type="dxa"/>
            <w:hideMark/>
          </w:tcPr>
          <w:p w14:paraId="728EC156" w14:textId="77777777" w:rsidR="00C34D6E" w:rsidRPr="000F3294" w:rsidRDefault="00C34D6E" w:rsidP="00B3383B">
            <w:pPr>
              <w:pStyle w:val="DocText"/>
              <w:rPr>
                <w:rFonts w:ascii="Verdana" w:hAnsi="Verdana" w:cs="Arial"/>
                <w:b/>
                <w:szCs w:val="20"/>
              </w:rPr>
            </w:pPr>
            <w:r w:rsidRPr="000F3294">
              <w:rPr>
                <w:rFonts w:ascii="Verdana" w:hAnsi="Verdana" w:cs="Arial"/>
                <w:b/>
                <w:szCs w:val="20"/>
              </w:rPr>
              <w:t xml:space="preserve">+1 347 210 4305 </w:t>
            </w:r>
          </w:p>
        </w:tc>
      </w:tr>
      <w:tr w:rsidR="00C34D6E" w:rsidRPr="000F3294" w14:paraId="30B183E2" w14:textId="77777777" w:rsidTr="00B3383B">
        <w:tc>
          <w:tcPr>
            <w:tcW w:w="6237" w:type="dxa"/>
            <w:hideMark/>
          </w:tcPr>
          <w:p w14:paraId="21765F67" w14:textId="77777777" w:rsidR="00C34D6E" w:rsidRPr="000F3294" w:rsidRDefault="00C34D6E" w:rsidP="00B3383B">
            <w:pPr>
              <w:pStyle w:val="DocText"/>
              <w:spacing w:before="0"/>
              <w:rPr>
                <w:rFonts w:ascii="Verdana" w:hAnsi="Verdana" w:cs="Arial"/>
                <w:szCs w:val="20"/>
              </w:rPr>
            </w:pPr>
            <w:r w:rsidRPr="000F3294">
              <w:rPr>
                <w:rFonts w:ascii="Verdana" w:hAnsi="Verdana" w:cs="Arial"/>
                <w:szCs w:val="20"/>
              </w:rPr>
              <w:t>Eoin Ryan, Head of Investor Relations</w:t>
            </w:r>
          </w:p>
        </w:tc>
        <w:tc>
          <w:tcPr>
            <w:tcW w:w="2790" w:type="dxa"/>
          </w:tcPr>
          <w:p w14:paraId="5536C1B1" w14:textId="77777777" w:rsidR="00C34D6E" w:rsidRPr="000F3294" w:rsidRDefault="00C34D6E" w:rsidP="00B3383B">
            <w:pPr>
              <w:pStyle w:val="DocText"/>
              <w:spacing w:before="0"/>
              <w:rPr>
                <w:rFonts w:ascii="Verdana" w:hAnsi="Verdana" w:cs="Arial"/>
                <w:b/>
                <w:szCs w:val="20"/>
              </w:rPr>
            </w:pPr>
          </w:p>
        </w:tc>
      </w:tr>
      <w:tr w:rsidR="00C34D6E" w:rsidRPr="000F3294" w14:paraId="70E8FF8D" w14:textId="77777777" w:rsidTr="00B3383B">
        <w:tc>
          <w:tcPr>
            <w:tcW w:w="6237" w:type="dxa"/>
          </w:tcPr>
          <w:p w14:paraId="251D541D" w14:textId="77777777" w:rsidR="00C34D6E" w:rsidRPr="000F3294" w:rsidRDefault="00C34D6E" w:rsidP="00B3383B">
            <w:pPr>
              <w:pStyle w:val="DocText"/>
              <w:spacing w:before="0"/>
              <w:rPr>
                <w:rFonts w:ascii="Verdana" w:hAnsi="Verdana" w:cs="Arial"/>
                <w:szCs w:val="20"/>
              </w:rPr>
            </w:pPr>
          </w:p>
        </w:tc>
        <w:tc>
          <w:tcPr>
            <w:tcW w:w="2790" w:type="dxa"/>
          </w:tcPr>
          <w:p w14:paraId="71309C4C" w14:textId="77777777" w:rsidR="00C34D6E" w:rsidRPr="000F3294" w:rsidRDefault="00C34D6E" w:rsidP="00B3383B">
            <w:pPr>
              <w:pStyle w:val="DocText"/>
              <w:spacing w:before="0"/>
              <w:rPr>
                <w:rFonts w:ascii="Verdana" w:hAnsi="Verdana" w:cs="Arial"/>
                <w:b/>
                <w:szCs w:val="20"/>
              </w:rPr>
            </w:pPr>
          </w:p>
        </w:tc>
      </w:tr>
      <w:tr w:rsidR="00C34D6E" w:rsidRPr="000F3294" w14:paraId="7864C250" w14:textId="77777777" w:rsidTr="00B3383B">
        <w:tc>
          <w:tcPr>
            <w:tcW w:w="6237" w:type="dxa"/>
            <w:hideMark/>
          </w:tcPr>
          <w:p w14:paraId="35A0AC73" w14:textId="05C09978" w:rsidR="00C34D6E" w:rsidRPr="000F3294" w:rsidRDefault="00C34D6E" w:rsidP="00B3383B">
            <w:pPr>
              <w:pStyle w:val="DocText"/>
              <w:spacing w:before="0"/>
              <w:rPr>
                <w:rFonts w:ascii="Verdana" w:hAnsi="Verdana" w:cs="Arial"/>
                <w:szCs w:val="20"/>
              </w:rPr>
            </w:pPr>
            <w:r w:rsidRPr="000F3294">
              <w:rPr>
                <w:rFonts w:ascii="Verdana" w:hAnsi="Verdana" w:cs="Arial"/>
                <w:b/>
                <w:szCs w:val="20"/>
              </w:rPr>
              <w:t xml:space="preserve">Media </w:t>
            </w:r>
          </w:p>
        </w:tc>
        <w:tc>
          <w:tcPr>
            <w:tcW w:w="2790" w:type="dxa"/>
            <w:hideMark/>
          </w:tcPr>
          <w:p w14:paraId="700484BA" w14:textId="77777777" w:rsidR="00C34D6E" w:rsidRPr="000F3294" w:rsidRDefault="00C34D6E" w:rsidP="00B3383B">
            <w:pPr>
              <w:pStyle w:val="DocText"/>
              <w:spacing w:before="0"/>
              <w:rPr>
                <w:rFonts w:ascii="Verdana" w:hAnsi="Verdana" w:cs="Arial"/>
                <w:b/>
                <w:szCs w:val="20"/>
              </w:rPr>
            </w:pPr>
            <w:r w:rsidRPr="000F3294">
              <w:rPr>
                <w:rFonts w:ascii="Verdana" w:hAnsi="Verdana" w:cs="Arial"/>
                <w:b/>
                <w:szCs w:val="20"/>
              </w:rPr>
              <w:t>+44 207 251 3801</w:t>
            </w:r>
          </w:p>
        </w:tc>
      </w:tr>
      <w:tr w:rsidR="00C34D6E" w:rsidRPr="000F3294" w14:paraId="25E4C2E0" w14:textId="77777777" w:rsidTr="00B3383B">
        <w:tc>
          <w:tcPr>
            <w:tcW w:w="6237" w:type="dxa"/>
            <w:hideMark/>
          </w:tcPr>
          <w:p w14:paraId="4C7F62E2" w14:textId="77777777" w:rsidR="00C34D6E" w:rsidRPr="000F3294" w:rsidRDefault="00C34D6E" w:rsidP="00B3383B">
            <w:pPr>
              <w:pStyle w:val="DocText"/>
              <w:spacing w:before="0"/>
              <w:rPr>
                <w:rFonts w:ascii="Verdana" w:hAnsi="Verdana" w:cs="Arial"/>
                <w:szCs w:val="20"/>
              </w:rPr>
            </w:pPr>
            <w:r w:rsidRPr="000F3294">
              <w:rPr>
                <w:rFonts w:ascii="Verdana" w:hAnsi="Verdana" w:cs="Arial"/>
                <w:szCs w:val="20"/>
              </w:rPr>
              <w:t>Sarah Ryan, International Media Relations</w:t>
            </w:r>
          </w:p>
        </w:tc>
        <w:tc>
          <w:tcPr>
            <w:tcW w:w="2790" w:type="dxa"/>
          </w:tcPr>
          <w:p w14:paraId="4E0160A0" w14:textId="77777777" w:rsidR="00C34D6E" w:rsidRPr="000F3294" w:rsidRDefault="00C34D6E" w:rsidP="00B3383B">
            <w:pPr>
              <w:pStyle w:val="DocText"/>
              <w:spacing w:before="0"/>
              <w:rPr>
                <w:rFonts w:ascii="Verdana" w:hAnsi="Verdana" w:cs="Arial"/>
                <w:b/>
                <w:szCs w:val="20"/>
              </w:rPr>
            </w:pPr>
          </w:p>
        </w:tc>
      </w:tr>
    </w:tbl>
    <w:p w14:paraId="6A4FE047" w14:textId="77777777" w:rsidR="00B3383B" w:rsidRPr="000F3294" w:rsidRDefault="00B3383B" w:rsidP="00B3383B">
      <w:pPr>
        <w:pStyle w:val="DocText"/>
        <w:spacing w:before="0" w:line="240" w:lineRule="auto"/>
        <w:rPr>
          <w:rFonts w:ascii="Verdana" w:hAnsi="Verdana"/>
          <w:lang w:val="en-ZA"/>
        </w:rPr>
      </w:pPr>
    </w:p>
    <w:p w14:paraId="4EAA91AC" w14:textId="77777777" w:rsidR="00A5773B" w:rsidRPr="000F3294" w:rsidRDefault="00A5773B" w:rsidP="00A5773B">
      <w:pPr>
        <w:pStyle w:val="DocText"/>
        <w:spacing w:before="0" w:line="240" w:lineRule="auto"/>
        <w:rPr>
          <w:rFonts w:ascii="Verdana" w:hAnsi="Verdana"/>
          <w:lang w:val="en-US"/>
        </w:rPr>
      </w:pPr>
      <w:r w:rsidRPr="000F3294">
        <w:rPr>
          <w:rFonts w:ascii="Verdana" w:hAnsi="Verdana"/>
          <w:lang w:val="en-US"/>
        </w:rPr>
        <w:t>JSE sponsor (South Africa): Investec Bank Limited</w:t>
      </w:r>
    </w:p>
    <w:p w14:paraId="69072B96" w14:textId="77777777" w:rsidR="00A5773B" w:rsidRPr="000F3294" w:rsidRDefault="00A5773B" w:rsidP="00A5773B">
      <w:pPr>
        <w:pStyle w:val="DocText"/>
        <w:spacing w:before="0" w:line="240" w:lineRule="auto"/>
        <w:rPr>
          <w:rFonts w:ascii="Verdana" w:hAnsi="Verdana"/>
          <w:lang w:val="en-US"/>
        </w:rPr>
      </w:pPr>
    </w:p>
    <w:p w14:paraId="1008448A" w14:textId="77777777" w:rsidR="00A5773B" w:rsidRPr="000F3294" w:rsidRDefault="00A5773B" w:rsidP="00A5773B">
      <w:pPr>
        <w:pStyle w:val="DocText"/>
        <w:spacing w:before="0" w:line="240" w:lineRule="auto"/>
        <w:rPr>
          <w:rFonts w:ascii="Verdana" w:hAnsi="Verdana"/>
          <w:lang w:val="en-US"/>
        </w:rPr>
      </w:pPr>
    </w:p>
    <w:p w14:paraId="00A3611C" w14:textId="53200FBA" w:rsidR="00A5773B" w:rsidRPr="000F3294" w:rsidRDefault="00A5773B" w:rsidP="00A5773B">
      <w:pPr>
        <w:pStyle w:val="DocText"/>
        <w:spacing w:before="0" w:line="240" w:lineRule="auto"/>
        <w:rPr>
          <w:rFonts w:ascii="Verdana" w:hAnsi="Verdana"/>
          <w:lang w:val="en-US"/>
        </w:rPr>
      </w:pPr>
      <w:r w:rsidRPr="000F3294">
        <w:rPr>
          <w:rFonts w:ascii="Verdana" w:hAnsi="Verdana"/>
          <w:lang w:val="en-US"/>
        </w:rPr>
        <w:t>Amsterdam, the Netherlands</w:t>
      </w:r>
    </w:p>
    <w:p w14:paraId="16D118AF" w14:textId="77777777" w:rsidR="00A5773B" w:rsidRPr="000F3294" w:rsidRDefault="00A5773B" w:rsidP="00A5773B">
      <w:pPr>
        <w:pStyle w:val="DocText"/>
        <w:spacing w:before="0" w:line="240" w:lineRule="auto"/>
        <w:rPr>
          <w:rFonts w:ascii="Verdana" w:hAnsi="Verdana"/>
          <w:lang w:val="en-US"/>
        </w:rPr>
      </w:pPr>
      <w:r w:rsidRPr="000F3294">
        <w:rPr>
          <w:rFonts w:ascii="Verdana" w:hAnsi="Verdana"/>
          <w:lang w:val="en-US"/>
        </w:rPr>
        <w:t>15 January 2020</w:t>
      </w:r>
    </w:p>
    <w:bookmarkEnd w:id="0"/>
    <w:p w14:paraId="6DE801EB" w14:textId="77777777" w:rsidR="001E79DF" w:rsidRPr="000F3294" w:rsidRDefault="001E79DF" w:rsidP="001E79DF">
      <w:pPr>
        <w:pStyle w:val="AODocTxt"/>
        <w:rPr>
          <w:rFonts w:ascii="Verdana" w:hAnsi="Verdana"/>
        </w:rPr>
      </w:pPr>
    </w:p>
    <w:sectPr w:rsidR="001E79DF" w:rsidRPr="000F3294" w:rsidSect="00524948">
      <w:headerReference w:type="first" r:id="rId11"/>
      <w:footerReference w:type="first" r:id="rId12"/>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B94D" w14:textId="77777777" w:rsidR="00B3383B" w:rsidRPr="00920631" w:rsidRDefault="00B3383B" w:rsidP="001E7139">
      <w:r w:rsidRPr="00920631">
        <w:separator/>
      </w:r>
    </w:p>
  </w:endnote>
  <w:endnote w:type="continuationSeparator" w:id="0">
    <w:p w14:paraId="43521C4A" w14:textId="77777777" w:rsidR="00B3383B" w:rsidRPr="00920631" w:rsidRDefault="00B3383B"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1"/>
      <w:gridCol w:w="3214"/>
      <w:gridCol w:w="3214"/>
    </w:tblGrid>
    <w:tr w:rsidR="00B3383B" w14:paraId="1B198A6A" w14:textId="77777777" w:rsidTr="005D5CB3">
      <w:tc>
        <w:tcPr>
          <w:tcW w:w="5000" w:type="pct"/>
          <w:gridSpan w:val="3"/>
          <w:tcMar>
            <w:top w:w="170" w:type="dxa"/>
          </w:tcMar>
        </w:tcPr>
        <w:p w14:paraId="2F4C3EFF" w14:textId="61299647" w:rsidR="00B3383B" w:rsidRDefault="00B3383B" w:rsidP="005D5CB3">
          <w:pPr>
            <w:pStyle w:val="AONormal8LBold"/>
          </w:pPr>
          <w:r>
            <w:fldChar w:fldCharType="begin"/>
          </w:r>
          <w:r>
            <w:instrText xml:space="preserve"> DOCPROPERTY  cpFooterText </w:instrText>
          </w:r>
          <w:r>
            <w:fldChar w:fldCharType="separate"/>
          </w:r>
          <w:r>
            <w:rPr>
              <w:b w:val="0"/>
              <w:bCs/>
              <w:lang w:val="en-US"/>
            </w:rPr>
            <w:t>Error! Unknown document property name.</w:t>
          </w:r>
          <w:r>
            <w:fldChar w:fldCharType="end"/>
          </w:r>
        </w:p>
      </w:tc>
    </w:tr>
    <w:tr w:rsidR="00B3383B" w14:paraId="5CDBCBE4" w14:textId="77777777" w:rsidTr="005D5CB3">
      <w:tc>
        <w:tcPr>
          <w:tcW w:w="1666" w:type="pct"/>
        </w:tcPr>
        <w:p w14:paraId="3DDFCCD0" w14:textId="0053DE10" w:rsidR="00B3383B" w:rsidRDefault="000F3294" w:rsidP="005D5CB3">
          <w:pPr>
            <w:pStyle w:val="AONormal8L"/>
          </w:pPr>
          <w:r>
            <w:fldChar w:fldCharType="begin"/>
          </w:r>
          <w:r>
            <w:instrText xml:space="preserve"> DOCPROPERTY  cpCombinedRef </w:instrText>
          </w:r>
          <w:r>
            <w:fldChar w:fldCharType="separate"/>
          </w:r>
          <w:r w:rsidR="00B3383B">
            <w:t>0130215-0000001 CO:37982150.5</w:t>
          </w:r>
          <w:r>
            <w:fldChar w:fldCharType="end"/>
          </w:r>
        </w:p>
      </w:tc>
      <w:tc>
        <w:tcPr>
          <w:tcW w:w="1667" w:type="pct"/>
        </w:tcPr>
        <w:p w14:paraId="4DC12C44" w14:textId="77777777" w:rsidR="00B3383B" w:rsidRDefault="00B3383B"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14:paraId="06CC0B57" w14:textId="77777777" w:rsidR="00B3383B" w:rsidRDefault="00B3383B" w:rsidP="005D5CB3">
          <w:pPr>
            <w:pStyle w:val="AONormal8R"/>
          </w:pPr>
        </w:p>
      </w:tc>
    </w:tr>
  </w:tbl>
  <w:p w14:paraId="7729C803" w14:textId="77777777" w:rsidR="00B3383B" w:rsidRDefault="00B3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6CD4" w14:textId="77777777" w:rsidR="00B3383B" w:rsidRPr="00920631" w:rsidRDefault="00B3383B" w:rsidP="001E7139">
      <w:r w:rsidRPr="00920631">
        <w:separator/>
      </w:r>
    </w:p>
  </w:footnote>
  <w:footnote w:type="continuationSeparator" w:id="0">
    <w:p w14:paraId="0F4FB32B" w14:textId="77777777" w:rsidR="00B3383B" w:rsidRPr="00920631" w:rsidRDefault="00B3383B"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639"/>
    </w:tblGrid>
    <w:tr w:rsidR="00B3383B" w14:paraId="0D3183C2" w14:textId="77777777" w:rsidTr="005D5CB3">
      <w:tc>
        <w:tcPr>
          <w:tcW w:w="9854" w:type="dxa"/>
        </w:tcPr>
        <w:bookmarkStart w:id="2" w:name="bmkHeaderPrimaryDoc"/>
        <w:p w14:paraId="7643416A" w14:textId="6CAA6D22" w:rsidR="00B3383B" w:rsidRDefault="00B3383B" w:rsidP="005D5CB3">
          <w:pPr>
            <w:pStyle w:val="AONormal8LBold"/>
          </w:pPr>
          <w:r>
            <w:fldChar w:fldCharType="begin"/>
          </w:r>
          <w:r>
            <w:instrText xml:space="preserve"> DOCPROPERTY  cpHeaderText </w:instrText>
          </w:r>
          <w:r>
            <w:fldChar w:fldCharType="separate"/>
          </w:r>
          <w:r>
            <w:rPr>
              <w:b w:val="0"/>
              <w:bCs/>
              <w:lang w:val="en-US"/>
            </w:rPr>
            <w:t>Error! Unknown document property name.</w:t>
          </w:r>
          <w:r>
            <w:fldChar w:fldCharType="end"/>
          </w:r>
        </w:p>
      </w:tc>
    </w:tr>
    <w:bookmarkEnd w:id="2"/>
  </w:tbl>
  <w:p w14:paraId="3F9873E1" w14:textId="77777777" w:rsidR="00B3383B" w:rsidRDefault="00B3383B"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15:restartNumberingAfterBreak="0">
    <w:nsid w:val="26536A81"/>
    <w:multiLevelType w:val="multilevel"/>
    <w:tmpl w:val="2CD4276C"/>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4"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4"/>
  </w:num>
  <w:num w:numId="12">
    <w:abstractNumId w:val="2"/>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48"/>
    <w:rsid w:val="00035DF9"/>
    <w:rsid w:val="00041D01"/>
    <w:rsid w:val="000520A8"/>
    <w:rsid w:val="00083181"/>
    <w:rsid w:val="00093CA4"/>
    <w:rsid w:val="000D0702"/>
    <w:rsid w:val="000F2361"/>
    <w:rsid w:val="000F3294"/>
    <w:rsid w:val="00174C8C"/>
    <w:rsid w:val="001837F3"/>
    <w:rsid w:val="001E7139"/>
    <w:rsid w:val="001E79DF"/>
    <w:rsid w:val="00207AAC"/>
    <w:rsid w:val="00207F8C"/>
    <w:rsid w:val="00213D4C"/>
    <w:rsid w:val="00227A39"/>
    <w:rsid w:val="00244F4C"/>
    <w:rsid w:val="00251D49"/>
    <w:rsid w:val="00284A94"/>
    <w:rsid w:val="002A01D2"/>
    <w:rsid w:val="002E0DDE"/>
    <w:rsid w:val="003674A3"/>
    <w:rsid w:val="00375A6D"/>
    <w:rsid w:val="003813A3"/>
    <w:rsid w:val="0039038D"/>
    <w:rsid w:val="003D006E"/>
    <w:rsid w:val="00432A6C"/>
    <w:rsid w:val="00440C96"/>
    <w:rsid w:val="0045533C"/>
    <w:rsid w:val="00463113"/>
    <w:rsid w:val="0047162F"/>
    <w:rsid w:val="004A6489"/>
    <w:rsid w:val="004B39A3"/>
    <w:rsid w:val="004C587E"/>
    <w:rsid w:val="00504ED1"/>
    <w:rsid w:val="00524948"/>
    <w:rsid w:val="00551F6F"/>
    <w:rsid w:val="00591525"/>
    <w:rsid w:val="005C0A20"/>
    <w:rsid w:val="005C0DE8"/>
    <w:rsid w:val="005C567C"/>
    <w:rsid w:val="005C595A"/>
    <w:rsid w:val="005D16AE"/>
    <w:rsid w:val="005D5CB3"/>
    <w:rsid w:val="005E5E8C"/>
    <w:rsid w:val="00607E8B"/>
    <w:rsid w:val="00624BE1"/>
    <w:rsid w:val="00630AD0"/>
    <w:rsid w:val="00664521"/>
    <w:rsid w:val="00665FA9"/>
    <w:rsid w:val="0068599B"/>
    <w:rsid w:val="006A39D9"/>
    <w:rsid w:val="006A5AA0"/>
    <w:rsid w:val="006C4ACA"/>
    <w:rsid w:val="006C6D54"/>
    <w:rsid w:val="006F4DD9"/>
    <w:rsid w:val="00730573"/>
    <w:rsid w:val="007436AE"/>
    <w:rsid w:val="00763468"/>
    <w:rsid w:val="00791599"/>
    <w:rsid w:val="007C63AF"/>
    <w:rsid w:val="007D75EC"/>
    <w:rsid w:val="008031BD"/>
    <w:rsid w:val="00822A1E"/>
    <w:rsid w:val="008A1B5B"/>
    <w:rsid w:val="008C14D4"/>
    <w:rsid w:val="008C4C75"/>
    <w:rsid w:val="008D50B1"/>
    <w:rsid w:val="008E0A09"/>
    <w:rsid w:val="008E5AED"/>
    <w:rsid w:val="008F68D8"/>
    <w:rsid w:val="00920631"/>
    <w:rsid w:val="00960F52"/>
    <w:rsid w:val="009D20EB"/>
    <w:rsid w:val="009E0C49"/>
    <w:rsid w:val="00A02251"/>
    <w:rsid w:val="00A05FE8"/>
    <w:rsid w:val="00A279B2"/>
    <w:rsid w:val="00A5773B"/>
    <w:rsid w:val="00A76A73"/>
    <w:rsid w:val="00A9172C"/>
    <w:rsid w:val="00AA4E26"/>
    <w:rsid w:val="00B1321E"/>
    <w:rsid w:val="00B15851"/>
    <w:rsid w:val="00B3383B"/>
    <w:rsid w:val="00B43857"/>
    <w:rsid w:val="00BA6B05"/>
    <w:rsid w:val="00BB07C3"/>
    <w:rsid w:val="00BB7754"/>
    <w:rsid w:val="00BC0964"/>
    <w:rsid w:val="00BD452D"/>
    <w:rsid w:val="00BE2502"/>
    <w:rsid w:val="00BF1C21"/>
    <w:rsid w:val="00C2524B"/>
    <w:rsid w:val="00C27C6D"/>
    <w:rsid w:val="00C34D6E"/>
    <w:rsid w:val="00C46506"/>
    <w:rsid w:val="00CA2C1F"/>
    <w:rsid w:val="00CA6867"/>
    <w:rsid w:val="00CB6AE1"/>
    <w:rsid w:val="00CC19DE"/>
    <w:rsid w:val="00D03DDB"/>
    <w:rsid w:val="00D30929"/>
    <w:rsid w:val="00D320E4"/>
    <w:rsid w:val="00D47CF2"/>
    <w:rsid w:val="00D60A12"/>
    <w:rsid w:val="00D73630"/>
    <w:rsid w:val="00D7509A"/>
    <w:rsid w:val="00D836DC"/>
    <w:rsid w:val="00DC6B10"/>
    <w:rsid w:val="00DE56E6"/>
    <w:rsid w:val="00E05622"/>
    <w:rsid w:val="00E17B23"/>
    <w:rsid w:val="00E20795"/>
    <w:rsid w:val="00E30328"/>
    <w:rsid w:val="00E30C20"/>
    <w:rsid w:val="00E5005F"/>
    <w:rsid w:val="00E72D84"/>
    <w:rsid w:val="00E81B74"/>
    <w:rsid w:val="00E904EB"/>
    <w:rsid w:val="00E9172D"/>
    <w:rsid w:val="00EA5A2B"/>
    <w:rsid w:val="00ED1E76"/>
    <w:rsid w:val="00EF1683"/>
    <w:rsid w:val="00F01CD0"/>
    <w:rsid w:val="00F34376"/>
    <w:rsid w:val="00F53B14"/>
    <w:rsid w:val="00F553A4"/>
    <w:rsid w:val="00F647A7"/>
    <w:rsid w:val="00F70721"/>
    <w:rsid w:val="00F93ECA"/>
    <w:rsid w:val="00FD4C5E"/>
    <w:rsid w:val="00FE1135"/>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7A5B5"/>
  <w15:docId w15:val="{7B44678D-2030-4CD7-A5C7-ED73DBB3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6E"/>
    <w:pPr>
      <w:spacing w:after="240" w:line="240" w:lineRule="auto"/>
      <w:jc w:val="both"/>
    </w:pPr>
    <w:rPr>
      <w:rFonts w:eastAsia="SimSun" w:cs="Simplified Arabic"/>
      <w:sz w:val="24"/>
      <w:szCs w:val="24"/>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4D6E"/>
    <w:rPr>
      <w:color w:val="0000FF"/>
      <w:u w:val="single"/>
    </w:rPr>
  </w:style>
  <w:style w:type="paragraph" w:customStyle="1" w:styleId="DocText">
    <w:name w:val="DocText"/>
    <w:basedOn w:val="Normal"/>
    <w:rsid w:val="00C34D6E"/>
    <w:pPr>
      <w:numPr>
        <w:numId w:val="19"/>
      </w:numPr>
      <w:spacing w:before="240" w:after="0" w:line="260" w:lineRule="atLeast"/>
    </w:pPr>
    <w:rPr>
      <w:rFonts w:ascii="Arial" w:eastAsiaTheme="minorHAnsi" w:hAnsi="Arial" w:cs="Times New Roman"/>
      <w:sz w:val="20"/>
      <w:szCs w:val="22"/>
    </w:rPr>
  </w:style>
  <w:style w:type="paragraph" w:customStyle="1" w:styleId="DocTextL1">
    <w:name w:val="DocTextL1"/>
    <w:basedOn w:val="DocText"/>
    <w:rsid w:val="00C34D6E"/>
    <w:pPr>
      <w:numPr>
        <w:ilvl w:val="1"/>
      </w:numPr>
    </w:pPr>
  </w:style>
  <w:style w:type="paragraph" w:customStyle="1" w:styleId="DocTextL2">
    <w:name w:val="DocTextL2"/>
    <w:basedOn w:val="DocText"/>
    <w:rsid w:val="00C34D6E"/>
    <w:pPr>
      <w:numPr>
        <w:ilvl w:val="2"/>
      </w:numPr>
    </w:pPr>
  </w:style>
  <w:style w:type="paragraph" w:customStyle="1" w:styleId="DocTextL3">
    <w:name w:val="DocTextL3"/>
    <w:basedOn w:val="DocText"/>
    <w:rsid w:val="00C34D6E"/>
    <w:pPr>
      <w:numPr>
        <w:ilvl w:val="3"/>
      </w:numPr>
    </w:pPr>
  </w:style>
  <w:style w:type="paragraph" w:customStyle="1" w:styleId="DocTextL4">
    <w:name w:val="DocTextL4"/>
    <w:basedOn w:val="DocText"/>
    <w:rsid w:val="00C34D6E"/>
    <w:pPr>
      <w:numPr>
        <w:ilvl w:val="4"/>
      </w:numPr>
    </w:pPr>
  </w:style>
  <w:style w:type="paragraph" w:customStyle="1" w:styleId="DocTextL5">
    <w:name w:val="DocTextL5"/>
    <w:basedOn w:val="DocText"/>
    <w:rsid w:val="00C34D6E"/>
    <w:pPr>
      <w:numPr>
        <w:ilvl w:val="5"/>
      </w:numPr>
    </w:pPr>
  </w:style>
  <w:style w:type="paragraph" w:customStyle="1" w:styleId="DocTextL6">
    <w:name w:val="DocTextL6"/>
    <w:basedOn w:val="DocText"/>
    <w:rsid w:val="00C34D6E"/>
    <w:pPr>
      <w:numPr>
        <w:ilvl w:val="6"/>
      </w:numPr>
    </w:pPr>
  </w:style>
  <w:style w:type="paragraph" w:customStyle="1" w:styleId="DocTextL7">
    <w:name w:val="DocTextL7"/>
    <w:basedOn w:val="DocText"/>
    <w:rsid w:val="00C34D6E"/>
    <w:pPr>
      <w:numPr>
        <w:ilvl w:val="7"/>
      </w:numPr>
    </w:pPr>
  </w:style>
  <w:style w:type="paragraph" w:customStyle="1" w:styleId="DocTextL8">
    <w:name w:val="DocTextL8"/>
    <w:basedOn w:val="DocText"/>
    <w:rsid w:val="00C34D6E"/>
    <w:pPr>
      <w:numPr>
        <w:ilvl w:val="8"/>
      </w:numPr>
    </w:pPr>
  </w:style>
  <w:style w:type="paragraph" w:customStyle="1" w:styleId="justify">
    <w:name w:val="justify"/>
    <w:basedOn w:val="DocText"/>
    <w:rsid w:val="00C34D6E"/>
    <w:pPr>
      <w:numPr>
        <w:numId w:val="0"/>
      </w:numPr>
      <w:jc w:val="left"/>
    </w:pPr>
    <w:rPr>
      <w:rFonts w:cs="Arial"/>
      <w:szCs w:val="20"/>
    </w:rPr>
  </w:style>
  <w:style w:type="paragraph" w:customStyle="1" w:styleId="nu">
    <w:name w:val="nu"/>
    <w:basedOn w:val="DocText"/>
    <w:rsid w:val="00C34D6E"/>
    <w:pPr>
      <w:numPr>
        <w:numId w:val="0"/>
      </w:numPr>
      <w:spacing w:before="0"/>
    </w:pPr>
    <w:rPr>
      <w:rFonts w:cs="Arial"/>
      <w:b/>
      <w:szCs w:val="20"/>
    </w:rPr>
  </w:style>
  <w:style w:type="character" w:styleId="FootnoteReference">
    <w:name w:val="footnote reference"/>
    <w:basedOn w:val="DefaultParagraphFont"/>
    <w:uiPriority w:val="99"/>
    <w:semiHidden/>
    <w:unhideWhenUsed/>
    <w:rsid w:val="00D30929"/>
    <w:rPr>
      <w:vertAlign w:val="superscript"/>
    </w:rPr>
  </w:style>
  <w:style w:type="paragraph" w:customStyle="1" w:styleId="Title16">
    <w:name w:val="Title16"/>
    <w:basedOn w:val="Normal"/>
    <w:rsid w:val="00B3383B"/>
    <w:pPr>
      <w:keepNext/>
      <w:keepLines/>
      <w:suppressAutoHyphens/>
      <w:spacing w:after="120" w:line="288" w:lineRule="auto"/>
      <w:jc w:val="center"/>
      <w:outlineLvl w:val="0"/>
    </w:pPr>
    <w:rPr>
      <w:rFonts w:eastAsia="Times New Roman" w:cs="Times New Roman"/>
      <w:b/>
      <w:kern w:val="20"/>
      <w:sz w:val="32"/>
      <w:lang w:eastAsia="en-GB"/>
    </w:rPr>
  </w:style>
  <w:style w:type="paragraph" w:styleId="ListParagraph">
    <w:name w:val="List Paragraph"/>
    <w:basedOn w:val="Normal"/>
    <w:uiPriority w:val="34"/>
    <w:qFormat/>
    <w:rsid w:val="00A57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20-01-09T16-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8892C98B868449327CFB8C8130573" ma:contentTypeVersion="10" ma:contentTypeDescription="Create a new document." ma:contentTypeScope="" ma:versionID="8b5d595d1603e59a1fdadd7175fb4801">
  <xsd:schema xmlns:xsd="http://www.w3.org/2001/XMLSchema" xmlns:xs="http://www.w3.org/2001/XMLSchema" xmlns:p="http://schemas.microsoft.com/office/2006/metadata/properties" xmlns:ns2="491fff8c-b0f7-4246-ad84-3a754cc6578c" xmlns:ns3="d830a163-2bd2-4904-a356-455e0fdb518a" targetNamespace="http://schemas.microsoft.com/office/2006/metadata/properties" ma:root="true" ma:fieldsID="268c6acfdf7e930b8db5563181ed3b06" ns2:_="" ns3:_="">
    <xsd:import namespace="491fff8c-b0f7-4246-ad84-3a754cc6578c"/>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fff8c-b0f7-4246-ad84-3a754cc6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331E-7333-47BF-AD24-D2C1CB48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fff8c-b0f7-4246-ad84-3a754cc6578c"/>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606ce779-1b2e-46fd-82e3-0f1b7112e4a4"/>
    <ds:schemaRef ds:uri="http://schemas.openxmlformats.org/package/2006/metadata/core-properties"/>
    <ds:schemaRef ds:uri="b155871e-c8b5-4c87-9d06-1a5ce01b077f"/>
    <ds:schemaRef ds:uri="http://www.w3.org/XML/1998/namespace"/>
    <ds:schemaRef ds:uri="http://purl.org/dc/terms/"/>
  </ds:schemaRefs>
</ds:datastoreItem>
</file>

<file path=customXml/itemProps3.xml><?xml version="1.0" encoding="utf-8"?>
<ds:datastoreItem xmlns:ds="http://schemas.openxmlformats.org/officeDocument/2006/customXml" ds:itemID="{AB7869F2-B7CD-4CB7-9B46-F1B1D29E4038}">
  <ds:schemaRefs>
    <ds:schemaRef ds:uri="http://schemas.microsoft.com/sharepoint/v3/contenttype/forms"/>
  </ds:schemaRefs>
</ds:datastoreItem>
</file>

<file path=customXml/itemProps4.xml><?xml version="1.0" encoding="utf-8"?>
<ds:datastoreItem xmlns:ds="http://schemas.openxmlformats.org/officeDocument/2006/customXml" ds:itemID="{7A7E1169-DFB2-41F4-A9F2-6F16127C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4</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Lutz</dc:creator>
  <cp:lastModifiedBy>Toni Lutz</cp:lastModifiedBy>
  <cp:revision>3</cp:revision>
  <cp:lastPrinted>2020-01-10T13:08:00Z</cp:lastPrinted>
  <dcterms:created xsi:type="dcterms:W3CDTF">2020-01-15T05:55:00Z</dcterms:created>
  <dcterms:modified xsi:type="dcterms:W3CDTF">2020-01-15T05:56:00Z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0x0101001E78892C98B868449327CFB8C8130573</vt:lpwstr>
  </property>
  <property fmtid="{D5CDD505-2E9C-101B-9397-08002B2CF9AE}" pid="3" name="Client">
    <vt:lpwstr>0130215</vt:lpwstr>
  </property>
  <property fmtid="{D5CDD505-2E9C-101B-9397-08002B2CF9AE}" pid="4" name="Matter">
    <vt:lpwstr>0000001</vt:lpwstr>
  </property>
  <property fmtid="{D5CDD505-2E9C-101B-9397-08002B2CF9AE}" pid="5" name="cpClientMatter">
    <vt:lpwstr>0130215-0000001</vt:lpwstr>
  </property>
  <property fmtid="{D5CDD505-2E9C-101B-9397-08002B2CF9AE}" pid="6" name="cpDocRef">
    <vt:lpwstr>CO:37982150.6</vt:lpwstr>
  </property>
  <property fmtid="{D5CDD505-2E9C-101B-9397-08002B2CF9AE}" pid="7" name="cpCombinedRef">
    <vt:lpwstr>0130215-0000001 CO:37982150.6</vt:lpwstr>
  </property>
</Properties>
</file>