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CF7" w:rsidRDefault="004E0CF7" w:rsidP="005036BB">
      <w:pPr>
        <w:jc w:val="right"/>
      </w:pPr>
    </w:p>
    <w:p w:rsidR="005036BB" w:rsidRPr="00CA3D5B" w:rsidRDefault="00CA3D5B" w:rsidP="000B2202">
      <w:pPr>
        <w:spacing w:line="264" w:lineRule="auto"/>
        <w:jc w:val="both"/>
        <w:rPr>
          <w:lang w:val="fr-BE"/>
        </w:rPr>
      </w:pPr>
      <w:r w:rsidRPr="00CA3D5B">
        <w:rPr>
          <w:rFonts w:ascii="Questrial" w:eastAsia="Questrial" w:hAnsi="Questrial" w:cs="Questrial"/>
          <w:b/>
          <w:lang w:val="fr-BE"/>
        </w:rPr>
        <w:t>COMMUNIQUE DE PRESSE</w:t>
      </w:r>
      <w:r w:rsidR="005036BB" w:rsidRPr="00CA3D5B">
        <w:rPr>
          <w:rFonts w:ascii="Questrial" w:eastAsia="Questrial" w:hAnsi="Questrial" w:cs="Questrial"/>
          <w:b/>
          <w:lang w:val="fr-BE"/>
        </w:rPr>
        <w:tab/>
      </w:r>
      <w:r w:rsidR="005036BB" w:rsidRPr="00CA3D5B">
        <w:rPr>
          <w:rFonts w:ascii="Questrial" w:eastAsia="Questrial" w:hAnsi="Questrial" w:cs="Questrial"/>
          <w:b/>
          <w:lang w:val="fr-BE"/>
        </w:rPr>
        <w:tab/>
      </w:r>
      <w:r w:rsidR="005036BB" w:rsidRPr="00CA3D5B">
        <w:rPr>
          <w:rFonts w:ascii="Questrial" w:eastAsia="Questrial" w:hAnsi="Questrial" w:cs="Questrial"/>
          <w:b/>
          <w:lang w:val="fr-BE"/>
        </w:rPr>
        <w:tab/>
      </w:r>
      <w:r w:rsidR="005036BB" w:rsidRPr="00CA3D5B">
        <w:rPr>
          <w:rFonts w:ascii="Questrial" w:eastAsia="Questrial" w:hAnsi="Questrial" w:cs="Questrial"/>
          <w:b/>
          <w:lang w:val="fr-BE"/>
        </w:rPr>
        <w:tab/>
      </w:r>
      <w:r w:rsidR="005036BB" w:rsidRPr="00CA3D5B">
        <w:rPr>
          <w:rFonts w:ascii="Questrial" w:eastAsia="Questrial" w:hAnsi="Questrial" w:cs="Questrial"/>
          <w:b/>
          <w:lang w:val="fr-BE"/>
        </w:rPr>
        <w:tab/>
      </w:r>
      <w:r w:rsidR="000B2202">
        <w:rPr>
          <w:rFonts w:ascii="Questrial" w:eastAsia="Questrial" w:hAnsi="Questrial" w:cs="Questrial"/>
          <w:b/>
          <w:lang w:val="fr-BE"/>
        </w:rPr>
        <w:t xml:space="preserve">  </w:t>
      </w:r>
      <w:r w:rsidR="00FA0A7F">
        <w:rPr>
          <w:rFonts w:ascii="Questrial" w:eastAsia="Questrial" w:hAnsi="Questrial" w:cs="Questrial"/>
          <w:b/>
          <w:lang w:val="fr-BE"/>
        </w:rPr>
        <w:t xml:space="preserve">     </w:t>
      </w:r>
      <w:r w:rsidR="00570022">
        <w:rPr>
          <w:rFonts w:ascii="Questrial" w:eastAsia="Questrial" w:hAnsi="Questrial" w:cs="Questrial"/>
          <w:b/>
          <w:lang w:val="fr-BE"/>
        </w:rPr>
        <w:t xml:space="preserve"> </w:t>
      </w:r>
      <w:r w:rsidR="00286678">
        <w:rPr>
          <w:rFonts w:ascii="Questrial" w:eastAsia="Questrial" w:hAnsi="Questrial" w:cs="Questrial"/>
          <w:b/>
          <w:lang w:val="fr-BE"/>
        </w:rPr>
        <w:t xml:space="preserve"> </w:t>
      </w:r>
      <w:r w:rsidR="00380DAC">
        <w:rPr>
          <w:rFonts w:ascii="Questrial" w:eastAsia="Questrial" w:hAnsi="Questrial" w:cs="Questrial"/>
          <w:b/>
          <w:lang w:val="fr-BE"/>
        </w:rPr>
        <w:t xml:space="preserve"> </w:t>
      </w:r>
      <w:r w:rsidR="00E41F9B">
        <w:rPr>
          <w:rFonts w:ascii="Questrial" w:eastAsia="Questrial" w:hAnsi="Questrial" w:cs="Questrial"/>
          <w:lang w:val="fr-BE"/>
        </w:rPr>
        <w:t>10</w:t>
      </w:r>
      <w:r w:rsidR="00191F1F">
        <w:rPr>
          <w:rFonts w:ascii="Questrial" w:eastAsia="Questrial" w:hAnsi="Questrial" w:cs="Questrial"/>
          <w:lang w:val="fr-BE"/>
        </w:rPr>
        <w:t xml:space="preserve"> </w:t>
      </w:r>
      <w:r w:rsidR="00762E96">
        <w:rPr>
          <w:rFonts w:ascii="Questrial" w:eastAsia="Questrial" w:hAnsi="Questrial" w:cs="Questrial"/>
          <w:lang w:val="fr-BE"/>
        </w:rPr>
        <w:t>févr</w:t>
      </w:r>
      <w:r w:rsidR="00FA0A7F">
        <w:rPr>
          <w:rFonts w:ascii="Questrial" w:eastAsia="Questrial" w:hAnsi="Questrial" w:cs="Questrial"/>
          <w:lang w:val="fr-BE"/>
        </w:rPr>
        <w:t>ier</w:t>
      </w:r>
      <w:r w:rsidR="0098489F" w:rsidRPr="00CA3D5B">
        <w:rPr>
          <w:rFonts w:ascii="Questrial" w:eastAsia="Questrial" w:hAnsi="Questrial" w:cs="Questrial"/>
          <w:lang w:val="fr-BE"/>
        </w:rPr>
        <w:t xml:space="preserve"> </w:t>
      </w:r>
      <w:r w:rsidR="005A038F" w:rsidRPr="00CA3D5B">
        <w:rPr>
          <w:rFonts w:ascii="Questrial" w:eastAsia="Questrial" w:hAnsi="Questrial" w:cs="Questrial"/>
          <w:lang w:val="fr-BE"/>
        </w:rPr>
        <w:t>20</w:t>
      </w:r>
      <w:r w:rsidR="00FA0A7F">
        <w:rPr>
          <w:rFonts w:ascii="Questrial" w:eastAsia="Questrial" w:hAnsi="Questrial" w:cs="Questrial"/>
          <w:lang w:val="fr-BE"/>
        </w:rPr>
        <w:t>20</w:t>
      </w:r>
      <w:r w:rsidRPr="00CA3D5B">
        <w:rPr>
          <w:rFonts w:ascii="Questrial" w:eastAsia="Questrial" w:hAnsi="Questrial" w:cs="Questrial"/>
          <w:lang w:val="fr-BE"/>
        </w:rPr>
        <w:t xml:space="preserve"> – 20:00 heures</w:t>
      </w:r>
    </w:p>
    <w:p w:rsidR="00D349AD" w:rsidRPr="00827BA7" w:rsidRDefault="00D349AD" w:rsidP="00D349AD">
      <w:pPr>
        <w:jc w:val="center"/>
        <w:rPr>
          <w:rFonts w:ascii="Questrial" w:eastAsia="Times New Roman" w:hAnsi="Questrial" w:cs="Questrial"/>
          <w:b/>
          <w:color w:val="000000" w:themeColor="text1"/>
          <w:sz w:val="36"/>
          <w:szCs w:val="36"/>
          <w:lang w:val="fr-BE"/>
        </w:rPr>
      </w:pPr>
      <w:r w:rsidRPr="00827BA7">
        <w:rPr>
          <w:rFonts w:ascii="Questrial" w:eastAsia="Times New Roman" w:hAnsi="Questrial" w:cs="Questrial"/>
          <w:b/>
          <w:color w:val="000000" w:themeColor="text1"/>
          <w:sz w:val="36"/>
          <w:szCs w:val="36"/>
          <w:lang w:val="fr-BE"/>
        </w:rPr>
        <w:t>Rapport sur l'état d’exécution du programme de rachat d'actions propres</w:t>
      </w:r>
    </w:p>
    <w:p w:rsidR="009A7124" w:rsidRDefault="00CA3D5B" w:rsidP="00CA3D5B">
      <w:pPr>
        <w:spacing w:line="288" w:lineRule="auto"/>
        <w:jc w:val="both"/>
        <w:rPr>
          <w:rFonts w:ascii="Questrial" w:eastAsia="Questrial" w:hAnsi="Questrial" w:cs="Questrial"/>
          <w:b/>
          <w:color w:val="000000" w:themeColor="text1"/>
          <w:sz w:val="24"/>
          <w:szCs w:val="24"/>
          <w:lang w:val="fr-BE"/>
        </w:rPr>
      </w:pPr>
      <w:r w:rsidRPr="00827BA7">
        <w:rPr>
          <w:rFonts w:ascii="Questrial" w:eastAsia="Questrial" w:hAnsi="Questrial" w:cs="Questrial"/>
          <w:b/>
          <w:color w:val="000000" w:themeColor="text1"/>
          <w:sz w:val="24"/>
          <w:szCs w:val="24"/>
          <w:lang w:val="fr-BE"/>
        </w:rPr>
        <w:t xml:space="preserve">Bruxelles, Belgique – </w:t>
      </w:r>
      <w:r w:rsidR="00E41F9B">
        <w:rPr>
          <w:rFonts w:ascii="Questrial" w:eastAsia="Questrial" w:hAnsi="Questrial" w:cs="Questrial"/>
          <w:b/>
          <w:color w:val="000000" w:themeColor="text1"/>
          <w:sz w:val="24"/>
          <w:szCs w:val="24"/>
          <w:lang w:val="fr-BE"/>
        </w:rPr>
        <w:t>10</w:t>
      </w:r>
      <w:r w:rsidR="00AA1DF2" w:rsidRPr="00827BA7">
        <w:rPr>
          <w:rFonts w:ascii="Questrial" w:eastAsia="Questrial" w:hAnsi="Questrial" w:cs="Questrial"/>
          <w:b/>
          <w:color w:val="000000" w:themeColor="text1"/>
          <w:sz w:val="24"/>
          <w:szCs w:val="24"/>
          <w:lang w:val="fr-BE"/>
        </w:rPr>
        <w:t xml:space="preserve"> </w:t>
      </w:r>
      <w:r w:rsidR="00762E96">
        <w:rPr>
          <w:rFonts w:ascii="Questrial" w:eastAsia="Questrial" w:hAnsi="Questrial" w:cs="Questrial"/>
          <w:b/>
          <w:color w:val="000000" w:themeColor="text1"/>
          <w:sz w:val="24"/>
          <w:szCs w:val="24"/>
          <w:lang w:val="fr-BE"/>
        </w:rPr>
        <w:t>févr</w:t>
      </w:r>
      <w:bookmarkStart w:id="0" w:name="_GoBack"/>
      <w:bookmarkEnd w:id="0"/>
      <w:r w:rsidR="00FA0A7F" w:rsidRPr="00827BA7">
        <w:rPr>
          <w:rFonts w:ascii="Questrial" w:eastAsia="Questrial" w:hAnsi="Questrial" w:cs="Questrial"/>
          <w:b/>
          <w:color w:val="000000" w:themeColor="text1"/>
          <w:sz w:val="24"/>
          <w:szCs w:val="24"/>
          <w:lang w:val="fr-BE"/>
        </w:rPr>
        <w:t>ier</w:t>
      </w:r>
      <w:r w:rsidRPr="00827BA7">
        <w:rPr>
          <w:rFonts w:ascii="Questrial" w:eastAsia="Questrial" w:hAnsi="Questrial" w:cs="Questrial"/>
          <w:b/>
          <w:color w:val="000000" w:themeColor="text1"/>
          <w:sz w:val="24"/>
          <w:szCs w:val="24"/>
          <w:lang w:val="fr-BE"/>
        </w:rPr>
        <w:t xml:space="preserve"> 20</w:t>
      </w:r>
      <w:r w:rsidR="00FA0A7F" w:rsidRPr="00827BA7">
        <w:rPr>
          <w:rFonts w:ascii="Questrial" w:eastAsia="Questrial" w:hAnsi="Questrial" w:cs="Questrial"/>
          <w:b/>
          <w:color w:val="000000" w:themeColor="text1"/>
          <w:sz w:val="24"/>
          <w:szCs w:val="24"/>
          <w:lang w:val="fr-BE"/>
        </w:rPr>
        <w:t>20</w:t>
      </w:r>
      <w:r w:rsidRPr="00827BA7">
        <w:rPr>
          <w:rFonts w:ascii="Questrial" w:eastAsia="Questrial" w:hAnsi="Questrial" w:cs="Questrial"/>
          <w:b/>
          <w:color w:val="000000" w:themeColor="text1"/>
          <w:sz w:val="24"/>
          <w:szCs w:val="24"/>
          <w:lang w:val="fr-BE"/>
        </w:rPr>
        <w:t xml:space="preserve"> – Keyware (EURONEXT Bruxelles: KEYW) annonce l'état de mise en œuvre du programme de rachat d'actions propres pour un montant maximal d’un million d’euros</w:t>
      </w:r>
      <w:r w:rsidR="009A7124" w:rsidRPr="00827BA7">
        <w:rPr>
          <w:rFonts w:ascii="Questrial" w:eastAsia="Questrial" w:hAnsi="Questrial" w:cs="Questrial"/>
          <w:b/>
          <w:color w:val="000000" w:themeColor="text1"/>
          <w:sz w:val="24"/>
          <w:szCs w:val="24"/>
          <w:lang w:val="fr-BE"/>
        </w:rPr>
        <w:t>.</w:t>
      </w:r>
    </w:p>
    <w:p w:rsidR="00CA3D5B" w:rsidRPr="00827BA7" w:rsidRDefault="00CA3D5B" w:rsidP="00CA3D5B">
      <w:pPr>
        <w:spacing w:line="288" w:lineRule="auto"/>
        <w:jc w:val="both"/>
        <w:rPr>
          <w:color w:val="000000" w:themeColor="text1"/>
          <w:lang w:val="fr-BE"/>
        </w:rPr>
      </w:pPr>
      <w:r w:rsidRPr="00827BA7">
        <w:rPr>
          <w:color w:val="000000" w:themeColor="text1"/>
          <w:lang w:val="fr-BE"/>
        </w:rPr>
        <w:t xml:space="preserve">L’Assemblée Générale Extraordinaire des actionnaires de Keyware Technologies tenue le 27 mai 2016 avait autorisé le Conseil d'Administration à procéder au rachat d'actions propres. </w:t>
      </w:r>
    </w:p>
    <w:p w:rsidR="00CA3D5B" w:rsidRPr="00827BA7" w:rsidRDefault="00CA3D5B" w:rsidP="00CA3D5B">
      <w:pPr>
        <w:spacing w:line="288" w:lineRule="auto"/>
        <w:jc w:val="both"/>
        <w:rPr>
          <w:color w:val="000000" w:themeColor="text1"/>
          <w:lang w:val="fr-FR"/>
        </w:rPr>
      </w:pPr>
      <w:r w:rsidRPr="00827BA7">
        <w:rPr>
          <w:color w:val="000000" w:themeColor="text1"/>
          <w:lang w:val="fr-BE"/>
        </w:rPr>
        <w:t>Le 30 août 2018, le Conseil d'administration a décidé de lancer un nouveau programme de rachat d’actions propres pour un montant maximal de 1 million d'euros et ce à partir du 1</w:t>
      </w:r>
      <w:r w:rsidRPr="00827BA7">
        <w:rPr>
          <w:color w:val="000000" w:themeColor="text1"/>
          <w:vertAlign w:val="superscript"/>
          <w:lang w:val="fr-BE"/>
        </w:rPr>
        <w:t>er</w:t>
      </w:r>
      <w:r w:rsidRPr="00827BA7">
        <w:rPr>
          <w:color w:val="000000" w:themeColor="text1"/>
          <w:lang w:val="fr-BE"/>
        </w:rPr>
        <w:t xml:space="preserve"> octobre 2018</w:t>
      </w:r>
      <w:r w:rsidR="00BA0720" w:rsidRPr="00827BA7">
        <w:rPr>
          <w:color w:val="000000" w:themeColor="text1"/>
          <w:lang w:val="fr-BE"/>
        </w:rPr>
        <w:t xml:space="preserve">, par après prolongé pour un an jusqu’au 30 septembre 2020 par la décision du Conseil d’Administration du 29 août 2019. </w:t>
      </w:r>
      <w:r w:rsidR="00BA0720" w:rsidRPr="00827BA7">
        <w:rPr>
          <w:color w:val="000000" w:themeColor="text1"/>
          <w:lang w:val="fr-FR"/>
        </w:rPr>
        <w:t xml:space="preserve"> </w:t>
      </w:r>
    </w:p>
    <w:p w:rsidR="004068DF" w:rsidRPr="00827BA7" w:rsidRDefault="00CA3D5B" w:rsidP="00BF380C">
      <w:pPr>
        <w:jc w:val="both"/>
        <w:rPr>
          <w:i/>
          <w:color w:val="000000" w:themeColor="text1"/>
          <w:u w:val="single"/>
          <w:lang w:val="fr-BE"/>
        </w:rPr>
      </w:pPr>
      <w:r w:rsidRPr="00827BA7">
        <w:rPr>
          <w:i/>
          <w:color w:val="000000" w:themeColor="text1"/>
          <w:u w:val="single"/>
          <w:lang w:val="fr-BE"/>
        </w:rPr>
        <w:t>Transactions de la semaine passée</w:t>
      </w:r>
    </w:p>
    <w:p w:rsidR="00CA3D5B" w:rsidRPr="00827BA7" w:rsidRDefault="00CA3D5B" w:rsidP="00CA3D5B">
      <w:pPr>
        <w:jc w:val="both"/>
        <w:rPr>
          <w:color w:val="000000" w:themeColor="text1"/>
          <w:lang w:val="fr-BE"/>
        </w:rPr>
      </w:pPr>
      <w:r w:rsidRPr="00827BA7">
        <w:rPr>
          <w:color w:val="000000" w:themeColor="text1"/>
          <w:lang w:val="fr-BE"/>
        </w:rPr>
        <w:t xml:space="preserve">Conformément à l’article 207 de l’Arrêté Royal du 30 janvier 2001 portant exécution du Code des Sociétés (art. 620 § 1), modifié par l’Arrêté Royal du 26 avril 2009, Keyware Technologies communique avoir acheté </w:t>
      </w:r>
      <w:r w:rsidR="00380DAC">
        <w:rPr>
          <w:color w:val="000000" w:themeColor="text1"/>
          <w:lang w:val="fr-BE"/>
        </w:rPr>
        <w:t>4.000</w:t>
      </w:r>
      <w:r w:rsidRPr="00827BA7">
        <w:rPr>
          <w:color w:val="000000" w:themeColor="text1"/>
          <w:lang w:val="fr-BE"/>
        </w:rPr>
        <w:t xml:space="preserve"> actions propres sur Euronext Bruxelles durant la période du </w:t>
      </w:r>
      <w:r w:rsidR="00E41F9B">
        <w:rPr>
          <w:color w:val="000000" w:themeColor="text1"/>
          <w:lang w:val="fr-BE"/>
        </w:rPr>
        <w:t>3</w:t>
      </w:r>
      <w:r w:rsidR="00F051B2" w:rsidRPr="00827BA7">
        <w:rPr>
          <w:color w:val="000000" w:themeColor="text1"/>
          <w:lang w:val="fr-BE"/>
        </w:rPr>
        <w:t xml:space="preserve"> </w:t>
      </w:r>
      <w:r w:rsidR="00E41F9B">
        <w:rPr>
          <w:color w:val="000000" w:themeColor="text1"/>
          <w:lang w:val="fr-BE"/>
        </w:rPr>
        <w:t>févr</w:t>
      </w:r>
      <w:r w:rsidR="0095720B">
        <w:rPr>
          <w:color w:val="000000" w:themeColor="text1"/>
          <w:lang w:val="fr-BE"/>
        </w:rPr>
        <w:t>ier</w:t>
      </w:r>
      <w:r w:rsidRPr="00827BA7">
        <w:rPr>
          <w:color w:val="000000" w:themeColor="text1"/>
          <w:lang w:val="fr-BE"/>
        </w:rPr>
        <w:t xml:space="preserve"> 20</w:t>
      </w:r>
      <w:r w:rsidR="0095720B">
        <w:rPr>
          <w:color w:val="000000" w:themeColor="text1"/>
          <w:lang w:val="fr-BE"/>
        </w:rPr>
        <w:t>20</w:t>
      </w:r>
      <w:r w:rsidRPr="00827BA7">
        <w:rPr>
          <w:color w:val="000000" w:themeColor="text1"/>
          <w:lang w:val="fr-BE"/>
        </w:rPr>
        <w:t xml:space="preserve"> jusqu’au </w:t>
      </w:r>
      <w:r w:rsidR="00E41F9B">
        <w:rPr>
          <w:color w:val="000000" w:themeColor="text1"/>
          <w:lang w:val="fr-BE"/>
        </w:rPr>
        <w:t>7</w:t>
      </w:r>
      <w:r w:rsidR="00F051B2" w:rsidRPr="00827BA7">
        <w:rPr>
          <w:color w:val="000000" w:themeColor="text1"/>
          <w:lang w:val="fr-BE"/>
        </w:rPr>
        <w:t xml:space="preserve"> </w:t>
      </w:r>
      <w:r w:rsidR="00E41F9B">
        <w:rPr>
          <w:color w:val="000000" w:themeColor="text1"/>
          <w:lang w:val="fr-BE"/>
        </w:rPr>
        <w:t>févr</w:t>
      </w:r>
      <w:r w:rsidR="00FA0A7F" w:rsidRPr="00827BA7">
        <w:rPr>
          <w:color w:val="000000" w:themeColor="text1"/>
          <w:lang w:val="fr-BE"/>
        </w:rPr>
        <w:t>ier</w:t>
      </w:r>
      <w:r w:rsidRPr="00827BA7">
        <w:rPr>
          <w:color w:val="000000" w:themeColor="text1"/>
          <w:lang w:val="fr-BE"/>
        </w:rPr>
        <w:t xml:space="preserve"> 20</w:t>
      </w:r>
      <w:r w:rsidR="00FA0A7F" w:rsidRPr="00827BA7">
        <w:rPr>
          <w:color w:val="000000" w:themeColor="text1"/>
          <w:lang w:val="fr-BE"/>
        </w:rPr>
        <w:t>20</w:t>
      </w:r>
      <w:r w:rsidRPr="00827BA7">
        <w:rPr>
          <w:color w:val="000000" w:themeColor="text1"/>
          <w:lang w:val="fr-BE"/>
        </w:rPr>
        <w:t xml:space="preserve">. </w:t>
      </w:r>
    </w:p>
    <w:tbl>
      <w:tblPr>
        <w:tblStyle w:val="Tabelraster"/>
        <w:tblW w:w="9180" w:type="dxa"/>
        <w:tblLook w:val="04A0" w:firstRow="1" w:lastRow="0" w:firstColumn="1" w:lastColumn="0" w:noHBand="0" w:noVBand="1"/>
      </w:tblPr>
      <w:tblGrid>
        <w:gridCol w:w="1510"/>
        <w:gridCol w:w="1433"/>
        <w:gridCol w:w="1560"/>
        <w:gridCol w:w="1559"/>
        <w:gridCol w:w="1559"/>
        <w:gridCol w:w="1559"/>
      </w:tblGrid>
      <w:tr w:rsidR="00827BA7" w:rsidRPr="00827BA7" w:rsidTr="00F06809">
        <w:tc>
          <w:tcPr>
            <w:tcW w:w="1510" w:type="dxa"/>
          </w:tcPr>
          <w:p w:rsidR="00CA3D5B" w:rsidRPr="00827BA7" w:rsidRDefault="00CA3D5B" w:rsidP="008035C6">
            <w:pPr>
              <w:rPr>
                <w:b/>
                <w:color w:val="000000" w:themeColor="text1"/>
              </w:rPr>
            </w:pPr>
            <w:r w:rsidRPr="00827BA7">
              <w:rPr>
                <w:b/>
                <w:color w:val="000000" w:themeColor="text1"/>
              </w:rPr>
              <w:t>Date d’achat</w:t>
            </w:r>
          </w:p>
          <w:p w:rsidR="00CA3D5B" w:rsidRPr="00827BA7" w:rsidRDefault="00CA3D5B" w:rsidP="008035C6">
            <w:pPr>
              <w:rPr>
                <w:b/>
                <w:color w:val="000000" w:themeColor="text1"/>
              </w:rPr>
            </w:pPr>
          </w:p>
        </w:tc>
        <w:tc>
          <w:tcPr>
            <w:tcW w:w="1433" w:type="dxa"/>
          </w:tcPr>
          <w:p w:rsidR="00CA3D5B" w:rsidRPr="00827BA7" w:rsidRDefault="00CA3D5B" w:rsidP="008035C6">
            <w:pPr>
              <w:jc w:val="center"/>
              <w:rPr>
                <w:b/>
                <w:color w:val="000000" w:themeColor="text1"/>
              </w:rPr>
            </w:pPr>
            <w:r w:rsidRPr="00827BA7">
              <w:rPr>
                <w:b/>
                <w:color w:val="000000" w:themeColor="text1"/>
              </w:rPr>
              <w:t>Nombre d’actions</w:t>
            </w:r>
          </w:p>
          <w:p w:rsidR="00CA3D5B" w:rsidRPr="00827BA7" w:rsidRDefault="00CA3D5B" w:rsidP="008035C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:rsidR="00CA3D5B" w:rsidRPr="00827BA7" w:rsidRDefault="00CA3D5B" w:rsidP="008035C6">
            <w:pPr>
              <w:jc w:val="center"/>
              <w:rPr>
                <w:b/>
                <w:color w:val="000000" w:themeColor="text1"/>
              </w:rPr>
            </w:pPr>
            <w:r w:rsidRPr="00827BA7">
              <w:rPr>
                <w:b/>
                <w:color w:val="000000" w:themeColor="text1"/>
              </w:rPr>
              <w:t>Prix d’achat moyen (EUR)</w:t>
            </w:r>
          </w:p>
        </w:tc>
        <w:tc>
          <w:tcPr>
            <w:tcW w:w="1559" w:type="dxa"/>
          </w:tcPr>
          <w:p w:rsidR="00CA3D5B" w:rsidRPr="00827BA7" w:rsidRDefault="00CA3D5B" w:rsidP="008035C6">
            <w:pPr>
              <w:jc w:val="center"/>
              <w:rPr>
                <w:b/>
                <w:color w:val="000000" w:themeColor="text1"/>
              </w:rPr>
            </w:pPr>
            <w:r w:rsidRPr="00827BA7">
              <w:rPr>
                <w:b/>
                <w:color w:val="000000" w:themeColor="text1"/>
              </w:rPr>
              <w:t>Prix d’achat minimum (EUR)</w:t>
            </w:r>
          </w:p>
        </w:tc>
        <w:tc>
          <w:tcPr>
            <w:tcW w:w="1559" w:type="dxa"/>
          </w:tcPr>
          <w:p w:rsidR="00CA3D5B" w:rsidRPr="00827BA7" w:rsidRDefault="00CA3D5B" w:rsidP="008035C6">
            <w:pPr>
              <w:jc w:val="center"/>
              <w:rPr>
                <w:b/>
                <w:color w:val="000000" w:themeColor="text1"/>
              </w:rPr>
            </w:pPr>
            <w:r w:rsidRPr="00827BA7">
              <w:rPr>
                <w:b/>
                <w:color w:val="000000" w:themeColor="text1"/>
              </w:rPr>
              <w:t>Prix d’achat maximum (EUR)</w:t>
            </w:r>
          </w:p>
        </w:tc>
        <w:tc>
          <w:tcPr>
            <w:tcW w:w="1559" w:type="dxa"/>
          </w:tcPr>
          <w:p w:rsidR="00CA3D5B" w:rsidRPr="00827BA7" w:rsidRDefault="00CA3D5B" w:rsidP="008035C6">
            <w:pPr>
              <w:jc w:val="center"/>
              <w:rPr>
                <w:b/>
                <w:color w:val="000000" w:themeColor="text1"/>
              </w:rPr>
            </w:pPr>
            <w:r w:rsidRPr="00827BA7">
              <w:rPr>
                <w:b/>
                <w:color w:val="000000" w:themeColor="text1"/>
              </w:rPr>
              <w:t>Total (EUR)</w:t>
            </w:r>
          </w:p>
          <w:p w:rsidR="00CA3D5B" w:rsidRPr="00827BA7" w:rsidRDefault="00CA3D5B" w:rsidP="008035C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27BA7" w:rsidRPr="00827BA7" w:rsidTr="00F06809">
        <w:tc>
          <w:tcPr>
            <w:tcW w:w="1510" w:type="dxa"/>
          </w:tcPr>
          <w:p w:rsidR="00BF380C" w:rsidRPr="00827BA7" w:rsidRDefault="00E41F9B" w:rsidP="008035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="00BF380C" w:rsidRPr="00827BA7">
              <w:rPr>
                <w:color w:val="000000" w:themeColor="text1"/>
              </w:rPr>
              <w:t>/</w:t>
            </w:r>
            <w:r w:rsidR="0095720B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="00BF380C" w:rsidRPr="00827BA7">
              <w:rPr>
                <w:color w:val="000000" w:themeColor="text1"/>
              </w:rPr>
              <w:t>/20</w:t>
            </w:r>
            <w:r w:rsidR="0095720B">
              <w:rPr>
                <w:color w:val="000000" w:themeColor="text1"/>
              </w:rPr>
              <w:t>20</w:t>
            </w:r>
          </w:p>
        </w:tc>
        <w:tc>
          <w:tcPr>
            <w:tcW w:w="1433" w:type="dxa"/>
          </w:tcPr>
          <w:p w:rsidR="00BF380C" w:rsidRPr="00827BA7" w:rsidRDefault="00FA0A7F" w:rsidP="008035C6">
            <w:pPr>
              <w:jc w:val="right"/>
              <w:rPr>
                <w:color w:val="000000" w:themeColor="text1"/>
              </w:rPr>
            </w:pPr>
            <w:r w:rsidRPr="00827BA7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BF380C" w:rsidRPr="00827BA7" w:rsidRDefault="00FA0A7F" w:rsidP="008035C6">
            <w:pPr>
              <w:jc w:val="right"/>
              <w:rPr>
                <w:color w:val="000000" w:themeColor="text1"/>
              </w:rPr>
            </w:pPr>
            <w:r w:rsidRPr="00827BA7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BF380C" w:rsidRPr="00827BA7" w:rsidRDefault="00FA0A7F" w:rsidP="008035C6">
            <w:pPr>
              <w:jc w:val="right"/>
              <w:rPr>
                <w:color w:val="000000" w:themeColor="text1"/>
              </w:rPr>
            </w:pPr>
            <w:r w:rsidRPr="00827BA7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BF380C" w:rsidRPr="00827BA7" w:rsidRDefault="00FA0A7F" w:rsidP="008035C6">
            <w:pPr>
              <w:jc w:val="right"/>
              <w:rPr>
                <w:color w:val="000000" w:themeColor="text1"/>
              </w:rPr>
            </w:pPr>
            <w:r w:rsidRPr="00827BA7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BF380C" w:rsidRPr="00827BA7" w:rsidRDefault="00FA0A7F" w:rsidP="008035C6">
            <w:pPr>
              <w:jc w:val="right"/>
              <w:rPr>
                <w:color w:val="000000" w:themeColor="text1"/>
              </w:rPr>
            </w:pPr>
            <w:r w:rsidRPr="00827BA7">
              <w:rPr>
                <w:color w:val="000000" w:themeColor="text1"/>
              </w:rPr>
              <w:t>-</w:t>
            </w:r>
          </w:p>
        </w:tc>
      </w:tr>
      <w:tr w:rsidR="00827BA7" w:rsidRPr="00827BA7" w:rsidTr="00F06809">
        <w:tc>
          <w:tcPr>
            <w:tcW w:w="1510" w:type="dxa"/>
          </w:tcPr>
          <w:p w:rsidR="00BF380C" w:rsidRPr="00827BA7" w:rsidRDefault="00E41F9B" w:rsidP="008035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</w:t>
            </w:r>
            <w:r w:rsidR="00BF380C" w:rsidRPr="00827BA7">
              <w:rPr>
                <w:color w:val="000000" w:themeColor="text1"/>
              </w:rPr>
              <w:t>/</w:t>
            </w:r>
            <w:r w:rsidR="0095720B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="00BF380C" w:rsidRPr="00827BA7">
              <w:rPr>
                <w:color w:val="000000" w:themeColor="text1"/>
              </w:rPr>
              <w:t>/20</w:t>
            </w:r>
            <w:r w:rsidR="0095720B">
              <w:rPr>
                <w:color w:val="000000" w:themeColor="text1"/>
              </w:rPr>
              <w:t>20</w:t>
            </w:r>
          </w:p>
        </w:tc>
        <w:tc>
          <w:tcPr>
            <w:tcW w:w="1433" w:type="dxa"/>
          </w:tcPr>
          <w:p w:rsidR="00BF380C" w:rsidRPr="00827BA7" w:rsidRDefault="002D35B0" w:rsidP="008035C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BF380C" w:rsidRPr="00827BA7" w:rsidRDefault="002D35B0" w:rsidP="008035C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BF380C" w:rsidRPr="00827BA7" w:rsidRDefault="002D35B0" w:rsidP="008035C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BF380C" w:rsidRPr="00827BA7" w:rsidRDefault="002D35B0" w:rsidP="008035C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BF380C" w:rsidRPr="00827BA7" w:rsidRDefault="002D35B0" w:rsidP="008035C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827BA7" w:rsidRPr="00827BA7" w:rsidTr="00F06809">
        <w:tc>
          <w:tcPr>
            <w:tcW w:w="1510" w:type="dxa"/>
          </w:tcPr>
          <w:p w:rsidR="00BF380C" w:rsidRPr="00827BA7" w:rsidRDefault="00E41F9B" w:rsidP="008035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</w:t>
            </w:r>
            <w:r w:rsidR="00BF380C" w:rsidRPr="00827BA7">
              <w:rPr>
                <w:color w:val="000000" w:themeColor="text1"/>
              </w:rPr>
              <w:t>/</w:t>
            </w:r>
            <w:r w:rsidR="006E254C" w:rsidRPr="00827BA7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="00BF380C" w:rsidRPr="00827BA7">
              <w:rPr>
                <w:color w:val="000000" w:themeColor="text1"/>
              </w:rPr>
              <w:t>/20</w:t>
            </w:r>
            <w:r w:rsidR="006E254C" w:rsidRPr="00827BA7">
              <w:rPr>
                <w:color w:val="000000" w:themeColor="text1"/>
              </w:rPr>
              <w:t>20</w:t>
            </w:r>
          </w:p>
        </w:tc>
        <w:tc>
          <w:tcPr>
            <w:tcW w:w="1433" w:type="dxa"/>
          </w:tcPr>
          <w:p w:rsidR="00BF380C" w:rsidRPr="00827BA7" w:rsidRDefault="00AF7DC4" w:rsidP="008035C6">
            <w:pPr>
              <w:jc w:val="right"/>
              <w:rPr>
                <w:color w:val="000000" w:themeColor="text1"/>
              </w:rPr>
            </w:pPr>
            <w:r w:rsidRPr="00827BA7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BF380C" w:rsidRPr="00827BA7" w:rsidRDefault="00AF7DC4" w:rsidP="008035C6">
            <w:pPr>
              <w:jc w:val="right"/>
              <w:rPr>
                <w:color w:val="000000" w:themeColor="text1"/>
              </w:rPr>
            </w:pPr>
            <w:r w:rsidRPr="00827BA7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BF380C" w:rsidRPr="00827BA7" w:rsidRDefault="00AF7DC4" w:rsidP="008035C6">
            <w:pPr>
              <w:jc w:val="right"/>
              <w:rPr>
                <w:color w:val="000000" w:themeColor="text1"/>
              </w:rPr>
            </w:pPr>
            <w:r w:rsidRPr="00827BA7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BF380C" w:rsidRPr="00827BA7" w:rsidRDefault="00AF7DC4" w:rsidP="008035C6">
            <w:pPr>
              <w:jc w:val="right"/>
              <w:rPr>
                <w:color w:val="000000" w:themeColor="text1"/>
              </w:rPr>
            </w:pPr>
            <w:r w:rsidRPr="00827BA7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BF380C" w:rsidRPr="00827BA7" w:rsidRDefault="00AF7DC4" w:rsidP="008035C6">
            <w:pPr>
              <w:jc w:val="right"/>
              <w:rPr>
                <w:color w:val="000000" w:themeColor="text1"/>
              </w:rPr>
            </w:pPr>
            <w:r w:rsidRPr="00827BA7">
              <w:rPr>
                <w:color w:val="000000" w:themeColor="text1"/>
              </w:rPr>
              <w:t>-</w:t>
            </w:r>
          </w:p>
        </w:tc>
      </w:tr>
      <w:tr w:rsidR="00827BA7" w:rsidRPr="00827BA7" w:rsidTr="00F06809">
        <w:tc>
          <w:tcPr>
            <w:tcW w:w="1510" w:type="dxa"/>
          </w:tcPr>
          <w:p w:rsidR="00BF380C" w:rsidRPr="00827BA7" w:rsidRDefault="00E41F9B" w:rsidP="008035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06</w:t>
            </w:r>
            <w:r w:rsidR="00BF380C" w:rsidRPr="00827BA7">
              <w:rPr>
                <w:color w:val="000000" w:themeColor="text1"/>
              </w:rPr>
              <w:t>/</w:t>
            </w:r>
            <w:r w:rsidR="006E254C" w:rsidRPr="00827BA7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="00BF380C" w:rsidRPr="00827BA7">
              <w:rPr>
                <w:color w:val="000000" w:themeColor="text1"/>
              </w:rPr>
              <w:t>/20</w:t>
            </w:r>
            <w:r w:rsidR="006E254C" w:rsidRPr="00827BA7">
              <w:rPr>
                <w:color w:val="000000" w:themeColor="text1"/>
              </w:rPr>
              <w:t>20</w:t>
            </w:r>
          </w:p>
        </w:tc>
        <w:tc>
          <w:tcPr>
            <w:tcW w:w="1433" w:type="dxa"/>
          </w:tcPr>
          <w:p w:rsidR="00BF380C" w:rsidRPr="00827BA7" w:rsidRDefault="000F54FB" w:rsidP="008035C6">
            <w:pPr>
              <w:jc w:val="right"/>
              <w:rPr>
                <w:color w:val="000000" w:themeColor="text1"/>
              </w:rPr>
            </w:pPr>
            <w:r w:rsidRPr="00827BA7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BF380C" w:rsidRPr="00827BA7" w:rsidRDefault="000F54FB" w:rsidP="008035C6">
            <w:pPr>
              <w:jc w:val="right"/>
              <w:rPr>
                <w:color w:val="000000" w:themeColor="text1"/>
              </w:rPr>
            </w:pPr>
            <w:r w:rsidRPr="00827BA7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BF380C" w:rsidRPr="00827BA7" w:rsidRDefault="000F54FB" w:rsidP="008035C6">
            <w:pPr>
              <w:jc w:val="right"/>
              <w:rPr>
                <w:color w:val="000000" w:themeColor="text1"/>
              </w:rPr>
            </w:pPr>
            <w:r w:rsidRPr="00827BA7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BF380C" w:rsidRPr="00827BA7" w:rsidRDefault="000F54FB" w:rsidP="008035C6">
            <w:pPr>
              <w:jc w:val="right"/>
              <w:rPr>
                <w:color w:val="000000" w:themeColor="text1"/>
              </w:rPr>
            </w:pPr>
            <w:r w:rsidRPr="00827BA7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BF380C" w:rsidRPr="00827BA7" w:rsidRDefault="000F54FB" w:rsidP="008035C6">
            <w:pPr>
              <w:jc w:val="right"/>
              <w:rPr>
                <w:color w:val="000000" w:themeColor="text1"/>
              </w:rPr>
            </w:pPr>
            <w:r w:rsidRPr="00827BA7">
              <w:rPr>
                <w:color w:val="000000" w:themeColor="text1"/>
              </w:rPr>
              <w:t>-</w:t>
            </w:r>
          </w:p>
        </w:tc>
      </w:tr>
      <w:tr w:rsidR="00827BA7" w:rsidRPr="00827BA7" w:rsidTr="00F06809">
        <w:tc>
          <w:tcPr>
            <w:tcW w:w="1510" w:type="dxa"/>
            <w:tcBorders>
              <w:bottom w:val="double" w:sz="4" w:space="0" w:color="auto"/>
            </w:tcBorders>
          </w:tcPr>
          <w:p w:rsidR="00BF380C" w:rsidRPr="00827BA7" w:rsidRDefault="00E41F9B" w:rsidP="008035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  <w:r w:rsidR="00BF380C" w:rsidRPr="00827BA7">
              <w:rPr>
                <w:color w:val="000000" w:themeColor="text1"/>
              </w:rPr>
              <w:t>/</w:t>
            </w:r>
            <w:r w:rsidR="006E254C" w:rsidRPr="00827BA7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="00BF380C" w:rsidRPr="00827BA7">
              <w:rPr>
                <w:color w:val="000000" w:themeColor="text1"/>
              </w:rPr>
              <w:t>/20</w:t>
            </w:r>
            <w:r w:rsidR="006E254C" w:rsidRPr="00827BA7">
              <w:rPr>
                <w:color w:val="000000" w:themeColor="text1"/>
              </w:rPr>
              <w:t>20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BF380C" w:rsidRPr="00827BA7" w:rsidRDefault="00380DAC" w:rsidP="008035C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4.000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F380C" w:rsidRPr="00827BA7" w:rsidRDefault="0095720B" w:rsidP="008035C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</w:t>
            </w:r>
            <w:r w:rsidR="00380DAC">
              <w:rPr>
                <w:color w:val="000000" w:themeColor="text1"/>
              </w:rPr>
              <w:t>8</w:t>
            </w:r>
            <w:r w:rsidR="00E41F9B">
              <w:rPr>
                <w:color w:val="000000" w:themeColor="text1"/>
              </w:rPr>
              <w:t>9</w:t>
            </w:r>
            <w:r w:rsidR="00380DAC">
              <w:rPr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F380C" w:rsidRPr="00827BA7" w:rsidRDefault="0095720B" w:rsidP="008035C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</w:t>
            </w:r>
            <w:r w:rsidR="002D35B0">
              <w:rPr>
                <w:color w:val="000000" w:themeColor="text1"/>
              </w:rPr>
              <w:t>8</w:t>
            </w:r>
            <w:r w:rsidR="00E41F9B">
              <w:rPr>
                <w:color w:val="000000" w:themeColor="text1"/>
              </w:rPr>
              <w:t>9</w:t>
            </w:r>
            <w:r w:rsidR="00380DAC">
              <w:rPr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F380C" w:rsidRPr="00827BA7" w:rsidRDefault="0095720B" w:rsidP="008035C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</w:t>
            </w:r>
            <w:r w:rsidR="00380DAC">
              <w:rPr>
                <w:color w:val="000000" w:themeColor="text1"/>
              </w:rPr>
              <w:t>8</w:t>
            </w:r>
            <w:r w:rsidR="00E41F9B">
              <w:rPr>
                <w:color w:val="000000" w:themeColor="text1"/>
              </w:rPr>
              <w:t>9</w:t>
            </w:r>
            <w:r w:rsidR="00380DAC">
              <w:rPr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F380C" w:rsidRPr="00827BA7" w:rsidRDefault="00380DAC" w:rsidP="008035C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3.5</w:t>
            </w:r>
            <w:r w:rsidR="00E41F9B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0,00</w:t>
            </w:r>
          </w:p>
        </w:tc>
      </w:tr>
      <w:tr w:rsidR="00BF380C" w:rsidRPr="00827BA7" w:rsidTr="00F06809">
        <w:tc>
          <w:tcPr>
            <w:tcW w:w="1510" w:type="dxa"/>
            <w:tcBorders>
              <w:top w:val="double" w:sz="4" w:space="0" w:color="auto"/>
            </w:tcBorders>
            <w:vAlign w:val="bottom"/>
          </w:tcPr>
          <w:p w:rsidR="00BF380C" w:rsidRPr="00827BA7" w:rsidRDefault="00CA3D5B" w:rsidP="008035C6">
            <w:pPr>
              <w:rPr>
                <w:b/>
                <w:color w:val="000000" w:themeColor="text1"/>
              </w:rPr>
            </w:pPr>
            <w:r w:rsidRPr="00827BA7">
              <w:rPr>
                <w:b/>
                <w:color w:val="000000" w:themeColor="text1"/>
              </w:rPr>
              <w:t>Tot</w:t>
            </w:r>
            <w:r w:rsidR="00BF380C" w:rsidRPr="00827BA7">
              <w:rPr>
                <w:b/>
                <w:color w:val="000000" w:themeColor="text1"/>
              </w:rPr>
              <w:t>al</w:t>
            </w:r>
          </w:p>
        </w:tc>
        <w:tc>
          <w:tcPr>
            <w:tcW w:w="1433" w:type="dxa"/>
            <w:tcBorders>
              <w:top w:val="double" w:sz="4" w:space="0" w:color="auto"/>
            </w:tcBorders>
            <w:vAlign w:val="bottom"/>
          </w:tcPr>
          <w:p w:rsidR="00BF380C" w:rsidRPr="00827BA7" w:rsidRDefault="00380DAC" w:rsidP="008035C6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4.000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bottom"/>
          </w:tcPr>
          <w:p w:rsidR="00BF380C" w:rsidRPr="00827BA7" w:rsidRDefault="00AA1DF2" w:rsidP="008035C6">
            <w:pPr>
              <w:jc w:val="right"/>
              <w:rPr>
                <w:b/>
                <w:color w:val="000000" w:themeColor="text1"/>
              </w:rPr>
            </w:pPr>
            <w:r w:rsidRPr="00827BA7">
              <w:rPr>
                <w:b/>
                <w:color w:val="000000" w:themeColor="text1"/>
              </w:rPr>
              <w:t>0,</w:t>
            </w:r>
            <w:r w:rsidR="00380DAC">
              <w:rPr>
                <w:b/>
                <w:color w:val="000000" w:themeColor="text1"/>
              </w:rPr>
              <w:t>8</w:t>
            </w:r>
            <w:r w:rsidR="00E41F9B">
              <w:rPr>
                <w:b/>
                <w:color w:val="000000" w:themeColor="text1"/>
              </w:rPr>
              <w:t>9</w:t>
            </w:r>
            <w:r w:rsidR="00380DAC">
              <w:rPr>
                <w:b/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bottom"/>
          </w:tcPr>
          <w:p w:rsidR="00BF380C" w:rsidRPr="00827BA7" w:rsidRDefault="00BF380C" w:rsidP="008035C6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bottom"/>
          </w:tcPr>
          <w:p w:rsidR="00BF380C" w:rsidRPr="00827BA7" w:rsidRDefault="00BF380C" w:rsidP="008035C6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bottom"/>
          </w:tcPr>
          <w:p w:rsidR="00BF380C" w:rsidRPr="00827BA7" w:rsidRDefault="00380DAC" w:rsidP="008035C6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3.5</w:t>
            </w:r>
            <w:r w:rsidR="00E41F9B">
              <w:rPr>
                <w:b/>
                <w:color w:val="000000" w:themeColor="text1"/>
              </w:rPr>
              <w:t>8</w:t>
            </w:r>
            <w:r>
              <w:rPr>
                <w:b/>
                <w:color w:val="000000" w:themeColor="text1"/>
              </w:rPr>
              <w:t>0,00</w:t>
            </w:r>
          </w:p>
        </w:tc>
      </w:tr>
    </w:tbl>
    <w:p w:rsidR="00F06809" w:rsidRPr="00827BA7" w:rsidRDefault="00F06809" w:rsidP="009504EC">
      <w:pPr>
        <w:jc w:val="both"/>
        <w:rPr>
          <w:color w:val="000000" w:themeColor="text1"/>
          <w:lang w:val="fr-BE"/>
        </w:rPr>
      </w:pPr>
    </w:p>
    <w:p w:rsidR="00BF380C" w:rsidRPr="00827BA7" w:rsidRDefault="00F06809" w:rsidP="009504EC">
      <w:pPr>
        <w:jc w:val="both"/>
        <w:rPr>
          <w:i/>
          <w:color w:val="000000" w:themeColor="text1"/>
          <w:u w:val="single"/>
          <w:lang w:val="fr-BE"/>
        </w:rPr>
      </w:pPr>
      <w:r w:rsidRPr="00827BA7">
        <w:rPr>
          <w:i/>
          <w:color w:val="000000" w:themeColor="text1"/>
          <w:u w:val="single"/>
          <w:lang w:val="fr-BE"/>
        </w:rPr>
        <w:t>Cessions d’actions propres</w:t>
      </w:r>
    </w:p>
    <w:p w:rsidR="00F46256" w:rsidRPr="00827BA7" w:rsidRDefault="00F06809" w:rsidP="009504EC">
      <w:pPr>
        <w:jc w:val="both"/>
        <w:rPr>
          <w:color w:val="000000" w:themeColor="text1"/>
          <w:lang w:val="fr-BE"/>
        </w:rPr>
      </w:pPr>
      <w:r w:rsidRPr="00827BA7">
        <w:rPr>
          <w:color w:val="000000" w:themeColor="text1"/>
          <w:lang w:val="fr-BE"/>
        </w:rPr>
        <w:t xml:space="preserve">Les </w:t>
      </w:r>
      <w:r w:rsidR="0040333C" w:rsidRPr="00827BA7">
        <w:rPr>
          <w:color w:val="000000" w:themeColor="text1"/>
          <w:lang w:val="fr-BE"/>
        </w:rPr>
        <w:t>trois suivantes c</w:t>
      </w:r>
      <w:r w:rsidRPr="00827BA7">
        <w:rPr>
          <w:color w:val="000000" w:themeColor="text1"/>
          <w:lang w:val="fr-BE"/>
        </w:rPr>
        <w:t xml:space="preserve">essions ont déjà eu lieu précédemment: </w:t>
      </w:r>
    </w:p>
    <w:p w:rsidR="00F06809" w:rsidRPr="00827BA7" w:rsidRDefault="00F06809" w:rsidP="00F06809">
      <w:pPr>
        <w:pStyle w:val="Lijstalinea"/>
        <w:numPr>
          <w:ilvl w:val="0"/>
          <w:numId w:val="3"/>
        </w:numPr>
        <w:jc w:val="both"/>
        <w:rPr>
          <w:color w:val="000000" w:themeColor="text1"/>
          <w:lang w:val="fr-BE"/>
        </w:rPr>
      </w:pPr>
      <w:r w:rsidRPr="00827BA7">
        <w:rPr>
          <w:color w:val="000000" w:themeColor="text1"/>
          <w:lang w:val="fr-BE"/>
        </w:rPr>
        <w:t>30 juin 2017 : 47.400 actions pour une valeur de EUR 75.000  (prix EUR 1,582 par action)</w:t>
      </w:r>
    </w:p>
    <w:p w:rsidR="00F06809" w:rsidRPr="00827BA7" w:rsidRDefault="00F06809" w:rsidP="00F06809">
      <w:pPr>
        <w:pStyle w:val="Lijstalinea"/>
        <w:numPr>
          <w:ilvl w:val="0"/>
          <w:numId w:val="3"/>
        </w:numPr>
        <w:jc w:val="both"/>
        <w:rPr>
          <w:color w:val="000000" w:themeColor="text1"/>
          <w:lang w:val="fr-BE"/>
        </w:rPr>
      </w:pPr>
      <w:r w:rsidRPr="00827BA7">
        <w:rPr>
          <w:color w:val="000000" w:themeColor="text1"/>
          <w:lang w:val="fr-BE"/>
        </w:rPr>
        <w:t>29 décembre 2017 : 16.887 actions pour une valeur de EUR 25.000 (prix EUR 1,48 par action)</w:t>
      </w:r>
    </w:p>
    <w:p w:rsidR="0040333C" w:rsidRPr="00827BA7" w:rsidRDefault="0040333C" w:rsidP="00F06809">
      <w:pPr>
        <w:pStyle w:val="Lijstalinea"/>
        <w:numPr>
          <w:ilvl w:val="0"/>
          <w:numId w:val="3"/>
        </w:numPr>
        <w:jc w:val="both"/>
        <w:rPr>
          <w:color w:val="000000" w:themeColor="text1"/>
          <w:lang w:val="fr-BE"/>
        </w:rPr>
      </w:pPr>
      <w:r w:rsidRPr="00827BA7">
        <w:rPr>
          <w:color w:val="000000" w:themeColor="text1"/>
          <w:lang w:val="fr-BE"/>
        </w:rPr>
        <w:t>10 janvier 2019 : 26.323 actions pour une valeur de EUR 25.000 (prix EUR 0,95 par action)</w:t>
      </w:r>
    </w:p>
    <w:p w:rsidR="00BA0720" w:rsidRDefault="00F06809" w:rsidP="009504EC">
      <w:pPr>
        <w:jc w:val="both"/>
        <w:rPr>
          <w:color w:val="000000" w:themeColor="text1"/>
          <w:lang w:val="fr-BE"/>
        </w:rPr>
      </w:pPr>
      <w:r w:rsidRPr="00827BA7">
        <w:rPr>
          <w:color w:val="000000" w:themeColor="text1"/>
          <w:lang w:val="fr-BE"/>
        </w:rPr>
        <w:t xml:space="preserve">Dans chacun de ces cas le prix de cession a été déterminé sur base de la moyenne des cours de bourse à la clôture des 30 jours calendriers précédent la date de cession. </w:t>
      </w:r>
    </w:p>
    <w:p w:rsidR="00DC33F5" w:rsidRPr="00827BA7" w:rsidRDefault="00DC33F5" w:rsidP="009504EC">
      <w:pPr>
        <w:jc w:val="both"/>
        <w:rPr>
          <w:color w:val="000000" w:themeColor="text1"/>
          <w:lang w:val="fr-BE"/>
        </w:rPr>
      </w:pPr>
    </w:p>
    <w:p w:rsidR="00DC33F5" w:rsidRDefault="00DC33F5" w:rsidP="009504EC">
      <w:pPr>
        <w:jc w:val="both"/>
        <w:rPr>
          <w:i/>
          <w:color w:val="000000" w:themeColor="text1"/>
          <w:u w:val="single"/>
          <w:lang w:val="fr-BE"/>
        </w:rPr>
      </w:pPr>
    </w:p>
    <w:p w:rsidR="004068DF" w:rsidRPr="00827BA7" w:rsidRDefault="00F06809" w:rsidP="009504EC">
      <w:pPr>
        <w:jc w:val="both"/>
        <w:rPr>
          <w:i/>
          <w:color w:val="000000" w:themeColor="text1"/>
          <w:u w:val="single"/>
          <w:lang w:val="fr-BE"/>
        </w:rPr>
      </w:pPr>
      <w:r w:rsidRPr="00827BA7">
        <w:rPr>
          <w:i/>
          <w:color w:val="000000" w:themeColor="text1"/>
          <w:u w:val="single"/>
          <w:lang w:val="fr-BE"/>
        </w:rPr>
        <w:t>Nombre d’actions en portefeuille</w:t>
      </w:r>
    </w:p>
    <w:p w:rsidR="00F06809" w:rsidRPr="00827BA7" w:rsidRDefault="00F06809" w:rsidP="00F06809">
      <w:pPr>
        <w:jc w:val="both"/>
        <w:rPr>
          <w:color w:val="000000" w:themeColor="text1"/>
          <w:lang w:val="fr-BE"/>
        </w:rPr>
      </w:pPr>
      <w:r w:rsidRPr="00827BA7">
        <w:rPr>
          <w:color w:val="000000" w:themeColor="text1"/>
          <w:lang w:val="fr-BE"/>
        </w:rPr>
        <w:t xml:space="preserve">Suite aux transactions de rachat exécutées jusqu’à présent et les trois cessions précitées représentant un total de 90.610 actions, la Société possède au </w:t>
      </w:r>
      <w:r w:rsidR="00E41F9B">
        <w:rPr>
          <w:color w:val="000000" w:themeColor="text1"/>
          <w:lang w:val="fr-BE"/>
        </w:rPr>
        <w:t>7</w:t>
      </w:r>
      <w:r w:rsidR="00A772D7" w:rsidRPr="00827BA7">
        <w:rPr>
          <w:color w:val="000000" w:themeColor="text1"/>
          <w:lang w:val="fr-BE"/>
        </w:rPr>
        <w:t xml:space="preserve"> </w:t>
      </w:r>
      <w:r w:rsidR="00E41F9B">
        <w:rPr>
          <w:color w:val="000000" w:themeColor="text1"/>
          <w:lang w:val="fr-BE"/>
        </w:rPr>
        <w:t>févr</w:t>
      </w:r>
      <w:r w:rsidR="00FA0A7F" w:rsidRPr="00827BA7">
        <w:rPr>
          <w:color w:val="000000" w:themeColor="text1"/>
          <w:lang w:val="fr-BE"/>
        </w:rPr>
        <w:t>ier</w:t>
      </w:r>
      <w:r w:rsidR="00F051B2" w:rsidRPr="00827BA7">
        <w:rPr>
          <w:color w:val="000000" w:themeColor="text1"/>
          <w:lang w:val="fr-BE"/>
        </w:rPr>
        <w:t xml:space="preserve"> </w:t>
      </w:r>
      <w:r w:rsidRPr="00827BA7">
        <w:rPr>
          <w:color w:val="000000" w:themeColor="text1"/>
          <w:lang w:val="fr-BE"/>
        </w:rPr>
        <w:t>20</w:t>
      </w:r>
      <w:r w:rsidR="00FA0A7F" w:rsidRPr="00827BA7">
        <w:rPr>
          <w:color w:val="000000" w:themeColor="text1"/>
          <w:lang w:val="fr-BE"/>
        </w:rPr>
        <w:t>20</w:t>
      </w:r>
      <w:r w:rsidRPr="00827BA7">
        <w:rPr>
          <w:color w:val="000000" w:themeColor="text1"/>
          <w:lang w:val="fr-BE"/>
        </w:rPr>
        <w:t xml:space="preserve"> au total </w:t>
      </w:r>
      <w:r w:rsidR="0095720B">
        <w:rPr>
          <w:b/>
          <w:color w:val="000000" w:themeColor="text1"/>
          <w:lang w:val="fr-BE"/>
        </w:rPr>
        <w:t>8</w:t>
      </w:r>
      <w:r w:rsidR="00E41F9B">
        <w:rPr>
          <w:b/>
          <w:color w:val="000000" w:themeColor="text1"/>
          <w:lang w:val="fr-BE"/>
        </w:rPr>
        <w:t>50</w:t>
      </w:r>
      <w:r w:rsidR="002D35B0">
        <w:rPr>
          <w:b/>
          <w:color w:val="000000" w:themeColor="text1"/>
          <w:lang w:val="fr-BE"/>
        </w:rPr>
        <w:t>.7</w:t>
      </w:r>
      <w:r w:rsidR="0095720B">
        <w:rPr>
          <w:b/>
          <w:color w:val="000000" w:themeColor="text1"/>
          <w:lang w:val="fr-BE"/>
        </w:rPr>
        <w:t>98</w:t>
      </w:r>
      <w:r w:rsidRPr="00827BA7">
        <w:rPr>
          <w:color w:val="000000" w:themeColor="text1"/>
          <w:lang w:val="fr-BE"/>
        </w:rPr>
        <w:t xml:space="preserve"> actions propres, soit </w:t>
      </w:r>
      <w:r w:rsidR="002D20EF" w:rsidRPr="00827BA7">
        <w:rPr>
          <w:color w:val="000000" w:themeColor="text1"/>
          <w:lang w:val="fr-BE"/>
        </w:rPr>
        <w:t>3,</w:t>
      </w:r>
      <w:r w:rsidR="00E41F9B">
        <w:rPr>
          <w:color w:val="000000" w:themeColor="text1"/>
          <w:lang w:val="fr-BE"/>
        </w:rPr>
        <w:t>613</w:t>
      </w:r>
      <w:r w:rsidR="00380DAC">
        <w:rPr>
          <w:color w:val="000000" w:themeColor="text1"/>
          <w:lang w:val="fr-BE"/>
        </w:rPr>
        <w:t>7</w:t>
      </w:r>
      <w:r w:rsidRPr="00827BA7">
        <w:rPr>
          <w:color w:val="000000" w:themeColor="text1"/>
          <w:lang w:val="fr-BE"/>
        </w:rPr>
        <w:t xml:space="preserve"> % du nombre actuel d’actions émises (soit 2</w:t>
      </w:r>
      <w:r w:rsidR="00E527BC" w:rsidRPr="00827BA7">
        <w:rPr>
          <w:color w:val="000000" w:themeColor="text1"/>
          <w:lang w:val="fr-BE"/>
        </w:rPr>
        <w:t>3</w:t>
      </w:r>
      <w:r w:rsidRPr="00827BA7">
        <w:rPr>
          <w:color w:val="000000" w:themeColor="text1"/>
          <w:lang w:val="fr-BE"/>
        </w:rPr>
        <w:t xml:space="preserve">.543.793). </w:t>
      </w:r>
    </w:p>
    <w:p w:rsidR="004068DF" w:rsidRPr="00827BA7" w:rsidRDefault="00F06809" w:rsidP="009504EC">
      <w:pPr>
        <w:jc w:val="both"/>
        <w:rPr>
          <w:color w:val="000000" w:themeColor="text1"/>
          <w:lang w:val="fr-BE"/>
        </w:rPr>
      </w:pPr>
      <w:r w:rsidRPr="00827BA7">
        <w:rPr>
          <w:color w:val="000000" w:themeColor="text1"/>
          <w:lang w:val="fr-BE"/>
        </w:rPr>
        <w:t>Ce nombre d’actions peut être alloué comme suit:</w:t>
      </w:r>
    </w:p>
    <w:p w:rsidR="004068DF" w:rsidRPr="00827BA7" w:rsidRDefault="00F06809" w:rsidP="004068DF">
      <w:pPr>
        <w:pStyle w:val="Lijstalinea"/>
        <w:numPr>
          <w:ilvl w:val="0"/>
          <w:numId w:val="2"/>
        </w:numPr>
        <w:jc w:val="both"/>
        <w:rPr>
          <w:color w:val="000000" w:themeColor="text1"/>
          <w:lang w:val="fr-BE"/>
        </w:rPr>
      </w:pPr>
      <w:r w:rsidRPr="00827BA7">
        <w:rPr>
          <w:color w:val="000000" w:themeColor="text1"/>
          <w:lang w:val="fr-BE"/>
        </w:rPr>
        <w:t>Programme de rachat d’actions propres précédent</w:t>
      </w:r>
      <w:r w:rsidR="004068DF" w:rsidRPr="00827BA7">
        <w:rPr>
          <w:color w:val="000000" w:themeColor="text1"/>
          <w:lang w:val="fr-BE"/>
        </w:rPr>
        <w:t xml:space="preserve"> :</w:t>
      </w:r>
      <w:r w:rsidR="00C06B66" w:rsidRPr="00827BA7">
        <w:rPr>
          <w:color w:val="000000" w:themeColor="text1"/>
          <w:lang w:val="fr-BE"/>
        </w:rPr>
        <w:tab/>
      </w:r>
      <w:r w:rsidR="00C06B66" w:rsidRPr="00827BA7">
        <w:rPr>
          <w:color w:val="000000" w:themeColor="text1"/>
          <w:lang w:val="fr-BE"/>
        </w:rPr>
        <w:tab/>
      </w:r>
      <w:r w:rsidR="00C06B66" w:rsidRPr="00827BA7">
        <w:rPr>
          <w:color w:val="000000" w:themeColor="text1"/>
          <w:lang w:val="fr-BE"/>
        </w:rPr>
        <w:tab/>
      </w:r>
      <w:r w:rsidR="004068DF" w:rsidRPr="00827BA7">
        <w:rPr>
          <w:color w:val="000000" w:themeColor="text1"/>
          <w:lang w:val="fr-BE"/>
        </w:rPr>
        <w:t xml:space="preserve">546.922 </w:t>
      </w:r>
      <w:r w:rsidRPr="00827BA7">
        <w:rPr>
          <w:color w:val="000000" w:themeColor="text1"/>
          <w:lang w:val="fr-BE"/>
        </w:rPr>
        <w:t>actions</w:t>
      </w:r>
    </w:p>
    <w:p w:rsidR="004068DF" w:rsidRPr="00827BA7" w:rsidRDefault="00F06809" w:rsidP="004068DF">
      <w:pPr>
        <w:pStyle w:val="Lijstalinea"/>
        <w:numPr>
          <w:ilvl w:val="0"/>
          <w:numId w:val="2"/>
        </w:numPr>
        <w:jc w:val="both"/>
        <w:rPr>
          <w:color w:val="000000" w:themeColor="text1"/>
          <w:lang w:val="fr-BE"/>
        </w:rPr>
      </w:pPr>
      <w:r w:rsidRPr="00827BA7">
        <w:rPr>
          <w:color w:val="000000" w:themeColor="text1"/>
          <w:lang w:val="fr-BE"/>
        </w:rPr>
        <w:t>Programme de rachat d’actions propres actuel</w:t>
      </w:r>
      <w:r w:rsidR="004068DF" w:rsidRPr="00827BA7">
        <w:rPr>
          <w:color w:val="000000" w:themeColor="text1"/>
          <w:lang w:val="fr-BE"/>
        </w:rPr>
        <w:t xml:space="preserve"> : </w:t>
      </w:r>
      <w:r w:rsidR="00C06B66" w:rsidRPr="00827BA7">
        <w:rPr>
          <w:color w:val="000000" w:themeColor="text1"/>
          <w:lang w:val="fr-BE"/>
        </w:rPr>
        <w:tab/>
      </w:r>
      <w:r w:rsidR="00C06B66" w:rsidRPr="00827BA7">
        <w:rPr>
          <w:color w:val="000000" w:themeColor="text1"/>
          <w:lang w:val="fr-BE"/>
        </w:rPr>
        <w:tab/>
      </w:r>
      <w:r w:rsidR="00C06B66" w:rsidRPr="00827BA7">
        <w:rPr>
          <w:color w:val="000000" w:themeColor="text1"/>
          <w:lang w:val="fr-BE"/>
        </w:rPr>
        <w:tab/>
      </w:r>
      <w:r w:rsidR="00C06B66" w:rsidRPr="00827BA7">
        <w:rPr>
          <w:color w:val="000000" w:themeColor="text1"/>
          <w:lang w:val="fr-BE"/>
        </w:rPr>
        <w:tab/>
      </w:r>
      <w:r w:rsidR="00E41F9B">
        <w:rPr>
          <w:color w:val="000000" w:themeColor="text1"/>
          <w:lang w:val="fr-BE"/>
        </w:rPr>
        <w:t>303</w:t>
      </w:r>
      <w:r w:rsidR="002D35B0">
        <w:rPr>
          <w:color w:val="000000" w:themeColor="text1"/>
          <w:lang w:val="fr-BE"/>
        </w:rPr>
        <w:t>.8</w:t>
      </w:r>
      <w:r w:rsidR="0095720B">
        <w:rPr>
          <w:color w:val="000000" w:themeColor="text1"/>
          <w:lang w:val="fr-BE"/>
        </w:rPr>
        <w:t>76</w:t>
      </w:r>
      <w:r w:rsidRPr="00827BA7">
        <w:rPr>
          <w:color w:val="000000" w:themeColor="text1"/>
          <w:lang w:val="fr-BE"/>
        </w:rPr>
        <w:t xml:space="preserve"> actions</w:t>
      </w:r>
      <w:r w:rsidR="004068DF" w:rsidRPr="00827BA7">
        <w:rPr>
          <w:color w:val="000000" w:themeColor="text1"/>
          <w:lang w:val="fr-BE"/>
        </w:rPr>
        <w:t xml:space="preserve"> </w:t>
      </w:r>
    </w:p>
    <w:p w:rsidR="00D349AD" w:rsidRPr="00827BA7" w:rsidRDefault="00D349AD" w:rsidP="00D349AD">
      <w:pPr>
        <w:jc w:val="both"/>
        <w:rPr>
          <w:color w:val="000000" w:themeColor="text1"/>
          <w:lang w:val="fr-BE"/>
        </w:rPr>
      </w:pPr>
      <w:r w:rsidRPr="00827BA7">
        <w:rPr>
          <w:color w:val="000000" w:themeColor="text1"/>
          <w:lang w:val="fr-BE"/>
        </w:rPr>
        <w:t xml:space="preserve">Le programme de rachat d’actions propres est poursuivi endéans le montant maximal de EUR 1.000.000. </w:t>
      </w:r>
      <w:r w:rsidR="005654E3" w:rsidRPr="00827BA7">
        <w:rPr>
          <w:color w:val="000000" w:themeColor="text1"/>
          <w:lang w:val="fr-BE"/>
        </w:rPr>
        <w:t>Dans le cadre de ce programme</w:t>
      </w:r>
      <w:r w:rsidRPr="00827BA7">
        <w:rPr>
          <w:color w:val="000000" w:themeColor="text1"/>
          <w:lang w:val="fr-BE"/>
        </w:rPr>
        <w:t xml:space="preserve"> un total de </w:t>
      </w:r>
      <w:r w:rsidR="00E41F9B">
        <w:rPr>
          <w:color w:val="000000" w:themeColor="text1"/>
          <w:lang w:val="fr-BE"/>
        </w:rPr>
        <w:t>303</w:t>
      </w:r>
      <w:r w:rsidR="00226A5E">
        <w:rPr>
          <w:color w:val="000000" w:themeColor="text1"/>
          <w:lang w:val="fr-BE"/>
        </w:rPr>
        <w:t>.8</w:t>
      </w:r>
      <w:r w:rsidR="0095720B">
        <w:rPr>
          <w:color w:val="000000" w:themeColor="text1"/>
          <w:lang w:val="fr-BE"/>
        </w:rPr>
        <w:t>76</w:t>
      </w:r>
      <w:r w:rsidRPr="00827BA7">
        <w:rPr>
          <w:color w:val="000000" w:themeColor="text1"/>
          <w:lang w:val="fr-BE"/>
        </w:rPr>
        <w:t xml:space="preserve"> actions propres ont déjà été achetées pour un montant de EUR </w:t>
      </w:r>
      <w:r w:rsidR="002D35B0">
        <w:rPr>
          <w:color w:val="000000" w:themeColor="text1"/>
          <w:lang w:val="fr-BE"/>
        </w:rPr>
        <w:t>2</w:t>
      </w:r>
      <w:r w:rsidR="00380DAC">
        <w:rPr>
          <w:color w:val="000000" w:themeColor="text1"/>
          <w:lang w:val="fr-BE"/>
        </w:rPr>
        <w:t>8</w:t>
      </w:r>
      <w:r w:rsidR="00E41F9B">
        <w:rPr>
          <w:color w:val="000000" w:themeColor="text1"/>
          <w:lang w:val="fr-BE"/>
        </w:rPr>
        <w:t>6</w:t>
      </w:r>
      <w:r w:rsidR="002D35B0">
        <w:rPr>
          <w:color w:val="000000" w:themeColor="text1"/>
          <w:lang w:val="fr-BE"/>
        </w:rPr>
        <w:t>.</w:t>
      </w:r>
      <w:r w:rsidR="00E41F9B">
        <w:rPr>
          <w:color w:val="000000" w:themeColor="text1"/>
          <w:lang w:val="fr-BE"/>
        </w:rPr>
        <w:t>554</w:t>
      </w:r>
      <w:r w:rsidR="002D35B0">
        <w:rPr>
          <w:color w:val="000000" w:themeColor="text1"/>
          <w:lang w:val="fr-BE"/>
        </w:rPr>
        <w:t>,40</w:t>
      </w:r>
      <w:r w:rsidRPr="00827BA7">
        <w:rPr>
          <w:color w:val="000000" w:themeColor="text1"/>
          <w:lang w:val="fr-BE"/>
        </w:rPr>
        <w:t xml:space="preserve">. Ainsi le solde résiduel est de EUR </w:t>
      </w:r>
      <w:r w:rsidR="002D35B0">
        <w:rPr>
          <w:color w:val="000000" w:themeColor="text1"/>
          <w:lang w:val="fr-BE"/>
        </w:rPr>
        <w:t>7</w:t>
      </w:r>
      <w:r w:rsidR="00380DAC">
        <w:rPr>
          <w:color w:val="000000" w:themeColor="text1"/>
          <w:lang w:val="fr-BE"/>
        </w:rPr>
        <w:t>1</w:t>
      </w:r>
      <w:r w:rsidR="00E41F9B">
        <w:rPr>
          <w:color w:val="000000" w:themeColor="text1"/>
          <w:lang w:val="fr-BE"/>
        </w:rPr>
        <w:t>3</w:t>
      </w:r>
      <w:r w:rsidR="002D35B0">
        <w:rPr>
          <w:color w:val="000000" w:themeColor="text1"/>
          <w:lang w:val="fr-BE"/>
        </w:rPr>
        <w:t>.</w:t>
      </w:r>
      <w:r w:rsidR="00E41F9B">
        <w:rPr>
          <w:color w:val="000000" w:themeColor="text1"/>
          <w:lang w:val="fr-BE"/>
        </w:rPr>
        <w:t>445</w:t>
      </w:r>
      <w:r w:rsidR="002D35B0">
        <w:rPr>
          <w:color w:val="000000" w:themeColor="text1"/>
          <w:lang w:val="fr-BE"/>
        </w:rPr>
        <w:t>,60</w:t>
      </w:r>
      <w:r w:rsidRPr="00827BA7">
        <w:rPr>
          <w:color w:val="000000" w:themeColor="text1"/>
          <w:lang w:val="fr-BE"/>
        </w:rPr>
        <w:t xml:space="preserve"> (ce qui correspond à environ </w:t>
      </w:r>
      <w:r w:rsidR="00E41F9B">
        <w:rPr>
          <w:color w:val="000000" w:themeColor="text1"/>
          <w:lang w:val="fr-BE"/>
        </w:rPr>
        <w:t>797</w:t>
      </w:r>
      <w:r w:rsidR="002D35B0">
        <w:rPr>
          <w:color w:val="000000" w:themeColor="text1"/>
          <w:lang w:val="fr-BE"/>
        </w:rPr>
        <w:t>.</w:t>
      </w:r>
      <w:r w:rsidR="00380DAC">
        <w:rPr>
          <w:color w:val="000000" w:themeColor="text1"/>
          <w:lang w:val="fr-BE"/>
        </w:rPr>
        <w:t>1</w:t>
      </w:r>
      <w:r w:rsidR="00E41F9B">
        <w:rPr>
          <w:color w:val="000000" w:themeColor="text1"/>
          <w:lang w:val="fr-BE"/>
        </w:rPr>
        <w:t>45</w:t>
      </w:r>
      <w:r w:rsidRPr="00827BA7">
        <w:rPr>
          <w:color w:val="000000" w:themeColor="text1"/>
          <w:lang w:val="fr-BE"/>
        </w:rPr>
        <w:t xml:space="preserve"> actions).</w:t>
      </w:r>
    </w:p>
    <w:p w:rsidR="00D349AD" w:rsidRDefault="00D349AD" w:rsidP="00D349AD">
      <w:pPr>
        <w:jc w:val="both"/>
        <w:rPr>
          <w:color w:val="000000" w:themeColor="text1"/>
          <w:lang w:val="fr-BE"/>
        </w:rPr>
      </w:pPr>
      <w:r w:rsidRPr="00827BA7">
        <w:rPr>
          <w:color w:val="000000" w:themeColor="text1"/>
          <w:lang w:val="fr-BE"/>
        </w:rPr>
        <w:t>Vous trouverez un aperçu des rachats d’actions propres sur notre site web : http://www.keyware.com/fr/information-legale sous le titre « Rachat d’actions propres ».</w:t>
      </w:r>
    </w:p>
    <w:p w:rsidR="00DC33F5" w:rsidRPr="00827BA7" w:rsidRDefault="00DC33F5" w:rsidP="00D349AD">
      <w:pPr>
        <w:jc w:val="both"/>
        <w:rPr>
          <w:color w:val="000000" w:themeColor="text1"/>
          <w:lang w:val="fr-BE"/>
        </w:rPr>
      </w:pPr>
    </w:p>
    <w:p w:rsidR="008D3860" w:rsidRPr="00D349AD" w:rsidRDefault="00D349AD" w:rsidP="008D3860">
      <w:pPr>
        <w:jc w:val="both"/>
        <w:rPr>
          <w:rFonts w:ascii="Questrial" w:eastAsia="Questrial" w:hAnsi="Questrial" w:cs="Questrial"/>
          <w:b/>
          <w:color w:val="000000"/>
          <w:sz w:val="24"/>
          <w:szCs w:val="24"/>
          <w:lang w:val="fr-BE"/>
        </w:rPr>
      </w:pPr>
      <w:r w:rsidRPr="00D349AD">
        <w:rPr>
          <w:rFonts w:ascii="Questrial" w:eastAsia="Questrial" w:hAnsi="Questrial" w:cs="Questrial"/>
          <w:b/>
          <w:color w:val="000000"/>
          <w:sz w:val="24"/>
          <w:szCs w:val="24"/>
          <w:lang w:val="fr-BE"/>
        </w:rPr>
        <w:t>A propos de Keyware</w:t>
      </w:r>
    </w:p>
    <w:p w:rsidR="003E7C23" w:rsidRPr="00012601" w:rsidRDefault="003E7C23" w:rsidP="003E7C23">
      <w:pPr>
        <w:spacing w:after="0" w:line="240" w:lineRule="auto"/>
        <w:jc w:val="both"/>
        <w:rPr>
          <w:rFonts w:ascii="Calibri" w:eastAsia="Calibri" w:hAnsi="Calibri" w:cs="Calibri"/>
          <w:color w:val="000000"/>
          <w:lang w:val="fr-BE" w:eastAsia="en-GB"/>
        </w:rPr>
      </w:pPr>
      <w:r w:rsidRPr="005C19D0">
        <w:rPr>
          <w:lang w:val="fr-BE"/>
        </w:rPr>
        <w:t>Keyware (EURONEXT Bruxelles : KEYW) est un fournisseur de premier plan de solutions de paiement électronique</w:t>
      </w:r>
      <w:r>
        <w:rPr>
          <w:lang w:val="fr-BE"/>
        </w:rPr>
        <w:t xml:space="preserve"> et développeur de logiciels</w:t>
      </w:r>
      <w:r w:rsidRPr="005C19D0">
        <w:rPr>
          <w:lang w:val="fr-BE"/>
        </w:rPr>
        <w:t xml:space="preserve">. Keyware est </w:t>
      </w:r>
      <w:r>
        <w:rPr>
          <w:lang w:val="fr-BE"/>
        </w:rPr>
        <w:t>basée</w:t>
      </w:r>
      <w:r w:rsidRPr="005C19D0">
        <w:rPr>
          <w:lang w:val="fr-BE"/>
        </w:rPr>
        <w:t xml:space="preserve"> à Zaventem, Belgique. Pour de plus amples informations, veuillez consulter le site</w:t>
      </w:r>
      <w:r w:rsidRPr="00012601">
        <w:rPr>
          <w:rFonts w:ascii="Calibri" w:eastAsia="Calibri" w:hAnsi="Calibri" w:cs="Calibri"/>
          <w:color w:val="000000"/>
          <w:lang w:val="fr-BE" w:eastAsia="en-GB"/>
        </w:rPr>
        <w:t xml:space="preserve"> </w:t>
      </w:r>
      <w:hyperlink r:id="rId7" w:history="1">
        <w:r w:rsidRPr="00DC285C">
          <w:rPr>
            <w:rStyle w:val="Hyperlink"/>
            <w:rFonts w:ascii="Calibri" w:eastAsia="Calibri" w:hAnsi="Calibri" w:cs="Calibri"/>
            <w:lang w:val="fr-BE" w:eastAsia="en-GB"/>
          </w:rPr>
          <w:t>www.keyware.com</w:t>
        </w:r>
      </w:hyperlink>
      <w:r>
        <w:rPr>
          <w:rFonts w:ascii="Calibri" w:eastAsia="Calibri" w:hAnsi="Calibri" w:cs="Calibri"/>
          <w:color w:val="000000"/>
          <w:lang w:val="fr-BE" w:eastAsia="en-GB"/>
        </w:rPr>
        <w:t xml:space="preserve"> </w:t>
      </w:r>
    </w:p>
    <w:p w:rsidR="008D3860" w:rsidRPr="00D349AD" w:rsidRDefault="008D3860" w:rsidP="008D3860">
      <w:pPr>
        <w:jc w:val="both"/>
        <w:rPr>
          <w:rFonts w:ascii="Questrial" w:eastAsia="Questrial" w:hAnsi="Questrial" w:cs="Questrial"/>
          <w:b/>
          <w:color w:val="000000"/>
          <w:sz w:val="20"/>
          <w:szCs w:val="20"/>
          <w:lang w:val="fr-BE"/>
        </w:rPr>
      </w:pPr>
    </w:p>
    <w:p w:rsidR="00D349AD" w:rsidRPr="005304A4" w:rsidRDefault="00D349AD" w:rsidP="00D34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nl-BE"/>
        </w:rPr>
      </w:pPr>
      <w:r w:rsidRPr="005304A4">
        <w:rPr>
          <w:rFonts w:ascii="Questrial" w:eastAsia="Questrial" w:hAnsi="Questrial" w:cs="Questrial"/>
          <w:b/>
          <w:color w:val="000000"/>
          <w:sz w:val="24"/>
          <w:szCs w:val="24"/>
          <w:lang w:val="fr-BE" w:eastAsia="nl-BE"/>
        </w:rPr>
        <w:t>Pour toutes informations complémentaires, veuillez contacter :</w:t>
      </w:r>
    </w:p>
    <w:p w:rsidR="00D349AD" w:rsidRPr="005304A4" w:rsidRDefault="00D349AD" w:rsidP="00D34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nl-BE"/>
        </w:rPr>
      </w:pPr>
      <w:r w:rsidRPr="005304A4">
        <w:rPr>
          <w:rFonts w:ascii="Questrial" w:eastAsia="Questrial" w:hAnsi="Questrial" w:cs="Questrial"/>
          <w:color w:val="000000"/>
          <w:lang w:val="fr-BE" w:eastAsia="nl-BE"/>
        </w:rPr>
        <w:t> </w:t>
      </w:r>
    </w:p>
    <w:p w:rsidR="00D349AD" w:rsidRPr="00012601" w:rsidRDefault="00D349AD" w:rsidP="00D349AD">
      <w:pPr>
        <w:spacing w:after="0" w:line="240" w:lineRule="auto"/>
        <w:jc w:val="both"/>
        <w:rPr>
          <w:rFonts w:ascii="Calibri" w:eastAsia="Calibri" w:hAnsi="Calibri" w:cs="Calibri"/>
          <w:color w:val="000000"/>
          <w:lang w:val="fr-BE" w:eastAsia="en-GB"/>
        </w:rPr>
      </w:pPr>
      <w:r w:rsidRPr="00012601">
        <w:rPr>
          <w:rFonts w:ascii="Calibri" w:eastAsia="Calibri" w:hAnsi="Calibri" w:cs="Calibri"/>
          <w:color w:val="000000"/>
          <w:lang w:val="fr-BE" w:eastAsia="en-GB"/>
        </w:rPr>
        <w:t>M. Stéphane Vandervelde</w:t>
      </w:r>
    </w:p>
    <w:p w:rsidR="00D349AD" w:rsidRPr="00012601" w:rsidRDefault="00D349AD" w:rsidP="00D349AD">
      <w:pPr>
        <w:spacing w:after="0" w:line="240" w:lineRule="auto"/>
        <w:jc w:val="both"/>
        <w:rPr>
          <w:rFonts w:ascii="Calibri" w:eastAsia="Calibri" w:hAnsi="Calibri" w:cs="Calibri"/>
          <w:color w:val="000000"/>
          <w:lang w:val="fr-BE" w:eastAsia="en-GB"/>
        </w:rPr>
      </w:pPr>
      <w:r w:rsidRPr="00012601">
        <w:rPr>
          <w:rFonts w:ascii="Calibri" w:eastAsia="Calibri" w:hAnsi="Calibri" w:cs="Calibri"/>
          <w:color w:val="000000"/>
          <w:lang w:val="fr-BE" w:eastAsia="en-GB"/>
        </w:rPr>
        <w:t>Président &amp; CEO</w:t>
      </w:r>
    </w:p>
    <w:p w:rsidR="00D349AD" w:rsidRPr="00012601" w:rsidRDefault="00D349AD" w:rsidP="00D349AD">
      <w:pPr>
        <w:spacing w:after="0" w:line="240" w:lineRule="auto"/>
        <w:jc w:val="both"/>
        <w:rPr>
          <w:rFonts w:ascii="Calibri" w:eastAsia="Calibri" w:hAnsi="Calibri" w:cs="Calibri"/>
          <w:color w:val="000000"/>
          <w:lang w:val="fr-BE" w:eastAsia="en-GB"/>
        </w:rPr>
      </w:pPr>
      <w:r w:rsidRPr="00012601">
        <w:rPr>
          <w:rFonts w:ascii="Calibri" w:eastAsia="Calibri" w:hAnsi="Calibri" w:cs="Calibri"/>
          <w:color w:val="000000"/>
          <w:lang w:val="fr-BE" w:eastAsia="en-GB"/>
        </w:rPr>
        <w:t>Keyware Technologies</w:t>
      </w:r>
    </w:p>
    <w:p w:rsidR="00D349AD" w:rsidRPr="00012601" w:rsidRDefault="00D349AD" w:rsidP="00D349AD">
      <w:pPr>
        <w:spacing w:after="0" w:line="240" w:lineRule="auto"/>
        <w:jc w:val="both"/>
        <w:rPr>
          <w:rFonts w:ascii="Calibri" w:eastAsia="Calibri" w:hAnsi="Calibri" w:cs="Calibri"/>
          <w:color w:val="000000"/>
          <w:lang w:val="fr-BE" w:eastAsia="en-GB"/>
        </w:rPr>
      </w:pPr>
      <w:bookmarkStart w:id="1" w:name="h.1fob9te" w:colFirst="0" w:colLast="0"/>
      <w:bookmarkEnd w:id="1"/>
      <w:r w:rsidRPr="00012601">
        <w:rPr>
          <w:rFonts w:ascii="Calibri" w:eastAsia="Calibri" w:hAnsi="Calibri" w:cs="Calibri"/>
          <w:color w:val="000000"/>
          <w:lang w:val="fr-BE" w:eastAsia="en-GB"/>
        </w:rPr>
        <w:t>Tél. : +32 (0)2 346.25.23</w:t>
      </w:r>
    </w:p>
    <w:p w:rsidR="00D349AD" w:rsidRPr="00012601" w:rsidRDefault="00D349AD" w:rsidP="00D349AD">
      <w:pPr>
        <w:spacing w:after="0" w:line="240" w:lineRule="auto"/>
        <w:jc w:val="both"/>
        <w:rPr>
          <w:rFonts w:ascii="Calibri" w:eastAsia="Calibri" w:hAnsi="Calibri" w:cs="Calibri"/>
          <w:color w:val="000000"/>
          <w:lang w:val="fr-BE" w:eastAsia="en-GB"/>
        </w:rPr>
      </w:pPr>
      <w:r w:rsidRPr="00012601">
        <w:rPr>
          <w:rFonts w:ascii="Calibri" w:eastAsia="Calibri" w:hAnsi="Calibri" w:cs="Calibri"/>
          <w:color w:val="000000"/>
          <w:lang w:val="fr-BE" w:eastAsia="en-GB"/>
        </w:rPr>
        <w:t>ir@keyware.com</w:t>
      </w:r>
    </w:p>
    <w:p w:rsidR="00D349AD" w:rsidRPr="00A841F5" w:rsidRDefault="00D82CEA" w:rsidP="00D349AD">
      <w:pPr>
        <w:spacing w:after="0" w:line="240" w:lineRule="auto"/>
        <w:jc w:val="both"/>
        <w:rPr>
          <w:rFonts w:ascii="Calibri" w:eastAsia="Calibri" w:hAnsi="Calibri" w:cs="Calibri"/>
          <w:color w:val="000000"/>
          <w:lang w:val="fr-BE" w:eastAsia="en-GB"/>
        </w:rPr>
      </w:pPr>
      <w:hyperlink r:id="rId8" w:history="1">
        <w:r w:rsidR="00D349AD" w:rsidRPr="00A841F5">
          <w:rPr>
            <w:rStyle w:val="Hyperlink"/>
            <w:rFonts w:ascii="Calibri" w:eastAsia="Calibri" w:hAnsi="Calibri" w:cs="Calibri"/>
            <w:lang w:val="fr-BE" w:eastAsia="en-GB"/>
          </w:rPr>
          <w:t>www.keyware.com</w:t>
        </w:r>
      </w:hyperlink>
      <w:r w:rsidR="00D349AD" w:rsidRPr="00A841F5">
        <w:rPr>
          <w:rFonts w:ascii="Calibri" w:eastAsia="Calibri" w:hAnsi="Calibri" w:cs="Calibri"/>
          <w:color w:val="000000"/>
          <w:lang w:val="fr-BE" w:eastAsia="en-GB"/>
        </w:rPr>
        <w:t xml:space="preserve">  </w:t>
      </w:r>
    </w:p>
    <w:p w:rsidR="00D349AD" w:rsidRPr="005304A4" w:rsidRDefault="00D349AD" w:rsidP="00D349AD">
      <w:pPr>
        <w:rPr>
          <w:lang w:val="fr-BE"/>
        </w:rPr>
      </w:pPr>
    </w:p>
    <w:p w:rsidR="005036BB" w:rsidRPr="00D349AD" w:rsidRDefault="005036BB">
      <w:pPr>
        <w:rPr>
          <w:lang w:val="fr-BE"/>
        </w:rPr>
      </w:pPr>
    </w:p>
    <w:sectPr w:rsidR="005036BB" w:rsidRPr="00D349AD" w:rsidSect="002F3DB7">
      <w:headerReference w:type="default" r:id="rId9"/>
      <w:foot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CEA" w:rsidRDefault="00D82CEA" w:rsidP="00A44F3C">
      <w:pPr>
        <w:spacing w:after="0" w:line="240" w:lineRule="auto"/>
      </w:pPr>
      <w:r>
        <w:separator/>
      </w:r>
    </w:p>
  </w:endnote>
  <w:endnote w:type="continuationSeparator" w:id="0">
    <w:p w:rsidR="00D82CEA" w:rsidRDefault="00D82CEA" w:rsidP="00A4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803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1365" w:rsidRDefault="00AC136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C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1365" w:rsidRDefault="00AC13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CEA" w:rsidRDefault="00D82CEA" w:rsidP="00A44F3C">
      <w:pPr>
        <w:spacing w:after="0" w:line="240" w:lineRule="auto"/>
      </w:pPr>
      <w:r>
        <w:separator/>
      </w:r>
    </w:p>
  </w:footnote>
  <w:footnote w:type="continuationSeparator" w:id="0">
    <w:p w:rsidR="00D82CEA" w:rsidRDefault="00D82CEA" w:rsidP="00A4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F3C" w:rsidRPr="00A44F3C" w:rsidRDefault="00CA3D5B">
    <w:pPr>
      <w:pStyle w:val="Koptekst"/>
      <w:rPr>
        <w:lang w:val="nl-BE"/>
      </w:rPr>
    </w:pPr>
    <w:r>
      <w:rPr>
        <w:lang w:val="nl-BE"/>
      </w:rPr>
      <w:t>INFORMATION REGLEMENTEE</w:t>
    </w:r>
    <w:r w:rsidR="004726F3">
      <w:rPr>
        <w:lang w:val="nl-BE"/>
      </w:rPr>
      <w:tab/>
    </w:r>
    <w:r w:rsidR="004726F3">
      <w:rPr>
        <w:lang w:val="nl-BE"/>
      </w:rPr>
      <w:tab/>
    </w:r>
    <w:r w:rsidR="004726F3">
      <w:rPr>
        <w:noProof/>
        <w:lang w:eastAsia="en-GB"/>
      </w:rPr>
      <w:drawing>
        <wp:inline distT="0" distB="0" distL="0" distR="0" wp14:anchorId="6470541A" wp14:editId="4457666D">
          <wp:extent cx="1228725" cy="514350"/>
          <wp:effectExtent l="0" t="0" r="0" b="0"/>
          <wp:docPr id="1" name="image01.png" descr="9aab02ef-e506-484b-9470-bafba074519e@b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9aab02ef-e506-484b-9470-bafba074519e@b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C2FCD"/>
    <w:multiLevelType w:val="hybridMultilevel"/>
    <w:tmpl w:val="1C5671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06618"/>
    <w:multiLevelType w:val="hybridMultilevel"/>
    <w:tmpl w:val="28F0CE58"/>
    <w:lvl w:ilvl="0" w:tplc="226E549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B428E"/>
    <w:multiLevelType w:val="hybridMultilevel"/>
    <w:tmpl w:val="E44496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BB"/>
    <w:rsid w:val="000025DA"/>
    <w:rsid w:val="0001104F"/>
    <w:rsid w:val="00011B74"/>
    <w:rsid w:val="00013278"/>
    <w:rsid w:val="000153B8"/>
    <w:rsid w:val="00024101"/>
    <w:rsid w:val="00025AA3"/>
    <w:rsid w:val="00031DBA"/>
    <w:rsid w:val="000572E9"/>
    <w:rsid w:val="00060871"/>
    <w:rsid w:val="000655E0"/>
    <w:rsid w:val="0006595F"/>
    <w:rsid w:val="00066045"/>
    <w:rsid w:val="00070115"/>
    <w:rsid w:val="00073446"/>
    <w:rsid w:val="00074FDB"/>
    <w:rsid w:val="000819F4"/>
    <w:rsid w:val="000861E0"/>
    <w:rsid w:val="00094C78"/>
    <w:rsid w:val="00095D37"/>
    <w:rsid w:val="000B2202"/>
    <w:rsid w:val="000B29EA"/>
    <w:rsid w:val="000C66CE"/>
    <w:rsid w:val="000D4736"/>
    <w:rsid w:val="000E1274"/>
    <w:rsid w:val="000F16DC"/>
    <w:rsid w:val="000F27C8"/>
    <w:rsid w:val="000F35BC"/>
    <w:rsid w:val="000F3723"/>
    <w:rsid w:val="000F54FB"/>
    <w:rsid w:val="0010079E"/>
    <w:rsid w:val="00105F85"/>
    <w:rsid w:val="00122211"/>
    <w:rsid w:val="001359E2"/>
    <w:rsid w:val="001439A4"/>
    <w:rsid w:val="00155A3D"/>
    <w:rsid w:val="0015747F"/>
    <w:rsid w:val="00157BDB"/>
    <w:rsid w:val="00166BB7"/>
    <w:rsid w:val="0017624A"/>
    <w:rsid w:val="00180877"/>
    <w:rsid w:val="001818DD"/>
    <w:rsid w:val="0018611B"/>
    <w:rsid w:val="00186A70"/>
    <w:rsid w:val="001879A2"/>
    <w:rsid w:val="00191F1F"/>
    <w:rsid w:val="001A6EA3"/>
    <w:rsid w:val="001B73CF"/>
    <w:rsid w:val="001B7FEE"/>
    <w:rsid w:val="001C4311"/>
    <w:rsid w:val="001C68C2"/>
    <w:rsid w:val="001D06F4"/>
    <w:rsid w:val="001D6505"/>
    <w:rsid w:val="001D70B2"/>
    <w:rsid w:val="002026CD"/>
    <w:rsid w:val="00211648"/>
    <w:rsid w:val="00213333"/>
    <w:rsid w:val="00214AA0"/>
    <w:rsid w:val="00224371"/>
    <w:rsid w:val="00226A5E"/>
    <w:rsid w:val="0022763F"/>
    <w:rsid w:val="00232B6D"/>
    <w:rsid w:val="0023652C"/>
    <w:rsid w:val="00241674"/>
    <w:rsid w:val="002421B6"/>
    <w:rsid w:val="00247C50"/>
    <w:rsid w:val="00247F54"/>
    <w:rsid w:val="002562D2"/>
    <w:rsid w:val="00257B1F"/>
    <w:rsid w:val="00277675"/>
    <w:rsid w:val="00286678"/>
    <w:rsid w:val="0028718F"/>
    <w:rsid w:val="002B5426"/>
    <w:rsid w:val="002B612F"/>
    <w:rsid w:val="002C396F"/>
    <w:rsid w:val="002D20EF"/>
    <w:rsid w:val="002D35B0"/>
    <w:rsid w:val="002D3CB5"/>
    <w:rsid w:val="002E532B"/>
    <w:rsid w:val="002F3DB7"/>
    <w:rsid w:val="002F72D5"/>
    <w:rsid w:val="00300827"/>
    <w:rsid w:val="00305F30"/>
    <w:rsid w:val="00306FF4"/>
    <w:rsid w:val="00313075"/>
    <w:rsid w:val="00314970"/>
    <w:rsid w:val="00314A66"/>
    <w:rsid w:val="003254C7"/>
    <w:rsid w:val="00325DD1"/>
    <w:rsid w:val="003479D0"/>
    <w:rsid w:val="00355128"/>
    <w:rsid w:val="00357950"/>
    <w:rsid w:val="00360566"/>
    <w:rsid w:val="00361BAC"/>
    <w:rsid w:val="003631F9"/>
    <w:rsid w:val="00370269"/>
    <w:rsid w:val="003806E9"/>
    <w:rsid w:val="00380B3C"/>
    <w:rsid w:val="00380DAC"/>
    <w:rsid w:val="003831F4"/>
    <w:rsid w:val="00383A90"/>
    <w:rsid w:val="003861B2"/>
    <w:rsid w:val="003A7552"/>
    <w:rsid w:val="003B1416"/>
    <w:rsid w:val="003C1926"/>
    <w:rsid w:val="003E7C23"/>
    <w:rsid w:val="003F0024"/>
    <w:rsid w:val="0040333C"/>
    <w:rsid w:val="00403C59"/>
    <w:rsid w:val="004068DF"/>
    <w:rsid w:val="004125E7"/>
    <w:rsid w:val="004173DE"/>
    <w:rsid w:val="00423C10"/>
    <w:rsid w:val="00437563"/>
    <w:rsid w:val="00437BF2"/>
    <w:rsid w:val="00443465"/>
    <w:rsid w:val="004435C1"/>
    <w:rsid w:val="004521B9"/>
    <w:rsid w:val="00455002"/>
    <w:rsid w:val="004726F3"/>
    <w:rsid w:val="00473E51"/>
    <w:rsid w:val="00483B9F"/>
    <w:rsid w:val="00490B56"/>
    <w:rsid w:val="0049131C"/>
    <w:rsid w:val="004A6434"/>
    <w:rsid w:val="004B202E"/>
    <w:rsid w:val="004C1BFE"/>
    <w:rsid w:val="004C29CA"/>
    <w:rsid w:val="004D3381"/>
    <w:rsid w:val="004D6C95"/>
    <w:rsid w:val="004E0CF7"/>
    <w:rsid w:val="004E1D95"/>
    <w:rsid w:val="004E28AB"/>
    <w:rsid w:val="004E2B83"/>
    <w:rsid w:val="004F2337"/>
    <w:rsid w:val="004F2E84"/>
    <w:rsid w:val="004F3B9F"/>
    <w:rsid w:val="004F707A"/>
    <w:rsid w:val="004F7A7C"/>
    <w:rsid w:val="00501624"/>
    <w:rsid w:val="00501E0A"/>
    <w:rsid w:val="005032ED"/>
    <w:rsid w:val="005036BB"/>
    <w:rsid w:val="00504F38"/>
    <w:rsid w:val="00505CEF"/>
    <w:rsid w:val="00514035"/>
    <w:rsid w:val="0052259D"/>
    <w:rsid w:val="005350B3"/>
    <w:rsid w:val="005441F1"/>
    <w:rsid w:val="0054514D"/>
    <w:rsid w:val="005654E3"/>
    <w:rsid w:val="00570022"/>
    <w:rsid w:val="00570792"/>
    <w:rsid w:val="00570B1F"/>
    <w:rsid w:val="00574967"/>
    <w:rsid w:val="00575816"/>
    <w:rsid w:val="00575D62"/>
    <w:rsid w:val="005A038F"/>
    <w:rsid w:val="005B2505"/>
    <w:rsid w:val="005B4922"/>
    <w:rsid w:val="005C0D15"/>
    <w:rsid w:val="005C36EC"/>
    <w:rsid w:val="005C6C0C"/>
    <w:rsid w:val="005D736D"/>
    <w:rsid w:val="005E0E8E"/>
    <w:rsid w:val="005E6F06"/>
    <w:rsid w:val="005E7ECB"/>
    <w:rsid w:val="005F4EA8"/>
    <w:rsid w:val="005F7E87"/>
    <w:rsid w:val="00603357"/>
    <w:rsid w:val="00607035"/>
    <w:rsid w:val="006175C8"/>
    <w:rsid w:val="00620056"/>
    <w:rsid w:val="006226BD"/>
    <w:rsid w:val="006337A9"/>
    <w:rsid w:val="00650C95"/>
    <w:rsid w:val="006537F4"/>
    <w:rsid w:val="00654DFC"/>
    <w:rsid w:val="00657747"/>
    <w:rsid w:val="006737E5"/>
    <w:rsid w:val="0068182F"/>
    <w:rsid w:val="00690AB9"/>
    <w:rsid w:val="00691556"/>
    <w:rsid w:val="00691C4D"/>
    <w:rsid w:val="00696B1C"/>
    <w:rsid w:val="006A2F4F"/>
    <w:rsid w:val="006B2900"/>
    <w:rsid w:val="006C0AB1"/>
    <w:rsid w:val="006C1CB5"/>
    <w:rsid w:val="006E0852"/>
    <w:rsid w:val="006E254C"/>
    <w:rsid w:val="006E5209"/>
    <w:rsid w:val="006F257B"/>
    <w:rsid w:val="006F32BE"/>
    <w:rsid w:val="0070636F"/>
    <w:rsid w:val="007116D2"/>
    <w:rsid w:val="00713C78"/>
    <w:rsid w:val="00715D7E"/>
    <w:rsid w:val="0072301E"/>
    <w:rsid w:val="0073601D"/>
    <w:rsid w:val="00737D3C"/>
    <w:rsid w:val="00743447"/>
    <w:rsid w:val="00745156"/>
    <w:rsid w:val="00745264"/>
    <w:rsid w:val="007456D8"/>
    <w:rsid w:val="00747324"/>
    <w:rsid w:val="00751AA8"/>
    <w:rsid w:val="00762E96"/>
    <w:rsid w:val="00772DAC"/>
    <w:rsid w:val="00787584"/>
    <w:rsid w:val="007876E9"/>
    <w:rsid w:val="007A5E14"/>
    <w:rsid w:val="007A78EE"/>
    <w:rsid w:val="007B19A8"/>
    <w:rsid w:val="007B7D09"/>
    <w:rsid w:val="007C6048"/>
    <w:rsid w:val="007D5E13"/>
    <w:rsid w:val="007D7B3C"/>
    <w:rsid w:val="007E74E6"/>
    <w:rsid w:val="0081418D"/>
    <w:rsid w:val="00824FF3"/>
    <w:rsid w:val="00826566"/>
    <w:rsid w:val="00827BA7"/>
    <w:rsid w:val="00836E1B"/>
    <w:rsid w:val="0084033F"/>
    <w:rsid w:val="00862C9B"/>
    <w:rsid w:val="00865316"/>
    <w:rsid w:val="00865470"/>
    <w:rsid w:val="00870EDA"/>
    <w:rsid w:val="008726E4"/>
    <w:rsid w:val="0087386E"/>
    <w:rsid w:val="00876C5E"/>
    <w:rsid w:val="008806DC"/>
    <w:rsid w:val="00887345"/>
    <w:rsid w:val="008930D4"/>
    <w:rsid w:val="008932C3"/>
    <w:rsid w:val="008A6F7C"/>
    <w:rsid w:val="008C7835"/>
    <w:rsid w:val="008D3860"/>
    <w:rsid w:val="008D710B"/>
    <w:rsid w:val="008E05B5"/>
    <w:rsid w:val="008E142F"/>
    <w:rsid w:val="008E2895"/>
    <w:rsid w:val="008E2951"/>
    <w:rsid w:val="00910116"/>
    <w:rsid w:val="00931AB9"/>
    <w:rsid w:val="009401A8"/>
    <w:rsid w:val="00947A38"/>
    <w:rsid w:val="009504EC"/>
    <w:rsid w:val="0095052C"/>
    <w:rsid w:val="009542E2"/>
    <w:rsid w:val="0095516F"/>
    <w:rsid w:val="0095720B"/>
    <w:rsid w:val="009572FC"/>
    <w:rsid w:val="00961BFF"/>
    <w:rsid w:val="00961C4F"/>
    <w:rsid w:val="0096532C"/>
    <w:rsid w:val="00966F2C"/>
    <w:rsid w:val="00971E44"/>
    <w:rsid w:val="00972AFE"/>
    <w:rsid w:val="00975007"/>
    <w:rsid w:val="00982E40"/>
    <w:rsid w:val="0098489F"/>
    <w:rsid w:val="00984FE5"/>
    <w:rsid w:val="00992CC2"/>
    <w:rsid w:val="009946B3"/>
    <w:rsid w:val="009A1299"/>
    <w:rsid w:val="009A35A4"/>
    <w:rsid w:val="009A47DA"/>
    <w:rsid w:val="009A7124"/>
    <w:rsid w:val="009A7945"/>
    <w:rsid w:val="009A7E9C"/>
    <w:rsid w:val="009B7A82"/>
    <w:rsid w:val="009C2F02"/>
    <w:rsid w:val="009C406B"/>
    <w:rsid w:val="009C4D19"/>
    <w:rsid w:val="009D1A12"/>
    <w:rsid w:val="009E1004"/>
    <w:rsid w:val="009E1FA4"/>
    <w:rsid w:val="009E7A89"/>
    <w:rsid w:val="009F0DDE"/>
    <w:rsid w:val="009F1370"/>
    <w:rsid w:val="009F15D2"/>
    <w:rsid w:val="009F55B4"/>
    <w:rsid w:val="009F68FC"/>
    <w:rsid w:val="009F6DEC"/>
    <w:rsid w:val="00A00987"/>
    <w:rsid w:val="00A00CB0"/>
    <w:rsid w:val="00A272A8"/>
    <w:rsid w:val="00A34C37"/>
    <w:rsid w:val="00A35E22"/>
    <w:rsid w:val="00A40581"/>
    <w:rsid w:val="00A44F3C"/>
    <w:rsid w:val="00A5083E"/>
    <w:rsid w:val="00A54EAE"/>
    <w:rsid w:val="00A56FAE"/>
    <w:rsid w:val="00A56FAF"/>
    <w:rsid w:val="00A610F7"/>
    <w:rsid w:val="00A6308F"/>
    <w:rsid w:val="00A772D7"/>
    <w:rsid w:val="00A83A62"/>
    <w:rsid w:val="00A863FB"/>
    <w:rsid w:val="00A909C9"/>
    <w:rsid w:val="00A94D4C"/>
    <w:rsid w:val="00A951A9"/>
    <w:rsid w:val="00A9564A"/>
    <w:rsid w:val="00AA1DF2"/>
    <w:rsid w:val="00AA24DD"/>
    <w:rsid w:val="00AB38AB"/>
    <w:rsid w:val="00AC1365"/>
    <w:rsid w:val="00AC537B"/>
    <w:rsid w:val="00AD25B8"/>
    <w:rsid w:val="00AD2898"/>
    <w:rsid w:val="00AD718A"/>
    <w:rsid w:val="00AD7FD7"/>
    <w:rsid w:val="00AE3894"/>
    <w:rsid w:val="00AE5123"/>
    <w:rsid w:val="00AF136C"/>
    <w:rsid w:val="00AF40F4"/>
    <w:rsid w:val="00AF7DC4"/>
    <w:rsid w:val="00B00C3C"/>
    <w:rsid w:val="00B16FB1"/>
    <w:rsid w:val="00B211B1"/>
    <w:rsid w:val="00B21D50"/>
    <w:rsid w:val="00B4789F"/>
    <w:rsid w:val="00B51AD0"/>
    <w:rsid w:val="00B52EB3"/>
    <w:rsid w:val="00B6390B"/>
    <w:rsid w:val="00B66DA2"/>
    <w:rsid w:val="00B84339"/>
    <w:rsid w:val="00B91867"/>
    <w:rsid w:val="00B934ED"/>
    <w:rsid w:val="00B94487"/>
    <w:rsid w:val="00B95EC8"/>
    <w:rsid w:val="00B95FBF"/>
    <w:rsid w:val="00B979F8"/>
    <w:rsid w:val="00BA0720"/>
    <w:rsid w:val="00BA374A"/>
    <w:rsid w:val="00BA49DA"/>
    <w:rsid w:val="00BB155D"/>
    <w:rsid w:val="00BB6C2A"/>
    <w:rsid w:val="00BC2942"/>
    <w:rsid w:val="00BC74E0"/>
    <w:rsid w:val="00BF24D4"/>
    <w:rsid w:val="00BF256F"/>
    <w:rsid w:val="00BF27F4"/>
    <w:rsid w:val="00BF380C"/>
    <w:rsid w:val="00BF556A"/>
    <w:rsid w:val="00C034C2"/>
    <w:rsid w:val="00C06B66"/>
    <w:rsid w:val="00C07A88"/>
    <w:rsid w:val="00C17B13"/>
    <w:rsid w:val="00C21360"/>
    <w:rsid w:val="00C25579"/>
    <w:rsid w:val="00C329C3"/>
    <w:rsid w:val="00C3409F"/>
    <w:rsid w:val="00C4090A"/>
    <w:rsid w:val="00C41103"/>
    <w:rsid w:val="00C4525E"/>
    <w:rsid w:val="00C53138"/>
    <w:rsid w:val="00C54F5B"/>
    <w:rsid w:val="00C65F73"/>
    <w:rsid w:val="00C75CAF"/>
    <w:rsid w:val="00C80509"/>
    <w:rsid w:val="00C80B07"/>
    <w:rsid w:val="00C82068"/>
    <w:rsid w:val="00C83786"/>
    <w:rsid w:val="00C86DBF"/>
    <w:rsid w:val="00C91A57"/>
    <w:rsid w:val="00C935DD"/>
    <w:rsid w:val="00C94560"/>
    <w:rsid w:val="00C947D4"/>
    <w:rsid w:val="00C9565D"/>
    <w:rsid w:val="00CA2B45"/>
    <w:rsid w:val="00CA3B09"/>
    <w:rsid w:val="00CA3D5B"/>
    <w:rsid w:val="00CB6EC7"/>
    <w:rsid w:val="00CC195D"/>
    <w:rsid w:val="00CC241D"/>
    <w:rsid w:val="00CC61D9"/>
    <w:rsid w:val="00CE273A"/>
    <w:rsid w:val="00CF000E"/>
    <w:rsid w:val="00CF1EA5"/>
    <w:rsid w:val="00CF5205"/>
    <w:rsid w:val="00D11EDB"/>
    <w:rsid w:val="00D121B1"/>
    <w:rsid w:val="00D14B62"/>
    <w:rsid w:val="00D23FDE"/>
    <w:rsid w:val="00D349AD"/>
    <w:rsid w:val="00D52F8F"/>
    <w:rsid w:val="00D55138"/>
    <w:rsid w:val="00D57CD9"/>
    <w:rsid w:val="00D60287"/>
    <w:rsid w:val="00D61C1F"/>
    <w:rsid w:val="00D634BD"/>
    <w:rsid w:val="00D705BD"/>
    <w:rsid w:val="00D73E44"/>
    <w:rsid w:val="00D77C3D"/>
    <w:rsid w:val="00D82CEA"/>
    <w:rsid w:val="00D8583B"/>
    <w:rsid w:val="00D90441"/>
    <w:rsid w:val="00D94A0E"/>
    <w:rsid w:val="00D9521E"/>
    <w:rsid w:val="00D954B2"/>
    <w:rsid w:val="00D965B0"/>
    <w:rsid w:val="00DB05FD"/>
    <w:rsid w:val="00DB73A7"/>
    <w:rsid w:val="00DC11B9"/>
    <w:rsid w:val="00DC14A8"/>
    <w:rsid w:val="00DC33F5"/>
    <w:rsid w:val="00DC44CD"/>
    <w:rsid w:val="00DC7A20"/>
    <w:rsid w:val="00DD6B11"/>
    <w:rsid w:val="00DE3C09"/>
    <w:rsid w:val="00DE61B2"/>
    <w:rsid w:val="00E013D0"/>
    <w:rsid w:val="00E05A0A"/>
    <w:rsid w:val="00E142BF"/>
    <w:rsid w:val="00E15551"/>
    <w:rsid w:val="00E16012"/>
    <w:rsid w:val="00E26055"/>
    <w:rsid w:val="00E31C31"/>
    <w:rsid w:val="00E3601F"/>
    <w:rsid w:val="00E41F9B"/>
    <w:rsid w:val="00E42FDC"/>
    <w:rsid w:val="00E50DAD"/>
    <w:rsid w:val="00E50F1B"/>
    <w:rsid w:val="00E527BC"/>
    <w:rsid w:val="00E54156"/>
    <w:rsid w:val="00E54D1F"/>
    <w:rsid w:val="00E80010"/>
    <w:rsid w:val="00E81D5B"/>
    <w:rsid w:val="00EA17C1"/>
    <w:rsid w:val="00EA5094"/>
    <w:rsid w:val="00EB6D10"/>
    <w:rsid w:val="00EC1893"/>
    <w:rsid w:val="00EC1930"/>
    <w:rsid w:val="00EC6EC2"/>
    <w:rsid w:val="00ED1985"/>
    <w:rsid w:val="00ED6724"/>
    <w:rsid w:val="00EE09CA"/>
    <w:rsid w:val="00EE0B39"/>
    <w:rsid w:val="00EF2B0E"/>
    <w:rsid w:val="00EF6C4E"/>
    <w:rsid w:val="00EF6EDB"/>
    <w:rsid w:val="00F051B2"/>
    <w:rsid w:val="00F06809"/>
    <w:rsid w:val="00F21334"/>
    <w:rsid w:val="00F31A1B"/>
    <w:rsid w:val="00F355C9"/>
    <w:rsid w:val="00F421FA"/>
    <w:rsid w:val="00F45064"/>
    <w:rsid w:val="00F46256"/>
    <w:rsid w:val="00F507B3"/>
    <w:rsid w:val="00F651C9"/>
    <w:rsid w:val="00F71630"/>
    <w:rsid w:val="00F720B1"/>
    <w:rsid w:val="00F76187"/>
    <w:rsid w:val="00F83043"/>
    <w:rsid w:val="00FA0A7F"/>
    <w:rsid w:val="00FA1C4D"/>
    <w:rsid w:val="00FA2689"/>
    <w:rsid w:val="00FA4492"/>
    <w:rsid w:val="00FB4DA6"/>
    <w:rsid w:val="00FC2FF1"/>
    <w:rsid w:val="00FC49A7"/>
    <w:rsid w:val="00FC5179"/>
    <w:rsid w:val="00FD2E30"/>
    <w:rsid w:val="00FD4184"/>
    <w:rsid w:val="00FD6F43"/>
    <w:rsid w:val="00FE1D0E"/>
    <w:rsid w:val="00FE4BDB"/>
    <w:rsid w:val="00FF2454"/>
    <w:rsid w:val="00FF4237"/>
    <w:rsid w:val="00FF6216"/>
    <w:rsid w:val="00FF62C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1F81"/>
  <w15:docId w15:val="{0E58934F-34B1-4E7A-91BD-BB5E8964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03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36B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36E1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4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4F3C"/>
  </w:style>
  <w:style w:type="paragraph" w:styleId="Voettekst">
    <w:name w:val="footer"/>
    <w:basedOn w:val="Standaard"/>
    <w:link w:val="VoettekstChar"/>
    <w:uiPriority w:val="99"/>
    <w:unhideWhenUsed/>
    <w:rsid w:val="00A4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4F3C"/>
  </w:style>
  <w:style w:type="table" w:styleId="Tabelraster">
    <w:name w:val="Table Grid"/>
    <w:basedOn w:val="Standaardtabel"/>
    <w:uiPriority w:val="39"/>
    <w:rsid w:val="009504EC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34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ywar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ywa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Hubert</dc:creator>
  <cp:lastModifiedBy>Gio Verborg</cp:lastModifiedBy>
  <cp:revision>4</cp:revision>
  <cp:lastPrinted>2020-01-06T13:31:00Z</cp:lastPrinted>
  <dcterms:created xsi:type="dcterms:W3CDTF">2020-02-10T10:22:00Z</dcterms:created>
  <dcterms:modified xsi:type="dcterms:W3CDTF">2020-02-10T10:41:00Z</dcterms:modified>
</cp:coreProperties>
</file>