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79" w:rsidRDefault="00BC204F" w:rsidP="004F70B6">
      <w:r>
        <w:t xml:space="preserve"> </w:t>
      </w:r>
      <w:r w:rsidR="00931879">
        <w:rPr>
          <w:noProof/>
        </w:rPr>
        <w:drawing>
          <wp:inline distT="0" distB="0" distL="0" distR="0">
            <wp:extent cx="2295525" cy="590550"/>
            <wp:effectExtent l="19050" t="0" r="9525" b="0"/>
            <wp:docPr id="4" name="Image 4" descr="http://www.reseau-aquila.fr/Files/23278/Img/23/Logo-Aquil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eau-aquila.fr/Files/23278/Img/23/Logo-Aquila-2018.png"/>
                    <pic:cNvPicPr>
                      <a:picLocks noChangeAspect="1" noChangeArrowheads="1"/>
                    </pic:cNvPicPr>
                  </pic:nvPicPr>
                  <pic:blipFill>
                    <a:blip r:embed="rId5"/>
                    <a:srcRect/>
                    <a:stretch>
                      <a:fillRect/>
                    </a:stretch>
                  </pic:blipFill>
                  <pic:spPr bwMode="auto">
                    <a:xfrm>
                      <a:off x="0" y="0"/>
                      <a:ext cx="2295525" cy="590550"/>
                    </a:xfrm>
                    <a:prstGeom prst="rect">
                      <a:avLst/>
                    </a:prstGeom>
                    <a:noFill/>
                    <a:ln w="9525">
                      <a:noFill/>
                      <a:miter lim="800000"/>
                      <a:headEnd/>
                      <a:tailEnd/>
                    </a:ln>
                  </pic:spPr>
                </pic:pic>
              </a:graphicData>
            </a:graphic>
          </wp:inline>
        </w:drawing>
      </w:r>
      <w:r w:rsidR="004F70B6">
        <w:tab/>
      </w:r>
      <w:r w:rsidR="004F70B6">
        <w:tab/>
      </w:r>
    </w:p>
    <w:p w:rsidR="00931879" w:rsidRDefault="00931879" w:rsidP="004F70B6"/>
    <w:p w:rsidR="00931879" w:rsidRDefault="00931879" w:rsidP="004F70B6"/>
    <w:p w:rsidR="00BC204F" w:rsidRDefault="004F70B6" w:rsidP="004F70B6">
      <w:pPr>
        <w:rPr>
          <w:rFonts w:ascii="Verdana" w:hAnsi="Verdana" w:cs="Verdana"/>
          <w:color w:val="808080"/>
        </w:rPr>
      </w:pPr>
      <w:r>
        <w:tab/>
      </w:r>
      <w:r w:rsidR="00931879">
        <w:tab/>
      </w:r>
      <w:r w:rsidR="00931879">
        <w:tab/>
      </w:r>
      <w:r w:rsidR="00931879">
        <w:tab/>
      </w:r>
      <w:r w:rsidR="00931879">
        <w:tab/>
      </w:r>
      <w:r w:rsidR="00931879">
        <w:tab/>
      </w:r>
      <w:r w:rsidR="00931879">
        <w:tab/>
      </w:r>
      <w:r w:rsidR="00931879">
        <w:tab/>
      </w:r>
      <w:r w:rsidR="00B64B6C" w:rsidRPr="005A267F">
        <w:rPr>
          <w:rFonts w:ascii="Verdana" w:hAnsi="Verdana" w:cs="Verdana"/>
          <w:color w:val="808080"/>
        </w:rPr>
        <w:t>Avignon</w:t>
      </w:r>
      <w:r w:rsidR="00BC204F" w:rsidRPr="005A267F">
        <w:rPr>
          <w:rFonts w:ascii="Verdana" w:hAnsi="Verdana" w:cs="Verdana"/>
          <w:color w:val="808080"/>
        </w:rPr>
        <w:t xml:space="preserve">, le </w:t>
      </w:r>
      <w:r w:rsidR="008F5549">
        <w:rPr>
          <w:rFonts w:ascii="Verdana" w:hAnsi="Verdana" w:cs="Verdana"/>
          <w:color w:val="808080"/>
        </w:rPr>
        <w:t>31</w:t>
      </w:r>
      <w:r w:rsidR="005B6067" w:rsidRPr="005A267F">
        <w:rPr>
          <w:rFonts w:ascii="Verdana" w:hAnsi="Verdana" w:cs="Verdana"/>
          <w:color w:val="808080"/>
        </w:rPr>
        <w:t xml:space="preserve"> </w:t>
      </w:r>
      <w:r w:rsidR="008F5549">
        <w:rPr>
          <w:rFonts w:ascii="Verdana" w:hAnsi="Verdana" w:cs="Verdana"/>
          <w:color w:val="808080"/>
        </w:rPr>
        <w:t>janvier 2020</w:t>
      </w:r>
    </w:p>
    <w:p w:rsidR="0000081F" w:rsidRDefault="0000081F" w:rsidP="004F70B6">
      <w:pPr>
        <w:rPr>
          <w:rFonts w:ascii="Verdana" w:hAnsi="Verdana" w:cs="Verdana"/>
          <w:color w:val="808080"/>
        </w:rPr>
      </w:pPr>
    </w:p>
    <w:p w:rsidR="0000081F" w:rsidRPr="005A267F" w:rsidRDefault="0000081F" w:rsidP="004F70B6">
      <w:pPr>
        <w:rPr>
          <w:color w:val="808080"/>
        </w:rPr>
      </w:pPr>
    </w:p>
    <w:p w:rsidR="00BC204F" w:rsidRDefault="00BC204F" w:rsidP="00F5685D">
      <w:pPr>
        <w:jc w:val="both"/>
        <w:rPr>
          <w:rFonts w:ascii="Arial Narrow" w:hAnsi="Arial Narrow" w:cs="Arial Narrow"/>
          <w:b/>
          <w:bCs/>
          <w:sz w:val="16"/>
          <w:szCs w:val="16"/>
        </w:rPr>
      </w:pPr>
    </w:p>
    <w:p w:rsidR="00BC204F" w:rsidRPr="005B6067" w:rsidRDefault="00BC204F" w:rsidP="004F70B6">
      <w:pPr>
        <w:jc w:val="center"/>
        <w:rPr>
          <w:rFonts w:ascii="Arial Narrow" w:hAnsi="Arial Narrow" w:cs="Arial Narrow"/>
          <w:b/>
          <w:bCs/>
          <w:color w:val="808080"/>
          <w:sz w:val="36"/>
          <w:szCs w:val="36"/>
        </w:rPr>
      </w:pPr>
      <w:r w:rsidRPr="005B6067">
        <w:rPr>
          <w:rFonts w:ascii="Arial Narrow" w:hAnsi="Arial Narrow" w:cs="Arial Narrow"/>
          <w:b/>
          <w:bCs/>
          <w:color w:val="808080"/>
          <w:sz w:val="36"/>
          <w:szCs w:val="36"/>
        </w:rPr>
        <w:t>Chiffre d’affaires annuel 201</w:t>
      </w:r>
      <w:r w:rsidR="008F5549">
        <w:rPr>
          <w:rFonts w:ascii="Arial Narrow" w:hAnsi="Arial Narrow" w:cs="Arial Narrow"/>
          <w:b/>
          <w:bCs/>
          <w:color w:val="808080"/>
          <w:sz w:val="36"/>
          <w:szCs w:val="36"/>
        </w:rPr>
        <w:t>9</w:t>
      </w:r>
      <w:r w:rsidRPr="005B6067">
        <w:rPr>
          <w:rFonts w:ascii="Arial Narrow" w:hAnsi="Arial Narrow" w:cs="Arial Narrow"/>
          <w:b/>
          <w:bCs/>
          <w:color w:val="808080"/>
          <w:sz w:val="36"/>
          <w:szCs w:val="36"/>
        </w:rPr>
        <w:t> :</w:t>
      </w:r>
    </w:p>
    <w:p w:rsidR="00BC204F" w:rsidRPr="002162D9" w:rsidRDefault="00BC204F" w:rsidP="00F5685D">
      <w:pPr>
        <w:jc w:val="both"/>
        <w:rPr>
          <w:rFonts w:ascii="Arial Narrow" w:hAnsi="Arial Narrow" w:cs="Arial Narrow"/>
          <w:b/>
          <w:bCs/>
          <w:color w:val="3366FF"/>
          <w:sz w:val="36"/>
          <w:szCs w:val="36"/>
        </w:rPr>
      </w:pPr>
    </w:p>
    <w:p w:rsidR="00992C43" w:rsidRDefault="00992C43" w:rsidP="00992C43">
      <w:pPr>
        <w:rPr>
          <w:rFonts w:ascii="Verdana" w:hAnsi="Verdana"/>
          <w:color w:val="808080"/>
          <w:sz w:val="22"/>
          <w:szCs w:val="22"/>
          <w:u w:val="single"/>
        </w:rPr>
      </w:pPr>
      <w:r w:rsidRPr="005B6067">
        <w:rPr>
          <w:rFonts w:ascii="Verdana" w:hAnsi="Verdana"/>
          <w:color w:val="808080"/>
          <w:sz w:val="22"/>
          <w:szCs w:val="22"/>
          <w:u w:val="single"/>
        </w:rPr>
        <w:t xml:space="preserve">Commentaire sur l’activité </w:t>
      </w:r>
      <w:r w:rsidR="008F5549">
        <w:rPr>
          <w:rFonts w:ascii="Verdana" w:hAnsi="Verdana"/>
          <w:color w:val="808080"/>
          <w:sz w:val="22"/>
          <w:szCs w:val="22"/>
          <w:u w:val="single"/>
        </w:rPr>
        <w:t>2019</w:t>
      </w:r>
      <w:r w:rsidRPr="005B6067">
        <w:rPr>
          <w:rFonts w:ascii="Verdana" w:hAnsi="Verdana"/>
          <w:color w:val="808080"/>
          <w:sz w:val="22"/>
          <w:szCs w:val="22"/>
          <w:u w:val="single"/>
        </w:rPr>
        <w:t> :</w:t>
      </w:r>
    </w:p>
    <w:p w:rsidR="00E05507" w:rsidRPr="005B6067" w:rsidRDefault="00E05507" w:rsidP="00992C43">
      <w:pPr>
        <w:rPr>
          <w:rFonts w:ascii="Verdana" w:hAnsi="Verdana"/>
          <w:color w:val="808080"/>
          <w:sz w:val="22"/>
          <w:szCs w:val="22"/>
          <w:u w:val="single"/>
        </w:rPr>
      </w:pPr>
    </w:p>
    <w:p w:rsidR="00BC204F" w:rsidRDefault="00BC204F" w:rsidP="00F5685D">
      <w:pPr>
        <w:jc w:val="both"/>
        <w:rPr>
          <w:rFonts w:ascii="Verdana" w:hAnsi="Verdana"/>
          <w:sz w:val="22"/>
          <w:szCs w:val="22"/>
        </w:rPr>
      </w:pPr>
    </w:p>
    <w:p w:rsidR="00FA1DE6" w:rsidRDefault="00FA1DE6" w:rsidP="00F5685D">
      <w:pPr>
        <w:jc w:val="both"/>
        <w:rPr>
          <w:rFonts w:ascii="Verdana" w:hAnsi="Verdana" w:cs="Verdana"/>
          <w:b/>
          <w:bCs/>
          <w:color w:val="000000"/>
          <w:sz w:val="18"/>
          <w:szCs w:val="18"/>
        </w:rPr>
      </w:pPr>
    </w:p>
    <w:tbl>
      <w:tblPr>
        <w:tblW w:w="9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40"/>
        <w:gridCol w:w="2092"/>
        <w:gridCol w:w="2092"/>
      </w:tblGrid>
      <w:tr w:rsidR="00BC204F">
        <w:trPr>
          <w:trHeight w:val="384"/>
        </w:trPr>
        <w:tc>
          <w:tcPr>
            <w:tcW w:w="3227" w:type="dxa"/>
            <w:shd w:val="clear" w:color="auto" w:fill="FF6600"/>
          </w:tcPr>
          <w:p w:rsidR="00BC204F" w:rsidRDefault="00B64B6C" w:rsidP="001A4D63">
            <w:pPr>
              <w:spacing w:before="40"/>
              <w:jc w:val="both"/>
              <w:rPr>
                <w:rFonts w:ascii="Verdana" w:hAnsi="Verdana" w:cs="Verdana"/>
                <w:b/>
                <w:bCs/>
                <w:color w:val="000000"/>
                <w:sz w:val="20"/>
                <w:szCs w:val="20"/>
              </w:rPr>
            </w:pPr>
            <w:r>
              <w:rPr>
                <w:rFonts w:ascii="Verdana" w:hAnsi="Verdana" w:cs="Verdana"/>
                <w:b/>
                <w:bCs/>
                <w:color w:val="000000"/>
                <w:sz w:val="20"/>
                <w:szCs w:val="20"/>
              </w:rPr>
              <w:t>CA e</w:t>
            </w:r>
            <w:r w:rsidR="00BC204F">
              <w:rPr>
                <w:rFonts w:ascii="Verdana" w:hAnsi="Verdana" w:cs="Verdana"/>
                <w:b/>
                <w:bCs/>
                <w:color w:val="000000"/>
                <w:sz w:val="20"/>
                <w:szCs w:val="20"/>
              </w:rPr>
              <w:t>n M€</w:t>
            </w:r>
          </w:p>
        </w:tc>
        <w:tc>
          <w:tcPr>
            <w:tcW w:w="2140" w:type="dxa"/>
            <w:shd w:val="clear" w:color="auto" w:fill="FF6600"/>
          </w:tcPr>
          <w:p w:rsidR="00BC204F" w:rsidRDefault="000318A7" w:rsidP="001A4D63">
            <w:pPr>
              <w:spacing w:before="40"/>
              <w:jc w:val="center"/>
              <w:rPr>
                <w:rFonts w:ascii="Verdana" w:hAnsi="Verdana" w:cs="Verdana"/>
                <w:b/>
                <w:bCs/>
                <w:color w:val="000000"/>
                <w:sz w:val="20"/>
                <w:szCs w:val="20"/>
              </w:rPr>
            </w:pPr>
            <w:r>
              <w:rPr>
                <w:rFonts w:ascii="Verdana" w:hAnsi="Verdana" w:cs="Verdana"/>
                <w:b/>
                <w:bCs/>
                <w:color w:val="000000"/>
                <w:sz w:val="20"/>
                <w:szCs w:val="20"/>
              </w:rPr>
              <w:t>201</w:t>
            </w:r>
            <w:r w:rsidR="008F5549">
              <w:rPr>
                <w:rFonts w:ascii="Verdana" w:hAnsi="Verdana" w:cs="Verdana"/>
                <w:b/>
                <w:bCs/>
                <w:color w:val="000000"/>
                <w:sz w:val="20"/>
                <w:szCs w:val="20"/>
              </w:rPr>
              <w:t>9</w:t>
            </w:r>
          </w:p>
        </w:tc>
        <w:tc>
          <w:tcPr>
            <w:tcW w:w="2092" w:type="dxa"/>
            <w:shd w:val="clear" w:color="auto" w:fill="FF6600"/>
          </w:tcPr>
          <w:p w:rsidR="00BC204F" w:rsidRDefault="009726E3" w:rsidP="001A4D63">
            <w:pPr>
              <w:spacing w:before="40"/>
              <w:jc w:val="center"/>
              <w:rPr>
                <w:rFonts w:ascii="Verdana" w:hAnsi="Verdana" w:cs="Verdana"/>
                <w:b/>
                <w:bCs/>
                <w:color w:val="000000"/>
                <w:sz w:val="20"/>
                <w:szCs w:val="20"/>
              </w:rPr>
            </w:pPr>
            <w:r>
              <w:rPr>
                <w:rFonts w:ascii="Verdana" w:hAnsi="Verdana" w:cs="Verdana"/>
                <w:b/>
                <w:bCs/>
                <w:color w:val="000000"/>
                <w:sz w:val="20"/>
                <w:szCs w:val="20"/>
              </w:rPr>
              <w:t>201</w:t>
            </w:r>
            <w:r w:rsidR="008F5549">
              <w:rPr>
                <w:rFonts w:ascii="Verdana" w:hAnsi="Verdana" w:cs="Verdana"/>
                <w:b/>
                <w:bCs/>
                <w:color w:val="000000"/>
                <w:sz w:val="20"/>
                <w:szCs w:val="20"/>
              </w:rPr>
              <w:t>8</w:t>
            </w:r>
          </w:p>
        </w:tc>
        <w:tc>
          <w:tcPr>
            <w:tcW w:w="2092" w:type="dxa"/>
            <w:shd w:val="clear" w:color="auto" w:fill="FF6600"/>
          </w:tcPr>
          <w:p w:rsidR="00BC204F" w:rsidRDefault="00BC204F" w:rsidP="001A4D63">
            <w:pPr>
              <w:spacing w:before="40"/>
              <w:jc w:val="center"/>
              <w:rPr>
                <w:rFonts w:ascii="Verdana" w:hAnsi="Verdana" w:cs="Verdana"/>
                <w:b/>
                <w:bCs/>
                <w:color w:val="000000"/>
                <w:sz w:val="20"/>
                <w:szCs w:val="20"/>
              </w:rPr>
            </w:pPr>
            <w:r>
              <w:rPr>
                <w:rFonts w:ascii="Verdana" w:hAnsi="Verdana" w:cs="Verdana"/>
                <w:b/>
                <w:bCs/>
                <w:color w:val="000000"/>
                <w:sz w:val="20"/>
                <w:szCs w:val="20"/>
              </w:rPr>
              <w:t>Variation</w:t>
            </w:r>
          </w:p>
          <w:p w:rsidR="00BC204F" w:rsidRDefault="000A14DF" w:rsidP="001A4D63">
            <w:pPr>
              <w:spacing w:before="40"/>
              <w:jc w:val="center"/>
              <w:rPr>
                <w:rFonts w:ascii="Verdana" w:hAnsi="Verdana" w:cs="Verdana"/>
                <w:b/>
                <w:bCs/>
                <w:color w:val="000000"/>
                <w:sz w:val="20"/>
                <w:szCs w:val="20"/>
              </w:rPr>
            </w:pPr>
            <w:r>
              <w:rPr>
                <w:rFonts w:ascii="Verdana" w:hAnsi="Verdana" w:cs="Verdana"/>
                <w:b/>
                <w:bCs/>
                <w:color w:val="000000"/>
                <w:sz w:val="20"/>
                <w:szCs w:val="20"/>
              </w:rPr>
              <w:t>1</w:t>
            </w:r>
            <w:r w:rsidR="008F5549">
              <w:rPr>
                <w:rFonts w:ascii="Verdana" w:hAnsi="Verdana" w:cs="Verdana"/>
                <w:b/>
                <w:bCs/>
                <w:color w:val="000000"/>
                <w:sz w:val="20"/>
                <w:szCs w:val="20"/>
              </w:rPr>
              <w:t>9</w:t>
            </w:r>
            <w:r>
              <w:rPr>
                <w:rFonts w:ascii="Verdana" w:hAnsi="Verdana" w:cs="Verdana"/>
                <w:b/>
                <w:bCs/>
                <w:color w:val="000000"/>
                <w:sz w:val="20"/>
                <w:szCs w:val="20"/>
              </w:rPr>
              <w:t>/1</w:t>
            </w:r>
            <w:r w:rsidR="008F5549">
              <w:rPr>
                <w:rFonts w:ascii="Verdana" w:hAnsi="Verdana" w:cs="Verdana"/>
                <w:b/>
                <w:bCs/>
                <w:color w:val="000000"/>
                <w:sz w:val="20"/>
                <w:szCs w:val="20"/>
              </w:rPr>
              <w:t>8</w:t>
            </w:r>
          </w:p>
        </w:tc>
      </w:tr>
      <w:tr w:rsidR="008F5549" w:rsidTr="00F76489">
        <w:trPr>
          <w:trHeight w:val="401"/>
        </w:trPr>
        <w:tc>
          <w:tcPr>
            <w:tcW w:w="3227" w:type="dxa"/>
            <w:vAlign w:val="center"/>
          </w:tcPr>
          <w:p w:rsidR="008F5549" w:rsidRPr="00CF3F1A" w:rsidRDefault="008F5549" w:rsidP="001A4D63">
            <w:pPr>
              <w:jc w:val="center"/>
              <w:rPr>
                <w:rFonts w:ascii="Verdana" w:hAnsi="Verdana" w:cs="Verdana"/>
                <w:b/>
                <w:bCs/>
                <w:color w:val="000000"/>
                <w:sz w:val="20"/>
                <w:szCs w:val="20"/>
              </w:rPr>
            </w:pPr>
            <w:r>
              <w:rPr>
                <w:rFonts w:ascii="Verdana" w:hAnsi="Verdana" w:cs="Verdana"/>
                <w:b/>
                <w:bCs/>
                <w:color w:val="000000"/>
                <w:sz w:val="20"/>
                <w:szCs w:val="20"/>
              </w:rPr>
              <w:t>1</w:t>
            </w:r>
            <w:r w:rsidRPr="00857A42">
              <w:rPr>
                <w:rFonts w:ascii="Verdana" w:hAnsi="Verdana" w:cs="Verdana"/>
                <w:b/>
                <w:bCs/>
                <w:color w:val="000000"/>
                <w:sz w:val="20"/>
                <w:szCs w:val="20"/>
                <w:vertAlign w:val="superscript"/>
              </w:rPr>
              <w:t>er</w:t>
            </w:r>
            <w:r>
              <w:rPr>
                <w:rFonts w:ascii="Verdana" w:hAnsi="Verdana" w:cs="Verdana"/>
                <w:b/>
                <w:bCs/>
                <w:color w:val="000000"/>
                <w:sz w:val="20"/>
                <w:szCs w:val="20"/>
              </w:rPr>
              <w:t xml:space="preserve"> trimestre</w:t>
            </w:r>
          </w:p>
        </w:tc>
        <w:tc>
          <w:tcPr>
            <w:tcW w:w="2140" w:type="dxa"/>
            <w:vAlign w:val="center"/>
          </w:tcPr>
          <w:p w:rsidR="008F5549" w:rsidRPr="004E299C" w:rsidRDefault="008F5549" w:rsidP="00D63EBF">
            <w:pPr>
              <w:snapToGrid w:val="0"/>
              <w:ind w:right="615"/>
              <w:jc w:val="right"/>
              <w:rPr>
                <w:rFonts w:ascii="Verdana" w:hAnsi="Verdana" w:cs="Arial"/>
                <w:b/>
                <w:color w:val="000000"/>
                <w:sz w:val="20"/>
                <w:szCs w:val="20"/>
              </w:rPr>
            </w:pPr>
            <w:r>
              <w:rPr>
                <w:rFonts w:ascii="Verdana" w:hAnsi="Verdana" w:cs="Arial"/>
                <w:b/>
                <w:color w:val="000000"/>
                <w:sz w:val="20"/>
                <w:szCs w:val="20"/>
              </w:rPr>
              <w:t>5,76</w:t>
            </w:r>
          </w:p>
        </w:tc>
        <w:tc>
          <w:tcPr>
            <w:tcW w:w="2092" w:type="dxa"/>
            <w:vAlign w:val="center"/>
          </w:tcPr>
          <w:p w:rsidR="008F5549" w:rsidRPr="00E92CC4" w:rsidRDefault="008F5549" w:rsidP="00D63EBF">
            <w:pPr>
              <w:snapToGrid w:val="0"/>
              <w:ind w:right="615"/>
              <w:jc w:val="right"/>
              <w:rPr>
                <w:rFonts w:ascii="Verdana" w:hAnsi="Verdana" w:cs="Arial"/>
                <w:b/>
                <w:color w:val="000000"/>
                <w:sz w:val="20"/>
                <w:szCs w:val="20"/>
              </w:rPr>
            </w:pPr>
            <w:r>
              <w:rPr>
                <w:rFonts w:ascii="Verdana" w:hAnsi="Verdana" w:cs="Arial"/>
                <w:b/>
                <w:color w:val="000000"/>
                <w:sz w:val="20"/>
                <w:szCs w:val="20"/>
              </w:rPr>
              <w:t>4,67</w:t>
            </w:r>
          </w:p>
        </w:tc>
        <w:tc>
          <w:tcPr>
            <w:tcW w:w="2092" w:type="dxa"/>
          </w:tcPr>
          <w:p w:rsidR="008F5549" w:rsidRPr="00692817" w:rsidRDefault="008F5549" w:rsidP="00D63EBF">
            <w:pPr>
              <w:jc w:val="center"/>
              <w:rPr>
                <w:rFonts w:ascii="Verdana" w:hAnsi="Verdana" w:cs="Arial"/>
                <w:b/>
                <w:sz w:val="20"/>
                <w:szCs w:val="20"/>
              </w:rPr>
            </w:pPr>
            <w:r>
              <w:rPr>
                <w:rFonts w:ascii="Verdana" w:hAnsi="Verdana" w:cs="Arial"/>
                <w:b/>
                <w:sz w:val="20"/>
                <w:szCs w:val="20"/>
              </w:rPr>
              <w:t>23,34</w:t>
            </w:r>
            <w:r w:rsidRPr="00692817">
              <w:rPr>
                <w:rFonts w:ascii="Verdana" w:hAnsi="Verdana" w:cs="Arial"/>
                <w:b/>
                <w:sz w:val="20"/>
                <w:szCs w:val="20"/>
              </w:rPr>
              <w:t>%</w:t>
            </w:r>
          </w:p>
        </w:tc>
      </w:tr>
      <w:tr w:rsidR="008F5549" w:rsidTr="00F76489">
        <w:trPr>
          <w:trHeight w:val="401"/>
        </w:trPr>
        <w:tc>
          <w:tcPr>
            <w:tcW w:w="3227" w:type="dxa"/>
            <w:vAlign w:val="center"/>
          </w:tcPr>
          <w:p w:rsidR="008F5549" w:rsidRPr="00CF3F1A" w:rsidRDefault="008F5549" w:rsidP="001A4D63">
            <w:pPr>
              <w:jc w:val="center"/>
              <w:rPr>
                <w:rFonts w:ascii="Verdana" w:hAnsi="Verdana" w:cs="Verdana"/>
                <w:b/>
                <w:bCs/>
                <w:color w:val="000000"/>
                <w:sz w:val="20"/>
                <w:szCs w:val="20"/>
              </w:rPr>
            </w:pPr>
            <w:r>
              <w:rPr>
                <w:rFonts w:ascii="Verdana" w:hAnsi="Verdana" w:cs="Verdana"/>
                <w:b/>
                <w:bCs/>
                <w:color w:val="000000"/>
                <w:sz w:val="20"/>
                <w:szCs w:val="20"/>
              </w:rPr>
              <w:t>2</w:t>
            </w:r>
            <w:r w:rsidRPr="00857A42">
              <w:rPr>
                <w:rFonts w:ascii="Verdana" w:hAnsi="Verdana" w:cs="Verdana"/>
                <w:b/>
                <w:bCs/>
                <w:color w:val="000000"/>
                <w:sz w:val="20"/>
                <w:szCs w:val="20"/>
                <w:vertAlign w:val="superscript"/>
              </w:rPr>
              <w:t>e</w:t>
            </w:r>
            <w:r>
              <w:rPr>
                <w:rFonts w:ascii="Verdana" w:hAnsi="Verdana" w:cs="Verdana"/>
                <w:b/>
                <w:bCs/>
                <w:color w:val="000000"/>
                <w:sz w:val="20"/>
                <w:szCs w:val="20"/>
              </w:rPr>
              <w:t xml:space="preserve"> trimestre</w:t>
            </w:r>
          </w:p>
        </w:tc>
        <w:tc>
          <w:tcPr>
            <w:tcW w:w="2140" w:type="dxa"/>
            <w:vAlign w:val="center"/>
          </w:tcPr>
          <w:p w:rsidR="008F5549" w:rsidRPr="004E299C" w:rsidRDefault="008F5549" w:rsidP="00D63EBF">
            <w:pPr>
              <w:snapToGrid w:val="0"/>
              <w:ind w:right="615"/>
              <w:jc w:val="right"/>
              <w:rPr>
                <w:rFonts w:ascii="Verdana" w:hAnsi="Verdana" w:cs="Arial"/>
                <w:b/>
                <w:color w:val="000000"/>
                <w:sz w:val="20"/>
                <w:szCs w:val="20"/>
              </w:rPr>
            </w:pPr>
            <w:r>
              <w:rPr>
                <w:rFonts w:ascii="Verdana" w:hAnsi="Verdana" w:cs="Arial"/>
                <w:b/>
                <w:color w:val="000000"/>
                <w:sz w:val="20"/>
                <w:szCs w:val="20"/>
              </w:rPr>
              <w:t>6,18</w:t>
            </w:r>
          </w:p>
        </w:tc>
        <w:tc>
          <w:tcPr>
            <w:tcW w:w="2092" w:type="dxa"/>
            <w:vAlign w:val="center"/>
          </w:tcPr>
          <w:p w:rsidR="008F5549" w:rsidRPr="00E92CC4" w:rsidRDefault="008F5549" w:rsidP="00D63EBF">
            <w:pPr>
              <w:snapToGrid w:val="0"/>
              <w:ind w:right="615"/>
              <w:jc w:val="right"/>
              <w:rPr>
                <w:rFonts w:ascii="Verdana" w:hAnsi="Verdana" w:cs="Arial"/>
                <w:b/>
                <w:color w:val="000000"/>
                <w:sz w:val="20"/>
                <w:szCs w:val="20"/>
              </w:rPr>
            </w:pPr>
            <w:r w:rsidRPr="004E299C">
              <w:rPr>
                <w:rFonts w:ascii="Verdana" w:hAnsi="Verdana" w:cs="Arial"/>
                <w:b/>
                <w:color w:val="000000"/>
                <w:sz w:val="20"/>
                <w:szCs w:val="20"/>
              </w:rPr>
              <w:t>5,81</w:t>
            </w:r>
          </w:p>
        </w:tc>
        <w:tc>
          <w:tcPr>
            <w:tcW w:w="2092" w:type="dxa"/>
          </w:tcPr>
          <w:p w:rsidR="008F5549" w:rsidRPr="00692817" w:rsidRDefault="008F5549" w:rsidP="00D63EBF">
            <w:pPr>
              <w:jc w:val="center"/>
              <w:rPr>
                <w:rFonts w:ascii="Verdana" w:hAnsi="Verdana" w:cs="Arial"/>
                <w:b/>
                <w:sz w:val="20"/>
                <w:szCs w:val="20"/>
              </w:rPr>
            </w:pPr>
            <w:r>
              <w:rPr>
                <w:rFonts w:ascii="Verdana" w:hAnsi="Verdana" w:cs="Arial"/>
                <w:b/>
                <w:sz w:val="20"/>
                <w:szCs w:val="20"/>
              </w:rPr>
              <w:t>6,37</w:t>
            </w:r>
            <w:r w:rsidRPr="00692817">
              <w:rPr>
                <w:rFonts w:ascii="Verdana" w:hAnsi="Verdana" w:cs="Arial"/>
                <w:b/>
                <w:sz w:val="20"/>
                <w:szCs w:val="20"/>
              </w:rPr>
              <w:t>%</w:t>
            </w:r>
          </w:p>
        </w:tc>
      </w:tr>
      <w:tr w:rsidR="008F5549" w:rsidRPr="00857A42">
        <w:trPr>
          <w:trHeight w:val="401"/>
        </w:trPr>
        <w:tc>
          <w:tcPr>
            <w:tcW w:w="3227" w:type="dxa"/>
            <w:vAlign w:val="center"/>
          </w:tcPr>
          <w:p w:rsidR="008F5549" w:rsidRPr="00857A42" w:rsidRDefault="008F5549" w:rsidP="001A4D63">
            <w:pPr>
              <w:jc w:val="center"/>
              <w:rPr>
                <w:rFonts w:ascii="Verdana" w:hAnsi="Verdana" w:cs="Verdana"/>
                <w:b/>
                <w:bCs/>
                <w:color w:val="000000"/>
                <w:sz w:val="20"/>
                <w:szCs w:val="20"/>
              </w:rPr>
            </w:pPr>
            <w:r w:rsidRPr="00857A42">
              <w:rPr>
                <w:rFonts w:ascii="Verdana" w:hAnsi="Verdana" w:cs="Verdana"/>
                <w:b/>
                <w:bCs/>
                <w:color w:val="000000"/>
                <w:sz w:val="20"/>
                <w:szCs w:val="20"/>
              </w:rPr>
              <w:t>3</w:t>
            </w:r>
            <w:r w:rsidRPr="00857A42">
              <w:rPr>
                <w:rFonts w:ascii="Verdana" w:hAnsi="Verdana" w:cs="Verdana"/>
                <w:b/>
                <w:bCs/>
                <w:color w:val="000000"/>
                <w:sz w:val="20"/>
                <w:szCs w:val="20"/>
                <w:vertAlign w:val="superscript"/>
              </w:rPr>
              <w:t>e</w:t>
            </w:r>
            <w:r>
              <w:rPr>
                <w:rFonts w:ascii="Verdana" w:hAnsi="Verdana" w:cs="Verdana"/>
                <w:b/>
                <w:bCs/>
                <w:color w:val="000000"/>
                <w:sz w:val="20"/>
                <w:szCs w:val="20"/>
              </w:rPr>
              <w:t xml:space="preserve"> </w:t>
            </w:r>
            <w:r w:rsidRPr="00857A42">
              <w:rPr>
                <w:rFonts w:ascii="Verdana" w:hAnsi="Verdana" w:cs="Verdana"/>
                <w:b/>
                <w:bCs/>
                <w:color w:val="000000"/>
                <w:sz w:val="20"/>
                <w:szCs w:val="20"/>
              </w:rPr>
              <w:t>trimestre</w:t>
            </w:r>
          </w:p>
        </w:tc>
        <w:tc>
          <w:tcPr>
            <w:tcW w:w="2140" w:type="dxa"/>
            <w:vAlign w:val="center"/>
          </w:tcPr>
          <w:p w:rsidR="008F5549" w:rsidRPr="00692817" w:rsidRDefault="008F5549" w:rsidP="00D63EBF">
            <w:pPr>
              <w:snapToGrid w:val="0"/>
              <w:ind w:right="615"/>
              <w:jc w:val="right"/>
              <w:rPr>
                <w:rFonts w:ascii="Verdana" w:hAnsi="Verdana" w:cs="Arial"/>
                <w:b/>
                <w:color w:val="000000"/>
                <w:sz w:val="20"/>
                <w:szCs w:val="20"/>
                <w:highlight w:val="yellow"/>
              </w:rPr>
            </w:pPr>
            <w:r w:rsidRPr="004E299C">
              <w:rPr>
                <w:rFonts w:ascii="Verdana" w:hAnsi="Verdana" w:cs="Arial"/>
                <w:b/>
                <w:color w:val="000000"/>
                <w:sz w:val="20"/>
                <w:szCs w:val="20"/>
              </w:rPr>
              <w:t>6,</w:t>
            </w:r>
            <w:r>
              <w:rPr>
                <w:rFonts w:ascii="Verdana" w:hAnsi="Verdana" w:cs="Arial"/>
                <w:b/>
                <w:color w:val="000000"/>
                <w:sz w:val="20"/>
                <w:szCs w:val="20"/>
              </w:rPr>
              <w:t>58</w:t>
            </w:r>
          </w:p>
        </w:tc>
        <w:tc>
          <w:tcPr>
            <w:tcW w:w="2092" w:type="dxa"/>
            <w:vAlign w:val="center"/>
          </w:tcPr>
          <w:p w:rsidR="008F5549" w:rsidRPr="002C41DF" w:rsidRDefault="008F5549" w:rsidP="00D63EBF">
            <w:pPr>
              <w:snapToGrid w:val="0"/>
              <w:ind w:right="615"/>
              <w:jc w:val="right"/>
              <w:rPr>
                <w:rFonts w:ascii="Verdana" w:hAnsi="Verdana" w:cs="Arial"/>
                <w:b/>
                <w:color w:val="000000"/>
                <w:sz w:val="20"/>
                <w:szCs w:val="20"/>
              </w:rPr>
            </w:pPr>
            <w:r w:rsidRPr="004E299C">
              <w:rPr>
                <w:rFonts w:ascii="Verdana" w:hAnsi="Verdana" w:cs="Arial"/>
                <w:b/>
                <w:color w:val="000000"/>
                <w:sz w:val="20"/>
                <w:szCs w:val="20"/>
              </w:rPr>
              <w:t>6,01</w:t>
            </w:r>
          </w:p>
        </w:tc>
        <w:tc>
          <w:tcPr>
            <w:tcW w:w="2092" w:type="dxa"/>
            <w:vAlign w:val="center"/>
          </w:tcPr>
          <w:p w:rsidR="008F5549" w:rsidRPr="00692817" w:rsidRDefault="008F5549" w:rsidP="00D63EBF">
            <w:pPr>
              <w:snapToGrid w:val="0"/>
              <w:jc w:val="center"/>
              <w:rPr>
                <w:rFonts w:ascii="Verdana" w:hAnsi="Verdana" w:cs="Arial"/>
                <w:b/>
                <w:color w:val="000000"/>
                <w:sz w:val="20"/>
                <w:szCs w:val="20"/>
                <w:highlight w:val="yellow"/>
              </w:rPr>
            </w:pPr>
            <w:r>
              <w:rPr>
                <w:rFonts w:ascii="Verdana" w:hAnsi="Verdana" w:cs="Arial"/>
                <w:b/>
                <w:color w:val="000000"/>
                <w:sz w:val="20"/>
                <w:szCs w:val="20"/>
              </w:rPr>
              <w:t>9,48</w:t>
            </w:r>
            <w:r w:rsidRPr="004E299C">
              <w:rPr>
                <w:rFonts w:ascii="Verdana" w:hAnsi="Verdana" w:cs="Arial"/>
                <w:b/>
                <w:color w:val="000000"/>
                <w:sz w:val="20"/>
                <w:szCs w:val="20"/>
              </w:rPr>
              <w:t>%</w:t>
            </w:r>
          </w:p>
        </w:tc>
      </w:tr>
      <w:tr w:rsidR="008F5549" w:rsidRPr="009D569D">
        <w:trPr>
          <w:trHeight w:val="401"/>
        </w:trPr>
        <w:tc>
          <w:tcPr>
            <w:tcW w:w="3227" w:type="dxa"/>
            <w:vAlign w:val="center"/>
          </w:tcPr>
          <w:p w:rsidR="008F5549" w:rsidRPr="009D569D" w:rsidRDefault="008F5549" w:rsidP="001A4D63">
            <w:pPr>
              <w:jc w:val="center"/>
              <w:rPr>
                <w:rFonts w:ascii="Verdana" w:hAnsi="Verdana" w:cs="Verdana"/>
                <w:b/>
                <w:bCs/>
                <w:color w:val="000000"/>
                <w:sz w:val="20"/>
                <w:szCs w:val="20"/>
              </w:rPr>
            </w:pPr>
            <w:r w:rsidRPr="009D569D">
              <w:rPr>
                <w:rFonts w:ascii="Verdana" w:hAnsi="Verdana" w:cs="Verdana"/>
                <w:b/>
                <w:bCs/>
                <w:color w:val="000000"/>
                <w:sz w:val="20"/>
                <w:szCs w:val="20"/>
              </w:rPr>
              <w:t>4</w:t>
            </w:r>
            <w:r w:rsidRPr="009D569D">
              <w:rPr>
                <w:rFonts w:ascii="Verdana" w:hAnsi="Verdana" w:cs="Verdana"/>
                <w:b/>
                <w:bCs/>
                <w:color w:val="000000"/>
                <w:sz w:val="20"/>
                <w:szCs w:val="20"/>
                <w:vertAlign w:val="superscript"/>
              </w:rPr>
              <w:t>e</w:t>
            </w:r>
            <w:r w:rsidRPr="009D569D">
              <w:rPr>
                <w:rFonts w:ascii="Verdana" w:hAnsi="Verdana" w:cs="Verdana"/>
                <w:b/>
                <w:bCs/>
                <w:color w:val="000000"/>
                <w:sz w:val="20"/>
                <w:szCs w:val="20"/>
              </w:rPr>
              <w:t xml:space="preserve"> trimestre</w:t>
            </w:r>
          </w:p>
        </w:tc>
        <w:tc>
          <w:tcPr>
            <w:tcW w:w="2140" w:type="dxa"/>
            <w:vAlign w:val="center"/>
          </w:tcPr>
          <w:p w:rsidR="008F5549" w:rsidRPr="00F64F96" w:rsidRDefault="00D63EBF" w:rsidP="0068227E">
            <w:pPr>
              <w:snapToGrid w:val="0"/>
              <w:ind w:right="615"/>
              <w:jc w:val="right"/>
              <w:rPr>
                <w:rFonts w:ascii="Verdana" w:hAnsi="Verdana" w:cs="Arial"/>
                <w:b/>
                <w:color w:val="000000"/>
                <w:sz w:val="20"/>
                <w:szCs w:val="20"/>
              </w:rPr>
            </w:pPr>
            <w:r w:rsidRPr="00F64F96">
              <w:rPr>
                <w:rFonts w:ascii="Verdana" w:hAnsi="Verdana" w:cs="Arial"/>
                <w:b/>
                <w:color w:val="000000"/>
                <w:sz w:val="20"/>
                <w:szCs w:val="20"/>
              </w:rPr>
              <w:t>7</w:t>
            </w:r>
            <w:r w:rsidR="008F5549" w:rsidRPr="00F64F96">
              <w:rPr>
                <w:rFonts w:ascii="Verdana" w:hAnsi="Verdana" w:cs="Arial"/>
                <w:b/>
                <w:color w:val="000000"/>
                <w:sz w:val="20"/>
                <w:szCs w:val="20"/>
              </w:rPr>
              <w:t>,</w:t>
            </w:r>
            <w:r w:rsidR="00F64F96" w:rsidRPr="00F64F96">
              <w:rPr>
                <w:rFonts w:ascii="Verdana" w:hAnsi="Verdana" w:cs="Arial"/>
                <w:b/>
                <w:color w:val="000000"/>
                <w:sz w:val="20"/>
                <w:szCs w:val="20"/>
              </w:rPr>
              <w:t>78</w:t>
            </w:r>
          </w:p>
        </w:tc>
        <w:tc>
          <w:tcPr>
            <w:tcW w:w="2092" w:type="dxa"/>
            <w:vAlign w:val="center"/>
          </w:tcPr>
          <w:p w:rsidR="008F5549" w:rsidRPr="002E105D" w:rsidRDefault="008F5549" w:rsidP="00D63EBF">
            <w:pPr>
              <w:snapToGrid w:val="0"/>
              <w:ind w:right="615"/>
              <w:jc w:val="right"/>
              <w:rPr>
                <w:rFonts w:ascii="Verdana" w:hAnsi="Verdana" w:cs="Arial"/>
                <w:b/>
                <w:color w:val="000000"/>
                <w:sz w:val="20"/>
                <w:szCs w:val="20"/>
              </w:rPr>
            </w:pPr>
            <w:r w:rsidRPr="002E105D">
              <w:rPr>
                <w:rFonts w:ascii="Verdana" w:hAnsi="Verdana" w:cs="Arial"/>
                <w:b/>
                <w:color w:val="000000"/>
                <w:sz w:val="20"/>
                <w:szCs w:val="20"/>
              </w:rPr>
              <w:t>6,53</w:t>
            </w:r>
          </w:p>
        </w:tc>
        <w:tc>
          <w:tcPr>
            <w:tcW w:w="2092" w:type="dxa"/>
            <w:vAlign w:val="center"/>
          </w:tcPr>
          <w:p w:rsidR="008F5549" w:rsidRPr="008F5549" w:rsidRDefault="00F64F96" w:rsidP="002E105D">
            <w:pPr>
              <w:jc w:val="center"/>
              <w:rPr>
                <w:rFonts w:ascii="Verdana" w:hAnsi="Verdana" w:cs="Verdana"/>
                <w:b/>
                <w:bCs/>
                <w:color w:val="000000"/>
                <w:sz w:val="20"/>
                <w:szCs w:val="20"/>
                <w:highlight w:val="yellow"/>
              </w:rPr>
            </w:pPr>
            <w:r w:rsidRPr="00F64F96">
              <w:rPr>
                <w:rFonts w:ascii="Verdana" w:hAnsi="Verdana" w:cs="Verdana"/>
                <w:b/>
                <w:bCs/>
                <w:color w:val="000000"/>
                <w:sz w:val="20"/>
                <w:szCs w:val="20"/>
              </w:rPr>
              <w:t>19,14</w:t>
            </w:r>
            <w:r w:rsidR="008F5549" w:rsidRPr="00F64F96">
              <w:rPr>
                <w:rFonts w:ascii="Verdana" w:hAnsi="Verdana" w:cs="Verdana"/>
                <w:b/>
                <w:bCs/>
                <w:color w:val="000000"/>
                <w:sz w:val="20"/>
                <w:szCs w:val="20"/>
              </w:rPr>
              <w:t>%</w:t>
            </w:r>
          </w:p>
        </w:tc>
      </w:tr>
      <w:tr w:rsidR="008F5549">
        <w:trPr>
          <w:trHeight w:val="401"/>
        </w:trPr>
        <w:tc>
          <w:tcPr>
            <w:tcW w:w="3227" w:type="dxa"/>
            <w:vAlign w:val="center"/>
          </w:tcPr>
          <w:p w:rsidR="008F5549" w:rsidRPr="009D569D" w:rsidRDefault="008F5549" w:rsidP="001A4D63">
            <w:pPr>
              <w:jc w:val="center"/>
              <w:rPr>
                <w:rFonts w:ascii="Verdana" w:hAnsi="Verdana" w:cs="Verdana"/>
                <w:b/>
                <w:bCs/>
                <w:color w:val="000000"/>
                <w:sz w:val="20"/>
                <w:szCs w:val="20"/>
              </w:rPr>
            </w:pPr>
            <w:r w:rsidRPr="009D569D">
              <w:rPr>
                <w:rFonts w:ascii="Verdana" w:hAnsi="Verdana" w:cs="Verdana"/>
                <w:b/>
                <w:bCs/>
                <w:color w:val="000000"/>
                <w:sz w:val="20"/>
                <w:szCs w:val="20"/>
              </w:rPr>
              <w:t>Chiffre d’affaires annuel</w:t>
            </w:r>
          </w:p>
        </w:tc>
        <w:tc>
          <w:tcPr>
            <w:tcW w:w="2140" w:type="dxa"/>
            <w:vAlign w:val="center"/>
          </w:tcPr>
          <w:p w:rsidR="008F5549" w:rsidRPr="00F64F96" w:rsidRDefault="00D63EBF" w:rsidP="0068227E">
            <w:pPr>
              <w:ind w:right="615"/>
              <w:jc w:val="right"/>
              <w:rPr>
                <w:rFonts w:ascii="Verdana" w:hAnsi="Verdana" w:cs="Verdana"/>
                <w:b/>
                <w:bCs/>
                <w:color w:val="000000"/>
                <w:sz w:val="20"/>
                <w:szCs w:val="20"/>
              </w:rPr>
            </w:pPr>
            <w:r w:rsidRPr="00F64F96">
              <w:rPr>
                <w:rFonts w:ascii="Verdana" w:hAnsi="Verdana" w:cs="Verdana"/>
                <w:b/>
                <w:bCs/>
                <w:color w:val="000000"/>
                <w:sz w:val="20"/>
                <w:szCs w:val="20"/>
              </w:rPr>
              <w:t>26</w:t>
            </w:r>
            <w:r w:rsidR="008F5549" w:rsidRPr="00F64F96">
              <w:rPr>
                <w:rFonts w:ascii="Verdana" w:hAnsi="Verdana" w:cs="Verdana"/>
                <w:b/>
                <w:bCs/>
                <w:color w:val="000000"/>
                <w:sz w:val="20"/>
                <w:szCs w:val="20"/>
              </w:rPr>
              <w:t>,</w:t>
            </w:r>
            <w:r w:rsidRPr="00F64F96">
              <w:rPr>
                <w:rFonts w:ascii="Verdana" w:hAnsi="Verdana" w:cs="Verdana"/>
                <w:b/>
                <w:bCs/>
                <w:color w:val="000000"/>
                <w:sz w:val="20"/>
                <w:szCs w:val="20"/>
              </w:rPr>
              <w:t>3</w:t>
            </w:r>
            <w:r w:rsidR="00F64F96" w:rsidRPr="00F64F96">
              <w:rPr>
                <w:rFonts w:ascii="Verdana" w:hAnsi="Verdana" w:cs="Verdana"/>
                <w:b/>
                <w:bCs/>
                <w:color w:val="000000"/>
                <w:sz w:val="20"/>
                <w:szCs w:val="20"/>
              </w:rPr>
              <w:t>0</w:t>
            </w:r>
          </w:p>
        </w:tc>
        <w:tc>
          <w:tcPr>
            <w:tcW w:w="2092" w:type="dxa"/>
            <w:vAlign w:val="center"/>
          </w:tcPr>
          <w:p w:rsidR="008F5549" w:rsidRPr="002E105D" w:rsidRDefault="008F5549" w:rsidP="00D63EBF">
            <w:pPr>
              <w:ind w:right="615"/>
              <w:jc w:val="right"/>
              <w:rPr>
                <w:rFonts w:ascii="Verdana" w:hAnsi="Verdana" w:cs="Verdana"/>
                <w:b/>
                <w:bCs/>
                <w:color w:val="000000"/>
                <w:sz w:val="20"/>
                <w:szCs w:val="20"/>
              </w:rPr>
            </w:pPr>
            <w:r w:rsidRPr="002E105D">
              <w:rPr>
                <w:rFonts w:ascii="Verdana" w:hAnsi="Verdana" w:cs="Verdana"/>
                <w:b/>
                <w:bCs/>
                <w:color w:val="000000"/>
                <w:sz w:val="20"/>
                <w:szCs w:val="20"/>
              </w:rPr>
              <w:t>23,02</w:t>
            </w:r>
          </w:p>
        </w:tc>
        <w:tc>
          <w:tcPr>
            <w:tcW w:w="2092" w:type="dxa"/>
            <w:vAlign w:val="center"/>
          </w:tcPr>
          <w:p w:rsidR="008F5549" w:rsidRPr="008F5549" w:rsidRDefault="00F64F96" w:rsidP="001A4D63">
            <w:pPr>
              <w:jc w:val="center"/>
              <w:rPr>
                <w:rFonts w:ascii="Verdana" w:hAnsi="Verdana" w:cs="Verdana"/>
                <w:b/>
                <w:bCs/>
                <w:color w:val="000000"/>
                <w:sz w:val="20"/>
                <w:szCs w:val="20"/>
                <w:highlight w:val="yellow"/>
              </w:rPr>
            </w:pPr>
            <w:r w:rsidRPr="00F64F96">
              <w:rPr>
                <w:rFonts w:ascii="Verdana" w:hAnsi="Verdana" w:cs="Verdana"/>
                <w:b/>
                <w:bCs/>
                <w:color w:val="000000"/>
                <w:sz w:val="20"/>
                <w:szCs w:val="20"/>
              </w:rPr>
              <w:t>14,25</w:t>
            </w:r>
            <w:r w:rsidR="008F5549" w:rsidRPr="00F64F96">
              <w:rPr>
                <w:rFonts w:ascii="Verdana" w:hAnsi="Verdana" w:cs="Verdana"/>
                <w:b/>
                <w:bCs/>
                <w:color w:val="000000"/>
                <w:sz w:val="20"/>
                <w:szCs w:val="20"/>
              </w:rPr>
              <w:t>%</w:t>
            </w:r>
          </w:p>
        </w:tc>
      </w:tr>
    </w:tbl>
    <w:p w:rsidR="00B64B6C" w:rsidRDefault="00B64B6C" w:rsidP="00B64B6C">
      <w:pPr>
        <w:jc w:val="both"/>
        <w:rPr>
          <w:rFonts w:ascii="Verdana" w:hAnsi="Verdana"/>
          <w:sz w:val="22"/>
          <w:szCs w:val="22"/>
        </w:rPr>
      </w:pPr>
    </w:p>
    <w:p w:rsidR="00E87139" w:rsidRDefault="006C3563" w:rsidP="00B64B6C">
      <w:pPr>
        <w:jc w:val="both"/>
        <w:rPr>
          <w:rFonts w:ascii="Verdana" w:hAnsi="Verdana"/>
          <w:sz w:val="22"/>
          <w:szCs w:val="22"/>
        </w:rPr>
      </w:pPr>
      <w:r>
        <w:rPr>
          <w:rFonts w:ascii="Verdana" w:hAnsi="Verdana"/>
          <w:sz w:val="22"/>
          <w:szCs w:val="22"/>
        </w:rPr>
        <w:t xml:space="preserve">Le développement se poursuit à rythme soutenu à plus de </w:t>
      </w:r>
      <w:r w:rsidR="00FA1DE6">
        <w:rPr>
          <w:rFonts w:ascii="Verdana" w:hAnsi="Verdana"/>
          <w:sz w:val="22"/>
          <w:szCs w:val="22"/>
        </w:rPr>
        <w:t>14</w:t>
      </w:r>
      <w:r>
        <w:rPr>
          <w:rFonts w:ascii="Verdana" w:hAnsi="Verdana"/>
          <w:sz w:val="22"/>
          <w:szCs w:val="22"/>
        </w:rPr>
        <w:t xml:space="preserve">% de croissance cumulée sur l’ensemble de l’exercice. Cette dynamique est le fruit de nos efforts en vue de faire sans cesse progresser la qualité dans tous les compartiments de nos activités. </w:t>
      </w:r>
    </w:p>
    <w:p w:rsidR="006C3563" w:rsidRDefault="006C3563" w:rsidP="00B64B6C">
      <w:pPr>
        <w:jc w:val="both"/>
        <w:rPr>
          <w:rFonts w:ascii="Verdana" w:hAnsi="Verdana"/>
          <w:sz w:val="22"/>
          <w:szCs w:val="22"/>
        </w:rPr>
      </w:pPr>
    </w:p>
    <w:p w:rsidR="006C3563" w:rsidRDefault="006C3563" w:rsidP="00B64B6C">
      <w:pPr>
        <w:jc w:val="both"/>
        <w:rPr>
          <w:rFonts w:ascii="Verdana" w:hAnsi="Verdana"/>
          <w:sz w:val="22"/>
          <w:szCs w:val="22"/>
        </w:rPr>
      </w:pPr>
      <w:r>
        <w:rPr>
          <w:rFonts w:ascii="Verdana" w:hAnsi="Verdana"/>
          <w:sz w:val="22"/>
          <w:szCs w:val="22"/>
        </w:rPr>
        <w:t>Pour soutenir une telle croissance sans déséquilibrer l’ensemble, nous avons, au cours de ces dernières années accompli d’importants progrès du point de vue de l’automatisation et de la numérisation de nos flux. Ainsi plus de 60% de nos flux entrants et plus de 30% de nos flux sortants sont désormais numérisés ce qui nous laisse une marge de manœuvre importante pour les années à venir.</w:t>
      </w:r>
    </w:p>
    <w:p w:rsidR="006C3563" w:rsidRDefault="006C3563" w:rsidP="00B64B6C">
      <w:pPr>
        <w:jc w:val="both"/>
        <w:rPr>
          <w:rFonts w:ascii="Verdana" w:hAnsi="Verdana"/>
          <w:sz w:val="22"/>
          <w:szCs w:val="22"/>
        </w:rPr>
      </w:pPr>
    </w:p>
    <w:p w:rsidR="006C3563" w:rsidRPr="00451660" w:rsidRDefault="006C3563" w:rsidP="00B64B6C">
      <w:pPr>
        <w:jc w:val="both"/>
        <w:rPr>
          <w:rFonts w:ascii="Verdana" w:hAnsi="Verdana"/>
          <w:sz w:val="22"/>
          <w:szCs w:val="22"/>
        </w:rPr>
      </w:pPr>
      <w:r>
        <w:rPr>
          <w:rFonts w:ascii="Verdana" w:hAnsi="Verdana"/>
          <w:sz w:val="22"/>
          <w:szCs w:val="22"/>
        </w:rPr>
        <w:t xml:space="preserve">En 2019, nous aurons veillé sur plus de 650 000 protégés et aurons réalisé </w:t>
      </w:r>
      <w:r w:rsidR="00FA1DE6">
        <w:rPr>
          <w:rFonts w:ascii="Verdana" w:hAnsi="Verdana"/>
          <w:sz w:val="22"/>
          <w:szCs w:val="22"/>
        </w:rPr>
        <w:t xml:space="preserve">pour </w:t>
      </w:r>
      <w:r w:rsidR="0030046F">
        <w:rPr>
          <w:rFonts w:ascii="Verdana" w:hAnsi="Verdana"/>
          <w:sz w:val="22"/>
          <w:szCs w:val="22"/>
        </w:rPr>
        <w:t xml:space="preserve">eux plus de 200 000 </w:t>
      </w:r>
      <w:r w:rsidR="00FA1DE6">
        <w:rPr>
          <w:rFonts w:ascii="Verdana" w:hAnsi="Verdana"/>
          <w:sz w:val="22"/>
          <w:szCs w:val="22"/>
        </w:rPr>
        <w:t>prestations.</w:t>
      </w:r>
    </w:p>
    <w:p w:rsidR="00451660" w:rsidRDefault="00451660" w:rsidP="00B64B6C">
      <w:pPr>
        <w:jc w:val="both"/>
        <w:rPr>
          <w:rFonts w:ascii="Verdana" w:hAnsi="Verdana"/>
          <w:color w:val="808080"/>
          <w:sz w:val="22"/>
          <w:szCs w:val="22"/>
          <w:u w:val="single"/>
        </w:rPr>
      </w:pPr>
    </w:p>
    <w:p w:rsidR="00451660" w:rsidRDefault="00451660" w:rsidP="00B64B6C">
      <w:pPr>
        <w:jc w:val="both"/>
        <w:rPr>
          <w:rFonts w:ascii="Verdana" w:hAnsi="Verdana"/>
          <w:color w:val="808080"/>
          <w:sz w:val="22"/>
          <w:szCs w:val="22"/>
          <w:u w:val="single"/>
        </w:rPr>
      </w:pPr>
    </w:p>
    <w:p w:rsidR="00B64B6C" w:rsidRDefault="00B64B6C" w:rsidP="00B64B6C">
      <w:pPr>
        <w:jc w:val="both"/>
        <w:rPr>
          <w:rFonts w:ascii="Verdana" w:hAnsi="Verdana"/>
          <w:color w:val="808080"/>
          <w:sz w:val="22"/>
          <w:szCs w:val="22"/>
          <w:u w:val="single"/>
        </w:rPr>
      </w:pPr>
      <w:r w:rsidRPr="005B6067">
        <w:rPr>
          <w:rFonts w:ascii="Verdana" w:hAnsi="Verdana"/>
          <w:color w:val="808080"/>
          <w:sz w:val="22"/>
          <w:szCs w:val="22"/>
          <w:u w:val="single"/>
        </w:rPr>
        <w:t>AQUILA et ses filiales :</w:t>
      </w:r>
    </w:p>
    <w:p w:rsidR="00E05507" w:rsidRPr="005B6067" w:rsidRDefault="00E05507" w:rsidP="00B64B6C">
      <w:pPr>
        <w:jc w:val="both"/>
        <w:rPr>
          <w:rFonts w:ascii="Verdana" w:hAnsi="Verdana"/>
          <w:color w:val="808080"/>
          <w:sz w:val="22"/>
          <w:szCs w:val="22"/>
          <w:u w:val="single"/>
        </w:rPr>
      </w:pPr>
    </w:p>
    <w:p w:rsidR="004F70B6" w:rsidRPr="00992C43" w:rsidRDefault="004F70B6" w:rsidP="004F70B6">
      <w:pPr>
        <w:jc w:val="both"/>
        <w:rPr>
          <w:rFonts w:ascii="Verdana" w:hAnsi="Verdana"/>
          <w:sz w:val="22"/>
          <w:szCs w:val="22"/>
        </w:rPr>
      </w:pPr>
      <w:r>
        <w:rPr>
          <w:rFonts w:ascii="Verdana" w:hAnsi="Verdana"/>
          <w:sz w:val="22"/>
          <w:szCs w:val="22"/>
        </w:rPr>
        <w:t>Comme chaque année,</w:t>
      </w:r>
      <w:r w:rsidRPr="00992C43">
        <w:rPr>
          <w:rFonts w:ascii="Verdana" w:hAnsi="Verdana"/>
          <w:sz w:val="22"/>
          <w:szCs w:val="22"/>
        </w:rPr>
        <w:t xml:space="preserve"> AQUILA publie un chiffre d’affaires consolidé intégrant AQUIMEDIA (centre d’appel et de régulation des commandes fonctionnant 24 heures sur 24) et AQUISERV’ (centrale d’approvisionnement en équipements et services).</w:t>
      </w:r>
    </w:p>
    <w:p w:rsidR="004F70B6" w:rsidRDefault="004F70B6" w:rsidP="00F5685D">
      <w:pPr>
        <w:jc w:val="both"/>
        <w:rPr>
          <w:rFonts w:ascii="Verdana" w:hAnsi="Verdana" w:cs="Verdana"/>
          <w:color w:val="000000"/>
          <w:sz w:val="20"/>
          <w:szCs w:val="20"/>
        </w:rPr>
      </w:pPr>
    </w:p>
    <w:p w:rsidR="00FA1DE6" w:rsidRDefault="00FA1DE6" w:rsidP="00F5685D">
      <w:pPr>
        <w:jc w:val="both"/>
        <w:rPr>
          <w:rFonts w:ascii="Verdana" w:hAnsi="Verdana" w:cs="Verdana"/>
          <w:color w:val="000000"/>
          <w:sz w:val="20"/>
          <w:szCs w:val="20"/>
        </w:rPr>
      </w:pPr>
    </w:p>
    <w:p w:rsidR="00FA1DE6" w:rsidRDefault="00FA1DE6" w:rsidP="00F5685D">
      <w:pPr>
        <w:jc w:val="both"/>
        <w:rPr>
          <w:rFonts w:ascii="Verdana" w:hAnsi="Verdana" w:cs="Verdana"/>
          <w:color w:val="000000"/>
          <w:sz w:val="20"/>
          <w:szCs w:val="20"/>
        </w:rPr>
      </w:pPr>
    </w:p>
    <w:p w:rsidR="00FA1DE6" w:rsidRDefault="00FA1DE6" w:rsidP="00F5685D">
      <w:pPr>
        <w:jc w:val="both"/>
        <w:rPr>
          <w:rFonts w:ascii="Verdana" w:hAnsi="Verdana" w:cs="Verdana"/>
          <w:color w:val="000000"/>
          <w:sz w:val="20"/>
          <w:szCs w:val="20"/>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0"/>
        <w:gridCol w:w="2112"/>
        <w:gridCol w:w="2061"/>
        <w:gridCol w:w="2061"/>
      </w:tblGrid>
      <w:tr w:rsidR="008F5549">
        <w:trPr>
          <w:trHeight w:val="384"/>
          <w:jc w:val="center"/>
        </w:trPr>
        <w:tc>
          <w:tcPr>
            <w:tcW w:w="3160" w:type="dxa"/>
            <w:shd w:val="clear" w:color="auto" w:fill="FF6600"/>
          </w:tcPr>
          <w:p w:rsidR="008F5549" w:rsidRDefault="008F5549" w:rsidP="00BE1880">
            <w:pPr>
              <w:spacing w:before="40"/>
              <w:jc w:val="both"/>
              <w:rPr>
                <w:rFonts w:ascii="Verdana" w:hAnsi="Verdana" w:cs="Verdana"/>
                <w:b/>
                <w:bCs/>
                <w:color w:val="000000"/>
                <w:sz w:val="20"/>
                <w:szCs w:val="20"/>
              </w:rPr>
            </w:pPr>
            <w:r>
              <w:rPr>
                <w:rFonts w:ascii="Verdana" w:hAnsi="Verdana" w:cs="Verdana"/>
                <w:b/>
                <w:bCs/>
                <w:color w:val="000000"/>
                <w:sz w:val="20"/>
                <w:szCs w:val="20"/>
              </w:rPr>
              <w:lastRenderedPageBreak/>
              <w:t>CA en M€</w:t>
            </w:r>
          </w:p>
        </w:tc>
        <w:tc>
          <w:tcPr>
            <w:tcW w:w="2112" w:type="dxa"/>
            <w:shd w:val="clear" w:color="auto" w:fill="FF6600"/>
          </w:tcPr>
          <w:p w:rsidR="008F5549" w:rsidRDefault="008F5549" w:rsidP="00D63EBF">
            <w:pPr>
              <w:spacing w:before="40"/>
              <w:jc w:val="center"/>
              <w:rPr>
                <w:rFonts w:ascii="Verdana" w:hAnsi="Verdana" w:cs="Verdana"/>
                <w:b/>
                <w:bCs/>
                <w:color w:val="000000"/>
                <w:sz w:val="20"/>
                <w:szCs w:val="20"/>
              </w:rPr>
            </w:pPr>
            <w:r>
              <w:rPr>
                <w:rFonts w:ascii="Verdana" w:hAnsi="Verdana" w:cs="Verdana"/>
                <w:b/>
                <w:bCs/>
                <w:color w:val="000000"/>
                <w:sz w:val="20"/>
                <w:szCs w:val="20"/>
              </w:rPr>
              <w:t>2019</w:t>
            </w:r>
          </w:p>
        </w:tc>
        <w:tc>
          <w:tcPr>
            <w:tcW w:w="2061" w:type="dxa"/>
            <w:shd w:val="clear" w:color="auto" w:fill="FF6600"/>
          </w:tcPr>
          <w:p w:rsidR="008F5549" w:rsidRDefault="008F5549" w:rsidP="00D63EBF">
            <w:pPr>
              <w:spacing w:before="40"/>
              <w:jc w:val="center"/>
              <w:rPr>
                <w:rFonts w:ascii="Verdana" w:hAnsi="Verdana" w:cs="Verdana"/>
                <w:b/>
                <w:bCs/>
                <w:color w:val="000000"/>
                <w:sz w:val="20"/>
                <w:szCs w:val="20"/>
              </w:rPr>
            </w:pPr>
            <w:r>
              <w:rPr>
                <w:rFonts w:ascii="Verdana" w:hAnsi="Verdana" w:cs="Verdana"/>
                <w:b/>
                <w:bCs/>
                <w:color w:val="000000"/>
                <w:sz w:val="20"/>
                <w:szCs w:val="20"/>
              </w:rPr>
              <w:t>2018</w:t>
            </w:r>
          </w:p>
        </w:tc>
        <w:tc>
          <w:tcPr>
            <w:tcW w:w="2061" w:type="dxa"/>
            <w:shd w:val="clear" w:color="auto" w:fill="FF6600"/>
          </w:tcPr>
          <w:p w:rsidR="008F5549" w:rsidRDefault="008F5549" w:rsidP="00D63EBF">
            <w:pPr>
              <w:spacing w:before="40"/>
              <w:jc w:val="center"/>
              <w:rPr>
                <w:rFonts w:ascii="Verdana" w:hAnsi="Verdana" w:cs="Verdana"/>
                <w:b/>
                <w:bCs/>
                <w:color w:val="000000"/>
                <w:sz w:val="20"/>
                <w:szCs w:val="20"/>
              </w:rPr>
            </w:pPr>
            <w:r>
              <w:rPr>
                <w:rFonts w:ascii="Verdana" w:hAnsi="Verdana" w:cs="Verdana"/>
                <w:b/>
                <w:bCs/>
                <w:color w:val="000000"/>
                <w:sz w:val="20"/>
                <w:szCs w:val="20"/>
              </w:rPr>
              <w:t>Variation</w:t>
            </w:r>
          </w:p>
          <w:p w:rsidR="008F5549" w:rsidRDefault="008F5549" w:rsidP="00D63EBF">
            <w:pPr>
              <w:spacing w:before="40"/>
              <w:jc w:val="center"/>
              <w:rPr>
                <w:rFonts w:ascii="Verdana" w:hAnsi="Verdana" w:cs="Verdana"/>
                <w:b/>
                <w:bCs/>
                <w:color w:val="000000"/>
                <w:sz w:val="20"/>
                <w:szCs w:val="20"/>
              </w:rPr>
            </w:pPr>
            <w:r>
              <w:rPr>
                <w:rFonts w:ascii="Verdana" w:hAnsi="Verdana" w:cs="Verdana"/>
                <w:b/>
                <w:bCs/>
                <w:color w:val="000000"/>
                <w:sz w:val="20"/>
                <w:szCs w:val="20"/>
              </w:rPr>
              <w:t>19/18</w:t>
            </w:r>
          </w:p>
        </w:tc>
      </w:tr>
      <w:tr w:rsidR="00F64F96" w:rsidRPr="004F70B6">
        <w:trPr>
          <w:trHeight w:val="401"/>
          <w:jc w:val="center"/>
        </w:trPr>
        <w:tc>
          <w:tcPr>
            <w:tcW w:w="3160" w:type="dxa"/>
            <w:vAlign w:val="center"/>
          </w:tcPr>
          <w:p w:rsidR="00F64F96" w:rsidRPr="004F70B6" w:rsidRDefault="00F64F96" w:rsidP="00BE1880">
            <w:pPr>
              <w:jc w:val="center"/>
              <w:rPr>
                <w:rFonts w:ascii="Verdana" w:hAnsi="Verdana" w:cs="Verdana"/>
                <w:b/>
                <w:bCs/>
                <w:color w:val="000000"/>
                <w:sz w:val="20"/>
                <w:szCs w:val="20"/>
              </w:rPr>
            </w:pPr>
            <w:r w:rsidRPr="004F70B6">
              <w:rPr>
                <w:rFonts w:ascii="Verdana" w:hAnsi="Verdana" w:cs="Verdana"/>
                <w:b/>
                <w:bCs/>
                <w:color w:val="000000"/>
                <w:sz w:val="20"/>
                <w:szCs w:val="20"/>
              </w:rPr>
              <w:t>AQUILA</w:t>
            </w:r>
          </w:p>
        </w:tc>
        <w:tc>
          <w:tcPr>
            <w:tcW w:w="2112" w:type="dxa"/>
            <w:vAlign w:val="center"/>
          </w:tcPr>
          <w:p w:rsidR="00F64F96" w:rsidRPr="00F64F96" w:rsidRDefault="00F64F96" w:rsidP="007E1B83">
            <w:pPr>
              <w:ind w:right="615"/>
              <w:jc w:val="right"/>
              <w:rPr>
                <w:rFonts w:ascii="Verdana" w:hAnsi="Verdana" w:cs="Verdana"/>
                <w:b/>
                <w:bCs/>
                <w:color w:val="000000"/>
                <w:sz w:val="20"/>
                <w:szCs w:val="20"/>
              </w:rPr>
            </w:pPr>
            <w:r w:rsidRPr="00F64F96">
              <w:rPr>
                <w:rFonts w:ascii="Verdana" w:hAnsi="Verdana" w:cs="Verdana"/>
                <w:b/>
                <w:bCs/>
                <w:color w:val="000000"/>
                <w:sz w:val="20"/>
                <w:szCs w:val="20"/>
              </w:rPr>
              <w:t>26,30</w:t>
            </w:r>
          </w:p>
        </w:tc>
        <w:tc>
          <w:tcPr>
            <w:tcW w:w="2061" w:type="dxa"/>
            <w:vAlign w:val="center"/>
          </w:tcPr>
          <w:p w:rsidR="00F64F96" w:rsidRPr="002E105D" w:rsidRDefault="00F64F96" w:rsidP="007E1B83">
            <w:pPr>
              <w:ind w:right="615"/>
              <w:jc w:val="right"/>
              <w:rPr>
                <w:rFonts w:ascii="Verdana" w:hAnsi="Verdana" w:cs="Verdana"/>
                <w:b/>
                <w:bCs/>
                <w:color w:val="000000"/>
                <w:sz w:val="20"/>
                <w:szCs w:val="20"/>
              </w:rPr>
            </w:pPr>
            <w:r w:rsidRPr="002E105D">
              <w:rPr>
                <w:rFonts w:ascii="Verdana" w:hAnsi="Verdana" w:cs="Verdana"/>
                <w:b/>
                <w:bCs/>
                <w:color w:val="000000"/>
                <w:sz w:val="20"/>
                <w:szCs w:val="20"/>
              </w:rPr>
              <w:t>23,02</w:t>
            </w:r>
          </w:p>
        </w:tc>
        <w:tc>
          <w:tcPr>
            <w:tcW w:w="2061" w:type="dxa"/>
            <w:vAlign w:val="center"/>
          </w:tcPr>
          <w:p w:rsidR="00F64F96" w:rsidRPr="008F5549" w:rsidRDefault="00F64F96" w:rsidP="00F64F96">
            <w:pPr>
              <w:rPr>
                <w:rFonts w:ascii="Verdana" w:hAnsi="Verdana" w:cs="Verdana"/>
                <w:b/>
                <w:bCs/>
                <w:color w:val="000000"/>
                <w:sz w:val="20"/>
                <w:szCs w:val="20"/>
                <w:highlight w:val="yellow"/>
              </w:rPr>
            </w:pPr>
            <w:r>
              <w:rPr>
                <w:rFonts w:ascii="Verdana" w:hAnsi="Verdana" w:cs="Verdana"/>
                <w:b/>
                <w:bCs/>
                <w:color w:val="000000"/>
                <w:sz w:val="20"/>
                <w:szCs w:val="20"/>
              </w:rPr>
              <w:t xml:space="preserve">       </w:t>
            </w:r>
            <w:r w:rsidRPr="00F64F96">
              <w:rPr>
                <w:rFonts w:ascii="Verdana" w:hAnsi="Verdana" w:cs="Verdana"/>
                <w:b/>
                <w:bCs/>
                <w:color w:val="000000"/>
                <w:sz w:val="20"/>
                <w:szCs w:val="20"/>
              </w:rPr>
              <w:t>14,25%</w:t>
            </w:r>
          </w:p>
        </w:tc>
      </w:tr>
      <w:tr w:rsidR="008F5549" w:rsidRPr="00F64F96">
        <w:trPr>
          <w:trHeight w:val="401"/>
          <w:jc w:val="center"/>
        </w:trPr>
        <w:tc>
          <w:tcPr>
            <w:tcW w:w="3160" w:type="dxa"/>
            <w:vAlign w:val="center"/>
          </w:tcPr>
          <w:p w:rsidR="008F5549" w:rsidRPr="00F64F96" w:rsidRDefault="008F5549" w:rsidP="00BE1880">
            <w:pPr>
              <w:jc w:val="center"/>
              <w:rPr>
                <w:rFonts w:ascii="Verdana" w:hAnsi="Verdana" w:cs="Verdana"/>
                <w:b/>
                <w:bCs/>
                <w:color w:val="000000"/>
                <w:sz w:val="20"/>
                <w:szCs w:val="20"/>
              </w:rPr>
            </w:pPr>
            <w:r w:rsidRPr="00F64F96">
              <w:rPr>
                <w:rFonts w:ascii="Verdana" w:hAnsi="Verdana" w:cs="Verdana"/>
                <w:b/>
                <w:bCs/>
                <w:color w:val="000000"/>
                <w:sz w:val="20"/>
                <w:szCs w:val="20"/>
              </w:rPr>
              <w:t>AQUIMEDIA</w:t>
            </w:r>
          </w:p>
        </w:tc>
        <w:tc>
          <w:tcPr>
            <w:tcW w:w="2112" w:type="dxa"/>
            <w:vAlign w:val="center"/>
          </w:tcPr>
          <w:p w:rsidR="008F5549" w:rsidRPr="00F64F96" w:rsidRDefault="00F64F96" w:rsidP="0000081F">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8F5549" w:rsidRPr="00F64F96">
              <w:rPr>
                <w:rFonts w:ascii="Verdana" w:hAnsi="Verdana" w:cs="Verdana"/>
                <w:b/>
                <w:bCs/>
                <w:color w:val="000000"/>
                <w:sz w:val="20"/>
                <w:szCs w:val="20"/>
              </w:rPr>
              <w:t>1,74</w:t>
            </w:r>
          </w:p>
        </w:tc>
        <w:tc>
          <w:tcPr>
            <w:tcW w:w="2061" w:type="dxa"/>
            <w:vAlign w:val="center"/>
          </w:tcPr>
          <w:p w:rsidR="008F5549" w:rsidRPr="00F64F96" w:rsidRDefault="00F64F96" w:rsidP="00D63EBF">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8F5549" w:rsidRPr="00F64F96">
              <w:rPr>
                <w:rFonts w:ascii="Verdana" w:hAnsi="Verdana" w:cs="Verdana"/>
                <w:b/>
                <w:bCs/>
                <w:color w:val="000000"/>
                <w:sz w:val="20"/>
                <w:szCs w:val="20"/>
              </w:rPr>
              <w:t>1,70</w:t>
            </w:r>
          </w:p>
        </w:tc>
        <w:tc>
          <w:tcPr>
            <w:tcW w:w="2061" w:type="dxa"/>
            <w:vAlign w:val="center"/>
          </w:tcPr>
          <w:p w:rsidR="008F5549" w:rsidRPr="00F64F96" w:rsidRDefault="00F64F96" w:rsidP="0068227E">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2E105D" w:rsidRPr="00F64F96">
              <w:rPr>
                <w:rFonts w:ascii="Verdana" w:hAnsi="Verdana" w:cs="Verdana"/>
                <w:b/>
                <w:bCs/>
                <w:color w:val="000000"/>
                <w:sz w:val="20"/>
                <w:szCs w:val="20"/>
              </w:rPr>
              <w:t>2,35</w:t>
            </w:r>
            <w:r w:rsidR="008F5549" w:rsidRPr="00F64F96">
              <w:rPr>
                <w:rFonts w:ascii="Verdana" w:hAnsi="Verdana" w:cs="Verdana"/>
                <w:b/>
                <w:bCs/>
                <w:color w:val="000000"/>
                <w:sz w:val="20"/>
                <w:szCs w:val="20"/>
              </w:rPr>
              <w:t>%</w:t>
            </w:r>
          </w:p>
        </w:tc>
      </w:tr>
      <w:tr w:rsidR="008F5549" w:rsidRPr="00F64F96">
        <w:trPr>
          <w:trHeight w:val="401"/>
          <w:jc w:val="center"/>
        </w:trPr>
        <w:tc>
          <w:tcPr>
            <w:tcW w:w="3160" w:type="dxa"/>
            <w:vAlign w:val="center"/>
          </w:tcPr>
          <w:p w:rsidR="008F5549" w:rsidRPr="00F64F96" w:rsidRDefault="008F5549" w:rsidP="00BE1880">
            <w:pPr>
              <w:jc w:val="center"/>
              <w:rPr>
                <w:rFonts w:ascii="Verdana" w:hAnsi="Verdana" w:cs="Verdana"/>
                <w:b/>
                <w:bCs/>
                <w:color w:val="000000"/>
                <w:sz w:val="20"/>
                <w:szCs w:val="20"/>
              </w:rPr>
            </w:pPr>
            <w:r w:rsidRPr="00F64F96">
              <w:rPr>
                <w:rFonts w:ascii="Verdana" w:hAnsi="Verdana" w:cs="Verdana"/>
                <w:b/>
                <w:bCs/>
                <w:color w:val="000000"/>
                <w:sz w:val="20"/>
                <w:szCs w:val="20"/>
              </w:rPr>
              <w:t>AQUISERV’</w:t>
            </w:r>
          </w:p>
        </w:tc>
        <w:tc>
          <w:tcPr>
            <w:tcW w:w="2112" w:type="dxa"/>
            <w:vAlign w:val="center"/>
          </w:tcPr>
          <w:p w:rsidR="008F5549" w:rsidRPr="00F64F96" w:rsidRDefault="00F64F96" w:rsidP="0068227E">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8F5549" w:rsidRPr="00F64F96">
              <w:rPr>
                <w:rFonts w:ascii="Verdana" w:hAnsi="Verdana" w:cs="Verdana"/>
                <w:b/>
                <w:bCs/>
                <w:color w:val="000000"/>
                <w:sz w:val="20"/>
                <w:szCs w:val="20"/>
              </w:rPr>
              <w:t>1,32</w:t>
            </w:r>
          </w:p>
        </w:tc>
        <w:tc>
          <w:tcPr>
            <w:tcW w:w="2061" w:type="dxa"/>
            <w:vAlign w:val="center"/>
          </w:tcPr>
          <w:p w:rsidR="008F5549" w:rsidRPr="00F64F96" w:rsidRDefault="00F64F96" w:rsidP="00D63EBF">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8F5549" w:rsidRPr="00F64F96">
              <w:rPr>
                <w:rFonts w:ascii="Verdana" w:hAnsi="Verdana" w:cs="Verdana"/>
                <w:b/>
                <w:bCs/>
                <w:color w:val="000000"/>
                <w:sz w:val="20"/>
                <w:szCs w:val="20"/>
              </w:rPr>
              <w:t>1,25</w:t>
            </w:r>
          </w:p>
        </w:tc>
        <w:tc>
          <w:tcPr>
            <w:tcW w:w="2061" w:type="dxa"/>
            <w:vAlign w:val="center"/>
          </w:tcPr>
          <w:p w:rsidR="008F5549" w:rsidRPr="00F64F96" w:rsidRDefault="00F64F96" w:rsidP="0068227E">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2E105D" w:rsidRPr="00F64F96">
              <w:rPr>
                <w:rFonts w:ascii="Verdana" w:hAnsi="Verdana" w:cs="Verdana"/>
                <w:b/>
                <w:bCs/>
                <w:color w:val="000000"/>
                <w:sz w:val="20"/>
                <w:szCs w:val="20"/>
              </w:rPr>
              <w:t>5,60</w:t>
            </w:r>
            <w:r w:rsidR="008F5549" w:rsidRPr="00F64F96">
              <w:rPr>
                <w:rFonts w:ascii="Verdana" w:hAnsi="Verdana" w:cs="Verdana"/>
                <w:b/>
                <w:bCs/>
                <w:color w:val="000000"/>
                <w:sz w:val="20"/>
                <w:szCs w:val="20"/>
              </w:rPr>
              <w:t>%</w:t>
            </w:r>
          </w:p>
        </w:tc>
      </w:tr>
      <w:tr w:rsidR="008F5549">
        <w:trPr>
          <w:trHeight w:val="401"/>
          <w:jc w:val="center"/>
        </w:trPr>
        <w:tc>
          <w:tcPr>
            <w:tcW w:w="3160" w:type="dxa"/>
            <w:vAlign w:val="center"/>
          </w:tcPr>
          <w:p w:rsidR="008F5549" w:rsidRPr="00F64F96" w:rsidRDefault="008F5549" w:rsidP="00BE1880">
            <w:pPr>
              <w:jc w:val="center"/>
              <w:rPr>
                <w:rFonts w:ascii="Verdana" w:hAnsi="Verdana" w:cs="Verdana"/>
                <w:b/>
                <w:bCs/>
                <w:color w:val="000000"/>
                <w:sz w:val="20"/>
                <w:szCs w:val="20"/>
              </w:rPr>
            </w:pPr>
            <w:r w:rsidRPr="00F64F96">
              <w:rPr>
                <w:rFonts w:ascii="Verdana" w:hAnsi="Verdana" w:cs="Verdana"/>
                <w:b/>
                <w:bCs/>
                <w:color w:val="000000"/>
                <w:sz w:val="20"/>
                <w:szCs w:val="20"/>
              </w:rPr>
              <w:t>CA TOTAL</w:t>
            </w:r>
          </w:p>
        </w:tc>
        <w:tc>
          <w:tcPr>
            <w:tcW w:w="2112" w:type="dxa"/>
            <w:vAlign w:val="center"/>
          </w:tcPr>
          <w:p w:rsidR="008F5549" w:rsidRPr="00F64F96" w:rsidRDefault="00F64F96" w:rsidP="002E105D">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8F5549" w:rsidRPr="00F64F96">
              <w:rPr>
                <w:rFonts w:ascii="Verdana" w:hAnsi="Verdana" w:cs="Verdana"/>
                <w:b/>
                <w:bCs/>
                <w:color w:val="000000"/>
                <w:sz w:val="20"/>
                <w:szCs w:val="20"/>
              </w:rPr>
              <w:t>2</w:t>
            </w:r>
            <w:r w:rsidR="002E105D" w:rsidRPr="00F64F96">
              <w:rPr>
                <w:rFonts w:ascii="Verdana" w:hAnsi="Verdana" w:cs="Verdana"/>
                <w:b/>
                <w:bCs/>
                <w:color w:val="000000"/>
                <w:sz w:val="20"/>
                <w:szCs w:val="20"/>
              </w:rPr>
              <w:t>9,</w:t>
            </w:r>
            <w:r w:rsidRPr="00F64F96">
              <w:rPr>
                <w:rFonts w:ascii="Verdana" w:hAnsi="Verdana" w:cs="Verdana"/>
                <w:b/>
                <w:bCs/>
                <w:color w:val="000000"/>
                <w:sz w:val="20"/>
                <w:szCs w:val="20"/>
              </w:rPr>
              <w:t>36</w:t>
            </w:r>
          </w:p>
        </w:tc>
        <w:tc>
          <w:tcPr>
            <w:tcW w:w="2061" w:type="dxa"/>
            <w:vAlign w:val="center"/>
          </w:tcPr>
          <w:p w:rsidR="008F5549" w:rsidRPr="00F64F96" w:rsidRDefault="00F64F96" w:rsidP="00D63EBF">
            <w:pPr>
              <w:ind w:right="615"/>
              <w:jc w:val="center"/>
              <w:rPr>
                <w:rFonts w:ascii="Verdana" w:hAnsi="Verdana" w:cs="Verdana"/>
                <w:b/>
                <w:bCs/>
                <w:color w:val="000000"/>
                <w:sz w:val="20"/>
                <w:szCs w:val="20"/>
              </w:rPr>
            </w:pPr>
            <w:r>
              <w:rPr>
                <w:rFonts w:ascii="Verdana" w:hAnsi="Verdana" w:cs="Verdana"/>
                <w:b/>
                <w:bCs/>
                <w:color w:val="000000"/>
                <w:sz w:val="20"/>
                <w:szCs w:val="20"/>
              </w:rPr>
              <w:t xml:space="preserve">        </w:t>
            </w:r>
            <w:r w:rsidR="008F5549" w:rsidRPr="00F64F96">
              <w:rPr>
                <w:rFonts w:ascii="Verdana" w:hAnsi="Verdana" w:cs="Verdana"/>
                <w:b/>
                <w:bCs/>
                <w:color w:val="000000"/>
                <w:sz w:val="20"/>
                <w:szCs w:val="20"/>
              </w:rPr>
              <w:t>25,94</w:t>
            </w:r>
          </w:p>
        </w:tc>
        <w:tc>
          <w:tcPr>
            <w:tcW w:w="2061" w:type="dxa"/>
            <w:vAlign w:val="center"/>
          </w:tcPr>
          <w:p w:rsidR="008F5549" w:rsidRPr="00F64F96" w:rsidRDefault="00F64F96" w:rsidP="00F64F96">
            <w:pPr>
              <w:ind w:right="615"/>
              <w:rPr>
                <w:rFonts w:ascii="Verdana" w:hAnsi="Verdana" w:cs="Verdana"/>
                <w:b/>
                <w:bCs/>
                <w:color w:val="000000"/>
                <w:sz w:val="20"/>
                <w:szCs w:val="20"/>
              </w:rPr>
            </w:pPr>
            <w:r>
              <w:rPr>
                <w:rFonts w:ascii="Verdana" w:hAnsi="Verdana" w:cs="Verdana"/>
                <w:b/>
                <w:bCs/>
                <w:color w:val="000000"/>
                <w:sz w:val="20"/>
                <w:szCs w:val="20"/>
              </w:rPr>
              <w:t xml:space="preserve">    </w:t>
            </w:r>
            <w:r w:rsidRPr="00F64F96">
              <w:rPr>
                <w:rFonts w:ascii="Verdana" w:hAnsi="Verdana" w:cs="Verdana"/>
                <w:b/>
                <w:bCs/>
                <w:color w:val="000000"/>
                <w:sz w:val="20"/>
                <w:szCs w:val="20"/>
              </w:rPr>
              <w:t>13,18</w:t>
            </w:r>
            <w:r w:rsidR="008F5549" w:rsidRPr="00F64F96">
              <w:rPr>
                <w:rFonts w:ascii="Verdana" w:hAnsi="Verdana" w:cs="Verdana"/>
                <w:b/>
                <w:bCs/>
                <w:color w:val="000000"/>
                <w:sz w:val="20"/>
                <w:szCs w:val="20"/>
              </w:rPr>
              <w:t>%</w:t>
            </w:r>
          </w:p>
        </w:tc>
      </w:tr>
    </w:tbl>
    <w:p w:rsidR="00BC204F" w:rsidRDefault="00BC204F" w:rsidP="00F5685D">
      <w:pPr>
        <w:spacing w:after="60"/>
        <w:jc w:val="both"/>
        <w:rPr>
          <w:rFonts w:ascii="Verdana" w:hAnsi="Verdana" w:cs="Verdana"/>
          <w:b/>
          <w:bCs/>
          <w:color w:val="3366FF"/>
          <w:sz w:val="22"/>
          <w:szCs w:val="22"/>
        </w:rPr>
      </w:pPr>
    </w:p>
    <w:p w:rsidR="00A113A0" w:rsidRPr="00B64B6C" w:rsidRDefault="00FA1DE6" w:rsidP="004F70B6">
      <w:pPr>
        <w:jc w:val="both"/>
        <w:rPr>
          <w:rFonts w:ascii="Verdana" w:hAnsi="Verdana"/>
          <w:sz w:val="22"/>
          <w:szCs w:val="22"/>
        </w:rPr>
      </w:pPr>
      <w:r>
        <w:rPr>
          <w:rFonts w:ascii="Verdana" w:hAnsi="Verdana"/>
          <w:sz w:val="22"/>
          <w:szCs w:val="22"/>
        </w:rPr>
        <w:t>AQUIMEDIA, notre centre d’appel, poursuit un développement stratégiquement d’autant plus mesuré qu’il représente une charge pour AQUILA. AQUISERV continue de progresser sur son marché et sert plus que jamais les intérêts d’AQUILA en proposant à son Réseau une gamme de produits et de services toujours plus riche et qualitative.</w:t>
      </w:r>
    </w:p>
    <w:p w:rsidR="00B64B6C" w:rsidRDefault="00B64B6C" w:rsidP="00B64B6C">
      <w:pPr>
        <w:rPr>
          <w:rFonts w:ascii="Verdana" w:hAnsi="Verdana"/>
          <w:sz w:val="22"/>
          <w:szCs w:val="22"/>
        </w:rPr>
      </w:pPr>
    </w:p>
    <w:p w:rsidR="00F402E4" w:rsidRPr="00B64B6C" w:rsidRDefault="00F402E4" w:rsidP="00B64B6C">
      <w:pPr>
        <w:rPr>
          <w:rFonts w:ascii="Verdana" w:hAnsi="Verdana"/>
          <w:sz w:val="22"/>
          <w:szCs w:val="22"/>
        </w:rPr>
      </w:pPr>
    </w:p>
    <w:p w:rsidR="00B64B6C" w:rsidRDefault="00B64B6C" w:rsidP="00B64B6C">
      <w:pPr>
        <w:rPr>
          <w:rFonts w:ascii="Verdana" w:hAnsi="Verdana"/>
          <w:color w:val="808080"/>
          <w:sz w:val="22"/>
          <w:szCs w:val="22"/>
          <w:u w:val="single"/>
        </w:rPr>
      </w:pPr>
      <w:r w:rsidRPr="005B6067">
        <w:rPr>
          <w:rFonts w:ascii="Verdana" w:hAnsi="Verdana"/>
          <w:color w:val="808080"/>
          <w:sz w:val="22"/>
          <w:szCs w:val="22"/>
          <w:u w:val="single"/>
        </w:rPr>
        <w:t>Perspectives :</w:t>
      </w:r>
    </w:p>
    <w:p w:rsidR="00E05507" w:rsidRPr="005B6067" w:rsidRDefault="00E05507" w:rsidP="00B64B6C">
      <w:pPr>
        <w:rPr>
          <w:rFonts w:ascii="Verdana" w:hAnsi="Verdana"/>
          <w:color w:val="808080"/>
          <w:sz w:val="22"/>
          <w:szCs w:val="22"/>
          <w:u w:val="single"/>
        </w:rPr>
      </w:pPr>
    </w:p>
    <w:p w:rsidR="00FA7D3C" w:rsidRDefault="00FA7D3C" w:rsidP="004F70B6">
      <w:pPr>
        <w:jc w:val="both"/>
        <w:rPr>
          <w:rFonts w:ascii="Verdana" w:hAnsi="Verdana"/>
          <w:sz w:val="22"/>
          <w:szCs w:val="22"/>
        </w:rPr>
      </w:pPr>
      <w:r>
        <w:rPr>
          <w:rFonts w:ascii="Verdana" w:hAnsi="Verdana"/>
          <w:sz w:val="22"/>
          <w:szCs w:val="22"/>
        </w:rPr>
        <w:t>Nos perspectives sont bonnes</w:t>
      </w:r>
      <w:r w:rsidR="00FA1DE6">
        <w:rPr>
          <w:rFonts w:ascii="Verdana" w:hAnsi="Verdana"/>
          <w:sz w:val="22"/>
          <w:szCs w:val="22"/>
        </w:rPr>
        <w:t xml:space="preserve"> et nous abordons ce nouvel exercice avec sérénité engagement et humilité au service de nos clients.</w:t>
      </w:r>
    </w:p>
    <w:p w:rsidR="00BC204F" w:rsidRDefault="00BC204F" w:rsidP="00F5685D">
      <w:pPr>
        <w:spacing w:after="60"/>
        <w:jc w:val="both"/>
        <w:rPr>
          <w:rFonts w:ascii="Verdana" w:hAnsi="Verdana" w:cs="Verdana"/>
          <w:b/>
          <w:bCs/>
          <w:color w:val="3366FF"/>
          <w:sz w:val="22"/>
          <w:szCs w:val="22"/>
        </w:rPr>
      </w:pPr>
    </w:p>
    <w:p w:rsidR="00BC204F" w:rsidRPr="00EB659F" w:rsidRDefault="00BC204F" w:rsidP="00F5685D">
      <w:pPr>
        <w:jc w:val="center"/>
        <w:rPr>
          <w:rFonts w:ascii="Verdana" w:hAnsi="Verdana" w:cs="Verdana"/>
          <w:b/>
          <w:bCs/>
          <w:i/>
          <w:iCs/>
          <w:color w:val="000000"/>
        </w:rPr>
      </w:pPr>
      <w:r w:rsidRPr="00EB659F">
        <w:rPr>
          <w:rFonts w:ascii="Verdana" w:hAnsi="Verdana" w:cs="Verdana"/>
          <w:b/>
          <w:bCs/>
          <w:i/>
          <w:iCs/>
          <w:color w:val="000000"/>
        </w:rPr>
        <w:t xml:space="preserve">Prochain rendez-vous : le </w:t>
      </w:r>
      <w:r>
        <w:rPr>
          <w:rFonts w:ascii="Verdana" w:hAnsi="Verdana" w:cs="Verdana"/>
          <w:b/>
          <w:bCs/>
          <w:i/>
          <w:iCs/>
          <w:color w:val="000000"/>
        </w:rPr>
        <w:t>2</w:t>
      </w:r>
      <w:r w:rsidR="008F5549">
        <w:rPr>
          <w:rFonts w:ascii="Verdana" w:hAnsi="Verdana" w:cs="Verdana"/>
          <w:b/>
          <w:bCs/>
          <w:i/>
          <w:iCs/>
          <w:color w:val="000000"/>
        </w:rPr>
        <w:t>4 avril 2020</w:t>
      </w:r>
      <w:r>
        <w:rPr>
          <w:rFonts w:ascii="Verdana" w:hAnsi="Verdana" w:cs="Verdana"/>
          <w:b/>
          <w:bCs/>
          <w:i/>
          <w:iCs/>
          <w:color w:val="000000"/>
        </w:rPr>
        <w:t xml:space="preserve"> </w:t>
      </w:r>
      <w:r w:rsidRPr="00EB659F">
        <w:rPr>
          <w:rFonts w:ascii="Verdana" w:hAnsi="Verdana" w:cs="Verdana"/>
          <w:b/>
          <w:bCs/>
          <w:i/>
          <w:iCs/>
          <w:color w:val="000000"/>
        </w:rPr>
        <w:t>résultats annuels</w:t>
      </w:r>
      <w:r w:rsidR="00501A60">
        <w:rPr>
          <w:rFonts w:ascii="Verdana" w:hAnsi="Verdana" w:cs="Verdana"/>
          <w:b/>
          <w:bCs/>
          <w:i/>
          <w:iCs/>
          <w:color w:val="000000"/>
        </w:rPr>
        <w:t xml:space="preserve"> </w:t>
      </w:r>
      <w:r>
        <w:rPr>
          <w:rFonts w:ascii="Verdana" w:hAnsi="Verdana" w:cs="Verdana"/>
          <w:b/>
          <w:bCs/>
          <w:i/>
          <w:iCs/>
          <w:color w:val="000000"/>
        </w:rPr>
        <w:t>201</w:t>
      </w:r>
      <w:r w:rsidR="008F5549">
        <w:rPr>
          <w:rFonts w:ascii="Verdana" w:hAnsi="Verdana" w:cs="Verdana"/>
          <w:b/>
          <w:bCs/>
          <w:i/>
          <w:iCs/>
          <w:color w:val="000000"/>
        </w:rPr>
        <w:t>9</w:t>
      </w:r>
      <w:r w:rsidR="000A14DF">
        <w:rPr>
          <w:rFonts w:ascii="Verdana" w:hAnsi="Verdana" w:cs="Verdana"/>
          <w:b/>
          <w:bCs/>
          <w:i/>
          <w:iCs/>
          <w:color w:val="000000"/>
        </w:rPr>
        <w:t xml:space="preserve"> et chiffre</w:t>
      </w:r>
      <w:r>
        <w:rPr>
          <w:rFonts w:ascii="Verdana" w:hAnsi="Verdana" w:cs="Verdana"/>
          <w:b/>
          <w:bCs/>
          <w:i/>
          <w:iCs/>
          <w:color w:val="000000"/>
        </w:rPr>
        <w:t xml:space="preserve"> d’affaires du 1</w:t>
      </w:r>
      <w:r w:rsidRPr="00F202B8">
        <w:rPr>
          <w:rFonts w:ascii="Verdana" w:hAnsi="Verdana" w:cs="Verdana"/>
          <w:b/>
          <w:bCs/>
          <w:i/>
          <w:iCs/>
          <w:color w:val="000000"/>
          <w:vertAlign w:val="superscript"/>
        </w:rPr>
        <w:t>er</w:t>
      </w:r>
      <w:r w:rsidR="008F5549">
        <w:rPr>
          <w:rFonts w:ascii="Verdana" w:hAnsi="Verdana" w:cs="Verdana"/>
          <w:b/>
          <w:bCs/>
          <w:i/>
          <w:iCs/>
          <w:color w:val="000000"/>
        </w:rPr>
        <w:t xml:space="preserve"> trimestre 2020</w:t>
      </w:r>
    </w:p>
    <w:p w:rsidR="00BC204F" w:rsidRDefault="00BC204F" w:rsidP="00F5685D">
      <w:pPr>
        <w:jc w:val="both"/>
        <w:rPr>
          <w:rFonts w:ascii="Arial Narrow" w:hAnsi="Arial Narrow" w:cs="Arial Narrow"/>
          <w:b/>
          <w:bCs/>
          <w:sz w:val="16"/>
          <w:szCs w:val="16"/>
        </w:rPr>
      </w:pPr>
    </w:p>
    <w:p w:rsidR="00072C32" w:rsidRPr="00B64B6C" w:rsidRDefault="00072C32" w:rsidP="00072C32">
      <w:pPr>
        <w:pBdr>
          <w:top w:val="single" w:sz="4" w:space="1" w:color="FF6600"/>
          <w:left w:val="single" w:sz="4" w:space="0" w:color="FF6600"/>
          <w:bottom w:val="single" w:sz="4" w:space="1" w:color="FF6600"/>
          <w:right w:val="single" w:sz="4" w:space="4" w:color="FF6600"/>
        </w:pBdr>
        <w:shd w:val="clear" w:color="auto" w:fill="FFFFFF"/>
        <w:autoSpaceDE w:val="0"/>
        <w:autoSpaceDN w:val="0"/>
        <w:adjustRightInd w:val="0"/>
        <w:jc w:val="both"/>
        <w:rPr>
          <w:rFonts w:ascii="ArialNarrow" w:hAnsi="ArialNarrow" w:cs="ArialNarrow"/>
          <w:sz w:val="16"/>
          <w:szCs w:val="16"/>
        </w:rPr>
      </w:pPr>
      <w:r>
        <w:rPr>
          <w:rFonts w:ascii="Verdana" w:hAnsi="Verdana" w:cs="Verdana"/>
          <w:sz w:val="16"/>
          <w:szCs w:val="16"/>
        </w:rPr>
        <w:t xml:space="preserve">AQUILA est né en 1993 sur un concept original et unique de mise en commun de compétences et de moyens autour d'une plateforme mutualisée menant au lancement du premier réseau national d'indépendants d'assistance et d'intervention sur alarme. Aujourd'hui, le réseau national d'AQUILA regroupe près de 300 entreprises partenaires spécialisées dans l’intervention sur alarme, le gardiennage et la surveillance, couvrant 94 % de la population ce qui positionne la société dans le peloton de tête du marché de l'intervention sur alarme. Fort de son succès d’entreprise « urgentiste », AQUILA détient à ce jour plus de 600 000 abonnés. </w:t>
      </w:r>
      <w:r>
        <w:rPr>
          <w:rFonts w:ascii="ArialNarrow" w:hAnsi="ArialNarrow" w:cs="ArialNarrow"/>
          <w:sz w:val="16"/>
          <w:szCs w:val="16"/>
        </w:rPr>
        <w:t xml:space="preserve">AQUILA est coté sur </w:t>
      </w:r>
      <w:proofErr w:type="spellStart"/>
      <w:r>
        <w:rPr>
          <w:rFonts w:ascii="ArialNarrow" w:hAnsi="ArialNarrow" w:cs="ArialNarrow"/>
          <w:sz w:val="16"/>
          <w:szCs w:val="16"/>
        </w:rPr>
        <w:t>Alternext</w:t>
      </w:r>
      <w:proofErr w:type="spellEnd"/>
      <w:r>
        <w:rPr>
          <w:rFonts w:ascii="ArialNarrow" w:hAnsi="ArialNarrow" w:cs="ArialNarrow"/>
          <w:sz w:val="16"/>
          <w:szCs w:val="16"/>
        </w:rPr>
        <w:t xml:space="preserve"> depuis 21 juin 2006 (code FR0010340711, code MNEMO : ALAQU).</w:t>
      </w:r>
    </w:p>
    <w:p w:rsidR="005D0B61" w:rsidRPr="005B6067" w:rsidRDefault="005D0B61" w:rsidP="005D0B61">
      <w:pPr>
        <w:pBdr>
          <w:bottom w:val="single" w:sz="4" w:space="1" w:color="auto"/>
        </w:pBdr>
        <w:spacing w:before="60"/>
        <w:jc w:val="center"/>
        <w:rPr>
          <w:rFonts w:ascii="Verdana" w:hAnsi="Verdana" w:cs="Verdana"/>
          <w:b/>
          <w:bCs/>
          <w:color w:val="808080"/>
          <w:sz w:val="22"/>
          <w:szCs w:val="22"/>
        </w:rPr>
      </w:pPr>
      <w:r w:rsidRPr="005B6067">
        <w:rPr>
          <w:rFonts w:ascii="Verdana" w:hAnsi="Verdana" w:cs="Verdana"/>
          <w:b/>
          <w:bCs/>
          <w:color w:val="808080"/>
          <w:sz w:val="22"/>
          <w:szCs w:val="22"/>
        </w:rPr>
        <w:t>Contacts</w:t>
      </w:r>
    </w:p>
    <w:p w:rsidR="005D0B61" w:rsidRDefault="005D0B61" w:rsidP="005D0B61">
      <w:pPr>
        <w:tabs>
          <w:tab w:val="center" w:pos="851"/>
          <w:tab w:val="center" w:pos="4820"/>
          <w:tab w:val="center" w:pos="8505"/>
        </w:tabs>
        <w:spacing w:before="60"/>
        <w:rPr>
          <w:rFonts w:ascii="Arial Narrow" w:hAnsi="Arial Narrow" w:cs="Tahoma"/>
          <w:b/>
          <w:sz w:val="22"/>
        </w:rPr>
      </w:pPr>
      <w:r>
        <w:rPr>
          <w:rFonts w:ascii="Arial Narrow" w:hAnsi="Arial Narrow" w:cs="Tahoma"/>
          <w:b/>
          <w:sz w:val="22"/>
        </w:rPr>
        <w:t>Aquila</w:t>
      </w:r>
    </w:p>
    <w:p w:rsidR="005D0B61" w:rsidRDefault="005D0B61" w:rsidP="005D0B61">
      <w:pPr>
        <w:tabs>
          <w:tab w:val="center" w:pos="851"/>
          <w:tab w:val="center" w:pos="4820"/>
          <w:tab w:val="center" w:pos="8505"/>
        </w:tabs>
        <w:rPr>
          <w:rFonts w:ascii="Arial Narrow" w:hAnsi="Arial Narrow" w:cs="Tahoma"/>
          <w:sz w:val="19"/>
          <w:szCs w:val="19"/>
        </w:rPr>
      </w:pPr>
      <w:smartTag w:uri="urn:schemas-microsoft-com:office:smarttags" w:element="PersonName">
        <w:smartTagPr>
          <w:attr w:name="ProductID" w:val="Olivier Bevilacqua"/>
        </w:smartTagPr>
        <w:r>
          <w:rPr>
            <w:rFonts w:ascii="Arial Narrow" w:hAnsi="Arial Narrow" w:cs="Tahoma"/>
            <w:sz w:val="19"/>
            <w:szCs w:val="19"/>
          </w:rPr>
          <w:t xml:space="preserve">Olivier </w:t>
        </w:r>
        <w:proofErr w:type="spellStart"/>
        <w:r>
          <w:rPr>
            <w:rFonts w:ascii="Arial Narrow" w:hAnsi="Arial Narrow" w:cs="Tahoma"/>
            <w:sz w:val="19"/>
            <w:szCs w:val="19"/>
          </w:rPr>
          <w:t>Bevilacqua</w:t>
        </w:r>
      </w:smartTag>
      <w:proofErr w:type="spellEnd"/>
      <w:r>
        <w:rPr>
          <w:rFonts w:ascii="Arial Narrow" w:hAnsi="Arial Narrow" w:cs="Tahoma"/>
          <w:sz w:val="19"/>
          <w:szCs w:val="19"/>
        </w:rPr>
        <w:tab/>
      </w:r>
      <w:r>
        <w:rPr>
          <w:rFonts w:ascii="Arial Narrow" w:hAnsi="Arial Narrow" w:cs="Tahoma"/>
          <w:sz w:val="19"/>
          <w:szCs w:val="19"/>
        </w:rPr>
        <w:tab/>
      </w:r>
    </w:p>
    <w:p w:rsidR="005D0B61" w:rsidRDefault="005D0B61" w:rsidP="005D0B61">
      <w:pPr>
        <w:tabs>
          <w:tab w:val="center" w:pos="851"/>
          <w:tab w:val="center" w:pos="4820"/>
          <w:tab w:val="center" w:pos="8505"/>
        </w:tabs>
        <w:rPr>
          <w:rFonts w:ascii="Arial Narrow" w:hAnsi="Arial Narrow" w:cs="Tahoma"/>
          <w:sz w:val="19"/>
          <w:szCs w:val="19"/>
        </w:rPr>
      </w:pPr>
      <w:r>
        <w:rPr>
          <w:rFonts w:ascii="Arial Narrow" w:hAnsi="Arial Narrow" w:cs="Tahoma"/>
          <w:sz w:val="19"/>
          <w:szCs w:val="19"/>
        </w:rPr>
        <w:t>Président Directeur Général</w:t>
      </w:r>
    </w:p>
    <w:p w:rsidR="005D0B61" w:rsidRPr="001C4939" w:rsidRDefault="005D0B61" w:rsidP="005D0B61">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0 825 800 887</w:t>
      </w:r>
    </w:p>
    <w:p w:rsidR="005D0B61" w:rsidRPr="001C4939" w:rsidRDefault="005D0B61" w:rsidP="005D0B61">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olivier.bevilacqua@reseau-aquila.fr</w:t>
      </w:r>
    </w:p>
    <w:p w:rsidR="005D0B61" w:rsidRPr="001C4939" w:rsidRDefault="005D0B61" w:rsidP="005D0B61">
      <w:pPr>
        <w:tabs>
          <w:tab w:val="center" w:pos="851"/>
          <w:tab w:val="center" w:pos="4820"/>
          <w:tab w:val="center" w:pos="8505"/>
        </w:tabs>
        <w:rPr>
          <w:rFonts w:ascii="Arial Narrow" w:hAnsi="Arial Narrow" w:cs="Tahoma"/>
          <w:sz w:val="19"/>
          <w:szCs w:val="19"/>
          <w:lang w:val="en-GB"/>
        </w:rPr>
      </w:pPr>
    </w:p>
    <w:p w:rsidR="005D0B61" w:rsidRPr="00FA33C4" w:rsidRDefault="005D0B61" w:rsidP="005D0B61">
      <w:pPr>
        <w:tabs>
          <w:tab w:val="center" w:pos="851"/>
          <w:tab w:val="center" w:pos="4820"/>
          <w:tab w:val="center" w:pos="8505"/>
        </w:tabs>
        <w:spacing w:before="60"/>
        <w:rPr>
          <w:rFonts w:ascii="Arial Narrow" w:hAnsi="Arial Narrow" w:cs="Tahoma"/>
          <w:b/>
          <w:sz w:val="22"/>
          <w:szCs w:val="22"/>
          <w:lang w:val="en-GB"/>
        </w:rPr>
      </w:pPr>
      <w:r w:rsidRPr="00FA33C4">
        <w:rPr>
          <w:rFonts w:ascii="Arial Narrow" w:hAnsi="Arial Narrow" w:cs="Tahoma"/>
          <w:b/>
          <w:sz w:val="22"/>
          <w:szCs w:val="22"/>
          <w:lang w:val="en-GB"/>
        </w:rPr>
        <w:t>NFINANCE SECURITIES</w:t>
      </w:r>
    </w:p>
    <w:p w:rsidR="005D0B61" w:rsidRPr="001447B4" w:rsidRDefault="005D0B61" w:rsidP="005D0B61">
      <w:pPr>
        <w:tabs>
          <w:tab w:val="center" w:pos="851"/>
          <w:tab w:val="center" w:pos="4820"/>
          <w:tab w:val="center" w:pos="8505"/>
        </w:tabs>
        <w:spacing w:before="60"/>
        <w:rPr>
          <w:rFonts w:ascii="Arial Narrow" w:hAnsi="Arial Narrow" w:cs="Tahoma"/>
          <w:sz w:val="19"/>
          <w:szCs w:val="19"/>
          <w:lang w:val="en-GB"/>
        </w:rPr>
      </w:pPr>
      <w:r w:rsidRPr="001447B4">
        <w:rPr>
          <w:rFonts w:ascii="Arial Narrow" w:hAnsi="Arial Narrow" w:cs="Tahoma"/>
          <w:sz w:val="19"/>
          <w:szCs w:val="19"/>
          <w:lang w:val="en-GB"/>
        </w:rPr>
        <w:t>Corporate Finance / Listing sponsor</w:t>
      </w:r>
    </w:p>
    <w:p w:rsidR="005D0B61" w:rsidRPr="00FA33C4" w:rsidRDefault="005D0B61" w:rsidP="005D0B61">
      <w:pPr>
        <w:tabs>
          <w:tab w:val="center" w:pos="851"/>
          <w:tab w:val="center" w:pos="4820"/>
          <w:tab w:val="center" w:pos="8505"/>
        </w:tabs>
        <w:spacing w:before="60"/>
        <w:rPr>
          <w:rFonts w:ascii="Arial Narrow" w:hAnsi="Arial Narrow" w:cs="Tahoma"/>
          <w:sz w:val="19"/>
          <w:szCs w:val="19"/>
          <w:lang w:val="en-GB"/>
        </w:rPr>
      </w:pPr>
      <w:proofErr w:type="spellStart"/>
      <w:r w:rsidRPr="00FA33C4">
        <w:rPr>
          <w:rFonts w:ascii="Arial Narrow" w:hAnsi="Arial Narrow" w:cs="Arial"/>
          <w:sz w:val="18"/>
          <w:szCs w:val="18"/>
          <w:lang w:val="en-GB"/>
        </w:rPr>
        <w:t>Nataliya</w:t>
      </w:r>
      <w:proofErr w:type="spellEnd"/>
      <w:r w:rsidRPr="00FA33C4">
        <w:rPr>
          <w:rFonts w:ascii="Arial Narrow" w:hAnsi="Arial Narrow" w:cs="Arial"/>
          <w:sz w:val="18"/>
          <w:szCs w:val="18"/>
          <w:lang w:val="en-GB"/>
        </w:rPr>
        <w:t xml:space="preserve"> </w:t>
      </w:r>
      <w:proofErr w:type="spellStart"/>
      <w:r w:rsidRPr="00FA33C4">
        <w:rPr>
          <w:rFonts w:ascii="Arial Narrow" w:hAnsi="Arial Narrow" w:cs="Arial"/>
          <w:sz w:val="18"/>
          <w:szCs w:val="18"/>
          <w:lang w:val="en-GB"/>
        </w:rPr>
        <w:t>Steinkreitzer</w:t>
      </w:r>
      <w:proofErr w:type="spellEnd"/>
    </w:p>
    <w:p w:rsidR="005D0B61" w:rsidRPr="00FA33C4" w:rsidRDefault="005D0B61" w:rsidP="005D0B61">
      <w:pPr>
        <w:tabs>
          <w:tab w:val="center" w:pos="851"/>
          <w:tab w:val="center" w:pos="4820"/>
          <w:tab w:val="center" w:pos="8505"/>
        </w:tabs>
        <w:spacing w:before="60"/>
        <w:rPr>
          <w:rFonts w:ascii="Arial Narrow" w:hAnsi="Arial Narrow" w:cs="Tahoma"/>
          <w:sz w:val="19"/>
          <w:szCs w:val="19"/>
          <w:lang w:val="en-GB"/>
        </w:rPr>
      </w:pPr>
      <w:proofErr w:type="spellStart"/>
      <w:proofErr w:type="gramStart"/>
      <w:r w:rsidRPr="00FA33C4">
        <w:rPr>
          <w:rFonts w:ascii="Arial Narrow" w:hAnsi="Arial Narrow" w:cs="Tahoma"/>
          <w:sz w:val="19"/>
          <w:szCs w:val="19"/>
          <w:lang w:val="en-GB"/>
        </w:rPr>
        <w:t>Tél</w:t>
      </w:r>
      <w:proofErr w:type="spellEnd"/>
      <w:r w:rsidRPr="00FA33C4">
        <w:rPr>
          <w:rFonts w:ascii="Arial Narrow" w:hAnsi="Arial Narrow" w:cs="Tahoma"/>
          <w:sz w:val="19"/>
          <w:szCs w:val="19"/>
          <w:lang w:val="en-GB"/>
        </w:rPr>
        <w:t> :</w:t>
      </w:r>
      <w:proofErr w:type="gramEnd"/>
      <w:r w:rsidRPr="00FA33C4">
        <w:rPr>
          <w:rFonts w:ascii="Arial Narrow" w:hAnsi="Arial Narrow" w:cs="Tahoma"/>
          <w:sz w:val="19"/>
          <w:szCs w:val="19"/>
          <w:lang w:val="en-GB"/>
        </w:rPr>
        <w:t xml:space="preserve"> 01 53 05 92 84</w:t>
      </w:r>
    </w:p>
    <w:p w:rsidR="005D0B61" w:rsidRPr="00F375C2" w:rsidRDefault="005D0B61" w:rsidP="005D0B61">
      <w:pPr>
        <w:tabs>
          <w:tab w:val="center" w:pos="851"/>
          <w:tab w:val="center" w:pos="4820"/>
          <w:tab w:val="center" w:pos="8505"/>
        </w:tabs>
        <w:spacing w:before="60"/>
        <w:rPr>
          <w:lang w:val="en-GB"/>
        </w:rPr>
      </w:pPr>
      <w:r>
        <w:rPr>
          <w:rFonts w:ascii="Arial Narrow" w:hAnsi="Arial Narrow" w:cs="Tahoma"/>
          <w:sz w:val="19"/>
          <w:szCs w:val="19"/>
          <w:lang w:val="en-GB"/>
        </w:rPr>
        <w:t>nataliya</w:t>
      </w:r>
      <w:r w:rsidRPr="00FA33C4">
        <w:rPr>
          <w:rFonts w:ascii="Arial Narrow" w:hAnsi="Arial Narrow" w:cs="Tahoma"/>
          <w:sz w:val="19"/>
          <w:szCs w:val="19"/>
          <w:lang w:val="en-GB"/>
        </w:rPr>
        <w:t>@nfinance.fr</w:t>
      </w:r>
    </w:p>
    <w:sectPr w:rsidR="005D0B61" w:rsidRPr="00F375C2" w:rsidSect="009C5350">
      <w:pgSz w:w="11906" w:h="16838"/>
      <w:pgMar w:top="1258"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B9"/>
    <w:multiLevelType w:val="hybridMultilevel"/>
    <w:tmpl w:val="EC367B74"/>
    <w:lvl w:ilvl="0" w:tplc="57ACB20C">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980986"/>
    <w:multiLevelType w:val="hybridMultilevel"/>
    <w:tmpl w:val="330EF7EA"/>
    <w:lvl w:ilvl="0" w:tplc="327E8BD0">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060E37"/>
    <w:multiLevelType w:val="hybridMultilevel"/>
    <w:tmpl w:val="57FA960E"/>
    <w:lvl w:ilvl="0" w:tplc="7DA49406">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compat>
    <w:applyBreakingRules/>
    <w:useFELayout/>
  </w:compat>
  <w:rsids>
    <w:rsidRoot w:val="001F7E28"/>
    <w:rsid w:val="0000081F"/>
    <w:rsid w:val="00006635"/>
    <w:rsid w:val="000318A7"/>
    <w:rsid w:val="00067F6F"/>
    <w:rsid w:val="00070C17"/>
    <w:rsid w:val="00072C32"/>
    <w:rsid w:val="000A14DF"/>
    <w:rsid w:val="00101864"/>
    <w:rsid w:val="00102C70"/>
    <w:rsid w:val="00121DE5"/>
    <w:rsid w:val="00122F6A"/>
    <w:rsid w:val="0015229C"/>
    <w:rsid w:val="00182B74"/>
    <w:rsid w:val="001A4D63"/>
    <w:rsid w:val="001F4C66"/>
    <w:rsid w:val="001F7E28"/>
    <w:rsid w:val="002162D9"/>
    <w:rsid w:val="002323F4"/>
    <w:rsid w:val="002462C3"/>
    <w:rsid w:val="002710F4"/>
    <w:rsid w:val="002978D7"/>
    <w:rsid w:val="002A69F1"/>
    <w:rsid w:val="002C0DF1"/>
    <w:rsid w:val="002E105D"/>
    <w:rsid w:val="002E34F1"/>
    <w:rsid w:val="002F7213"/>
    <w:rsid w:val="0030046F"/>
    <w:rsid w:val="00316207"/>
    <w:rsid w:val="00346F30"/>
    <w:rsid w:val="003E0533"/>
    <w:rsid w:val="003E0A40"/>
    <w:rsid w:val="003E0B9A"/>
    <w:rsid w:val="003E22AE"/>
    <w:rsid w:val="003F0567"/>
    <w:rsid w:val="00451660"/>
    <w:rsid w:val="004608FC"/>
    <w:rsid w:val="00463E65"/>
    <w:rsid w:val="00467496"/>
    <w:rsid w:val="004852CD"/>
    <w:rsid w:val="004928AF"/>
    <w:rsid w:val="004F0613"/>
    <w:rsid w:val="004F403F"/>
    <w:rsid w:val="004F70B6"/>
    <w:rsid w:val="00501A60"/>
    <w:rsid w:val="00506F6B"/>
    <w:rsid w:val="00520999"/>
    <w:rsid w:val="0055316D"/>
    <w:rsid w:val="005A267F"/>
    <w:rsid w:val="005B6067"/>
    <w:rsid w:val="005D0B61"/>
    <w:rsid w:val="005E09E1"/>
    <w:rsid w:val="005E6F6F"/>
    <w:rsid w:val="0063148D"/>
    <w:rsid w:val="00654B3E"/>
    <w:rsid w:val="0068227E"/>
    <w:rsid w:val="00693B75"/>
    <w:rsid w:val="006A55DB"/>
    <w:rsid w:val="006C3563"/>
    <w:rsid w:val="006C6BDF"/>
    <w:rsid w:val="006F12E0"/>
    <w:rsid w:val="00724291"/>
    <w:rsid w:val="007460E8"/>
    <w:rsid w:val="00774578"/>
    <w:rsid w:val="0079218A"/>
    <w:rsid w:val="007C10CC"/>
    <w:rsid w:val="007D26FF"/>
    <w:rsid w:val="00804521"/>
    <w:rsid w:val="00842778"/>
    <w:rsid w:val="00857A42"/>
    <w:rsid w:val="008945C8"/>
    <w:rsid w:val="008A12D6"/>
    <w:rsid w:val="008F5549"/>
    <w:rsid w:val="00900620"/>
    <w:rsid w:val="00931733"/>
    <w:rsid w:val="00931879"/>
    <w:rsid w:val="009574F0"/>
    <w:rsid w:val="009716A1"/>
    <w:rsid w:val="009726E3"/>
    <w:rsid w:val="00992C43"/>
    <w:rsid w:val="009C5350"/>
    <w:rsid w:val="009D569D"/>
    <w:rsid w:val="009D7520"/>
    <w:rsid w:val="009E4886"/>
    <w:rsid w:val="00A113A0"/>
    <w:rsid w:val="00A44D7F"/>
    <w:rsid w:val="00A50D7B"/>
    <w:rsid w:val="00A50DB8"/>
    <w:rsid w:val="00A60A90"/>
    <w:rsid w:val="00A66003"/>
    <w:rsid w:val="00AA704A"/>
    <w:rsid w:val="00AB0EDE"/>
    <w:rsid w:val="00AF5283"/>
    <w:rsid w:val="00B02585"/>
    <w:rsid w:val="00B45F0B"/>
    <w:rsid w:val="00B4730B"/>
    <w:rsid w:val="00B64B6C"/>
    <w:rsid w:val="00B856FB"/>
    <w:rsid w:val="00BC204F"/>
    <w:rsid w:val="00BD5006"/>
    <w:rsid w:val="00BD5F4A"/>
    <w:rsid w:val="00BE1880"/>
    <w:rsid w:val="00C41ED9"/>
    <w:rsid w:val="00C45D03"/>
    <w:rsid w:val="00C57B5B"/>
    <w:rsid w:val="00CA2012"/>
    <w:rsid w:val="00CF3F1A"/>
    <w:rsid w:val="00D63EBF"/>
    <w:rsid w:val="00DC5B3D"/>
    <w:rsid w:val="00DE5F00"/>
    <w:rsid w:val="00E05507"/>
    <w:rsid w:val="00E4404D"/>
    <w:rsid w:val="00E44A4E"/>
    <w:rsid w:val="00E56323"/>
    <w:rsid w:val="00E5747D"/>
    <w:rsid w:val="00E80BD7"/>
    <w:rsid w:val="00E87139"/>
    <w:rsid w:val="00EB659F"/>
    <w:rsid w:val="00ED67DF"/>
    <w:rsid w:val="00F202B8"/>
    <w:rsid w:val="00F24FC4"/>
    <w:rsid w:val="00F402E4"/>
    <w:rsid w:val="00F5685D"/>
    <w:rsid w:val="00F64F96"/>
    <w:rsid w:val="00F76489"/>
    <w:rsid w:val="00FA1DE6"/>
    <w:rsid w:val="00FA7D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8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5685D"/>
    <w:rPr>
      <w:rFonts w:cs="Times New Roman"/>
      <w:color w:val="0000FF"/>
      <w:u w:val="single"/>
    </w:rPr>
  </w:style>
  <w:style w:type="paragraph" w:styleId="Textedebulles">
    <w:name w:val="Balloon Text"/>
    <w:basedOn w:val="Normal"/>
    <w:link w:val="TextedebullesCar"/>
    <w:semiHidden/>
    <w:rsid w:val="002F7213"/>
    <w:rPr>
      <w:sz w:val="2"/>
      <w:szCs w:val="2"/>
    </w:rPr>
  </w:style>
  <w:style w:type="character" w:customStyle="1" w:styleId="TextedebullesCar">
    <w:name w:val="Texte de bulles Car"/>
    <w:link w:val="Textedebulles"/>
    <w:semiHidden/>
    <w:locked/>
    <w:rsid w:val="003E22AE"/>
    <w:rPr>
      <w:rFonts w:cs="Times New Roman"/>
      <w:sz w:val="2"/>
      <w:szCs w:val="2"/>
    </w:rPr>
  </w:style>
  <w:style w:type="character" w:styleId="Marquedecommentaire">
    <w:name w:val="annotation reference"/>
    <w:rsid w:val="00101864"/>
    <w:rPr>
      <w:sz w:val="16"/>
      <w:szCs w:val="16"/>
    </w:rPr>
  </w:style>
  <w:style w:type="paragraph" w:styleId="Commentaire">
    <w:name w:val="annotation text"/>
    <w:basedOn w:val="Normal"/>
    <w:link w:val="CommentaireCar"/>
    <w:rsid w:val="00101864"/>
    <w:rPr>
      <w:sz w:val="20"/>
      <w:szCs w:val="20"/>
    </w:rPr>
  </w:style>
  <w:style w:type="character" w:customStyle="1" w:styleId="CommentaireCar">
    <w:name w:val="Commentaire Car"/>
    <w:basedOn w:val="Policepardfaut"/>
    <w:link w:val="Commentaire"/>
    <w:rsid w:val="00101864"/>
  </w:style>
  <w:style w:type="paragraph" w:styleId="Objetducommentaire">
    <w:name w:val="annotation subject"/>
    <w:basedOn w:val="Commentaire"/>
    <w:next w:val="Commentaire"/>
    <w:link w:val="ObjetducommentaireCar"/>
    <w:rsid w:val="00101864"/>
    <w:rPr>
      <w:b/>
      <w:bCs/>
    </w:rPr>
  </w:style>
  <w:style w:type="character" w:customStyle="1" w:styleId="ObjetducommentaireCar">
    <w:name w:val="Objet du commentaire Car"/>
    <w:link w:val="Objetducommentaire"/>
    <w:rsid w:val="001018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2643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COMMUNIQUE</vt:lpstr>
    </vt:vector>
  </TitlesOfParts>
  <Company>Hewlett-Packard</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Olivier</dc:creator>
  <cp:lastModifiedBy>Patrice</cp:lastModifiedBy>
  <cp:revision>2</cp:revision>
  <cp:lastPrinted>2018-01-25T09:52:00Z</cp:lastPrinted>
  <dcterms:created xsi:type="dcterms:W3CDTF">2020-01-30T16:55:00Z</dcterms:created>
  <dcterms:modified xsi:type="dcterms:W3CDTF">2020-01-30T16:55:00Z</dcterms:modified>
</cp:coreProperties>
</file>